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A2928" w14:textId="4C457C45" w:rsidR="00275F13" w:rsidRPr="00640121" w:rsidRDefault="00F73265" w:rsidP="00014168">
      <w:pPr>
        <w:pBdr>
          <w:top w:val="single" w:sz="12" w:space="0" w:color="auto" w:shadow="1"/>
          <w:left w:val="single" w:sz="12" w:space="4" w:color="auto" w:shadow="1"/>
          <w:bottom w:val="single" w:sz="12" w:space="1" w:color="auto" w:shadow="1"/>
          <w:right w:val="single" w:sz="12" w:space="7" w:color="auto" w:shadow="1"/>
        </w:pBdr>
        <w:ind w:right="2790"/>
        <w:rPr>
          <w:bCs/>
          <w:sz w:val="24"/>
          <w:szCs w:val="24"/>
          <w:lang w:val="es-ES"/>
        </w:rPr>
      </w:pPr>
      <w:bookmarkStart w:id="0" w:name="_GoBack"/>
      <w:bookmarkEnd w:id="0"/>
      <w:r w:rsidRPr="00640121">
        <w:rPr>
          <w:bCs/>
          <w:sz w:val="24"/>
          <w:szCs w:val="24"/>
          <w:lang w:val="es-ES"/>
        </w:rPr>
        <w:t xml:space="preserve">CONVENCIÓN DE </w:t>
      </w:r>
      <w:r w:rsidR="00275F13" w:rsidRPr="00640121">
        <w:rPr>
          <w:bCs/>
          <w:sz w:val="24"/>
          <w:szCs w:val="24"/>
          <w:lang w:val="es-ES"/>
        </w:rPr>
        <w:t xml:space="preserve">RAMSAR </w:t>
      </w:r>
      <w:r w:rsidRPr="00640121">
        <w:rPr>
          <w:bCs/>
          <w:sz w:val="24"/>
          <w:szCs w:val="24"/>
          <w:lang w:val="es-ES"/>
        </w:rPr>
        <w:t>SOBRE LOS HUMEDALES</w:t>
      </w:r>
      <w:r w:rsidR="00DF2386" w:rsidRPr="00640121">
        <w:rPr>
          <w:bCs/>
          <w:sz w:val="24"/>
          <w:szCs w:val="24"/>
          <w:lang w:val="es-ES"/>
        </w:rPr>
        <w:t xml:space="preserve"> </w:t>
      </w:r>
    </w:p>
    <w:p w14:paraId="36A9C936" w14:textId="72957D28" w:rsidR="00DF2386" w:rsidRPr="00640121" w:rsidRDefault="00DF2386" w:rsidP="00014168">
      <w:pPr>
        <w:pBdr>
          <w:top w:val="single" w:sz="12" w:space="0" w:color="auto" w:shadow="1"/>
          <w:left w:val="single" w:sz="12" w:space="4" w:color="auto" w:shadow="1"/>
          <w:bottom w:val="single" w:sz="12" w:space="1" w:color="auto" w:shadow="1"/>
          <w:right w:val="single" w:sz="12" w:space="7" w:color="auto" w:shadow="1"/>
        </w:pBdr>
        <w:ind w:right="2790"/>
        <w:rPr>
          <w:bCs/>
          <w:sz w:val="24"/>
          <w:szCs w:val="24"/>
          <w:lang w:val="es-ES"/>
        </w:rPr>
      </w:pPr>
      <w:r w:rsidRPr="00640121">
        <w:rPr>
          <w:bCs/>
          <w:sz w:val="24"/>
          <w:szCs w:val="24"/>
          <w:lang w:val="es-ES"/>
        </w:rPr>
        <w:t>5</w:t>
      </w:r>
      <w:r w:rsidR="00005707" w:rsidRPr="00640121">
        <w:rPr>
          <w:bCs/>
          <w:sz w:val="24"/>
          <w:szCs w:val="24"/>
          <w:lang w:val="es-ES"/>
        </w:rPr>
        <w:t>9</w:t>
      </w:r>
      <w:r w:rsidR="00F73265" w:rsidRPr="00640121">
        <w:rPr>
          <w:bCs/>
          <w:sz w:val="24"/>
          <w:szCs w:val="24"/>
          <w:lang w:val="es-ES"/>
        </w:rPr>
        <w:t>ª Reunión del Comité Permanente</w:t>
      </w:r>
    </w:p>
    <w:p w14:paraId="7F7F4397" w14:textId="77777777" w:rsidR="00AD77A6" w:rsidRPr="00640121" w:rsidRDefault="00AD77A6" w:rsidP="00AD77A6">
      <w:pPr>
        <w:pBdr>
          <w:top w:val="single" w:sz="12" w:space="0" w:color="auto" w:shadow="1"/>
          <w:left w:val="single" w:sz="12" w:space="4" w:color="auto" w:shadow="1"/>
          <w:bottom w:val="single" w:sz="12" w:space="1" w:color="auto" w:shadow="1"/>
          <w:right w:val="single" w:sz="12" w:space="7" w:color="auto" w:shadow="1"/>
        </w:pBdr>
        <w:ind w:right="2790"/>
        <w:rPr>
          <w:bCs/>
          <w:sz w:val="24"/>
          <w:szCs w:val="24"/>
          <w:lang w:val="es-ES"/>
        </w:rPr>
      </w:pPr>
      <w:r w:rsidRPr="00640121">
        <w:rPr>
          <w:bCs/>
          <w:sz w:val="24"/>
          <w:szCs w:val="24"/>
          <w:lang w:val="es-ES"/>
        </w:rPr>
        <w:t xml:space="preserve">Reanudación de la reunión </w:t>
      </w:r>
    </w:p>
    <w:p w14:paraId="46429A0F" w14:textId="5050E972" w:rsidR="00DF2386" w:rsidRPr="00640121" w:rsidRDefault="00AD77A6" w:rsidP="00AD77A6">
      <w:pPr>
        <w:pBdr>
          <w:top w:val="single" w:sz="12" w:space="0" w:color="auto" w:shadow="1"/>
          <w:left w:val="single" w:sz="12" w:space="4" w:color="auto" w:shadow="1"/>
          <w:bottom w:val="single" w:sz="12" w:space="1" w:color="auto" w:shadow="1"/>
          <w:right w:val="single" w:sz="12" w:space="7" w:color="auto" w:shadow="1"/>
        </w:pBdr>
        <w:ind w:right="2790"/>
        <w:rPr>
          <w:bCs/>
          <w:sz w:val="24"/>
          <w:szCs w:val="24"/>
          <w:lang w:val="es-ES"/>
        </w:rPr>
      </w:pPr>
      <w:r w:rsidRPr="00640121">
        <w:rPr>
          <w:bCs/>
          <w:sz w:val="24"/>
          <w:szCs w:val="24"/>
          <w:lang w:val="es-ES"/>
        </w:rPr>
        <w:t>Gland, Suiza, 23 a 27 de mayo de 2022</w:t>
      </w:r>
    </w:p>
    <w:p w14:paraId="7F043355" w14:textId="77777777" w:rsidR="00865A24" w:rsidRPr="00640121" w:rsidRDefault="00865A24" w:rsidP="00014168">
      <w:pPr>
        <w:jc w:val="right"/>
        <w:rPr>
          <w:rFonts w:cs="Arial"/>
          <w:b/>
          <w:sz w:val="28"/>
          <w:szCs w:val="28"/>
          <w:lang w:val="es-ES"/>
        </w:rPr>
      </w:pPr>
    </w:p>
    <w:p w14:paraId="041D1063" w14:textId="02472933" w:rsidR="00DF2386" w:rsidRPr="00640121" w:rsidRDefault="00DF2386" w:rsidP="00014168">
      <w:pPr>
        <w:jc w:val="right"/>
        <w:rPr>
          <w:rFonts w:cs="Arial"/>
          <w:sz w:val="28"/>
          <w:szCs w:val="28"/>
          <w:lang w:val="es-ES"/>
        </w:rPr>
      </w:pPr>
      <w:r w:rsidRPr="00640121">
        <w:rPr>
          <w:rFonts w:cs="Arial"/>
          <w:b/>
          <w:sz w:val="28"/>
          <w:szCs w:val="28"/>
          <w:lang w:val="es-ES"/>
        </w:rPr>
        <w:t>SC5</w:t>
      </w:r>
      <w:r w:rsidR="00005707" w:rsidRPr="00640121">
        <w:rPr>
          <w:rFonts w:cs="Arial"/>
          <w:b/>
          <w:sz w:val="28"/>
          <w:szCs w:val="28"/>
          <w:lang w:val="es-ES"/>
        </w:rPr>
        <w:t>9</w:t>
      </w:r>
      <w:r w:rsidR="00AD77A6" w:rsidRPr="00640121">
        <w:rPr>
          <w:rFonts w:cs="Arial"/>
          <w:b/>
          <w:sz w:val="28"/>
          <w:szCs w:val="28"/>
          <w:lang w:val="es-ES"/>
        </w:rPr>
        <w:t>/2022</w:t>
      </w:r>
      <w:r w:rsidR="001F232D" w:rsidRPr="00640121">
        <w:rPr>
          <w:rFonts w:cs="Arial"/>
          <w:b/>
          <w:sz w:val="28"/>
          <w:szCs w:val="28"/>
          <w:lang w:val="es-ES"/>
        </w:rPr>
        <w:t xml:space="preserve"> Doc.4</w:t>
      </w:r>
      <w:r w:rsidR="00D245A1" w:rsidRPr="00640121">
        <w:rPr>
          <w:rFonts w:cs="Arial"/>
          <w:b/>
          <w:sz w:val="28"/>
          <w:szCs w:val="28"/>
          <w:lang w:val="es-ES"/>
        </w:rPr>
        <w:t xml:space="preserve"> </w:t>
      </w:r>
    </w:p>
    <w:p w14:paraId="6A0A5EC2" w14:textId="77777777" w:rsidR="00DF2386" w:rsidRPr="00640121" w:rsidRDefault="00DF2386" w:rsidP="00014168">
      <w:pPr>
        <w:rPr>
          <w:rFonts w:cs="Arial"/>
          <w:b/>
          <w:sz w:val="28"/>
          <w:szCs w:val="28"/>
          <w:lang w:val="es-ES"/>
        </w:rPr>
      </w:pPr>
    </w:p>
    <w:p w14:paraId="2AE22C8B" w14:textId="2AD7BA5A" w:rsidR="001F232D" w:rsidRPr="00640121" w:rsidRDefault="001F232D" w:rsidP="001F232D">
      <w:pPr>
        <w:autoSpaceDE w:val="0"/>
        <w:autoSpaceDN w:val="0"/>
        <w:adjustRightInd w:val="0"/>
        <w:jc w:val="center"/>
        <w:rPr>
          <w:b/>
          <w:sz w:val="28"/>
          <w:szCs w:val="28"/>
          <w:lang w:val="es-ES"/>
        </w:rPr>
      </w:pPr>
      <w:r w:rsidRPr="00640121">
        <w:rPr>
          <w:b/>
          <w:sz w:val="28"/>
          <w:szCs w:val="28"/>
          <w:lang w:val="es-ES"/>
        </w:rPr>
        <w:t>Admis</w:t>
      </w:r>
      <w:r w:rsidR="00F73265" w:rsidRPr="00640121">
        <w:rPr>
          <w:b/>
          <w:sz w:val="28"/>
          <w:szCs w:val="28"/>
          <w:lang w:val="es-ES"/>
        </w:rPr>
        <w:t>ión de observadores</w:t>
      </w:r>
    </w:p>
    <w:p w14:paraId="41D391D5" w14:textId="77777777" w:rsidR="00DF2386" w:rsidRPr="00640121" w:rsidRDefault="00DF2386" w:rsidP="00014168">
      <w:pPr>
        <w:rPr>
          <w:rFonts w:ascii="Garamond" w:hAnsi="Garamond" w:cs="Arial"/>
          <w:lang w:val="es-ES"/>
        </w:rPr>
      </w:pPr>
    </w:p>
    <w:p w14:paraId="6C8E8134" w14:textId="77777777" w:rsidR="000C2489" w:rsidRPr="00640121" w:rsidRDefault="000C2489" w:rsidP="00014168">
      <w:pPr>
        <w:autoSpaceDE w:val="0"/>
        <w:autoSpaceDN w:val="0"/>
        <w:adjustRightInd w:val="0"/>
        <w:rPr>
          <w:rFonts w:asciiTheme="minorHAnsi" w:eastAsiaTheme="minorHAnsi" w:hAnsiTheme="minorHAnsi" w:cs="Calibri-Bold"/>
          <w:b/>
          <w:bCs/>
          <w:lang w:val="es-ES"/>
        </w:rPr>
      </w:pPr>
      <w:r w:rsidRPr="00640121">
        <w:rPr>
          <w:noProof/>
          <w:lang w:eastAsia="en-GB"/>
        </w:rPr>
        <mc:AlternateContent>
          <mc:Choice Requires="wps">
            <w:drawing>
              <wp:inline distT="0" distB="0" distL="0" distR="0" wp14:anchorId="7588A67D" wp14:editId="0BF99B4D">
                <wp:extent cx="5731510" cy="1019175"/>
                <wp:effectExtent l="0" t="0" r="21590" b="2857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019175"/>
                        </a:xfrm>
                        <a:prstGeom prst="rect">
                          <a:avLst/>
                        </a:prstGeom>
                        <a:solidFill>
                          <a:srgbClr val="FFFFFF"/>
                        </a:solidFill>
                        <a:ln w="9525">
                          <a:solidFill>
                            <a:srgbClr val="000000"/>
                          </a:solidFill>
                          <a:miter lim="800000"/>
                          <a:headEnd/>
                          <a:tailEnd/>
                        </a:ln>
                      </wps:spPr>
                      <wps:txbx>
                        <w:txbxContent>
                          <w:p w14:paraId="6E616FAF" w14:textId="077DE722" w:rsidR="00F73265" w:rsidRPr="00640121" w:rsidRDefault="00F73265" w:rsidP="00B265A4">
                            <w:pPr>
                              <w:rPr>
                                <w:b/>
                                <w:bCs/>
                                <w:lang w:val="es-ES"/>
                              </w:rPr>
                            </w:pPr>
                            <w:r w:rsidRPr="00640121">
                              <w:rPr>
                                <w:b/>
                                <w:bCs/>
                                <w:lang w:val="es-ES"/>
                              </w:rPr>
                              <w:t>Acciones solicitadas:</w:t>
                            </w:r>
                          </w:p>
                          <w:p w14:paraId="2B068596" w14:textId="77777777" w:rsidR="00F73265" w:rsidRPr="00640121" w:rsidRDefault="00F73265" w:rsidP="00B265A4">
                            <w:pPr>
                              <w:pStyle w:val="ColorfulList-Accent11"/>
                              <w:ind w:left="425"/>
                              <w:rPr>
                                <w:lang w:val="es-ES"/>
                              </w:rPr>
                            </w:pPr>
                          </w:p>
                          <w:p w14:paraId="4344CA3D" w14:textId="6578F8C7" w:rsidR="00005707" w:rsidRPr="00640121" w:rsidRDefault="00005707" w:rsidP="00005707">
                            <w:pPr>
                              <w:pStyle w:val="ColorfulList-Accent11"/>
                              <w:numPr>
                                <w:ilvl w:val="0"/>
                                <w:numId w:val="32"/>
                              </w:numPr>
                              <w:ind w:left="284" w:hanging="284"/>
                              <w:rPr>
                                <w:lang w:val="es-ES"/>
                              </w:rPr>
                            </w:pPr>
                            <w:r w:rsidRPr="00640121">
                              <w:rPr>
                                <w:lang w:val="es-ES"/>
                              </w:rPr>
                              <w:t xml:space="preserve">Se invita al Comité Permanente a </w:t>
                            </w:r>
                            <w:r w:rsidR="00640121" w:rsidRPr="00640121">
                              <w:rPr>
                                <w:rFonts w:asciiTheme="minorHAnsi" w:hAnsiTheme="minorHAnsi" w:cs="Garamond"/>
                                <w:lang w:val="es-ES"/>
                              </w:rPr>
                              <w:t>tomar nota de</w:t>
                            </w:r>
                            <w:r w:rsidR="00865A24" w:rsidRPr="00640121">
                              <w:rPr>
                                <w:rFonts w:asciiTheme="minorHAnsi" w:hAnsiTheme="minorHAnsi" w:cs="Garamond"/>
                                <w:lang w:val="es-ES"/>
                              </w:rPr>
                              <w:t xml:space="preserve"> </w:t>
                            </w:r>
                            <w:r w:rsidRPr="00640121">
                              <w:rPr>
                                <w:lang w:val="es-ES"/>
                              </w:rPr>
                              <w:t>la participación en la presente reunión de los observadores que representan a las entidades y agencias</w:t>
                            </w:r>
                            <w:r w:rsidR="00640121" w:rsidRPr="00640121">
                              <w:rPr>
                                <w:lang w:val="es-ES"/>
                              </w:rPr>
                              <w:t xml:space="preserve"> anteriormente aprobadas, enumeradas </w:t>
                            </w:r>
                            <w:r w:rsidRPr="00640121">
                              <w:rPr>
                                <w:lang w:val="es-ES"/>
                              </w:rPr>
                              <w:t xml:space="preserve">en el párrafo </w:t>
                            </w:r>
                            <w:r w:rsidR="00865A24" w:rsidRPr="00640121">
                              <w:rPr>
                                <w:lang w:val="es-ES"/>
                              </w:rPr>
                              <w:t>6</w:t>
                            </w:r>
                            <w:r w:rsidRPr="00640121">
                              <w:rPr>
                                <w:lang w:val="es-ES"/>
                              </w:rPr>
                              <w:t xml:space="preserve">. </w:t>
                            </w:r>
                          </w:p>
                          <w:p w14:paraId="22507B18" w14:textId="77777777" w:rsidR="00F73265" w:rsidRPr="00640121" w:rsidRDefault="00F73265" w:rsidP="001836CF">
                            <w:pPr>
                              <w:pStyle w:val="ColorfulList-Accent11"/>
                              <w:ind w:left="0" w:firstLine="0"/>
                              <w:rPr>
                                <w:lang w:val="es-ES"/>
                              </w:rPr>
                            </w:pPr>
                          </w:p>
                          <w:p w14:paraId="7E9F0A43" w14:textId="261D4B4B" w:rsidR="00F73265" w:rsidRPr="00640121" w:rsidRDefault="00F73265" w:rsidP="001D0214">
                            <w:pPr>
                              <w:pStyle w:val="ColorfulList-Accent11"/>
                              <w:ind w:left="0" w:firstLine="0"/>
                              <w:rPr>
                                <w:lang w:val="es-ES"/>
                              </w:rPr>
                            </w:pP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588A67D" id="_x0000_t202" coordsize="21600,21600" o:spt="202" path="m,l,21600r21600,l21600,xe">
                <v:stroke joinstyle="miter"/>
                <v:path gradientshapeok="t" o:connecttype="rect"/>
              </v:shapetype>
              <v:shape id="Text Box 1" o:spid="_x0000_s1026" type="#_x0000_t202" style="width:451.3pt;height:8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">
                <v:textbox>
                  <w:txbxContent>
                    <w:p w14:paraId="6E616FAF" w14:textId="077DE722" w:rsidR="00F73265" w:rsidRPr="00640121" w:rsidRDefault="00F73265" w:rsidP="00B265A4">
                      <w:pPr>
                        <w:rPr>
                          <w:b/>
                          <w:bCs/>
                          <w:lang w:val="es-ES"/>
                        </w:rPr>
                      </w:pPr>
                      <w:r w:rsidRPr="00640121">
                        <w:rPr>
                          <w:b/>
                          <w:bCs/>
                          <w:lang w:val="es-ES"/>
                        </w:rPr>
                        <w:t>Acciones solicitadas:</w:t>
                      </w:r>
                    </w:p>
                    <w:p w14:paraId="2B068596" w14:textId="77777777" w:rsidR="00F73265" w:rsidRPr="00640121" w:rsidRDefault="00F73265" w:rsidP="00B265A4">
                      <w:pPr>
                        <w:pStyle w:val="ColorfulList-Accent11"/>
                        <w:ind w:left="425"/>
                        <w:rPr>
                          <w:lang w:val="es-ES"/>
                        </w:rPr>
                      </w:pPr>
                    </w:p>
                    <w:p w14:paraId="4344CA3D" w14:textId="6578F8C7" w:rsidR="00005707" w:rsidRPr="00640121" w:rsidRDefault="00005707" w:rsidP="00005707">
                      <w:pPr>
                        <w:pStyle w:val="ColorfulList-Accent11"/>
                        <w:numPr>
                          <w:ilvl w:val="0"/>
                          <w:numId w:val="32"/>
                        </w:numPr>
                        <w:ind w:left="284" w:hanging="284"/>
                        <w:rPr>
                          <w:lang w:val="es-ES"/>
                        </w:rPr>
                      </w:pPr>
                      <w:r w:rsidRPr="00640121">
                        <w:rPr>
                          <w:lang w:val="es-ES"/>
                        </w:rPr>
                        <w:t xml:space="preserve">Se invita al Comité Permanente a </w:t>
                      </w:r>
                      <w:r w:rsidR="00640121" w:rsidRPr="00640121">
                        <w:rPr>
                          <w:rFonts w:asciiTheme="minorHAnsi" w:hAnsiTheme="minorHAnsi" w:cs="Garamond"/>
                          <w:lang w:val="es-ES"/>
                        </w:rPr>
                        <w:t>tomar nota de</w:t>
                      </w:r>
                      <w:r w:rsidR="00865A24" w:rsidRPr="00640121">
                        <w:rPr>
                          <w:rFonts w:asciiTheme="minorHAnsi" w:hAnsiTheme="minorHAnsi" w:cs="Garamond"/>
                          <w:lang w:val="es-ES"/>
                        </w:rPr>
                        <w:t xml:space="preserve"> </w:t>
                      </w:r>
                      <w:r w:rsidRPr="00640121">
                        <w:rPr>
                          <w:lang w:val="es-ES"/>
                        </w:rPr>
                        <w:t>la participación en la presente reunión de los observadores que representan a las entidades y agencias</w:t>
                      </w:r>
                      <w:r w:rsidR="00640121" w:rsidRPr="00640121">
                        <w:rPr>
                          <w:lang w:val="es-ES"/>
                        </w:rPr>
                        <w:t xml:space="preserve"> anteriormente aprobadas, enumeradas </w:t>
                      </w:r>
                      <w:r w:rsidRPr="00640121">
                        <w:rPr>
                          <w:lang w:val="es-ES"/>
                        </w:rPr>
                        <w:t xml:space="preserve">en el párrafo </w:t>
                      </w:r>
                      <w:r w:rsidR="00865A24" w:rsidRPr="00640121">
                        <w:rPr>
                          <w:lang w:val="es-ES"/>
                        </w:rPr>
                        <w:t>6</w:t>
                      </w:r>
                      <w:r w:rsidRPr="00640121">
                        <w:rPr>
                          <w:lang w:val="es-ES"/>
                        </w:rPr>
                        <w:t xml:space="preserve">. </w:t>
                      </w:r>
                    </w:p>
                    <w:p w14:paraId="22507B18" w14:textId="77777777" w:rsidR="00F73265" w:rsidRPr="00640121" w:rsidRDefault="00F73265" w:rsidP="001836CF">
                      <w:pPr>
                        <w:pStyle w:val="ColorfulList-Accent11"/>
                        <w:ind w:left="0" w:firstLine="0"/>
                        <w:rPr>
                          <w:lang w:val="es-ES"/>
                        </w:rPr>
                      </w:pPr>
                    </w:p>
                    <w:p w14:paraId="7E9F0A43" w14:textId="261D4B4B" w:rsidR="00F73265" w:rsidRPr="00640121" w:rsidRDefault="00F73265" w:rsidP="001D0214">
                      <w:pPr>
                        <w:pStyle w:val="ColorfulList-Accent11"/>
                        <w:ind w:left="0" w:firstLine="0"/>
                        <w:rPr>
                          <w:lang w:val="es-ES"/>
                        </w:rPr>
                      </w:pPr>
                    </w:p>
                  </w:txbxContent>
                </v:textbox>
                <w10:anchorlock/>
              </v:shape>
            </w:pict>
          </mc:Fallback>
        </mc:AlternateContent>
      </w:r>
    </w:p>
    <w:p w14:paraId="31FF8627" w14:textId="77777777" w:rsidR="009E0AE8" w:rsidRPr="00640121" w:rsidRDefault="009E0AE8" w:rsidP="00014168">
      <w:pPr>
        <w:rPr>
          <w:rFonts w:cs="Arial"/>
          <w:b/>
          <w:lang w:val="es-ES"/>
        </w:rPr>
      </w:pPr>
    </w:p>
    <w:p w14:paraId="1F66FE98" w14:textId="77777777" w:rsidR="00CF1839" w:rsidRPr="00640121" w:rsidRDefault="00CF1839" w:rsidP="00003EC5">
      <w:pPr>
        <w:tabs>
          <w:tab w:val="num" w:pos="720"/>
          <w:tab w:val="left" w:pos="4253"/>
        </w:tabs>
        <w:overflowPunct w:val="0"/>
        <w:autoSpaceDE w:val="0"/>
        <w:autoSpaceDN w:val="0"/>
        <w:adjustRightInd w:val="0"/>
        <w:rPr>
          <w:rFonts w:asciiTheme="minorHAnsi" w:hAnsiTheme="minorHAnsi"/>
          <w:lang w:val="es-ES"/>
        </w:rPr>
      </w:pPr>
    </w:p>
    <w:p w14:paraId="15FD9EFE" w14:textId="546FB5C9" w:rsidR="00003EC5" w:rsidRPr="00640121" w:rsidRDefault="00003EC5" w:rsidP="00CF1839">
      <w:pPr>
        <w:tabs>
          <w:tab w:val="left" w:pos="4253"/>
        </w:tabs>
        <w:overflowPunct w:val="0"/>
        <w:autoSpaceDE w:val="0"/>
        <w:autoSpaceDN w:val="0"/>
        <w:adjustRightInd w:val="0"/>
        <w:rPr>
          <w:rFonts w:asciiTheme="minorHAnsi" w:hAnsiTheme="minorHAnsi"/>
          <w:lang w:val="es-ES"/>
        </w:rPr>
      </w:pPr>
      <w:r w:rsidRPr="00640121">
        <w:rPr>
          <w:rFonts w:asciiTheme="minorHAnsi" w:hAnsiTheme="minorHAnsi"/>
          <w:lang w:val="es-ES"/>
        </w:rPr>
        <w:t>1.</w:t>
      </w:r>
      <w:r w:rsidRPr="00640121">
        <w:rPr>
          <w:rFonts w:asciiTheme="minorHAnsi" w:hAnsiTheme="minorHAnsi"/>
          <w:lang w:val="es-ES"/>
        </w:rPr>
        <w:tab/>
      </w:r>
      <w:r w:rsidR="00F73265" w:rsidRPr="00640121">
        <w:rPr>
          <w:rFonts w:asciiTheme="minorHAnsi" w:hAnsiTheme="minorHAnsi"/>
          <w:lang w:val="es-ES"/>
        </w:rPr>
        <w:t>El reglamento de las reuniones de la Conferencia de las Partes Contratantes</w:t>
      </w:r>
      <w:r w:rsidR="00F73265" w:rsidRPr="00640121">
        <w:rPr>
          <w:rStyle w:val="FootnoteReference"/>
          <w:rFonts w:asciiTheme="minorHAnsi" w:hAnsiTheme="minorHAnsi"/>
          <w:lang w:val="es-ES"/>
        </w:rPr>
        <w:footnoteReference w:id="1"/>
      </w:r>
      <w:r w:rsidR="00F73265" w:rsidRPr="00640121">
        <w:rPr>
          <w:rFonts w:asciiTheme="minorHAnsi" w:hAnsiTheme="minorHAnsi"/>
          <w:lang w:val="es-ES"/>
        </w:rPr>
        <w:t xml:space="preserve">  prevé la participación de observadores en dos categorías</w:t>
      </w:r>
      <w:r w:rsidRPr="00640121">
        <w:rPr>
          <w:rFonts w:asciiTheme="minorHAnsi" w:hAnsiTheme="minorHAnsi"/>
          <w:lang w:val="es-ES"/>
        </w:rPr>
        <w:t>:</w:t>
      </w:r>
    </w:p>
    <w:p w14:paraId="3DC92BFF" w14:textId="7F3DDFAF" w:rsidR="00003EC5" w:rsidRPr="00640121" w:rsidRDefault="00F73265" w:rsidP="00003EC5">
      <w:pPr>
        <w:pStyle w:val="ListParagraph"/>
        <w:numPr>
          <w:ilvl w:val="0"/>
          <w:numId w:val="30"/>
        </w:numPr>
        <w:ind w:left="850" w:hanging="425"/>
        <w:rPr>
          <w:rFonts w:asciiTheme="minorHAnsi" w:hAnsiTheme="minorHAnsi"/>
          <w:lang w:val="es-ES"/>
        </w:rPr>
      </w:pPr>
      <w:r w:rsidRPr="00640121">
        <w:rPr>
          <w:rFonts w:asciiTheme="minorHAnsi" w:hAnsiTheme="minorHAnsi"/>
          <w:lang w:val="es-ES"/>
        </w:rPr>
        <w:t>las Naciones Unidas, sus organismos especializados y los Estados que no son Parte en la Convención; y</w:t>
      </w:r>
    </w:p>
    <w:p w14:paraId="69A9B88A" w14:textId="6EF72694" w:rsidR="00003EC5" w:rsidRPr="00640121" w:rsidRDefault="00F73265" w:rsidP="00003EC5">
      <w:pPr>
        <w:pStyle w:val="ListParagraph"/>
        <w:numPr>
          <w:ilvl w:val="0"/>
          <w:numId w:val="30"/>
        </w:numPr>
        <w:ind w:left="850" w:hanging="425"/>
        <w:rPr>
          <w:rFonts w:asciiTheme="minorHAnsi" w:hAnsiTheme="minorHAnsi"/>
          <w:lang w:val="es-ES"/>
        </w:rPr>
      </w:pPr>
      <w:r w:rsidRPr="00640121">
        <w:rPr>
          <w:rFonts w:asciiTheme="minorHAnsi" w:hAnsiTheme="minorHAnsi"/>
          <w:lang w:val="es-ES"/>
        </w:rPr>
        <w:t>cualquier entidad o agencia calificada en el ámbito de la conservación y el uso sostenible de los humedales</w:t>
      </w:r>
      <w:r w:rsidR="00003EC5" w:rsidRPr="00640121">
        <w:rPr>
          <w:rFonts w:asciiTheme="minorHAnsi" w:hAnsiTheme="minorHAnsi"/>
          <w:lang w:val="es-ES"/>
        </w:rPr>
        <w:t>.</w:t>
      </w:r>
    </w:p>
    <w:p w14:paraId="2F197D58" w14:textId="77777777" w:rsidR="00003EC5" w:rsidRPr="00640121" w:rsidRDefault="00003EC5" w:rsidP="00003EC5">
      <w:pPr>
        <w:tabs>
          <w:tab w:val="num" w:pos="720"/>
          <w:tab w:val="left" w:pos="4253"/>
        </w:tabs>
        <w:overflowPunct w:val="0"/>
        <w:autoSpaceDE w:val="0"/>
        <w:autoSpaceDN w:val="0"/>
        <w:adjustRightInd w:val="0"/>
        <w:rPr>
          <w:rFonts w:asciiTheme="minorHAnsi" w:hAnsiTheme="minorHAnsi"/>
          <w:lang w:val="es-ES"/>
        </w:rPr>
      </w:pPr>
    </w:p>
    <w:p w14:paraId="2943D52F" w14:textId="77777777" w:rsidR="00F73265" w:rsidRPr="00640121" w:rsidRDefault="00F73265" w:rsidP="00F73265">
      <w:pPr>
        <w:tabs>
          <w:tab w:val="num" w:pos="720"/>
          <w:tab w:val="left" w:pos="4253"/>
        </w:tabs>
        <w:overflowPunct w:val="0"/>
        <w:autoSpaceDE w:val="0"/>
        <w:autoSpaceDN w:val="0"/>
        <w:adjustRightInd w:val="0"/>
        <w:rPr>
          <w:rFonts w:asciiTheme="minorHAnsi" w:hAnsiTheme="minorHAnsi"/>
          <w:b/>
          <w:lang w:val="es-ES"/>
        </w:rPr>
      </w:pPr>
      <w:r w:rsidRPr="00640121">
        <w:rPr>
          <w:rFonts w:asciiTheme="minorHAnsi" w:hAnsiTheme="minorHAnsi"/>
          <w:b/>
          <w:lang w:val="es-ES"/>
        </w:rPr>
        <w:t>Las Naciones Unidas, sus organismos especializados y los Estados que no son Parte</w:t>
      </w:r>
    </w:p>
    <w:p w14:paraId="67BC7305" w14:textId="77777777" w:rsidR="00003EC5" w:rsidRPr="00640121" w:rsidRDefault="00003EC5" w:rsidP="00003EC5">
      <w:pPr>
        <w:tabs>
          <w:tab w:val="num" w:pos="720"/>
          <w:tab w:val="left" w:pos="4253"/>
        </w:tabs>
        <w:overflowPunct w:val="0"/>
        <w:autoSpaceDE w:val="0"/>
        <w:autoSpaceDN w:val="0"/>
        <w:adjustRightInd w:val="0"/>
        <w:rPr>
          <w:rFonts w:asciiTheme="minorHAnsi" w:hAnsiTheme="minorHAnsi"/>
          <w:lang w:val="es-ES"/>
        </w:rPr>
      </w:pPr>
    </w:p>
    <w:p w14:paraId="43958080" w14:textId="51083DF9" w:rsidR="00003EC5" w:rsidRPr="00640121" w:rsidRDefault="00003EC5" w:rsidP="00003EC5">
      <w:pPr>
        <w:tabs>
          <w:tab w:val="num" w:pos="720"/>
          <w:tab w:val="left" w:pos="4253"/>
        </w:tabs>
        <w:overflowPunct w:val="0"/>
        <w:autoSpaceDE w:val="0"/>
        <w:autoSpaceDN w:val="0"/>
        <w:adjustRightInd w:val="0"/>
        <w:rPr>
          <w:rFonts w:asciiTheme="minorHAnsi" w:hAnsiTheme="minorHAnsi"/>
          <w:lang w:val="es-ES"/>
        </w:rPr>
      </w:pPr>
      <w:r w:rsidRPr="00640121">
        <w:rPr>
          <w:rFonts w:asciiTheme="minorHAnsi" w:hAnsiTheme="minorHAnsi"/>
          <w:lang w:val="es-ES"/>
        </w:rPr>
        <w:t>2.</w:t>
      </w:r>
      <w:r w:rsidRPr="00640121">
        <w:rPr>
          <w:rFonts w:asciiTheme="minorHAnsi" w:hAnsiTheme="minorHAnsi"/>
          <w:lang w:val="es-ES"/>
        </w:rPr>
        <w:tab/>
      </w:r>
      <w:r w:rsidR="00F73265" w:rsidRPr="00640121">
        <w:rPr>
          <w:rFonts w:asciiTheme="minorHAnsi" w:hAnsiTheme="minorHAnsi"/>
          <w:lang w:val="es-ES"/>
        </w:rPr>
        <w:t>El artículo 6 del reglamento establece que los observadores que representan a las Naciones Unidas, a sus organismos especializados y los Estados que no son Parte en la Convención pueden participar previa invitación de la Presidencia, “salvo que por lo menos un tercio de las Partes Contratantes presentes en la reunión se opongan”</w:t>
      </w:r>
      <w:r w:rsidRPr="00640121">
        <w:rPr>
          <w:rFonts w:asciiTheme="minorHAnsi" w:hAnsiTheme="minorHAnsi"/>
          <w:lang w:val="es-ES"/>
        </w:rPr>
        <w:t>.</w:t>
      </w:r>
    </w:p>
    <w:p w14:paraId="596F87BD" w14:textId="77777777" w:rsidR="00003EC5" w:rsidRPr="00640121" w:rsidRDefault="00003EC5" w:rsidP="00003EC5">
      <w:pPr>
        <w:tabs>
          <w:tab w:val="num" w:pos="720"/>
          <w:tab w:val="left" w:pos="4253"/>
        </w:tabs>
        <w:overflowPunct w:val="0"/>
        <w:autoSpaceDE w:val="0"/>
        <w:autoSpaceDN w:val="0"/>
        <w:adjustRightInd w:val="0"/>
        <w:rPr>
          <w:rFonts w:asciiTheme="minorHAnsi" w:hAnsiTheme="minorHAnsi"/>
          <w:lang w:val="es-ES"/>
        </w:rPr>
      </w:pPr>
    </w:p>
    <w:p w14:paraId="7A81910E" w14:textId="29FF970E" w:rsidR="00460A79" w:rsidRPr="00640121" w:rsidRDefault="00003EC5" w:rsidP="00865A24">
      <w:pPr>
        <w:tabs>
          <w:tab w:val="num" w:pos="720"/>
          <w:tab w:val="left" w:pos="4253"/>
        </w:tabs>
        <w:overflowPunct w:val="0"/>
        <w:autoSpaceDE w:val="0"/>
        <w:autoSpaceDN w:val="0"/>
        <w:adjustRightInd w:val="0"/>
        <w:rPr>
          <w:rFonts w:asciiTheme="minorHAnsi" w:hAnsiTheme="minorHAnsi"/>
          <w:lang w:val="es-ES"/>
        </w:rPr>
      </w:pPr>
      <w:r w:rsidRPr="00640121">
        <w:rPr>
          <w:rFonts w:asciiTheme="minorHAnsi" w:hAnsiTheme="minorHAnsi"/>
          <w:lang w:val="es-ES"/>
        </w:rPr>
        <w:t>3.</w:t>
      </w:r>
      <w:r w:rsidRPr="00640121">
        <w:rPr>
          <w:rFonts w:asciiTheme="minorHAnsi" w:hAnsiTheme="minorHAnsi"/>
          <w:lang w:val="es-ES"/>
        </w:rPr>
        <w:tab/>
      </w:r>
      <w:r w:rsidR="00F73265" w:rsidRPr="00640121">
        <w:rPr>
          <w:rFonts w:asciiTheme="minorHAnsi" w:hAnsiTheme="minorHAnsi"/>
          <w:lang w:val="es-ES"/>
        </w:rPr>
        <w:t xml:space="preserve">En lo que respecta a los observadores en esta categoría, la Secretaría </w:t>
      </w:r>
      <w:bookmarkStart w:id="1" w:name="_Hlk104189102"/>
      <w:r w:rsidR="00640121" w:rsidRPr="00640121">
        <w:rPr>
          <w:rFonts w:asciiTheme="minorHAnsi" w:hAnsiTheme="minorHAnsi"/>
          <w:lang w:val="es-ES"/>
        </w:rPr>
        <w:t>no había recibido ninguna</w:t>
      </w:r>
      <w:r w:rsidR="00865A24" w:rsidRPr="00640121">
        <w:rPr>
          <w:rFonts w:asciiTheme="minorHAnsi" w:hAnsiTheme="minorHAnsi"/>
          <w:lang w:val="es-ES"/>
        </w:rPr>
        <w:t xml:space="preserve"> </w:t>
      </w:r>
      <w:bookmarkEnd w:id="1"/>
      <w:r w:rsidR="00F73265" w:rsidRPr="00640121">
        <w:rPr>
          <w:rFonts w:asciiTheme="minorHAnsi" w:hAnsiTheme="minorHAnsi"/>
          <w:lang w:val="es-ES"/>
        </w:rPr>
        <w:t>preinscripci</w:t>
      </w:r>
      <w:r w:rsidR="00640121" w:rsidRPr="00640121">
        <w:rPr>
          <w:rFonts w:asciiTheme="minorHAnsi" w:hAnsiTheme="minorHAnsi"/>
          <w:lang w:val="es-ES"/>
        </w:rPr>
        <w:t>ón</w:t>
      </w:r>
      <w:r w:rsidR="00F73265" w:rsidRPr="00640121">
        <w:rPr>
          <w:rFonts w:asciiTheme="minorHAnsi" w:hAnsiTheme="minorHAnsi"/>
          <w:lang w:val="es-ES"/>
        </w:rPr>
        <w:t xml:space="preserve"> a </w:t>
      </w:r>
      <w:r w:rsidR="00005707" w:rsidRPr="00640121">
        <w:rPr>
          <w:rFonts w:asciiTheme="minorHAnsi" w:hAnsiTheme="minorHAnsi"/>
          <w:lang w:val="es-ES"/>
        </w:rPr>
        <w:t xml:space="preserve">18 </w:t>
      </w:r>
      <w:r w:rsidR="00F73265" w:rsidRPr="00640121">
        <w:rPr>
          <w:rFonts w:asciiTheme="minorHAnsi" w:hAnsiTheme="minorHAnsi"/>
          <w:lang w:val="es-ES"/>
        </w:rPr>
        <w:t xml:space="preserve">de </w:t>
      </w:r>
      <w:r w:rsidR="00865A24" w:rsidRPr="00640121">
        <w:rPr>
          <w:rFonts w:asciiTheme="minorHAnsi" w:hAnsiTheme="minorHAnsi"/>
          <w:lang w:val="es-ES"/>
        </w:rPr>
        <w:t>mayo</w:t>
      </w:r>
      <w:r w:rsidR="00F73265" w:rsidRPr="00640121">
        <w:rPr>
          <w:rFonts w:asciiTheme="minorHAnsi" w:hAnsiTheme="minorHAnsi"/>
          <w:lang w:val="es-ES"/>
        </w:rPr>
        <w:t xml:space="preserve"> de</w:t>
      </w:r>
      <w:r w:rsidR="00362AAF" w:rsidRPr="00640121">
        <w:rPr>
          <w:rFonts w:asciiTheme="minorHAnsi" w:hAnsiTheme="minorHAnsi"/>
          <w:lang w:val="es-ES"/>
        </w:rPr>
        <w:t xml:space="preserve"> 20</w:t>
      </w:r>
      <w:r w:rsidR="00865A24" w:rsidRPr="00640121">
        <w:rPr>
          <w:rFonts w:asciiTheme="minorHAnsi" w:hAnsiTheme="minorHAnsi"/>
          <w:lang w:val="es-ES"/>
        </w:rPr>
        <w:t>22</w:t>
      </w:r>
      <w:r w:rsidR="00362AAF" w:rsidRPr="00640121">
        <w:rPr>
          <w:rFonts w:asciiTheme="minorHAnsi" w:hAnsiTheme="minorHAnsi"/>
          <w:lang w:val="es-ES"/>
        </w:rPr>
        <w:t>.</w:t>
      </w:r>
    </w:p>
    <w:p w14:paraId="54DA039F" w14:textId="1F78BEA3" w:rsidR="00003EC5" w:rsidRPr="00640121" w:rsidRDefault="00003EC5" w:rsidP="00003EC5">
      <w:pPr>
        <w:tabs>
          <w:tab w:val="num" w:pos="720"/>
          <w:tab w:val="left" w:pos="4253"/>
        </w:tabs>
        <w:overflowPunct w:val="0"/>
        <w:autoSpaceDE w:val="0"/>
        <w:autoSpaceDN w:val="0"/>
        <w:adjustRightInd w:val="0"/>
        <w:rPr>
          <w:lang w:val="es-ES"/>
        </w:rPr>
      </w:pPr>
    </w:p>
    <w:p w14:paraId="7B76027E" w14:textId="77777777" w:rsidR="00F73265" w:rsidRPr="00640121" w:rsidRDefault="00F73265" w:rsidP="00F73265">
      <w:pPr>
        <w:tabs>
          <w:tab w:val="num" w:pos="720"/>
          <w:tab w:val="left" w:pos="4253"/>
        </w:tabs>
        <w:overflowPunct w:val="0"/>
        <w:autoSpaceDE w:val="0"/>
        <w:autoSpaceDN w:val="0"/>
        <w:adjustRightInd w:val="0"/>
        <w:ind w:left="0" w:firstLine="0"/>
        <w:rPr>
          <w:b/>
          <w:lang w:val="es-ES"/>
        </w:rPr>
      </w:pPr>
      <w:r w:rsidRPr="00640121">
        <w:rPr>
          <w:rFonts w:asciiTheme="minorHAnsi" w:hAnsiTheme="minorHAnsi"/>
          <w:b/>
          <w:lang w:val="es-ES"/>
        </w:rPr>
        <w:t>Entidades o agencias calificadas en el ámbito de la conservación y el uso sostenible de los humedales</w:t>
      </w:r>
    </w:p>
    <w:p w14:paraId="6C7E5F49" w14:textId="77777777" w:rsidR="00003EC5" w:rsidRPr="00640121" w:rsidRDefault="00003EC5" w:rsidP="00003EC5">
      <w:pPr>
        <w:tabs>
          <w:tab w:val="num" w:pos="720"/>
          <w:tab w:val="left" w:pos="4253"/>
        </w:tabs>
        <w:overflowPunct w:val="0"/>
        <w:autoSpaceDE w:val="0"/>
        <w:autoSpaceDN w:val="0"/>
        <w:adjustRightInd w:val="0"/>
        <w:rPr>
          <w:lang w:val="es-ES"/>
        </w:rPr>
      </w:pPr>
    </w:p>
    <w:p w14:paraId="471A5C1F" w14:textId="4A3EB8D8" w:rsidR="00003EC5" w:rsidRPr="00640121" w:rsidRDefault="00003EC5" w:rsidP="00003EC5">
      <w:pPr>
        <w:tabs>
          <w:tab w:val="num" w:pos="720"/>
          <w:tab w:val="left" w:pos="4253"/>
        </w:tabs>
        <w:overflowPunct w:val="0"/>
        <w:autoSpaceDE w:val="0"/>
        <w:autoSpaceDN w:val="0"/>
        <w:adjustRightInd w:val="0"/>
        <w:rPr>
          <w:lang w:val="es-ES"/>
        </w:rPr>
      </w:pPr>
      <w:r w:rsidRPr="00640121">
        <w:rPr>
          <w:lang w:val="es-ES"/>
        </w:rPr>
        <w:t xml:space="preserve">4. </w:t>
      </w:r>
      <w:r w:rsidRPr="00640121">
        <w:rPr>
          <w:lang w:val="es-ES"/>
        </w:rPr>
        <w:tab/>
      </w:r>
      <w:r w:rsidR="00F73265" w:rsidRPr="00640121">
        <w:rPr>
          <w:lang w:val="es-ES"/>
        </w:rPr>
        <w:t>Los artículos 7.1 y 7.2</w:t>
      </w:r>
      <w:r w:rsidR="00F73265" w:rsidRPr="00640121">
        <w:rPr>
          <w:rFonts w:asciiTheme="minorHAnsi" w:hAnsiTheme="minorHAnsi"/>
          <w:lang w:val="es-ES"/>
        </w:rPr>
        <w:t xml:space="preserve"> tratan sobre la “Participación de otras entidades o agencias” y establecen lo siguiente</w:t>
      </w:r>
      <w:r w:rsidRPr="00640121">
        <w:rPr>
          <w:lang w:val="es-ES"/>
        </w:rPr>
        <w:t xml:space="preserve">: </w:t>
      </w:r>
    </w:p>
    <w:p w14:paraId="594CDA9E" w14:textId="77777777" w:rsidR="00003EC5" w:rsidRPr="00640121" w:rsidRDefault="00003EC5" w:rsidP="00003EC5">
      <w:pPr>
        <w:pStyle w:val="ListParagraph"/>
        <w:tabs>
          <w:tab w:val="num" w:pos="720"/>
          <w:tab w:val="left" w:pos="4253"/>
        </w:tabs>
        <w:overflowPunct w:val="0"/>
        <w:autoSpaceDE w:val="0"/>
        <w:autoSpaceDN w:val="0"/>
        <w:adjustRightInd w:val="0"/>
        <w:ind w:left="780"/>
        <w:rPr>
          <w:lang w:val="es-ES"/>
        </w:rPr>
      </w:pPr>
    </w:p>
    <w:p w14:paraId="746BB291" w14:textId="1E561BE0" w:rsidR="00003EC5" w:rsidRPr="00640121" w:rsidRDefault="00003EC5" w:rsidP="00003EC5">
      <w:pPr>
        <w:tabs>
          <w:tab w:val="num" w:pos="720"/>
          <w:tab w:val="left" w:pos="4253"/>
        </w:tabs>
        <w:overflowPunct w:val="0"/>
        <w:autoSpaceDE w:val="0"/>
        <w:autoSpaceDN w:val="0"/>
        <w:adjustRightInd w:val="0"/>
        <w:ind w:left="850"/>
        <w:rPr>
          <w:i/>
          <w:lang w:val="es-ES"/>
        </w:rPr>
      </w:pPr>
      <w:r w:rsidRPr="00640121">
        <w:rPr>
          <w:i/>
          <w:lang w:val="es-ES"/>
        </w:rPr>
        <w:t>7.1.</w:t>
      </w:r>
      <w:r w:rsidRPr="00640121">
        <w:rPr>
          <w:i/>
          <w:lang w:val="es-ES"/>
        </w:rPr>
        <w:tab/>
      </w:r>
      <w:r w:rsidR="00F73265" w:rsidRPr="00640121">
        <w:rPr>
          <w:i/>
          <w:lang w:val="es-ES"/>
        </w:rPr>
        <w:t>Cualquier entidad o agencia, nacional o internacional, ya sea gubernamental o no gubernamental, calificada en el ámbito de la conservación y el uso sostenible de los humedales que haya transmitido a la Secretaría su deseo de estar representada en las reuniones de la Conferencia de las Partes podrá estar representada en la reunión por observadores, salvo que por lo menos un tercio de las Partes presentes en la reunión se opongan</w:t>
      </w:r>
      <w:r w:rsidRPr="00640121">
        <w:rPr>
          <w:i/>
          <w:lang w:val="es-ES"/>
        </w:rPr>
        <w:t xml:space="preserve">. </w:t>
      </w:r>
    </w:p>
    <w:p w14:paraId="62AE5657" w14:textId="77777777" w:rsidR="00003EC5" w:rsidRPr="00640121" w:rsidRDefault="00003EC5" w:rsidP="00003EC5">
      <w:pPr>
        <w:tabs>
          <w:tab w:val="num" w:pos="720"/>
          <w:tab w:val="left" w:pos="4253"/>
        </w:tabs>
        <w:overflowPunct w:val="0"/>
        <w:autoSpaceDE w:val="0"/>
        <w:autoSpaceDN w:val="0"/>
        <w:adjustRightInd w:val="0"/>
        <w:ind w:left="850"/>
        <w:rPr>
          <w:i/>
          <w:lang w:val="es-ES"/>
        </w:rPr>
      </w:pPr>
    </w:p>
    <w:p w14:paraId="55333693" w14:textId="70363966" w:rsidR="00003EC5" w:rsidRPr="00640121" w:rsidRDefault="00003EC5" w:rsidP="00003EC5">
      <w:pPr>
        <w:tabs>
          <w:tab w:val="num" w:pos="720"/>
          <w:tab w:val="left" w:pos="4253"/>
        </w:tabs>
        <w:overflowPunct w:val="0"/>
        <w:autoSpaceDE w:val="0"/>
        <w:autoSpaceDN w:val="0"/>
        <w:adjustRightInd w:val="0"/>
        <w:ind w:left="850"/>
        <w:rPr>
          <w:i/>
          <w:lang w:val="es-ES"/>
        </w:rPr>
      </w:pPr>
      <w:r w:rsidRPr="00640121">
        <w:rPr>
          <w:i/>
          <w:lang w:val="es-ES"/>
        </w:rPr>
        <w:t>7.2</w:t>
      </w:r>
      <w:r w:rsidRPr="00640121">
        <w:rPr>
          <w:i/>
          <w:lang w:val="es-ES"/>
        </w:rPr>
        <w:tab/>
      </w:r>
      <w:r w:rsidRPr="00640121">
        <w:rPr>
          <w:i/>
          <w:lang w:val="es-ES"/>
        </w:rPr>
        <w:tab/>
      </w:r>
      <w:r w:rsidR="00F73265" w:rsidRPr="00640121">
        <w:rPr>
          <w:i/>
          <w:lang w:val="es-ES"/>
        </w:rPr>
        <w:t>Las entidades o agencias que deseen ser reconocidas como observadores para asistir a reuniones de la Conferencia de las Partes deberán presentar documentación apropiada a la Secretaría tres meses antes de una reunión ordinaria y un mes antes de una reunión extraordinaria para que la estudie</w:t>
      </w:r>
      <w:r w:rsidRPr="00640121">
        <w:rPr>
          <w:i/>
          <w:lang w:val="es-ES"/>
        </w:rPr>
        <w:t>.</w:t>
      </w:r>
    </w:p>
    <w:p w14:paraId="28C17F9E" w14:textId="77777777" w:rsidR="00003EC5" w:rsidRPr="00640121" w:rsidRDefault="00003EC5" w:rsidP="00003EC5">
      <w:pPr>
        <w:tabs>
          <w:tab w:val="num" w:pos="720"/>
          <w:tab w:val="left" w:pos="4253"/>
        </w:tabs>
        <w:overflowPunct w:val="0"/>
        <w:autoSpaceDE w:val="0"/>
        <w:autoSpaceDN w:val="0"/>
        <w:adjustRightInd w:val="0"/>
        <w:rPr>
          <w:rFonts w:asciiTheme="minorHAnsi" w:hAnsiTheme="minorHAnsi"/>
          <w:i/>
          <w:lang w:val="es-ES"/>
        </w:rPr>
      </w:pPr>
    </w:p>
    <w:p w14:paraId="22499E8D" w14:textId="7E627E0C" w:rsidR="00003EC5" w:rsidRPr="00640121" w:rsidRDefault="00003EC5" w:rsidP="00C1165E">
      <w:pPr>
        <w:tabs>
          <w:tab w:val="left" w:pos="4253"/>
        </w:tabs>
        <w:overflowPunct w:val="0"/>
        <w:autoSpaceDE w:val="0"/>
        <w:autoSpaceDN w:val="0"/>
        <w:adjustRightInd w:val="0"/>
        <w:rPr>
          <w:rFonts w:asciiTheme="minorHAnsi" w:hAnsiTheme="minorHAnsi" w:cs="Garamond"/>
          <w:lang w:val="es-ES"/>
        </w:rPr>
      </w:pPr>
      <w:r w:rsidRPr="00640121">
        <w:rPr>
          <w:rFonts w:asciiTheme="minorHAnsi" w:hAnsiTheme="minorHAnsi" w:cs="Garamond"/>
          <w:lang w:val="es-ES"/>
        </w:rPr>
        <w:t>5.</w:t>
      </w:r>
      <w:r w:rsidRPr="00640121">
        <w:rPr>
          <w:rFonts w:asciiTheme="minorHAnsi" w:hAnsiTheme="minorHAnsi" w:cs="Garamond"/>
          <w:lang w:val="es-ES"/>
        </w:rPr>
        <w:tab/>
      </w:r>
      <w:r w:rsidR="00F73265" w:rsidRPr="00640121">
        <w:rPr>
          <w:rFonts w:asciiTheme="minorHAnsi" w:hAnsiTheme="minorHAnsi" w:cs="Garamond"/>
          <w:lang w:val="es-ES"/>
        </w:rPr>
        <w:t>Con arreglo al artículo 7.7, la Secretaría debe notificar a las entidades o agencias que hayan sido previamente admitidas de la fecha y el lugar de las reuniones de la Conferencia de las Partes “para que puedan estar representadas</w:t>
      </w:r>
      <w:r w:rsidR="00C1165E" w:rsidRPr="00640121">
        <w:rPr>
          <w:rFonts w:asciiTheme="minorHAnsi" w:hAnsiTheme="minorHAnsi" w:cs="Garamond"/>
          <w:lang w:val="es-ES"/>
        </w:rPr>
        <w:t>”</w:t>
      </w:r>
      <w:r w:rsidRPr="00640121">
        <w:rPr>
          <w:rFonts w:asciiTheme="minorHAnsi" w:hAnsiTheme="minorHAnsi" w:cs="Garamond"/>
          <w:lang w:val="es-ES"/>
        </w:rPr>
        <w:t>.</w:t>
      </w:r>
      <w:r w:rsidR="00C1165E" w:rsidRPr="00640121">
        <w:rPr>
          <w:rFonts w:asciiTheme="minorHAnsi" w:hAnsiTheme="minorHAnsi" w:cs="Garamond"/>
          <w:lang w:val="es-ES"/>
        </w:rPr>
        <w:t xml:space="preserve"> </w:t>
      </w:r>
    </w:p>
    <w:p w14:paraId="7D544C01" w14:textId="77777777" w:rsidR="00003EC5" w:rsidRPr="00640121" w:rsidRDefault="00003EC5" w:rsidP="00003EC5">
      <w:pPr>
        <w:tabs>
          <w:tab w:val="left" w:pos="4253"/>
        </w:tabs>
        <w:overflowPunct w:val="0"/>
        <w:autoSpaceDE w:val="0"/>
        <w:autoSpaceDN w:val="0"/>
        <w:adjustRightInd w:val="0"/>
        <w:rPr>
          <w:rFonts w:asciiTheme="minorHAnsi" w:hAnsiTheme="minorHAnsi" w:cs="Garamond"/>
          <w:lang w:val="es-ES"/>
        </w:rPr>
      </w:pPr>
    </w:p>
    <w:p w14:paraId="25F4B8D4" w14:textId="611610D8" w:rsidR="00003EC5" w:rsidRPr="00640121" w:rsidRDefault="00F73265" w:rsidP="003C1C62">
      <w:pPr>
        <w:keepNext/>
        <w:tabs>
          <w:tab w:val="left" w:pos="4253"/>
        </w:tabs>
        <w:overflowPunct w:val="0"/>
        <w:autoSpaceDE w:val="0"/>
        <w:autoSpaceDN w:val="0"/>
        <w:adjustRightInd w:val="0"/>
        <w:rPr>
          <w:rFonts w:asciiTheme="minorHAnsi" w:hAnsiTheme="minorHAnsi" w:cs="Garamond"/>
          <w:u w:val="single"/>
          <w:lang w:val="es-ES"/>
        </w:rPr>
      </w:pPr>
      <w:r w:rsidRPr="00640121">
        <w:rPr>
          <w:rFonts w:asciiTheme="minorHAnsi" w:hAnsiTheme="minorHAnsi" w:cs="Garamond"/>
          <w:u w:val="single"/>
          <w:lang w:val="es-ES"/>
        </w:rPr>
        <w:t>Entidades o agencias previamente admitidas</w:t>
      </w:r>
    </w:p>
    <w:p w14:paraId="3863573C" w14:textId="77777777" w:rsidR="00003EC5" w:rsidRPr="00640121" w:rsidRDefault="00003EC5" w:rsidP="003C1C62">
      <w:pPr>
        <w:keepNext/>
        <w:tabs>
          <w:tab w:val="left" w:pos="4253"/>
        </w:tabs>
        <w:overflowPunct w:val="0"/>
        <w:autoSpaceDE w:val="0"/>
        <w:autoSpaceDN w:val="0"/>
        <w:adjustRightInd w:val="0"/>
        <w:rPr>
          <w:rFonts w:asciiTheme="minorHAnsi" w:hAnsiTheme="minorHAnsi" w:cs="Garamond"/>
          <w:u w:val="single"/>
          <w:lang w:val="es-ES"/>
        </w:rPr>
      </w:pPr>
    </w:p>
    <w:p w14:paraId="561677CE" w14:textId="463EB1EE" w:rsidR="00003EC5" w:rsidRPr="00640121" w:rsidRDefault="00003EC5" w:rsidP="00003EC5">
      <w:pPr>
        <w:tabs>
          <w:tab w:val="left" w:pos="4253"/>
        </w:tabs>
        <w:overflowPunct w:val="0"/>
        <w:autoSpaceDE w:val="0"/>
        <w:autoSpaceDN w:val="0"/>
        <w:adjustRightInd w:val="0"/>
        <w:rPr>
          <w:rFonts w:asciiTheme="minorHAnsi" w:hAnsiTheme="minorHAnsi" w:cs="Garamond"/>
          <w:lang w:val="es-ES"/>
        </w:rPr>
      </w:pPr>
      <w:r w:rsidRPr="00640121">
        <w:rPr>
          <w:rFonts w:asciiTheme="minorHAnsi" w:hAnsiTheme="minorHAnsi" w:cs="Garamond"/>
          <w:lang w:val="es-ES"/>
        </w:rPr>
        <w:t>6.</w:t>
      </w:r>
      <w:r w:rsidRPr="00640121">
        <w:rPr>
          <w:rFonts w:asciiTheme="minorHAnsi" w:hAnsiTheme="minorHAnsi" w:cs="Garamond"/>
          <w:lang w:val="es-ES"/>
        </w:rPr>
        <w:tab/>
      </w:r>
      <w:r w:rsidR="00F73265" w:rsidRPr="00640121">
        <w:rPr>
          <w:rFonts w:asciiTheme="minorHAnsi" w:hAnsiTheme="minorHAnsi" w:cs="Garamond"/>
          <w:lang w:val="es-ES"/>
        </w:rPr>
        <w:t>Las siguientes entidades o agencias admitidas para ser representadas por observadores en reuniones anteriores de la Conferencia de las Partes Contratantes se han inscrito para participar en la</w:t>
      </w:r>
      <w:r w:rsidR="00640121" w:rsidRPr="00640121">
        <w:rPr>
          <w:rFonts w:asciiTheme="minorHAnsi" w:hAnsiTheme="minorHAnsi" w:cs="Garamond"/>
          <w:lang w:val="es-ES"/>
        </w:rPr>
        <w:t xml:space="preserve"> reunión</w:t>
      </w:r>
      <w:r w:rsidR="00323D7F" w:rsidRPr="00640121">
        <w:rPr>
          <w:rFonts w:asciiTheme="minorHAnsi" w:hAnsiTheme="minorHAnsi" w:cs="Garamond"/>
          <w:lang w:val="es-ES"/>
        </w:rPr>
        <w:t xml:space="preserve"> </w:t>
      </w:r>
      <w:r w:rsidR="00865A24" w:rsidRPr="00640121">
        <w:rPr>
          <w:rFonts w:asciiTheme="minorHAnsi" w:hAnsiTheme="minorHAnsi" w:cs="Garamond"/>
          <w:lang w:val="es-ES"/>
        </w:rPr>
        <w:t>SC59/2022:</w:t>
      </w:r>
    </w:p>
    <w:p w14:paraId="36FEFFF7" w14:textId="77777777" w:rsidR="00003EC5" w:rsidRPr="00640121" w:rsidRDefault="00003EC5" w:rsidP="00003EC5">
      <w:pPr>
        <w:tabs>
          <w:tab w:val="left" w:pos="4253"/>
        </w:tabs>
        <w:overflowPunct w:val="0"/>
        <w:autoSpaceDE w:val="0"/>
        <w:autoSpaceDN w:val="0"/>
        <w:adjustRightInd w:val="0"/>
        <w:rPr>
          <w:rFonts w:asciiTheme="minorHAnsi" w:hAnsiTheme="minorHAnsi" w:cs="Garamond"/>
          <w:lang w:val="es-ES"/>
        </w:rPr>
      </w:pPr>
    </w:p>
    <w:p w14:paraId="6FAE704F" w14:textId="3112F9D2" w:rsidR="00003EC5" w:rsidRPr="00640121" w:rsidRDefault="00003EC5" w:rsidP="00CF1839">
      <w:pPr>
        <w:tabs>
          <w:tab w:val="left" w:pos="4253"/>
        </w:tabs>
        <w:overflowPunct w:val="0"/>
        <w:autoSpaceDE w:val="0"/>
        <w:autoSpaceDN w:val="0"/>
        <w:adjustRightInd w:val="0"/>
        <w:ind w:left="0" w:firstLine="425"/>
        <w:rPr>
          <w:u w:val="single"/>
          <w:lang w:val="es-ES"/>
        </w:rPr>
      </w:pPr>
      <w:r w:rsidRPr="00640121">
        <w:rPr>
          <w:u w:val="single"/>
          <w:lang w:val="es-ES"/>
        </w:rPr>
        <w:t>Interg</w:t>
      </w:r>
      <w:r w:rsidR="00F73265" w:rsidRPr="00640121">
        <w:rPr>
          <w:u w:val="single"/>
          <w:lang w:val="es-ES"/>
        </w:rPr>
        <w:t>ubernamentales</w:t>
      </w:r>
    </w:p>
    <w:p w14:paraId="12176EC7" w14:textId="77777777" w:rsidR="00003EC5" w:rsidRPr="00640121" w:rsidRDefault="00003EC5" w:rsidP="00003EC5">
      <w:pPr>
        <w:tabs>
          <w:tab w:val="left" w:pos="4253"/>
        </w:tabs>
        <w:overflowPunct w:val="0"/>
        <w:autoSpaceDE w:val="0"/>
        <w:autoSpaceDN w:val="0"/>
        <w:adjustRightInd w:val="0"/>
        <w:ind w:left="851" w:hanging="851"/>
        <w:rPr>
          <w:rFonts w:asciiTheme="minorHAnsi" w:hAnsiTheme="minorHAnsi" w:cstheme="minorHAnsi"/>
          <w:u w:val="single"/>
          <w:lang w:val="es-ES"/>
        </w:rPr>
      </w:pPr>
    </w:p>
    <w:p w14:paraId="5ADD771B" w14:textId="77777777" w:rsidR="000506B3" w:rsidRPr="00640121" w:rsidRDefault="000506B3" w:rsidP="000506B3">
      <w:pPr>
        <w:pStyle w:val="ListParagraph"/>
        <w:numPr>
          <w:ilvl w:val="0"/>
          <w:numId w:val="30"/>
        </w:numPr>
        <w:ind w:left="850" w:hanging="425"/>
        <w:rPr>
          <w:rFonts w:asciiTheme="minorHAnsi" w:hAnsiTheme="minorHAnsi" w:cstheme="minorHAnsi"/>
          <w:color w:val="000000"/>
          <w:lang w:val="es-ES" w:eastAsia="en-GB"/>
        </w:rPr>
      </w:pPr>
      <w:r w:rsidRPr="00640121">
        <w:rPr>
          <w:rFonts w:asciiTheme="minorHAnsi" w:hAnsiTheme="minorHAnsi" w:cstheme="minorHAnsi"/>
          <w:color w:val="000000"/>
          <w:lang w:val="es-ES" w:eastAsia="en-GB"/>
        </w:rPr>
        <w:t>Centro Regional Ramsar para la Capacitación e Investigación sobre humedales para el Hemisferio Occidental (CREHO)</w:t>
      </w:r>
      <w:r w:rsidRPr="00640121">
        <w:rPr>
          <w:rFonts w:asciiTheme="minorHAnsi" w:hAnsiTheme="minorHAnsi" w:cstheme="minorHAnsi"/>
          <w:color w:val="333333"/>
          <w:lang w:val="es-ES"/>
        </w:rPr>
        <w:t xml:space="preserve"> </w:t>
      </w:r>
    </w:p>
    <w:p w14:paraId="68189C93" w14:textId="3F28FBCE" w:rsidR="00AC6DF1" w:rsidRPr="00640121" w:rsidRDefault="00323D7F" w:rsidP="00323D7F">
      <w:pPr>
        <w:pStyle w:val="ListParagraph"/>
        <w:numPr>
          <w:ilvl w:val="0"/>
          <w:numId w:val="30"/>
        </w:numPr>
        <w:ind w:left="850" w:hanging="425"/>
        <w:rPr>
          <w:rFonts w:asciiTheme="minorHAnsi" w:hAnsiTheme="minorHAnsi" w:cstheme="minorHAnsi"/>
          <w:color w:val="000000"/>
          <w:lang w:val="es-ES" w:eastAsia="en-GB"/>
        </w:rPr>
      </w:pPr>
      <w:r w:rsidRPr="00640121">
        <w:rPr>
          <w:rFonts w:asciiTheme="minorHAnsi" w:hAnsiTheme="minorHAnsi" w:cstheme="minorHAnsi"/>
          <w:color w:val="000000"/>
          <w:lang w:val="es-ES" w:eastAsia="en-GB"/>
        </w:rPr>
        <w:t>Unión Internacional para la Conservación de la Naturaleza – UICN</w:t>
      </w:r>
    </w:p>
    <w:p w14:paraId="20380C9F" w14:textId="77777777" w:rsidR="00003EC5" w:rsidRPr="00640121" w:rsidRDefault="00003EC5" w:rsidP="00003EC5">
      <w:pPr>
        <w:tabs>
          <w:tab w:val="left" w:pos="4253"/>
        </w:tabs>
        <w:overflowPunct w:val="0"/>
        <w:autoSpaceDE w:val="0"/>
        <w:autoSpaceDN w:val="0"/>
        <w:adjustRightInd w:val="0"/>
        <w:ind w:left="851" w:hanging="851"/>
        <w:rPr>
          <w:rFonts w:asciiTheme="minorHAnsi" w:hAnsiTheme="minorHAnsi" w:cstheme="minorHAnsi"/>
          <w:lang w:val="es-ES"/>
        </w:rPr>
      </w:pPr>
    </w:p>
    <w:p w14:paraId="2148EB55" w14:textId="04241F58" w:rsidR="00003EC5" w:rsidRPr="00640121" w:rsidRDefault="00F73265" w:rsidP="00CF1839">
      <w:pPr>
        <w:tabs>
          <w:tab w:val="left" w:pos="4253"/>
        </w:tabs>
        <w:overflowPunct w:val="0"/>
        <w:autoSpaceDE w:val="0"/>
        <w:autoSpaceDN w:val="0"/>
        <w:adjustRightInd w:val="0"/>
        <w:ind w:left="0" w:firstLine="425"/>
        <w:rPr>
          <w:u w:val="single"/>
          <w:lang w:val="es-ES"/>
        </w:rPr>
      </w:pPr>
      <w:r w:rsidRPr="00640121">
        <w:rPr>
          <w:u w:val="single"/>
          <w:lang w:val="es-ES"/>
        </w:rPr>
        <w:t>No gubernamentales</w:t>
      </w:r>
    </w:p>
    <w:p w14:paraId="5AE3A541" w14:textId="77777777" w:rsidR="000506B3" w:rsidRPr="00640121" w:rsidRDefault="000506B3" w:rsidP="00003EC5">
      <w:pPr>
        <w:tabs>
          <w:tab w:val="left" w:pos="4253"/>
        </w:tabs>
        <w:overflowPunct w:val="0"/>
        <w:autoSpaceDE w:val="0"/>
        <w:autoSpaceDN w:val="0"/>
        <w:adjustRightInd w:val="0"/>
        <w:ind w:left="851" w:hanging="851"/>
        <w:rPr>
          <w:rFonts w:asciiTheme="minorHAnsi" w:hAnsiTheme="minorHAnsi" w:cstheme="minorHAnsi"/>
          <w:u w:val="single"/>
          <w:lang w:val="es-ES"/>
        </w:rPr>
      </w:pPr>
    </w:p>
    <w:p w14:paraId="4E5499DC" w14:textId="77777777" w:rsidR="005612C5" w:rsidRPr="00640121" w:rsidRDefault="005612C5" w:rsidP="005612C5">
      <w:pPr>
        <w:pStyle w:val="ListParagraph"/>
        <w:numPr>
          <w:ilvl w:val="0"/>
          <w:numId w:val="30"/>
        </w:numPr>
        <w:ind w:left="850" w:hanging="425"/>
        <w:rPr>
          <w:rFonts w:asciiTheme="minorHAnsi" w:hAnsiTheme="minorHAnsi" w:cstheme="minorHAnsi"/>
          <w:color w:val="000000" w:themeColor="text1"/>
          <w:lang w:val="es-ES" w:eastAsia="en-GB"/>
        </w:rPr>
      </w:pPr>
      <w:r w:rsidRPr="00640121">
        <w:rPr>
          <w:rFonts w:asciiTheme="minorHAnsi" w:hAnsiTheme="minorHAnsi" w:cstheme="minorHAnsi"/>
          <w:color w:val="000000" w:themeColor="text1"/>
          <w:lang w:val="es-ES" w:eastAsia="en-GB"/>
        </w:rPr>
        <w:t>Centro Regional Ramsar para Asia Oriental (RRC-EA)</w:t>
      </w:r>
    </w:p>
    <w:p w14:paraId="136F32BC" w14:textId="77777777" w:rsidR="00572A41" w:rsidRPr="00640121" w:rsidRDefault="00572A41" w:rsidP="00572A41">
      <w:pPr>
        <w:pStyle w:val="ListParagraph"/>
        <w:numPr>
          <w:ilvl w:val="0"/>
          <w:numId w:val="30"/>
        </w:numPr>
        <w:ind w:left="850" w:hanging="425"/>
        <w:rPr>
          <w:rFonts w:asciiTheme="minorHAnsi" w:hAnsiTheme="minorHAnsi" w:cstheme="minorHAnsi"/>
          <w:color w:val="000000" w:themeColor="text1"/>
          <w:lang w:val="es-ES" w:eastAsia="en-GB"/>
        </w:rPr>
      </w:pPr>
      <w:r w:rsidRPr="00640121">
        <w:rPr>
          <w:rFonts w:asciiTheme="minorHAnsi" w:hAnsiTheme="minorHAnsi" w:cstheme="minorHAnsi"/>
          <w:color w:val="000000" w:themeColor="text1"/>
          <w:lang w:val="es-ES"/>
        </w:rPr>
        <w:t>International Center for Environmental Research</w:t>
      </w:r>
    </w:p>
    <w:p w14:paraId="4420A6E8" w14:textId="3946A9FC" w:rsidR="00005707" w:rsidRPr="00640121" w:rsidRDefault="00005707" w:rsidP="000506B3">
      <w:pPr>
        <w:pStyle w:val="ListParagraph"/>
        <w:numPr>
          <w:ilvl w:val="0"/>
          <w:numId w:val="30"/>
        </w:numPr>
        <w:ind w:left="850" w:hanging="425"/>
        <w:rPr>
          <w:rFonts w:asciiTheme="minorHAnsi" w:hAnsiTheme="minorHAnsi" w:cstheme="minorHAnsi"/>
          <w:color w:val="000000" w:themeColor="text1"/>
          <w:lang w:val="es-ES" w:eastAsia="en-GB"/>
        </w:rPr>
      </w:pPr>
      <w:r w:rsidRPr="00640121">
        <w:rPr>
          <w:rFonts w:asciiTheme="minorHAnsi" w:hAnsiTheme="minorHAnsi" w:cstheme="minorHAnsi"/>
          <w:color w:val="000000" w:themeColor="text1"/>
          <w:lang w:val="es-ES"/>
        </w:rPr>
        <w:t>International Water Management Institute</w:t>
      </w:r>
    </w:p>
    <w:p w14:paraId="3114C031" w14:textId="3291835C" w:rsidR="00A27799" w:rsidRPr="00640121" w:rsidRDefault="00572A41" w:rsidP="00A27799">
      <w:pPr>
        <w:pStyle w:val="ListParagraph"/>
        <w:numPr>
          <w:ilvl w:val="0"/>
          <w:numId w:val="30"/>
        </w:numPr>
        <w:ind w:left="850" w:hanging="425"/>
        <w:rPr>
          <w:rFonts w:asciiTheme="minorHAnsi" w:hAnsiTheme="minorHAnsi" w:cstheme="minorHAnsi"/>
          <w:color w:val="000000" w:themeColor="text1"/>
          <w:lang w:val="es-ES" w:eastAsia="en-GB"/>
        </w:rPr>
      </w:pPr>
      <w:r w:rsidRPr="00640121">
        <w:rPr>
          <w:rFonts w:asciiTheme="minorHAnsi" w:hAnsiTheme="minorHAnsi" w:cstheme="minorHAnsi"/>
          <w:color w:val="000000" w:themeColor="text1"/>
          <w:lang w:val="es-ES"/>
        </w:rPr>
        <w:t xml:space="preserve">The </w:t>
      </w:r>
      <w:r w:rsidR="00323D7F" w:rsidRPr="00640121">
        <w:rPr>
          <w:rFonts w:asciiTheme="minorHAnsi" w:hAnsiTheme="minorHAnsi" w:cstheme="minorHAnsi"/>
          <w:color w:val="000000" w:themeColor="text1"/>
          <w:lang w:val="es-ES"/>
        </w:rPr>
        <w:t>Wildfowl &amp; Wetlands Trust</w:t>
      </w:r>
    </w:p>
    <w:p w14:paraId="4C3DC126" w14:textId="77777777" w:rsidR="00572A41" w:rsidRPr="00640121" w:rsidRDefault="00572A41" w:rsidP="00572A41">
      <w:pPr>
        <w:pStyle w:val="ListParagraph"/>
        <w:numPr>
          <w:ilvl w:val="0"/>
          <w:numId w:val="30"/>
        </w:numPr>
        <w:ind w:left="850" w:hanging="425"/>
        <w:rPr>
          <w:rFonts w:asciiTheme="minorHAnsi" w:hAnsiTheme="minorHAnsi" w:cstheme="minorHAnsi"/>
          <w:color w:val="000000" w:themeColor="text1"/>
          <w:lang w:val="es-ES" w:eastAsia="en-GB"/>
        </w:rPr>
      </w:pPr>
      <w:r w:rsidRPr="00640121">
        <w:rPr>
          <w:rFonts w:asciiTheme="minorHAnsi" w:hAnsiTheme="minorHAnsi" w:cstheme="minorHAnsi"/>
          <w:color w:val="000000" w:themeColor="text1"/>
          <w:lang w:val="es-ES"/>
        </w:rPr>
        <w:t>Wetlands International</w:t>
      </w:r>
    </w:p>
    <w:p w14:paraId="463C43D3" w14:textId="1DE137D0" w:rsidR="00572A41" w:rsidRPr="00640121" w:rsidRDefault="00572A41" w:rsidP="00A27799">
      <w:pPr>
        <w:pStyle w:val="ListParagraph"/>
        <w:numPr>
          <w:ilvl w:val="0"/>
          <w:numId w:val="30"/>
        </w:numPr>
        <w:ind w:left="850" w:hanging="425"/>
        <w:rPr>
          <w:rFonts w:asciiTheme="minorHAnsi" w:hAnsiTheme="minorHAnsi" w:cstheme="minorHAnsi"/>
          <w:color w:val="000000" w:themeColor="text1"/>
          <w:lang w:val="es-ES" w:eastAsia="en-GB"/>
        </w:rPr>
      </w:pPr>
      <w:r w:rsidRPr="00640121">
        <w:rPr>
          <w:rFonts w:asciiTheme="minorHAnsi" w:hAnsiTheme="minorHAnsi" w:cstheme="minorHAnsi"/>
          <w:color w:val="000000" w:themeColor="text1"/>
          <w:lang w:val="es-ES"/>
        </w:rPr>
        <w:t>Wetlands International Japón</w:t>
      </w:r>
    </w:p>
    <w:p w14:paraId="1FFEEA3C" w14:textId="25DCDF65" w:rsidR="00E96293" w:rsidRPr="00640121" w:rsidRDefault="00E96293" w:rsidP="00E96293">
      <w:pPr>
        <w:pStyle w:val="ListParagraph"/>
        <w:numPr>
          <w:ilvl w:val="0"/>
          <w:numId w:val="30"/>
        </w:numPr>
        <w:ind w:left="850" w:hanging="425"/>
        <w:rPr>
          <w:rFonts w:asciiTheme="minorHAnsi" w:hAnsiTheme="minorHAnsi" w:cstheme="minorHAnsi"/>
          <w:color w:val="000000" w:themeColor="text1"/>
          <w:lang w:val="es-ES"/>
        </w:rPr>
      </w:pPr>
      <w:r w:rsidRPr="00640121">
        <w:rPr>
          <w:rFonts w:asciiTheme="minorHAnsi" w:hAnsiTheme="minorHAnsi" w:cstheme="minorHAnsi"/>
          <w:color w:val="000000" w:themeColor="text1"/>
          <w:lang w:val="es-ES"/>
        </w:rPr>
        <w:t>WWF-U</w:t>
      </w:r>
      <w:r w:rsidR="00640121" w:rsidRPr="00640121">
        <w:rPr>
          <w:rFonts w:asciiTheme="minorHAnsi" w:hAnsiTheme="minorHAnsi" w:cstheme="minorHAnsi"/>
          <w:color w:val="000000" w:themeColor="text1"/>
          <w:lang w:val="es-ES"/>
        </w:rPr>
        <w:t>crania</w:t>
      </w:r>
    </w:p>
    <w:p w14:paraId="6426DDC8" w14:textId="4F062E4B" w:rsidR="00E96293" w:rsidRPr="00640121" w:rsidRDefault="00E96293" w:rsidP="00E96293">
      <w:pPr>
        <w:pStyle w:val="ListParagraph"/>
        <w:numPr>
          <w:ilvl w:val="0"/>
          <w:numId w:val="30"/>
        </w:numPr>
        <w:ind w:left="850" w:hanging="425"/>
        <w:rPr>
          <w:rFonts w:asciiTheme="minorHAnsi" w:hAnsiTheme="minorHAnsi" w:cstheme="minorHAnsi"/>
          <w:color w:val="000000" w:themeColor="text1"/>
          <w:lang w:val="es-ES"/>
        </w:rPr>
      </w:pPr>
      <w:r w:rsidRPr="00640121">
        <w:rPr>
          <w:rFonts w:asciiTheme="minorHAnsi" w:hAnsiTheme="minorHAnsi" w:cstheme="minorHAnsi"/>
          <w:color w:val="000000" w:themeColor="text1"/>
          <w:lang w:val="es-ES"/>
        </w:rPr>
        <w:t xml:space="preserve">Youth Engaged in Wetlands </w:t>
      </w:r>
    </w:p>
    <w:p w14:paraId="5D7A145F" w14:textId="77777777" w:rsidR="007A06E6" w:rsidRPr="00640121" w:rsidRDefault="007A06E6" w:rsidP="003C1C62">
      <w:pPr>
        <w:keepNext/>
        <w:tabs>
          <w:tab w:val="left" w:pos="4253"/>
        </w:tabs>
        <w:overflowPunct w:val="0"/>
        <w:autoSpaceDE w:val="0"/>
        <w:autoSpaceDN w:val="0"/>
        <w:adjustRightInd w:val="0"/>
        <w:rPr>
          <w:rFonts w:asciiTheme="minorHAnsi" w:hAnsiTheme="minorHAnsi" w:cs="Garamond"/>
          <w:u w:val="single"/>
          <w:lang w:val="es-ES"/>
        </w:rPr>
      </w:pPr>
    </w:p>
    <w:p w14:paraId="1B8A9C28" w14:textId="314CBE9E" w:rsidR="00003EC5" w:rsidRPr="00640121" w:rsidRDefault="00F73265" w:rsidP="003C1C62">
      <w:pPr>
        <w:keepNext/>
        <w:tabs>
          <w:tab w:val="left" w:pos="4253"/>
        </w:tabs>
        <w:overflowPunct w:val="0"/>
        <w:autoSpaceDE w:val="0"/>
        <w:autoSpaceDN w:val="0"/>
        <w:adjustRightInd w:val="0"/>
        <w:rPr>
          <w:rFonts w:asciiTheme="minorHAnsi" w:hAnsiTheme="minorHAnsi" w:cs="Garamond"/>
          <w:u w:val="single"/>
          <w:lang w:val="es-ES"/>
        </w:rPr>
      </w:pPr>
      <w:r w:rsidRPr="00640121">
        <w:rPr>
          <w:rFonts w:asciiTheme="minorHAnsi" w:hAnsiTheme="minorHAnsi" w:cs="Garamond"/>
          <w:u w:val="single"/>
          <w:lang w:val="es-ES"/>
        </w:rPr>
        <w:t>Entidades o agencias que han solicitado su aprobación para participar y cumplen los criterios</w:t>
      </w:r>
    </w:p>
    <w:p w14:paraId="2F956101" w14:textId="7D0E85DC" w:rsidR="00003EC5" w:rsidRPr="00640121" w:rsidRDefault="00003EC5" w:rsidP="003C1C62">
      <w:pPr>
        <w:keepNext/>
        <w:tabs>
          <w:tab w:val="left" w:pos="4253"/>
        </w:tabs>
        <w:overflowPunct w:val="0"/>
        <w:autoSpaceDE w:val="0"/>
        <w:autoSpaceDN w:val="0"/>
        <w:adjustRightInd w:val="0"/>
        <w:rPr>
          <w:rFonts w:asciiTheme="minorHAnsi" w:hAnsiTheme="minorHAnsi" w:cs="Garamond"/>
          <w:u w:val="single"/>
          <w:lang w:val="es-ES"/>
        </w:rPr>
      </w:pPr>
    </w:p>
    <w:p w14:paraId="10B73F3B" w14:textId="170F8CE0" w:rsidR="00003EC5" w:rsidRPr="00640121" w:rsidRDefault="00003EC5" w:rsidP="00003EC5">
      <w:pPr>
        <w:tabs>
          <w:tab w:val="left" w:pos="4253"/>
        </w:tabs>
        <w:overflowPunct w:val="0"/>
        <w:autoSpaceDE w:val="0"/>
        <w:autoSpaceDN w:val="0"/>
        <w:adjustRightInd w:val="0"/>
        <w:rPr>
          <w:rFonts w:asciiTheme="minorHAnsi" w:hAnsiTheme="minorHAnsi" w:cs="Garamond"/>
          <w:lang w:val="es-ES"/>
        </w:rPr>
      </w:pPr>
      <w:r w:rsidRPr="00640121">
        <w:rPr>
          <w:rFonts w:asciiTheme="minorHAnsi" w:hAnsiTheme="minorHAnsi" w:cs="Garamond"/>
          <w:lang w:val="es-ES"/>
        </w:rPr>
        <w:t>7.</w:t>
      </w:r>
      <w:r w:rsidRPr="00640121">
        <w:rPr>
          <w:rFonts w:asciiTheme="minorHAnsi" w:hAnsiTheme="minorHAnsi" w:cs="Garamond"/>
          <w:lang w:val="es-ES"/>
        </w:rPr>
        <w:tab/>
      </w:r>
      <w:r w:rsidR="00640121" w:rsidRPr="00640121">
        <w:rPr>
          <w:lang w:val="es-ES"/>
        </w:rPr>
        <w:t>Las siguientes entidades o agencias han informado a la Secretaría de su deseo de ser reconocidas como observadores, pero no han cumplido los criterios del artículo 7.2 y, por lo tanto, no se presentan para su aprobación</w:t>
      </w:r>
      <w:r w:rsidR="00E96293" w:rsidRPr="00640121">
        <w:rPr>
          <w:lang w:val="es-ES"/>
        </w:rPr>
        <w:t>:</w:t>
      </w:r>
    </w:p>
    <w:p w14:paraId="495999F2" w14:textId="77777777" w:rsidR="00572A41" w:rsidRPr="00640121" w:rsidRDefault="00572A41" w:rsidP="00003EC5">
      <w:pPr>
        <w:tabs>
          <w:tab w:val="left" w:pos="4253"/>
        </w:tabs>
        <w:overflowPunct w:val="0"/>
        <w:autoSpaceDE w:val="0"/>
        <w:autoSpaceDN w:val="0"/>
        <w:adjustRightInd w:val="0"/>
        <w:rPr>
          <w:rFonts w:asciiTheme="minorHAnsi" w:hAnsiTheme="minorHAnsi" w:cs="Garamond"/>
          <w:lang w:val="es-ES"/>
        </w:rPr>
      </w:pPr>
    </w:p>
    <w:p w14:paraId="3E3EC874" w14:textId="77777777" w:rsidR="00E96293" w:rsidRPr="00640121" w:rsidRDefault="00E96293" w:rsidP="00E96293">
      <w:pPr>
        <w:pStyle w:val="ListParagraph"/>
        <w:numPr>
          <w:ilvl w:val="0"/>
          <w:numId w:val="35"/>
        </w:numPr>
        <w:tabs>
          <w:tab w:val="left" w:pos="4253"/>
        </w:tabs>
        <w:overflowPunct w:val="0"/>
        <w:autoSpaceDE w:val="0"/>
        <w:autoSpaceDN w:val="0"/>
        <w:adjustRightInd w:val="0"/>
        <w:rPr>
          <w:rFonts w:asciiTheme="minorHAnsi" w:hAnsiTheme="minorHAnsi" w:cs="Garamond"/>
          <w:lang w:val="es-ES"/>
        </w:rPr>
      </w:pPr>
      <w:r w:rsidRPr="00640121">
        <w:rPr>
          <w:rFonts w:asciiTheme="minorHAnsi" w:hAnsiTheme="minorHAnsi" w:cs="Garamond"/>
          <w:lang w:val="es-ES"/>
        </w:rPr>
        <w:t xml:space="preserve">Association for research on environmental management and sustainable development   </w:t>
      </w:r>
    </w:p>
    <w:p w14:paraId="61016212" w14:textId="21778CCB" w:rsidR="00003EC5" w:rsidRPr="00640121" w:rsidRDefault="00003EC5" w:rsidP="00003EC5">
      <w:pPr>
        <w:tabs>
          <w:tab w:val="left" w:pos="4253"/>
        </w:tabs>
        <w:overflowPunct w:val="0"/>
        <w:autoSpaceDE w:val="0"/>
        <w:autoSpaceDN w:val="0"/>
        <w:adjustRightInd w:val="0"/>
        <w:rPr>
          <w:rFonts w:asciiTheme="minorHAnsi" w:hAnsiTheme="minorHAnsi" w:cs="Garamond"/>
          <w:lang w:val="es-ES"/>
        </w:rPr>
      </w:pPr>
    </w:p>
    <w:p w14:paraId="654138B0" w14:textId="6882AEA5" w:rsidR="00003EC5" w:rsidRPr="00640121" w:rsidRDefault="00003EC5" w:rsidP="00572A41">
      <w:pPr>
        <w:keepNext/>
        <w:tabs>
          <w:tab w:val="left" w:pos="4253"/>
        </w:tabs>
        <w:overflowPunct w:val="0"/>
        <w:autoSpaceDE w:val="0"/>
        <w:autoSpaceDN w:val="0"/>
        <w:adjustRightInd w:val="0"/>
        <w:ind w:left="0" w:firstLine="0"/>
        <w:rPr>
          <w:rFonts w:asciiTheme="minorHAnsi" w:hAnsiTheme="minorHAnsi" w:cs="Garamond"/>
          <w:b/>
          <w:lang w:val="es-ES"/>
        </w:rPr>
      </w:pPr>
      <w:r w:rsidRPr="00640121">
        <w:rPr>
          <w:rFonts w:asciiTheme="minorHAnsi" w:hAnsiTheme="minorHAnsi" w:cs="Garamond"/>
          <w:b/>
          <w:lang w:val="es-ES"/>
        </w:rPr>
        <w:t>Recom</w:t>
      </w:r>
      <w:r w:rsidR="00F73265" w:rsidRPr="00640121">
        <w:rPr>
          <w:rFonts w:asciiTheme="minorHAnsi" w:hAnsiTheme="minorHAnsi" w:cs="Garamond"/>
          <w:b/>
          <w:lang w:val="es-ES"/>
        </w:rPr>
        <w:t>endación</w:t>
      </w:r>
    </w:p>
    <w:p w14:paraId="1228ACD4" w14:textId="77777777" w:rsidR="00003EC5" w:rsidRPr="00640121" w:rsidRDefault="00003EC5" w:rsidP="00003EC5">
      <w:pPr>
        <w:keepNext/>
        <w:tabs>
          <w:tab w:val="left" w:pos="4253"/>
        </w:tabs>
        <w:overflowPunct w:val="0"/>
        <w:autoSpaceDE w:val="0"/>
        <w:autoSpaceDN w:val="0"/>
        <w:adjustRightInd w:val="0"/>
        <w:rPr>
          <w:rFonts w:asciiTheme="minorHAnsi" w:hAnsiTheme="minorHAnsi" w:cs="Garamond"/>
          <w:lang w:val="es-ES"/>
        </w:rPr>
      </w:pPr>
    </w:p>
    <w:p w14:paraId="0FDBC290" w14:textId="20CA9C10" w:rsidR="00572A41" w:rsidRPr="00640121" w:rsidRDefault="00572A41" w:rsidP="00572A41">
      <w:pPr>
        <w:pStyle w:val="ColorfulList-Accent11"/>
        <w:ind w:left="426" w:hanging="426"/>
        <w:rPr>
          <w:lang w:val="es-ES"/>
        </w:rPr>
      </w:pPr>
      <w:r w:rsidRPr="00640121">
        <w:rPr>
          <w:rFonts w:asciiTheme="minorHAnsi" w:hAnsiTheme="minorHAnsi" w:cs="Garamond"/>
          <w:lang w:val="es-ES"/>
        </w:rPr>
        <w:t>9.</w:t>
      </w:r>
      <w:r w:rsidRPr="00640121">
        <w:rPr>
          <w:rFonts w:asciiTheme="minorHAnsi" w:hAnsiTheme="minorHAnsi" w:cs="Garamond"/>
          <w:lang w:val="es-ES"/>
        </w:rPr>
        <w:tab/>
      </w:r>
      <w:r w:rsidRPr="00640121">
        <w:rPr>
          <w:lang w:val="es-ES"/>
        </w:rPr>
        <w:t xml:space="preserve">Se invita al Comité Permanente a </w:t>
      </w:r>
      <w:r w:rsidR="00640121" w:rsidRPr="00640121">
        <w:rPr>
          <w:rFonts w:asciiTheme="minorHAnsi" w:hAnsiTheme="minorHAnsi" w:cs="Garamond"/>
          <w:lang w:val="es-ES"/>
        </w:rPr>
        <w:t>tomar nota de</w:t>
      </w:r>
      <w:r w:rsidR="00E96293" w:rsidRPr="00640121">
        <w:rPr>
          <w:rFonts w:asciiTheme="minorHAnsi" w:hAnsiTheme="minorHAnsi" w:cs="Garamond"/>
          <w:lang w:val="es-ES"/>
        </w:rPr>
        <w:t xml:space="preserve"> </w:t>
      </w:r>
      <w:r w:rsidRPr="00640121">
        <w:rPr>
          <w:lang w:val="es-ES"/>
        </w:rPr>
        <w:t>la participación en la presente reunión de los observadores que representan a las entidades y agencias</w:t>
      </w:r>
      <w:r w:rsidRPr="00640121">
        <w:rPr>
          <w:color w:val="FF0000"/>
          <w:lang w:val="es-ES"/>
        </w:rPr>
        <w:t xml:space="preserve"> </w:t>
      </w:r>
      <w:r w:rsidR="00640121" w:rsidRPr="00640121">
        <w:rPr>
          <w:lang w:val="es-ES"/>
        </w:rPr>
        <w:t>anteriormente aprobadas, enumeradas en el párrafo 6</w:t>
      </w:r>
      <w:r w:rsidRPr="00640121">
        <w:rPr>
          <w:lang w:val="es-ES"/>
        </w:rPr>
        <w:t xml:space="preserve">. </w:t>
      </w:r>
    </w:p>
    <w:p w14:paraId="3E371647" w14:textId="7CC3C1C9" w:rsidR="00572A41" w:rsidRPr="00640121" w:rsidRDefault="00572A41" w:rsidP="00003EC5">
      <w:pPr>
        <w:keepNext/>
        <w:tabs>
          <w:tab w:val="left" w:pos="425"/>
          <w:tab w:val="left" w:pos="851"/>
          <w:tab w:val="left" w:pos="1276"/>
        </w:tabs>
        <w:overflowPunct w:val="0"/>
        <w:autoSpaceDE w:val="0"/>
        <w:autoSpaceDN w:val="0"/>
        <w:adjustRightInd w:val="0"/>
        <w:rPr>
          <w:rFonts w:asciiTheme="minorHAnsi" w:hAnsiTheme="minorHAnsi" w:cs="Garamond"/>
          <w:lang w:val="es-ES"/>
        </w:rPr>
      </w:pPr>
    </w:p>
    <w:sectPr w:rsidR="00572A41" w:rsidRPr="00640121" w:rsidSect="002137E0">
      <w:headerReference w:type="default" r:id="rId8"/>
      <w:footerReference w:type="default" r:id="rId9"/>
      <w:pgSz w:w="11906" w:h="16838"/>
      <w:pgMar w:top="1440" w:right="1440" w:bottom="1440" w:left="1440"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C3CE9" w16cex:dateUtc="2021-06-22T08:41:00Z"/>
  <w16cex:commentExtensible w16cex:durableId="247C3E1F" w16cex:dateUtc="2021-06-22T08: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18B0A" w14:textId="77777777" w:rsidR="00E9678C" w:rsidRDefault="00E9678C" w:rsidP="00DF2386">
      <w:r>
        <w:separator/>
      </w:r>
    </w:p>
  </w:endnote>
  <w:endnote w:type="continuationSeparator" w:id="0">
    <w:p w14:paraId="44BDE72E" w14:textId="77777777" w:rsidR="00E9678C" w:rsidRDefault="00E9678C" w:rsidP="00D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A3E18" w14:textId="2967D5CF" w:rsidR="00F73265" w:rsidRDefault="00F73265" w:rsidP="002137E0">
    <w:pPr>
      <w:pStyle w:val="Header"/>
      <w:rPr>
        <w:noProof/>
      </w:rPr>
    </w:pPr>
    <w:r>
      <w:rPr>
        <w:sz w:val="20"/>
        <w:szCs w:val="20"/>
      </w:rPr>
      <w:t>SC5</w:t>
    </w:r>
    <w:r w:rsidR="00572A41">
      <w:rPr>
        <w:sz w:val="20"/>
        <w:szCs w:val="20"/>
      </w:rPr>
      <w:t>9</w:t>
    </w:r>
    <w:r w:rsidR="00865A24">
      <w:rPr>
        <w:sz w:val="20"/>
        <w:szCs w:val="20"/>
      </w:rPr>
      <w:t>/2022</w:t>
    </w:r>
    <w:r>
      <w:rPr>
        <w:sz w:val="20"/>
        <w:szCs w:val="20"/>
      </w:rPr>
      <w:t xml:space="preserve"> Doc.4</w:t>
    </w:r>
    <w:r>
      <w:tab/>
    </w:r>
    <w:r>
      <w:tab/>
    </w:r>
    <w:sdt>
      <w:sdtPr>
        <w:id w:val="-1790969534"/>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8D644A">
          <w:rPr>
            <w:noProof/>
            <w:sz w:val="20"/>
            <w:szCs w:val="20"/>
          </w:rPr>
          <w:t>2</w:t>
        </w:r>
        <w:r w:rsidRPr="00F344DE">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21BDE" w14:textId="77777777" w:rsidR="00E9678C" w:rsidRDefault="00E9678C" w:rsidP="00DF2386">
      <w:r>
        <w:separator/>
      </w:r>
    </w:p>
  </w:footnote>
  <w:footnote w:type="continuationSeparator" w:id="0">
    <w:p w14:paraId="7A5AE224" w14:textId="77777777" w:rsidR="00E9678C" w:rsidRDefault="00E9678C" w:rsidP="00DF2386">
      <w:r>
        <w:continuationSeparator/>
      </w:r>
    </w:p>
  </w:footnote>
  <w:footnote w:id="1">
    <w:p w14:paraId="10289A2A" w14:textId="3372335B" w:rsidR="00F73265" w:rsidRPr="005612C5" w:rsidRDefault="00F73265" w:rsidP="00F73265">
      <w:pPr>
        <w:pStyle w:val="CommentText"/>
        <w:ind w:left="0" w:firstLine="0"/>
        <w:rPr>
          <w:lang w:val="es-ES"/>
        </w:rPr>
      </w:pPr>
      <w:r>
        <w:rPr>
          <w:rStyle w:val="FootnoteReference"/>
        </w:rPr>
        <w:footnoteRef/>
      </w:r>
      <w:r w:rsidRPr="001536F3">
        <w:rPr>
          <w:lang w:val="fr-FR"/>
        </w:rPr>
        <w:t xml:space="preserve"> “</w:t>
      </w:r>
      <w:r w:rsidR="00323D7F" w:rsidRPr="005612C5">
        <w:rPr>
          <w:lang w:val="es-ES"/>
        </w:rPr>
        <w:t>Artículo 25.</w:t>
      </w:r>
      <w:r w:rsidRPr="005612C5">
        <w:rPr>
          <w:lang w:val="es-ES"/>
        </w:rPr>
        <w:t>5: “</w:t>
      </w:r>
      <w:r w:rsidR="00323D7F" w:rsidRPr="005612C5">
        <w:rPr>
          <w:rFonts w:cs="Calibri"/>
          <w:lang w:val="es-ES"/>
        </w:rPr>
        <w:t xml:space="preserve">A menos que la Conferencia de las Partes decida otra cosa, el presente reglamento se aplicará </w:t>
      </w:r>
      <w:r w:rsidRPr="005612C5">
        <w:rPr>
          <w:rFonts w:cs="Calibri"/>
          <w:i/>
          <w:iCs/>
          <w:lang w:val="es-ES"/>
        </w:rPr>
        <w:t xml:space="preserve">mutatis mutandis </w:t>
      </w:r>
      <w:r w:rsidR="00323D7F" w:rsidRPr="005612C5">
        <w:rPr>
          <w:rFonts w:cs="Calibri"/>
          <w:lang w:val="es-ES"/>
        </w:rPr>
        <w:t>a las actuaciones de los órganos subsidiarios</w:t>
      </w:r>
      <w:r w:rsidRPr="005612C5">
        <w:rPr>
          <w:rFonts w:cs="Calibri"/>
          <w:lang w:val="es-ES"/>
        </w:rPr>
        <w:t>”</w:t>
      </w:r>
      <w:r w:rsidR="00005707" w:rsidRPr="005612C5">
        <w:rPr>
          <w:rFonts w:cs="Calibri"/>
          <w:lang w:val="es-ES"/>
        </w:rPr>
        <w:t>.</w:t>
      </w:r>
    </w:p>
    <w:p w14:paraId="00AEFEC0" w14:textId="77777777" w:rsidR="00F73265" w:rsidRPr="001536F3" w:rsidRDefault="00F73265" w:rsidP="00F73265">
      <w:pPr>
        <w:pStyle w:val="FootnoteText"/>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2510B" w14:textId="77777777" w:rsidR="00F73265" w:rsidRDefault="00F73265">
    <w:pPr>
      <w:pStyle w:val="Header"/>
    </w:pPr>
  </w:p>
  <w:p w14:paraId="52EC08B5" w14:textId="77777777" w:rsidR="00F73265" w:rsidRDefault="00F732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5"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0"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1"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3E6855"/>
    <w:multiLevelType w:val="hybridMultilevel"/>
    <w:tmpl w:val="8F08B28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56D57319"/>
    <w:multiLevelType w:val="hybridMultilevel"/>
    <w:tmpl w:val="B9A0A56A"/>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21"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3"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5" w15:restartNumberingAfterBreak="0">
    <w:nsid w:val="644457B4"/>
    <w:multiLevelType w:val="hybridMultilevel"/>
    <w:tmpl w:val="93AC931A"/>
    <w:lvl w:ilvl="0" w:tplc="4286943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0F4811"/>
    <w:multiLevelType w:val="hybridMultilevel"/>
    <w:tmpl w:val="D8746950"/>
    <w:lvl w:ilvl="0" w:tplc="08090001">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7"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9" w15:restartNumberingAfterBreak="0">
    <w:nsid w:val="6A091EB0"/>
    <w:multiLevelType w:val="hybridMultilevel"/>
    <w:tmpl w:val="6AE2FBA8"/>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30"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34573D"/>
    <w:multiLevelType w:val="hybridMultilevel"/>
    <w:tmpl w:val="B12C6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7"/>
  </w:num>
  <w:num w:numId="7">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4"/>
  </w:num>
  <w:num w:numId="13">
    <w:abstractNumId w:val="16"/>
  </w:num>
  <w:num w:numId="14">
    <w:abstractNumId w:val="11"/>
  </w:num>
  <w:num w:numId="15">
    <w:abstractNumId w:val="2"/>
  </w:num>
  <w:num w:numId="16">
    <w:abstractNumId w:val="13"/>
  </w:num>
  <w:num w:numId="17">
    <w:abstractNumId w:val="18"/>
  </w:num>
  <w:num w:numId="18">
    <w:abstractNumId w:val="32"/>
  </w:num>
  <w:num w:numId="19">
    <w:abstractNumId w:val="30"/>
  </w:num>
  <w:num w:numId="20">
    <w:abstractNumId w:val="22"/>
  </w:num>
  <w:num w:numId="21">
    <w:abstractNumId w:val="24"/>
  </w:num>
  <w:num w:numId="22">
    <w:abstractNumId w:val="14"/>
  </w:num>
  <w:num w:numId="23">
    <w:abstractNumId w:val="21"/>
  </w:num>
  <w:num w:numId="24">
    <w:abstractNumId w:val="17"/>
  </w:num>
  <w:num w:numId="25">
    <w:abstractNumId w:val="28"/>
  </w:num>
  <w:num w:numId="26">
    <w:abstractNumId w:val="8"/>
  </w:num>
  <w:num w:numId="27">
    <w:abstractNumId w:val="0"/>
  </w:num>
  <w:num w:numId="28">
    <w:abstractNumId w:val="10"/>
  </w:num>
  <w:num w:numId="29">
    <w:abstractNumId w:val="3"/>
  </w:num>
  <w:num w:numId="30">
    <w:abstractNumId w:val="26"/>
  </w:num>
  <w:num w:numId="31">
    <w:abstractNumId w:val="25"/>
  </w:num>
  <w:num w:numId="32">
    <w:abstractNumId w:val="19"/>
  </w:num>
  <w:num w:numId="33">
    <w:abstractNumId w:val="29"/>
  </w:num>
  <w:num w:numId="34">
    <w:abstractNumId w:val="20"/>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00925"/>
    <w:rsid w:val="00003EC5"/>
    <w:rsid w:val="00005707"/>
    <w:rsid w:val="00014168"/>
    <w:rsid w:val="00017A16"/>
    <w:rsid w:val="00026E09"/>
    <w:rsid w:val="00037CE0"/>
    <w:rsid w:val="000506B3"/>
    <w:rsid w:val="00053929"/>
    <w:rsid w:val="00074DE8"/>
    <w:rsid w:val="000A3E3E"/>
    <w:rsid w:val="000C2489"/>
    <w:rsid w:val="000D5C76"/>
    <w:rsid w:val="000E2FA0"/>
    <w:rsid w:val="000E47E9"/>
    <w:rsid w:val="0012096C"/>
    <w:rsid w:val="00127828"/>
    <w:rsid w:val="00144ACD"/>
    <w:rsid w:val="001536F3"/>
    <w:rsid w:val="00161BDA"/>
    <w:rsid w:val="00171618"/>
    <w:rsid w:val="001819B1"/>
    <w:rsid w:val="001836CF"/>
    <w:rsid w:val="001A2D10"/>
    <w:rsid w:val="001C5E41"/>
    <w:rsid w:val="001C6B7A"/>
    <w:rsid w:val="001C77BC"/>
    <w:rsid w:val="001D0214"/>
    <w:rsid w:val="001D48BB"/>
    <w:rsid w:val="001E00E3"/>
    <w:rsid w:val="001F232D"/>
    <w:rsid w:val="001F2349"/>
    <w:rsid w:val="002005D2"/>
    <w:rsid w:val="0020298B"/>
    <w:rsid w:val="00202CF0"/>
    <w:rsid w:val="00206111"/>
    <w:rsid w:val="0020785B"/>
    <w:rsid w:val="002137E0"/>
    <w:rsid w:val="002542CC"/>
    <w:rsid w:val="00255AA8"/>
    <w:rsid w:val="002741AC"/>
    <w:rsid w:val="00275F13"/>
    <w:rsid w:val="002819C0"/>
    <w:rsid w:val="00295556"/>
    <w:rsid w:val="00295BB5"/>
    <w:rsid w:val="002A5A4D"/>
    <w:rsid w:val="002A7D18"/>
    <w:rsid w:val="002B4262"/>
    <w:rsid w:val="002D5A4D"/>
    <w:rsid w:val="002E22AF"/>
    <w:rsid w:val="002F6155"/>
    <w:rsid w:val="00323D7F"/>
    <w:rsid w:val="00324398"/>
    <w:rsid w:val="00362AAF"/>
    <w:rsid w:val="00384FC3"/>
    <w:rsid w:val="003A3804"/>
    <w:rsid w:val="003A52BE"/>
    <w:rsid w:val="003A5866"/>
    <w:rsid w:val="003A6E9F"/>
    <w:rsid w:val="003C1C62"/>
    <w:rsid w:val="003D4CD6"/>
    <w:rsid w:val="003E3E0B"/>
    <w:rsid w:val="004228C7"/>
    <w:rsid w:val="0042798B"/>
    <w:rsid w:val="00434913"/>
    <w:rsid w:val="004474F8"/>
    <w:rsid w:val="00460A79"/>
    <w:rsid w:val="00477550"/>
    <w:rsid w:val="004844A8"/>
    <w:rsid w:val="00485E51"/>
    <w:rsid w:val="00496803"/>
    <w:rsid w:val="004B6688"/>
    <w:rsid w:val="004C74CC"/>
    <w:rsid w:val="004E2ADC"/>
    <w:rsid w:val="00511010"/>
    <w:rsid w:val="005244A4"/>
    <w:rsid w:val="00527783"/>
    <w:rsid w:val="005612C5"/>
    <w:rsid w:val="0056506F"/>
    <w:rsid w:val="00572A41"/>
    <w:rsid w:val="005814B5"/>
    <w:rsid w:val="005D3E9D"/>
    <w:rsid w:val="005D654B"/>
    <w:rsid w:val="006256D3"/>
    <w:rsid w:val="00627BB7"/>
    <w:rsid w:val="00640121"/>
    <w:rsid w:val="00644A13"/>
    <w:rsid w:val="0065136E"/>
    <w:rsid w:val="00670D71"/>
    <w:rsid w:val="006E7DCE"/>
    <w:rsid w:val="007050FF"/>
    <w:rsid w:val="007459E6"/>
    <w:rsid w:val="00752764"/>
    <w:rsid w:val="00766962"/>
    <w:rsid w:val="00775287"/>
    <w:rsid w:val="00790285"/>
    <w:rsid w:val="007A06E6"/>
    <w:rsid w:val="007D33F4"/>
    <w:rsid w:val="007F3ABE"/>
    <w:rsid w:val="008328E9"/>
    <w:rsid w:val="00835BCB"/>
    <w:rsid w:val="00835CDC"/>
    <w:rsid w:val="00850B09"/>
    <w:rsid w:val="00855517"/>
    <w:rsid w:val="00863B9D"/>
    <w:rsid w:val="00863BE6"/>
    <w:rsid w:val="00865A24"/>
    <w:rsid w:val="008775BC"/>
    <w:rsid w:val="00882F1B"/>
    <w:rsid w:val="00893CE6"/>
    <w:rsid w:val="008A70CE"/>
    <w:rsid w:val="008C25E4"/>
    <w:rsid w:val="008C2DAE"/>
    <w:rsid w:val="008D644A"/>
    <w:rsid w:val="009059A9"/>
    <w:rsid w:val="0092515E"/>
    <w:rsid w:val="00942FBD"/>
    <w:rsid w:val="0094770B"/>
    <w:rsid w:val="0096527E"/>
    <w:rsid w:val="009727D2"/>
    <w:rsid w:val="00985DED"/>
    <w:rsid w:val="009B2267"/>
    <w:rsid w:val="009B4F95"/>
    <w:rsid w:val="009E0AE8"/>
    <w:rsid w:val="009E5374"/>
    <w:rsid w:val="009F345D"/>
    <w:rsid w:val="00A13218"/>
    <w:rsid w:val="00A227A3"/>
    <w:rsid w:val="00A27799"/>
    <w:rsid w:val="00A60B73"/>
    <w:rsid w:val="00A75F3C"/>
    <w:rsid w:val="00A80080"/>
    <w:rsid w:val="00A91938"/>
    <w:rsid w:val="00AB4951"/>
    <w:rsid w:val="00AC6DF1"/>
    <w:rsid w:val="00AD77A6"/>
    <w:rsid w:val="00B07DE1"/>
    <w:rsid w:val="00B265A4"/>
    <w:rsid w:val="00B315A0"/>
    <w:rsid w:val="00B34A18"/>
    <w:rsid w:val="00B468CE"/>
    <w:rsid w:val="00B579CB"/>
    <w:rsid w:val="00B626CD"/>
    <w:rsid w:val="00B70083"/>
    <w:rsid w:val="00B942F5"/>
    <w:rsid w:val="00BB28F6"/>
    <w:rsid w:val="00BC2609"/>
    <w:rsid w:val="00C0528F"/>
    <w:rsid w:val="00C1165E"/>
    <w:rsid w:val="00C13145"/>
    <w:rsid w:val="00C5401C"/>
    <w:rsid w:val="00C661B2"/>
    <w:rsid w:val="00C82646"/>
    <w:rsid w:val="00CE750F"/>
    <w:rsid w:val="00CF1839"/>
    <w:rsid w:val="00D160CB"/>
    <w:rsid w:val="00D245A1"/>
    <w:rsid w:val="00D415E2"/>
    <w:rsid w:val="00D42055"/>
    <w:rsid w:val="00D544C0"/>
    <w:rsid w:val="00D647C3"/>
    <w:rsid w:val="00D9633A"/>
    <w:rsid w:val="00DC5BD5"/>
    <w:rsid w:val="00DD47C9"/>
    <w:rsid w:val="00DF1F98"/>
    <w:rsid w:val="00DF2386"/>
    <w:rsid w:val="00DF7FE7"/>
    <w:rsid w:val="00E45315"/>
    <w:rsid w:val="00E46367"/>
    <w:rsid w:val="00E63F0B"/>
    <w:rsid w:val="00E96293"/>
    <w:rsid w:val="00E9678C"/>
    <w:rsid w:val="00EA3A7F"/>
    <w:rsid w:val="00EB548D"/>
    <w:rsid w:val="00F078F1"/>
    <w:rsid w:val="00F32D03"/>
    <w:rsid w:val="00F344DE"/>
    <w:rsid w:val="00F50D8B"/>
    <w:rsid w:val="00F73265"/>
    <w:rsid w:val="00F73E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5F424E"/>
  <w15:docId w15:val="{FB4257AF-3D4C-4AD7-A71C-4AFBD2CCC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customStyle="1" w:styleId="Default">
    <w:name w:val="Default"/>
    <w:rsid w:val="00460A79"/>
    <w:pPr>
      <w:autoSpaceDE w:val="0"/>
      <w:autoSpaceDN w:val="0"/>
      <w:adjustRightInd w:val="0"/>
      <w:ind w:left="0" w:firstLine="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3BB0A-4B07-4E9E-AAD0-9D27F7A5C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3123</Characters>
  <Application>Microsoft Office Word</Application>
  <DocSecurity>4</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IUCN</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Ramsar\KatzM</dc:creator>
  <cp:lastModifiedBy>Ed Jennings</cp:lastModifiedBy>
  <cp:revision>2</cp:revision>
  <cp:lastPrinted>2016-10-06T13:08:00Z</cp:lastPrinted>
  <dcterms:created xsi:type="dcterms:W3CDTF">2022-05-23T07:20:00Z</dcterms:created>
  <dcterms:modified xsi:type="dcterms:W3CDTF">2022-05-23T07:20:00Z</dcterms:modified>
</cp:coreProperties>
</file>