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F4D7" w14:textId="77777777" w:rsidR="003F5A03" w:rsidRPr="0046007D" w:rsidRDefault="003F5A03" w:rsidP="003F5A03">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bCs/>
          <w:lang w:val="fr-FR"/>
        </w:rPr>
      </w:pPr>
      <w:r w:rsidRPr="0046007D">
        <w:rPr>
          <w:bCs/>
          <w:lang w:val="fr-FR"/>
        </w:rPr>
        <w:t>CONVENTION DE RAMSAR SUR LES ZONES HUMIDES</w:t>
      </w:r>
    </w:p>
    <w:p w14:paraId="2C29CAB3" w14:textId="079B1778" w:rsidR="003F5A03" w:rsidRDefault="003F5A03" w:rsidP="003F5A03">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bCs/>
          <w:lang w:val="fr-FR"/>
        </w:rPr>
      </w:pPr>
      <w:r w:rsidRPr="0046007D">
        <w:rPr>
          <w:bCs/>
          <w:lang w:val="fr-FR"/>
        </w:rPr>
        <w:t>5</w:t>
      </w:r>
      <w:r w:rsidR="00F64B95">
        <w:rPr>
          <w:bCs/>
          <w:lang w:val="fr-FR"/>
        </w:rPr>
        <w:t>9</w:t>
      </w:r>
      <w:r w:rsidRPr="0046007D">
        <w:rPr>
          <w:bCs/>
          <w:vertAlign w:val="superscript"/>
          <w:lang w:val="fr-FR"/>
        </w:rPr>
        <w:t>e</w:t>
      </w:r>
      <w:r w:rsidRPr="0046007D">
        <w:rPr>
          <w:bCs/>
          <w:lang w:val="fr-FR"/>
        </w:rPr>
        <w:t xml:space="preserve"> Réunion du Comité permanent</w:t>
      </w:r>
    </w:p>
    <w:p w14:paraId="63E01648" w14:textId="039C2BF6" w:rsidR="002212E7" w:rsidRDefault="002212E7" w:rsidP="003F5A03">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bCs/>
          <w:lang w:val="fr-FR"/>
        </w:rPr>
      </w:pPr>
      <w:r w:rsidRPr="002212E7">
        <w:rPr>
          <w:bCs/>
          <w:lang w:val="fr-FR"/>
        </w:rPr>
        <w:t>Reprise de séance</w:t>
      </w:r>
    </w:p>
    <w:p w14:paraId="194F2D26" w14:textId="6D654EFC" w:rsidR="002212E7" w:rsidRPr="0046007D" w:rsidRDefault="002212E7" w:rsidP="003F5A03">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bCs/>
          <w:lang w:val="fr-FR"/>
        </w:rPr>
      </w:pPr>
      <w:r w:rsidRPr="002212E7">
        <w:rPr>
          <w:bCs/>
          <w:lang w:val="fr-FR"/>
        </w:rPr>
        <w:t>Gland, Suisse, 23 au 27 mai 2022</w:t>
      </w:r>
    </w:p>
    <w:p w14:paraId="2AD16320" w14:textId="4F744AF3" w:rsidR="002212E7" w:rsidRPr="002212E7" w:rsidRDefault="002212E7" w:rsidP="002212E7">
      <w:pPr>
        <w:tabs>
          <w:tab w:val="left" w:pos="10650"/>
          <w:tab w:val="right" w:pos="13958"/>
        </w:tabs>
        <w:spacing w:after="0" w:line="240" w:lineRule="auto"/>
        <w:jc w:val="right"/>
        <w:rPr>
          <w:bCs/>
          <w:lang w:val="fr-FR"/>
        </w:rPr>
      </w:pPr>
    </w:p>
    <w:p w14:paraId="292BA17F" w14:textId="402CABC6" w:rsidR="003F5A03" w:rsidRPr="00D72580" w:rsidRDefault="003F5A03" w:rsidP="008D7493">
      <w:pPr>
        <w:tabs>
          <w:tab w:val="left" w:pos="10650"/>
          <w:tab w:val="right" w:pos="13958"/>
        </w:tabs>
        <w:spacing w:after="0" w:line="240" w:lineRule="auto"/>
        <w:jc w:val="right"/>
        <w:rPr>
          <w:rFonts w:cs="Arial"/>
          <w:sz w:val="28"/>
          <w:szCs w:val="28"/>
          <w:lang w:val="fr-FR"/>
        </w:rPr>
      </w:pPr>
      <w:r w:rsidRPr="00D72580">
        <w:rPr>
          <w:rFonts w:cs="Arial"/>
          <w:b/>
          <w:sz w:val="28"/>
          <w:szCs w:val="28"/>
          <w:lang w:val="fr-FR"/>
        </w:rPr>
        <w:t>SC5</w:t>
      </w:r>
      <w:r w:rsidR="00F64B95">
        <w:rPr>
          <w:rFonts w:cs="Arial"/>
          <w:b/>
          <w:sz w:val="28"/>
          <w:szCs w:val="28"/>
          <w:lang w:val="fr-FR"/>
        </w:rPr>
        <w:t>9</w:t>
      </w:r>
      <w:r w:rsidR="00CC0308">
        <w:rPr>
          <w:rFonts w:cs="Arial"/>
          <w:b/>
          <w:sz w:val="28"/>
          <w:szCs w:val="28"/>
          <w:lang w:val="fr-FR"/>
        </w:rPr>
        <w:t>/2022</w:t>
      </w:r>
      <w:r w:rsidRPr="00D72580">
        <w:rPr>
          <w:rFonts w:cs="Arial"/>
          <w:b/>
          <w:sz w:val="28"/>
          <w:szCs w:val="28"/>
          <w:lang w:val="fr-FR"/>
        </w:rPr>
        <w:t xml:space="preserve"> Doc.</w:t>
      </w:r>
      <w:r>
        <w:rPr>
          <w:rFonts w:cs="Arial"/>
          <w:b/>
          <w:sz w:val="28"/>
          <w:szCs w:val="28"/>
          <w:lang w:val="fr-FR"/>
        </w:rPr>
        <w:t>4</w:t>
      </w:r>
    </w:p>
    <w:p w14:paraId="1B56C4C1" w14:textId="77777777" w:rsidR="00B853B0" w:rsidRPr="00A138B1" w:rsidRDefault="00B853B0" w:rsidP="008D7493">
      <w:pPr>
        <w:autoSpaceDE w:val="0"/>
        <w:autoSpaceDN w:val="0"/>
        <w:adjustRightInd w:val="0"/>
        <w:spacing w:after="0" w:line="240" w:lineRule="auto"/>
        <w:jc w:val="center"/>
        <w:rPr>
          <w:rFonts w:cs="Garamond"/>
          <w:b/>
          <w:bCs/>
          <w:sz w:val="28"/>
          <w:szCs w:val="28"/>
          <w:lang w:val="es-ES_tradnl"/>
        </w:rPr>
      </w:pPr>
    </w:p>
    <w:p w14:paraId="6AC6DB3B" w14:textId="24DD8620" w:rsidR="00B853B0" w:rsidRDefault="008E5056" w:rsidP="008D7493">
      <w:pPr>
        <w:autoSpaceDE w:val="0"/>
        <w:autoSpaceDN w:val="0"/>
        <w:adjustRightInd w:val="0"/>
        <w:spacing w:after="0" w:line="240" w:lineRule="auto"/>
        <w:jc w:val="center"/>
        <w:rPr>
          <w:b/>
          <w:sz w:val="28"/>
          <w:szCs w:val="28"/>
          <w:lang w:val="fr-CA"/>
        </w:rPr>
      </w:pPr>
      <w:r w:rsidRPr="008E6BEB">
        <w:rPr>
          <w:b/>
          <w:sz w:val="28"/>
          <w:szCs w:val="28"/>
          <w:lang w:val="fr-CA"/>
        </w:rPr>
        <w:t xml:space="preserve">Admission </w:t>
      </w:r>
      <w:r w:rsidR="008E6BEB">
        <w:rPr>
          <w:b/>
          <w:sz w:val="28"/>
          <w:szCs w:val="28"/>
          <w:lang w:val="fr-CA"/>
        </w:rPr>
        <w:t>des observateurs</w:t>
      </w:r>
    </w:p>
    <w:p w14:paraId="5D330406" w14:textId="77777777" w:rsidR="003F5A03" w:rsidRPr="00056A1D" w:rsidRDefault="003F5A03" w:rsidP="008D7493">
      <w:pPr>
        <w:spacing w:after="0" w:line="240" w:lineRule="auto"/>
        <w:rPr>
          <w:rFonts w:cs="Arial"/>
          <w:b/>
          <w:sz w:val="28"/>
          <w:szCs w:val="28"/>
          <w:lang w:val="fr-CH"/>
        </w:rPr>
      </w:pPr>
    </w:p>
    <w:p w14:paraId="092E5092" w14:textId="77777777" w:rsidR="003F5A03" w:rsidRPr="00056A1D" w:rsidRDefault="003F5A03" w:rsidP="008D7493">
      <w:pPr>
        <w:spacing w:after="0" w:line="240" w:lineRule="auto"/>
        <w:rPr>
          <w:rFonts w:cs="Arial"/>
          <w:b/>
          <w:lang w:val="fr-CH"/>
        </w:rPr>
      </w:pPr>
      <w:r w:rsidRPr="00056A1D">
        <w:rPr>
          <w:noProof/>
          <w:lang w:val="en-GB" w:eastAsia="en-GB"/>
        </w:rPr>
        <mc:AlternateContent>
          <mc:Choice Requires="wps">
            <w:drawing>
              <wp:inline distT="0" distB="0" distL="0" distR="0" wp14:anchorId="50D5A437" wp14:editId="20F743D1">
                <wp:extent cx="5580185" cy="1095375"/>
                <wp:effectExtent l="0" t="0" r="2095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185" cy="1095375"/>
                        </a:xfrm>
                        <a:prstGeom prst="rect">
                          <a:avLst/>
                        </a:prstGeom>
                        <a:solidFill>
                          <a:srgbClr val="FFFFFF"/>
                        </a:solidFill>
                        <a:ln w="9525">
                          <a:solidFill>
                            <a:srgbClr val="000000"/>
                          </a:solidFill>
                          <a:miter lim="800000"/>
                          <a:headEnd/>
                          <a:tailEnd/>
                        </a:ln>
                      </wps:spPr>
                      <wps:txbx>
                        <w:txbxContent>
                          <w:p w14:paraId="754B2573" w14:textId="178A136B" w:rsidR="003F5A03" w:rsidRPr="00056A1D" w:rsidRDefault="002F09A9" w:rsidP="003F5A03">
                            <w:pPr>
                              <w:rPr>
                                <w:lang w:val="fr-CH"/>
                              </w:rPr>
                            </w:pPr>
                            <w:r>
                              <w:rPr>
                                <w:b/>
                                <w:bCs/>
                                <w:lang w:val="fr-CH"/>
                              </w:rPr>
                              <w:t>Actions</w:t>
                            </w:r>
                            <w:r w:rsidR="003F5A03">
                              <w:rPr>
                                <w:b/>
                                <w:bCs/>
                                <w:lang w:val="fr-CH"/>
                              </w:rPr>
                              <w:t xml:space="preserve"> requises </w:t>
                            </w:r>
                            <w:r w:rsidR="003F5A03" w:rsidRPr="00056A1D">
                              <w:rPr>
                                <w:b/>
                                <w:bCs/>
                                <w:lang w:val="fr-CH"/>
                              </w:rPr>
                              <w:t xml:space="preserve">: </w:t>
                            </w:r>
                          </w:p>
                          <w:p w14:paraId="01BF571F" w14:textId="0DB946EF" w:rsidR="00F64B95" w:rsidRPr="002212E7" w:rsidRDefault="00F64B95" w:rsidP="002212E7">
                            <w:pPr>
                              <w:pStyle w:val="ListParagraph"/>
                              <w:numPr>
                                <w:ilvl w:val="0"/>
                                <w:numId w:val="14"/>
                              </w:numPr>
                              <w:spacing w:after="0" w:line="240" w:lineRule="auto"/>
                              <w:rPr>
                                <w:rFonts w:eastAsia="Calibri" w:cs="Calibri"/>
                                <w:lang w:val="fr-CH"/>
                              </w:rPr>
                            </w:pPr>
                            <w:r>
                              <w:rPr>
                                <w:rFonts w:eastAsia="Calibri" w:cs="Calibri"/>
                                <w:lang w:val="fr-CH"/>
                              </w:rPr>
                              <w:t xml:space="preserve">Le Comité permanent est invité à </w:t>
                            </w:r>
                            <w:r w:rsidR="002212E7" w:rsidRPr="002212E7">
                              <w:rPr>
                                <w:lang w:val="fr-FR"/>
                              </w:rPr>
                              <w:t>à prendre note</w:t>
                            </w:r>
                            <w:r w:rsidR="002212E7" w:rsidRPr="002212E7">
                              <w:rPr>
                                <w:lang w:val="fr-FR"/>
                              </w:rPr>
                              <w:t xml:space="preserve"> de </w:t>
                            </w:r>
                            <w:r w:rsidR="007A0FE7">
                              <w:rPr>
                                <w:rFonts w:eastAsia="Calibri" w:cs="Calibri"/>
                                <w:lang w:val="fr-CH"/>
                              </w:rPr>
                              <w:t xml:space="preserve">la </w:t>
                            </w:r>
                            <w:r w:rsidRPr="00F64B95">
                              <w:rPr>
                                <w:rFonts w:eastAsia="Calibri" w:cs="Calibri"/>
                                <w:lang w:val="fr-CH"/>
                              </w:rPr>
                              <w:t>participation</w:t>
                            </w:r>
                            <w:r w:rsidR="007A0FE7">
                              <w:rPr>
                                <w:rFonts w:eastAsia="Calibri" w:cs="Calibri"/>
                                <w:lang w:val="fr-CH"/>
                              </w:rPr>
                              <w:t xml:space="preserve"> à la présente réunion d’observateurs </w:t>
                            </w:r>
                            <w:r w:rsidRPr="00F64B95">
                              <w:rPr>
                                <w:rFonts w:eastAsia="Calibri" w:cs="Calibri"/>
                                <w:lang w:val="fr-CH"/>
                              </w:rPr>
                              <w:t>repr</w:t>
                            </w:r>
                            <w:r w:rsidR="007A0FE7">
                              <w:rPr>
                                <w:rFonts w:eastAsia="Calibri" w:cs="Calibri"/>
                                <w:lang w:val="fr-CH"/>
                              </w:rPr>
                              <w:t>é</w:t>
                            </w:r>
                            <w:r w:rsidRPr="00F64B95">
                              <w:rPr>
                                <w:rFonts w:eastAsia="Calibri" w:cs="Calibri"/>
                                <w:lang w:val="fr-CH"/>
                              </w:rPr>
                              <w:t>sent</w:t>
                            </w:r>
                            <w:r w:rsidR="007A0FE7">
                              <w:rPr>
                                <w:rFonts w:eastAsia="Calibri" w:cs="Calibri"/>
                                <w:lang w:val="fr-CH"/>
                              </w:rPr>
                              <w:t xml:space="preserve">ant les organes et agences </w:t>
                            </w:r>
                            <w:r w:rsidR="002212E7" w:rsidRPr="002212E7">
                              <w:rPr>
                                <w:rFonts w:asciiTheme="minorHAnsi" w:hAnsiTheme="minorHAnsi" w:cs="Garamond"/>
                                <w:lang w:val="fr-FR"/>
                              </w:rPr>
                              <w:t>précédemment approuvés</w:t>
                            </w:r>
                            <w:r w:rsidR="002212E7" w:rsidRPr="002212E7">
                              <w:rPr>
                                <w:rFonts w:asciiTheme="minorHAnsi" w:eastAsia="Calibri" w:hAnsiTheme="minorHAnsi" w:cs="Garamond"/>
                                <w:lang w:val="fr-FR"/>
                              </w:rPr>
                              <w:t xml:space="preserve"> </w:t>
                            </w:r>
                            <w:r w:rsidR="007A0FE7">
                              <w:rPr>
                                <w:rFonts w:eastAsia="Calibri" w:cs="Calibri"/>
                                <w:lang w:val="fr-CH"/>
                              </w:rPr>
                              <w:t xml:space="preserve">mentionnés au </w:t>
                            </w:r>
                            <w:r w:rsidRPr="00F64B95">
                              <w:rPr>
                                <w:rFonts w:eastAsia="Calibri" w:cs="Calibri"/>
                                <w:lang w:val="fr-CH"/>
                              </w:rPr>
                              <w:t>paragraph</w:t>
                            </w:r>
                            <w:r w:rsidR="007A0FE7">
                              <w:rPr>
                                <w:rFonts w:eastAsia="Calibri" w:cs="Calibri"/>
                                <w:lang w:val="fr-CH"/>
                              </w:rPr>
                              <w:t>e </w:t>
                            </w:r>
                            <w:r w:rsidR="002212E7">
                              <w:rPr>
                                <w:rFonts w:eastAsia="Calibri" w:cs="Calibri"/>
                                <w:lang w:val="fr-CH"/>
                              </w:rPr>
                              <w:t>6</w:t>
                            </w:r>
                            <w:r w:rsidRPr="00F64B95">
                              <w:rPr>
                                <w:rFonts w:eastAsia="Calibri" w:cs="Calibri"/>
                                <w:lang w:val="fr-CH"/>
                              </w:rPr>
                              <w:t>.</w:t>
                            </w:r>
                          </w:p>
                          <w:p w14:paraId="21FDAA54" w14:textId="77777777" w:rsidR="00F64B95" w:rsidRPr="00056A1D" w:rsidRDefault="00F64B95" w:rsidP="00F64B95">
                            <w:pPr>
                              <w:pStyle w:val="ColorfulList-Accent11"/>
                              <w:ind w:firstLine="0"/>
                              <w:rPr>
                                <w:rFonts w:cs="Calibri"/>
                                <w:lang w:val="fr-CH"/>
                              </w:rPr>
                            </w:pPr>
                          </w:p>
                          <w:p w14:paraId="1B64176C" w14:textId="77777777" w:rsidR="003F5A03" w:rsidRPr="00056A1D" w:rsidRDefault="003F5A03" w:rsidP="003F5A03">
                            <w:pPr>
                              <w:pStyle w:val="ColorfulList-Accent11"/>
                              <w:ind w:left="0"/>
                              <w:rPr>
                                <w:rFonts w:cs="Calibri"/>
                                <w:lang w:val="fr-CH"/>
                              </w:rPr>
                            </w:pPr>
                          </w:p>
                        </w:txbxContent>
                      </wps:txbx>
                      <wps:bodyPr rot="0" vert="horz" wrap="square" lIns="91440" tIns="45720" rIns="91440" bIns="45720" anchor="t" anchorCtr="0" upright="1">
                        <a:noAutofit/>
                      </wps:bodyPr>
                    </wps:wsp>
                  </a:graphicData>
                </a:graphic>
              </wp:inline>
            </w:drawing>
          </mc:Choice>
          <mc:Fallback>
            <w:pict>
              <v:shapetype w14:anchorId="50D5A437" id="_x0000_t202" coordsize="21600,21600" o:spt="202" path="m,l,21600r21600,l21600,xe">
                <v:stroke joinstyle="miter"/>
                <v:path gradientshapeok="t" o:connecttype="rect"/>
              </v:shapetype>
              <v:shape id="Text Box 1" o:spid="_x0000_s1026" type="#_x0000_t202" style="width:439.4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">
                <v:textbox>
                  <w:txbxContent>
                    <w:p w14:paraId="754B2573" w14:textId="178A136B" w:rsidR="003F5A03" w:rsidRPr="00056A1D" w:rsidRDefault="002F09A9" w:rsidP="003F5A03">
                      <w:pPr>
                        <w:rPr>
                          <w:lang w:val="fr-CH"/>
                        </w:rPr>
                      </w:pPr>
                      <w:r>
                        <w:rPr>
                          <w:b/>
                          <w:bCs/>
                          <w:lang w:val="fr-CH"/>
                        </w:rPr>
                        <w:t>Actions</w:t>
                      </w:r>
                      <w:r w:rsidR="003F5A03">
                        <w:rPr>
                          <w:b/>
                          <w:bCs/>
                          <w:lang w:val="fr-CH"/>
                        </w:rPr>
                        <w:t xml:space="preserve"> requises </w:t>
                      </w:r>
                      <w:r w:rsidR="003F5A03" w:rsidRPr="00056A1D">
                        <w:rPr>
                          <w:b/>
                          <w:bCs/>
                          <w:lang w:val="fr-CH"/>
                        </w:rPr>
                        <w:t xml:space="preserve">: </w:t>
                      </w:r>
                    </w:p>
                    <w:p w14:paraId="01BF571F" w14:textId="0DB946EF" w:rsidR="00F64B95" w:rsidRPr="002212E7" w:rsidRDefault="00F64B95" w:rsidP="002212E7">
                      <w:pPr>
                        <w:pStyle w:val="ListParagraph"/>
                        <w:numPr>
                          <w:ilvl w:val="0"/>
                          <w:numId w:val="14"/>
                        </w:numPr>
                        <w:spacing w:after="0" w:line="240" w:lineRule="auto"/>
                        <w:rPr>
                          <w:rFonts w:eastAsia="Calibri" w:cs="Calibri"/>
                          <w:lang w:val="fr-CH"/>
                        </w:rPr>
                      </w:pPr>
                      <w:r>
                        <w:rPr>
                          <w:rFonts w:eastAsia="Calibri" w:cs="Calibri"/>
                          <w:lang w:val="fr-CH"/>
                        </w:rPr>
                        <w:t xml:space="preserve">Le Comité permanent est invité à </w:t>
                      </w:r>
                      <w:r w:rsidR="002212E7" w:rsidRPr="002212E7">
                        <w:rPr>
                          <w:lang w:val="fr-FR"/>
                        </w:rPr>
                        <w:t>à prendre note</w:t>
                      </w:r>
                      <w:r w:rsidR="002212E7" w:rsidRPr="002212E7">
                        <w:rPr>
                          <w:lang w:val="fr-FR"/>
                        </w:rPr>
                        <w:t xml:space="preserve"> de </w:t>
                      </w:r>
                      <w:r w:rsidR="007A0FE7">
                        <w:rPr>
                          <w:rFonts w:eastAsia="Calibri" w:cs="Calibri"/>
                          <w:lang w:val="fr-CH"/>
                        </w:rPr>
                        <w:t xml:space="preserve">la </w:t>
                      </w:r>
                      <w:r w:rsidRPr="00F64B95">
                        <w:rPr>
                          <w:rFonts w:eastAsia="Calibri" w:cs="Calibri"/>
                          <w:lang w:val="fr-CH"/>
                        </w:rPr>
                        <w:t>participation</w:t>
                      </w:r>
                      <w:r w:rsidR="007A0FE7">
                        <w:rPr>
                          <w:rFonts w:eastAsia="Calibri" w:cs="Calibri"/>
                          <w:lang w:val="fr-CH"/>
                        </w:rPr>
                        <w:t xml:space="preserve"> à la présente réunion d’observateurs </w:t>
                      </w:r>
                      <w:r w:rsidRPr="00F64B95">
                        <w:rPr>
                          <w:rFonts w:eastAsia="Calibri" w:cs="Calibri"/>
                          <w:lang w:val="fr-CH"/>
                        </w:rPr>
                        <w:t>repr</w:t>
                      </w:r>
                      <w:r w:rsidR="007A0FE7">
                        <w:rPr>
                          <w:rFonts w:eastAsia="Calibri" w:cs="Calibri"/>
                          <w:lang w:val="fr-CH"/>
                        </w:rPr>
                        <w:t>é</w:t>
                      </w:r>
                      <w:r w:rsidRPr="00F64B95">
                        <w:rPr>
                          <w:rFonts w:eastAsia="Calibri" w:cs="Calibri"/>
                          <w:lang w:val="fr-CH"/>
                        </w:rPr>
                        <w:t>sent</w:t>
                      </w:r>
                      <w:r w:rsidR="007A0FE7">
                        <w:rPr>
                          <w:rFonts w:eastAsia="Calibri" w:cs="Calibri"/>
                          <w:lang w:val="fr-CH"/>
                        </w:rPr>
                        <w:t xml:space="preserve">ant les organes et agences </w:t>
                      </w:r>
                      <w:r w:rsidR="002212E7" w:rsidRPr="002212E7">
                        <w:rPr>
                          <w:rFonts w:asciiTheme="minorHAnsi" w:hAnsiTheme="minorHAnsi" w:cs="Garamond"/>
                          <w:lang w:val="fr-FR"/>
                        </w:rPr>
                        <w:t>précédemment approuvés</w:t>
                      </w:r>
                      <w:r w:rsidR="002212E7" w:rsidRPr="002212E7">
                        <w:rPr>
                          <w:rFonts w:asciiTheme="minorHAnsi" w:eastAsia="Calibri" w:hAnsiTheme="minorHAnsi" w:cs="Garamond"/>
                          <w:lang w:val="fr-FR"/>
                        </w:rPr>
                        <w:t xml:space="preserve"> </w:t>
                      </w:r>
                      <w:r w:rsidR="007A0FE7">
                        <w:rPr>
                          <w:rFonts w:eastAsia="Calibri" w:cs="Calibri"/>
                          <w:lang w:val="fr-CH"/>
                        </w:rPr>
                        <w:t xml:space="preserve">mentionnés au </w:t>
                      </w:r>
                      <w:r w:rsidRPr="00F64B95">
                        <w:rPr>
                          <w:rFonts w:eastAsia="Calibri" w:cs="Calibri"/>
                          <w:lang w:val="fr-CH"/>
                        </w:rPr>
                        <w:t>paragraph</w:t>
                      </w:r>
                      <w:r w:rsidR="007A0FE7">
                        <w:rPr>
                          <w:rFonts w:eastAsia="Calibri" w:cs="Calibri"/>
                          <w:lang w:val="fr-CH"/>
                        </w:rPr>
                        <w:t>e </w:t>
                      </w:r>
                      <w:r w:rsidR="002212E7">
                        <w:rPr>
                          <w:rFonts w:eastAsia="Calibri" w:cs="Calibri"/>
                          <w:lang w:val="fr-CH"/>
                        </w:rPr>
                        <w:t>6</w:t>
                      </w:r>
                      <w:r w:rsidRPr="00F64B95">
                        <w:rPr>
                          <w:rFonts w:eastAsia="Calibri" w:cs="Calibri"/>
                          <w:lang w:val="fr-CH"/>
                        </w:rPr>
                        <w:t>.</w:t>
                      </w:r>
                    </w:p>
                    <w:p w14:paraId="21FDAA54" w14:textId="77777777" w:rsidR="00F64B95" w:rsidRPr="00056A1D" w:rsidRDefault="00F64B95" w:rsidP="00F64B95">
                      <w:pPr>
                        <w:pStyle w:val="ColorfulList-Accent11"/>
                        <w:ind w:firstLine="0"/>
                        <w:rPr>
                          <w:rFonts w:cs="Calibri"/>
                          <w:lang w:val="fr-CH"/>
                        </w:rPr>
                      </w:pPr>
                    </w:p>
                    <w:p w14:paraId="1B64176C" w14:textId="77777777" w:rsidR="003F5A03" w:rsidRPr="00056A1D" w:rsidRDefault="003F5A03" w:rsidP="003F5A03">
                      <w:pPr>
                        <w:pStyle w:val="ColorfulList-Accent11"/>
                        <w:ind w:left="0"/>
                        <w:rPr>
                          <w:rFonts w:cs="Calibri"/>
                          <w:lang w:val="fr-CH"/>
                        </w:rPr>
                      </w:pPr>
                    </w:p>
                  </w:txbxContent>
                </v:textbox>
                <w10:anchorlock/>
              </v:shape>
            </w:pict>
          </mc:Fallback>
        </mc:AlternateContent>
      </w:r>
    </w:p>
    <w:p w14:paraId="437A474D" w14:textId="73EB789C" w:rsidR="008D7493" w:rsidRDefault="008D7493" w:rsidP="008D7493">
      <w:pPr>
        <w:autoSpaceDE w:val="0"/>
        <w:autoSpaceDN w:val="0"/>
        <w:adjustRightInd w:val="0"/>
        <w:spacing w:after="0" w:line="240" w:lineRule="auto"/>
        <w:rPr>
          <w:rFonts w:asciiTheme="minorHAnsi" w:hAnsiTheme="minorHAnsi"/>
          <w:lang w:val="fr-CA"/>
        </w:rPr>
      </w:pPr>
    </w:p>
    <w:p w14:paraId="2B7EF19C" w14:textId="77777777" w:rsidR="00E32E56" w:rsidRPr="008E6BEB" w:rsidRDefault="00E32E56" w:rsidP="008D7493">
      <w:pPr>
        <w:autoSpaceDE w:val="0"/>
        <w:autoSpaceDN w:val="0"/>
        <w:adjustRightInd w:val="0"/>
        <w:spacing w:after="0" w:line="240" w:lineRule="auto"/>
        <w:rPr>
          <w:rFonts w:asciiTheme="minorHAnsi" w:hAnsiTheme="minorHAnsi"/>
          <w:lang w:val="fr-CA"/>
        </w:rPr>
      </w:pPr>
    </w:p>
    <w:p w14:paraId="0FD1B777" w14:textId="15886985" w:rsidR="00617C4D" w:rsidRPr="008E6BEB" w:rsidRDefault="00617C4D"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1.</w:t>
      </w:r>
      <w:r w:rsidRPr="008E6BEB">
        <w:rPr>
          <w:rFonts w:asciiTheme="minorHAnsi" w:hAnsiTheme="minorHAnsi"/>
          <w:lang w:val="fr-CA"/>
        </w:rPr>
        <w:tab/>
      </w:r>
      <w:r w:rsidR="003F76B5">
        <w:rPr>
          <w:rFonts w:asciiTheme="minorHAnsi" w:hAnsiTheme="minorHAnsi"/>
          <w:lang w:val="fr-CA"/>
        </w:rPr>
        <w:t xml:space="preserve">Le </w:t>
      </w:r>
      <w:r w:rsidR="00DF63E9">
        <w:rPr>
          <w:rFonts w:asciiTheme="minorHAnsi" w:hAnsiTheme="minorHAnsi"/>
          <w:lang w:val="fr-CA"/>
        </w:rPr>
        <w:t>R</w:t>
      </w:r>
      <w:r w:rsidR="003F76B5">
        <w:rPr>
          <w:rFonts w:asciiTheme="minorHAnsi" w:hAnsiTheme="minorHAnsi"/>
          <w:lang w:val="fr-CA"/>
        </w:rPr>
        <w:t>èglement intérieur des sessions de la Conférence des Parties</w:t>
      </w:r>
      <w:r w:rsidR="00C86B75">
        <w:rPr>
          <w:rStyle w:val="FootnoteReference"/>
          <w:rFonts w:asciiTheme="minorHAnsi" w:hAnsiTheme="minorHAnsi"/>
          <w:lang w:val="fr-CA"/>
        </w:rPr>
        <w:footnoteReference w:id="1"/>
      </w:r>
      <w:r w:rsidR="003F76B5">
        <w:rPr>
          <w:rFonts w:asciiTheme="minorHAnsi" w:hAnsiTheme="minorHAnsi"/>
          <w:lang w:val="fr-CA"/>
        </w:rPr>
        <w:t xml:space="preserve"> prévoit la participation </w:t>
      </w:r>
      <w:r w:rsidR="00DF63E9">
        <w:rPr>
          <w:rFonts w:asciiTheme="minorHAnsi" w:hAnsiTheme="minorHAnsi"/>
          <w:lang w:val="fr-CA"/>
        </w:rPr>
        <w:t>d’</w:t>
      </w:r>
      <w:r w:rsidR="003F76B5">
        <w:rPr>
          <w:rFonts w:asciiTheme="minorHAnsi" w:hAnsiTheme="minorHAnsi"/>
          <w:lang w:val="fr-CA"/>
        </w:rPr>
        <w:t xml:space="preserve">observateurs </w:t>
      </w:r>
      <w:r w:rsidR="00DF63E9">
        <w:rPr>
          <w:rFonts w:asciiTheme="minorHAnsi" w:hAnsiTheme="minorHAnsi"/>
          <w:lang w:val="fr-CA"/>
        </w:rPr>
        <w:t>de</w:t>
      </w:r>
      <w:r w:rsidR="003F76B5">
        <w:rPr>
          <w:rFonts w:asciiTheme="minorHAnsi" w:hAnsiTheme="minorHAnsi"/>
          <w:lang w:val="fr-CA"/>
        </w:rPr>
        <w:t xml:space="preserve"> deux catégories :</w:t>
      </w:r>
    </w:p>
    <w:p w14:paraId="2C12B3F5" w14:textId="3777D08D" w:rsidR="00F7595E" w:rsidRPr="008E6BEB" w:rsidRDefault="003F76B5" w:rsidP="008D7493">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l’Organisation des Nations Unies, ses institutions spécialisées et les États </w:t>
      </w:r>
      <w:r w:rsidR="00971AC5">
        <w:rPr>
          <w:rFonts w:asciiTheme="minorHAnsi" w:hAnsiTheme="minorHAnsi"/>
          <w:lang w:val="fr-CA"/>
        </w:rPr>
        <w:t xml:space="preserve">qui ne sont pas </w:t>
      </w:r>
      <w:r w:rsidR="001F5554">
        <w:rPr>
          <w:rFonts w:asciiTheme="minorHAnsi" w:hAnsiTheme="minorHAnsi"/>
          <w:lang w:val="fr-CA"/>
        </w:rPr>
        <w:t>P</w:t>
      </w:r>
      <w:r>
        <w:rPr>
          <w:rFonts w:asciiTheme="minorHAnsi" w:hAnsiTheme="minorHAnsi"/>
          <w:lang w:val="fr-CA"/>
        </w:rPr>
        <w:t xml:space="preserve">arties à la Convention; et </w:t>
      </w:r>
    </w:p>
    <w:p w14:paraId="174C56C2" w14:textId="31E74B1A" w:rsidR="005B1BB9" w:rsidRPr="008E6BEB" w:rsidRDefault="003F76B5" w:rsidP="008D7493">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tout organe ou </w:t>
      </w:r>
      <w:r w:rsidR="00C623FA">
        <w:rPr>
          <w:rFonts w:asciiTheme="minorHAnsi" w:hAnsiTheme="minorHAnsi"/>
          <w:lang w:val="fr-CA"/>
        </w:rPr>
        <w:t>agence</w:t>
      </w:r>
      <w:r>
        <w:rPr>
          <w:rFonts w:asciiTheme="minorHAnsi" w:hAnsiTheme="minorHAnsi"/>
          <w:lang w:val="fr-CA"/>
        </w:rPr>
        <w:t xml:space="preserve"> qualifié dans les domaines relatifs à la conservation et à l’utilisation </w:t>
      </w:r>
      <w:r w:rsidR="00DF63E9" w:rsidRPr="00DF63E9">
        <w:rPr>
          <w:rFonts w:asciiTheme="minorHAnsi" w:hAnsiTheme="minorHAnsi"/>
          <w:lang w:val="fr-CA"/>
        </w:rPr>
        <w:t>durable</w:t>
      </w:r>
      <w:r w:rsidRPr="00DF63E9">
        <w:rPr>
          <w:rFonts w:asciiTheme="minorHAnsi" w:hAnsiTheme="minorHAnsi"/>
          <w:lang w:val="fr-CA"/>
        </w:rPr>
        <w:t xml:space="preserve"> d</w:t>
      </w:r>
      <w:r>
        <w:rPr>
          <w:rFonts w:asciiTheme="minorHAnsi" w:hAnsiTheme="minorHAnsi"/>
          <w:lang w:val="fr-CA"/>
        </w:rPr>
        <w:t>es zones humides.</w:t>
      </w:r>
    </w:p>
    <w:p w14:paraId="7B780B1F" w14:textId="6130FB7A" w:rsidR="00617C4D" w:rsidRPr="008E6BEB" w:rsidRDefault="00617C4D"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5071C960" w14:textId="01A17BE7" w:rsidR="005B1BB9" w:rsidRPr="003F5A03" w:rsidRDefault="003F76B5" w:rsidP="008D7493">
      <w:pPr>
        <w:tabs>
          <w:tab w:val="num" w:pos="720"/>
          <w:tab w:val="left" w:pos="4253"/>
        </w:tabs>
        <w:overflowPunct w:val="0"/>
        <w:autoSpaceDE w:val="0"/>
        <w:autoSpaceDN w:val="0"/>
        <w:adjustRightInd w:val="0"/>
        <w:spacing w:after="0" w:line="240" w:lineRule="auto"/>
        <w:rPr>
          <w:rFonts w:asciiTheme="minorHAnsi" w:hAnsiTheme="minorHAnsi"/>
          <w:b/>
          <w:bCs/>
          <w:lang w:val="fr-CA"/>
        </w:rPr>
      </w:pPr>
      <w:r w:rsidRPr="003F5A03">
        <w:rPr>
          <w:rFonts w:asciiTheme="minorHAnsi" w:hAnsiTheme="minorHAnsi"/>
          <w:b/>
          <w:bCs/>
          <w:lang w:val="fr-CA"/>
        </w:rPr>
        <w:t xml:space="preserve">L’Organisation des Nations Unies, ses institutions spécialisées et les États </w:t>
      </w:r>
      <w:r w:rsidR="00971AC5" w:rsidRPr="003F5A03">
        <w:rPr>
          <w:rFonts w:asciiTheme="minorHAnsi" w:hAnsiTheme="minorHAnsi"/>
          <w:b/>
          <w:bCs/>
          <w:lang w:val="fr-CA"/>
        </w:rPr>
        <w:t xml:space="preserve">qui ne sont pas </w:t>
      </w:r>
      <w:r w:rsidR="001F5554" w:rsidRPr="003F5A03">
        <w:rPr>
          <w:rFonts w:asciiTheme="minorHAnsi" w:hAnsiTheme="minorHAnsi"/>
          <w:b/>
          <w:bCs/>
          <w:lang w:val="fr-CA"/>
        </w:rPr>
        <w:t>P</w:t>
      </w:r>
      <w:r w:rsidRPr="003F5A03">
        <w:rPr>
          <w:rFonts w:asciiTheme="minorHAnsi" w:hAnsiTheme="minorHAnsi"/>
          <w:b/>
          <w:bCs/>
          <w:lang w:val="fr-CA"/>
        </w:rPr>
        <w:t>arties</w:t>
      </w:r>
      <w:r w:rsidR="00971AC5" w:rsidRPr="003F5A03">
        <w:rPr>
          <w:rFonts w:asciiTheme="minorHAnsi" w:hAnsiTheme="minorHAnsi"/>
          <w:b/>
          <w:bCs/>
          <w:lang w:val="fr-CA"/>
        </w:rPr>
        <w:t xml:space="preserve"> à la Convention</w:t>
      </w:r>
      <w:r w:rsidRPr="003F5A03">
        <w:rPr>
          <w:rFonts w:asciiTheme="minorHAnsi" w:hAnsiTheme="minorHAnsi"/>
          <w:b/>
          <w:bCs/>
          <w:lang w:val="fr-CA"/>
        </w:rPr>
        <w:t xml:space="preserve"> </w:t>
      </w:r>
    </w:p>
    <w:p w14:paraId="38473C18" w14:textId="77777777" w:rsidR="005B1BB9" w:rsidRPr="008E6BEB" w:rsidRDefault="005B1BB9"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6C1A9569" w14:textId="34570A75" w:rsidR="00617C4D" w:rsidRPr="008E6BEB" w:rsidRDefault="00CB69E7"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2</w:t>
      </w:r>
      <w:r w:rsidR="00AC1DD6" w:rsidRPr="008E6BEB">
        <w:rPr>
          <w:rFonts w:asciiTheme="minorHAnsi" w:hAnsiTheme="minorHAnsi"/>
          <w:lang w:val="fr-CA"/>
        </w:rPr>
        <w:t>.</w:t>
      </w:r>
      <w:r w:rsidR="00AC1DD6" w:rsidRPr="008E6BEB">
        <w:rPr>
          <w:rFonts w:asciiTheme="minorHAnsi" w:hAnsiTheme="minorHAnsi"/>
          <w:lang w:val="fr-CA"/>
        </w:rPr>
        <w:tab/>
      </w:r>
      <w:r w:rsidR="003F76B5">
        <w:rPr>
          <w:rFonts w:asciiTheme="minorHAnsi" w:hAnsiTheme="minorHAnsi"/>
          <w:lang w:val="fr-CA"/>
        </w:rPr>
        <w:t xml:space="preserve">L’article 6 du </w:t>
      </w:r>
      <w:r w:rsidR="00A0379D">
        <w:rPr>
          <w:rFonts w:asciiTheme="minorHAnsi" w:hAnsiTheme="minorHAnsi"/>
          <w:lang w:val="fr-CA"/>
        </w:rPr>
        <w:t>R</w:t>
      </w:r>
      <w:r w:rsidR="003F76B5">
        <w:rPr>
          <w:rFonts w:asciiTheme="minorHAnsi" w:hAnsiTheme="minorHAnsi"/>
          <w:lang w:val="fr-CA"/>
        </w:rPr>
        <w:t xml:space="preserve">èglement intérieur précise que les observateurs représentant l’Organisation des Nations Unies, ses institutions spécialisées et les États </w:t>
      </w:r>
      <w:r w:rsidR="002C513A">
        <w:rPr>
          <w:rFonts w:asciiTheme="minorHAnsi" w:hAnsiTheme="minorHAnsi"/>
          <w:lang w:val="fr-CA"/>
        </w:rPr>
        <w:t>qui ne sont pas P</w:t>
      </w:r>
      <w:r w:rsidR="003F76B5">
        <w:rPr>
          <w:rFonts w:asciiTheme="minorHAnsi" w:hAnsiTheme="minorHAnsi"/>
          <w:lang w:val="fr-CA"/>
        </w:rPr>
        <w:t xml:space="preserve">arties à la Convention peuvent participer sur invitation du </w:t>
      </w:r>
      <w:r w:rsidR="007A0FE7">
        <w:rPr>
          <w:rFonts w:asciiTheme="minorHAnsi" w:hAnsiTheme="minorHAnsi"/>
          <w:lang w:val="fr-CA"/>
        </w:rPr>
        <w:t>P</w:t>
      </w:r>
      <w:r w:rsidR="003F76B5">
        <w:rPr>
          <w:rFonts w:asciiTheme="minorHAnsi" w:hAnsiTheme="minorHAnsi"/>
          <w:lang w:val="fr-CA"/>
        </w:rPr>
        <w:t>résident, « </w:t>
      </w:r>
      <w:r w:rsidR="00971AC5">
        <w:rPr>
          <w:rFonts w:asciiTheme="minorHAnsi" w:hAnsiTheme="minorHAnsi"/>
          <w:lang w:val="fr-CA"/>
        </w:rPr>
        <w:t>à moins qu’</w:t>
      </w:r>
      <w:r w:rsidR="003F76B5">
        <w:rPr>
          <w:rFonts w:asciiTheme="minorHAnsi" w:hAnsiTheme="minorHAnsi"/>
          <w:lang w:val="fr-CA"/>
        </w:rPr>
        <w:t xml:space="preserve">un tiers au moins des Parties contractantes présentes </w:t>
      </w:r>
      <w:r w:rsidR="00971AC5">
        <w:rPr>
          <w:rFonts w:asciiTheme="minorHAnsi" w:hAnsiTheme="minorHAnsi"/>
          <w:lang w:val="fr-CA"/>
        </w:rPr>
        <w:t>ne</w:t>
      </w:r>
      <w:r w:rsidR="003F76B5">
        <w:rPr>
          <w:rFonts w:asciiTheme="minorHAnsi" w:hAnsiTheme="minorHAnsi"/>
          <w:lang w:val="fr-CA"/>
        </w:rPr>
        <w:t xml:space="preserve"> s’y oppose ». </w:t>
      </w:r>
    </w:p>
    <w:p w14:paraId="153B04C8" w14:textId="77777777" w:rsidR="000A273E" w:rsidRPr="008E6BEB" w:rsidRDefault="000A273E"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3891B100" w14:textId="3712FAD4" w:rsidR="00CB69E7" w:rsidRPr="008E6BEB" w:rsidRDefault="00CB69E7" w:rsidP="008D7493">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3.</w:t>
      </w:r>
      <w:r w:rsidRPr="008E6BEB">
        <w:rPr>
          <w:rFonts w:asciiTheme="minorHAnsi" w:hAnsiTheme="minorHAnsi"/>
          <w:lang w:val="fr-CA"/>
        </w:rPr>
        <w:tab/>
      </w:r>
      <w:r w:rsidR="003F76B5">
        <w:rPr>
          <w:rFonts w:asciiTheme="minorHAnsi" w:hAnsiTheme="minorHAnsi"/>
          <w:lang w:val="fr-CA"/>
        </w:rPr>
        <w:t xml:space="preserve">Pour les observateurs de cette catégorie, le Secrétariat </w:t>
      </w:r>
      <w:r w:rsidR="002212E7">
        <w:rPr>
          <w:rFonts w:asciiTheme="minorHAnsi" w:hAnsiTheme="minorHAnsi"/>
          <w:lang w:val="fr-CA"/>
        </w:rPr>
        <w:t xml:space="preserve">n’a pas </w:t>
      </w:r>
      <w:r w:rsidR="003F76B5">
        <w:rPr>
          <w:rFonts w:asciiTheme="minorHAnsi" w:hAnsiTheme="minorHAnsi"/>
          <w:lang w:val="fr-CA"/>
        </w:rPr>
        <w:t xml:space="preserve">reçu </w:t>
      </w:r>
      <w:r w:rsidR="002212E7">
        <w:rPr>
          <w:rFonts w:asciiTheme="minorHAnsi" w:hAnsiTheme="minorHAnsi"/>
          <w:lang w:val="fr-CA"/>
        </w:rPr>
        <w:t xml:space="preserve">de </w:t>
      </w:r>
      <w:r w:rsidR="003F76B5">
        <w:rPr>
          <w:rFonts w:asciiTheme="minorHAnsi" w:hAnsiTheme="minorHAnsi"/>
          <w:lang w:val="fr-CA"/>
        </w:rPr>
        <w:t xml:space="preserve">préinscriptions au </w:t>
      </w:r>
      <w:r w:rsidR="007A0FE7">
        <w:rPr>
          <w:rFonts w:asciiTheme="minorHAnsi" w:hAnsiTheme="minorHAnsi"/>
          <w:lang w:val="fr-CA"/>
        </w:rPr>
        <w:t>18 </w:t>
      </w:r>
      <w:r w:rsidR="002212E7">
        <w:rPr>
          <w:rFonts w:asciiTheme="minorHAnsi" w:hAnsiTheme="minorHAnsi"/>
          <w:lang w:val="fr-CA"/>
        </w:rPr>
        <w:t>mai</w:t>
      </w:r>
      <w:r w:rsidR="007A0FE7">
        <w:rPr>
          <w:rFonts w:asciiTheme="minorHAnsi" w:hAnsiTheme="minorHAnsi"/>
          <w:lang w:val="fr-CA"/>
        </w:rPr>
        <w:t> 202</w:t>
      </w:r>
      <w:r w:rsidR="002212E7">
        <w:rPr>
          <w:rFonts w:asciiTheme="minorHAnsi" w:hAnsiTheme="minorHAnsi"/>
          <w:lang w:val="fr-CA"/>
        </w:rPr>
        <w:t>2.</w:t>
      </w:r>
    </w:p>
    <w:p w14:paraId="519D92E8" w14:textId="514CA437" w:rsidR="004A5875" w:rsidRPr="008E6BEB" w:rsidRDefault="004A5875" w:rsidP="008D7493">
      <w:pPr>
        <w:pStyle w:val="ListParagraph"/>
        <w:spacing w:after="0" w:line="240" w:lineRule="auto"/>
        <w:ind w:left="850"/>
        <w:rPr>
          <w:rFonts w:asciiTheme="minorHAnsi" w:hAnsiTheme="minorHAnsi" w:cstheme="minorHAnsi"/>
          <w:color w:val="000000"/>
          <w:lang w:val="fr-CA" w:eastAsia="en-GB"/>
        </w:rPr>
      </w:pPr>
    </w:p>
    <w:p w14:paraId="1D0444AC" w14:textId="3E4C203B" w:rsidR="000A273E" w:rsidRPr="003F5A03" w:rsidRDefault="00971AC5" w:rsidP="008D7493">
      <w:pPr>
        <w:tabs>
          <w:tab w:val="num" w:pos="720"/>
          <w:tab w:val="left" w:pos="4253"/>
        </w:tabs>
        <w:overflowPunct w:val="0"/>
        <w:autoSpaceDE w:val="0"/>
        <w:autoSpaceDN w:val="0"/>
        <w:adjustRightInd w:val="0"/>
        <w:spacing w:after="0" w:line="240" w:lineRule="auto"/>
        <w:rPr>
          <w:rFonts w:asciiTheme="minorHAnsi" w:hAnsiTheme="minorHAnsi"/>
          <w:b/>
          <w:bCs/>
          <w:lang w:val="fr-CA"/>
        </w:rPr>
      </w:pPr>
      <w:r w:rsidRPr="003F5A03">
        <w:rPr>
          <w:rFonts w:asciiTheme="minorHAnsi" w:hAnsiTheme="minorHAnsi"/>
          <w:b/>
          <w:bCs/>
          <w:lang w:val="fr-CA"/>
        </w:rPr>
        <w:t xml:space="preserve">D’autres organes </w:t>
      </w:r>
      <w:r w:rsidR="001F5554" w:rsidRPr="003F5A03">
        <w:rPr>
          <w:rFonts w:asciiTheme="minorHAnsi" w:hAnsiTheme="minorHAnsi"/>
          <w:b/>
          <w:bCs/>
          <w:lang w:val="fr-CA"/>
        </w:rPr>
        <w:t>et</w:t>
      </w:r>
      <w:r w:rsidRPr="003F5A03">
        <w:rPr>
          <w:rFonts w:asciiTheme="minorHAnsi" w:hAnsiTheme="minorHAnsi"/>
          <w:b/>
          <w:bCs/>
          <w:lang w:val="fr-CA"/>
        </w:rPr>
        <w:t xml:space="preserve"> agences qualifiés en matière de conservation et d’utilisation </w:t>
      </w:r>
      <w:r w:rsidR="00271D0E" w:rsidRPr="003F5A03">
        <w:rPr>
          <w:rFonts w:asciiTheme="minorHAnsi" w:hAnsiTheme="minorHAnsi"/>
          <w:b/>
          <w:bCs/>
          <w:lang w:val="fr-CA"/>
        </w:rPr>
        <w:t>durable</w:t>
      </w:r>
      <w:r w:rsidRPr="003F5A03">
        <w:rPr>
          <w:rFonts w:asciiTheme="minorHAnsi" w:hAnsiTheme="minorHAnsi"/>
          <w:b/>
          <w:bCs/>
          <w:lang w:val="fr-CA"/>
        </w:rPr>
        <w:t xml:space="preserve"> des</w:t>
      </w:r>
      <w:r w:rsidR="007A0FE7">
        <w:rPr>
          <w:rFonts w:asciiTheme="minorHAnsi" w:hAnsiTheme="minorHAnsi"/>
          <w:b/>
          <w:bCs/>
          <w:lang w:val="fr-CA"/>
        </w:rPr>
        <w:t xml:space="preserve"> </w:t>
      </w:r>
      <w:r w:rsidRPr="003F5A03">
        <w:rPr>
          <w:rFonts w:asciiTheme="minorHAnsi" w:hAnsiTheme="minorHAnsi"/>
          <w:b/>
          <w:bCs/>
          <w:lang w:val="fr-CA"/>
        </w:rPr>
        <w:t xml:space="preserve">zones humides </w:t>
      </w:r>
    </w:p>
    <w:p w14:paraId="485E7CFD" w14:textId="77777777" w:rsidR="00617C4D" w:rsidRPr="008E6BEB" w:rsidRDefault="00617C4D" w:rsidP="008D7493">
      <w:pPr>
        <w:tabs>
          <w:tab w:val="num" w:pos="720"/>
          <w:tab w:val="left" w:pos="4253"/>
        </w:tabs>
        <w:overflowPunct w:val="0"/>
        <w:autoSpaceDE w:val="0"/>
        <w:autoSpaceDN w:val="0"/>
        <w:adjustRightInd w:val="0"/>
        <w:spacing w:after="0" w:line="240" w:lineRule="auto"/>
        <w:ind w:left="425" w:hanging="425"/>
        <w:rPr>
          <w:lang w:val="fr-CA"/>
        </w:rPr>
      </w:pPr>
    </w:p>
    <w:p w14:paraId="0B3A4A3C" w14:textId="053F5E48" w:rsidR="009F56D8" w:rsidRPr="008E6BEB" w:rsidRDefault="00811DAC" w:rsidP="008D7493">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 xml:space="preserve">4. </w:t>
      </w:r>
      <w:r w:rsidRPr="008E6BEB">
        <w:rPr>
          <w:lang w:val="fr-CA"/>
        </w:rPr>
        <w:tab/>
      </w:r>
      <w:r w:rsidR="002C513A">
        <w:rPr>
          <w:lang w:val="fr-CA"/>
        </w:rPr>
        <w:t xml:space="preserve">Les articles </w:t>
      </w:r>
      <w:r w:rsidR="00C95279" w:rsidRPr="008E6BEB">
        <w:rPr>
          <w:lang w:val="fr-CA"/>
        </w:rPr>
        <w:t>7.1</w:t>
      </w:r>
      <w:r w:rsidR="00DA1A85" w:rsidRPr="008E6BEB">
        <w:rPr>
          <w:lang w:val="fr-CA"/>
        </w:rPr>
        <w:t xml:space="preserve"> </w:t>
      </w:r>
      <w:r w:rsidR="002C513A">
        <w:rPr>
          <w:lang w:val="fr-CA"/>
        </w:rPr>
        <w:t>et</w:t>
      </w:r>
      <w:r w:rsidR="00DA1A85" w:rsidRPr="008E6BEB">
        <w:rPr>
          <w:lang w:val="fr-CA"/>
        </w:rPr>
        <w:t xml:space="preserve"> 7.2</w:t>
      </w:r>
      <w:r w:rsidR="00C95279" w:rsidRPr="008E6BEB">
        <w:rPr>
          <w:rFonts w:asciiTheme="minorHAnsi" w:hAnsiTheme="minorHAnsi"/>
          <w:lang w:val="fr-CA"/>
        </w:rPr>
        <w:t xml:space="preserve"> </w:t>
      </w:r>
      <w:r w:rsidR="002C513A">
        <w:rPr>
          <w:rFonts w:asciiTheme="minorHAnsi" w:hAnsiTheme="minorHAnsi"/>
          <w:lang w:val="fr-CA"/>
        </w:rPr>
        <w:t>portent sur la « </w:t>
      </w:r>
      <w:r w:rsidR="00C95279" w:rsidRPr="008E6BEB">
        <w:rPr>
          <w:lang w:val="fr-CA"/>
        </w:rPr>
        <w:t xml:space="preserve">Participation </w:t>
      </w:r>
      <w:r w:rsidR="002C513A">
        <w:rPr>
          <w:lang w:val="fr-CA"/>
        </w:rPr>
        <w:t>d’autres organes ou agences » comme suit :</w:t>
      </w:r>
      <w:r w:rsidR="00C95279" w:rsidRPr="008E6BEB">
        <w:rPr>
          <w:lang w:val="fr-CA"/>
        </w:rPr>
        <w:t xml:space="preserve"> </w:t>
      </w:r>
    </w:p>
    <w:p w14:paraId="563E9D9D" w14:textId="77777777" w:rsidR="00DA1A85" w:rsidRPr="008E6BEB" w:rsidRDefault="00DA1A85" w:rsidP="008D7493">
      <w:pPr>
        <w:pStyle w:val="ListParagraph"/>
        <w:tabs>
          <w:tab w:val="num" w:pos="720"/>
          <w:tab w:val="left" w:pos="4253"/>
        </w:tabs>
        <w:overflowPunct w:val="0"/>
        <w:autoSpaceDE w:val="0"/>
        <w:autoSpaceDN w:val="0"/>
        <w:adjustRightInd w:val="0"/>
        <w:spacing w:after="0" w:line="240" w:lineRule="auto"/>
        <w:ind w:left="780"/>
        <w:rPr>
          <w:lang w:val="fr-CA"/>
        </w:rPr>
      </w:pPr>
    </w:p>
    <w:p w14:paraId="3B316441" w14:textId="2AAD4AE2" w:rsidR="00DA1A85" w:rsidRPr="008E6BEB" w:rsidRDefault="00AC1DD6" w:rsidP="008D7493">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t>7.</w:t>
      </w:r>
      <w:r w:rsidR="00DA1A85" w:rsidRPr="008E6BEB">
        <w:rPr>
          <w:i/>
          <w:lang w:val="fr-CA"/>
        </w:rPr>
        <w:t>1.</w:t>
      </w:r>
      <w:r w:rsidR="00DA1A85" w:rsidRPr="008E6BEB">
        <w:rPr>
          <w:i/>
          <w:lang w:val="fr-CA"/>
        </w:rPr>
        <w:tab/>
      </w:r>
      <w:r w:rsidR="00983949" w:rsidRPr="008E6BEB">
        <w:rPr>
          <w:i/>
          <w:lang w:val="fr-CA"/>
        </w:rPr>
        <w:t xml:space="preserve">Tout organe ou agence, national ou international, gouvernemental ou non gouvernemental, qualifié en matière de conservation et d’utilisation </w:t>
      </w:r>
      <w:r w:rsidR="00983949" w:rsidRPr="00271D0E">
        <w:rPr>
          <w:i/>
          <w:lang w:val="fr-CA"/>
        </w:rPr>
        <w:t>durable</w:t>
      </w:r>
      <w:r w:rsidR="00983949" w:rsidRPr="008E6BEB">
        <w:rPr>
          <w:i/>
          <w:lang w:val="fr-CA"/>
        </w:rPr>
        <w:t xml:space="preserve"> des zones humides, qui a fait part au Secrétariat de son désir d’être représenté aux sessions de la Conférence des Parties, peut être représenté à toute session par des observateurs, à moins qu’un tiers au moins des Parties présentes ne s’y oppose.</w:t>
      </w:r>
      <w:r w:rsidR="00DA1A85" w:rsidRPr="008E6BEB">
        <w:rPr>
          <w:i/>
          <w:lang w:val="fr-CA"/>
        </w:rPr>
        <w:t xml:space="preserve"> </w:t>
      </w:r>
    </w:p>
    <w:p w14:paraId="70DFF1BE" w14:textId="77777777" w:rsidR="00DA1A85" w:rsidRPr="008E6BEB" w:rsidRDefault="00DA1A85" w:rsidP="008D7493">
      <w:pPr>
        <w:tabs>
          <w:tab w:val="num" w:pos="720"/>
          <w:tab w:val="left" w:pos="4253"/>
        </w:tabs>
        <w:overflowPunct w:val="0"/>
        <w:autoSpaceDE w:val="0"/>
        <w:autoSpaceDN w:val="0"/>
        <w:adjustRightInd w:val="0"/>
        <w:spacing w:after="0" w:line="240" w:lineRule="auto"/>
        <w:ind w:left="850" w:hanging="425"/>
        <w:rPr>
          <w:i/>
          <w:lang w:val="fr-CA"/>
        </w:rPr>
      </w:pPr>
    </w:p>
    <w:p w14:paraId="5A4A07F3" w14:textId="77A8AC3E" w:rsidR="00DA1A85" w:rsidRPr="008E6BEB" w:rsidRDefault="00AC1DD6" w:rsidP="008D7493">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lastRenderedPageBreak/>
        <w:t>7.2</w:t>
      </w:r>
      <w:r w:rsidRPr="008E6BEB">
        <w:rPr>
          <w:i/>
          <w:lang w:val="fr-CA"/>
        </w:rPr>
        <w:tab/>
      </w:r>
      <w:r w:rsidRPr="008E6BEB">
        <w:rPr>
          <w:i/>
          <w:lang w:val="fr-CA"/>
        </w:rPr>
        <w:tab/>
      </w:r>
      <w:r w:rsidR="00983949" w:rsidRPr="008E6BEB">
        <w:rPr>
          <w:i/>
          <w:lang w:val="fr-CA"/>
        </w:rPr>
        <w:t>Les organes ou agences qui désirent obtenir le statut d’observateur aux fins d’assister aux sessions de la Conférence des Parties soumettent la documentation appropriée au Secrétariat pour examen, trois mois avant une session ordinaire et un mois avant une session extraordinaire</w:t>
      </w:r>
      <w:r w:rsidR="00DA1A85" w:rsidRPr="008E6BEB">
        <w:rPr>
          <w:i/>
          <w:lang w:val="fr-CA"/>
        </w:rPr>
        <w:t>.</w:t>
      </w:r>
    </w:p>
    <w:p w14:paraId="651FCDEA" w14:textId="77777777" w:rsidR="00DA1A85" w:rsidRPr="008E6BEB" w:rsidRDefault="00DA1A85" w:rsidP="008D7493">
      <w:pPr>
        <w:tabs>
          <w:tab w:val="num" w:pos="720"/>
          <w:tab w:val="left" w:pos="4253"/>
        </w:tabs>
        <w:overflowPunct w:val="0"/>
        <w:autoSpaceDE w:val="0"/>
        <w:autoSpaceDN w:val="0"/>
        <w:adjustRightInd w:val="0"/>
        <w:spacing w:after="0" w:line="240" w:lineRule="auto"/>
        <w:rPr>
          <w:rFonts w:asciiTheme="minorHAnsi" w:hAnsiTheme="minorHAnsi"/>
          <w:i/>
          <w:lang w:val="fr-CA"/>
        </w:rPr>
      </w:pPr>
    </w:p>
    <w:p w14:paraId="64EA9AB3" w14:textId="244B7066" w:rsidR="00811DAC" w:rsidRPr="008E6BEB" w:rsidRDefault="00811DAC"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8E6BEB">
        <w:rPr>
          <w:rFonts w:asciiTheme="minorHAnsi" w:hAnsiTheme="minorHAnsi" w:cs="Garamond"/>
          <w:lang w:val="fr-CA"/>
        </w:rPr>
        <w:t>5.</w:t>
      </w:r>
      <w:r w:rsidRPr="008E6BEB">
        <w:rPr>
          <w:rFonts w:asciiTheme="minorHAnsi" w:hAnsiTheme="minorHAnsi" w:cs="Garamond"/>
          <w:lang w:val="fr-CA"/>
        </w:rPr>
        <w:tab/>
      </w:r>
      <w:r w:rsidR="00061857">
        <w:rPr>
          <w:rFonts w:asciiTheme="minorHAnsi" w:hAnsiTheme="minorHAnsi" w:cs="Garamond"/>
          <w:lang w:val="fr-CA"/>
        </w:rPr>
        <w:t>L’article</w:t>
      </w:r>
      <w:r w:rsidRPr="008E6BEB">
        <w:rPr>
          <w:rFonts w:asciiTheme="minorHAnsi" w:hAnsiTheme="minorHAnsi" w:cs="Garamond"/>
          <w:lang w:val="fr-CA"/>
        </w:rPr>
        <w:t xml:space="preserve"> 7.7 </w:t>
      </w:r>
      <w:r w:rsidR="00061857">
        <w:rPr>
          <w:rFonts w:asciiTheme="minorHAnsi" w:hAnsiTheme="minorHAnsi" w:cs="Garamond"/>
          <w:lang w:val="fr-CA"/>
        </w:rPr>
        <w:t xml:space="preserve">demande au Secrétariat d’informer les organes ou agences </w:t>
      </w:r>
      <w:r w:rsidR="00271D0E">
        <w:rPr>
          <w:rFonts w:asciiTheme="minorHAnsi" w:hAnsiTheme="minorHAnsi" w:cs="Garamond"/>
          <w:lang w:val="fr-CA"/>
        </w:rPr>
        <w:t xml:space="preserve">ayant été </w:t>
      </w:r>
      <w:r w:rsidR="00061857">
        <w:rPr>
          <w:rFonts w:asciiTheme="minorHAnsi" w:hAnsiTheme="minorHAnsi" w:cs="Garamond"/>
          <w:lang w:val="fr-CA"/>
        </w:rPr>
        <w:t>approuvés précédemment de la date et du lieu des sessions de la Conférence des Parties « </w:t>
      </w:r>
      <w:r w:rsidR="00DE18DA" w:rsidRPr="008E6BEB">
        <w:rPr>
          <w:rFonts w:asciiTheme="minorHAnsi" w:hAnsiTheme="minorHAnsi" w:cs="Garamond"/>
          <w:lang w:val="fr-CA"/>
        </w:rPr>
        <w:t>afin qu’ils puissent s’y faire représenter</w:t>
      </w:r>
      <w:r w:rsidR="00061857">
        <w:rPr>
          <w:rFonts w:asciiTheme="minorHAnsi" w:hAnsiTheme="minorHAnsi" w:cs="Garamond"/>
          <w:lang w:val="fr-CA"/>
        </w:rPr>
        <w:t> »</w:t>
      </w:r>
      <w:r w:rsidRPr="008E6BEB">
        <w:rPr>
          <w:rFonts w:asciiTheme="minorHAnsi" w:hAnsiTheme="minorHAnsi" w:cs="Garamond"/>
          <w:lang w:val="fr-CA"/>
        </w:rPr>
        <w:t>.</w:t>
      </w:r>
    </w:p>
    <w:p w14:paraId="173DAF0E" w14:textId="6DF93530" w:rsidR="00811DAC" w:rsidRPr="008E6BEB" w:rsidRDefault="00811DAC"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F5A7003" w14:textId="0533A0B3" w:rsidR="005B4CA5" w:rsidRPr="008E6BEB" w:rsidRDefault="00061857" w:rsidP="008D7493">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Pr>
          <w:rFonts w:asciiTheme="minorHAnsi" w:hAnsiTheme="minorHAnsi" w:cs="Garamond"/>
          <w:u w:val="single"/>
          <w:lang w:val="fr-CA"/>
        </w:rPr>
        <w:t>Organes ou agences précédemment approuvés</w:t>
      </w:r>
    </w:p>
    <w:p w14:paraId="65E7E218" w14:textId="77777777" w:rsidR="005B4CA5" w:rsidRPr="008E6BEB" w:rsidRDefault="005B4CA5"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BD99E18" w14:textId="261F8F67" w:rsidR="005B4CA5" w:rsidRPr="008E6BEB" w:rsidRDefault="005B4CA5"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8E6BEB">
        <w:rPr>
          <w:rFonts w:asciiTheme="minorHAnsi" w:hAnsiTheme="minorHAnsi" w:cs="Garamond"/>
          <w:lang w:val="fr-CA"/>
        </w:rPr>
        <w:t>6.</w:t>
      </w:r>
      <w:r w:rsidRPr="008E6BEB">
        <w:rPr>
          <w:rFonts w:asciiTheme="minorHAnsi" w:hAnsiTheme="minorHAnsi" w:cs="Garamond"/>
          <w:lang w:val="fr-CA"/>
        </w:rPr>
        <w:tab/>
      </w:r>
      <w:r w:rsidR="00061857">
        <w:rPr>
          <w:rFonts w:asciiTheme="minorHAnsi" w:hAnsiTheme="minorHAnsi" w:cs="Garamond"/>
          <w:lang w:val="fr-CA"/>
        </w:rPr>
        <w:t xml:space="preserve">Les organes ou agences suivants ayant été approuvés pour être représentés par des observateurs à des sessions précédentes de la Conférence des Parties contractantes se sont inscrits pour participer à la </w:t>
      </w:r>
      <w:r w:rsidR="00B449CB">
        <w:rPr>
          <w:rFonts w:asciiTheme="minorHAnsi" w:hAnsiTheme="minorHAnsi" w:cs="Garamond"/>
          <w:lang w:val="fr-CA"/>
        </w:rPr>
        <w:t>5</w:t>
      </w:r>
      <w:r w:rsidR="002117CD">
        <w:rPr>
          <w:rFonts w:asciiTheme="minorHAnsi" w:hAnsiTheme="minorHAnsi" w:cs="Garamond"/>
          <w:lang w:val="fr-CA"/>
        </w:rPr>
        <w:t>9</w:t>
      </w:r>
      <w:r w:rsidR="00B449CB" w:rsidRPr="00B449CB">
        <w:rPr>
          <w:rFonts w:asciiTheme="minorHAnsi" w:hAnsiTheme="minorHAnsi" w:cs="Garamond"/>
          <w:vertAlign w:val="superscript"/>
          <w:lang w:val="fr-CA"/>
        </w:rPr>
        <w:t>e</w:t>
      </w:r>
      <w:r w:rsidR="00B449CB">
        <w:rPr>
          <w:rFonts w:asciiTheme="minorHAnsi" w:hAnsiTheme="minorHAnsi" w:cs="Garamond"/>
          <w:lang w:val="fr-CA"/>
        </w:rPr>
        <w:t xml:space="preserve"> Réunion du Comité permanent</w:t>
      </w:r>
      <w:r w:rsidR="00061857">
        <w:rPr>
          <w:rFonts w:asciiTheme="minorHAnsi" w:hAnsiTheme="minorHAnsi" w:cs="Garamond"/>
          <w:lang w:val="fr-CA"/>
        </w:rPr>
        <w:t> </w:t>
      </w:r>
      <w:r w:rsidR="00E32E56">
        <w:rPr>
          <w:rFonts w:asciiTheme="minorHAnsi" w:hAnsiTheme="minorHAnsi" w:cs="Garamond"/>
          <w:lang w:val="fr-CA"/>
        </w:rPr>
        <w:t>(r</w:t>
      </w:r>
      <w:bookmarkStart w:id="0" w:name="_GoBack"/>
      <w:bookmarkEnd w:id="0"/>
      <w:r w:rsidR="00E32E56" w:rsidRPr="00E32E56">
        <w:rPr>
          <w:rFonts w:asciiTheme="minorHAnsi" w:hAnsiTheme="minorHAnsi" w:cs="Garamond"/>
          <w:lang w:val="fr-CA"/>
        </w:rPr>
        <w:t>eprise de séance</w:t>
      </w:r>
      <w:r w:rsidR="00E32E56">
        <w:rPr>
          <w:rFonts w:asciiTheme="minorHAnsi" w:hAnsiTheme="minorHAnsi" w:cs="Garamond"/>
          <w:lang w:val="fr-CA"/>
        </w:rPr>
        <w:t xml:space="preserve">) </w:t>
      </w:r>
      <w:r w:rsidRPr="008E6BEB">
        <w:rPr>
          <w:rFonts w:asciiTheme="minorHAnsi" w:hAnsiTheme="minorHAnsi" w:cs="Garamond"/>
          <w:lang w:val="fr-CA"/>
        </w:rPr>
        <w:t>:</w:t>
      </w:r>
    </w:p>
    <w:p w14:paraId="58728E53" w14:textId="77777777" w:rsidR="00B15B43" w:rsidRPr="008E6BEB" w:rsidRDefault="00B15B43"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DCAF772" w14:textId="00F60899" w:rsidR="00B15B43" w:rsidRPr="008E6BEB" w:rsidRDefault="00B15B43" w:rsidP="008D7493">
      <w:pPr>
        <w:tabs>
          <w:tab w:val="left" w:pos="4253"/>
        </w:tabs>
        <w:overflowPunct w:val="0"/>
        <w:autoSpaceDE w:val="0"/>
        <w:autoSpaceDN w:val="0"/>
        <w:adjustRightInd w:val="0"/>
        <w:spacing w:after="0" w:line="240" w:lineRule="auto"/>
        <w:ind w:left="426" w:hanging="426"/>
        <w:rPr>
          <w:rFonts w:asciiTheme="minorHAnsi" w:hAnsiTheme="minorHAnsi" w:cs="Garamond"/>
          <w:u w:val="single"/>
          <w:lang w:val="fr-CA"/>
        </w:rPr>
      </w:pPr>
      <w:r w:rsidRPr="008E6BEB">
        <w:rPr>
          <w:rFonts w:asciiTheme="minorHAnsi" w:hAnsiTheme="minorHAnsi" w:cs="Garamond"/>
          <w:lang w:val="fr-CA"/>
        </w:rPr>
        <w:tab/>
      </w:r>
      <w:r w:rsidR="00482AB8" w:rsidRPr="00482AB8">
        <w:rPr>
          <w:rFonts w:asciiTheme="minorHAnsi" w:hAnsiTheme="minorHAnsi" w:cs="Garamond"/>
          <w:u w:val="single"/>
          <w:lang w:val="fr-CA"/>
        </w:rPr>
        <w:t>i</w:t>
      </w:r>
      <w:r w:rsidR="00061857">
        <w:rPr>
          <w:rFonts w:asciiTheme="minorHAnsi" w:hAnsiTheme="minorHAnsi" w:cs="Garamond"/>
          <w:u w:val="single"/>
          <w:lang w:val="fr-CA"/>
        </w:rPr>
        <w:t>ntergouvernementa</w:t>
      </w:r>
      <w:r w:rsidR="00482AB8">
        <w:rPr>
          <w:rFonts w:asciiTheme="minorHAnsi" w:hAnsiTheme="minorHAnsi" w:cs="Garamond"/>
          <w:u w:val="single"/>
          <w:lang w:val="fr-CA"/>
        </w:rPr>
        <w:t>ux</w:t>
      </w:r>
    </w:p>
    <w:p w14:paraId="22D2A4DA" w14:textId="77777777" w:rsidR="00B15B43" w:rsidRPr="008E6BEB" w:rsidRDefault="00B15B43" w:rsidP="008D749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p>
    <w:p w14:paraId="0AB6D33E" w14:textId="30236AFD" w:rsidR="00B15B43" w:rsidRPr="00B449CB" w:rsidRDefault="00B449CB" w:rsidP="008D7493">
      <w:pPr>
        <w:pStyle w:val="ListParagraph"/>
        <w:numPr>
          <w:ilvl w:val="0"/>
          <w:numId w:val="12"/>
        </w:numPr>
        <w:spacing w:after="0" w:line="240" w:lineRule="auto"/>
        <w:ind w:left="850" w:hanging="425"/>
        <w:rPr>
          <w:rFonts w:asciiTheme="minorHAnsi" w:hAnsiTheme="minorHAnsi" w:cstheme="minorHAnsi"/>
          <w:color w:val="000000"/>
          <w:lang w:val="es-ES" w:eastAsia="en-GB"/>
        </w:rPr>
      </w:pPr>
      <w:r w:rsidRPr="00B449CB">
        <w:rPr>
          <w:rFonts w:asciiTheme="minorHAnsi" w:hAnsiTheme="minorHAnsi" w:cstheme="minorHAnsi"/>
          <w:color w:val="000000"/>
          <w:lang w:val="es-ES" w:eastAsia="en-GB"/>
        </w:rPr>
        <w:t>Centro Regional Ramsar para la Capacitación e Investigación sobre humedales para el Hemisferio Occidental (CREHO)</w:t>
      </w:r>
    </w:p>
    <w:p w14:paraId="19980F0C" w14:textId="02BDEDDF" w:rsidR="00B15B43" w:rsidRDefault="00482AB8" w:rsidP="008D749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Union internationale pour la conservation de la nature</w:t>
      </w:r>
      <w:r w:rsidR="00B15B43" w:rsidRPr="008E6BEB">
        <w:rPr>
          <w:rFonts w:asciiTheme="minorHAnsi" w:hAnsiTheme="minorHAnsi" w:cstheme="minorHAnsi"/>
          <w:color w:val="000000"/>
          <w:lang w:val="fr-CA" w:eastAsia="en-GB"/>
        </w:rPr>
        <w:t xml:space="preserve"> – </w:t>
      </w:r>
      <w:r>
        <w:rPr>
          <w:rFonts w:asciiTheme="minorHAnsi" w:hAnsiTheme="minorHAnsi" w:cstheme="minorHAnsi"/>
          <w:color w:val="000000"/>
          <w:lang w:val="fr-CA" w:eastAsia="en-GB"/>
        </w:rPr>
        <w:t>UICN</w:t>
      </w:r>
    </w:p>
    <w:p w14:paraId="4B49D393" w14:textId="77777777" w:rsidR="00B15B43" w:rsidRPr="008E6BEB" w:rsidRDefault="00B15B43" w:rsidP="008D7493">
      <w:pPr>
        <w:tabs>
          <w:tab w:val="left" w:pos="4253"/>
        </w:tabs>
        <w:overflowPunct w:val="0"/>
        <w:autoSpaceDE w:val="0"/>
        <w:autoSpaceDN w:val="0"/>
        <w:adjustRightInd w:val="0"/>
        <w:spacing w:after="0" w:line="240" w:lineRule="auto"/>
        <w:ind w:left="851" w:hanging="851"/>
        <w:rPr>
          <w:rFonts w:asciiTheme="minorHAnsi" w:hAnsiTheme="minorHAnsi" w:cs="Garamond"/>
          <w:lang w:val="fr-CA"/>
        </w:rPr>
      </w:pPr>
    </w:p>
    <w:p w14:paraId="6A46853E" w14:textId="2C870A4C" w:rsidR="00B15B43" w:rsidRPr="008E6BEB" w:rsidRDefault="00482AB8" w:rsidP="008D7493">
      <w:pPr>
        <w:tabs>
          <w:tab w:val="left" w:pos="4253"/>
        </w:tabs>
        <w:overflowPunct w:val="0"/>
        <w:autoSpaceDE w:val="0"/>
        <w:autoSpaceDN w:val="0"/>
        <w:adjustRightInd w:val="0"/>
        <w:spacing w:after="0" w:line="240" w:lineRule="auto"/>
        <w:ind w:firstLine="426"/>
        <w:rPr>
          <w:rFonts w:asciiTheme="minorHAnsi" w:hAnsiTheme="minorHAnsi" w:cs="Garamond"/>
          <w:u w:val="single"/>
          <w:lang w:val="fr-CA"/>
        </w:rPr>
      </w:pPr>
      <w:r>
        <w:rPr>
          <w:rFonts w:asciiTheme="minorHAnsi" w:hAnsiTheme="minorHAnsi" w:cs="Garamond"/>
          <w:u w:val="single"/>
          <w:lang w:val="fr-CA"/>
        </w:rPr>
        <w:t xml:space="preserve">non </w:t>
      </w:r>
      <w:r w:rsidRPr="008E6BEB">
        <w:rPr>
          <w:rFonts w:asciiTheme="minorHAnsi" w:hAnsiTheme="minorHAnsi" w:cs="Garamond"/>
          <w:u w:val="single"/>
          <w:lang w:val="fr-CA"/>
        </w:rPr>
        <w:t>gouvernementa</w:t>
      </w:r>
      <w:r>
        <w:rPr>
          <w:rFonts w:asciiTheme="minorHAnsi" w:hAnsiTheme="minorHAnsi" w:cs="Garamond"/>
          <w:u w:val="single"/>
          <w:lang w:val="fr-CA"/>
        </w:rPr>
        <w:t>ux</w:t>
      </w:r>
    </w:p>
    <w:p w14:paraId="3692BD5C" w14:textId="77777777" w:rsidR="005B4CA5" w:rsidRPr="008E6BEB" w:rsidRDefault="005B4CA5" w:rsidP="008D7493">
      <w:pPr>
        <w:spacing w:after="0" w:line="240" w:lineRule="auto"/>
        <w:rPr>
          <w:rFonts w:asciiTheme="minorHAnsi" w:hAnsiTheme="minorHAnsi" w:cstheme="minorHAnsi"/>
          <w:color w:val="000000"/>
          <w:lang w:val="fr-CA" w:eastAsia="en-GB"/>
        </w:rPr>
      </w:pPr>
    </w:p>
    <w:p w14:paraId="245085DE" w14:textId="77777777" w:rsidR="00866C97" w:rsidRPr="00866C97" w:rsidRDefault="00866C97" w:rsidP="00866C97">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866C97">
        <w:rPr>
          <w:rFonts w:asciiTheme="minorHAnsi" w:hAnsiTheme="minorHAnsi" w:cstheme="minorHAnsi"/>
          <w:color w:val="000000"/>
          <w:lang w:val="en-GB" w:eastAsia="en-GB"/>
        </w:rPr>
        <w:t>BirdLife International</w:t>
      </w:r>
    </w:p>
    <w:p w14:paraId="173A0A1A" w14:textId="09AD019D" w:rsidR="00555684" w:rsidRPr="00866C97" w:rsidRDefault="00555684" w:rsidP="008D749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866C97">
        <w:rPr>
          <w:rFonts w:asciiTheme="minorHAnsi" w:hAnsiTheme="minorHAnsi" w:cstheme="minorHAnsi"/>
          <w:color w:val="000000"/>
          <w:lang w:val="en-GB" w:eastAsia="en-GB"/>
        </w:rPr>
        <w:t>International Center for Environmental Research</w:t>
      </w:r>
    </w:p>
    <w:p w14:paraId="6D6577B4" w14:textId="77777777" w:rsidR="00105845" w:rsidRPr="002F09A9" w:rsidRDefault="00105845" w:rsidP="0010584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2F09A9">
        <w:rPr>
          <w:rFonts w:asciiTheme="minorHAnsi" w:hAnsiTheme="minorHAnsi" w:cstheme="minorHAnsi"/>
          <w:color w:val="000000"/>
          <w:lang w:val="fr-FR" w:eastAsia="en-GB"/>
        </w:rPr>
        <w:t>International Water Management Institute</w:t>
      </w:r>
    </w:p>
    <w:p w14:paraId="3C27A093" w14:textId="30F517D3" w:rsidR="005B4CA5" w:rsidRPr="002F09A9" w:rsidRDefault="00105845" w:rsidP="0010584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2F09A9">
        <w:rPr>
          <w:rFonts w:asciiTheme="minorHAnsi" w:hAnsiTheme="minorHAnsi" w:cstheme="minorHAnsi"/>
          <w:color w:val="000000"/>
          <w:lang w:val="fr-FR" w:eastAsia="en-GB"/>
        </w:rPr>
        <w:t>Centre r</w:t>
      </w:r>
      <w:r w:rsidR="002F09A9" w:rsidRPr="002F09A9">
        <w:rPr>
          <w:rFonts w:asciiTheme="minorHAnsi" w:hAnsiTheme="minorHAnsi" w:cstheme="minorHAnsi"/>
          <w:color w:val="000000"/>
          <w:lang w:val="fr-FR" w:eastAsia="en-GB"/>
        </w:rPr>
        <w:t>é</w:t>
      </w:r>
      <w:r w:rsidRPr="002F09A9">
        <w:rPr>
          <w:rFonts w:asciiTheme="minorHAnsi" w:hAnsiTheme="minorHAnsi" w:cstheme="minorHAnsi"/>
          <w:color w:val="000000"/>
          <w:lang w:val="fr-FR" w:eastAsia="en-GB"/>
        </w:rPr>
        <w:t xml:space="preserve">gional </w:t>
      </w:r>
      <w:r w:rsidR="00555684" w:rsidRPr="002F09A9">
        <w:rPr>
          <w:rFonts w:asciiTheme="minorHAnsi" w:hAnsiTheme="minorHAnsi" w:cstheme="minorHAnsi"/>
          <w:color w:val="000000"/>
          <w:lang w:val="fr-FR" w:eastAsia="en-GB"/>
        </w:rPr>
        <w:t xml:space="preserve">Ramsar </w:t>
      </w:r>
      <w:r w:rsidRPr="002F09A9">
        <w:rPr>
          <w:rFonts w:asciiTheme="minorHAnsi" w:hAnsiTheme="minorHAnsi" w:cstheme="minorHAnsi"/>
          <w:color w:val="000000"/>
          <w:lang w:val="fr-FR" w:eastAsia="en-GB"/>
        </w:rPr>
        <w:t>– Asie de l’Est (RRC-EA)</w:t>
      </w:r>
    </w:p>
    <w:p w14:paraId="61EBE39B" w14:textId="24F9AB0F" w:rsidR="00555684" w:rsidRPr="002F09A9" w:rsidRDefault="00555684" w:rsidP="008D7493">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2F09A9">
        <w:rPr>
          <w:rFonts w:asciiTheme="minorHAnsi" w:hAnsiTheme="minorHAnsi" w:cstheme="minorHAnsi"/>
          <w:color w:val="333333"/>
          <w:lang w:val="fr-FR"/>
        </w:rPr>
        <w:t xml:space="preserve">The Wildfowl &amp; Wetlands Trust </w:t>
      </w:r>
    </w:p>
    <w:p w14:paraId="19243405" w14:textId="101E8BB2" w:rsidR="00105845" w:rsidRPr="002F09A9" w:rsidRDefault="00105845" w:rsidP="008D7493">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2F09A9">
        <w:rPr>
          <w:rFonts w:asciiTheme="minorHAnsi" w:hAnsiTheme="minorHAnsi" w:cstheme="minorHAnsi"/>
          <w:color w:val="333333"/>
          <w:lang w:val="fr-FR"/>
        </w:rPr>
        <w:t>Wetlands International</w:t>
      </w:r>
    </w:p>
    <w:p w14:paraId="3187A96B" w14:textId="34B9E060" w:rsidR="00555684" w:rsidRPr="00866C97" w:rsidRDefault="00555684" w:rsidP="008D7493">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B265A4">
        <w:rPr>
          <w:rFonts w:asciiTheme="minorHAnsi" w:hAnsiTheme="minorHAnsi" w:cstheme="minorHAnsi"/>
          <w:color w:val="333333"/>
          <w:lang w:val="en"/>
        </w:rPr>
        <w:t>Wetlands International Japan</w:t>
      </w:r>
    </w:p>
    <w:p w14:paraId="61D2052E" w14:textId="77777777" w:rsidR="00866C97" w:rsidRPr="00866C97" w:rsidRDefault="00866C97" w:rsidP="00866C97">
      <w:pPr>
        <w:pStyle w:val="ListParagraph"/>
        <w:numPr>
          <w:ilvl w:val="0"/>
          <w:numId w:val="12"/>
        </w:numPr>
        <w:spacing w:after="0" w:line="240" w:lineRule="auto"/>
        <w:ind w:left="850" w:hanging="425"/>
        <w:rPr>
          <w:rFonts w:asciiTheme="minorHAnsi" w:hAnsiTheme="minorHAnsi" w:cstheme="minorHAnsi"/>
          <w:color w:val="333333"/>
          <w:lang w:val="fr-FR"/>
        </w:rPr>
      </w:pPr>
      <w:r w:rsidRPr="00866C97">
        <w:rPr>
          <w:rFonts w:asciiTheme="minorHAnsi" w:hAnsiTheme="minorHAnsi" w:cstheme="minorHAnsi"/>
          <w:color w:val="333333"/>
          <w:lang w:val="fr-FR"/>
        </w:rPr>
        <w:t>WWF-Ukraine</w:t>
      </w:r>
    </w:p>
    <w:p w14:paraId="59E18CC1" w14:textId="4D231C5F" w:rsidR="00866C97" w:rsidRPr="00866C97" w:rsidRDefault="00866C97" w:rsidP="00866C97">
      <w:pPr>
        <w:pStyle w:val="ListParagraph"/>
        <w:numPr>
          <w:ilvl w:val="0"/>
          <w:numId w:val="12"/>
        </w:numPr>
        <w:spacing w:after="0" w:line="240" w:lineRule="auto"/>
        <w:ind w:left="850" w:hanging="425"/>
        <w:rPr>
          <w:rFonts w:asciiTheme="minorHAnsi" w:hAnsiTheme="minorHAnsi" w:cstheme="minorHAnsi"/>
          <w:color w:val="333333"/>
          <w:lang w:val="fr-FR"/>
        </w:rPr>
      </w:pPr>
      <w:r w:rsidRPr="00866C97">
        <w:rPr>
          <w:rFonts w:asciiTheme="minorHAnsi" w:hAnsiTheme="minorHAnsi" w:cstheme="minorHAnsi"/>
          <w:color w:val="333333"/>
          <w:lang w:val="fr-FR"/>
        </w:rPr>
        <w:t xml:space="preserve">Youth Engaged in Wetlands  </w:t>
      </w:r>
    </w:p>
    <w:p w14:paraId="380814D3" w14:textId="77777777" w:rsidR="005B4CA5" w:rsidRPr="008E6BEB" w:rsidRDefault="005B4CA5"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B87F85D" w14:textId="458DBB93" w:rsidR="005B4CA5" w:rsidRPr="00792AB0" w:rsidRDefault="00792AB0" w:rsidP="008D7493">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Pr>
          <w:rFonts w:asciiTheme="minorHAnsi" w:hAnsiTheme="minorHAnsi" w:cs="Garamond"/>
          <w:u w:val="single"/>
          <w:lang w:val="fr-CA"/>
        </w:rPr>
        <w:t xml:space="preserve">Organes ou agences </w:t>
      </w:r>
      <w:r w:rsidRPr="00666DBC">
        <w:rPr>
          <w:rFonts w:asciiTheme="minorHAnsi" w:hAnsiTheme="minorHAnsi" w:cs="Garamond"/>
          <w:u w:val="single"/>
          <w:lang w:val="fr-CA"/>
        </w:rPr>
        <w:t xml:space="preserve">qui </w:t>
      </w:r>
      <w:bookmarkStart w:id="1" w:name="_Hlk526838949"/>
      <w:r w:rsidR="00D464E6">
        <w:rPr>
          <w:rFonts w:asciiTheme="minorHAnsi" w:hAnsiTheme="minorHAnsi" w:cs="Garamond"/>
          <w:u w:val="single"/>
          <w:lang w:val="fr-CA"/>
        </w:rPr>
        <w:t>aspirent à</w:t>
      </w:r>
      <w:bookmarkEnd w:id="1"/>
      <w:r w:rsidRPr="00666DBC">
        <w:rPr>
          <w:rFonts w:asciiTheme="minorHAnsi" w:hAnsiTheme="minorHAnsi" w:cs="Garamond"/>
          <w:u w:val="single"/>
          <w:lang w:val="fr-CA"/>
        </w:rPr>
        <w:t xml:space="preserve"> </w:t>
      </w:r>
      <w:r w:rsidR="00666DBC">
        <w:rPr>
          <w:rFonts w:asciiTheme="minorHAnsi" w:hAnsiTheme="minorHAnsi" w:cs="Garamond"/>
          <w:u w:val="single"/>
          <w:lang w:val="fr-CA"/>
        </w:rPr>
        <w:t>devenir observateurs</w:t>
      </w:r>
      <w:r w:rsidR="00FC30B4" w:rsidRPr="00792AB0">
        <w:rPr>
          <w:rFonts w:asciiTheme="minorHAnsi" w:hAnsiTheme="minorHAnsi" w:cs="Garamond"/>
          <w:u w:val="single"/>
          <w:lang w:val="fr-CA"/>
        </w:rPr>
        <w:t xml:space="preserve"> </w:t>
      </w:r>
      <w:r>
        <w:rPr>
          <w:rFonts w:asciiTheme="minorHAnsi" w:hAnsiTheme="minorHAnsi" w:cs="Garamond"/>
          <w:u w:val="single"/>
          <w:lang w:val="fr-CA"/>
        </w:rPr>
        <w:t xml:space="preserve">et qui </w:t>
      </w:r>
      <w:r w:rsidR="00866C97">
        <w:rPr>
          <w:rFonts w:asciiTheme="minorHAnsi" w:hAnsiTheme="minorHAnsi" w:cs="Garamond"/>
          <w:u w:val="single"/>
          <w:lang w:val="fr-CA"/>
        </w:rPr>
        <w:t>n’</w:t>
      </w:r>
      <w:r>
        <w:rPr>
          <w:rFonts w:asciiTheme="minorHAnsi" w:hAnsiTheme="minorHAnsi" w:cs="Garamond"/>
          <w:u w:val="single"/>
          <w:lang w:val="fr-CA"/>
        </w:rPr>
        <w:t xml:space="preserve">ont </w:t>
      </w:r>
      <w:r w:rsidR="00866C97">
        <w:rPr>
          <w:rFonts w:asciiTheme="minorHAnsi" w:hAnsiTheme="minorHAnsi" w:cs="Garamond"/>
          <w:u w:val="single"/>
          <w:lang w:val="fr-CA"/>
        </w:rPr>
        <w:t xml:space="preserve">pas </w:t>
      </w:r>
      <w:r>
        <w:rPr>
          <w:rFonts w:asciiTheme="minorHAnsi" w:hAnsiTheme="minorHAnsi" w:cs="Garamond"/>
          <w:u w:val="single"/>
          <w:lang w:val="fr-CA"/>
        </w:rPr>
        <w:t>rempli les critères</w:t>
      </w:r>
    </w:p>
    <w:p w14:paraId="34716063" w14:textId="77777777" w:rsidR="00811DAC" w:rsidRPr="00792AB0" w:rsidRDefault="00811DAC"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07B24BB" w14:textId="77777777" w:rsidR="00CC0308" w:rsidRDefault="006D318C" w:rsidP="00CC0308">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CC0308">
        <w:rPr>
          <w:rFonts w:asciiTheme="minorHAnsi" w:hAnsiTheme="minorHAnsi" w:cs="Garamond"/>
          <w:lang w:val="fr-CA"/>
        </w:rPr>
        <w:t>7</w:t>
      </w:r>
      <w:r w:rsidR="00637250" w:rsidRPr="00CC0308">
        <w:rPr>
          <w:rFonts w:asciiTheme="minorHAnsi" w:hAnsiTheme="minorHAnsi" w:cs="Garamond"/>
          <w:lang w:val="fr-CA"/>
        </w:rPr>
        <w:t>.</w:t>
      </w:r>
      <w:r w:rsidR="00637250" w:rsidRPr="00CC0308">
        <w:rPr>
          <w:rFonts w:asciiTheme="minorHAnsi" w:hAnsiTheme="minorHAnsi" w:cs="Garamond"/>
          <w:lang w:val="fr-CA"/>
        </w:rPr>
        <w:tab/>
      </w:r>
      <w:r w:rsidR="00CC0308" w:rsidRPr="00CC0308">
        <w:rPr>
          <w:rFonts w:asciiTheme="minorHAnsi" w:hAnsiTheme="minorHAnsi" w:cs="Garamond"/>
          <w:lang w:val="fr-CA"/>
        </w:rPr>
        <w:t xml:space="preserve">Les organismes ou agences suivants ont informé le Secrétariat de leur souhait d'être </w:t>
      </w:r>
      <w:r w:rsidR="00CC0308">
        <w:rPr>
          <w:rFonts w:asciiTheme="minorHAnsi" w:hAnsiTheme="minorHAnsi" w:cs="Garamond"/>
          <w:lang w:val="fr-CA"/>
        </w:rPr>
        <w:t>admis</w:t>
      </w:r>
      <w:r w:rsidR="00CC0308" w:rsidRPr="00CC0308">
        <w:rPr>
          <w:rFonts w:asciiTheme="minorHAnsi" w:hAnsiTheme="minorHAnsi" w:cs="Garamond"/>
          <w:lang w:val="fr-CA"/>
        </w:rPr>
        <w:t xml:space="preserve"> comme observateurs, mais ne remplissent pas les critères de l'article 7.2 et ne sont donc pas soumis à approbation :</w:t>
      </w:r>
    </w:p>
    <w:p w14:paraId="6092B246" w14:textId="1D34750D" w:rsidR="00637250" w:rsidRDefault="00637250" w:rsidP="008D7493">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78F07480" w14:textId="77777777" w:rsidR="00866C97" w:rsidRPr="009C5AA9" w:rsidRDefault="00866C97" w:rsidP="00866C97">
      <w:pPr>
        <w:pStyle w:val="ListParagraph"/>
        <w:numPr>
          <w:ilvl w:val="0"/>
          <w:numId w:val="16"/>
        </w:numPr>
        <w:tabs>
          <w:tab w:val="left" w:pos="4253"/>
        </w:tabs>
        <w:overflowPunct w:val="0"/>
        <w:autoSpaceDE w:val="0"/>
        <w:autoSpaceDN w:val="0"/>
        <w:adjustRightInd w:val="0"/>
        <w:spacing w:after="0" w:line="240" w:lineRule="auto"/>
        <w:rPr>
          <w:rFonts w:asciiTheme="minorHAnsi" w:hAnsiTheme="minorHAnsi" w:cs="Garamond"/>
        </w:rPr>
      </w:pPr>
      <w:r w:rsidRPr="009C5AA9">
        <w:rPr>
          <w:rFonts w:asciiTheme="minorHAnsi" w:hAnsiTheme="minorHAnsi" w:cs="Garamond"/>
        </w:rPr>
        <w:t xml:space="preserve">Association for research on environmental management and sustainable development   </w:t>
      </w:r>
    </w:p>
    <w:p w14:paraId="2309201E" w14:textId="77777777" w:rsidR="00532CED" w:rsidRPr="00866C97" w:rsidRDefault="00532CED" w:rsidP="008D7493">
      <w:pPr>
        <w:spacing w:after="0" w:line="240" w:lineRule="auto"/>
        <w:rPr>
          <w:rFonts w:asciiTheme="minorHAnsi" w:hAnsiTheme="minorHAnsi" w:cstheme="minorHAnsi"/>
          <w:color w:val="000000"/>
          <w:lang w:val="en-US" w:eastAsia="en-GB"/>
        </w:rPr>
      </w:pPr>
    </w:p>
    <w:p w14:paraId="5E209E69" w14:textId="089D2F78" w:rsidR="005B4CA5" w:rsidRPr="008D7493" w:rsidRDefault="00A300B9" w:rsidP="008D7493">
      <w:pPr>
        <w:keepNext/>
        <w:tabs>
          <w:tab w:val="left" w:pos="4253"/>
        </w:tabs>
        <w:overflowPunct w:val="0"/>
        <w:autoSpaceDE w:val="0"/>
        <w:autoSpaceDN w:val="0"/>
        <w:adjustRightInd w:val="0"/>
        <w:spacing w:after="0" w:line="240" w:lineRule="auto"/>
        <w:ind w:left="425" w:hanging="425"/>
        <w:rPr>
          <w:rFonts w:asciiTheme="minorHAnsi" w:hAnsiTheme="minorHAnsi" w:cs="Garamond"/>
          <w:b/>
          <w:lang w:val="fr-CA"/>
        </w:rPr>
      </w:pPr>
      <w:r w:rsidRPr="008D7493">
        <w:rPr>
          <w:rFonts w:asciiTheme="minorHAnsi" w:hAnsiTheme="minorHAnsi" w:cs="Garamond"/>
          <w:b/>
          <w:lang w:val="fr-CA"/>
        </w:rPr>
        <w:t>Recommandation</w:t>
      </w:r>
    </w:p>
    <w:p w14:paraId="254FB9A5" w14:textId="77777777" w:rsidR="00F27AA0" w:rsidRPr="00792AB0" w:rsidRDefault="00F27AA0" w:rsidP="008D7493">
      <w:pPr>
        <w:keepNext/>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15AAEBC7" w14:textId="01286719" w:rsidR="00EB6303" w:rsidRPr="00121336" w:rsidRDefault="00121336" w:rsidP="00121336">
      <w:pPr>
        <w:keepNext/>
        <w:tabs>
          <w:tab w:val="left" w:pos="425"/>
          <w:tab w:val="left" w:pos="851"/>
          <w:tab w:val="left" w:pos="1276"/>
        </w:tabs>
        <w:overflowPunct w:val="0"/>
        <w:autoSpaceDE w:val="0"/>
        <w:autoSpaceDN w:val="0"/>
        <w:adjustRightInd w:val="0"/>
        <w:spacing w:after="0" w:line="240" w:lineRule="auto"/>
        <w:ind w:left="425" w:hanging="425"/>
        <w:rPr>
          <w:rFonts w:asciiTheme="minorHAnsi" w:hAnsiTheme="minorHAnsi" w:cs="Garamond"/>
          <w:lang w:val="fr-CA"/>
        </w:rPr>
      </w:pPr>
      <w:r>
        <w:rPr>
          <w:rFonts w:asciiTheme="minorHAnsi" w:hAnsiTheme="minorHAnsi" w:cs="Garamond"/>
          <w:lang w:val="fr-CA"/>
        </w:rPr>
        <w:t>8</w:t>
      </w:r>
      <w:r w:rsidR="00636699" w:rsidRPr="00792AB0">
        <w:rPr>
          <w:rFonts w:asciiTheme="minorHAnsi" w:hAnsiTheme="minorHAnsi" w:cs="Garamond"/>
          <w:lang w:val="fr-CA"/>
        </w:rPr>
        <w:t>.</w:t>
      </w:r>
      <w:r w:rsidR="00A300B9">
        <w:rPr>
          <w:rFonts w:asciiTheme="minorHAnsi" w:hAnsiTheme="minorHAnsi" w:cs="Garamond"/>
          <w:lang w:val="fr-CA"/>
        </w:rPr>
        <w:t xml:space="preserve"> </w:t>
      </w:r>
      <w:r w:rsidR="00866C97">
        <w:rPr>
          <w:rFonts w:asciiTheme="minorHAnsi" w:hAnsiTheme="minorHAnsi" w:cs="Garamond"/>
          <w:lang w:val="fr-CA"/>
        </w:rPr>
        <w:tab/>
      </w:r>
      <w:r w:rsidRPr="00121336">
        <w:rPr>
          <w:rFonts w:asciiTheme="minorHAnsi" w:hAnsiTheme="minorHAnsi" w:cs="Garamond"/>
          <w:lang w:val="fr-CA"/>
        </w:rPr>
        <w:t xml:space="preserve">Le Comité permanent est invité à </w:t>
      </w:r>
      <w:r w:rsidR="00866C97">
        <w:rPr>
          <w:rFonts w:asciiTheme="minorHAnsi" w:hAnsiTheme="minorHAnsi" w:cs="Garamond"/>
          <w:lang w:val="fr-CA"/>
        </w:rPr>
        <w:t>prendre note de</w:t>
      </w:r>
      <w:r w:rsidRPr="00121336">
        <w:rPr>
          <w:rFonts w:asciiTheme="minorHAnsi" w:hAnsiTheme="minorHAnsi" w:cs="Garamond"/>
          <w:lang w:val="fr-CA"/>
        </w:rPr>
        <w:t xml:space="preserve"> la participation à la présente réunion d’observateurs représentant les organes et agences </w:t>
      </w:r>
      <w:r w:rsidR="00866C97" w:rsidRPr="002212E7">
        <w:rPr>
          <w:rFonts w:asciiTheme="minorHAnsi" w:hAnsiTheme="minorHAnsi" w:cs="Garamond"/>
          <w:lang w:val="fr-FR"/>
        </w:rPr>
        <w:t xml:space="preserve">précédemment approuvés </w:t>
      </w:r>
      <w:r w:rsidRPr="00121336">
        <w:rPr>
          <w:rFonts w:asciiTheme="minorHAnsi" w:hAnsiTheme="minorHAnsi" w:cs="Garamond"/>
          <w:lang w:val="fr-CA"/>
        </w:rPr>
        <w:t>mentionnés au paragraphe</w:t>
      </w:r>
      <w:r w:rsidR="00866C97">
        <w:rPr>
          <w:rFonts w:asciiTheme="minorHAnsi" w:hAnsiTheme="minorHAnsi" w:cs="Garamond"/>
          <w:lang w:val="fr-CA"/>
        </w:rPr>
        <w:t xml:space="preserve"> 6</w:t>
      </w:r>
      <w:r w:rsidRPr="00121336">
        <w:rPr>
          <w:rFonts w:asciiTheme="minorHAnsi" w:hAnsiTheme="minorHAnsi" w:cs="Garamond"/>
          <w:lang w:val="fr-CA"/>
        </w:rPr>
        <w:t>.</w:t>
      </w:r>
    </w:p>
    <w:sectPr w:rsidR="00EB6303" w:rsidRPr="00121336" w:rsidSect="00C5173B">
      <w:footerReference w:type="default" r:id="rId8"/>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42BB" w16cex:dateUtc="2021-06-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4E958" w16cid:durableId="247C42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FE5B" w14:textId="77777777" w:rsidR="009A1AE7" w:rsidRDefault="009A1AE7" w:rsidP="00C5173B">
      <w:pPr>
        <w:spacing w:after="0" w:line="240" w:lineRule="auto"/>
      </w:pPr>
      <w:r>
        <w:separator/>
      </w:r>
    </w:p>
  </w:endnote>
  <w:endnote w:type="continuationSeparator" w:id="0">
    <w:p w14:paraId="0F9361CF" w14:textId="77777777" w:rsidR="009A1AE7" w:rsidRDefault="009A1AE7"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ED92" w14:textId="5ED20D1C" w:rsidR="00F31ECF" w:rsidRPr="00C5173B" w:rsidRDefault="0095058D" w:rsidP="00C5173B">
    <w:pPr>
      <w:pStyle w:val="Footer"/>
    </w:pPr>
    <w:r>
      <w:rPr>
        <w:rFonts w:asciiTheme="minorHAnsi" w:hAnsiTheme="minorHAnsi"/>
        <w:sz w:val="20"/>
        <w:szCs w:val="20"/>
      </w:rPr>
      <w:t>SC5</w:t>
    </w:r>
    <w:r w:rsidR="00121336">
      <w:rPr>
        <w:rFonts w:asciiTheme="minorHAnsi" w:hAnsiTheme="minorHAnsi"/>
        <w:sz w:val="20"/>
        <w:szCs w:val="20"/>
      </w:rPr>
      <w:t>9</w:t>
    </w:r>
    <w:r w:rsidR="00CC0308">
      <w:rPr>
        <w:rFonts w:asciiTheme="minorHAnsi" w:hAnsiTheme="minorHAnsi"/>
        <w:sz w:val="20"/>
        <w:szCs w:val="20"/>
      </w:rPr>
      <w:t>/2022</w:t>
    </w:r>
    <w:r w:rsidR="00F31ECF" w:rsidRPr="00870418">
      <w:rPr>
        <w:rFonts w:asciiTheme="minorHAnsi" w:hAnsiTheme="minorHAnsi"/>
        <w:sz w:val="20"/>
        <w:szCs w:val="20"/>
      </w:rPr>
      <w:t xml:space="preserve"> Doc.</w:t>
    </w:r>
    <w:r>
      <w:rPr>
        <w:rFonts w:asciiTheme="minorHAnsi" w:hAnsiTheme="minorHAnsi"/>
        <w:sz w:val="20"/>
        <w:szCs w:val="20"/>
      </w:rPr>
      <w:t>4</w:t>
    </w:r>
    <w:r w:rsidR="00F31ECF" w:rsidRPr="00870418">
      <w:rPr>
        <w:rFonts w:asciiTheme="minorHAnsi" w:hAnsiTheme="minorHAnsi"/>
        <w:sz w:val="20"/>
        <w:szCs w:val="20"/>
      </w:rPr>
      <w:tab/>
    </w:r>
    <w:r w:rsidR="00F31ECF" w:rsidRPr="00870418">
      <w:rPr>
        <w:rFonts w:asciiTheme="minorHAnsi" w:hAnsiTheme="minorHAnsi"/>
        <w:sz w:val="20"/>
        <w:szCs w:val="20"/>
      </w:rPr>
      <w:tab/>
    </w:r>
    <w:r w:rsidR="00F31ECF" w:rsidRPr="00870418">
      <w:rPr>
        <w:rFonts w:asciiTheme="minorHAnsi" w:hAnsiTheme="minorHAnsi"/>
        <w:sz w:val="20"/>
        <w:szCs w:val="20"/>
      </w:rPr>
      <w:fldChar w:fldCharType="begin"/>
    </w:r>
    <w:r w:rsidR="00F31ECF" w:rsidRPr="00870418">
      <w:rPr>
        <w:rFonts w:asciiTheme="minorHAnsi" w:hAnsiTheme="minorHAnsi"/>
        <w:sz w:val="20"/>
        <w:szCs w:val="20"/>
      </w:rPr>
      <w:instrText xml:space="preserve"> PAGE   \* MERGEFORMAT </w:instrText>
    </w:r>
    <w:r w:rsidR="00F31ECF" w:rsidRPr="00870418">
      <w:rPr>
        <w:rFonts w:asciiTheme="minorHAnsi" w:hAnsiTheme="minorHAnsi"/>
        <w:sz w:val="20"/>
        <w:szCs w:val="20"/>
      </w:rPr>
      <w:fldChar w:fldCharType="separate"/>
    </w:r>
    <w:r w:rsidR="00E32E56">
      <w:rPr>
        <w:rFonts w:asciiTheme="minorHAnsi" w:hAnsiTheme="minorHAnsi"/>
        <w:noProof/>
        <w:sz w:val="20"/>
        <w:szCs w:val="20"/>
      </w:rPr>
      <w:t>2</w:t>
    </w:r>
    <w:r w:rsidR="00F31ECF"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0C3D" w14:textId="77777777" w:rsidR="009A1AE7" w:rsidRDefault="009A1AE7" w:rsidP="00C5173B">
      <w:pPr>
        <w:spacing w:after="0" w:line="240" w:lineRule="auto"/>
      </w:pPr>
      <w:r>
        <w:separator/>
      </w:r>
    </w:p>
  </w:footnote>
  <w:footnote w:type="continuationSeparator" w:id="0">
    <w:p w14:paraId="079AC1CF" w14:textId="77777777" w:rsidR="009A1AE7" w:rsidRDefault="009A1AE7" w:rsidP="00C5173B">
      <w:pPr>
        <w:spacing w:after="0" w:line="240" w:lineRule="auto"/>
      </w:pPr>
      <w:r>
        <w:continuationSeparator/>
      </w:r>
    </w:p>
  </w:footnote>
  <w:footnote w:id="1">
    <w:p w14:paraId="2D44CA51" w14:textId="73900A3A" w:rsidR="00C86B75" w:rsidRPr="008D7493" w:rsidRDefault="00C86B75">
      <w:pPr>
        <w:pStyle w:val="FootnoteText"/>
        <w:rPr>
          <w:rFonts w:asciiTheme="minorHAnsi" w:hAnsiTheme="minorHAnsi" w:cstheme="minorHAnsi"/>
          <w:lang w:val="fr-FR"/>
        </w:rPr>
      </w:pPr>
      <w:r w:rsidRPr="008D7493">
        <w:rPr>
          <w:rStyle w:val="FootnoteReference"/>
          <w:rFonts w:asciiTheme="minorHAnsi" w:hAnsiTheme="minorHAnsi" w:cstheme="minorHAnsi"/>
        </w:rPr>
        <w:footnoteRef/>
      </w:r>
      <w:r w:rsidRPr="008D7493">
        <w:rPr>
          <w:rFonts w:asciiTheme="minorHAnsi" w:hAnsiTheme="minorHAnsi" w:cstheme="minorHAnsi"/>
          <w:lang w:val="fr-FR"/>
        </w:rPr>
        <w:t xml:space="preserve"> Article 25.5 : « </w:t>
      </w:r>
      <w:r w:rsidR="00B449CB" w:rsidRPr="008D7493">
        <w:rPr>
          <w:rFonts w:asciiTheme="minorHAnsi" w:hAnsiTheme="minorHAnsi" w:cstheme="minorHAnsi"/>
          <w:lang w:val="fr-FR"/>
        </w:rPr>
        <w:t xml:space="preserve">Sauf décision contraire de la Conférence des Parties, le présent Règlement intérieur régit </w:t>
      </w:r>
      <w:r w:rsidR="00B449CB" w:rsidRPr="007A0FE7">
        <w:rPr>
          <w:rFonts w:asciiTheme="minorHAnsi" w:hAnsiTheme="minorHAnsi" w:cstheme="minorHAnsi"/>
          <w:i/>
          <w:iCs/>
          <w:lang w:val="fr-FR"/>
        </w:rPr>
        <w:t>mutatis mutandis</w:t>
      </w:r>
      <w:r w:rsidR="00B449CB" w:rsidRPr="008D7493">
        <w:rPr>
          <w:rFonts w:asciiTheme="minorHAnsi" w:hAnsiTheme="minorHAnsi" w:cstheme="minorHAnsi"/>
          <w:lang w:val="fr-FR"/>
        </w:rPr>
        <w:t xml:space="preserve"> les travaux des organes subsidiaires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583389E"/>
    <w:multiLevelType w:val="hybridMultilevel"/>
    <w:tmpl w:val="89667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FE05691"/>
    <w:multiLevelType w:val="hybridMultilevel"/>
    <w:tmpl w:val="79D2E7A8"/>
    <w:lvl w:ilvl="0" w:tplc="55BA420E">
      <w:start w:val="1"/>
      <w:numFmt w:val="decimal"/>
      <w:lvlText w:val="%1."/>
      <w:lvlJc w:val="left"/>
      <w:pPr>
        <w:ind w:left="780" w:hanging="420"/>
      </w:pPr>
      <w:rPr>
        <w:rFonts w:asciiTheme="minorHAnsi" w:hAnsiTheme="minorHAnsi" w:cs="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A12E3"/>
    <w:multiLevelType w:val="hybridMultilevel"/>
    <w:tmpl w:val="7436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7334573D"/>
    <w:multiLevelType w:val="hybridMultilevel"/>
    <w:tmpl w:val="B12C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4"/>
  </w:num>
  <w:num w:numId="6">
    <w:abstractNumId w:val="5"/>
  </w:num>
  <w:num w:numId="7">
    <w:abstractNumId w:val="9"/>
  </w:num>
  <w:num w:numId="8">
    <w:abstractNumId w:val="11"/>
  </w:num>
  <w:num w:numId="9">
    <w:abstractNumId w:val="3"/>
  </w:num>
  <w:num w:numId="10">
    <w:abstractNumId w:val="7"/>
  </w:num>
  <w:num w:numId="11">
    <w:abstractNumId w:val="12"/>
  </w:num>
  <w:num w:numId="12">
    <w:abstractNumId w:val="14"/>
  </w:num>
  <w:num w:numId="13">
    <w:abstractNumId w:val="6"/>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D8"/>
    <w:rsid w:val="000008D6"/>
    <w:rsid w:val="00005958"/>
    <w:rsid w:val="00006B39"/>
    <w:rsid w:val="0001285C"/>
    <w:rsid w:val="00015E04"/>
    <w:rsid w:val="00021C94"/>
    <w:rsid w:val="00060666"/>
    <w:rsid w:val="00061857"/>
    <w:rsid w:val="000929BA"/>
    <w:rsid w:val="00092A94"/>
    <w:rsid w:val="0009493A"/>
    <w:rsid w:val="000A273E"/>
    <w:rsid w:val="000A34DE"/>
    <w:rsid w:val="000B0404"/>
    <w:rsid w:val="000B14DE"/>
    <w:rsid w:val="000C2357"/>
    <w:rsid w:val="000D3C12"/>
    <w:rsid w:val="000D62F0"/>
    <w:rsid w:val="000D7873"/>
    <w:rsid w:val="000F4938"/>
    <w:rsid w:val="00104A41"/>
    <w:rsid w:val="00105845"/>
    <w:rsid w:val="00114452"/>
    <w:rsid w:val="00121253"/>
    <w:rsid w:val="00121336"/>
    <w:rsid w:val="00136DE8"/>
    <w:rsid w:val="00141775"/>
    <w:rsid w:val="001555A8"/>
    <w:rsid w:val="001640D5"/>
    <w:rsid w:val="00167ADA"/>
    <w:rsid w:val="00183156"/>
    <w:rsid w:val="00187C95"/>
    <w:rsid w:val="00190836"/>
    <w:rsid w:val="001924EA"/>
    <w:rsid w:val="001A4962"/>
    <w:rsid w:val="001A63A0"/>
    <w:rsid w:val="001B6568"/>
    <w:rsid w:val="001F1377"/>
    <w:rsid w:val="001F5554"/>
    <w:rsid w:val="002117CD"/>
    <w:rsid w:val="00212724"/>
    <w:rsid w:val="002212E7"/>
    <w:rsid w:val="00227C19"/>
    <w:rsid w:val="002320F7"/>
    <w:rsid w:val="002321E9"/>
    <w:rsid w:val="002410F9"/>
    <w:rsid w:val="00254142"/>
    <w:rsid w:val="00257E47"/>
    <w:rsid w:val="00263CE9"/>
    <w:rsid w:val="002648D6"/>
    <w:rsid w:val="0026492C"/>
    <w:rsid w:val="00271D0E"/>
    <w:rsid w:val="00271D16"/>
    <w:rsid w:val="00272FD1"/>
    <w:rsid w:val="00273F3B"/>
    <w:rsid w:val="002749DD"/>
    <w:rsid w:val="002947CC"/>
    <w:rsid w:val="00294824"/>
    <w:rsid w:val="00294D49"/>
    <w:rsid w:val="002956DC"/>
    <w:rsid w:val="002A47CD"/>
    <w:rsid w:val="002B751E"/>
    <w:rsid w:val="002C513A"/>
    <w:rsid w:val="002E5690"/>
    <w:rsid w:val="002F09A9"/>
    <w:rsid w:val="002F571D"/>
    <w:rsid w:val="00301793"/>
    <w:rsid w:val="00302301"/>
    <w:rsid w:val="00305838"/>
    <w:rsid w:val="003173E7"/>
    <w:rsid w:val="0032557B"/>
    <w:rsid w:val="003265A2"/>
    <w:rsid w:val="0033067A"/>
    <w:rsid w:val="003317B9"/>
    <w:rsid w:val="0033487D"/>
    <w:rsid w:val="00337961"/>
    <w:rsid w:val="00341666"/>
    <w:rsid w:val="00353BF5"/>
    <w:rsid w:val="00373F47"/>
    <w:rsid w:val="00380A66"/>
    <w:rsid w:val="00382308"/>
    <w:rsid w:val="00383D65"/>
    <w:rsid w:val="00393045"/>
    <w:rsid w:val="00395877"/>
    <w:rsid w:val="003A3A07"/>
    <w:rsid w:val="003D715D"/>
    <w:rsid w:val="003F40E1"/>
    <w:rsid w:val="003F5A03"/>
    <w:rsid w:val="003F76B5"/>
    <w:rsid w:val="00420737"/>
    <w:rsid w:val="004210F6"/>
    <w:rsid w:val="00426276"/>
    <w:rsid w:val="00427878"/>
    <w:rsid w:val="004279F4"/>
    <w:rsid w:val="00435D15"/>
    <w:rsid w:val="00442389"/>
    <w:rsid w:val="00444B34"/>
    <w:rsid w:val="00452FBE"/>
    <w:rsid w:val="00456081"/>
    <w:rsid w:val="0045699D"/>
    <w:rsid w:val="004630FB"/>
    <w:rsid w:val="0048211C"/>
    <w:rsid w:val="00482AB8"/>
    <w:rsid w:val="00490946"/>
    <w:rsid w:val="00490D1C"/>
    <w:rsid w:val="004A0367"/>
    <w:rsid w:val="004A1E22"/>
    <w:rsid w:val="004A38AC"/>
    <w:rsid w:val="004A5875"/>
    <w:rsid w:val="004A686A"/>
    <w:rsid w:val="004A68B9"/>
    <w:rsid w:val="004A7331"/>
    <w:rsid w:val="004B055A"/>
    <w:rsid w:val="004C13E5"/>
    <w:rsid w:val="004C19D4"/>
    <w:rsid w:val="004C2103"/>
    <w:rsid w:val="004D5B9A"/>
    <w:rsid w:val="004E0A78"/>
    <w:rsid w:val="004E658E"/>
    <w:rsid w:val="004E70C5"/>
    <w:rsid w:val="004F2C85"/>
    <w:rsid w:val="0050243A"/>
    <w:rsid w:val="00505076"/>
    <w:rsid w:val="00517C72"/>
    <w:rsid w:val="00532A55"/>
    <w:rsid w:val="00532CED"/>
    <w:rsid w:val="00537705"/>
    <w:rsid w:val="00552B89"/>
    <w:rsid w:val="00555684"/>
    <w:rsid w:val="00560716"/>
    <w:rsid w:val="00571101"/>
    <w:rsid w:val="00583BC5"/>
    <w:rsid w:val="005871AC"/>
    <w:rsid w:val="00596F6A"/>
    <w:rsid w:val="005A0532"/>
    <w:rsid w:val="005A0D1B"/>
    <w:rsid w:val="005A5841"/>
    <w:rsid w:val="005A60A9"/>
    <w:rsid w:val="005B1BB9"/>
    <w:rsid w:val="005B4CA5"/>
    <w:rsid w:val="005C1530"/>
    <w:rsid w:val="005C57B3"/>
    <w:rsid w:val="005D2CEE"/>
    <w:rsid w:val="005F5AFD"/>
    <w:rsid w:val="00600DD3"/>
    <w:rsid w:val="00617C4D"/>
    <w:rsid w:val="00625012"/>
    <w:rsid w:val="00636699"/>
    <w:rsid w:val="00637250"/>
    <w:rsid w:val="0063764B"/>
    <w:rsid w:val="006378B9"/>
    <w:rsid w:val="006415BC"/>
    <w:rsid w:val="0066048A"/>
    <w:rsid w:val="0066583C"/>
    <w:rsid w:val="00666DBC"/>
    <w:rsid w:val="00673648"/>
    <w:rsid w:val="0068128F"/>
    <w:rsid w:val="006947A5"/>
    <w:rsid w:val="00696D53"/>
    <w:rsid w:val="006A1C8D"/>
    <w:rsid w:val="006A73BE"/>
    <w:rsid w:val="006B051D"/>
    <w:rsid w:val="006B65E7"/>
    <w:rsid w:val="006D318C"/>
    <w:rsid w:val="006F4CAE"/>
    <w:rsid w:val="006F5F80"/>
    <w:rsid w:val="00713BD1"/>
    <w:rsid w:val="00720460"/>
    <w:rsid w:val="007347CB"/>
    <w:rsid w:val="0075101C"/>
    <w:rsid w:val="00756887"/>
    <w:rsid w:val="00762915"/>
    <w:rsid w:val="00764409"/>
    <w:rsid w:val="00772528"/>
    <w:rsid w:val="00774CA8"/>
    <w:rsid w:val="00777B4C"/>
    <w:rsid w:val="00782A64"/>
    <w:rsid w:val="00792AB0"/>
    <w:rsid w:val="007A0FE7"/>
    <w:rsid w:val="007A3252"/>
    <w:rsid w:val="007A372F"/>
    <w:rsid w:val="007A5B7D"/>
    <w:rsid w:val="007B1503"/>
    <w:rsid w:val="007C0277"/>
    <w:rsid w:val="007D5E07"/>
    <w:rsid w:val="007E769E"/>
    <w:rsid w:val="007F3389"/>
    <w:rsid w:val="00811DAC"/>
    <w:rsid w:val="00814C79"/>
    <w:rsid w:val="00820A2D"/>
    <w:rsid w:val="00824997"/>
    <w:rsid w:val="008255AD"/>
    <w:rsid w:val="008400BE"/>
    <w:rsid w:val="00843F5B"/>
    <w:rsid w:val="0084501E"/>
    <w:rsid w:val="00847BA8"/>
    <w:rsid w:val="00851B72"/>
    <w:rsid w:val="00853F59"/>
    <w:rsid w:val="00856F4D"/>
    <w:rsid w:val="00866C97"/>
    <w:rsid w:val="00870638"/>
    <w:rsid w:val="00883D09"/>
    <w:rsid w:val="008A69D0"/>
    <w:rsid w:val="008D7493"/>
    <w:rsid w:val="008E5056"/>
    <w:rsid w:val="008E6BEB"/>
    <w:rsid w:val="009033A3"/>
    <w:rsid w:val="00910F79"/>
    <w:rsid w:val="009214FD"/>
    <w:rsid w:val="0092300D"/>
    <w:rsid w:val="00924B65"/>
    <w:rsid w:val="00924E02"/>
    <w:rsid w:val="00934629"/>
    <w:rsid w:val="009358FF"/>
    <w:rsid w:val="00945247"/>
    <w:rsid w:val="0095058D"/>
    <w:rsid w:val="009573B9"/>
    <w:rsid w:val="00971AC5"/>
    <w:rsid w:val="00983949"/>
    <w:rsid w:val="00990468"/>
    <w:rsid w:val="00990965"/>
    <w:rsid w:val="00993A65"/>
    <w:rsid w:val="009A1AE7"/>
    <w:rsid w:val="009A6681"/>
    <w:rsid w:val="009B0327"/>
    <w:rsid w:val="009B7088"/>
    <w:rsid w:val="009C113D"/>
    <w:rsid w:val="009D2210"/>
    <w:rsid w:val="009D3A95"/>
    <w:rsid w:val="009E00B9"/>
    <w:rsid w:val="009F56D8"/>
    <w:rsid w:val="009F7F86"/>
    <w:rsid w:val="00A02865"/>
    <w:rsid w:val="00A0379D"/>
    <w:rsid w:val="00A138B1"/>
    <w:rsid w:val="00A25933"/>
    <w:rsid w:val="00A300B9"/>
    <w:rsid w:val="00A3112D"/>
    <w:rsid w:val="00A42809"/>
    <w:rsid w:val="00A45DFE"/>
    <w:rsid w:val="00A542F0"/>
    <w:rsid w:val="00A571A9"/>
    <w:rsid w:val="00A60EB4"/>
    <w:rsid w:val="00A60F55"/>
    <w:rsid w:val="00A6168F"/>
    <w:rsid w:val="00A70045"/>
    <w:rsid w:val="00A775A7"/>
    <w:rsid w:val="00A81510"/>
    <w:rsid w:val="00A93888"/>
    <w:rsid w:val="00AA1589"/>
    <w:rsid w:val="00AB0BF1"/>
    <w:rsid w:val="00AB24DA"/>
    <w:rsid w:val="00AC1DD6"/>
    <w:rsid w:val="00AF710E"/>
    <w:rsid w:val="00B1143B"/>
    <w:rsid w:val="00B15B43"/>
    <w:rsid w:val="00B35521"/>
    <w:rsid w:val="00B3591B"/>
    <w:rsid w:val="00B4132D"/>
    <w:rsid w:val="00B449CB"/>
    <w:rsid w:val="00B469B4"/>
    <w:rsid w:val="00B4767F"/>
    <w:rsid w:val="00B50BB9"/>
    <w:rsid w:val="00B5183F"/>
    <w:rsid w:val="00B71240"/>
    <w:rsid w:val="00B73842"/>
    <w:rsid w:val="00B853B0"/>
    <w:rsid w:val="00BA1797"/>
    <w:rsid w:val="00BA3A91"/>
    <w:rsid w:val="00BB5859"/>
    <w:rsid w:val="00BD4B1D"/>
    <w:rsid w:val="00BD7645"/>
    <w:rsid w:val="00BE13CE"/>
    <w:rsid w:val="00BF1615"/>
    <w:rsid w:val="00C043A1"/>
    <w:rsid w:val="00C05EEC"/>
    <w:rsid w:val="00C076F4"/>
    <w:rsid w:val="00C1405A"/>
    <w:rsid w:val="00C16F24"/>
    <w:rsid w:val="00C34925"/>
    <w:rsid w:val="00C4026F"/>
    <w:rsid w:val="00C47465"/>
    <w:rsid w:val="00C50DCA"/>
    <w:rsid w:val="00C5173B"/>
    <w:rsid w:val="00C55D5B"/>
    <w:rsid w:val="00C56D7A"/>
    <w:rsid w:val="00C623FA"/>
    <w:rsid w:val="00C74CD5"/>
    <w:rsid w:val="00C760C9"/>
    <w:rsid w:val="00C86B75"/>
    <w:rsid w:val="00C95279"/>
    <w:rsid w:val="00CA42E1"/>
    <w:rsid w:val="00CB184C"/>
    <w:rsid w:val="00CB37FF"/>
    <w:rsid w:val="00CB69E7"/>
    <w:rsid w:val="00CB7E61"/>
    <w:rsid w:val="00CC0308"/>
    <w:rsid w:val="00CC1064"/>
    <w:rsid w:val="00CC2DC8"/>
    <w:rsid w:val="00CE051C"/>
    <w:rsid w:val="00CE08BC"/>
    <w:rsid w:val="00CE2410"/>
    <w:rsid w:val="00CE2DAF"/>
    <w:rsid w:val="00CE51F2"/>
    <w:rsid w:val="00CE5D52"/>
    <w:rsid w:val="00CE5D9C"/>
    <w:rsid w:val="00CF12BB"/>
    <w:rsid w:val="00D0498F"/>
    <w:rsid w:val="00D06578"/>
    <w:rsid w:val="00D13697"/>
    <w:rsid w:val="00D14BAE"/>
    <w:rsid w:val="00D233E9"/>
    <w:rsid w:val="00D2688E"/>
    <w:rsid w:val="00D268BC"/>
    <w:rsid w:val="00D271F4"/>
    <w:rsid w:val="00D349DF"/>
    <w:rsid w:val="00D464E6"/>
    <w:rsid w:val="00D527AC"/>
    <w:rsid w:val="00D539A3"/>
    <w:rsid w:val="00D669C9"/>
    <w:rsid w:val="00D70817"/>
    <w:rsid w:val="00D8098E"/>
    <w:rsid w:val="00D851C7"/>
    <w:rsid w:val="00D854E2"/>
    <w:rsid w:val="00D87B21"/>
    <w:rsid w:val="00DA1A85"/>
    <w:rsid w:val="00DA5629"/>
    <w:rsid w:val="00DA6DFE"/>
    <w:rsid w:val="00DA78FF"/>
    <w:rsid w:val="00DD41F7"/>
    <w:rsid w:val="00DE18DA"/>
    <w:rsid w:val="00DF043D"/>
    <w:rsid w:val="00DF63E9"/>
    <w:rsid w:val="00E02D77"/>
    <w:rsid w:val="00E042B5"/>
    <w:rsid w:val="00E156DA"/>
    <w:rsid w:val="00E32E56"/>
    <w:rsid w:val="00E351FE"/>
    <w:rsid w:val="00E35A2F"/>
    <w:rsid w:val="00E5761B"/>
    <w:rsid w:val="00E60ED3"/>
    <w:rsid w:val="00E62AE4"/>
    <w:rsid w:val="00EA7882"/>
    <w:rsid w:val="00EB6303"/>
    <w:rsid w:val="00EC2C69"/>
    <w:rsid w:val="00EC3B37"/>
    <w:rsid w:val="00EC5C99"/>
    <w:rsid w:val="00ED0F4C"/>
    <w:rsid w:val="00ED3C3D"/>
    <w:rsid w:val="00ED4B42"/>
    <w:rsid w:val="00EE1330"/>
    <w:rsid w:val="00EE1818"/>
    <w:rsid w:val="00EE45B8"/>
    <w:rsid w:val="00F04B0A"/>
    <w:rsid w:val="00F20AB4"/>
    <w:rsid w:val="00F268D6"/>
    <w:rsid w:val="00F26E81"/>
    <w:rsid w:val="00F27448"/>
    <w:rsid w:val="00F27AA0"/>
    <w:rsid w:val="00F31ECF"/>
    <w:rsid w:val="00F4220C"/>
    <w:rsid w:val="00F51A12"/>
    <w:rsid w:val="00F64B95"/>
    <w:rsid w:val="00F738AE"/>
    <w:rsid w:val="00F740B8"/>
    <w:rsid w:val="00F7595E"/>
    <w:rsid w:val="00FA17BF"/>
    <w:rsid w:val="00FA1DC9"/>
    <w:rsid w:val="00FB2D3E"/>
    <w:rsid w:val="00FB4A99"/>
    <w:rsid w:val="00FC30B4"/>
    <w:rsid w:val="00FD49FD"/>
    <w:rsid w:val="00FD6A78"/>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189"/>
  <w15:docId w15:val="{A03508B6-592F-4B3A-8E78-BA6887F4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 w:type="paragraph" w:customStyle="1" w:styleId="ColorfulList-Accent11">
    <w:name w:val="Colorful List - Accent 11"/>
    <w:basedOn w:val="Normal"/>
    <w:uiPriority w:val="34"/>
    <w:qFormat/>
    <w:rsid w:val="003F5A03"/>
    <w:pPr>
      <w:spacing w:after="0" w:line="240" w:lineRule="auto"/>
      <w:ind w:left="720" w:hanging="425"/>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006">
      <w:bodyDiv w:val="1"/>
      <w:marLeft w:val="0"/>
      <w:marRight w:val="0"/>
      <w:marTop w:val="0"/>
      <w:marBottom w:val="0"/>
      <w:divBdr>
        <w:top w:val="none" w:sz="0" w:space="0" w:color="auto"/>
        <w:left w:val="none" w:sz="0" w:space="0" w:color="auto"/>
        <w:bottom w:val="none" w:sz="0" w:space="0" w:color="auto"/>
        <w:right w:val="none" w:sz="0" w:space="0" w:color="auto"/>
      </w:divBdr>
    </w:div>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7843">
      <w:bodyDiv w:val="1"/>
      <w:marLeft w:val="0"/>
      <w:marRight w:val="0"/>
      <w:marTop w:val="0"/>
      <w:marBottom w:val="0"/>
      <w:divBdr>
        <w:top w:val="none" w:sz="0" w:space="0" w:color="auto"/>
        <w:left w:val="none" w:sz="0" w:space="0" w:color="auto"/>
        <w:bottom w:val="none" w:sz="0" w:space="0" w:color="auto"/>
        <w:right w:val="none" w:sz="0" w:space="0" w:color="auto"/>
      </w:divBdr>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612009976">
      <w:bodyDiv w:val="1"/>
      <w:marLeft w:val="0"/>
      <w:marRight w:val="0"/>
      <w:marTop w:val="0"/>
      <w:marBottom w:val="0"/>
      <w:divBdr>
        <w:top w:val="none" w:sz="0" w:space="0" w:color="auto"/>
        <w:left w:val="none" w:sz="0" w:space="0" w:color="auto"/>
        <w:bottom w:val="none" w:sz="0" w:space="0" w:color="auto"/>
        <w:right w:val="none" w:sz="0" w:space="0" w:color="auto"/>
      </w:divBdr>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3C05-0FEF-428F-A6C6-C00B0589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3101</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3638</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Ed Jennings</cp:lastModifiedBy>
  <cp:revision>2</cp:revision>
  <cp:lastPrinted>2018-10-09T14:34:00Z</cp:lastPrinted>
  <dcterms:created xsi:type="dcterms:W3CDTF">2022-05-21T18:10:00Z</dcterms:created>
  <dcterms:modified xsi:type="dcterms:W3CDTF">2022-05-21T18:10:00Z</dcterms:modified>
</cp:coreProperties>
</file>