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4059B" w14:textId="77777777" w:rsidR="000944EB" w:rsidRPr="006B61B1"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14:paraId="4ED7F4BB" w14:textId="77777777" w:rsidR="000944EB"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4DD49994" w14:textId="77777777" w:rsidR="000944EB" w:rsidRPr="006B61B1"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Resumed session </w:t>
      </w:r>
    </w:p>
    <w:p w14:paraId="70148EF7" w14:textId="77777777" w:rsidR="000944EB" w:rsidRPr="00B9629F"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en-US"/>
        </w:rPr>
      </w:pPr>
      <w:r w:rsidRPr="00B9629F">
        <w:rPr>
          <w:rFonts w:asciiTheme="minorHAnsi" w:hAnsiTheme="minorHAnsi" w:cstheme="minorHAnsi"/>
          <w:bCs/>
          <w:lang w:val="en-US"/>
        </w:rPr>
        <w:t>Gland, Switzerland, 23-27 May 2022</w:t>
      </w:r>
    </w:p>
    <w:p w14:paraId="5FBD8F84" w14:textId="77777777" w:rsidR="000944EB" w:rsidRPr="00B9629F" w:rsidRDefault="000944EB" w:rsidP="000944EB">
      <w:pPr>
        <w:tabs>
          <w:tab w:val="left" w:pos="10650"/>
          <w:tab w:val="right" w:pos="13958"/>
        </w:tabs>
        <w:jc w:val="right"/>
        <w:rPr>
          <w:rFonts w:asciiTheme="minorHAnsi" w:hAnsiTheme="minorHAnsi" w:cstheme="minorHAnsi"/>
          <w:b/>
          <w:sz w:val="28"/>
          <w:szCs w:val="28"/>
          <w:lang w:val="en-US"/>
        </w:rPr>
      </w:pPr>
    </w:p>
    <w:p w14:paraId="0637A97A" w14:textId="0C42743D" w:rsidR="000944EB" w:rsidRPr="00405B89" w:rsidRDefault="000944EB" w:rsidP="000944EB">
      <w:pPr>
        <w:tabs>
          <w:tab w:val="left" w:pos="10650"/>
          <w:tab w:val="right" w:pos="13958"/>
        </w:tabs>
        <w:jc w:val="right"/>
        <w:rPr>
          <w:rFonts w:asciiTheme="minorHAnsi" w:hAnsiTheme="minorHAnsi" w:cstheme="minorHAnsi"/>
          <w:sz w:val="28"/>
          <w:szCs w:val="28"/>
          <w:lang w:val="de-CH"/>
        </w:rPr>
      </w:pPr>
      <w:r w:rsidRPr="00405B89">
        <w:rPr>
          <w:rFonts w:asciiTheme="minorHAnsi" w:hAnsiTheme="minorHAnsi" w:cstheme="minorHAnsi"/>
          <w:b/>
          <w:sz w:val="28"/>
          <w:szCs w:val="28"/>
          <w:lang w:val="de-CH"/>
        </w:rPr>
        <w:t>SC5</w:t>
      </w:r>
      <w:r>
        <w:rPr>
          <w:rFonts w:asciiTheme="minorHAnsi" w:hAnsiTheme="minorHAnsi" w:cstheme="minorHAnsi"/>
          <w:b/>
          <w:sz w:val="28"/>
          <w:szCs w:val="28"/>
          <w:lang w:val="de-CH"/>
        </w:rPr>
        <w:t>9/2022</w:t>
      </w:r>
      <w:r w:rsidRPr="00405B89">
        <w:rPr>
          <w:rFonts w:asciiTheme="minorHAnsi" w:hAnsiTheme="minorHAnsi" w:cstheme="minorHAnsi"/>
          <w:b/>
          <w:sz w:val="28"/>
          <w:szCs w:val="28"/>
          <w:lang w:val="de-CH"/>
        </w:rPr>
        <w:t xml:space="preserve"> Doc</w:t>
      </w:r>
      <w:r w:rsidR="00051031">
        <w:rPr>
          <w:rFonts w:asciiTheme="minorHAnsi" w:hAnsiTheme="minorHAnsi" w:cstheme="minorHAnsi"/>
          <w:b/>
          <w:sz w:val="28"/>
          <w:szCs w:val="28"/>
          <w:lang w:val="de-CH"/>
        </w:rPr>
        <w:t>.</w:t>
      </w:r>
      <w:bookmarkStart w:id="0" w:name="_GoBack"/>
      <w:bookmarkEnd w:id="0"/>
      <w:r w:rsidR="00051031" w:rsidRPr="00051031">
        <w:rPr>
          <w:rFonts w:asciiTheme="minorHAnsi" w:hAnsiTheme="minorHAnsi" w:cstheme="minorHAnsi"/>
          <w:b/>
          <w:sz w:val="28"/>
          <w:szCs w:val="28"/>
          <w:lang w:val="de-CH"/>
        </w:rPr>
        <w:t>24.16</w:t>
      </w:r>
    </w:p>
    <w:p w14:paraId="206D5DBA" w14:textId="77777777" w:rsidR="000944EB" w:rsidRPr="00405B89" w:rsidRDefault="000944EB" w:rsidP="000944EB">
      <w:pPr>
        <w:rPr>
          <w:rFonts w:asciiTheme="minorHAnsi" w:hAnsiTheme="minorHAnsi" w:cstheme="minorHAnsi"/>
          <w:b/>
          <w:sz w:val="28"/>
          <w:szCs w:val="28"/>
          <w:lang w:val="de-CH"/>
        </w:rPr>
      </w:pPr>
    </w:p>
    <w:p w14:paraId="1EB16916" w14:textId="238F8F09" w:rsidR="000944EB" w:rsidRDefault="00236CF5" w:rsidP="000944EB">
      <w:pPr>
        <w:jc w:val="center"/>
        <w:rPr>
          <w:rFonts w:asciiTheme="minorHAnsi" w:hAnsiTheme="minorHAnsi" w:cstheme="minorHAnsi"/>
          <w:b/>
          <w:sz w:val="28"/>
          <w:szCs w:val="28"/>
        </w:rPr>
      </w:pPr>
      <w:r w:rsidRPr="00236CF5">
        <w:rPr>
          <w:rFonts w:asciiTheme="minorHAnsi" w:hAnsiTheme="minorHAnsi" w:cstheme="minorHAnsi"/>
          <w:b/>
          <w:sz w:val="28"/>
          <w:szCs w:val="28"/>
        </w:rPr>
        <w:t>Draft Resolution on the Establishment of the International Mangrove Center in the Framework of the Ramsar Convention</w:t>
      </w:r>
    </w:p>
    <w:p w14:paraId="556F1360" w14:textId="2147322D" w:rsidR="00236CF5" w:rsidRDefault="00236CF5" w:rsidP="000944EB">
      <w:pPr>
        <w:jc w:val="center"/>
        <w:rPr>
          <w:rFonts w:asciiTheme="minorHAnsi" w:hAnsiTheme="minorHAnsi" w:cstheme="minorHAnsi"/>
          <w:b/>
          <w:sz w:val="28"/>
          <w:szCs w:val="28"/>
        </w:rPr>
      </w:pPr>
    </w:p>
    <w:p w14:paraId="435CBC31" w14:textId="3AFE2204" w:rsidR="00236CF5" w:rsidRDefault="00236CF5" w:rsidP="00236CF5">
      <w:pPr>
        <w:ind w:left="0" w:firstLine="0"/>
        <w:rPr>
          <w:rFonts w:asciiTheme="minorHAnsi" w:hAnsiTheme="minorHAnsi" w:cstheme="minorHAnsi"/>
          <w:i/>
        </w:rPr>
      </w:pPr>
      <w:r w:rsidRPr="00236CF5">
        <w:rPr>
          <w:rFonts w:asciiTheme="minorHAnsi" w:hAnsiTheme="minorHAnsi" w:cstheme="minorHAnsi"/>
          <w:i/>
        </w:rPr>
        <w:t>Submitted by China, cosponsored by Australia, Cambodia (support from NFP but waiting for clearance</w:t>
      </w:r>
      <w:r w:rsidR="007D5536">
        <w:rPr>
          <w:rFonts w:asciiTheme="minorHAnsi" w:hAnsiTheme="minorHAnsi" w:cstheme="minorHAnsi"/>
          <w:i/>
        </w:rPr>
        <w:t xml:space="preserve"> from minister), and Madagascar</w:t>
      </w:r>
    </w:p>
    <w:p w14:paraId="426BC919" w14:textId="5804D8E1" w:rsidR="007D5536" w:rsidRDefault="007D5536" w:rsidP="00236CF5">
      <w:pPr>
        <w:ind w:left="0" w:firstLine="0"/>
        <w:rPr>
          <w:rFonts w:asciiTheme="minorHAnsi" w:hAnsiTheme="minorHAnsi" w:cstheme="minorHAnsi"/>
          <w:i/>
        </w:rPr>
      </w:pPr>
    </w:p>
    <w:p w14:paraId="65FA8551" w14:textId="09D66D7A" w:rsidR="007D5536" w:rsidRPr="007D5536" w:rsidRDefault="007D5536" w:rsidP="007D5536">
      <w:pPr>
        <w:ind w:left="0" w:right="16" w:firstLine="0"/>
        <w:rPr>
          <w:rFonts w:eastAsia="仿宋" w:cs="Calibri"/>
          <w:bCs/>
          <w:i/>
          <w:iCs/>
        </w:rPr>
      </w:pPr>
      <w:r w:rsidRPr="007D5536">
        <w:rPr>
          <w:rFonts w:eastAsia="仿宋" w:cs="Calibri"/>
          <w:bCs/>
          <w:i/>
          <w:iCs/>
        </w:rPr>
        <w:t>Secretariat cover note:</w:t>
      </w:r>
    </w:p>
    <w:p w14:paraId="7234DDD5" w14:textId="63B9ACA6" w:rsidR="007D5536" w:rsidRPr="00597B12" w:rsidRDefault="007D5536" w:rsidP="007D5536">
      <w:pPr>
        <w:ind w:left="0" w:firstLine="0"/>
        <w:rPr>
          <w:rFonts w:asciiTheme="minorHAnsi" w:eastAsia="仿宋" w:hAnsiTheme="minorHAnsi" w:cstheme="minorHAnsi"/>
          <w:lang w:val="en-AU" w:eastAsia="zh-CN"/>
        </w:rPr>
      </w:pPr>
      <w:r w:rsidRPr="00597B12">
        <w:rPr>
          <w:rFonts w:asciiTheme="minorHAnsi" w:eastAsia="仿宋" w:hAnsiTheme="minorHAnsi" w:cstheme="minorHAnsi"/>
          <w:bCs/>
          <w:iCs/>
        </w:rPr>
        <w:t xml:space="preserve">The DR is related to Resolutions </w:t>
      </w:r>
      <w:r w:rsidRPr="00597B12">
        <w:rPr>
          <w:rFonts w:asciiTheme="minorHAnsi" w:eastAsia="仿宋" w:hAnsiTheme="minorHAnsi" w:cstheme="minorHAnsi"/>
          <w:lang w:val="en-AU" w:eastAsia="zh-CN"/>
        </w:rPr>
        <w:t xml:space="preserve">VIII.32 </w:t>
      </w:r>
      <w:r w:rsidRPr="00597B12">
        <w:rPr>
          <w:rFonts w:asciiTheme="minorHAnsi" w:eastAsia="仿宋" w:hAnsiTheme="minorHAnsi" w:cstheme="minorHAnsi"/>
          <w:i/>
          <w:lang w:val="en-AU" w:eastAsia="zh-CN"/>
        </w:rPr>
        <w:t>Conservation, Integrated management, and sustainable use of mangrove ecosystems and their resources</w:t>
      </w:r>
      <w:r w:rsidRPr="00597B12">
        <w:rPr>
          <w:rFonts w:asciiTheme="minorHAnsi" w:eastAsia="仿宋" w:hAnsiTheme="minorHAnsi" w:cstheme="minorHAnsi"/>
          <w:lang w:val="en-AU" w:eastAsia="zh-CN"/>
        </w:rPr>
        <w:t xml:space="preserve"> and XIII.14 </w:t>
      </w:r>
      <w:r w:rsidRPr="00597B12">
        <w:rPr>
          <w:rFonts w:asciiTheme="minorHAnsi" w:eastAsia="仿宋" w:hAnsiTheme="minorHAnsi" w:cstheme="minorHAnsi"/>
          <w:i/>
          <w:lang w:val="en-AU" w:eastAsia="zh-CN"/>
        </w:rPr>
        <w:t>Promoting conservation, restoration and sustainable management of coastal blue-carbon ecosystems</w:t>
      </w:r>
      <w:r w:rsidRPr="00597B12">
        <w:rPr>
          <w:rFonts w:asciiTheme="minorHAnsi" w:eastAsia="仿宋" w:hAnsiTheme="minorHAnsi" w:cstheme="minorHAnsi"/>
          <w:lang w:val="en-AU" w:eastAsia="zh-CN"/>
        </w:rPr>
        <w:t xml:space="preserve">. </w:t>
      </w:r>
      <w:r w:rsidRPr="00597B12">
        <w:rPr>
          <w:rFonts w:asciiTheme="minorHAnsi" w:eastAsia="Times New Roman" w:hAnsiTheme="minorHAnsi" w:cstheme="minorHAnsi"/>
        </w:rPr>
        <w:t>The DR does not address matters of a scientific or technical nature requiring review by the STRP</w:t>
      </w:r>
      <w:r w:rsidRPr="00597B12">
        <w:rPr>
          <w:rFonts w:asciiTheme="minorHAnsi" w:hAnsiTheme="minorHAnsi" w:cstheme="minorHAnsi"/>
        </w:rPr>
        <w:t>.</w:t>
      </w:r>
    </w:p>
    <w:p w14:paraId="1DD92AEE" w14:textId="77777777" w:rsidR="008E7227" w:rsidRDefault="008E7227">
      <w:pPr>
        <w:rPr>
          <w:rFonts w:asciiTheme="minorHAnsi" w:hAnsiTheme="minorHAnsi" w:cstheme="minorHAnsi"/>
          <w:i/>
          <w:lang w:val="en-AU"/>
        </w:rPr>
      </w:pPr>
      <w:r>
        <w:rPr>
          <w:rFonts w:asciiTheme="minorHAnsi" w:hAnsiTheme="minorHAnsi" w:cstheme="minorHAnsi"/>
          <w:i/>
          <w:lang w:val="en-AU"/>
        </w:rPr>
        <w:br w:type="page"/>
      </w:r>
    </w:p>
    <w:p w14:paraId="3CDAA746" w14:textId="3937698D" w:rsidR="000C2489" w:rsidRDefault="000C2489" w:rsidP="00014168">
      <w:pPr>
        <w:autoSpaceDE w:val="0"/>
        <w:autoSpaceDN w:val="0"/>
        <w:adjustRightInd w:val="0"/>
        <w:rPr>
          <w:rFonts w:asciiTheme="minorHAnsi" w:eastAsiaTheme="minorHAnsi" w:hAnsiTheme="minorHAnsi" w:cs="Calibri-Bold"/>
          <w:b/>
          <w:bCs/>
        </w:rPr>
      </w:pPr>
      <w:r>
        <w:rPr>
          <w:noProof/>
          <w:lang w:eastAsia="en-GB"/>
        </w:rPr>
        <w:lastRenderedPageBreak/>
        <mc:AlternateContent>
          <mc:Choice Requires="wps">
            <w:drawing>
              <wp:inline distT="0" distB="0" distL="0" distR="0" wp14:anchorId="54196EB4" wp14:editId="33BAA8DE">
                <wp:extent cx="5731510" cy="858982"/>
                <wp:effectExtent l="0" t="0" r="21590"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58982"/>
                        </a:xfrm>
                        <a:prstGeom prst="rect">
                          <a:avLst/>
                        </a:prstGeom>
                        <a:solidFill>
                          <a:srgbClr val="FFFFFF"/>
                        </a:solidFill>
                        <a:ln w="9525">
                          <a:solidFill>
                            <a:srgbClr val="000000"/>
                          </a:solidFill>
                          <a:miter lim="800000"/>
                          <a:headEnd/>
                          <a:tailEnd/>
                        </a:ln>
                      </wps:spPr>
                      <wps:txbx>
                        <w:txbxContent>
                          <w:p w14:paraId="4CD8AD40" w14:textId="77777777" w:rsidR="000C2489" w:rsidRDefault="000C2489" w:rsidP="000C2489">
                            <w:pPr>
                              <w:rPr>
                                <w:b/>
                                <w:bCs/>
                              </w:rPr>
                            </w:pPr>
                            <w:r>
                              <w:rPr>
                                <w:b/>
                                <w:bCs/>
                              </w:rPr>
                              <w:t xml:space="preserve">Actions requested: </w:t>
                            </w:r>
                          </w:p>
                          <w:p w14:paraId="2F7B4884" w14:textId="77777777" w:rsidR="000C2489" w:rsidRDefault="000C2489" w:rsidP="000C2489">
                            <w:pPr>
                              <w:pStyle w:val="ColorfulList-Accent11"/>
                              <w:ind w:left="0"/>
                            </w:pPr>
                          </w:p>
                          <w:p w14:paraId="39ADFEB0" w14:textId="0C674204" w:rsidR="000C2489" w:rsidRDefault="000C2489" w:rsidP="00236CF5">
                            <w:pPr>
                              <w:pStyle w:val="ColorfulList-Accent11"/>
                              <w:ind w:left="0" w:firstLine="0"/>
                            </w:pPr>
                            <w:r>
                              <w:t xml:space="preserve">Standing Committee is </w:t>
                            </w:r>
                            <w:r>
                              <w:rPr>
                                <w:rFonts w:cs="Calibri"/>
                              </w:rPr>
                              <w:t>invited to</w:t>
                            </w:r>
                            <w:r w:rsidR="00236CF5">
                              <w:rPr>
                                <w:rFonts w:cs="Calibri"/>
                              </w:rPr>
                              <w:t xml:space="preserve"> </w:t>
                            </w:r>
                            <w:r w:rsidR="00236CF5" w:rsidRPr="00236CF5">
                              <w:rPr>
                                <w:rFonts w:cs="Calibri"/>
                              </w:rPr>
                              <w:t>review and approve the draft resolution for consideration by the 14th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w14:anchorId="54196EB4" id="_x0000_t202" coordsize="21600,21600" o:spt="202" path="m,l,21600r21600,l21600,xe">
                <v:stroke joinstyle="miter"/>
                <v:path gradientshapeok="t" o:connecttype="rect"/>
              </v:shapetype>
              <v:shape id="Text Box 1" o:spid="_x0000_s1026" type="#_x0000_t202" style="width:451.3pt;height:6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">
                <v:textbox>
                  <w:txbxContent>
                    <w:p w14:paraId="4CD8AD40" w14:textId="77777777" w:rsidR="000C2489" w:rsidRDefault="000C2489" w:rsidP="000C2489">
                      <w:pPr>
                        <w:rPr>
                          <w:b/>
                          <w:bCs/>
                        </w:rPr>
                      </w:pPr>
                      <w:r>
                        <w:rPr>
                          <w:b/>
                          <w:bCs/>
                        </w:rPr>
                        <w:t xml:space="preserve">Actions requested: </w:t>
                      </w:r>
                    </w:p>
                    <w:p w14:paraId="2F7B4884" w14:textId="77777777" w:rsidR="000C2489" w:rsidRDefault="000C2489" w:rsidP="000C2489">
                      <w:pPr>
                        <w:pStyle w:val="ColorfulList-Accent11"/>
                        <w:ind w:left="0"/>
                      </w:pPr>
                    </w:p>
                    <w:p w14:paraId="39ADFEB0" w14:textId="0C674204" w:rsidR="000C2489" w:rsidRDefault="000C2489" w:rsidP="00236CF5">
                      <w:pPr>
                        <w:pStyle w:val="ColorfulList-Accent11"/>
                        <w:ind w:left="0" w:firstLine="0"/>
                      </w:pPr>
                      <w:r>
                        <w:t xml:space="preserve">Standing Committee is </w:t>
                      </w:r>
                      <w:r>
                        <w:rPr>
                          <w:rFonts w:cs="Calibri"/>
                        </w:rPr>
                        <w:t>invited to</w:t>
                      </w:r>
                      <w:r w:rsidR="00236CF5">
                        <w:rPr>
                          <w:rFonts w:cs="Calibri"/>
                        </w:rPr>
                        <w:t xml:space="preserve"> </w:t>
                      </w:r>
                      <w:r w:rsidR="00236CF5" w:rsidRPr="00236CF5">
                        <w:rPr>
                          <w:rFonts w:cs="Calibri"/>
                        </w:rPr>
                        <w:t>review and approve the draft resolution for consideration by the 14th meeting of the Conference of the Parties.</w:t>
                      </w:r>
                    </w:p>
                  </w:txbxContent>
                </v:textbox>
                <w10:anchorlock/>
              </v:shape>
            </w:pict>
          </mc:Fallback>
        </mc:AlternateContent>
      </w:r>
    </w:p>
    <w:p w14:paraId="2B4FEB1E" w14:textId="77777777" w:rsidR="009E0AE8" w:rsidRDefault="009E0AE8" w:rsidP="00014168">
      <w:pPr>
        <w:rPr>
          <w:rFonts w:cs="Arial"/>
          <w:b/>
        </w:rPr>
      </w:pPr>
    </w:p>
    <w:p w14:paraId="33FBAAB3" w14:textId="77777777" w:rsidR="009E0AE8" w:rsidRDefault="009E0AE8" w:rsidP="00014168">
      <w:pPr>
        <w:rPr>
          <w:rFonts w:cs="Arial"/>
          <w:b/>
        </w:rPr>
      </w:pPr>
    </w:p>
    <w:p w14:paraId="35B55433" w14:textId="77777777" w:rsidR="00236CF5" w:rsidRPr="00236CF5" w:rsidRDefault="00236CF5" w:rsidP="00236CF5">
      <w:pPr>
        <w:keepNext/>
        <w:rPr>
          <w:rFonts w:cs="Arial"/>
          <w:b/>
        </w:rPr>
      </w:pPr>
      <w:r w:rsidRPr="00236CF5">
        <w:rPr>
          <w:rFonts w:cs="Arial"/>
          <w:b/>
        </w:rPr>
        <w:t>Introduction</w:t>
      </w:r>
    </w:p>
    <w:p w14:paraId="086BFC13" w14:textId="77777777" w:rsidR="00236CF5" w:rsidRPr="00236CF5" w:rsidRDefault="00236CF5" w:rsidP="00236CF5">
      <w:pPr>
        <w:keepNext/>
        <w:rPr>
          <w:rFonts w:cs="Arial"/>
          <w:b/>
        </w:rPr>
      </w:pPr>
    </w:p>
    <w:p w14:paraId="31B22CAF" w14:textId="77777777" w:rsidR="00236CF5" w:rsidRPr="00236CF5" w:rsidRDefault="00236CF5" w:rsidP="00236CF5">
      <w:pPr>
        <w:keepNext/>
        <w:rPr>
          <w:rFonts w:cs="Arial"/>
          <w:i/>
        </w:rPr>
      </w:pPr>
      <w:r w:rsidRPr="00236CF5">
        <w:rPr>
          <w:rFonts w:cs="Arial"/>
          <w:i/>
        </w:rPr>
        <w:t>Information for the Standing Committee</w:t>
      </w:r>
    </w:p>
    <w:p w14:paraId="1B690FDE" w14:textId="77777777" w:rsidR="00236CF5" w:rsidRPr="00236CF5" w:rsidRDefault="00236CF5" w:rsidP="00236CF5">
      <w:pPr>
        <w:keepNext/>
        <w:ind w:left="0" w:firstLine="0"/>
        <w:rPr>
          <w:rFonts w:cs="Arial"/>
        </w:rPr>
      </w:pPr>
      <w:r w:rsidRPr="00236CF5">
        <w:rPr>
          <w:rFonts w:cs="Arial"/>
        </w:rPr>
        <w:t>Global mangrove wetlands have vital ecological functions and provide important ecosystem services for human beings. Mangroves are also the most important blue carbon ecosystems. The destruction of mangrove wetlands will threaten the well-being of coastal residents and lead to massive carbon emissions. This draft resolution calls for the establishment of an international mangrove center in the framework of the Ramsar Convention, which will help build an international cooperation mechanism and a technical support platform for countries of interest. Through technical exchanges, collaborative research, education and training, and pilot projects for conservation and restoration of mangroves, the center aims to promote the implementation of the Strategic Plan of the Convention on Wetlands, as well as the UN Decade on Ecosystem Restoration and the UN Decade of Ocean Science for Sustainable Development, and contribute to the achievement of SDG6.6.1 on Water Ecosystems, SDG13 on Climate Action and SDG14 on Life below Water, the 2050 Vision for Biodiversity and the carbon neutrality goal of the UNFCCC.</w:t>
      </w:r>
    </w:p>
    <w:p w14:paraId="28926668" w14:textId="77777777" w:rsidR="00236CF5" w:rsidRPr="00236CF5" w:rsidRDefault="00236CF5" w:rsidP="00236CF5">
      <w:pPr>
        <w:keepNext/>
        <w:rPr>
          <w:rFonts w:cs="Arial"/>
          <w:b/>
        </w:rPr>
      </w:pPr>
    </w:p>
    <w:p w14:paraId="2E6010A7" w14:textId="413F6712" w:rsidR="00236CF5" w:rsidRPr="00713AA3" w:rsidRDefault="00236CF5" w:rsidP="00236CF5">
      <w:pPr>
        <w:suppressLineNumbers/>
        <w:suppressAutoHyphens/>
        <w:contextualSpacing/>
        <w:rPr>
          <w:rFonts w:asciiTheme="minorHAnsi" w:hAnsiTheme="minorHAnsi" w:cstheme="minorHAnsi"/>
          <w:i/>
        </w:rPr>
      </w:pPr>
      <w:r w:rsidRPr="00236CF5">
        <w:rPr>
          <w:rFonts w:asciiTheme="minorHAnsi" w:hAnsiTheme="minorHAnsi" w:cstheme="minorHAnsi"/>
          <w:i/>
        </w:rPr>
        <w:t>Financial implications of implementation</w:t>
      </w:r>
    </w:p>
    <w:tbl>
      <w:tblPr>
        <w:tblStyle w:val="TableGrid"/>
        <w:tblW w:w="0" w:type="auto"/>
        <w:tblInd w:w="108" w:type="dxa"/>
        <w:tblLook w:val="04A0" w:firstRow="1" w:lastRow="0" w:firstColumn="1" w:lastColumn="0" w:noHBand="0" w:noVBand="1"/>
      </w:tblPr>
      <w:tblGrid>
        <w:gridCol w:w="2648"/>
        <w:gridCol w:w="3843"/>
        <w:gridCol w:w="2417"/>
      </w:tblGrid>
      <w:tr w:rsidR="00236CF5" w:rsidRPr="00713AA3" w14:paraId="6A7AC301" w14:textId="77777777" w:rsidTr="00236CF5">
        <w:tc>
          <w:tcPr>
            <w:tcW w:w="2648" w:type="dxa"/>
          </w:tcPr>
          <w:p w14:paraId="366BB24E" w14:textId="42D5482C" w:rsidR="00236CF5" w:rsidRPr="00713AA3" w:rsidRDefault="00236CF5" w:rsidP="00EB63CD">
            <w:pPr>
              <w:suppressLineNumbers/>
              <w:suppressAutoHyphens/>
              <w:contextualSpacing/>
              <w:rPr>
                <w:rFonts w:asciiTheme="minorHAnsi" w:hAnsiTheme="minorHAnsi" w:cstheme="minorHAnsi"/>
              </w:rPr>
            </w:pPr>
            <w:r w:rsidRPr="00713AA3">
              <w:rPr>
                <w:rFonts w:asciiTheme="minorHAnsi" w:hAnsiTheme="minorHAnsi" w:cstheme="minorHAnsi"/>
              </w:rPr>
              <w:t>Paragraph</w:t>
            </w:r>
            <w:r>
              <w:rPr>
                <w:rFonts w:asciiTheme="minorHAnsi" w:hAnsiTheme="minorHAnsi" w:cstheme="minorHAnsi"/>
              </w:rPr>
              <w:t xml:space="preserve"> </w:t>
            </w:r>
            <w:r w:rsidRPr="00236CF5">
              <w:rPr>
                <w:rFonts w:asciiTheme="minorHAnsi" w:hAnsiTheme="minorHAnsi" w:cstheme="minorHAnsi"/>
              </w:rPr>
              <w:t>(Number and key part of text)</w:t>
            </w:r>
          </w:p>
        </w:tc>
        <w:tc>
          <w:tcPr>
            <w:tcW w:w="3843" w:type="dxa"/>
          </w:tcPr>
          <w:p w14:paraId="5CA439CB" w14:textId="77777777" w:rsidR="00236CF5" w:rsidRPr="00713AA3" w:rsidRDefault="00236CF5" w:rsidP="00EB63CD">
            <w:pPr>
              <w:suppressLineNumbers/>
              <w:suppressAutoHyphens/>
              <w:contextualSpacing/>
              <w:rPr>
                <w:rFonts w:asciiTheme="minorHAnsi" w:hAnsiTheme="minorHAnsi" w:cstheme="minorHAnsi"/>
              </w:rPr>
            </w:pPr>
            <w:r w:rsidRPr="00713AA3">
              <w:rPr>
                <w:rFonts w:asciiTheme="minorHAnsi" w:hAnsiTheme="minorHAnsi" w:cstheme="minorHAnsi"/>
              </w:rPr>
              <w:t xml:space="preserve">Action </w:t>
            </w:r>
          </w:p>
        </w:tc>
        <w:tc>
          <w:tcPr>
            <w:tcW w:w="2417" w:type="dxa"/>
          </w:tcPr>
          <w:p w14:paraId="234A0A52" w14:textId="77777777" w:rsidR="00236CF5" w:rsidRPr="00713AA3" w:rsidRDefault="00236CF5" w:rsidP="00EB63CD">
            <w:pPr>
              <w:suppressLineNumbers/>
              <w:suppressAutoHyphens/>
              <w:contextualSpacing/>
              <w:rPr>
                <w:rFonts w:asciiTheme="minorHAnsi" w:hAnsiTheme="minorHAnsi" w:cstheme="minorHAnsi"/>
              </w:rPr>
            </w:pPr>
            <w:r w:rsidRPr="00713AA3">
              <w:rPr>
                <w:rFonts w:asciiTheme="minorHAnsi" w:hAnsiTheme="minorHAnsi" w:cstheme="minorHAnsi"/>
              </w:rPr>
              <w:t>Cost (CHF)</w:t>
            </w:r>
          </w:p>
        </w:tc>
      </w:tr>
      <w:tr w:rsidR="00236CF5" w:rsidRPr="00713AA3" w14:paraId="28B6133B" w14:textId="77777777" w:rsidTr="00236CF5">
        <w:tc>
          <w:tcPr>
            <w:tcW w:w="2648" w:type="dxa"/>
          </w:tcPr>
          <w:p w14:paraId="0297E7B1" w14:textId="053EA4C4" w:rsidR="00236CF5" w:rsidRPr="00713AA3" w:rsidRDefault="00236CF5" w:rsidP="00236CF5">
            <w:pPr>
              <w:suppressLineNumbers/>
              <w:suppressAutoHyphens/>
              <w:ind w:left="0" w:firstLine="0"/>
              <w:contextualSpacing/>
              <w:rPr>
                <w:rFonts w:asciiTheme="minorHAnsi" w:hAnsiTheme="minorHAnsi" w:cstheme="minorHAnsi"/>
              </w:rPr>
            </w:pPr>
            <w:r w:rsidRPr="00A4415F">
              <w:t>Not Applicable</w:t>
            </w:r>
          </w:p>
        </w:tc>
        <w:tc>
          <w:tcPr>
            <w:tcW w:w="3843" w:type="dxa"/>
          </w:tcPr>
          <w:p w14:paraId="18A01B1D" w14:textId="73B1381C" w:rsidR="00236CF5" w:rsidRPr="00713AA3" w:rsidRDefault="00236CF5" w:rsidP="00236CF5">
            <w:pPr>
              <w:suppressLineNumbers/>
              <w:suppressAutoHyphens/>
              <w:ind w:left="0" w:firstLine="0"/>
              <w:contextualSpacing/>
              <w:rPr>
                <w:rFonts w:asciiTheme="minorHAnsi" w:hAnsiTheme="minorHAnsi" w:cstheme="minorHAnsi"/>
              </w:rPr>
            </w:pPr>
            <w:r w:rsidRPr="00A4415F">
              <w:t>-</w:t>
            </w:r>
          </w:p>
        </w:tc>
        <w:tc>
          <w:tcPr>
            <w:tcW w:w="2417" w:type="dxa"/>
          </w:tcPr>
          <w:p w14:paraId="513CE8A6" w14:textId="70D646F8" w:rsidR="00236CF5" w:rsidRPr="00713AA3" w:rsidRDefault="00236CF5" w:rsidP="00236CF5">
            <w:pPr>
              <w:suppressLineNumbers/>
              <w:suppressAutoHyphens/>
              <w:ind w:left="0" w:firstLine="0"/>
              <w:contextualSpacing/>
              <w:rPr>
                <w:rFonts w:asciiTheme="minorHAnsi" w:hAnsiTheme="minorHAnsi" w:cstheme="minorHAnsi"/>
              </w:rPr>
            </w:pPr>
            <w:r w:rsidRPr="00A4415F">
              <w:t>No financial implications</w:t>
            </w:r>
          </w:p>
        </w:tc>
      </w:tr>
    </w:tbl>
    <w:p w14:paraId="1F45C14F" w14:textId="77777777" w:rsidR="007D5536" w:rsidRDefault="007D5536">
      <w:pPr>
        <w:rPr>
          <w:rFonts w:asciiTheme="minorHAnsi" w:eastAsia="仿宋" w:hAnsiTheme="minorHAnsi" w:cstheme="minorHAnsi"/>
          <w:b/>
          <w:bCs/>
          <w:lang w:eastAsia="zh-CN"/>
        </w:rPr>
      </w:pPr>
      <w:r>
        <w:rPr>
          <w:rFonts w:asciiTheme="minorHAnsi" w:eastAsia="仿宋" w:hAnsiTheme="minorHAnsi" w:cstheme="minorHAnsi"/>
          <w:b/>
          <w:bCs/>
          <w:lang w:eastAsia="zh-CN"/>
        </w:rPr>
        <w:br w:type="page"/>
      </w:r>
    </w:p>
    <w:p w14:paraId="351898BB" w14:textId="69CE0293" w:rsidR="00380E68" w:rsidRPr="00380E68" w:rsidRDefault="00380E68" w:rsidP="00380E68">
      <w:pPr>
        <w:ind w:right="16"/>
        <w:rPr>
          <w:rFonts w:asciiTheme="minorHAnsi" w:eastAsia="仿宋" w:hAnsiTheme="minorHAnsi" w:cstheme="minorHAnsi"/>
          <w:b/>
          <w:bCs/>
          <w:lang w:eastAsia="zh-CN"/>
        </w:rPr>
      </w:pPr>
      <w:r w:rsidRPr="00380E68">
        <w:rPr>
          <w:rFonts w:asciiTheme="minorHAnsi" w:eastAsia="仿宋" w:hAnsiTheme="minorHAnsi" w:cstheme="minorHAnsi"/>
          <w:b/>
          <w:bCs/>
          <w:lang w:eastAsia="zh-CN"/>
        </w:rPr>
        <w:lastRenderedPageBreak/>
        <w:t>Draft Resolution XIV.xx</w:t>
      </w:r>
    </w:p>
    <w:p w14:paraId="0BA8099D" w14:textId="77777777" w:rsidR="00380E68" w:rsidRPr="00380E68" w:rsidRDefault="00380E68" w:rsidP="00380E68">
      <w:pPr>
        <w:ind w:right="16"/>
        <w:rPr>
          <w:rFonts w:asciiTheme="minorHAnsi" w:eastAsia="仿宋" w:hAnsiTheme="minorHAnsi" w:cstheme="minorHAnsi"/>
          <w:b/>
          <w:bCs/>
          <w:lang w:eastAsia="zh-CN"/>
        </w:rPr>
      </w:pPr>
    </w:p>
    <w:p w14:paraId="4885910B" w14:textId="77777777" w:rsidR="00380E68" w:rsidRPr="00380E68" w:rsidRDefault="00380E68" w:rsidP="00380E68">
      <w:pPr>
        <w:ind w:right="16"/>
        <w:jc w:val="center"/>
        <w:rPr>
          <w:rFonts w:asciiTheme="minorHAnsi" w:eastAsia="仿宋" w:hAnsiTheme="minorHAnsi" w:cstheme="minorHAnsi"/>
          <w:b/>
          <w:lang w:val="en-AU" w:eastAsia="zh-CN"/>
        </w:rPr>
      </w:pPr>
      <w:r w:rsidRPr="00380E68">
        <w:rPr>
          <w:rFonts w:asciiTheme="minorHAnsi" w:eastAsia="仿宋" w:hAnsiTheme="minorHAnsi" w:cstheme="minorHAnsi"/>
          <w:b/>
          <w:lang w:val="en-AU" w:eastAsia="zh-CN"/>
        </w:rPr>
        <w:t xml:space="preserve">Establishment of </w:t>
      </w:r>
      <w:r w:rsidRPr="00380E68">
        <w:rPr>
          <w:rFonts w:asciiTheme="minorHAnsi" w:eastAsia="仿宋" w:hAnsiTheme="minorHAnsi" w:cstheme="minorHAnsi"/>
          <w:b/>
          <w:lang w:val="en-US" w:eastAsia="zh-CN"/>
        </w:rPr>
        <w:t xml:space="preserve">the </w:t>
      </w:r>
      <w:r w:rsidRPr="00380E68">
        <w:rPr>
          <w:rFonts w:asciiTheme="minorHAnsi" w:eastAsia="仿宋" w:hAnsiTheme="minorHAnsi" w:cstheme="minorHAnsi"/>
          <w:b/>
          <w:lang w:val="en-AU" w:eastAsia="zh-CN"/>
        </w:rPr>
        <w:t>International Mangrove Center</w:t>
      </w:r>
    </w:p>
    <w:p w14:paraId="471A3800" w14:textId="77777777" w:rsidR="00380E68" w:rsidRPr="00380E68" w:rsidRDefault="00380E68" w:rsidP="00380E68">
      <w:pPr>
        <w:ind w:right="16"/>
        <w:jc w:val="center"/>
        <w:rPr>
          <w:rFonts w:asciiTheme="minorHAnsi" w:eastAsia="仿宋" w:hAnsiTheme="minorHAnsi" w:cstheme="minorHAnsi"/>
          <w:b/>
          <w:lang w:val="en-AU" w:eastAsia="zh-CN"/>
        </w:rPr>
      </w:pPr>
      <w:r w:rsidRPr="00380E68">
        <w:rPr>
          <w:rFonts w:asciiTheme="minorHAnsi" w:eastAsia="仿宋" w:hAnsiTheme="minorHAnsi" w:cstheme="minorHAnsi"/>
          <w:b/>
          <w:lang w:val="en-AU" w:eastAsia="zh-CN"/>
        </w:rPr>
        <w:t xml:space="preserve">in the Framework of </w:t>
      </w:r>
      <w:r w:rsidRPr="00380E68">
        <w:rPr>
          <w:rFonts w:asciiTheme="minorHAnsi" w:eastAsia="仿宋" w:hAnsiTheme="minorHAnsi" w:cstheme="minorHAnsi"/>
          <w:b/>
          <w:lang w:val="en-US" w:eastAsia="zh-CN"/>
        </w:rPr>
        <w:t xml:space="preserve">the </w:t>
      </w:r>
      <w:r w:rsidRPr="00380E68">
        <w:rPr>
          <w:rFonts w:asciiTheme="minorHAnsi" w:eastAsia="仿宋" w:hAnsiTheme="minorHAnsi" w:cstheme="minorHAnsi"/>
          <w:b/>
          <w:lang w:val="en-AU" w:eastAsia="zh-CN"/>
        </w:rPr>
        <w:t>Ramsar Convention</w:t>
      </w:r>
    </w:p>
    <w:p w14:paraId="53E32C25" w14:textId="77777777" w:rsidR="00380E68" w:rsidRPr="00380E68" w:rsidRDefault="00380E68" w:rsidP="00380E68">
      <w:pPr>
        <w:ind w:right="16"/>
        <w:rPr>
          <w:rFonts w:asciiTheme="minorHAnsi" w:eastAsia="仿宋" w:hAnsiTheme="minorHAnsi" w:cstheme="minorHAnsi"/>
          <w:color w:val="000000" w:themeColor="text1"/>
          <w:lang w:eastAsia="zh-CN"/>
        </w:rPr>
      </w:pPr>
      <w:r w:rsidRPr="00380E68">
        <w:rPr>
          <w:rFonts w:asciiTheme="minorHAnsi" w:eastAsia="仿宋" w:hAnsiTheme="minorHAnsi" w:cstheme="minorHAnsi"/>
          <w:b/>
          <w:bCs/>
          <w:lang w:eastAsia="zh-CN"/>
        </w:rPr>
        <w:t xml:space="preserve">  </w:t>
      </w:r>
    </w:p>
    <w:p w14:paraId="4D21609B" w14:textId="77777777" w:rsidR="00380E68" w:rsidRPr="00380E68" w:rsidRDefault="00380E68" w:rsidP="00380E68">
      <w:pPr>
        <w:pStyle w:val="ListParagraph"/>
        <w:numPr>
          <w:ilvl w:val="0"/>
          <w:numId w:val="30"/>
        </w:numPr>
        <w:jc w:val="both"/>
        <w:rPr>
          <w:rFonts w:asciiTheme="minorHAnsi" w:eastAsia="仿宋" w:hAnsiTheme="minorHAnsi" w:cstheme="minorHAnsi"/>
          <w:lang w:val="en-AU" w:eastAsia="zh-CN"/>
        </w:rPr>
      </w:pPr>
      <w:r w:rsidRPr="00380E68">
        <w:rPr>
          <w:rFonts w:asciiTheme="minorHAnsi" w:eastAsia="仿宋" w:hAnsiTheme="minorHAnsi" w:cstheme="minorHAnsi"/>
          <w:b/>
          <w:bCs/>
          <w:lang w:val="en-US" w:eastAsia="zh-CN"/>
        </w:rPr>
        <w:t>Recognizing</w:t>
      </w:r>
      <w:r w:rsidRPr="00380E68">
        <w:rPr>
          <w:rFonts w:asciiTheme="minorHAnsi" w:eastAsia="仿宋" w:hAnsiTheme="minorHAnsi" w:cstheme="minorHAnsi"/>
          <w:b/>
          <w:bCs/>
          <w:lang w:val="en-AU" w:eastAsia="zh-CN"/>
        </w:rPr>
        <w:t xml:space="preserve"> </w:t>
      </w:r>
      <w:r w:rsidRPr="00380E68">
        <w:rPr>
          <w:rFonts w:asciiTheme="minorHAnsi" w:eastAsia="仿宋" w:hAnsiTheme="minorHAnsi" w:cstheme="minorHAnsi"/>
          <w:lang w:val="en-US" w:eastAsia="zh-CN"/>
        </w:rPr>
        <w:t>that</w:t>
      </w:r>
      <w:r w:rsidRPr="00380E68">
        <w:rPr>
          <w:rFonts w:asciiTheme="minorHAnsi" w:eastAsia="仿宋" w:hAnsiTheme="minorHAnsi" w:cstheme="minorHAnsi"/>
          <w:b/>
          <w:bCs/>
          <w:lang w:val="en-US" w:eastAsia="zh-CN"/>
        </w:rPr>
        <w:t xml:space="preserve"> </w:t>
      </w:r>
      <w:r w:rsidRPr="00380E68">
        <w:rPr>
          <w:rFonts w:asciiTheme="minorHAnsi" w:eastAsia="仿宋" w:hAnsiTheme="minorHAnsi" w:cstheme="minorHAnsi"/>
          <w:lang w:val="en-AU" w:eastAsia="zh-CN"/>
        </w:rPr>
        <w:t xml:space="preserve">mangroves </w:t>
      </w:r>
      <w:r w:rsidRPr="00380E68">
        <w:rPr>
          <w:rFonts w:asciiTheme="minorHAnsi" w:eastAsia="仿宋" w:hAnsiTheme="minorHAnsi" w:cstheme="minorHAnsi"/>
          <w:lang w:val="en-US" w:eastAsia="zh-CN"/>
        </w:rPr>
        <w:t xml:space="preserve">are </w:t>
      </w:r>
      <w:r w:rsidRPr="00380E68">
        <w:rPr>
          <w:rFonts w:asciiTheme="minorHAnsi" w:eastAsia="仿宋" w:hAnsiTheme="minorHAnsi" w:cstheme="minorHAnsi"/>
          <w:lang w:val="en-AU" w:eastAsia="zh-CN"/>
        </w:rPr>
        <w:t xml:space="preserve">rich </w:t>
      </w:r>
      <w:r w:rsidRPr="00380E68">
        <w:rPr>
          <w:rFonts w:asciiTheme="minorHAnsi" w:eastAsia="仿宋" w:hAnsiTheme="minorHAnsi" w:cstheme="minorHAnsi"/>
          <w:lang w:val="en-US" w:eastAsia="zh-CN"/>
        </w:rPr>
        <w:t xml:space="preserve">in </w:t>
      </w:r>
      <w:r w:rsidRPr="00380E68">
        <w:rPr>
          <w:rFonts w:asciiTheme="minorHAnsi" w:eastAsia="仿宋" w:hAnsiTheme="minorHAnsi" w:cstheme="minorHAnsi"/>
          <w:lang w:val="en-AU" w:eastAsia="zh-CN"/>
        </w:rPr>
        <w:t>biodiversity</w:t>
      </w:r>
      <w:r w:rsidRPr="00380E68">
        <w:rPr>
          <w:rFonts w:asciiTheme="minorHAnsi" w:eastAsia="仿宋" w:hAnsiTheme="minorHAnsi" w:cstheme="minorHAnsi"/>
          <w:lang w:val="en-US" w:eastAsia="zh-CN"/>
        </w:rPr>
        <w:t>,</w:t>
      </w:r>
      <w:r w:rsidRPr="00380E68">
        <w:rPr>
          <w:rFonts w:asciiTheme="minorHAnsi" w:eastAsia="仿宋" w:hAnsiTheme="minorHAnsi" w:cstheme="minorHAnsi"/>
          <w:lang w:val="en-AU" w:eastAsia="zh-CN"/>
        </w:rPr>
        <w:t xml:space="preserve"> </w:t>
      </w:r>
      <w:r w:rsidRPr="00380E68">
        <w:rPr>
          <w:rFonts w:asciiTheme="minorHAnsi" w:eastAsia="仿宋" w:hAnsiTheme="minorHAnsi" w:cstheme="minorHAnsi"/>
          <w:lang w:val="en-US" w:eastAsia="zh-CN"/>
        </w:rPr>
        <w:t>and provide habitats for</w:t>
      </w:r>
      <w:r w:rsidRPr="00380E68">
        <w:rPr>
          <w:rFonts w:asciiTheme="minorHAnsi" w:eastAsia="仿宋" w:hAnsiTheme="minorHAnsi" w:cstheme="minorHAnsi"/>
          <w:lang w:val="en-AU" w:eastAsia="zh-CN"/>
        </w:rPr>
        <w:t xml:space="preserve"> 371 endangered species</w:t>
      </w:r>
      <w:r w:rsidRPr="00380E68">
        <w:rPr>
          <w:rFonts w:asciiTheme="minorHAnsi" w:eastAsia="仿宋" w:hAnsiTheme="minorHAnsi" w:cstheme="minorHAnsi"/>
          <w:lang w:val="en-US" w:eastAsia="zh-CN"/>
        </w:rPr>
        <w:t xml:space="preserve"> around the world.</w:t>
      </w:r>
      <w:r w:rsidRPr="00380E68">
        <w:rPr>
          <w:rFonts w:asciiTheme="minorHAnsi" w:eastAsia="仿宋" w:hAnsiTheme="minorHAnsi" w:cstheme="minorHAnsi"/>
          <w:lang w:val="en-AU" w:eastAsia="zh-CN"/>
        </w:rPr>
        <w:t xml:space="preserve"> </w:t>
      </w:r>
      <w:r w:rsidRPr="00380E68">
        <w:rPr>
          <w:rFonts w:asciiTheme="minorHAnsi" w:eastAsia="仿宋" w:hAnsiTheme="minorHAnsi" w:cstheme="minorHAnsi"/>
          <w:lang w:val="en-US" w:eastAsia="zh-CN"/>
        </w:rPr>
        <w:t>Mangroves also offer</w:t>
      </w:r>
      <w:r w:rsidRPr="00380E68">
        <w:rPr>
          <w:rFonts w:asciiTheme="minorHAnsi" w:eastAsia="仿宋" w:hAnsiTheme="minorHAnsi" w:cstheme="minorHAnsi"/>
          <w:lang w:val="en-AU" w:eastAsia="zh-CN"/>
        </w:rPr>
        <w:t xml:space="preserve"> important fishery resources</w:t>
      </w:r>
      <w:r w:rsidRPr="00380E68">
        <w:rPr>
          <w:rFonts w:asciiTheme="minorHAnsi" w:eastAsia="仿宋" w:hAnsiTheme="minorHAnsi" w:cstheme="minorHAnsi"/>
          <w:lang w:val="en-US" w:eastAsia="zh-CN"/>
        </w:rPr>
        <w:t>.</w:t>
      </w:r>
      <w:r w:rsidRPr="00380E68">
        <w:rPr>
          <w:rFonts w:asciiTheme="minorHAnsi" w:eastAsia="仿宋" w:hAnsiTheme="minorHAnsi" w:cstheme="minorHAnsi"/>
          <w:lang w:val="en-AU" w:eastAsia="zh-CN"/>
        </w:rPr>
        <w:t xml:space="preserve"> </w:t>
      </w:r>
      <w:r w:rsidRPr="00380E68">
        <w:rPr>
          <w:rFonts w:asciiTheme="minorHAnsi" w:eastAsia="仿宋" w:hAnsiTheme="minorHAnsi" w:cstheme="minorHAnsi"/>
          <w:lang w:val="en-US" w:eastAsia="zh-CN"/>
        </w:rPr>
        <w:t>More than</w:t>
      </w:r>
      <w:r w:rsidRPr="00380E68">
        <w:rPr>
          <w:rFonts w:asciiTheme="minorHAnsi" w:eastAsia="仿宋" w:hAnsiTheme="minorHAnsi" w:cstheme="minorHAnsi"/>
          <w:lang w:val="en-AU" w:eastAsia="zh-CN"/>
        </w:rPr>
        <w:t xml:space="preserve"> 4.1 million mangrove fishers and </w:t>
      </w:r>
      <w:r w:rsidRPr="00380E68">
        <w:rPr>
          <w:rFonts w:asciiTheme="minorHAnsi" w:eastAsia="仿宋" w:hAnsiTheme="minorHAnsi" w:cstheme="minorHAnsi"/>
          <w:lang w:val="en-US" w:eastAsia="zh-CN"/>
        </w:rPr>
        <w:t>associated</w:t>
      </w:r>
      <w:r w:rsidRPr="00380E68">
        <w:rPr>
          <w:rFonts w:asciiTheme="minorHAnsi" w:eastAsia="仿宋" w:hAnsiTheme="minorHAnsi" w:cstheme="minorHAnsi"/>
          <w:lang w:val="en-AU" w:eastAsia="zh-CN"/>
        </w:rPr>
        <w:t xml:space="preserve"> communities globally </w:t>
      </w:r>
      <w:r w:rsidRPr="00380E68">
        <w:rPr>
          <w:rFonts w:asciiTheme="minorHAnsi" w:eastAsia="仿宋" w:hAnsiTheme="minorHAnsi" w:cstheme="minorHAnsi"/>
          <w:lang w:val="en-US" w:eastAsia="zh-CN"/>
        </w:rPr>
        <w:t>depend on mangrove ecosystems for livelihood.</w:t>
      </w:r>
      <w:r w:rsidRPr="00380E68">
        <w:rPr>
          <w:rFonts w:asciiTheme="minorHAnsi" w:eastAsia="仿宋" w:hAnsiTheme="minorHAnsi" w:cstheme="minorHAnsi"/>
          <w:lang w:val="en-AU" w:eastAsia="zh-CN"/>
        </w:rPr>
        <w:t xml:space="preserve"> </w:t>
      </w:r>
      <w:r w:rsidRPr="00380E68">
        <w:rPr>
          <w:rFonts w:asciiTheme="minorHAnsi" w:eastAsia="仿宋" w:hAnsiTheme="minorHAnsi" w:cstheme="minorHAnsi"/>
          <w:lang w:val="en-US" w:eastAsia="zh-CN"/>
        </w:rPr>
        <w:t xml:space="preserve">It is estimated that </w:t>
      </w:r>
      <w:r w:rsidRPr="00380E68">
        <w:rPr>
          <w:rFonts w:asciiTheme="minorHAnsi" w:eastAsia="仿宋" w:hAnsiTheme="minorHAnsi" w:cstheme="minorHAnsi"/>
          <w:lang w:val="en-AU" w:eastAsia="zh-CN"/>
        </w:rPr>
        <w:t xml:space="preserve">mangroves </w:t>
      </w:r>
      <w:r w:rsidRPr="00380E68">
        <w:rPr>
          <w:rFonts w:asciiTheme="minorHAnsi" w:eastAsia="仿宋" w:hAnsiTheme="minorHAnsi" w:cstheme="minorHAnsi"/>
          <w:lang w:val="en-US" w:eastAsia="zh-CN"/>
        </w:rPr>
        <w:t>reduce flooding risks to more than</w:t>
      </w:r>
      <w:r w:rsidRPr="00380E68">
        <w:rPr>
          <w:rFonts w:asciiTheme="minorHAnsi" w:eastAsia="仿宋" w:hAnsiTheme="minorHAnsi" w:cstheme="minorHAnsi"/>
          <w:lang w:val="en-AU" w:eastAsia="zh-CN"/>
        </w:rPr>
        <w:t xml:space="preserve"> 15 million people and prevent more than $65 billion in property damages</w:t>
      </w:r>
      <w:r w:rsidRPr="00380E68">
        <w:rPr>
          <w:rFonts w:asciiTheme="minorHAnsi" w:eastAsia="仿宋" w:hAnsiTheme="minorHAnsi" w:cstheme="minorHAnsi"/>
          <w:lang w:val="en-US" w:eastAsia="zh-CN"/>
        </w:rPr>
        <w:t xml:space="preserve"> </w:t>
      </w:r>
      <w:r w:rsidRPr="00380E68">
        <w:rPr>
          <w:rFonts w:asciiTheme="minorHAnsi" w:eastAsia="仿宋" w:hAnsiTheme="minorHAnsi" w:cstheme="minorHAnsi"/>
          <w:lang w:val="en-AU" w:eastAsia="zh-CN"/>
        </w:rPr>
        <w:t>every year. (The State of the Worlds Mangrove, GMA, 2021)</w:t>
      </w:r>
      <w:r w:rsidRPr="00380E68">
        <w:rPr>
          <w:rFonts w:asciiTheme="minorHAnsi" w:eastAsia="仿宋" w:hAnsiTheme="minorHAnsi" w:cstheme="minorHAnsi"/>
          <w:lang w:val="en-US" w:eastAsia="zh-CN"/>
        </w:rPr>
        <w:t>.</w:t>
      </w:r>
    </w:p>
    <w:p w14:paraId="1483F9FF" w14:textId="77777777" w:rsidR="00380E68" w:rsidRPr="00380E68" w:rsidRDefault="00380E68" w:rsidP="00380E68">
      <w:pPr>
        <w:pStyle w:val="ListParagraph"/>
        <w:ind w:left="420" w:firstLine="0"/>
        <w:jc w:val="both"/>
        <w:rPr>
          <w:rFonts w:asciiTheme="minorHAnsi" w:eastAsia="仿宋" w:hAnsiTheme="minorHAnsi" w:cstheme="minorHAnsi"/>
          <w:lang w:val="en-AU" w:eastAsia="zh-CN"/>
        </w:rPr>
      </w:pPr>
    </w:p>
    <w:p w14:paraId="261A5D64" w14:textId="77777777" w:rsidR="00380E68" w:rsidRPr="00380E68" w:rsidRDefault="00380E68" w:rsidP="00380E68">
      <w:pPr>
        <w:pStyle w:val="ListParagraph"/>
        <w:numPr>
          <w:ilvl w:val="0"/>
          <w:numId w:val="30"/>
        </w:numPr>
        <w:jc w:val="both"/>
        <w:rPr>
          <w:rFonts w:asciiTheme="minorHAnsi" w:eastAsia="仿宋" w:hAnsiTheme="minorHAnsi" w:cstheme="minorHAnsi"/>
          <w:lang w:val="en-AU" w:eastAsia="zh-CN"/>
        </w:rPr>
      </w:pPr>
      <w:r w:rsidRPr="00380E68">
        <w:rPr>
          <w:rFonts w:asciiTheme="minorHAnsi" w:eastAsia="仿宋" w:hAnsiTheme="minorHAnsi" w:cstheme="minorHAnsi"/>
          <w:b/>
          <w:lang w:val="en-US" w:eastAsia="zh-CN"/>
        </w:rPr>
        <w:t>Acknowledging</w:t>
      </w:r>
      <w:r w:rsidRPr="00380E68">
        <w:rPr>
          <w:rFonts w:asciiTheme="minorHAnsi" w:eastAsia="仿宋" w:hAnsiTheme="minorHAnsi" w:cstheme="minorHAnsi"/>
          <w:lang w:val="en-AU" w:eastAsia="zh-CN"/>
        </w:rPr>
        <w:t xml:space="preserve"> mangroves are the most important coastal blue carbon ecosystems, stocking 1,023 tons of carbon per hectare, which is 3 to 4 times </w:t>
      </w:r>
      <w:r w:rsidRPr="00380E68">
        <w:rPr>
          <w:rFonts w:asciiTheme="minorHAnsi" w:eastAsia="仿宋" w:hAnsiTheme="minorHAnsi" w:cstheme="minorHAnsi"/>
          <w:lang w:val="en-US" w:eastAsia="zh-CN"/>
        </w:rPr>
        <w:t>that of</w:t>
      </w:r>
      <w:r w:rsidRPr="00380E68">
        <w:rPr>
          <w:rFonts w:asciiTheme="minorHAnsi" w:eastAsia="仿宋" w:hAnsiTheme="minorHAnsi" w:cstheme="minorHAnsi"/>
          <w:lang w:val="en-AU" w:eastAsia="zh-CN"/>
        </w:rPr>
        <w:t xml:space="preserve"> tropical forest</w:t>
      </w:r>
      <w:r w:rsidRPr="00380E68">
        <w:rPr>
          <w:rFonts w:asciiTheme="minorHAnsi" w:eastAsia="仿宋" w:hAnsiTheme="minorHAnsi" w:cstheme="minorHAnsi"/>
          <w:lang w:val="en-US" w:eastAsia="zh-CN"/>
        </w:rPr>
        <w:t>s</w:t>
      </w:r>
      <w:r w:rsidRPr="00380E68">
        <w:rPr>
          <w:rFonts w:asciiTheme="minorHAnsi" w:eastAsia="仿宋" w:hAnsiTheme="minorHAnsi" w:cstheme="minorHAnsi"/>
          <w:lang w:val="en-AU" w:eastAsia="zh-CN"/>
        </w:rPr>
        <w:t xml:space="preserve"> (IUCN and Ramsar, 2020). </w:t>
      </w:r>
      <w:r w:rsidRPr="00380E68">
        <w:rPr>
          <w:rFonts w:asciiTheme="minorHAnsi" w:eastAsia="仿宋" w:hAnsiTheme="minorHAnsi" w:cstheme="minorHAnsi"/>
          <w:lang w:val="en-US" w:eastAsia="zh-CN"/>
        </w:rPr>
        <w:t>M</w:t>
      </w:r>
      <w:r w:rsidRPr="00380E68">
        <w:rPr>
          <w:rFonts w:asciiTheme="minorHAnsi" w:eastAsia="仿宋" w:hAnsiTheme="minorHAnsi" w:cstheme="minorHAnsi"/>
          <w:lang w:val="en-AU" w:eastAsia="zh-CN"/>
        </w:rPr>
        <w:t>angroves store approximately 5.73 gigatons of carbon (conversion of 21 gigatons of CO</w:t>
      </w:r>
      <w:r w:rsidRPr="00380E68">
        <w:rPr>
          <w:rFonts w:asciiTheme="minorHAnsi" w:eastAsia="仿宋" w:hAnsiTheme="minorHAnsi" w:cstheme="minorHAnsi"/>
          <w:vertAlign w:val="subscript"/>
          <w:lang w:val="en-AU" w:eastAsia="zh-CN"/>
        </w:rPr>
        <w:t>2</w:t>
      </w:r>
      <w:r w:rsidRPr="00380E68">
        <w:rPr>
          <w:rFonts w:asciiTheme="minorHAnsi" w:eastAsia="仿宋" w:hAnsiTheme="minorHAnsi" w:cstheme="minorHAnsi"/>
          <w:lang w:val="en-AU" w:eastAsia="zh-CN"/>
        </w:rPr>
        <w:t>, GMA, 2021), with 1.61 gigatons in Ramsar sites</w:t>
      </w:r>
      <w:r w:rsidRPr="00380E68">
        <w:rPr>
          <w:rFonts w:asciiTheme="minorHAnsi" w:eastAsia="仿宋" w:hAnsiTheme="minorHAnsi" w:cstheme="minorHAnsi"/>
          <w:lang w:val="en-US" w:eastAsia="zh-CN"/>
        </w:rPr>
        <w:t xml:space="preserve"> of </w:t>
      </w:r>
      <w:r w:rsidRPr="00380E68">
        <w:rPr>
          <w:rFonts w:asciiTheme="minorHAnsi" w:eastAsia="仿宋" w:hAnsiTheme="minorHAnsi" w:cstheme="minorHAnsi"/>
          <w:lang w:val="en-AU" w:eastAsia="zh-CN"/>
        </w:rPr>
        <w:t xml:space="preserve">mangrove (GWO 2021). </w:t>
      </w:r>
    </w:p>
    <w:p w14:paraId="5C7D902E" w14:textId="77777777" w:rsidR="00380E68" w:rsidRPr="00380E68" w:rsidRDefault="00380E68" w:rsidP="00380E68">
      <w:pPr>
        <w:pStyle w:val="ListParagraph"/>
        <w:ind w:leftChars="31" w:left="68" w:firstLine="0"/>
        <w:jc w:val="both"/>
        <w:rPr>
          <w:rFonts w:asciiTheme="minorHAnsi" w:eastAsia="仿宋" w:hAnsiTheme="minorHAnsi" w:cstheme="minorHAnsi"/>
          <w:lang w:val="en-AU" w:eastAsia="zh-CN"/>
        </w:rPr>
      </w:pPr>
    </w:p>
    <w:p w14:paraId="58112028" w14:textId="77777777" w:rsidR="00380E68" w:rsidRPr="00380E68" w:rsidRDefault="00380E68" w:rsidP="00380E68">
      <w:pPr>
        <w:pStyle w:val="ListParagraph"/>
        <w:numPr>
          <w:ilvl w:val="0"/>
          <w:numId w:val="30"/>
        </w:numPr>
        <w:jc w:val="both"/>
        <w:rPr>
          <w:rFonts w:asciiTheme="minorHAnsi" w:eastAsia="仿宋" w:hAnsiTheme="minorHAnsi" w:cstheme="minorHAnsi"/>
          <w:lang w:val="en-AU" w:eastAsia="zh-CN"/>
        </w:rPr>
      </w:pPr>
      <w:r w:rsidRPr="00380E68">
        <w:rPr>
          <w:rFonts w:asciiTheme="minorHAnsi" w:eastAsia="仿宋" w:hAnsiTheme="minorHAnsi" w:cstheme="minorHAnsi"/>
          <w:b/>
          <w:lang w:val="en-AU" w:eastAsia="zh-CN"/>
        </w:rPr>
        <w:t>Not</w:t>
      </w:r>
      <w:r w:rsidRPr="00380E68">
        <w:rPr>
          <w:rFonts w:asciiTheme="minorHAnsi" w:eastAsia="仿宋" w:hAnsiTheme="minorHAnsi" w:cstheme="minorHAnsi"/>
          <w:b/>
          <w:lang w:val="en-US" w:eastAsia="zh-CN"/>
        </w:rPr>
        <w:t>ing</w:t>
      </w:r>
      <w:r w:rsidRPr="00380E68">
        <w:rPr>
          <w:rFonts w:asciiTheme="minorHAnsi" w:eastAsia="仿宋" w:hAnsiTheme="minorHAnsi" w:cstheme="minorHAnsi"/>
          <w:lang w:val="en-AU" w:eastAsia="zh-CN"/>
        </w:rPr>
        <w:t xml:space="preserve"> that the </w:t>
      </w:r>
      <w:r w:rsidRPr="00380E68">
        <w:rPr>
          <w:rFonts w:asciiTheme="minorHAnsi" w:eastAsia="仿宋" w:hAnsiTheme="minorHAnsi" w:cstheme="minorHAnsi"/>
          <w:lang w:val="en-US" w:eastAsia="zh-CN"/>
        </w:rPr>
        <w:t xml:space="preserve">total </w:t>
      </w:r>
      <w:r w:rsidRPr="00380E68">
        <w:rPr>
          <w:rFonts w:asciiTheme="minorHAnsi" w:eastAsia="仿宋" w:hAnsiTheme="minorHAnsi" w:cstheme="minorHAnsi"/>
          <w:lang w:val="en-AU" w:eastAsia="zh-CN"/>
        </w:rPr>
        <w:t>area of mangroves is 13.8</w:t>
      </w:r>
      <w:r w:rsidRPr="00380E68">
        <w:rPr>
          <w:rFonts w:asciiTheme="minorHAnsi" w:eastAsia="仿宋" w:hAnsiTheme="minorHAnsi" w:cstheme="minorHAnsi"/>
          <w:lang w:val="en-US" w:eastAsia="zh-CN"/>
        </w:rPr>
        <w:t>-</w:t>
      </w:r>
      <w:r w:rsidRPr="00380E68">
        <w:rPr>
          <w:rFonts w:asciiTheme="minorHAnsi" w:eastAsia="仿宋" w:hAnsiTheme="minorHAnsi" w:cstheme="minorHAnsi"/>
          <w:lang w:val="en-AU" w:eastAsia="zh-CN"/>
        </w:rPr>
        <w:t xml:space="preserve">15.2 million hectares, distributing in 118-124 countries (UN WOA, 2016). However, 35% </w:t>
      </w:r>
      <w:r w:rsidRPr="00380E68">
        <w:rPr>
          <w:rFonts w:asciiTheme="minorHAnsi" w:eastAsia="仿宋" w:hAnsiTheme="minorHAnsi" w:cstheme="minorHAnsi"/>
          <w:lang w:val="en-US" w:eastAsia="zh-CN"/>
        </w:rPr>
        <w:t xml:space="preserve">of the </w:t>
      </w:r>
      <w:r w:rsidRPr="00380E68">
        <w:rPr>
          <w:rFonts w:asciiTheme="minorHAnsi" w:eastAsia="仿宋" w:hAnsiTheme="minorHAnsi" w:cstheme="minorHAnsi"/>
          <w:lang w:val="en-AU" w:eastAsia="zh-CN"/>
        </w:rPr>
        <w:t>mangrove</w:t>
      </w:r>
      <w:r w:rsidRPr="00380E68">
        <w:rPr>
          <w:rFonts w:asciiTheme="minorHAnsi" w:eastAsia="仿宋" w:hAnsiTheme="minorHAnsi" w:cstheme="minorHAnsi"/>
          <w:lang w:val="en-US" w:eastAsia="zh-CN"/>
        </w:rPr>
        <w:t xml:space="preserve"> area was</w:t>
      </w:r>
      <w:r w:rsidRPr="00380E68">
        <w:rPr>
          <w:rFonts w:asciiTheme="minorHAnsi" w:eastAsia="仿宋" w:hAnsiTheme="minorHAnsi" w:cstheme="minorHAnsi"/>
          <w:lang w:val="en-AU" w:eastAsia="zh-CN"/>
        </w:rPr>
        <w:t xml:space="preserve"> lost in </w:t>
      </w:r>
      <w:r w:rsidRPr="00380E68">
        <w:rPr>
          <w:rFonts w:asciiTheme="minorHAnsi" w:eastAsia="仿宋" w:hAnsiTheme="minorHAnsi" w:cstheme="minorHAnsi"/>
          <w:lang w:val="en-US" w:eastAsia="zh-CN"/>
        </w:rPr>
        <w:t>the two</w:t>
      </w:r>
      <w:r w:rsidRPr="00380E68">
        <w:rPr>
          <w:rFonts w:asciiTheme="minorHAnsi" w:eastAsia="仿宋" w:hAnsiTheme="minorHAnsi" w:cstheme="minorHAnsi"/>
          <w:lang w:val="en-AU" w:eastAsia="zh-CN"/>
        </w:rPr>
        <w:t xml:space="preserve"> decades before 2000 (Millennium Ecosystem Assessment, 2005). The loss rate slow</w:t>
      </w:r>
      <w:r w:rsidRPr="00380E68">
        <w:rPr>
          <w:rFonts w:asciiTheme="minorHAnsi" w:eastAsia="仿宋" w:hAnsiTheme="minorHAnsi" w:cstheme="minorHAnsi"/>
          <w:lang w:val="en-US" w:eastAsia="zh-CN"/>
        </w:rPr>
        <w:t>ed</w:t>
      </w:r>
      <w:r w:rsidRPr="00380E68">
        <w:rPr>
          <w:rFonts w:asciiTheme="minorHAnsi" w:eastAsia="仿宋" w:hAnsiTheme="minorHAnsi" w:cstheme="minorHAnsi"/>
          <w:lang w:val="en-AU" w:eastAsia="zh-CN"/>
        </w:rPr>
        <w:t xml:space="preserve"> down in recent years and </w:t>
      </w:r>
      <w:r w:rsidRPr="00380E68">
        <w:rPr>
          <w:rFonts w:asciiTheme="minorHAnsi" w:eastAsia="仿宋" w:hAnsiTheme="minorHAnsi" w:cstheme="minorHAnsi"/>
          <w:lang w:val="en-US" w:eastAsia="zh-CN"/>
        </w:rPr>
        <w:t xml:space="preserve">declined to </w:t>
      </w:r>
      <w:r w:rsidRPr="00380E68">
        <w:rPr>
          <w:rFonts w:asciiTheme="minorHAnsi" w:eastAsia="仿宋" w:hAnsiTheme="minorHAnsi" w:cstheme="minorHAnsi"/>
          <w:lang w:val="en-AU" w:eastAsia="zh-CN"/>
        </w:rPr>
        <w:t>2% during 2000-2016 (Goldberg et al. 2020</w:t>
      </w:r>
      <w:r w:rsidRPr="00380E68">
        <w:rPr>
          <w:rStyle w:val="FootnoteReference"/>
          <w:rFonts w:asciiTheme="minorHAnsi" w:eastAsia="仿宋" w:hAnsiTheme="minorHAnsi" w:cstheme="minorHAnsi"/>
          <w:lang w:val="en-AU" w:eastAsia="zh-CN"/>
        </w:rPr>
        <w:footnoteReference w:id="1"/>
      </w:r>
      <w:r w:rsidRPr="00380E68">
        <w:rPr>
          <w:rFonts w:asciiTheme="minorHAnsi" w:eastAsia="仿宋" w:hAnsiTheme="minorHAnsi" w:cstheme="minorHAnsi"/>
          <w:lang w:val="en-AU" w:eastAsia="zh-CN"/>
        </w:rPr>
        <w:t xml:space="preserve">). There are also a few countries </w:t>
      </w:r>
      <w:r w:rsidRPr="00380E68">
        <w:rPr>
          <w:rFonts w:asciiTheme="minorHAnsi" w:eastAsia="仿宋" w:hAnsiTheme="minorHAnsi" w:cstheme="minorHAnsi"/>
          <w:lang w:val="en-US" w:eastAsia="zh-CN"/>
        </w:rPr>
        <w:t xml:space="preserve">with an </w:t>
      </w:r>
      <w:r w:rsidRPr="00380E68">
        <w:rPr>
          <w:rFonts w:asciiTheme="minorHAnsi" w:eastAsia="仿宋" w:hAnsiTheme="minorHAnsi" w:cstheme="minorHAnsi"/>
          <w:lang w:val="en-AU" w:eastAsia="zh-CN"/>
        </w:rPr>
        <w:t xml:space="preserve">increasing area of mangroves, </w:t>
      </w:r>
      <w:r w:rsidRPr="00380E68">
        <w:rPr>
          <w:rFonts w:asciiTheme="minorHAnsi" w:eastAsia="仿宋" w:hAnsiTheme="minorHAnsi" w:cstheme="minorHAnsi"/>
          <w:lang w:val="en-US" w:eastAsia="zh-CN"/>
        </w:rPr>
        <w:t>including</w:t>
      </w:r>
      <w:r w:rsidRPr="00380E68">
        <w:rPr>
          <w:rFonts w:asciiTheme="minorHAnsi" w:eastAsia="仿宋" w:hAnsiTheme="minorHAnsi" w:cstheme="minorHAnsi"/>
          <w:lang w:val="en-AU" w:eastAsia="zh-CN"/>
        </w:rPr>
        <w:t xml:space="preserve"> China</w:t>
      </w:r>
      <w:r w:rsidRPr="00380E68">
        <w:rPr>
          <w:rFonts w:asciiTheme="minorHAnsi" w:eastAsia="仿宋" w:hAnsiTheme="minorHAnsi" w:cstheme="minorHAnsi"/>
          <w:lang w:val="en-US" w:eastAsia="zh-CN"/>
        </w:rPr>
        <w:t xml:space="preserve"> where the area of </w:t>
      </w:r>
      <w:r w:rsidRPr="00380E68">
        <w:rPr>
          <w:rFonts w:asciiTheme="minorHAnsi" w:eastAsia="仿宋" w:hAnsiTheme="minorHAnsi" w:cstheme="minorHAnsi"/>
          <w:lang w:val="en-AU" w:eastAsia="zh-CN"/>
        </w:rPr>
        <w:t xml:space="preserve">mangroves </w:t>
      </w:r>
      <w:r w:rsidRPr="00380E68">
        <w:rPr>
          <w:rFonts w:asciiTheme="minorHAnsi" w:eastAsia="仿宋" w:hAnsiTheme="minorHAnsi" w:cstheme="minorHAnsi"/>
          <w:lang w:val="en-US" w:eastAsia="zh-CN"/>
        </w:rPr>
        <w:t xml:space="preserve">has raised by </w:t>
      </w:r>
      <w:r w:rsidRPr="00380E68">
        <w:rPr>
          <w:rFonts w:asciiTheme="minorHAnsi" w:eastAsia="仿宋" w:hAnsiTheme="minorHAnsi" w:cstheme="minorHAnsi"/>
          <w:lang w:val="en-AU" w:eastAsia="zh-CN"/>
        </w:rPr>
        <w:t xml:space="preserve">7,000 hectares in </w:t>
      </w:r>
      <w:r w:rsidRPr="00380E68">
        <w:rPr>
          <w:rFonts w:asciiTheme="minorHAnsi" w:eastAsia="仿宋" w:hAnsiTheme="minorHAnsi" w:cstheme="minorHAnsi"/>
          <w:lang w:val="en-US" w:eastAsia="zh-CN"/>
        </w:rPr>
        <w:t>the two</w:t>
      </w:r>
      <w:r w:rsidRPr="00380E68">
        <w:rPr>
          <w:rFonts w:asciiTheme="minorHAnsi" w:eastAsia="仿宋" w:hAnsiTheme="minorHAnsi" w:cstheme="minorHAnsi"/>
          <w:lang w:val="en-AU" w:eastAsia="zh-CN"/>
        </w:rPr>
        <w:t xml:space="preserve"> decades since 2001.</w:t>
      </w:r>
    </w:p>
    <w:p w14:paraId="240B8A81" w14:textId="77777777" w:rsidR="00380E68" w:rsidRPr="00380E68" w:rsidRDefault="00380E68" w:rsidP="00380E68">
      <w:pPr>
        <w:pStyle w:val="ListParagraph"/>
        <w:ind w:leftChars="22" w:left="48" w:firstLine="0"/>
        <w:jc w:val="both"/>
        <w:rPr>
          <w:rFonts w:asciiTheme="minorHAnsi" w:eastAsia="仿宋" w:hAnsiTheme="minorHAnsi" w:cstheme="minorHAnsi"/>
          <w:lang w:val="en-AU" w:eastAsia="zh-CN"/>
        </w:rPr>
      </w:pPr>
    </w:p>
    <w:p w14:paraId="69CD46E2" w14:textId="77777777" w:rsidR="00380E68" w:rsidRPr="00380E68" w:rsidRDefault="00380E68" w:rsidP="00380E68">
      <w:pPr>
        <w:pStyle w:val="ListParagraph"/>
        <w:numPr>
          <w:ilvl w:val="0"/>
          <w:numId w:val="30"/>
        </w:numPr>
        <w:jc w:val="both"/>
        <w:rPr>
          <w:rFonts w:asciiTheme="minorHAnsi" w:eastAsia="仿宋" w:hAnsiTheme="minorHAnsi" w:cstheme="minorHAnsi"/>
          <w:highlight w:val="red"/>
          <w:lang w:val="en-AU" w:eastAsia="zh-CN"/>
        </w:rPr>
      </w:pPr>
      <w:r w:rsidRPr="00380E68">
        <w:rPr>
          <w:rFonts w:asciiTheme="minorHAnsi" w:eastAsia="仿宋" w:hAnsiTheme="minorHAnsi" w:cstheme="minorHAnsi"/>
          <w:b/>
          <w:lang w:val="en-US" w:eastAsia="zh-CN"/>
        </w:rPr>
        <w:t>Further n</w:t>
      </w:r>
      <w:r w:rsidRPr="00380E68">
        <w:rPr>
          <w:rFonts w:asciiTheme="minorHAnsi" w:eastAsia="仿宋" w:hAnsiTheme="minorHAnsi" w:cstheme="minorHAnsi"/>
          <w:b/>
          <w:lang w:val="en-AU" w:eastAsia="zh-CN"/>
        </w:rPr>
        <w:t>ot</w:t>
      </w:r>
      <w:r w:rsidRPr="00380E68">
        <w:rPr>
          <w:rFonts w:asciiTheme="minorHAnsi" w:eastAsia="仿宋" w:hAnsiTheme="minorHAnsi" w:cstheme="minorHAnsi"/>
          <w:b/>
          <w:lang w:val="en-US" w:eastAsia="zh-CN"/>
        </w:rPr>
        <w:t xml:space="preserve">ing </w:t>
      </w:r>
      <w:r w:rsidRPr="00380E68">
        <w:rPr>
          <w:rFonts w:asciiTheme="minorHAnsi" w:eastAsia="仿宋" w:hAnsiTheme="minorHAnsi" w:cstheme="minorHAnsi"/>
          <w:bCs/>
          <w:lang w:val="en-US" w:eastAsia="zh-CN"/>
        </w:rPr>
        <w:t>that</w:t>
      </w:r>
      <w:r w:rsidRPr="00380E68">
        <w:rPr>
          <w:rFonts w:asciiTheme="minorHAnsi" w:eastAsia="仿宋" w:hAnsiTheme="minorHAnsi" w:cstheme="minorHAnsi"/>
          <w:bCs/>
          <w:lang w:val="en-AU" w:eastAsia="zh-CN"/>
        </w:rPr>
        <w:t xml:space="preserve"> </w:t>
      </w:r>
      <w:r w:rsidRPr="00380E68">
        <w:rPr>
          <w:rFonts w:asciiTheme="minorHAnsi" w:eastAsia="仿宋" w:hAnsiTheme="minorHAnsi" w:cstheme="minorHAnsi"/>
          <w:lang w:val="en-AU" w:eastAsia="zh-CN"/>
        </w:rPr>
        <w:t>over 660,000 hectares of mangrove area</w:t>
      </w:r>
      <w:r w:rsidRPr="00380E68">
        <w:rPr>
          <w:rFonts w:asciiTheme="minorHAnsi" w:eastAsia="仿宋" w:hAnsiTheme="minorHAnsi" w:cstheme="minorHAnsi"/>
          <w:lang w:val="en-US" w:eastAsia="zh-CN"/>
        </w:rPr>
        <w:t>s</w:t>
      </w:r>
      <w:r w:rsidRPr="00380E68">
        <w:rPr>
          <w:rFonts w:asciiTheme="minorHAnsi" w:eastAsia="仿宋" w:hAnsiTheme="minorHAnsi" w:cstheme="minorHAnsi"/>
          <w:lang w:val="en-AU" w:eastAsia="zh-CN"/>
        </w:rPr>
        <w:t xml:space="preserve"> lost since 1996 </w:t>
      </w:r>
      <w:r w:rsidRPr="00380E68">
        <w:rPr>
          <w:rFonts w:asciiTheme="minorHAnsi" w:eastAsia="仿宋" w:hAnsiTheme="minorHAnsi" w:cstheme="minorHAnsi"/>
          <w:lang w:val="en-US" w:eastAsia="zh-CN"/>
        </w:rPr>
        <w:t xml:space="preserve">are </w:t>
      </w:r>
      <w:r w:rsidRPr="00380E68">
        <w:rPr>
          <w:rFonts w:asciiTheme="minorHAnsi" w:eastAsia="仿宋" w:hAnsiTheme="minorHAnsi" w:cstheme="minorHAnsi"/>
          <w:lang w:val="en-AU" w:eastAsia="zh-CN"/>
        </w:rPr>
        <w:t>highly restorable</w:t>
      </w:r>
      <w:r w:rsidRPr="00380E68">
        <w:rPr>
          <w:rFonts w:asciiTheme="minorHAnsi" w:eastAsia="仿宋" w:hAnsiTheme="minorHAnsi" w:cstheme="minorHAnsi"/>
          <w:lang w:val="en-US" w:eastAsia="zh-CN"/>
        </w:rPr>
        <w:t>.</w:t>
      </w:r>
      <w:r w:rsidRPr="00380E68">
        <w:rPr>
          <w:rFonts w:asciiTheme="minorHAnsi" w:eastAsia="仿宋" w:hAnsiTheme="minorHAnsi" w:cstheme="minorHAnsi"/>
          <w:lang w:val="en-AU" w:eastAsia="zh-CN"/>
        </w:rPr>
        <w:t xml:space="preserve"> </w:t>
      </w:r>
      <w:r w:rsidRPr="00380E68">
        <w:rPr>
          <w:rFonts w:asciiTheme="minorHAnsi" w:eastAsia="仿宋" w:hAnsiTheme="minorHAnsi" w:cstheme="minorHAnsi"/>
          <w:lang w:val="en-US" w:eastAsia="zh-CN"/>
        </w:rPr>
        <w:t xml:space="preserve">According to pilot projects, </w:t>
      </w:r>
      <w:r w:rsidRPr="00380E68">
        <w:rPr>
          <w:rFonts w:asciiTheme="minorHAnsi" w:eastAsia="仿宋" w:hAnsiTheme="minorHAnsi" w:cstheme="minorHAnsi"/>
          <w:lang w:val="en-AU" w:eastAsia="zh-CN"/>
        </w:rPr>
        <w:t xml:space="preserve">the full return of ‘highly restorable’ areas could restore or stabilize about 0.35 gigatons </w:t>
      </w:r>
      <w:r w:rsidRPr="00380E68">
        <w:rPr>
          <w:rFonts w:asciiTheme="minorHAnsi" w:eastAsia="仿宋" w:hAnsiTheme="minorHAnsi" w:cstheme="minorHAnsi"/>
          <w:lang w:val="en-US" w:eastAsia="zh-CN"/>
        </w:rPr>
        <w:t xml:space="preserve">of </w:t>
      </w:r>
      <w:r w:rsidRPr="00380E68">
        <w:rPr>
          <w:rFonts w:asciiTheme="minorHAnsi" w:eastAsia="仿宋" w:hAnsiTheme="minorHAnsi" w:cstheme="minorHAnsi"/>
          <w:lang w:val="en-AU" w:eastAsia="zh-CN"/>
        </w:rPr>
        <w:t>carbon (1.3 gigatons of CO</w:t>
      </w:r>
      <w:r w:rsidRPr="00380E68">
        <w:rPr>
          <w:rFonts w:asciiTheme="minorHAnsi" w:eastAsia="仿宋" w:hAnsiTheme="minorHAnsi" w:cstheme="minorHAnsi"/>
          <w:vertAlign w:val="subscript"/>
          <w:lang w:val="en-AU" w:eastAsia="zh-CN"/>
        </w:rPr>
        <w:t>2</w:t>
      </w:r>
      <w:r w:rsidRPr="00380E68">
        <w:rPr>
          <w:rFonts w:asciiTheme="minorHAnsi" w:eastAsia="仿宋" w:hAnsiTheme="minorHAnsi" w:cstheme="minorHAnsi"/>
          <w:lang w:val="en-AU" w:eastAsia="zh-CN"/>
        </w:rPr>
        <w:t>, GMA, 2021).</w:t>
      </w:r>
    </w:p>
    <w:p w14:paraId="03254C02" w14:textId="77777777" w:rsidR="00380E68" w:rsidRPr="00380E68" w:rsidRDefault="00380E68" w:rsidP="00380E68">
      <w:pPr>
        <w:pStyle w:val="ListParagraph"/>
        <w:ind w:left="420" w:firstLine="0"/>
        <w:jc w:val="both"/>
        <w:rPr>
          <w:rFonts w:asciiTheme="minorHAnsi" w:eastAsia="仿宋" w:hAnsiTheme="minorHAnsi" w:cstheme="minorHAnsi"/>
          <w:lang w:val="en-AU" w:eastAsia="zh-CN"/>
        </w:rPr>
      </w:pPr>
    </w:p>
    <w:p w14:paraId="48E19E86" w14:textId="77777777" w:rsidR="00380E68" w:rsidRPr="00380E68" w:rsidRDefault="00380E68" w:rsidP="00380E68">
      <w:pPr>
        <w:pStyle w:val="ListParagraph"/>
        <w:numPr>
          <w:ilvl w:val="0"/>
          <w:numId w:val="30"/>
        </w:numPr>
        <w:jc w:val="both"/>
        <w:rPr>
          <w:rFonts w:asciiTheme="minorHAnsi" w:eastAsia="仿宋" w:hAnsiTheme="minorHAnsi" w:cstheme="minorHAnsi"/>
          <w:lang w:val="en-AU" w:eastAsia="zh-CN"/>
        </w:rPr>
      </w:pPr>
      <w:r w:rsidRPr="00380E68">
        <w:rPr>
          <w:rFonts w:asciiTheme="minorHAnsi" w:eastAsia="仿宋" w:hAnsiTheme="minorHAnsi" w:cstheme="minorHAnsi"/>
          <w:b/>
          <w:bCs/>
          <w:lang w:val="en-AU" w:eastAsia="zh-CN"/>
        </w:rPr>
        <w:t>Recall</w:t>
      </w:r>
      <w:r w:rsidRPr="00380E68">
        <w:rPr>
          <w:rFonts w:asciiTheme="minorHAnsi" w:eastAsia="仿宋" w:hAnsiTheme="minorHAnsi" w:cstheme="minorHAnsi"/>
          <w:b/>
          <w:bCs/>
          <w:lang w:val="en-US" w:eastAsia="zh-CN"/>
        </w:rPr>
        <w:t>ing</w:t>
      </w:r>
      <w:r w:rsidRPr="00380E68">
        <w:rPr>
          <w:rFonts w:asciiTheme="minorHAnsi" w:eastAsia="仿宋" w:hAnsiTheme="minorHAnsi" w:cstheme="minorHAnsi"/>
          <w:lang w:val="en-AU" w:eastAsia="zh-CN"/>
        </w:rPr>
        <w:t xml:space="preserve"> Resolution VIII.32 emphasiz</w:t>
      </w:r>
      <w:r w:rsidRPr="00380E68">
        <w:rPr>
          <w:rFonts w:asciiTheme="minorHAnsi" w:eastAsia="仿宋" w:hAnsiTheme="minorHAnsi" w:cstheme="minorHAnsi"/>
          <w:lang w:val="en-US" w:eastAsia="zh-CN"/>
        </w:rPr>
        <w:t>ing</w:t>
      </w:r>
      <w:r w:rsidRPr="00380E68">
        <w:rPr>
          <w:rFonts w:asciiTheme="minorHAnsi" w:eastAsia="仿宋" w:hAnsiTheme="minorHAnsi" w:cstheme="minorHAnsi"/>
          <w:lang w:val="en-AU" w:eastAsia="zh-CN"/>
        </w:rPr>
        <w:t xml:space="preserve"> the importance of mangrove ecosystems and international cooperation on </w:t>
      </w:r>
      <w:r w:rsidRPr="00380E68">
        <w:rPr>
          <w:rFonts w:asciiTheme="minorHAnsi" w:eastAsia="仿宋" w:hAnsiTheme="minorHAnsi" w:cstheme="minorHAnsi"/>
          <w:lang w:val="en-US" w:eastAsia="zh-CN"/>
        </w:rPr>
        <w:t xml:space="preserve">its </w:t>
      </w:r>
      <w:r w:rsidRPr="00380E68">
        <w:rPr>
          <w:rFonts w:asciiTheme="minorHAnsi" w:eastAsia="仿宋" w:hAnsiTheme="minorHAnsi" w:cstheme="minorHAnsi"/>
          <w:lang w:val="en-AU" w:eastAsia="zh-CN"/>
        </w:rPr>
        <w:t>conservation</w:t>
      </w:r>
      <w:r w:rsidRPr="00380E68">
        <w:rPr>
          <w:rFonts w:asciiTheme="minorHAnsi" w:eastAsia="仿宋" w:hAnsiTheme="minorHAnsi" w:cstheme="minorHAnsi"/>
          <w:lang w:val="en-US" w:eastAsia="zh-CN"/>
        </w:rPr>
        <w:t>, and</w:t>
      </w:r>
      <w:r w:rsidRPr="00380E68">
        <w:rPr>
          <w:rFonts w:asciiTheme="minorHAnsi" w:eastAsia="仿宋" w:hAnsiTheme="minorHAnsi" w:cstheme="minorHAnsi"/>
          <w:lang w:val="en-AU" w:eastAsia="zh-CN"/>
        </w:rPr>
        <w:t xml:space="preserve"> Resolution XIII.14 call</w:t>
      </w:r>
      <w:r w:rsidRPr="00380E68">
        <w:rPr>
          <w:rFonts w:asciiTheme="minorHAnsi" w:eastAsia="仿宋" w:hAnsiTheme="minorHAnsi" w:cstheme="minorHAnsi"/>
          <w:lang w:val="en-US" w:eastAsia="zh-CN"/>
        </w:rPr>
        <w:t>ing</w:t>
      </w:r>
      <w:r w:rsidRPr="00380E68">
        <w:rPr>
          <w:rFonts w:asciiTheme="minorHAnsi" w:eastAsia="仿宋" w:hAnsiTheme="minorHAnsi" w:cstheme="minorHAnsi"/>
          <w:lang w:val="en-AU" w:eastAsia="zh-CN"/>
        </w:rPr>
        <w:t xml:space="preserve"> on </w:t>
      </w:r>
      <w:r w:rsidRPr="00380E68">
        <w:rPr>
          <w:rFonts w:asciiTheme="minorHAnsi" w:eastAsia="仿宋" w:hAnsiTheme="minorHAnsi" w:cstheme="minorHAnsi"/>
          <w:lang w:val="en-US" w:eastAsia="zh-CN"/>
        </w:rPr>
        <w:t xml:space="preserve">highlighting </w:t>
      </w:r>
      <w:r w:rsidRPr="00380E68">
        <w:rPr>
          <w:rFonts w:asciiTheme="minorHAnsi" w:eastAsia="仿宋" w:hAnsiTheme="minorHAnsi" w:cstheme="minorHAnsi"/>
          <w:lang w:val="en-AU" w:eastAsia="zh-CN"/>
        </w:rPr>
        <w:t xml:space="preserve">and </w:t>
      </w:r>
      <w:r w:rsidRPr="00380E68">
        <w:rPr>
          <w:rFonts w:asciiTheme="minorHAnsi" w:eastAsia="仿宋" w:hAnsiTheme="minorHAnsi" w:cstheme="minorHAnsi"/>
          <w:lang w:val="en-US" w:eastAsia="zh-CN"/>
        </w:rPr>
        <w:t xml:space="preserve">promoting </w:t>
      </w:r>
      <w:r w:rsidRPr="00380E68">
        <w:rPr>
          <w:rFonts w:asciiTheme="minorHAnsi" w:eastAsia="仿宋" w:hAnsiTheme="minorHAnsi" w:cstheme="minorHAnsi"/>
          <w:lang w:val="en-AU" w:eastAsia="zh-CN"/>
        </w:rPr>
        <w:t>conservation of coastal blue</w:t>
      </w:r>
      <w:r w:rsidRPr="00380E68">
        <w:rPr>
          <w:rFonts w:asciiTheme="minorHAnsi" w:eastAsia="仿宋" w:hAnsiTheme="minorHAnsi" w:cstheme="minorHAnsi"/>
          <w:lang w:val="en-US" w:eastAsia="zh-CN"/>
        </w:rPr>
        <w:t xml:space="preserve"> </w:t>
      </w:r>
      <w:r w:rsidRPr="00380E68">
        <w:rPr>
          <w:rFonts w:asciiTheme="minorHAnsi" w:eastAsia="仿宋" w:hAnsiTheme="minorHAnsi" w:cstheme="minorHAnsi"/>
          <w:lang w:val="en-AU" w:eastAsia="zh-CN"/>
        </w:rPr>
        <w:t>carbon ecosystems, including mangroves.</w:t>
      </w:r>
    </w:p>
    <w:p w14:paraId="128B648F" w14:textId="77777777" w:rsidR="00380E68" w:rsidRPr="00380E68" w:rsidRDefault="00380E68" w:rsidP="00380E68">
      <w:pPr>
        <w:pStyle w:val="ListParagraph"/>
        <w:ind w:left="420" w:firstLine="0"/>
        <w:jc w:val="both"/>
        <w:rPr>
          <w:rFonts w:asciiTheme="minorHAnsi" w:eastAsia="仿宋" w:hAnsiTheme="minorHAnsi" w:cstheme="minorHAnsi"/>
          <w:lang w:val="en-AU" w:eastAsia="zh-CN"/>
        </w:rPr>
      </w:pPr>
    </w:p>
    <w:p w14:paraId="089D7F52" w14:textId="77777777" w:rsidR="00380E68" w:rsidRPr="00380E68" w:rsidRDefault="00380E68" w:rsidP="00380E68">
      <w:pPr>
        <w:pStyle w:val="ListParagraph"/>
        <w:numPr>
          <w:ilvl w:val="0"/>
          <w:numId w:val="30"/>
        </w:numPr>
        <w:jc w:val="both"/>
        <w:rPr>
          <w:rFonts w:asciiTheme="minorHAnsi" w:eastAsia="仿宋" w:hAnsiTheme="minorHAnsi" w:cstheme="minorHAnsi"/>
          <w:lang w:val="en-AU" w:eastAsia="zh-CN"/>
        </w:rPr>
      </w:pPr>
      <w:r w:rsidRPr="00380E68">
        <w:rPr>
          <w:rFonts w:asciiTheme="minorHAnsi" w:eastAsia="仿宋" w:hAnsiTheme="minorHAnsi" w:cstheme="minorHAnsi"/>
          <w:b/>
          <w:lang w:val="en-US" w:eastAsia="zh-CN"/>
        </w:rPr>
        <w:t>Further recalling</w:t>
      </w:r>
      <w:r w:rsidRPr="00380E68">
        <w:rPr>
          <w:rFonts w:asciiTheme="minorHAnsi" w:eastAsia="仿宋" w:hAnsiTheme="minorHAnsi" w:cstheme="minorHAnsi"/>
          <w:b/>
          <w:lang w:val="en-AU" w:eastAsia="zh-CN"/>
        </w:rPr>
        <w:t xml:space="preserve"> </w:t>
      </w:r>
      <w:r w:rsidRPr="00380E68">
        <w:rPr>
          <w:rFonts w:asciiTheme="minorHAnsi" w:eastAsia="仿宋" w:hAnsiTheme="minorHAnsi" w:cstheme="minorHAnsi"/>
          <w:bCs/>
          <w:lang w:val="en-US" w:eastAsia="zh-CN"/>
        </w:rPr>
        <w:t xml:space="preserve">that the </w:t>
      </w:r>
      <w:r w:rsidRPr="00380E68">
        <w:rPr>
          <w:rFonts w:asciiTheme="minorHAnsi" w:eastAsia="仿宋" w:hAnsiTheme="minorHAnsi" w:cstheme="minorHAnsi"/>
          <w:lang w:val="en-AU" w:eastAsia="zh-CN"/>
        </w:rPr>
        <w:t>SC40 approved</w:t>
      </w:r>
      <w:r w:rsidRPr="00380E68">
        <w:rPr>
          <w:rFonts w:asciiTheme="minorHAnsi" w:eastAsia="仿宋" w:hAnsiTheme="minorHAnsi" w:cstheme="minorHAnsi"/>
          <w:lang w:val="en-US" w:eastAsia="zh-CN"/>
        </w:rPr>
        <w:t xml:space="preserve"> the</w:t>
      </w:r>
      <w:r w:rsidRPr="00380E68">
        <w:rPr>
          <w:rFonts w:asciiTheme="minorHAnsi" w:eastAsia="仿宋" w:hAnsiTheme="minorHAnsi" w:cstheme="minorHAnsi"/>
          <w:lang w:val="en-AU" w:eastAsia="zh-CN"/>
        </w:rPr>
        <w:t xml:space="preserve"> Regional Initiative for the Integral Management and Wise Use of Mangroves and Coral Reefs in May 2009</w:t>
      </w:r>
      <w:r w:rsidRPr="00380E68">
        <w:rPr>
          <w:rFonts w:asciiTheme="minorHAnsi" w:eastAsia="仿宋" w:hAnsiTheme="minorHAnsi" w:cstheme="minorHAnsi"/>
          <w:lang w:val="en-US" w:eastAsia="zh-CN"/>
        </w:rPr>
        <w:t xml:space="preserve">, which has </w:t>
      </w:r>
      <w:r w:rsidRPr="00380E68">
        <w:rPr>
          <w:rFonts w:asciiTheme="minorHAnsi" w:eastAsia="仿宋" w:hAnsiTheme="minorHAnsi" w:cstheme="minorHAnsi"/>
          <w:i/>
          <w:iCs/>
          <w:lang w:val="en-US" w:eastAsia="zh-CN"/>
        </w:rPr>
        <w:t>via</w:t>
      </w:r>
      <w:r w:rsidRPr="00380E68">
        <w:rPr>
          <w:rFonts w:asciiTheme="minorHAnsi" w:eastAsia="仿宋" w:hAnsiTheme="minorHAnsi" w:cstheme="minorHAnsi"/>
          <w:lang w:val="en-AU" w:eastAsia="zh-CN"/>
        </w:rPr>
        <w:t xml:space="preserve"> annual meetings and working groups</w:t>
      </w:r>
      <w:r w:rsidRPr="00380E68">
        <w:rPr>
          <w:rFonts w:asciiTheme="minorHAnsi" w:eastAsia="仿宋" w:hAnsiTheme="minorHAnsi" w:cstheme="minorHAnsi"/>
          <w:lang w:eastAsia="zh-CN"/>
        </w:rPr>
        <w:t>. The Community of Ocean Actions for Mangroves was set</w:t>
      </w:r>
      <w:r w:rsidRPr="00380E68">
        <w:rPr>
          <w:rFonts w:asciiTheme="minorHAnsi" w:eastAsia="仿宋" w:hAnsiTheme="minorHAnsi" w:cstheme="minorHAnsi"/>
          <w:lang w:val="en-US" w:eastAsia="zh-CN"/>
        </w:rPr>
        <w:t xml:space="preserve"> </w:t>
      </w:r>
      <w:r w:rsidRPr="00380E68">
        <w:rPr>
          <w:rFonts w:asciiTheme="minorHAnsi" w:eastAsia="仿宋" w:hAnsiTheme="minorHAnsi" w:cstheme="minorHAnsi"/>
          <w:lang w:eastAsia="zh-CN"/>
        </w:rPr>
        <w:t xml:space="preserve">up </w:t>
      </w:r>
      <w:r w:rsidRPr="00380E68">
        <w:rPr>
          <w:rFonts w:asciiTheme="minorHAnsi" w:eastAsia="仿宋" w:hAnsiTheme="minorHAnsi" w:cstheme="minorHAnsi"/>
          <w:lang w:val="en-US" w:eastAsia="zh-CN"/>
        </w:rPr>
        <w:t xml:space="preserve">in the </w:t>
      </w:r>
      <w:r w:rsidRPr="00380E68">
        <w:rPr>
          <w:rFonts w:asciiTheme="minorHAnsi" w:eastAsia="仿宋" w:hAnsiTheme="minorHAnsi" w:cstheme="minorHAnsi"/>
          <w:lang w:eastAsia="zh-CN"/>
        </w:rPr>
        <w:t xml:space="preserve">UN Ocean Conference in 2017, </w:t>
      </w:r>
      <w:r w:rsidRPr="00380E68">
        <w:rPr>
          <w:rFonts w:asciiTheme="minorHAnsi" w:eastAsia="仿宋" w:hAnsiTheme="minorHAnsi" w:cstheme="minorHAnsi"/>
          <w:lang w:val="en-US" w:eastAsia="zh-CN"/>
        </w:rPr>
        <w:t>involving</w:t>
      </w:r>
      <w:r w:rsidRPr="00380E68">
        <w:rPr>
          <w:rFonts w:asciiTheme="minorHAnsi" w:eastAsia="仿宋" w:hAnsiTheme="minorHAnsi" w:cstheme="minorHAnsi"/>
          <w:lang w:eastAsia="zh-CN"/>
        </w:rPr>
        <w:t xml:space="preserve"> In 2018,</w:t>
      </w:r>
      <w:r w:rsidRPr="00380E68">
        <w:rPr>
          <w:rFonts w:asciiTheme="minorHAnsi" w:eastAsia="仿宋" w:hAnsiTheme="minorHAnsi" w:cstheme="minorHAnsi"/>
          <w:lang w:val="en-US" w:eastAsia="zh-CN"/>
        </w:rPr>
        <w:t xml:space="preserve"> </w:t>
      </w:r>
      <w:r w:rsidRPr="00380E68">
        <w:rPr>
          <w:rFonts w:asciiTheme="minorHAnsi" w:eastAsia="仿宋" w:hAnsiTheme="minorHAnsi" w:cstheme="minorHAnsi"/>
          <w:lang w:eastAsia="zh-CN"/>
        </w:rPr>
        <w:t xml:space="preserve">Conservation International (CI), the International Union for Conservation of Nature (IUCN), The Nature Conservancy (TNC), Wetlands International and World Wildlife Fund (WWF) formed </w:t>
      </w:r>
      <w:r w:rsidRPr="00380E68">
        <w:rPr>
          <w:rFonts w:asciiTheme="minorHAnsi" w:eastAsia="仿宋" w:hAnsiTheme="minorHAnsi" w:cstheme="minorHAnsi"/>
          <w:lang w:val="en-US" w:eastAsia="zh-CN"/>
        </w:rPr>
        <w:t xml:space="preserve">the </w:t>
      </w:r>
      <w:r w:rsidRPr="00380E68">
        <w:rPr>
          <w:rFonts w:asciiTheme="minorHAnsi" w:eastAsia="仿宋" w:hAnsiTheme="minorHAnsi" w:cstheme="minorHAnsi"/>
          <w:lang w:eastAsia="zh-CN"/>
        </w:rPr>
        <w:t xml:space="preserve">Global Mangrove Alliance to promote NGOs and </w:t>
      </w:r>
      <w:r w:rsidRPr="00380E68">
        <w:rPr>
          <w:rFonts w:asciiTheme="minorHAnsi" w:eastAsia="仿宋" w:hAnsiTheme="minorHAnsi" w:cstheme="minorHAnsi"/>
          <w:lang w:val="en-US" w:eastAsia="zh-CN"/>
        </w:rPr>
        <w:t xml:space="preserve">other </w:t>
      </w:r>
      <w:r w:rsidRPr="00380E68">
        <w:rPr>
          <w:rFonts w:asciiTheme="minorHAnsi" w:eastAsia="仿宋" w:hAnsiTheme="minorHAnsi" w:cstheme="minorHAnsi"/>
          <w:lang w:eastAsia="zh-CN"/>
        </w:rPr>
        <w:t>stakeholder</w:t>
      </w:r>
      <w:r w:rsidRPr="00380E68">
        <w:rPr>
          <w:rFonts w:asciiTheme="minorHAnsi" w:eastAsia="仿宋" w:hAnsiTheme="minorHAnsi" w:cstheme="minorHAnsi"/>
          <w:lang w:val="en-US" w:eastAsia="zh-CN"/>
        </w:rPr>
        <w:t>s</w:t>
      </w:r>
      <w:r w:rsidRPr="00380E68">
        <w:rPr>
          <w:rFonts w:asciiTheme="minorHAnsi" w:eastAsia="仿宋" w:hAnsiTheme="minorHAnsi" w:cstheme="minorHAnsi"/>
          <w:lang w:eastAsia="zh-CN"/>
        </w:rPr>
        <w:t xml:space="preserve"> for conservation and restoration of mangrove ecosystems.</w:t>
      </w:r>
    </w:p>
    <w:p w14:paraId="1D2A1733" w14:textId="77777777" w:rsidR="00380E68" w:rsidRPr="00380E68" w:rsidRDefault="00380E68" w:rsidP="00380E68">
      <w:pPr>
        <w:pStyle w:val="ListParagraph"/>
        <w:ind w:left="420" w:firstLine="0"/>
        <w:jc w:val="both"/>
        <w:rPr>
          <w:rFonts w:asciiTheme="minorHAnsi" w:eastAsia="仿宋" w:hAnsiTheme="minorHAnsi" w:cstheme="minorHAnsi"/>
          <w:lang w:val="en-AU" w:eastAsia="zh-CN"/>
        </w:rPr>
      </w:pPr>
    </w:p>
    <w:p w14:paraId="72C8D205" w14:textId="77777777" w:rsidR="00380E68" w:rsidRPr="00380E68" w:rsidRDefault="00380E68" w:rsidP="00380E68">
      <w:pPr>
        <w:pStyle w:val="ListParagraph"/>
        <w:numPr>
          <w:ilvl w:val="0"/>
          <w:numId w:val="30"/>
        </w:numPr>
        <w:jc w:val="both"/>
        <w:rPr>
          <w:rFonts w:asciiTheme="minorHAnsi" w:eastAsia="仿宋" w:hAnsiTheme="minorHAnsi" w:cstheme="minorHAnsi"/>
          <w:lang w:val="en-AU" w:eastAsia="zh-CN"/>
        </w:rPr>
      </w:pPr>
      <w:r w:rsidRPr="00380E68">
        <w:rPr>
          <w:rFonts w:asciiTheme="minorHAnsi" w:eastAsia="仿宋" w:hAnsiTheme="minorHAnsi" w:cstheme="minorHAnsi"/>
          <w:b/>
          <w:lang w:val="en-AU" w:eastAsia="zh-CN"/>
        </w:rPr>
        <w:t>Recogniz</w:t>
      </w:r>
      <w:r w:rsidRPr="00380E68">
        <w:rPr>
          <w:rFonts w:asciiTheme="minorHAnsi" w:eastAsia="仿宋" w:hAnsiTheme="minorHAnsi" w:cstheme="minorHAnsi"/>
          <w:b/>
          <w:lang w:val="en-US" w:eastAsia="zh-CN"/>
        </w:rPr>
        <w:t>ing</w:t>
      </w:r>
      <w:r w:rsidRPr="00380E68">
        <w:rPr>
          <w:rFonts w:asciiTheme="minorHAnsi" w:eastAsia="仿宋" w:hAnsiTheme="minorHAnsi" w:cstheme="minorHAnsi"/>
          <w:lang w:val="en-AU" w:eastAsia="zh-CN"/>
        </w:rPr>
        <w:t xml:space="preserve"> </w:t>
      </w:r>
      <w:r w:rsidRPr="00380E68">
        <w:rPr>
          <w:rFonts w:asciiTheme="minorHAnsi" w:eastAsia="仿宋" w:hAnsiTheme="minorHAnsi" w:cstheme="minorHAnsi"/>
          <w:lang w:val="en-US" w:eastAsia="zh-CN"/>
        </w:rPr>
        <w:t xml:space="preserve">that </w:t>
      </w:r>
      <w:r w:rsidRPr="00380E68">
        <w:rPr>
          <w:rFonts w:asciiTheme="minorHAnsi" w:eastAsia="仿宋" w:hAnsiTheme="minorHAnsi" w:cstheme="minorHAnsi"/>
          <w:lang w:val="en-AU" w:eastAsia="zh-CN"/>
        </w:rPr>
        <w:t>governments, academi</w:t>
      </w:r>
      <w:r w:rsidRPr="00380E68">
        <w:rPr>
          <w:rFonts w:asciiTheme="minorHAnsi" w:eastAsia="仿宋" w:hAnsiTheme="minorHAnsi" w:cstheme="minorHAnsi"/>
          <w:lang w:val="en-US" w:eastAsia="zh-CN"/>
        </w:rPr>
        <w:t>c communities</w:t>
      </w:r>
      <w:r w:rsidRPr="00380E68">
        <w:rPr>
          <w:rFonts w:asciiTheme="minorHAnsi" w:eastAsia="仿宋" w:hAnsiTheme="minorHAnsi" w:cstheme="minorHAnsi"/>
          <w:lang w:val="en-AU" w:eastAsia="zh-CN"/>
        </w:rPr>
        <w:t xml:space="preserve">, </w:t>
      </w:r>
      <w:r w:rsidRPr="00380E68">
        <w:rPr>
          <w:rFonts w:asciiTheme="minorHAnsi" w:eastAsia="仿宋" w:hAnsiTheme="minorHAnsi" w:cstheme="minorHAnsi"/>
          <w:lang w:val="en-US" w:eastAsia="zh-CN"/>
        </w:rPr>
        <w:t xml:space="preserve">the </w:t>
      </w:r>
      <w:r w:rsidRPr="00380E68">
        <w:rPr>
          <w:rFonts w:asciiTheme="minorHAnsi" w:eastAsia="仿宋" w:hAnsiTheme="minorHAnsi" w:cstheme="minorHAnsi"/>
          <w:lang w:val="en-AU" w:eastAsia="zh-CN"/>
        </w:rPr>
        <w:t xml:space="preserve">private sector, NGOs and </w:t>
      </w:r>
      <w:r w:rsidRPr="00380E68">
        <w:rPr>
          <w:rFonts w:asciiTheme="minorHAnsi" w:eastAsia="仿宋" w:hAnsiTheme="minorHAnsi" w:cstheme="minorHAnsi"/>
          <w:lang w:val="en-US" w:eastAsia="zh-CN"/>
        </w:rPr>
        <w:t xml:space="preserve">the </w:t>
      </w:r>
      <w:r w:rsidRPr="00380E68">
        <w:rPr>
          <w:rFonts w:asciiTheme="minorHAnsi" w:eastAsia="仿宋" w:hAnsiTheme="minorHAnsi" w:cstheme="minorHAnsi"/>
          <w:lang w:val="en-AU" w:eastAsia="zh-CN"/>
        </w:rPr>
        <w:t xml:space="preserve">public are all stakeholders </w:t>
      </w:r>
      <w:r w:rsidRPr="00380E68">
        <w:rPr>
          <w:rFonts w:asciiTheme="minorHAnsi" w:eastAsia="仿宋" w:hAnsiTheme="minorHAnsi" w:cstheme="minorHAnsi"/>
          <w:lang w:val="en-US" w:eastAsia="zh-CN"/>
        </w:rPr>
        <w:t>in</w:t>
      </w:r>
      <w:r w:rsidRPr="00380E68">
        <w:rPr>
          <w:rFonts w:asciiTheme="minorHAnsi" w:eastAsia="仿宋" w:hAnsiTheme="minorHAnsi" w:cstheme="minorHAnsi"/>
          <w:lang w:val="en-AU" w:eastAsia="zh-CN"/>
        </w:rPr>
        <w:t xml:space="preserve"> mangroves</w:t>
      </w:r>
      <w:r w:rsidRPr="00380E68">
        <w:rPr>
          <w:rFonts w:asciiTheme="minorHAnsi" w:eastAsia="仿宋" w:hAnsiTheme="minorHAnsi" w:cstheme="minorHAnsi"/>
          <w:lang w:val="en-US" w:eastAsia="zh-CN"/>
        </w:rPr>
        <w:t xml:space="preserve"> conservation and wise use</w:t>
      </w:r>
      <w:r w:rsidRPr="00380E68">
        <w:rPr>
          <w:rFonts w:asciiTheme="minorHAnsi" w:eastAsia="仿宋" w:hAnsiTheme="minorHAnsi" w:cstheme="minorHAnsi"/>
          <w:lang w:val="en-AU" w:eastAsia="zh-CN"/>
        </w:rPr>
        <w:t xml:space="preserve">. However, governments play </w:t>
      </w:r>
      <w:r w:rsidRPr="00380E68">
        <w:rPr>
          <w:rFonts w:asciiTheme="minorHAnsi" w:eastAsia="仿宋" w:hAnsiTheme="minorHAnsi" w:cstheme="minorHAnsi"/>
          <w:lang w:val="en-US" w:eastAsia="zh-CN"/>
        </w:rPr>
        <w:t xml:space="preserve">a </w:t>
      </w:r>
      <w:r w:rsidRPr="00380E68">
        <w:rPr>
          <w:rFonts w:asciiTheme="minorHAnsi" w:eastAsia="仿宋" w:hAnsiTheme="minorHAnsi" w:cstheme="minorHAnsi"/>
          <w:lang w:val="en-AU" w:eastAsia="zh-CN"/>
        </w:rPr>
        <w:t>fundamental role in national polic</w:t>
      </w:r>
      <w:r w:rsidRPr="00380E68">
        <w:rPr>
          <w:rFonts w:asciiTheme="minorHAnsi" w:eastAsia="仿宋" w:hAnsiTheme="minorHAnsi" w:cstheme="minorHAnsi"/>
          <w:lang w:val="en-US" w:eastAsia="zh-CN"/>
        </w:rPr>
        <w:t>y-making</w:t>
      </w:r>
      <w:r w:rsidRPr="00380E68">
        <w:rPr>
          <w:rFonts w:asciiTheme="minorHAnsi" w:eastAsia="仿宋" w:hAnsiTheme="minorHAnsi" w:cstheme="minorHAnsi"/>
          <w:lang w:val="en-AU" w:eastAsia="zh-CN"/>
        </w:rPr>
        <w:t xml:space="preserve">, fund raising, technology development, </w:t>
      </w:r>
      <w:r w:rsidRPr="00380E68">
        <w:rPr>
          <w:rFonts w:asciiTheme="minorHAnsi" w:eastAsia="仿宋" w:hAnsiTheme="minorHAnsi" w:cstheme="minorHAnsi"/>
          <w:lang w:val="en-US" w:eastAsia="zh-CN"/>
        </w:rPr>
        <w:t>and</w:t>
      </w:r>
      <w:r w:rsidRPr="00380E68">
        <w:rPr>
          <w:rFonts w:asciiTheme="minorHAnsi" w:eastAsia="仿宋" w:hAnsiTheme="minorHAnsi" w:cstheme="minorHAnsi"/>
          <w:lang w:val="en-AU" w:eastAsia="zh-CN"/>
        </w:rPr>
        <w:t xml:space="preserve"> international cooperation. Governments of Contracting Parties are the main body to implement the </w:t>
      </w:r>
      <w:r w:rsidRPr="00380E68">
        <w:rPr>
          <w:rFonts w:asciiTheme="minorHAnsi" w:eastAsia="仿宋" w:hAnsiTheme="minorHAnsi" w:cstheme="minorHAnsi"/>
          <w:lang w:val="en-US" w:eastAsia="zh-CN"/>
        </w:rPr>
        <w:t xml:space="preserve">Ramsar </w:t>
      </w:r>
      <w:r w:rsidRPr="00380E68">
        <w:rPr>
          <w:rFonts w:asciiTheme="minorHAnsi" w:eastAsia="仿宋" w:hAnsiTheme="minorHAnsi" w:cstheme="minorHAnsi"/>
          <w:lang w:val="en-AU" w:eastAsia="zh-CN"/>
        </w:rPr>
        <w:t xml:space="preserve">Convention, </w:t>
      </w:r>
      <w:r w:rsidRPr="00380E68">
        <w:rPr>
          <w:rFonts w:asciiTheme="minorHAnsi" w:eastAsia="仿宋" w:hAnsiTheme="minorHAnsi" w:cstheme="minorHAnsi"/>
          <w:lang w:val="en-US" w:eastAsia="zh-CN"/>
        </w:rPr>
        <w:t xml:space="preserve">the </w:t>
      </w:r>
      <w:r w:rsidRPr="00380E68">
        <w:rPr>
          <w:rFonts w:asciiTheme="minorHAnsi" w:eastAsia="仿宋" w:hAnsiTheme="minorHAnsi" w:cstheme="minorHAnsi"/>
          <w:lang w:val="en-AU" w:eastAsia="zh-CN"/>
        </w:rPr>
        <w:t xml:space="preserve">CBD and </w:t>
      </w:r>
      <w:r w:rsidRPr="00380E68">
        <w:rPr>
          <w:rFonts w:asciiTheme="minorHAnsi" w:eastAsia="仿宋" w:hAnsiTheme="minorHAnsi" w:cstheme="minorHAnsi"/>
          <w:lang w:val="en-US" w:eastAsia="zh-CN"/>
        </w:rPr>
        <w:t xml:space="preserve">the </w:t>
      </w:r>
      <w:r w:rsidRPr="00380E68">
        <w:rPr>
          <w:rFonts w:asciiTheme="minorHAnsi" w:eastAsia="仿宋" w:hAnsiTheme="minorHAnsi" w:cstheme="minorHAnsi"/>
          <w:lang w:val="en-AU" w:eastAsia="zh-CN"/>
        </w:rPr>
        <w:t xml:space="preserve">UNFCCC </w:t>
      </w:r>
      <w:r w:rsidRPr="00380E68">
        <w:rPr>
          <w:rFonts w:asciiTheme="minorHAnsi" w:eastAsia="仿宋" w:hAnsiTheme="minorHAnsi" w:cstheme="minorHAnsi"/>
          <w:lang w:val="en-US" w:eastAsia="zh-CN"/>
        </w:rPr>
        <w:t>etc</w:t>
      </w:r>
      <w:r w:rsidRPr="00380E68">
        <w:rPr>
          <w:rFonts w:asciiTheme="minorHAnsi" w:eastAsia="仿宋" w:hAnsiTheme="minorHAnsi" w:cstheme="minorHAnsi"/>
          <w:lang w:val="en-AU" w:eastAsia="zh-CN"/>
        </w:rPr>
        <w:t>. Therefore, it is necessary to establish an inter</w:t>
      </w:r>
      <w:r w:rsidRPr="00380E68">
        <w:rPr>
          <w:rFonts w:asciiTheme="minorHAnsi" w:eastAsia="仿宋" w:hAnsiTheme="minorHAnsi" w:cstheme="minorHAnsi"/>
          <w:lang w:val="en-US" w:eastAsia="zh-CN"/>
        </w:rPr>
        <w:t>governmental</w:t>
      </w:r>
      <w:r w:rsidRPr="00380E68">
        <w:rPr>
          <w:rFonts w:asciiTheme="minorHAnsi" w:eastAsia="仿宋" w:hAnsiTheme="minorHAnsi" w:cstheme="minorHAnsi"/>
          <w:lang w:val="en-AU" w:eastAsia="zh-CN"/>
        </w:rPr>
        <w:t xml:space="preserve"> mechanism for mangrove conservation and restoration in the framework of the </w:t>
      </w:r>
      <w:r w:rsidRPr="00380E68">
        <w:rPr>
          <w:rFonts w:asciiTheme="minorHAnsi" w:eastAsia="仿宋" w:hAnsiTheme="minorHAnsi" w:cstheme="minorHAnsi"/>
          <w:lang w:val="en-US" w:eastAsia="zh-CN"/>
        </w:rPr>
        <w:t xml:space="preserve">Ramsar </w:t>
      </w:r>
      <w:r w:rsidRPr="00380E68">
        <w:rPr>
          <w:rFonts w:asciiTheme="minorHAnsi" w:eastAsia="仿宋" w:hAnsiTheme="minorHAnsi" w:cstheme="minorHAnsi"/>
          <w:lang w:val="en-AU" w:eastAsia="zh-CN"/>
        </w:rPr>
        <w:t xml:space="preserve">Convention, to strengthen the role of governments </w:t>
      </w:r>
      <w:r w:rsidRPr="00380E68">
        <w:rPr>
          <w:rFonts w:asciiTheme="minorHAnsi" w:eastAsia="仿宋" w:hAnsiTheme="minorHAnsi" w:cstheme="minorHAnsi"/>
          <w:lang w:val="en-US" w:eastAsia="zh-CN"/>
        </w:rPr>
        <w:t>to address</w:t>
      </w:r>
      <w:r w:rsidRPr="00380E68">
        <w:rPr>
          <w:rFonts w:asciiTheme="minorHAnsi" w:eastAsia="仿宋" w:hAnsiTheme="minorHAnsi" w:cstheme="minorHAnsi"/>
          <w:lang w:val="en-AU" w:eastAsia="zh-CN"/>
        </w:rPr>
        <w:t xml:space="preserve"> challenges on mangroves</w:t>
      </w:r>
      <w:r w:rsidRPr="00380E68">
        <w:rPr>
          <w:rFonts w:asciiTheme="minorHAnsi" w:eastAsia="仿宋" w:hAnsiTheme="minorHAnsi" w:cstheme="minorHAnsi"/>
          <w:lang w:val="en-US" w:eastAsia="zh-CN"/>
        </w:rPr>
        <w:t xml:space="preserve"> in collaboration with other relevant stakeholders</w:t>
      </w:r>
      <w:r w:rsidRPr="00380E68">
        <w:rPr>
          <w:rFonts w:asciiTheme="minorHAnsi" w:eastAsia="仿宋" w:hAnsiTheme="minorHAnsi" w:cstheme="minorHAnsi"/>
          <w:lang w:val="en-AU" w:eastAsia="zh-CN"/>
        </w:rPr>
        <w:t>.</w:t>
      </w:r>
    </w:p>
    <w:p w14:paraId="1D2E097F" w14:textId="77777777" w:rsidR="00380E68" w:rsidRPr="00380E68" w:rsidRDefault="00380E68" w:rsidP="00380E68">
      <w:pPr>
        <w:pStyle w:val="ListParagraph"/>
        <w:ind w:left="420" w:firstLine="0"/>
        <w:jc w:val="both"/>
        <w:rPr>
          <w:rFonts w:asciiTheme="minorHAnsi" w:eastAsia="仿宋" w:hAnsiTheme="minorHAnsi" w:cstheme="minorHAnsi"/>
          <w:lang w:val="en-AU" w:eastAsia="zh-CN"/>
        </w:rPr>
      </w:pPr>
    </w:p>
    <w:p w14:paraId="0A2F1466" w14:textId="77777777" w:rsidR="00380E68" w:rsidRPr="00380E68" w:rsidRDefault="00380E68" w:rsidP="00380E68">
      <w:pPr>
        <w:ind w:leftChars="31" w:left="68" w:firstLine="0"/>
        <w:jc w:val="both"/>
        <w:rPr>
          <w:rFonts w:asciiTheme="minorHAnsi" w:eastAsia="仿宋" w:hAnsiTheme="minorHAnsi" w:cstheme="minorHAnsi"/>
          <w:b/>
          <w:lang w:val="en-AU" w:eastAsia="zh-CN"/>
        </w:rPr>
      </w:pPr>
    </w:p>
    <w:p w14:paraId="4B2E3691" w14:textId="77777777" w:rsidR="00380E68" w:rsidRPr="00380E68" w:rsidRDefault="00380E68" w:rsidP="00380E68">
      <w:pPr>
        <w:pStyle w:val="DRSubHeading"/>
        <w:ind w:left="1260"/>
        <w:jc w:val="both"/>
        <w:rPr>
          <w:rFonts w:asciiTheme="minorHAnsi" w:eastAsia="仿宋" w:hAnsiTheme="minorHAnsi" w:cstheme="minorHAnsi"/>
        </w:rPr>
      </w:pPr>
      <w:r w:rsidRPr="00380E68">
        <w:rPr>
          <w:rFonts w:asciiTheme="minorHAnsi" w:eastAsia="仿宋" w:hAnsiTheme="minorHAnsi" w:cstheme="minorHAnsi"/>
        </w:rPr>
        <w:lastRenderedPageBreak/>
        <w:t>THE CONFERENCE OF THE CONTRACTING PARTIES</w:t>
      </w:r>
    </w:p>
    <w:p w14:paraId="46F02447" w14:textId="77777777" w:rsidR="00380E68" w:rsidRPr="00380E68" w:rsidRDefault="00380E68" w:rsidP="00380E68">
      <w:pPr>
        <w:ind w:leftChars="31" w:left="68" w:firstLine="0"/>
        <w:jc w:val="both"/>
        <w:rPr>
          <w:rFonts w:asciiTheme="minorHAnsi" w:eastAsia="仿宋" w:hAnsiTheme="minorHAnsi" w:cstheme="minorHAnsi"/>
          <w:lang w:val="en-AU" w:eastAsia="zh-CN"/>
        </w:rPr>
      </w:pPr>
    </w:p>
    <w:p w14:paraId="05AC9C33" w14:textId="77777777" w:rsidR="00380E68" w:rsidRPr="00380E68" w:rsidRDefault="00380E68" w:rsidP="00380E68">
      <w:pPr>
        <w:pStyle w:val="ListParagraph"/>
        <w:numPr>
          <w:ilvl w:val="0"/>
          <w:numId w:val="30"/>
        </w:numPr>
        <w:jc w:val="both"/>
        <w:rPr>
          <w:rFonts w:asciiTheme="minorHAnsi" w:eastAsia="仿宋" w:hAnsiTheme="minorHAnsi" w:cstheme="minorHAnsi"/>
          <w:lang w:val="en-AU" w:eastAsia="zh-CN"/>
        </w:rPr>
      </w:pPr>
      <w:r w:rsidRPr="00380E68">
        <w:rPr>
          <w:rFonts w:asciiTheme="minorHAnsi" w:eastAsia="仿宋" w:hAnsiTheme="minorHAnsi" w:cstheme="minorHAnsi"/>
          <w:b/>
          <w:bCs/>
          <w:lang w:val="en-AU" w:eastAsia="zh-CN"/>
        </w:rPr>
        <w:t>Welcomes</w:t>
      </w:r>
      <w:r w:rsidRPr="00380E68">
        <w:rPr>
          <w:rFonts w:asciiTheme="minorHAnsi" w:eastAsia="仿宋" w:hAnsiTheme="minorHAnsi" w:cstheme="minorHAnsi"/>
          <w:lang w:val="en-AU" w:eastAsia="zh-CN"/>
        </w:rPr>
        <w:t xml:space="preserve"> China to host an International Mangrove Center, which will </w:t>
      </w:r>
      <w:r w:rsidRPr="00380E68">
        <w:rPr>
          <w:rFonts w:asciiTheme="minorHAnsi" w:eastAsia="仿宋" w:hAnsiTheme="minorHAnsi" w:cstheme="minorHAnsi"/>
          <w:lang w:val="en-US" w:eastAsia="zh-CN"/>
        </w:rPr>
        <w:t xml:space="preserve">serve as </w:t>
      </w:r>
      <w:r w:rsidRPr="00380E68">
        <w:rPr>
          <w:rFonts w:asciiTheme="minorHAnsi" w:eastAsia="仿宋" w:hAnsiTheme="minorHAnsi" w:cstheme="minorHAnsi"/>
          <w:lang w:val="en-AU" w:eastAsia="zh-CN"/>
        </w:rPr>
        <w:t>the Secretariat and technical service platform for</w:t>
      </w:r>
      <w:r w:rsidRPr="00380E68">
        <w:rPr>
          <w:rFonts w:asciiTheme="minorHAnsi" w:eastAsia="仿宋" w:hAnsiTheme="minorHAnsi" w:cstheme="minorHAnsi"/>
          <w:lang w:val="en-US" w:eastAsia="zh-CN"/>
        </w:rPr>
        <w:t xml:space="preserve"> i</w:t>
      </w:r>
      <w:r w:rsidRPr="00380E68">
        <w:rPr>
          <w:rFonts w:asciiTheme="minorHAnsi" w:eastAsia="仿宋" w:hAnsiTheme="minorHAnsi" w:cstheme="minorHAnsi"/>
          <w:lang w:val="en-AU" w:eastAsia="zh-CN"/>
        </w:rPr>
        <w:t>nternational mangrove cooperation in the framework of the Ramsar Convention.</w:t>
      </w:r>
    </w:p>
    <w:p w14:paraId="49F1134A" w14:textId="77777777" w:rsidR="00380E68" w:rsidRPr="00380E68" w:rsidRDefault="00380E68" w:rsidP="00380E68">
      <w:pPr>
        <w:pStyle w:val="ListParagraph"/>
        <w:ind w:left="68" w:firstLine="0"/>
        <w:jc w:val="both"/>
        <w:rPr>
          <w:rFonts w:asciiTheme="minorHAnsi" w:eastAsia="仿宋" w:hAnsiTheme="minorHAnsi" w:cstheme="minorHAnsi"/>
          <w:lang w:val="en-AU" w:eastAsia="zh-CN"/>
        </w:rPr>
      </w:pPr>
    </w:p>
    <w:p w14:paraId="407DD1A7" w14:textId="77777777" w:rsidR="00380E68" w:rsidRPr="00380E68" w:rsidRDefault="00380E68" w:rsidP="00380E68">
      <w:pPr>
        <w:pStyle w:val="ListParagraph"/>
        <w:numPr>
          <w:ilvl w:val="0"/>
          <w:numId w:val="30"/>
        </w:numPr>
        <w:jc w:val="both"/>
        <w:rPr>
          <w:rFonts w:asciiTheme="minorHAnsi" w:eastAsia="仿宋" w:hAnsiTheme="minorHAnsi" w:cstheme="minorHAnsi"/>
          <w:lang w:val="en-AU" w:eastAsia="zh-CN"/>
        </w:rPr>
      </w:pPr>
      <w:r w:rsidRPr="00380E68">
        <w:rPr>
          <w:rFonts w:asciiTheme="minorHAnsi" w:eastAsia="仿宋" w:hAnsiTheme="minorHAnsi" w:cstheme="minorHAnsi"/>
          <w:b/>
          <w:bCs/>
          <w:lang w:val="en-AU" w:eastAsia="zh-CN"/>
        </w:rPr>
        <w:t>Invites</w:t>
      </w:r>
      <w:r w:rsidRPr="00380E68">
        <w:rPr>
          <w:rFonts w:asciiTheme="minorHAnsi" w:eastAsia="仿宋" w:hAnsiTheme="minorHAnsi" w:cstheme="minorHAnsi"/>
          <w:lang w:val="en-AU" w:eastAsia="zh-CN"/>
        </w:rPr>
        <w:t xml:space="preserve"> Parties</w:t>
      </w:r>
      <w:r w:rsidRPr="00380E68">
        <w:rPr>
          <w:rFonts w:asciiTheme="minorHAnsi" w:eastAsia="仿宋" w:hAnsiTheme="minorHAnsi" w:cstheme="minorHAnsi"/>
          <w:lang w:val="en-US" w:eastAsia="zh-CN"/>
        </w:rPr>
        <w:t xml:space="preserve"> and relevant stakeholders</w:t>
      </w:r>
      <w:r w:rsidRPr="00380E68">
        <w:rPr>
          <w:rFonts w:asciiTheme="minorHAnsi" w:eastAsia="仿宋" w:hAnsiTheme="minorHAnsi" w:cstheme="minorHAnsi"/>
          <w:lang w:val="en-AU" w:eastAsia="zh-CN"/>
        </w:rPr>
        <w:t xml:space="preserve"> to join this </w:t>
      </w:r>
      <w:r w:rsidRPr="00380E68">
        <w:rPr>
          <w:rFonts w:asciiTheme="minorHAnsi" w:eastAsia="仿宋" w:hAnsiTheme="minorHAnsi" w:cstheme="minorHAnsi"/>
          <w:lang w:val="en-US" w:eastAsia="zh-CN"/>
        </w:rPr>
        <w:t>i</w:t>
      </w:r>
      <w:r w:rsidRPr="00380E68">
        <w:rPr>
          <w:rFonts w:asciiTheme="minorHAnsi" w:eastAsia="仿宋" w:hAnsiTheme="minorHAnsi" w:cstheme="minorHAnsi"/>
          <w:lang w:val="en-AU" w:eastAsia="zh-CN"/>
        </w:rPr>
        <w:t>nternational mangrove cooperation mechanism</w:t>
      </w:r>
      <w:r w:rsidRPr="00380E68">
        <w:rPr>
          <w:rFonts w:asciiTheme="minorHAnsi" w:eastAsia="仿宋" w:hAnsiTheme="minorHAnsi" w:cstheme="minorHAnsi"/>
          <w:lang w:val="en-US" w:eastAsia="zh-CN"/>
        </w:rPr>
        <w:t xml:space="preserve"> for </w:t>
      </w:r>
      <w:r w:rsidRPr="00380E68">
        <w:rPr>
          <w:rFonts w:asciiTheme="minorHAnsi" w:eastAsia="仿宋" w:hAnsiTheme="minorHAnsi" w:cstheme="minorHAnsi"/>
          <w:lang w:val="en-AU" w:eastAsia="zh-CN"/>
        </w:rPr>
        <w:t xml:space="preserve">technical exchanges, collaborative research, education and training, </w:t>
      </w:r>
      <w:r w:rsidRPr="00380E68">
        <w:rPr>
          <w:rFonts w:asciiTheme="minorHAnsi" w:eastAsia="仿宋" w:hAnsiTheme="minorHAnsi" w:cstheme="minorHAnsi"/>
          <w:lang w:val="en-US" w:eastAsia="zh-CN"/>
        </w:rPr>
        <w:t xml:space="preserve">and </w:t>
      </w:r>
      <w:r w:rsidRPr="00380E68">
        <w:rPr>
          <w:rFonts w:asciiTheme="minorHAnsi" w:eastAsia="仿宋" w:hAnsiTheme="minorHAnsi" w:cstheme="minorHAnsi"/>
          <w:lang w:val="en-AU" w:eastAsia="zh-CN"/>
        </w:rPr>
        <w:t>pilot projects on conservation and restoration</w:t>
      </w:r>
      <w:r w:rsidRPr="00380E68">
        <w:rPr>
          <w:rFonts w:asciiTheme="minorHAnsi" w:eastAsia="仿宋" w:hAnsiTheme="minorHAnsi" w:cstheme="minorHAnsi"/>
          <w:lang w:val="en-US" w:eastAsia="zh-CN"/>
        </w:rPr>
        <w:t xml:space="preserve">, to protect </w:t>
      </w:r>
      <w:r w:rsidRPr="00380E68">
        <w:rPr>
          <w:rFonts w:asciiTheme="minorHAnsi" w:eastAsia="仿宋" w:hAnsiTheme="minorHAnsi" w:cstheme="minorHAnsi"/>
          <w:lang w:val="en-AU" w:eastAsia="zh-CN"/>
        </w:rPr>
        <w:t>mangrove biodiversity and coastal blue</w:t>
      </w:r>
      <w:r w:rsidRPr="00380E68">
        <w:rPr>
          <w:rFonts w:asciiTheme="minorHAnsi" w:eastAsia="仿宋" w:hAnsiTheme="minorHAnsi" w:cstheme="minorHAnsi"/>
          <w:lang w:val="en-US" w:eastAsia="zh-CN"/>
        </w:rPr>
        <w:t xml:space="preserve"> </w:t>
      </w:r>
      <w:r w:rsidRPr="00380E68">
        <w:rPr>
          <w:rFonts w:asciiTheme="minorHAnsi" w:eastAsia="仿宋" w:hAnsiTheme="minorHAnsi" w:cstheme="minorHAnsi"/>
          <w:lang w:val="en-AU" w:eastAsia="zh-CN"/>
        </w:rPr>
        <w:t>carbon ecosystem</w:t>
      </w:r>
      <w:r w:rsidRPr="00380E68">
        <w:rPr>
          <w:rFonts w:asciiTheme="minorHAnsi" w:eastAsia="仿宋" w:hAnsiTheme="minorHAnsi" w:cstheme="minorHAnsi"/>
          <w:lang w:val="en-US" w:eastAsia="zh-CN"/>
        </w:rPr>
        <w:t>s</w:t>
      </w:r>
      <w:r w:rsidRPr="00380E68">
        <w:rPr>
          <w:rFonts w:asciiTheme="minorHAnsi" w:eastAsia="仿宋" w:hAnsiTheme="minorHAnsi" w:cstheme="minorHAnsi"/>
          <w:lang w:val="en-AU" w:eastAsia="zh-CN"/>
        </w:rPr>
        <w:t xml:space="preserve">, enhance mangrove ecosystem services and </w:t>
      </w:r>
      <w:r w:rsidRPr="00380E68">
        <w:rPr>
          <w:rFonts w:asciiTheme="minorHAnsi" w:eastAsia="仿宋" w:hAnsiTheme="minorHAnsi" w:cstheme="minorHAnsi"/>
          <w:lang w:val="en-US" w:eastAsia="zh-CN"/>
        </w:rPr>
        <w:t xml:space="preserve">resilience to </w:t>
      </w:r>
      <w:r w:rsidRPr="00380E68">
        <w:rPr>
          <w:rFonts w:asciiTheme="minorHAnsi" w:eastAsia="仿宋" w:hAnsiTheme="minorHAnsi" w:cstheme="minorHAnsi"/>
          <w:lang w:val="en-AU" w:eastAsia="zh-CN"/>
        </w:rPr>
        <w:t>climate change.</w:t>
      </w:r>
    </w:p>
    <w:p w14:paraId="35E0D05B" w14:textId="77777777" w:rsidR="00380E68" w:rsidRPr="00380E68" w:rsidRDefault="00380E68" w:rsidP="00380E68">
      <w:pPr>
        <w:pStyle w:val="ListParagraph"/>
        <w:ind w:left="420" w:firstLine="0"/>
        <w:jc w:val="both"/>
        <w:rPr>
          <w:rFonts w:asciiTheme="minorHAnsi" w:eastAsia="仿宋" w:hAnsiTheme="minorHAnsi" w:cstheme="minorHAnsi"/>
          <w:lang w:val="en-AU" w:eastAsia="zh-CN"/>
        </w:rPr>
      </w:pPr>
    </w:p>
    <w:p w14:paraId="0CA600FD" w14:textId="77777777" w:rsidR="00380E68" w:rsidRPr="00380E68" w:rsidRDefault="00380E68" w:rsidP="00380E68">
      <w:pPr>
        <w:pStyle w:val="ListParagraph"/>
        <w:numPr>
          <w:ilvl w:val="0"/>
          <w:numId w:val="30"/>
        </w:numPr>
        <w:jc w:val="both"/>
        <w:rPr>
          <w:rFonts w:asciiTheme="minorHAnsi" w:eastAsia="仿宋" w:hAnsiTheme="minorHAnsi" w:cstheme="minorHAnsi"/>
          <w:lang w:val="en-AU" w:eastAsia="zh-CN"/>
        </w:rPr>
      </w:pPr>
      <w:r w:rsidRPr="00380E68">
        <w:rPr>
          <w:rFonts w:asciiTheme="minorHAnsi" w:eastAsia="仿宋" w:hAnsiTheme="minorHAnsi" w:cstheme="minorHAnsi"/>
          <w:b/>
          <w:bCs/>
          <w:lang w:val="en-AU" w:eastAsia="zh-CN"/>
        </w:rPr>
        <w:t>Requests</w:t>
      </w:r>
      <w:r w:rsidRPr="00380E68">
        <w:rPr>
          <w:rFonts w:asciiTheme="minorHAnsi" w:eastAsia="仿宋" w:hAnsiTheme="minorHAnsi" w:cstheme="minorHAnsi"/>
          <w:lang w:val="en-AU" w:eastAsia="zh-CN"/>
        </w:rPr>
        <w:t xml:space="preserve"> </w:t>
      </w:r>
      <w:r w:rsidRPr="00380E68">
        <w:rPr>
          <w:rFonts w:asciiTheme="minorHAnsi" w:eastAsia="仿宋" w:hAnsiTheme="minorHAnsi" w:cstheme="minorHAnsi"/>
          <w:lang w:val="en-US" w:eastAsia="zh-CN"/>
        </w:rPr>
        <w:t xml:space="preserve">the </w:t>
      </w:r>
      <w:r w:rsidRPr="00380E68">
        <w:rPr>
          <w:rFonts w:asciiTheme="minorHAnsi" w:eastAsia="仿宋" w:hAnsiTheme="minorHAnsi" w:cstheme="minorHAnsi"/>
          <w:lang w:val="en-AU" w:eastAsia="zh-CN"/>
        </w:rPr>
        <w:t>STRP to provide scientific and technical support to the International Mangrove Center</w:t>
      </w:r>
      <w:r w:rsidRPr="00380E68">
        <w:rPr>
          <w:rFonts w:asciiTheme="minorHAnsi" w:eastAsia="仿宋" w:hAnsiTheme="minorHAnsi" w:cstheme="minorHAnsi"/>
          <w:lang w:val="en-US" w:eastAsia="zh-CN"/>
        </w:rPr>
        <w:t>, and r</w:t>
      </w:r>
      <w:r w:rsidRPr="00380E68">
        <w:rPr>
          <w:rFonts w:asciiTheme="minorHAnsi" w:eastAsia="仿宋" w:hAnsiTheme="minorHAnsi" w:cstheme="minorHAnsi"/>
          <w:lang w:val="en-AU" w:eastAsia="zh-CN"/>
        </w:rPr>
        <w:t xml:space="preserve">equests </w:t>
      </w:r>
      <w:r w:rsidRPr="00380E68">
        <w:rPr>
          <w:rFonts w:asciiTheme="minorHAnsi" w:eastAsia="仿宋" w:hAnsiTheme="minorHAnsi" w:cstheme="minorHAnsi"/>
          <w:lang w:val="en-US" w:eastAsia="zh-CN"/>
        </w:rPr>
        <w:t xml:space="preserve">the </w:t>
      </w:r>
      <w:r w:rsidRPr="00380E68">
        <w:rPr>
          <w:rFonts w:asciiTheme="minorHAnsi" w:eastAsia="仿宋" w:hAnsiTheme="minorHAnsi" w:cstheme="minorHAnsi"/>
          <w:lang w:val="en-AU" w:eastAsia="zh-CN"/>
        </w:rPr>
        <w:t xml:space="preserve">CEPA Oversight Panel to </w:t>
      </w:r>
      <w:r w:rsidRPr="00380E68">
        <w:rPr>
          <w:rFonts w:asciiTheme="minorHAnsi" w:eastAsia="仿宋" w:hAnsiTheme="minorHAnsi" w:cstheme="minorHAnsi"/>
          <w:lang w:val="en-US" w:eastAsia="zh-CN"/>
        </w:rPr>
        <w:t>facilitate</w:t>
      </w:r>
      <w:r w:rsidRPr="00380E68">
        <w:rPr>
          <w:rFonts w:asciiTheme="minorHAnsi" w:eastAsia="仿宋" w:hAnsiTheme="minorHAnsi" w:cstheme="minorHAnsi"/>
          <w:lang w:val="en-AU" w:eastAsia="zh-CN"/>
        </w:rPr>
        <w:t xml:space="preserve"> CEPA actions on mangroves.</w:t>
      </w:r>
    </w:p>
    <w:p w14:paraId="578099CA" w14:textId="77777777" w:rsidR="00380E68" w:rsidRPr="00380E68" w:rsidRDefault="00380E68" w:rsidP="00380E68">
      <w:pPr>
        <w:pStyle w:val="ListParagraph"/>
        <w:ind w:left="0" w:firstLine="0"/>
        <w:jc w:val="both"/>
        <w:rPr>
          <w:rFonts w:asciiTheme="minorHAnsi" w:eastAsia="仿宋" w:hAnsiTheme="minorHAnsi" w:cstheme="minorHAnsi"/>
          <w:lang w:val="en-AU" w:eastAsia="zh-CN"/>
        </w:rPr>
      </w:pPr>
    </w:p>
    <w:p w14:paraId="7B98B6D7" w14:textId="77777777" w:rsidR="00380E68" w:rsidRPr="00380E68" w:rsidRDefault="00380E68" w:rsidP="00380E68">
      <w:pPr>
        <w:pStyle w:val="ListParagraph"/>
        <w:numPr>
          <w:ilvl w:val="255"/>
          <w:numId w:val="0"/>
        </w:numPr>
        <w:ind w:left="440" w:hangingChars="200" w:hanging="440"/>
        <w:jc w:val="both"/>
        <w:rPr>
          <w:rFonts w:asciiTheme="minorHAnsi" w:eastAsia="仿宋" w:hAnsiTheme="minorHAnsi" w:cstheme="minorHAnsi"/>
          <w:lang w:val="en-AU" w:eastAsia="zh-CN"/>
        </w:rPr>
      </w:pPr>
      <w:r w:rsidRPr="00380E68">
        <w:rPr>
          <w:rFonts w:asciiTheme="minorHAnsi" w:eastAsia="仿宋" w:hAnsiTheme="minorHAnsi" w:cstheme="minorHAnsi"/>
          <w:bCs/>
          <w:lang w:val="en-AU" w:eastAsia="zh-CN"/>
        </w:rPr>
        <w:t>1</w:t>
      </w:r>
      <w:r w:rsidRPr="00380E68">
        <w:rPr>
          <w:rFonts w:asciiTheme="minorHAnsi" w:eastAsia="仿宋" w:hAnsiTheme="minorHAnsi" w:cstheme="minorHAnsi"/>
          <w:bCs/>
          <w:lang w:val="en-US" w:eastAsia="zh-CN"/>
        </w:rPr>
        <w:t>1</w:t>
      </w:r>
      <w:r w:rsidRPr="00380E68">
        <w:rPr>
          <w:rFonts w:asciiTheme="minorHAnsi" w:eastAsia="仿宋" w:hAnsiTheme="minorHAnsi" w:cstheme="minorHAnsi"/>
          <w:bCs/>
          <w:lang w:val="en-AU" w:eastAsia="zh-CN"/>
        </w:rPr>
        <w:t>.</w:t>
      </w:r>
      <w:r w:rsidRPr="00380E68">
        <w:rPr>
          <w:rFonts w:asciiTheme="minorHAnsi" w:eastAsia="仿宋" w:hAnsiTheme="minorHAnsi" w:cstheme="minorHAnsi"/>
          <w:b/>
          <w:bCs/>
          <w:lang w:val="en-AU" w:eastAsia="zh-CN"/>
        </w:rPr>
        <w:t xml:space="preserve"> Requests</w:t>
      </w:r>
      <w:r w:rsidRPr="00380E68">
        <w:rPr>
          <w:rFonts w:asciiTheme="minorHAnsi" w:eastAsia="仿宋" w:hAnsiTheme="minorHAnsi" w:cstheme="minorHAnsi"/>
          <w:lang w:val="en-AU" w:eastAsia="zh-CN"/>
        </w:rPr>
        <w:t xml:space="preserve"> the Secretariat </w:t>
      </w:r>
      <w:r w:rsidRPr="00380E68">
        <w:rPr>
          <w:rFonts w:asciiTheme="minorHAnsi" w:eastAsia="仿宋" w:hAnsiTheme="minorHAnsi" w:cstheme="minorHAnsi"/>
          <w:lang w:val="en-US" w:eastAsia="zh-CN"/>
        </w:rPr>
        <w:t>to</w:t>
      </w:r>
      <w:r w:rsidRPr="00380E68">
        <w:rPr>
          <w:rFonts w:asciiTheme="minorHAnsi" w:eastAsia="仿宋" w:hAnsiTheme="minorHAnsi" w:cstheme="minorHAnsi"/>
          <w:lang w:val="en-AU" w:eastAsia="zh-CN"/>
        </w:rPr>
        <w:t xml:space="preserve"> </w:t>
      </w:r>
      <w:r w:rsidRPr="00380E68">
        <w:rPr>
          <w:rFonts w:asciiTheme="minorHAnsi" w:eastAsia="仿宋" w:hAnsiTheme="minorHAnsi" w:cstheme="minorHAnsi"/>
          <w:lang w:val="en-US" w:eastAsia="zh-CN"/>
        </w:rPr>
        <w:t xml:space="preserve">provide support in </w:t>
      </w:r>
      <w:r w:rsidRPr="00380E68">
        <w:rPr>
          <w:rFonts w:asciiTheme="minorHAnsi" w:eastAsia="仿宋" w:hAnsiTheme="minorHAnsi" w:cstheme="minorHAnsi"/>
          <w:lang w:val="en-AU" w:eastAsia="zh-CN"/>
        </w:rPr>
        <w:t xml:space="preserve">coordination and communication </w:t>
      </w:r>
      <w:r w:rsidRPr="00380E68">
        <w:rPr>
          <w:rFonts w:asciiTheme="minorHAnsi" w:eastAsia="仿宋" w:hAnsiTheme="minorHAnsi" w:cstheme="minorHAnsi"/>
          <w:lang w:val="en-US" w:eastAsia="zh-CN"/>
        </w:rPr>
        <w:t>with regard to</w:t>
      </w:r>
      <w:r w:rsidRPr="00380E68">
        <w:rPr>
          <w:rFonts w:asciiTheme="minorHAnsi" w:eastAsia="仿宋" w:hAnsiTheme="minorHAnsi" w:cstheme="minorHAnsi"/>
          <w:lang w:val="en-AU" w:eastAsia="zh-CN"/>
        </w:rPr>
        <w:t xml:space="preserve"> the establishment and operation of the International Mangrove Center.</w:t>
      </w:r>
    </w:p>
    <w:p w14:paraId="0E13B42C" w14:textId="77777777" w:rsidR="00F344DE" w:rsidRPr="00380E68" w:rsidRDefault="00F344DE" w:rsidP="00236CF5">
      <w:pPr>
        <w:keepNext/>
        <w:rPr>
          <w:rFonts w:cs="Arial"/>
          <w:i/>
          <w:lang w:val="en-AU"/>
        </w:rPr>
      </w:pPr>
    </w:p>
    <w:sectPr w:rsidR="00F344DE" w:rsidRPr="00380E68" w:rsidSect="002137E0">
      <w:headerReference w:type="default" r:id="rId11"/>
      <w:footerReference w:type="defaul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BBE0C" w14:textId="77777777" w:rsidR="00B32084" w:rsidRDefault="00B32084" w:rsidP="00DF2386">
      <w:r>
        <w:separator/>
      </w:r>
    </w:p>
  </w:endnote>
  <w:endnote w:type="continuationSeparator" w:id="0">
    <w:p w14:paraId="3179134F" w14:textId="77777777" w:rsidR="00B32084" w:rsidRDefault="00B32084"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仿宋">
    <w:altName w:val="Microsoft YaHei Light"/>
    <w:charset w:val="86"/>
    <w:family w:val="modern"/>
    <w:pitch w:val="fixed"/>
    <w:sig w:usb0="800002BF" w:usb1="38CF7CFA" w:usb2="00000016" w:usb3="00000000" w:csb0="0004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72B2" w14:textId="1B080799" w:rsidR="00F73E71" w:rsidRDefault="00E07553" w:rsidP="002137E0">
    <w:pPr>
      <w:pStyle w:val="Header"/>
      <w:rPr>
        <w:noProof/>
      </w:rPr>
    </w:pPr>
    <w:r w:rsidRPr="00E07553">
      <w:rPr>
        <w:sz w:val="20"/>
        <w:szCs w:val="20"/>
      </w:rPr>
      <w:t>SC59/2022 Doc.</w:t>
    </w:r>
    <w:r w:rsidR="007D5536">
      <w:rPr>
        <w:sz w:val="20"/>
        <w:szCs w:val="20"/>
      </w:rPr>
      <w:t>24.16</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8964EB">
          <w:rPr>
            <w:noProof/>
            <w:sz w:val="20"/>
            <w:szCs w:val="20"/>
          </w:rPr>
          <w:t>4</w:t>
        </w:r>
        <w:r w:rsidR="00F73E71"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CC94" w14:textId="2D033FDC" w:rsidR="00380E68" w:rsidRDefault="00380E68" w:rsidP="00380E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E0BC" w14:textId="77777777" w:rsidR="00B32084" w:rsidRDefault="00B32084" w:rsidP="00DF2386">
      <w:r>
        <w:separator/>
      </w:r>
    </w:p>
  </w:footnote>
  <w:footnote w:type="continuationSeparator" w:id="0">
    <w:p w14:paraId="75DE7FC0" w14:textId="77777777" w:rsidR="00B32084" w:rsidRDefault="00B32084" w:rsidP="00DF2386">
      <w:r>
        <w:continuationSeparator/>
      </w:r>
    </w:p>
  </w:footnote>
  <w:footnote w:id="1">
    <w:p w14:paraId="2CAB5BDB" w14:textId="77777777" w:rsidR="00380E68" w:rsidRPr="008C7ADC" w:rsidRDefault="00380E68" w:rsidP="00380E68">
      <w:pPr>
        <w:pStyle w:val="FootnoteText"/>
        <w:rPr>
          <w:rFonts w:eastAsiaTheme="minorEastAsia"/>
          <w:lang w:val="fr-FR" w:eastAsia="zh-CN"/>
        </w:rPr>
      </w:pPr>
      <w:r>
        <w:rPr>
          <w:rStyle w:val="FootnoteReference"/>
        </w:rPr>
        <w:footnoteRef/>
      </w:r>
      <w:r w:rsidRPr="008C7ADC">
        <w:rPr>
          <w:lang w:val="fr-FR"/>
        </w:rPr>
        <w:t xml:space="preserve"> </w:t>
      </w:r>
      <w:r w:rsidRPr="008C7ADC">
        <w:rPr>
          <w:rFonts w:eastAsiaTheme="minorEastAsia"/>
          <w:lang w:val="fr-FR" w:eastAsia="zh-CN"/>
        </w:rPr>
        <w:t>Goldberg et al. 2020. https://doi.org/10.1111/gcb.15275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B7D2" w14:textId="77777777" w:rsidR="00F73E71" w:rsidRDefault="00F73E71">
    <w:pPr>
      <w:pStyle w:val="Header"/>
    </w:pPr>
  </w:p>
  <w:p w14:paraId="62D4BCDE" w14:textId="77777777" w:rsidR="00F73E71" w:rsidRDefault="00F7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1"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5" w15:restartNumberingAfterBreak="0">
    <w:nsid w:val="6AF332B7"/>
    <w:multiLevelType w:val="multilevel"/>
    <w:tmpl w:val="6AF332B7"/>
    <w:lvl w:ilvl="0">
      <w:start w:val="1"/>
      <w:numFmt w:val="decimal"/>
      <w:lvlText w:val="%1."/>
      <w:lvlJc w:val="left"/>
      <w:pPr>
        <w:ind w:left="420" w:hanging="420"/>
      </w:pPr>
      <w:rPr>
        <w:rFonts w:hint="default"/>
        <w:highligh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
  </w:num>
  <w:num w:numId="13">
    <w:abstractNumId w:val="16"/>
  </w:num>
  <w:num w:numId="14">
    <w:abstractNumId w:val="11"/>
  </w:num>
  <w:num w:numId="15">
    <w:abstractNumId w:val="2"/>
  </w:num>
  <w:num w:numId="16">
    <w:abstractNumId w:val="13"/>
  </w:num>
  <w:num w:numId="17">
    <w:abstractNumId w:val="18"/>
  </w:num>
  <w:num w:numId="18">
    <w:abstractNumId w:val="27"/>
  </w:num>
  <w:num w:numId="19">
    <w:abstractNumId w:val="26"/>
  </w:num>
  <w:num w:numId="20">
    <w:abstractNumId w:val="20"/>
  </w:num>
  <w:num w:numId="21">
    <w:abstractNumId w:val="22"/>
  </w:num>
  <w:num w:numId="22">
    <w:abstractNumId w:val="14"/>
  </w:num>
  <w:num w:numId="23">
    <w:abstractNumId w:val="19"/>
  </w:num>
  <w:num w:numId="24">
    <w:abstractNumId w:val="17"/>
  </w:num>
  <w:num w:numId="25">
    <w:abstractNumId w:val="24"/>
  </w:num>
  <w:num w:numId="26">
    <w:abstractNumId w:val="8"/>
  </w:num>
  <w:num w:numId="27">
    <w:abstractNumId w:val="0"/>
  </w:num>
  <w:num w:numId="28">
    <w:abstractNumId w:val="10"/>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4168"/>
    <w:rsid w:val="00017A16"/>
    <w:rsid w:val="00026E09"/>
    <w:rsid w:val="00037CE0"/>
    <w:rsid w:val="00042CCC"/>
    <w:rsid w:val="00051031"/>
    <w:rsid w:val="00053929"/>
    <w:rsid w:val="00074DE8"/>
    <w:rsid w:val="000944EB"/>
    <w:rsid w:val="000A3E3E"/>
    <w:rsid w:val="000C2489"/>
    <w:rsid w:val="000D5C76"/>
    <w:rsid w:val="000E2FA0"/>
    <w:rsid w:val="000E47E9"/>
    <w:rsid w:val="0012096C"/>
    <w:rsid w:val="00127828"/>
    <w:rsid w:val="00161BDA"/>
    <w:rsid w:val="00171618"/>
    <w:rsid w:val="001819B1"/>
    <w:rsid w:val="001A2D10"/>
    <w:rsid w:val="001C5E41"/>
    <w:rsid w:val="001C77BC"/>
    <w:rsid w:val="001D48BB"/>
    <w:rsid w:val="001E00E3"/>
    <w:rsid w:val="001F2349"/>
    <w:rsid w:val="002005D2"/>
    <w:rsid w:val="0020298B"/>
    <w:rsid w:val="00206111"/>
    <w:rsid w:val="002137E0"/>
    <w:rsid w:val="00236CF5"/>
    <w:rsid w:val="002741AC"/>
    <w:rsid w:val="00275F13"/>
    <w:rsid w:val="002819C0"/>
    <w:rsid w:val="00295556"/>
    <w:rsid w:val="00295BB5"/>
    <w:rsid w:val="002A5A4D"/>
    <w:rsid w:val="002B4262"/>
    <w:rsid w:val="002D5A4D"/>
    <w:rsid w:val="002E22AF"/>
    <w:rsid w:val="002F6155"/>
    <w:rsid w:val="00324398"/>
    <w:rsid w:val="00380E68"/>
    <w:rsid w:val="00384FC3"/>
    <w:rsid w:val="003A3804"/>
    <w:rsid w:val="003A52BE"/>
    <w:rsid w:val="003A5866"/>
    <w:rsid w:val="003A6E9F"/>
    <w:rsid w:val="003C2D9F"/>
    <w:rsid w:val="003D4CD6"/>
    <w:rsid w:val="004228C7"/>
    <w:rsid w:val="0042798B"/>
    <w:rsid w:val="00434913"/>
    <w:rsid w:val="004474F8"/>
    <w:rsid w:val="00477550"/>
    <w:rsid w:val="004844A8"/>
    <w:rsid w:val="00496803"/>
    <w:rsid w:val="004B6688"/>
    <w:rsid w:val="005244A4"/>
    <w:rsid w:val="00527783"/>
    <w:rsid w:val="005814B5"/>
    <w:rsid w:val="00597B12"/>
    <w:rsid w:val="005D3E9D"/>
    <w:rsid w:val="006256D3"/>
    <w:rsid w:val="00627BB7"/>
    <w:rsid w:val="00631D08"/>
    <w:rsid w:val="00644A13"/>
    <w:rsid w:val="0065136E"/>
    <w:rsid w:val="00670D71"/>
    <w:rsid w:val="006E7DCE"/>
    <w:rsid w:val="007050FF"/>
    <w:rsid w:val="007201C7"/>
    <w:rsid w:val="00752764"/>
    <w:rsid w:val="00766962"/>
    <w:rsid w:val="00775287"/>
    <w:rsid w:val="007D33F4"/>
    <w:rsid w:val="007D5536"/>
    <w:rsid w:val="007F3ABE"/>
    <w:rsid w:val="008328E9"/>
    <w:rsid w:val="00835BCB"/>
    <w:rsid w:val="00835CDC"/>
    <w:rsid w:val="00850B09"/>
    <w:rsid w:val="00863B9D"/>
    <w:rsid w:val="00863BE6"/>
    <w:rsid w:val="008775BC"/>
    <w:rsid w:val="00882F1B"/>
    <w:rsid w:val="008964EB"/>
    <w:rsid w:val="008A70CE"/>
    <w:rsid w:val="008C25E4"/>
    <w:rsid w:val="008C2DAE"/>
    <w:rsid w:val="008E7227"/>
    <w:rsid w:val="008F75D1"/>
    <w:rsid w:val="009059A9"/>
    <w:rsid w:val="00913F95"/>
    <w:rsid w:val="0092515E"/>
    <w:rsid w:val="00942FBD"/>
    <w:rsid w:val="0094770B"/>
    <w:rsid w:val="009B2267"/>
    <w:rsid w:val="009E0AE8"/>
    <w:rsid w:val="009E5374"/>
    <w:rsid w:val="009F345D"/>
    <w:rsid w:val="00A13218"/>
    <w:rsid w:val="00A227A3"/>
    <w:rsid w:val="00A60B73"/>
    <w:rsid w:val="00A80080"/>
    <w:rsid w:val="00AB4951"/>
    <w:rsid w:val="00B315A0"/>
    <w:rsid w:val="00B32084"/>
    <w:rsid w:val="00B34A18"/>
    <w:rsid w:val="00B468CE"/>
    <w:rsid w:val="00B579CB"/>
    <w:rsid w:val="00B626CD"/>
    <w:rsid w:val="00B70083"/>
    <w:rsid w:val="00B83EF9"/>
    <w:rsid w:val="00B9629F"/>
    <w:rsid w:val="00BB28F6"/>
    <w:rsid w:val="00BB61B4"/>
    <w:rsid w:val="00BC2609"/>
    <w:rsid w:val="00C0528F"/>
    <w:rsid w:val="00C13145"/>
    <w:rsid w:val="00CE750F"/>
    <w:rsid w:val="00D160CB"/>
    <w:rsid w:val="00D245A1"/>
    <w:rsid w:val="00D415E2"/>
    <w:rsid w:val="00D42055"/>
    <w:rsid w:val="00D647C3"/>
    <w:rsid w:val="00D9633A"/>
    <w:rsid w:val="00DF2386"/>
    <w:rsid w:val="00DF7FE7"/>
    <w:rsid w:val="00E07553"/>
    <w:rsid w:val="00E46367"/>
    <w:rsid w:val="00E63F0B"/>
    <w:rsid w:val="00EA3A7F"/>
    <w:rsid w:val="00F078F1"/>
    <w:rsid w:val="00F32D03"/>
    <w:rsid w:val="00F344DE"/>
    <w:rsid w:val="00F73E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4256252"/>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DF2386"/>
    <w:rPr>
      <w:sz w:val="20"/>
      <w:szCs w:val="20"/>
    </w:rPr>
  </w:style>
  <w:style w:type="character" w:customStyle="1" w:styleId="FootnoteTextChar">
    <w:name w:val="Footnote Text Char"/>
    <w:basedOn w:val="DefaultParagraphFont"/>
    <w:link w:val="FootnoteText"/>
    <w:uiPriority w:val="99"/>
    <w:semiHidden/>
    <w:qFormat/>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qFormat/>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RSubHeading">
    <w:name w:val="DR Sub Heading"/>
    <w:basedOn w:val="Normal"/>
    <w:link w:val="DRSubHeadingChar"/>
    <w:qFormat/>
    <w:rsid w:val="00380E68"/>
    <w:pPr>
      <w:widowControl w:val="0"/>
      <w:spacing w:after="240" w:line="276" w:lineRule="auto"/>
      <w:ind w:left="426" w:firstLine="0"/>
      <w:jc w:val="center"/>
    </w:pPr>
    <w:rPr>
      <w:rFonts w:ascii="Times New Roman" w:eastAsiaTheme="majorEastAsia" w:hAnsi="Times New Roman"/>
      <w:color w:val="000000" w:themeColor="text1"/>
      <w:lang w:eastAsia="en-GB"/>
    </w:rPr>
  </w:style>
  <w:style w:type="character" w:customStyle="1" w:styleId="DRSubHeadingChar">
    <w:name w:val="DR Sub Heading Char"/>
    <w:basedOn w:val="DefaultParagraphFont"/>
    <w:link w:val="DRSubHeading"/>
    <w:qFormat/>
    <w:rsid w:val="00380E68"/>
    <w:rPr>
      <w:rFonts w:ascii="Times New Roman" w:eastAsiaTheme="majorEastAsia" w:hAnsi="Times New Roman" w:cs="Times New Roman"/>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2.xml><?xml version="1.0" encoding="utf-8"?>
<ds:datastoreItem xmlns:ds="http://schemas.openxmlformats.org/officeDocument/2006/customXml" ds:itemID="{9AA6C104-9E3F-42D7-A978-021CE9F6B2E5}">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8c0b6b05-eb82-4bda-97e8-cd82d0d6b453"/>
    <ds:schemaRef ds:uri="http://schemas.microsoft.com/office/2006/metadata/properties"/>
  </ds:schemaRefs>
</ds:datastoreItem>
</file>

<file path=customXml/itemProps3.xml><?xml version="1.0" encoding="utf-8"?>
<ds:datastoreItem xmlns:ds="http://schemas.openxmlformats.org/officeDocument/2006/customXml" ds:itemID="{A103DFED-1517-4596-AE9C-489BCD22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C0373-6FC1-47AA-8C30-5DF23E63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5</cp:revision>
  <cp:lastPrinted>2022-03-25T18:43:00Z</cp:lastPrinted>
  <dcterms:created xsi:type="dcterms:W3CDTF">2022-03-25T18:39:00Z</dcterms:created>
  <dcterms:modified xsi:type="dcterms:W3CDTF">2022-03-29T10:49:00Z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