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266B" w14:textId="77777777" w:rsidR="00922E89" w:rsidRPr="00F873C0" w:rsidRDefault="00922E89" w:rsidP="00922E89">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rPr>
      </w:pPr>
      <w:r w:rsidRPr="00F873C0">
        <w:t>LA CONVENCIÓN SOBRE LOS HUMEDALES</w:t>
      </w:r>
    </w:p>
    <w:p w14:paraId="4429B38F" w14:textId="7257C83D" w:rsidR="00922E89" w:rsidRPr="00F873C0" w:rsidRDefault="00131E5B" w:rsidP="00922E89">
      <w:pPr>
        <w:pBdr>
          <w:top w:val="single" w:sz="12" w:space="0" w:color="auto" w:shadow="1"/>
          <w:left w:val="single" w:sz="12" w:space="4" w:color="auto" w:shadow="1"/>
          <w:bottom w:val="single" w:sz="12" w:space="1" w:color="auto" w:shadow="1"/>
          <w:right w:val="single" w:sz="12" w:space="0" w:color="auto" w:shadow="1"/>
        </w:pBdr>
        <w:ind w:right="2792"/>
      </w:pPr>
      <w:r w:rsidRPr="00F873C0">
        <w:t>59</w:t>
      </w:r>
      <w:r w:rsidR="00D44C3C" w:rsidRPr="00F873C0">
        <w:rPr>
          <w:vertAlign w:val="superscript"/>
        </w:rPr>
        <w:t>a</w:t>
      </w:r>
      <w:r w:rsidRPr="00F873C0">
        <w:t xml:space="preserve"> Reunión del Comité Permanente</w:t>
      </w:r>
    </w:p>
    <w:p w14:paraId="6659B384" w14:textId="076980D1" w:rsidR="00C33C7C" w:rsidRPr="00F873C0" w:rsidRDefault="00C33C7C" w:rsidP="00922E89">
      <w:pPr>
        <w:pBdr>
          <w:top w:val="single" w:sz="12" w:space="0" w:color="auto" w:shadow="1"/>
          <w:left w:val="single" w:sz="12" w:space="4" w:color="auto" w:shadow="1"/>
          <w:bottom w:val="single" w:sz="12" w:space="1" w:color="auto" w:shadow="1"/>
          <w:right w:val="single" w:sz="12" w:space="0" w:color="auto" w:shadow="1"/>
        </w:pBdr>
        <w:ind w:right="2792"/>
      </w:pPr>
      <w:r w:rsidRPr="00F873C0">
        <w:t>Reanudación de la reunión</w:t>
      </w:r>
    </w:p>
    <w:p w14:paraId="0480BB78" w14:textId="12C8B0D2" w:rsidR="00DD24B8" w:rsidRPr="00F873C0" w:rsidRDefault="00DD24B8" w:rsidP="00922E89">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rPr>
      </w:pPr>
      <w:r w:rsidRPr="00F873C0">
        <w:t>Gland, Suiza, 23 a 27 de mayo de 2022</w:t>
      </w:r>
    </w:p>
    <w:p w14:paraId="0EDA42E1" w14:textId="77777777" w:rsidR="00922E89" w:rsidRPr="00F873C0" w:rsidRDefault="00922E89" w:rsidP="00922E89">
      <w:pPr>
        <w:rPr>
          <w:sz w:val="28"/>
        </w:rPr>
      </w:pPr>
    </w:p>
    <w:p w14:paraId="6644619E" w14:textId="18767872" w:rsidR="00922E89" w:rsidRPr="00F873C0" w:rsidRDefault="00922E89" w:rsidP="00922E89">
      <w:pPr>
        <w:jc w:val="right"/>
        <w:rPr>
          <w:rFonts w:cstheme="minorHAnsi"/>
          <w:b/>
          <w:sz w:val="28"/>
          <w:szCs w:val="28"/>
        </w:rPr>
      </w:pPr>
      <w:r w:rsidRPr="00F873C0">
        <w:rPr>
          <w:b/>
          <w:sz w:val="28"/>
          <w:szCs w:val="28"/>
        </w:rPr>
        <w:t>SC59</w:t>
      </w:r>
      <w:r w:rsidR="00393DC9" w:rsidRPr="00F873C0">
        <w:rPr>
          <w:b/>
          <w:sz w:val="28"/>
          <w:szCs w:val="28"/>
        </w:rPr>
        <w:t>/2022</w:t>
      </w:r>
      <w:r w:rsidRPr="00F873C0">
        <w:rPr>
          <w:b/>
          <w:sz w:val="28"/>
          <w:szCs w:val="28"/>
        </w:rPr>
        <w:t xml:space="preserve"> Doc.24.13</w:t>
      </w:r>
      <w:r w:rsidR="00D125B2">
        <w:rPr>
          <w:b/>
          <w:sz w:val="28"/>
          <w:szCs w:val="28"/>
        </w:rPr>
        <w:t xml:space="preserve"> Rev.1</w:t>
      </w:r>
    </w:p>
    <w:p w14:paraId="3D842481" w14:textId="77777777" w:rsidR="00C33C7C" w:rsidRPr="00F873C0" w:rsidRDefault="00C33C7C" w:rsidP="00922E89">
      <w:pPr>
        <w:jc w:val="right"/>
        <w:rPr>
          <w:rFonts w:cstheme="minorHAnsi"/>
          <w:b/>
          <w:sz w:val="28"/>
          <w:szCs w:val="28"/>
        </w:rPr>
      </w:pPr>
      <w:bookmarkStart w:id="0" w:name="_GoBack"/>
      <w:bookmarkEnd w:id="0"/>
    </w:p>
    <w:p w14:paraId="1F66C0F1" w14:textId="77777777" w:rsidR="00E86E38" w:rsidRPr="00F873C0" w:rsidRDefault="009175B8" w:rsidP="002F04FE">
      <w:pPr>
        <w:ind w:right="16"/>
        <w:jc w:val="center"/>
        <w:rPr>
          <w:rFonts w:cstheme="minorHAnsi"/>
          <w:b/>
          <w:sz w:val="28"/>
          <w:szCs w:val="28"/>
        </w:rPr>
      </w:pPr>
      <w:r w:rsidRPr="00F873C0">
        <w:rPr>
          <w:b/>
          <w:sz w:val="28"/>
          <w:szCs w:val="28"/>
        </w:rPr>
        <w:t xml:space="preserve">Proyecto de resolución </w:t>
      </w:r>
    </w:p>
    <w:p w14:paraId="64DF1CBA" w14:textId="06A78FFE" w:rsidR="00C1330E" w:rsidRPr="00F873C0" w:rsidRDefault="00C1330E" w:rsidP="006C055C">
      <w:pPr>
        <w:jc w:val="center"/>
        <w:rPr>
          <w:rFonts w:cstheme="minorHAnsi"/>
          <w:b/>
          <w:sz w:val="28"/>
          <w:szCs w:val="28"/>
        </w:rPr>
      </w:pPr>
      <w:r w:rsidRPr="00F873C0">
        <w:rPr>
          <w:b/>
          <w:sz w:val="28"/>
          <w:szCs w:val="28"/>
        </w:rPr>
        <w:t>Estimaciones del tamaño de las poblaciones de aves acuáticas para apoyar las designaciones de nuevos sitios Ramsar y la actualización de los existentes con arreglo al Criterio 6 de Ramsar: uso de estimaciones alternativas</w:t>
      </w:r>
    </w:p>
    <w:p w14:paraId="490413A7" w14:textId="77777777" w:rsidR="009175B8" w:rsidRPr="00F873C0" w:rsidRDefault="009175B8" w:rsidP="009175B8">
      <w:pPr>
        <w:rPr>
          <w:rFonts w:cstheme="minorHAnsi"/>
          <w:b/>
          <w:bCs/>
          <w:sz w:val="28"/>
          <w:szCs w:val="28"/>
        </w:rPr>
      </w:pPr>
    </w:p>
    <w:p w14:paraId="136ABDC9" w14:textId="052E66B6" w:rsidR="00192BA6" w:rsidRPr="00F873C0" w:rsidRDefault="00BE005C" w:rsidP="00D93C7D">
      <w:pPr>
        <w:ind w:right="16"/>
        <w:rPr>
          <w:i/>
          <w:iCs/>
        </w:rPr>
      </w:pPr>
      <w:r w:rsidRPr="00F873C0">
        <w:rPr>
          <w:i/>
          <w:iCs/>
        </w:rPr>
        <w:t>Presentado por Australia, en consulta con la Presidencia del Grupo de Examen Científico y Técnico</w:t>
      </w:r>
    </w:p>
    <w:p w14:paraId="60270CE9" w14:textId="77777777" w:rsidR="00BE005C" w:rsidRPr="00F873C0" w:rsidRDefault="00BE005C" w:rsidP="00D93C7D">
      <w:pPr>
        <w:ind w:right="16"/>
        <w:rPr>
          <w:i/>
          <w:iCs/>
        </w:rPr>
      </w:pPr>
    </w:p>
    <w:p w14:paraId="7740354C" w14:textId="1A5D9C61" w:rsidR="00192BA6" w:rsidRPr="00F873C0" w:rsidRDefault="00192BA6" w:rsidP="00192BA6">
      <w:pPr>
        <w:ind w:right="16"/>
        <w:rPr>
          <w:i/>
          <w:iCs/>
        </w:rPr>
      </w:pPr>
      <w:r w:rsidRPr="00F873C0">
        <w:rPr>
          <w:i/>
          <w:iCs/>
        </w:rPr>
        <w:t xml:space="preserve">Nota introductoria de la Secretaría: </w:t>
      </w:r>
    </w:p>
    <w:p w14:paraId="313A71CB" w14:textId="4387EAB9" w:rsidR="00192BA6" w:rsidRPr="00F873C0" w:rsidRDefault="00192BA6" w:rsidP="00192BA6">
      <w:r w:rsidRPr="00F873C0">
        <w:t xml:space="preserve">En este proyecto de resolución se propone enmendar el anexo 2 de la Resolución XI.8 </w:t>
      </w:r>
      <w:r w:rsidR="00BE005C" w:rsidRPr="00F873C0">
        <w:rPr>
          <w:i/>
        </w:rPr>
        <w:t>Racionalización de los procedimientos para la descripción de Sitios Ramsar en el momento de la designación y de las posteriores actualizaciones de su descripción</w:t>
      </w:r>
      <w:r w:rsidRPr="00F873C0">
        <w:t>.</w:t>
      </w:r>
      <w:r w:rsidR="00BE005C" w:rsidRPr="00F873C0">
        <w:t xml:space="preserve"> El 21 de abril Australia solicitó una enmienda sobre los autores del proyecto de resolución.</w:t>
      </w:r>
    </w:p>
    <w:p w14:paraId="6C1DF3C6" w14:textId="77777777" w:rsidR="008E09FE" w:rsidRPr="00F873C0" w:rsidRDefault="008E09FE">
      <w:pPr>
        <w:rPr>
          <w:rFonts w:eastAsia="Times New Roman"/>
          <w:i/>
          <w:highlight w:val="yellow"/>
        </w:rPr>
      </w:pPr>
      <w:r w:rsidRPr="00F873C0">
        <w:rPr>
          <w:rFonts w:eastAsia="Times New Roman"/>
          <w:i/>
          <w:highlight w:val="yellow"/>
        </w:rPr>
        <w:br w:type="page"/>
      </w:r>
    </w:p>
    <w:p w14:paraId="6F231001" w14:textId="67F2E3E7" w:rsidR="009175B8" w:rsidRPr="00F873C0" w:rsidRDefault="009175B8" w:rsidP="009175B8">
      <w:pPr>
        <w:pBdr>
          <w:top w:val="single" w:sz="4" w:space="1" w:color="auto"/>
          <w:left w:val="single" w:sz="4" w:space="4" w:color="auto"/>
          <w:bottom w:val="single" w:sz="4" w:space="1" w:color="auto"/>
          <w:right w:val="single" w:sz="4" w:space="4" w:color="auto"/>
        </w:pBdr>
        <w:rPr>
          <w:rFonts w:cstheme="minorHAnsi"/>
          <w:bCs/>
        </w:rPr>
      </w:pPr>
      <w:r w:rsidRPr="00F873C0">
        <w:rPr>
          <w:b/>
        </w:rPr>
        <w:lastRenderedPageBreak/>
        <w:t>Acción solicitada:</w:t>
      </w:r>
    </w:p>
    <w:p w14:paraId="2F29F871" w14:textId="77777777" w:rsidR="009175B8" w:rsidRPr="00F873C0"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782CC71D" w14:textId="3A67B8DC" w:rsidR="009175B8" w:rsidRPr="00F873C0" w:rsidRDefault="009175B8" w:rsidP="00DB4509">
      <w:pPr>
        <w:pBdr>
          <w:top w:val="single" w:sz="4" w:space="1" w:color="auto"/>
          <w:left w:val="single" w:sz="4" w:space="4" w:color="auto"/>
          <w:bottom w:val="single" w:sz="4" w:space="1" w:color="auto"/>
          <w:right w:val="single" w:sz="4" w:space="4" w:color="auto"/>
        </w:pBdr>
        <w:rPr>
          <w:rFonts w:cstheme="minorHAnsi"/>
          <w:bCs/>
        </w:rPr>
      </w:pPr>
      <w:r w:rsidRPr="00F873C0">
        <w:t xml:space="preserve">Se invita al Comité Permanente a examinar y aprobar el proyecto de resolución adjunto </w:t>
      </w:r>
      <w:r w:rsidR="00617A39" w:rsidRPr="00F873C0">
        <w:t>para su consideración por la 14</w:t>
      </w:r>
      <w:r w:rsidR="00617A39" w:rsidRPr="00F873C0">
        <w:rPr>
          <w:vertAlign w:val="superscript"/>
        </w:rPr>
        <w:t>a</w:t>
      </w:r>
      <w:r w:rsidR="00617A39" w:rsidRPr="00F873C0">
        <w:t xml:space="preserve"> reunión de la Conferencia de las Partes</w:t>
      </w:r>
      <w:r w:rsidRPr="00F873C0">
        <w:t>.</w:t>
      </w:r>
    </w:p>
    <w:p w14:paraId="68DF88FC" w14:textId="77777777" w:rsidR="009175B8" w:rsidRPr="00F873C0"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629729A6" w14:textId="30FA039E" w:rsidR="009175B8" w:rsidRPr="00F873C0" w:rsidRDefault="009175B8" w:rsidP="009175B8">
      <w:pPr>
        <w:rPr>
          <w:rFonts w:cstheme="minorHAnsi"/>
          <w:bCs/>
        </w:rPr>
      </w:pPr>
    </w:p>
    <w:p w14:paraId="02698763" w14:textId="4C49FA17" w:rsidR="00F809D4" w:rsidRPr="00F873C0" w:rsidRDefault="00083634" w:rsidP="009175B8">
      <w:pPr>
        <w:rPr>
          <w:rFonts w:cstheme="minorHAnsi"/>
          <w:b/>
        </w:rPr>
      </w:pPr>
      <w:r w:rsidRPr="00F873C0">
        <w:rPr>
          <w:b/>
        </w:rPr>
        <w:t>Introducción</w:t>
      </w:r>
    </w:p>
    <w:p w14:paraId="4D0C2EAE" w14:textId="67679962" w:rsidR="00083634" w:rsidRPr="00F873C0" w:rsidRDefault="00083634" w:rsidP="009175B8">
      <w:pPr>
        <w:rPr>
          <w:rFonts w:cstheme="minorHAnsi"/>
          <w:bCs/>
        </w:rPr>
      </w:pPr>
    </w:p>
    <w:p w14:paraId="0C742C15" w14:textId="30112A69" w:rsidR="00083634" w:rsidRPr="00F873C0" w:rsidRDefault="00083634" w:rsidP="009175B8">
      <w:pPr>
        <w:rPr>
          <w:rFonts w:cstheme="minorHAnsi"/>
          <w:bCs/>
          <w:i/>
          <w:iCs/>
        </w:rPr>
      </w:pPr>
      <w:r w:rsidRPr="00F873C0">
        <w:rPr>
          <w:bCs/>
          <w:i/>
          <w:iCs/>
        </w:rPr>
        <w:t>Información para el Comité Permanente</w:t>
      </w:r>
    </w:p>
    <w:p w14:paraId="0AB97197" w14:textId="2CA9BDFA" w:rsidR="004F1A86" w:rsidRPr="00F873C0" w:rsidRDefault="004F1A86" w:rsidP="004F1A86">
      <w:r w:rsidRPr="00F873C0">
        <w:t>Este proyecto de resolución trata de la aplicación del Criterio 6 de Ramsar, que establece que "un humedal deberá ser considerado de importancia internacional si sustenta de manera regular el 1% o más de los individuos de una población de una especie o subespecie de aves acuáticas". Este criterio se ha utilizado a menudo para incluir sitios en la Lista de Ramsar.</w:t>
      </w:r>
    </w:p>
    <w:p w14:paraId="0754B2E2" w14:textId="77777777" w:rsidR="004F1A86" w:rsidRPr="00F873C0" w:rsidRDefault="004F1A86" w:rsidP="004F1A86"/>
    <w:p w14:paraId="07476DA0" w14:textId="5790C1EE" w:rsidR="004F1A86" w:rsidRPr="00F873C0" w:rsidRDefault="004F1A86" w:rsidP="004F1A86">
      <w:r w:rsidRPr="00F873C0">
        <w:t xml:space="preserve">En octubre de 2019, la Secretaría pidió asesoramiento al GECT sobre la utilización de estimaciones poblacionales al aplicar el Criterio 6 para designar y actualizar Humedales de Importancia Internacional, tras haber recibido una solicitud de asesoramiento del Gobierno de Australia. </w:t>
      </w:r>
    </w:p>
    <w:p w14:paraId="31F95126" w14:textId="77777777" w:rsidR="004F1A86" w:rsidRPr="00F873C0" w:rsidRDefault="004F1A86" w:rsidP="004F1A86"/>
    <w:p w14:paraId="39572E69" w14:textId="3DEE5C4E" w:rsidR="00E25106" w:rsidRPr="00F873C0" w:rsidRDefault="004F1A86" w:rsidP="004F1A86">
      <w:r w:rsidRPr="00F873C0">
        <w:t xml:space="preserve">En las Decisiones SC58-06 y SC59-05 se proporcionó instrucciones al GECT sobre los requisitos de este asesoramiento. Este asesoramiento ya se ha finalizado y figura en el anexo 1 del documento SC59/2022 Doc.25, </w:t>
      </w:r>
      <w:r w:rsidRPr="00F873C0">
        <w:rPr>
          <w:i/>
          <w:iCs/>
        </w:rPr>
        <w:t>Informe de la Presidencia del Grupo de Examen Científico y Técnico</w:t>
      </w:r>
      <w:r w:rsidRPr="00F873C0">
        <w:t>.</w:t>
      </w:r>
    </w:p>
    <w:p w14:paraId="30EB8CD0" w14:textId="77777777" w:rsidR="00E25106" w:rsidRPr="00F873C0" w:rsidRDefault="00E25106" w:rsidP="004F1A86"/>
    <w:p w14:paraId="08B0A749" w14:textId="5FE4CA6F" w:rsidR="003D4075" w:rsidRPr="00F873C0" w:rsidRDefault="004F1A86" w:rsidP="004F1A86">
      <w:r w:rsidRPr="00F873C0">
        <w:t xml:space="preserve">El presente proyecto de resolución refleja el asesoramiento del GECT y las orientaciones adicionales solicitadas a Wetlands International y a las organizaciones de la red de vías migratorias. </w:t>
      </w:r>
    </w:p>
    <w:p w14:paraId="4CC29541" w14:textId="77777777" w:rsidR="003D4075" w:rsidRPr="00F873C0" w:rsidRDefault="003D4075" w:rsidP="004F1A86"/>
    <w:p w14:paraId="5A453657" w14:textId="7C0E543D" w:rsidR="004F1A86" w:rsidRPr="00F873C0" w:rsidRDefault="00E25106" w:rsidP="004F1A86">
      <w:r w:rsidRPr="00F873C0">
        <w:t xml:space="preserve">Este proyecto de resolución era necesario para evitar incongruencias con la Resolución XI.8, anexo 2 (Rev. COP13). </w:t>
      </w:r>
    </w:p>
    <w:p w14:paraId="1D94BD50" w14:textId="77777777" w:rsidR="00083634" w:rsidRPr="00F873C0" w:rsidRDefault="00083634" w:rsidP="009175B8">
      <w:pPr>
        <w:rPr>
          <w:rFonts w:cstheme="minorHAnsi"/>
          <w:bCs/>
        </w:rPr>
      </w:pPr>
    </w:p>
    <w:p w14:paraId="4BBDBB8C" w14:textId="5C95528F" w:rsidR="00F42465" w:rsidRPr="00F873C0" w:rsidRDefault="00075F35" w:rsidP="009175B8">
      <w:pPr>
        <w:rPr>
          <w:rFonts w:cstheme="minorHAnsi"/>
          <w:bCs/>
        </w:rPr>
      </w:pPr>
      <w:r w:rsidRPr="00F873C0">
        <w:t xml:space="preserve">El proyecto de resolución pretende, como solución provisional, permitir a las Partes Contratantes utilizar datos alternativos a los de la publicación </w:t>
      </w:r>
      <w:r w:rsidRPr="00F873C0">
        <w:rPr>
          <w:i/>
          <w:iCs/>
        </w:rPr>
        <w:t>Waterbird Population Estimates</w:t>
      </w:r>
      <w:r w:rsidRPr="00F873C0">
        <w:t xml:space="preserve"> (Estimaciones de las poblaciones de aves acuáticas) para la aplicación del Criterio 6 cuando estos datos estén obsoletos y no reflejen la mejor información científica disponible. Dichos datos alternativos deberían publicarse en el Portal sobre Poblaciones de Aves Acuáticas o ser objeto de un examen por homólogos, tal como se establece en el proyecto de resolución.</w:t>
      </w:r>
    </w:p>
    <w:p w14:paraId="6A36D6BB" w14:textId="77777777" w:rsidR="007B2698" w:rsidRPr="00F873C0" w:rsidRDefault="007B2698" w:rsidP="009175B8">
      <w:pPr>
        <w:rPr>
          <w:rFonts w:cstheme="minorHAnsi"/>
          <w:bCs/>
        </w:rPr>
      </w:pPr>
    </w:p>
    <w:p w14:paraId="4802141F" w14:textId="77777777" w:rsidR="00150FFF" w:rsidRPr="00F873C0" w:rsidRDefault="00150FFF" w:rsidP="009175B8">
      <w:pPr>
        <w:rPr>
          <w:rFonts w:cstheme="minorHAnsi"/>
          <w:bCs/>
        </w:rPr>
      </w:pPr>
    </w:p>
    <w:p w14:paraId="5C25BA0B" w14:textId="77777777" w:rsidR="009175B8" w:rsidRPr="00F873C0" w:rsidRDefault="009175B8" w:rsidP="009175B8">
      <w:pPr>
        <w:rPr>
          <w:rFonts w:cstheme="minorHAnsi"/>
          <w:bCs/>
          <w:i/>
          <w:iCs/>
        </w:rPr>
      </w:pPr>
      <w:r w:rsidRPr="00F873C0">
        <w:rPr>
          <w:bCs/>
          <w:i/>
          <w:iCs/>
        </w:rPr>
        <w:t>Repercusiones financieras de la aplicación</w:t>
      </w:r>
    </w:p>
    <w:tbl>
      <w:tblPr>
        <w:tblStyle w:val="TableGrid"/>
        <w:tblW w:w="0" w:type="auto"/>
        <w:tblInd w:w="-34" w:type="dxa"/>
        <w:tblLook w:val="04A0" w:firstRow="1" w:lastRow="0" w:firstColumn="1" w:lastColumn="0" w:noHBand="0" w:noVBand="1"/>
      </w:tblPr>
      <w:tblGrid>
        <w:gridCol w:w="4424"/>
        <w:gridCol w:w="2835"/>
        <w:gridCol w:w="1791"/>
      </w:tblGrid>
      <w:tr w:rsidR="009175B8" w:rsidRPr="00F873C0" w14:paraId="38C12460" w14:textId="77777777" w:rsidTr="008E09FE">
        <w:tc>
          <w:tcPr>
            <w:tcW w:w="4424" w:type="dxa"/>
          </w:tcPr>
          <w:p w14:paraId="2E5F11B0" w14:textId="77777777" w:rsidR="009175B8" w:rsidRPr="00F873C0" w:rsidRDefault="009175B8" w:rsidP="00C570E2">
            <w:pPr>
              <w:rPr>
                <w:rFonts w:cstheme="minorHAnsi"/>
                <w:bCs/>
                <w:spacing w:val="-4"/>
              </w:rPr>
            </w:pPr>
            <w:r w:rsidRPr="00F873C0">
              <w:rPr>
                <w:spacing w:val="-4"/>
              </w:rPr>
              <w:t>Párrafo</w:t>
            </w:r>
          </w:p>
        </w:tc>
        <w:tc>
          <w:tcPr>
            <w:tcW w:w="2835" w:type="dxa"/>
          </w:tcPr>
          <w:p w14:paraId="103650AD" w14:textId="77777777" w:rsidR="009175B8" w:rsidRPr="00F873C0" w:rsidRDefault="009175B8" w:rsidP="00C570E2">
            <w:pPr>
              <w:rPr>
                <w:rFonts w:cstheme="minorHAnsi"/>
                <w:bCs/>
                <w:spacing w:val="-4"/>
              </w:rPr>
            </w:pPr>
            <w:r w:rsidRPr="00F873C0">
              <w:rPr>
                <w:spacing w:val="-4"/>
              </w:rPr>
              <w:t>Acción</w:t>
            </w:r>
          </w:p>
        </w:tc>
        <w:tc>
          <w:tcPr>
            <w:tcW w:w="1791" w:type="dxa"/>
          </w:tcPr>
          <w:p w14:paraId="0EC1B81F" w14:textId="77777777" w:rsidR="009175B8" w:rsidRPr="00F873C0" w:rsidRDefault="009175B8" w:rsidP="00C570E2">
            <w:pPr>
              <w:rPr>
                <w:rFonts w:cstheme="minorHAnsi"/>
                <w:bCs/>
                <w:spacing w:val="-4"/>
              </w:rPr>
            </w:pPr>
            <w:r w:rsidRPr="00F873C0">
              <w:rPr>
                <w:spacing w:val="-4"/>
              </w:rPr>
              <w:t>Costo (CHF)</w:t>
            </w:r>
          </w:p>
        </w:tc>
      </w:tr>
      <w:tr w:rsidR="00824D5C" w:rsidRPr="00F873C0" w14:paraId="01973542" w14:textId="77777777" w:rsidTr="008E09FE">
        <w:tc>
          <w:tcPr>
            <w:tcW w:w="4424" w:type="dxa"/>
          </w:tcPr>
          <w:p w14:paraId="14E110C4" w14:textId="0D868B91" w:rsidR="00824D5C" w:rsidRPr="00F873C0" w:rsidRDefault="00D44C3C" w:rsidP="00BF7FFC">
            <w:pPr>
              <w:pStyle w:val="Default"/>
              <w:rPr>
                <w:rFonts w:asciiTheme="minorHAnsi" w:hAnsiTheme="minorHAnsi"/>
                <w:spacing w:val="-4"/>
                <w:sz w:val="22"/>
                <w:szCs w:val="22"/>
              </w:rPr>
            </w:pPr>
            <w:r w:rsidRPr="00F873C0">
              <w:rPr>
                <w:rFonts w:asciiTheme="minorHAnsi" w:hAnsiTheme="minorHAnsi"/>
                <w:spacing w:val="-4"/>
                <w:sz w:val="22"/>
                <w:szCs w:val="22"/>
              </w:rPr>
              <w:t>En el párrafo</w:t>
            </w:r>
            <w:r w:rsidR="001F0C3F" w:rsidRPr="00F873C0">
              <w:rPr>
                <w:rFonts w:asciiTheme="minorHAnsi" w:hAnsiTheme="minorHAnsi"/>
                <w:spacing w:val="-4"/>
                <w:sz w:val="22"/>
                <w:szCs w:val="22"/>
              </w:rPr>
              <w:t xml:space="preserve"> 15 </w:t>
            </w:r>
            <w:r w:rsidRPr="00F873C0">
              <w:rPr>
                <w:rFonts w:asciiTheme="minorHAnsi" w:hAnsiTheme="minorHAnsi"/>
                <w:spacing w:val="-4"/>
                <w:sz w:val="22"/>
                <w:szCs w:val="22"/>
              </w:rPr>
              <w:t xml:space="preserve">se </w:t>
            </w:r>
            <w:r w:rsidR="001F0C3F" w:rsidRPr="00F873C0">
              <w:rPr>
                <w:rFonts w:asciiTheme="minorHAnsi" w:hAnsiTheme="minorHAnsi"/>
                <w:spacing w:val="-4"/>
                <w:sz w:val="22"/>
                <w:szCs w:val="22"/>
              </w:rPr>
              <w:t xml:space="preserve">PIDE al Grupo de Examen Científico y Técnico que incluya en su plan de trabajo para el próximo trienio la elaboración de orientaciones a fin de facilitar la aplicación adecuada de esta Resolución por las Partes Contratantes. </w:t>
            </w:r>
          </w:p>
        </w:tc>
        <w:tc>
          <w:tcPr>
            <w:tcW w:w="2835" w:type="dxa"/>
          </w:tcPr>
          <w:p w14:paraId="194CFE41" w14:textId="49D586F5" w:rsidR="00824D5C" w:rsidRPr="00F873C0" w:rsidRDefault="008B1129" w:rsidP="00C570E2">
            <w:pPr>
              <w:rPr>
                <w:rFonts w:cstheme="minorHAnsi"/>
                <w:bCs/>
                <w:spacing w:val="-4"/>
              </w:rPr>
            </w:pPr>
            <w:r w:rsidRPr="00F873C0">
              <w:rPr>
                <w:spacing w:val="-4"/>
              </w:rPr>
              <w:t xml:space="preserve">Preparación de orientaciones para ayudar a las Partes Contratantes a aplicar este proyecto de resolución en un formato que podría ser una Nota Informativa de Ramsar. </w:t>
            </w:r>
          </w:p>
        </w:tc>
        <w:tc>
          <w:tcPr>
            <w:tcW w:w="1791" w:type="dxa"/>
          </w:tcPr>
          <w:p w14:paraId="5EFBFB80" w14:textId="7DF9ACD2" w:rsidR="00824D5C" w:rsidRPr="00F873C0" w:rsidRDefault="00FA7D14" w:rsidP="00824D5C">
            <w:pPr>
              <w:rPr>
                <w:rFonts w:cstheme="minorHAnsi"/>
                <w:bCs/>
                <w:spacing w:val="-4"/>
              </w:rPr>
            </w:pPr>
            <w:r w:rsidRPr="00F873C0">
              <w:rPr>
                <w:spacing w:val="-4"/>
              </w:rPr>
              <w:t>Integrar en el presupuesto ya aprobado para el plan de trabajo del GECT.</w:t>
            </w:r>
          </w:p>
          <w:p w14:paraId="39C2CF4B" w14:textId="79CEE4DA" w:rsidR="00824D5C" w:rsidRPr="00F873C0" w:rsidRDefault="00824D5C" w:rsidP="00824D5C">
            <w:pPr>
              <w:rPr>
                <w:rFonts w:cstheme="minorHAnsi"/>
                <w:bCs/>
                <w:spacing w:val="-4"/>
              </w:rPr>
            </w:pPr>
          </w:p>
        </w:tc>
      </w:tr>
      <w:tr w:rsidR="00EA21D6" w:rsidRPr="00F873C0" w14:paraId="4CB5B77C" w14:textId="77777777" w:rsidTr="008E09FE">
        <w:tc>
          <w:tcPr>
            <w:tcW w:w="4424" w:type="dxa"/>
          </w:tcPr>
          <w:p w14:paraId="282AF883" w14:textId="61434925" w:rsidR="00EA21D6" w:rsidRPr="00F873C0" w:rsidRDefault="00D44C3C" w:rsidP="00EA21D6">
            <w:pPr>
              <w:pStyle w:val="Default"/>
              <w:rPr>
                <w:rFonts w:asciiTheme="minorHAnsi" w:hAnsiTheme="minorHAnsi"/>
                <w:spacing w:val="-4"/>
                <w:sz w:val="22"/>
                <w:szCs w:val="22"/>
              </w:rPr>
            </w:pPr>
            <w:r w:rsidRPr="00F873C0">
              <w:rPr>
                <w:rFonts w:asciiTheme="minorHAnsi" w:hAnsiTheme="minorHAnsi"/>
                <w:spacing w:val="-4"/>
                <w:sz w:val="22"/>
                <w:szCs w:val="22"/>
              </w:rPr>
              <w:t xml:space="preserve">En el </w:t>
            </w:r>
            <w:r w:rsidR="001F0C3F" w:rsidRPr="00F873C0">
              <w:rPr>
                <w:rFonts w:asciiTheme="minorHAnsi" w:hAnsiTheme="minorHAnsi"/>
                <w:spacing w:val="-4"/>
                <w:sz w:val="22"/>
                <w:szCs w:val="22"/>
              </w:rPr>
              <w:t xml:space="preserve">Párrafo 16 </w:t>
            </w:r>
            <w:r w:rsidRPr="00F873C0">
              <w:rPr>
                <w:rFonts w:asciiTheme="minorHAnsi" w:hAnsiTheme="minorHAnsi"/>
                <w:spacing w:val="-4"/>
                <w:sz w:val="22"/>
                <w:szCs w:val="22"/>
              </w:rPr>
              <w:t xml:space="preserve">se </w:t>
            </w:r>
            <w:r w:rsidR="001F0C3F" w:rsidRPr="00F873C0">
              <w:rPr>
                <w:rFonts w:asciiTheme="minorHAnsi" w:hAnsiTheme="minorHAnsi"/>
                <w:spacing w:val="-4"/>
                <w:sz w:val="22"/>
                <w:szCs w:val="22"/>
              </w:rPr>
              <w:t xml:space="preserve">PIDE al Grupo de Examen Científico y Técnico que elabore una propuesta para financiar y aplicar oportunamente las futuras versiones actualizadas de </w:t>
            </w:r>
            <w:r w:rsidR="001F0C3F" w:rsidRPr="00F873C0">
              <w:rPr>
                <w:rFonts w:asciiTheme="minorHAnsi" w:hAnsiTheme="minorHAnsi"/>
                <w:i/>
                <w:iCs/>
                <w:spacing w:val="-4"/>
                <w:sz w:val="22"/>
                <w:szCs w:val="22"/>
              </w:rPr>
              <w:t>Waterbird Population Estimates</w:t>
            </w:r>
            <w:r w:rsidR="001F0C3F" w:rsidRPr="00F873C0">
              <w:rPr>
                <w:rFonts w:asciiTheme="minorHAnsi" w:hAnsiTheme="minorHAnsi"/>
                <w:spacing w:val="-4"/>
                <w:sz w:val="22"/>
                <w:szCs w:val="22"/>
              </w:rPr>
              <w:t>, en consulta con las Partes Contratantes, los acuerdos y asociaciones pertinentes sobre vías migratorias, Wetlands International y las entidades interesadas.</w:t>
            </w:r>
          </w:p>
        </w:tc>
        <w:tc>
          <w:tcPr>
            <w:tcW w:w="2835" w:type="dxa"/>
          </w:tcPr>
          <w:p w14:paraId="138C863F" w14:textId="3284CE0F" w:rsidR="00EA21D6" w:rsidRPr="00F873C0" w:rsidRDefault="00EA21D6" w:rsidP="00EA21D6">
            <w:pPr>
              <w:rPr>
                <w:rFonts w:cstheme="minorHAnsi"/>
                <w:bCs/>
                <w:spacing w:val="-4"/>
              </w:rPr>
            </w:pPr>
            <w:r w:rsidRPr="00F873C0">
              <w:rPr>
                <w:spacing w:val="-4"/>
              </w:rPr>
              <w:t xml:space="preserve">Preparación de una propuesta, que incluya la investigación y la consulta apropiadas, para financiar y aplicar oportunamente las futuras versiones actualizadas de </w:t>
            </w:r>
            <w:r w:rsidRPr="00F873C0">
              <w:rPr>
                <w:i/>
                <w:iCs/>
                <w:spacing w:val="-4"/>
              </w:rPr>
              <w:t>Waterbird Population Estimates</w:t>
            </w:r>
            <w:r w:rsidRPr="00F873C0">
              <w:rPr>
                <w:spacing w:val="-4"/>
              </w:rPr>
              <w:t xml:space="preserve">. </w:t>
            </w:r>
          </w:p>
        </w:tc>
        <w:tc>
          <w:tcPr>
            <w:tcW w:w="1791" w:type="dxa"/>
          </w:tcPr>
          <w:p w14:paraId="33C5CA46" w14:textId="77777777" w:rsidR="00EA21D6" w:rsidRPr="00F873C0" w:rsidRDefault="00EA21D6" w:rsidP="00EA21D6">
            <w:pPr>
              <w:rPr>
                <w:rFonts w:cstheme="minorHAnsi"/>
                <w:bCs/>
                <w:spacing w:val="-4"/>
              </w:rPr>
            </w:pPr>
            <w:r w:rsidRPr="00F873C0">
              <w:rPr>
                <w:spacing w:val="-4"/>
              </w:rPr>
              <w:t>Integrar en el presupuesto ya aprobado para el plan de trabajo del GECT.</w:t>
            </w:r>
          </w:p>
          <w:p w14:paraId="1106CB66" w14:textId="77777777" w:rsidR="00EA21D6" w:rsidRPr="00F873C0" w:rsidRDefault="00EA21D6" w:rsidP="00EA21D6">
            <w:pPr>
              <w:rPr>
                <w:rFonts w:cstheme="minorHAnsi"/>
                <w:bCs/>
                <w:spacing w:val="-4"/>
              </w:rPr>
            </w:pPr>
          </w:p>
        </w:tc>
      </w:tr>
    </w:tbl>
    <w:p w14:paraId="5DB801A3" w14:textId="33BB6128" w:rsidR="008323B6" w:rsidRPr="00F873C0" w:rsidRDefault="00954D06" w:rsidP="009175B8">
      <w:pPr>
        <w:pStyle w:val="DRTitle"/>
        <w:spacing w:after="0"/>
        <w:jc w:val="left"/>
        <w:rPr>
          <w:rFonts w:asciiTheme="minorHAnsi" w:hAnsiTheme="minorHAnsi" w:cstheme="minorHAnsi"/>
          <w:sz w:val="22"/>
          <w:szCs w:val="22"/>
        </w:rPr>
      </w:pPr>
      <w:r w:rsidRPr="00F873C0">
        <w:rPr>
          <w:rFonts w:asciiTheme="minorHAnsi" w:hAnsiTheme="minorHAnsi"/>
          <w:sz w:val="22"/>
          <w:szCs w:val="22"/>
        </w:rPr>
        <w:lastRenderedPageBreak/>
        <w:t>Proyecto de resolución</w:t>
      </w:r>
    </w:p>
    <w:p w14:paraId="368B1320" w14:textId="77777777" w:rsidR="00954D06" w:rsidRPr="00F873C0" w:rsidRDefault="00954D06" w:rsidP="009175B8">
      <w:pPr>
        <w:pStyle w:val="DRTitle"/>
        <w:spacing w:after="0"/>
        <w:jc w:val="left"/>
        <w:rPr>
          <w:rFonts w:asciiTheme="minorHAnsi" w:hAnsiTheme="minorHAnsi" w:cstheme="minorHAnsi"/>
          <w:sz w:val="22"/>
          <w:szCs w:val="22"/>
        </w:rPr>
      </w:pPr>
    </w:p>
    <w:p w14:paraId="6B8586DD" w14:textId="77777777" w:rsidR="00954D06" w:rsidRPr="00F873C0" w:rsidRDefault="00954D06" w:rsidP="00954D06">
      <w:pPr>
        <w:rPr>
          <w:rFonts w:cstheme="minorHAnsi"/>
          <w:bCs/>
          <w:sz w:val="24"/>
          <w:szCs w:val="24"/>
        </w:rPr>
      </w:pPr>
      <w:r w:rsidRPr="00F873C0">
        <w:rPr>
          <w:bCs/>
          <w:sz w:val="24"/>
          <w:szCs w:val="24"/>
        </w:rPr>
        <w:t xml:space="preserve">Estimaciones del tamaño de las poblaciones de aves acuáticas para apoyar las designaciones de nuevos sitios Ramsar y la actualización de los existentes con arreglo al Criterio 6 de Ramsar: uso de estimaciones alternativas </w:t>
      </w:r>
    </w:p>
    <w:p w14:paraId="4A4E54DE" w14:textId="10343565" w:rsidR="009175B8" w:rsidRPr="00F873C0" w:rsidRDefault="009175B8" w:rsidP="009175B8">
      <w:pPr>
        <w:pStyle w:val="DRTitle"/>
        <w:spacing w:after="0"/>
        <w:jc w:val="left"/>
        <w:rPr>
          <w:rFonts w:asciiTheme="minorHAnsi" w:hAnsiTheme="minorHAnsi" w:cstheme="minorHAnsi"/>
          <w:sz w:val="22"/>
          <w:szCs w:val="22"/>
        </w:rPr>
      </w:pPr>
    </w:p>
    <w:p w14:paraId="11614E08" w14:textId="77777777" w:rsidR="009175B8" w:rsidRPr="00F873C0" w:rsidRDefault="009175B8" w:rsidP="009175B8">
      <w:pPr>
        <w:pStyle w:val="DRTitle"/>
        <w:spacing w:after="0"/>
        <w:jc w:val="left"/>
        <w:rPr>
          <w:rFonts w:asciiTheme="minorHAnsi" w:hAnsiTheme="minorHAnsi" w:cstheme="minorHAnsi"/>
          <w:sz w:val="22"/>
          <w:szCs w:val="22"/>
        </w:rPr>
      </w:pPr>
    </w:p>
    <w:p w14:paraId="19F6945F" w14:textId="41E435FB" w:rsidR="00201FA0" w:rsidRPr="00F873C0" w:rsidRDefault="00201FA0" w:rsidP="001841B2">
      <w:pPr>
        <w:pStyle w:val="ListParagraph"/>
        <w:numPr>
          <w:ilvl w:val="0"/>
          <w:numId w:val="44"/>
        </w:numPr>
        <w:autoSpaceDE w:val="0"/>
        <w:autoSpaceDN w:val="0"/>
        <w:adjustRightInd w:val="0"/>
        <w:rPr>
          <w:rFonts w:cstheme="minorHAnsi"/>
        </w:rPr>
      </w:pPr>
      <w:r w:rsidRPr="00F873C0">
        <w:t>RECORDANDO</w:t>
      </w:r>
    </w:p>
    <w:p w14:paraId="23A6ADD8" w14:textId="3C554C62" w:rsidR="00201FA0" w:rsidRPr="00F873C0" w:rsidRDefault="00201FA0" w:rsidP="001F74B1">
      <w:pPr>
        <w:pStyle w:val="ListParagraph"/>
        <w:numPr>
          <w:ilvl w:val="0"/>
          <w:numId w:val="37"/>
        </w:numPr>
        <w:autoSpaceDE w:val="0"/>
        <w:autoSpaceDN w:val="0"/>
        <w:adjustRightInd w:val="0"/>
        <w:rPr>
          <w:rFonts w:cstheme="minorHAnsi"/>
        </w:rPr>
      </w:pPr>
      <w:r w:rsidRPr="00F873C0">
        <w:t xml:space="preserve">La Resolución V.9: </w:t>
      </w:r>
      <w:r w:rsidRPr="00F873C0">
        <w:rPr>
          <w:i/>
          <w:iCs/>
        </w:rPr>
        <w:t>Aplicación de los Criterios Ramsar para la identificación de humedales de importancia internacional.</w:t>
      </w:r>
    </w:p>
    <w:p w14:paraId="4C680D30" w14:textId="77777777" w:rsidR="00201FA0" w:rsidRPr="00F873C0" w:rsidRDefault="00201FA0" w:rsidP="001F74B1">
      <w:pPr>
        <w:pStyle w:val="ListParagraph"/>
        <w:numPr>
          <w:ilvl w:val="0"/>
          <w:numId w:val="37"/>
        </w:numPr>
        <w:autoSpaceDE w:val="0"/>
        <w:autoSpaceDN w:val="0"/>
        <w:adjustRightInd w:val="0"/>
        <w:rPr>
          <w:rFonts w:cstheme="minorHAnsi"/>
        </w:rPr>
      </w:pPr>
      <w:r w:rsidRPr="00F873C0">
        <w:t xml:space="preserve">La Resolución VI.4: </w:t>
      </w:r>
      <w:r w:rsidRPr="00F873C0">
        <w:rPr>
          <w:i/>
          <w:iCs/>
        </w:rPr>
        <w:t>Adopción de estimaciones de tamaños de población para la utilización de los criterios específicos basados en aves acuáticas.</w:t>
      </w:r>
    </w:p>
    <w:p w14:paraId="4ECEBC7C" w14:textId="77777777" w:rsidR="00201FA0" w:rsidRPr="00F873C0" w:rsidRDefault="00201FA0" w:rsidP="001F74B1">
      <w:pPr>
        <w:pStyle w:val="ListParagraph"/>
        <w:numPr>
          <w:ilvl w:val="0"/>
          <w:numId w:val="37"/>
        </w:numPr>
        <w:autoSpaceDE w:val="0"/>
        <w:autoSpaceDN w:val="0"/>
        <w:adjustRightInd w:val="0"/>
        <w:rPr>
          <w:rFonts w:cstheme="minorHAnsi"/>
        </w:rPr>
      </w:pPr>
      <w:r w:rsidRPr="00F873C0">
        <w:t xml:space="preserve">La Resolución VIII.38: </w:t>
      </w:r>
      <w:r w:rsidRPr="00F873C0">
        <w:rPr>
          <w:i/>
          <w:iCs/>
        </w:rPr>
        <w:t>Estimaciones del tamaño de las poblaciones de aves acuáticas y determinación y designación de Humedales de Importancia Internacional</w:t>
      </w:r>
      <w:r w:rsidRPr="00F873C0">
        <w:t>.</w:t>
      </w:r>
    </w:p>
    <w:p w14:paraId="28134C00" w14:textId="2FD546DF" w:rsidR="00976867" w:rsidRPr="00AA5B15" w:rsidRDefault="00201FA0" w:rsidP="00E81256">
      <w:pPr>
        <w:pStyle w:val="ListParagraph"/>
        <w:numPr>
          <w:ilvl w:val="0"/>
          <w:numId w:val="37"/>
        </w:numPr>
        <w:autoSpaceDE w:val="0"/>
        <w:autoSpaceDN w:val="0"/>
        <w:adjustRightInd w:val="0"/>
        <w:rPr>
          <w:rFonts w:cstheme="minorHAnsi"/>
        </w:rPr>
      </w:pPr>
      <w:r w:rsidRPr="00F873C0">
        <w:t xml:space="preserve">La Resolución X.22: </w:t>
      </w:r>
      <w:r w:rsidRPr="00F873C0">
        <w:rPr>
          <w:i/>
          <w:iCs/>
        </w:rPr>
        <w:t>Promoción de la cooperación internacional para la conservación de las vías migratorias de las aves acuáticas</w:t>
      </w:r>
      <w:r w:rsidRPr="00F873C0">
        <w:t>.</w:t>
      </w:r>
    </w:p>
    <w:p w14:paraId="240CACB5" w14:textId="77777777" w:rsidR="00AA5B15" w:rsidRPr="00AA5B15" w:rsidRDefault="00AA5B15" w:rsidP="00AA5B15">
      <w:pPr>
        <w:pStyle w:val="ListParagraph"/>
        <w:autoSpaceDE w:val="0"/>
        <w:autoSpaceDN w:val="0"/>
        <w:adjustRightInd w:val="0"/>
        <w:rPr>
          <w:rFonts w:cstheme="minorHAnsi"/>
        </w:rPr>
      </w:pPr>
    </w:p>
    <w:p w14:paraId="2369DE85" w14:textId="5DDDB634" w:rsidR="00701F93" w:rsidRPr="00F873C0" w:rsidRDefault="00701F93" w:rsidP="001841B2">
      <w:pPr>
        <w:pStyle w:val="ListParagraph"/>
        <w:numPr>
          <w:ilvl w:val="0"/>
          <w:numId w:val="44"/>
        </w:numPr>
        <w:autoSpaceDE w:val="0"/>
        <w:autoSpaceDN w:val="0"/>
        <w:adjustRightInd w:val="0"/>
        <w:rPr>
          <w:rFonts w:cstheme="minorHAnsi"/>
        </w:rPr>
      </w:pPr>
      <w:r w:rsidRPr="00F873C0">
        <w:t>RECONOCIENDO la importancia crítica de las aves acuáticas para la biodiversidad y las características ecológicas de los humedales y que el Criterio 6 de Ramsar facilita la designación de sitios Ramsar de importancia internacional para la conservación de las aves acuáticas;</w:t>
      </w:r>
    </w:p>
    <w:p w14:paraId="6C6C7C45" w14:textId="2F8A68FD" w:rsidR="00333CEE" w:rsidRPr="00F873C0" w:rsidRDefault="00333CEE" w:rsidP="00701F93">
      <w:pPr>
        <w:pStyle w:val="ListParagraph"/>
        <w:spacing w:after="0" w:line="240" w:lineRule="auto"/>
        <w:ind w:left="425"/>
        <w:rPr>
          <w:rFonts w:eastAsiaTheme="minorHAnsi" w:cstheme="minorHAnsi"/>
        </w:rPr>
      </w:pPr>
    </w:p>
    <w:p w14:paraId="422A3CF5" w14:textId="26B0D5B4" w:rsidR="00F72193" w:rsidRPr="00F873C0" w:rsidRDefault="00F72193" w:rsidP="001841B2">
      <w:pPr>
        <w:pStyle w:val="ListParagraph"/>
        <w:numPr>
          <w:ilvl w:val="0"/>
          <w:numId w:val="44"/>
        </w:numPr>
        <w:autoSpaceDE w:val="0"/>
        <w:autoSpaceDN w:val="0"/>
        <w:adjustRightInd w:val="0"/>
        <w:rPr>
          <w:rFonts w:cstheme="minorHAnsi"/>
        </w:rPr>
      </w:pPr>
      <w:r w:rsidRPr="00F873C0">
        <w:t xml:space="preserve">OBSERVANDO </w:t>
      </w:r>
    </w:p>
    <w:p w14:paraId="69714A8F" w14:textId="195DDFFD" w:rsidR="00F72193" w:rsidRPr="00F873C0" w:rsidRDefault="00F72193" w:rsidP="001F74B1">
      <w:pPr>
        <w:pStyle w:val="ListParagraph"/>
        <w:numPr>
          <w:ilvl w:val="0"/>
          <w:numId w:val="36"/>
        </w:numPr>
        <w:autoSpaceDE w:val="0"/>
        <w:autoSpaceDN w:val="0"/>
        <w:adjustRightInd w:val="0"/>
        <w:rPr>
          <w:rFonts w:cstheme="minorHAnsi"/>
        </w:rPr>
      </w:pPr>
      <w:r w:rsidRPr="00F873C0">
        <w:t xml:space="preserve">que la eficacia del Criterio 6 para apoyar la conservación de las aves acuáticas depende de la disponibilidad de estimaciones científicamente sólidas del tamaño de las poblaciones biogeográficas de las aves acuáticas, y </w:t>
      </w:r>
    </w:p>
    <w:p w14:paraId="1CE77778" w14:textId="0626BB99" w:rsidR="00B9283F" w:rsidRPr="00AA5B15" w:rsidRDefault="00F72193" w:rsidP="00AA5B15">
      <w:pPr>
        <w:pStyle w:val="ListParagraph"/>
        <w:numPr>
          <w:ilvl w:val="0"/>
          <w:numId w:val="36"/>
        </w:numPr>
        <w:autoSpaceDE w:val="0"/>
        <w:autoSpaceDN w:val="0"/>
        <w:adjustRightInd w:val="0"/>
        <w:rPr>
          <w:rFonts w:cstheme="minorHAnsi"/>
        </w:rPr>
      </w:pPr>
      <w:r w:rsidRPr="00F873C0">
        <w:t>que el uso de estimaciones poblacionales inexactas o desactualizadas, especialmente en el caso de especies en rápida disminución, puede socavar la intención del umbral del 1% incluido en el Criterio 6;</w:t>
      </w:r>
    </w:p>
    <w:p w14:paraId="16F7941B" w14:textId="77777777" w:rsidR="00AA5B15" w:rsidRPr="00AA5B15" w:rsidRDefault="00AA5B15" w:rsidP="00AA5B15">
      <w:pPr>
        <w:pStyle w:val="ListParagraph"/>
        <w:autoSpaceDE w:val="0"/>
        <w:autoSpaceDN w:val="0"/>
        <w:adjustRightInd w:val="0"/>
        <w:rPr>
          <w:rFonts w:cstheme="minorHAnsi"/>
        </w:rPr>
      </w:pPr>
    </w:p>
    <w:p w14:paraId="71FDB47A" w14:textId="45674AFC" w:rsidR="00D57043" w:rsidRPr="00F873C0" w:rsidRDefault="007B59A3" w:rsidP="001841B2">
      <w:pPr>
        <w:pStyle w:val="ListParagraph"/>
        <w:numPr>
          <w:ilvl w:val="0"/>
          <w:numId w:val="44"/>
        </w:numPr>
      </w:pPr>
      <w:r w:rsidRPr="00F873C0">
        <w:t xml:space="preserve">RECONOCIENDO que el actual </w:t>
      </w:r>
      <w:r w:rsidRPr="00F873C0">
        <w:rPr>
          <w:i/>
          <w:iCs/>
        </w:rPr>
        <w:t>Marco estratégico y lineamientos para el desarrollo futuro de la Lista de Humedales de Importancia Internacional de la Convención sobre los Humedales</w:t>
      </w:r>
      <w:r w:rsidRPr="00F873C0">
        <w:t xml:space="preserve"> (Ramsar, Irán, 1971), revisión de 2012, (adoptado como Resolución XI.8, anexo 2, Rev. COP13) proporciona orientaciones sobre la aplicación del Criterio 6;</w:t>
      </w:r>
    </w:p>
    <w:p w14:paraId="32A39541" w14:textId="77777777" w:rsidR="00D57043" w:rsidRPr="00F873C0" w:rsidRDefault="00D57043" w:rsidP="00215C46">
      <w:pPr>
        <w:autoSpaceDE w:val="0"/>
        <w:autoSpaceDN w:val="0"/>
        <w:adjustRightInd w:val="0"/>
        <w:rPr>
          <w:rFonts w:cstheme="minorHAnsi"/>
        </w:rPr>
      </w:pPr>
    </w:p>
    <w:p w14:paraId="3E11D25D" w14:textId="110B4F66" w:rsidR="00FB1904" w:rsidRPr="00F873C0" w:rsidRDefault="00466D69" w:rsidP="001841B2">
      <w:pPr>
        <w:pStyle w:val="ListParagraph"/>
        <w:numPr>
          <w:ilvl w:val="0"/>
          <w:numId w:val="44"/>
        </w:numPr>
        <w:autoSpaceDE w:val="0"/>
        <w:autoSpaceDN w:val="0"/>
        <w:adjustRightInd w:val="0"/>
        <w:rPr>
          <w:rFonts w:cstheme="minorHAnsi"/>
        </w:rPr>
      </w:pPr>
      <w:r w:rsidRPr="00F873C0">
        <w:t>RECONOCIENDO que las medidas destinadas a mejorar la eficacia de la conservación de las aves acuáticas son pertinentes para cumplir los objetivos del Marco Mundial de la Diversidad Biológica posterior a 2020 elaborado por la Convención sobre la Diversidad Biológica y otros acuerdos internacionales sobre la conservación de la diversidad biológica;</w:t>
      </w:r>
    </w:p>
    <w:p w14:paraId="70046347" w14:textId="77777777" w:rsidR="004E29C2" w:rsidRPr="00F873C0" w:rsidRDefault="004E29C2" w:rsidP="005E2EFC">
      <w:pPr>
        <w:autoSpaceDE w:val="0"/>
        <w:autoSpaceDN w:val="0"/>
        <w:adjustRightInd w:val="0"/>
        <w:rPr>
          <w:rFonts w:cstheme="minorHAnsi"/>
        </w:rPr>
      </w:pPr>
    </w:p>
    <w:p w14:paraId="1DB19EB1" w14:textId="43D219F2" w:rsidR="00DE02AA" w:rsidRPr="00F873C0" w:rsidRDefault="0064526D" w:rsidP="001841B2">
      <w:pPr>
        <w:pStyle w:val="ListParagraph"/>
        <w:numPr>
          <w:ilvl w:val="0"/>
          <w:numId w:val="44"/>
        </w:numPr>
        <w:autoSpaceDE w:val="0"/>
        <w:autoSpaceDN w:val="0"/>
        <w:adjustRightInd w:val="0"/>
      </w:pPr>
      <w:r w:rsidRPr="00F873C0">
        <w:t xml:space="preserve">RECONOCIENDO el importante papel de Wetlands International en la recopilación y publicación, a petición de la Conferencia de las Partes, de las anteriores versiones periódicas de la publicación </w:t>
      </w:r>
      <w:r w:rsidRPr="00F873C0">
        <w:rPr>
          <w:i/>
          <w:iCs/>
        </w:rPr>
        <w:t>Waterbird Population Estimates</w:t>
      </w:r>
      <w:r w:rsidRPr="00F873C0">
        <w:t xml:space="preserve"> (Estimaciones de las poblaciones de aves acuáticas), y ACOGIENDO CON SATISFACCIÓN el nuevo Portal sobre Poblaciones de Aves Acuáticas lanzado en 2021;</w:t>
      </w:r>
    </w:p>
    <w:p w14:paraId="2D72A19A" w14:textId="21AE5056" w:rsidR="00A64476" w:rsidRPr="00F873C0" w:rsidRDefault="00A64476" w:rsidP="00EE6F63">
      <w:pPr>
        <w:autoSpaceDE w:val="0"/>
        <w:autoSpaceDN w:val="0"/>
        <w:adjustRightInd w:val="0"/>
        <w:ind w:left="426"/>
      </w:pPr>
    </w:p>
    <w:p w14:paraId="374CC058" w14:textId="0C492ED8" w:rsidR="00A64476" w:rsidRPr="00F873C0" w:rsidRDefault="008B784C" w:rsidP="001841B2">
      <w:pPr>
        <w:pStyle w:val="ListParagraph"/>
        <w:numPr>
          <w:ilvl w:val="0"/>
          <w:numId w:val="44"/>
        </w:numPr>
        <w:autoSpaceDE w:val="0"/>
        <w:autoSpaceDN w:val="0"/>
        <w:adjustRightInd w:val="0"/>
      </w:pPr>
      <w:r w:rsidRPr="00F873C0">
        <w:t xml:space="preserve">RECONOCIENDO el trabajo crítico que se está realizando a través de acuerdos de cooperación en las vías migratorias de aves en todo el mundo, incluidos los Exámenes del Estado de la </w:t>
      </w:r>
      <w:r w:rsidRPr="00F873C0">
        <w:lastRenderedPageBreak/>
        <w:t>Conservación realizados en las vías migratorias afroeuroasiáticas y de Asia oriental-Australasia, y RECONOCIENDO que dicho trabajo</w:t>
      </w:r>
      <w:r w:rsidR="002D4E0B" w:rsidRPr="00F873C0">
        <w:t xml:space="preserve"> </w:t>
      </w:r>
      <w:r w:rsidR="002D4E0B" w:rsidRPr="00F873C0">
        <w:rPr>
          <w:u w:val="single"/>
        </w:rPr>
        <w:t>contribuye a</w:t>
      </w:r>
      <w:r w:rsidRPr="00F873C0">
        <w:t xml:space="preserve"> </w:t>
      </w:r>
      <w:r w:rsidRPr="00F873C0">
        <w:rPr>
          <w:strike/>
        </w:rPr>
        <w:t xml:space="preserve">permite </w:t>
      </w:r>
      <w:r w:rsidRPr="00F873C0">
        <w:t xml:space="preserve">la actualización continua de </w:t>
      </w:r>
      <w:r w:rsidRPr="00F873C0">
        <w:rPr>
          <w:i/>
          <w:iCs/>
        </w:rPr>
        <w:t>Waterbird Population Estimates</w:t>
      </w:r>
      <w:r w:rsidRPr="00F873C0">
        <w:t>;</w:t>
      </w:r>
    </w:p>
    <w:p w14:paraId="6DE6F863" w14:textId="77777777" w:rsidR="00424A3A" w:rsidRPr="00F873C0" w:rsidRDefault="00424A3A" w:rsidP="00424A3A">
      <w:pPr>
        <w:autoSpaceDE w:val="0"/>
        <w:autoSpaceDN w:val="0"/>
        <w:adjustRightInd w:val="0"/>
      </w:pPr>
    </w:p>
    <w:p w14:paraId="1B1E3B84" w14:textId="43FE4735" w:rsidR="006A4C54" w:rsidRPr="00F873C0" w:rsidRDefault="007A1397" w:rsidP="001841B2">
      <w:pPr>
        <w:pStyle w:val="ListParagraph"/>
        <w:numPr>
          <w:ilvl w:val="0"/>
          <w:numId w:val="44"/>
        </w:numPr>
        <w:autoSpaceDE w:val="0"/>
        <w:autoSpaceDN w:val="0"/>
        <w:adjustRightInd w:val="0"/>
      </w:pPr>
      <w:r w:rsidRPr="00F873C0">
        <w:t xml:space="preserve">PROFUNDAMENTE PREOCUPADA por la actual disminución mundial de las poblaciones de aves acuáticas, especialmente las especies de aves acuáticas migratorias, y por la pérdida y degradación subyacente de los humedales intermareales, así como de otros hábitats de los que dependen las aves acuáticas y que son esenciales para sustentarlas </w:t>
      </w:r>
      <w:r w:rsidRPr="00F873C0">
        <w:rPr>
          <w:strike/>
        </w:rPr>
        <w:t>en sus migraciones periódicas</w:t>
      </w:r>
      <w:r w:rsidR="00E46186" w:rsidRPr="00F873C0">
        <w:rPr>
          <w:u w:val="single"/>
        </w:rPr>
        <w:t>durante todo su ciclo biológico</w:t>
      </w:r>
      <w:r w:rsidRPr="00F873C0">
        <w:t>;</w:t>
      </w:r>
    </w:p>
    <w:p w14:paraId="6C762406" w14:textId="77777777" w:rsidR="00424A3A" w:rsidRPr="00F873C0" w:rsidRDefault="00424A3A" w:rsidP="00EE6F63">
      <w:pPr>
        <w:autoSpaceDE w:val="0"/>
        <w:autoSpaceDN w:val="0"/>
        <w:adjustRightInd w:val="0"/>
        <w:ind w:left="426"/>
      </w:pPr>
    </w:p>
    <w:p w14:paraId="6671479E" w14:textId="5071AE8D" w:rsidR="0088550F" w:rsidRPr="00AA5B15" w:rsidRDefault="00D34D5C" w:rsidP="00AA5B15">
      <w:pPr>
        <w:pStyle w:val="ListParagraph"/>
        <w:numPr>
          <w:ilvl w:val="0"/>
          <w:numId w:val="44"/>
        </w:numPr>
        <w:autoSpaceDE w:val="0"/>
        <w:autoSpaceDN w:val="0"/>
        <w:adjustRightInd w:val="0"/>
      </w:pPr>
      <w:r w:rsidRPr="00F873C0">
        <w:t xml:space="preserve">TAMBIÉN PREOCUPADA por el hecho de que no se haya actualizado </w:t>
      </w:r>
      <w:r w:rsidRPr="00F873C0">
        <w:rPr>
          <w:i/>
          <w:iCs/>
        </w:rPr>
        <w:t>Waterbird Population Estimates</w:t>
      </w:r>
      <w:r w:rsidRPr="00F873C0">
        <w:t xml:space="preserve"> desde 2012</w:t>
      </w:r>
      <w:r w:rsidR="006C4245" w:rsidRPr="00F873C0">
        <w:t xml:space="preserve"> </w:t>
      </w:r>
      <w:r w:rsidR="006C4245" w:rsidRPr="00F873C0">
        <w:rPr>
          <w:u w:val="single"/>
        </w:rPr>
        <w:t>debido a la falta de fondos</w:t>
      </w:r>
      <w:r w:rsidRPr="00F873C0">
        <w:t xml:space="preserve"> y de que no exista actualmente ningún mecanismo que garantice que estas actualizaciones esenciales se lleven a cabo de manera oportuna;</w:t>
      </w:r>
    </w:p>
    <w:p w14:paraId="70EFFB8F" w14:textId="43D4136C" w:rsidR="009175B8" w:rsidRPr="00F873C0" w:rsidRDefault="009175B8" w:rsidP="009175B8">
      <w:pPr>
        <w:pStyle w:val="DRSubHeading"/>
        <w:spacing w:after="0" w:line="240" w:lineRule="auto"/>
        <w:ind w:left="0"/>
        <w:rPr>
          <w:rFonts w:asciiTheme="minorHAnsi" w:hAnsiTheme="minorHAnsi" w:cstheme="minorHAnsi"/>
          <w:sz w:val="22"/>
          <w:szCs w:val="22"/>
        </w:rPr>
      </w:pPr>
      <w:r w:rsidRPr="00F873C0">
        <w:rPr>
          <w:rFonts w:asciiTheme="minorHAnsi" w:hAnsiTheme="minorHAnsi"/>
          <w:sz w:val="22"/>
          <w:szCs w:val="22"/>
        </w:rPr>
        <w:t>LA CONFERENCIA DE LAS PARTES CONTRATANTES</w:t>
      </w:r>
    </w:p>
    <w:p w14:paraId="2887CD68" w14:textId="77777777" w:rsidR="003B0403" w:rsidRPr="00F873C0" w:rsidRDefault="003B0403" w:rsidP="003B0403">
      <w:pPr>
        <w:rPr>
          <w:rFonts w:cstheme="minorHAnsi"/>
        </w:rPr>
      </w:pPr>
    </w:p>
    <w:p w14:paraId="6EA977A9" w14:textId="11F91C90" w:rsidR="003B0403" w:rsidRPr="00F873C0" w:rsidRDefault="00DB4509" w:rsidP="001841B2">
      <w:pPr>
        <w:pStyle w:val="DRText"/>
        <w:numPr>
          <w:ilvl w:val="0"/>
          <w:numId w:val="44"/>
        </w:numPr>
        <w:spacing w:after="0" w:line="240" w:lineRule="auto"/>
        <w:rPr>
          <w:rFonts w:asciiTheme="minorHAnsi" w:eastAsiaTheme="minorEastAsia" w:hAnsiTheme="minorHAnsi" w:cstheme="minorBidi"/>
          <w:color w:val="auto"/>
          <w:sz w:val="22"/>
          <w:szCs w:val="22"/>
        </w:rPr>
      </w:pPr>
      <w:r w:rsidRPr="00F873C0">
        <w:rPr>
          <w:rFonts w:asciiTheme="minorHAnsi" w:hAnsiTheme="minorHAnsi"/>
          <w:color w:val="auto"/>
          <w:sz w:val="22"/>
          <w:szCs w:val="22"/>
        </w:rPr>
        <w:t xml:space="preserve">REAFIRMA la utilización de la publicación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para apoyar la aplicación del Criterio 6 de Ramsar, tal como se acordó y afirmó en las Resoluciones VI.4 y VIII.38 y como se indica en el </w:t>
      </w:r>
      <w:r w:rsidRPr="00F873C0">
        <w:rPr>
          <w:rFonts w:asciiTheme="minorHAnsi" w:hAnsiTheme="minorHAnsi"/>
          <w:i/>
          <w:iCs/>
          <w:color w:val="auto"/>
          <w:sz w:val="22"/>
          <w:szCs w:val="22"/>
        </w:rPr>
        <w:t>Marco Estratégico</w:t>
      </w:r>
      <w:r w:rsidRPr="00F873C0">
        <w:rPr>
          <w:rFonts w:asciiTheme="minorHAnsi" w:hAnsiTheme="minorHAnsi"/>
          <w:color w:val="auto"/>
          <w:sz w:val="22"/>
          <w:szCs w:val="22"/>
        </w:rPr>
        <w:t>, revisión de 2012, (adoptado como Resolución XI.8, anexo 2 (Rev. COP13);</w:t>
      </w:r>
    </w:p>
    <w:p w14:paraId="21557BDE" w14:textId="77777777" w:rsidR="00DB4509" w:rsidRPr="00F873C0" w:rsidRDefault="00DB4509" w:rsidP="003B0403">
      <w:pPr>
        <w:pStyle w:val="DRText"/>
        <w:numPr>
          <w:ilvl w:val="0"/>
          <w:numId w:val="0"/>
        </w:numPr>
        <w:spacing w:after="0" w:line="240" w:lineRule="auto"/>
        <w:ind w:left="426" w:hanging="1"/>
        <w:rPr>
          <w:rFonts w:asciiTheme="minorHAnsi" w:hAnsiTheme="minorHAnsi" w:cstheme="minorHAnsi"/>
          <w:sz w:val="22"/>
          <w:szCs w:val="22"/>
        </w:rPr>
      </w:pPr>
    </w:p>
    <w:p w14:paraId="34A95E49" w14:textId="21C9567E" w:rsidR="004801C0" w:rsidRPr="00F873C0" w:rsidRDefault="004801C0" w:rsidP="001841B2">
      <w:pPr>
        <w:pStyle w:val="Default"/>
        <w:numPr>
          <w:ilvl w:val="0"/>
          <w:numId w:val="44"/>
        </w:numPr>
        <w:rPr>
          <w:sz w:val="22"/>
          <w:szCs w:val="22"/>
        </w:rPr>
      </w:pPr>
      <w:r w:rsidRPr="00F873C0">
        <w:rPr>
          <w:rFonts w:asciiTheme="minorHAnsi" w:hAnsiTheme="minorHAnsi"/>
          <w:color w:val="auto"/>
          <w:sz w:val="22"/>
          <w:szCs w:val="22"/>
        </w:rPr>
        <w:t xml:space="preserve">ACUERDA que, hasta que se actualice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con estimaciones poblacionales precisas, las Partes podrán utilizar fuentes de datos alternativas a fin de determinar el umbral del 1% en el contexto de la aplicación del Criterio 6 de Ramsar, siempre que se cumplan las siguientes condiciones:</w:t>
      </w:r>
      <w:r w:rsidRPr="00F873C0">
        <w:rPr>
          <w:sz w:val="22"/>
          <w:szCs w:val="22"/>
        </w:rPr>
        <w:t xml:space="preserve"> </w:t>
      </w:r>
    </w:p>
    <w:p w14:paraId="6092E51E" w14:textId="77777777" w:rsidR="004801C0" w:rsidRPr="00F873C0" w:rsidRDefault="004801C0" w:rsidP="004801C0">
      <w:pPr>
        <w:pStyle w:val="Default"/>
        <w:rPr>
          <w:sz w:val="22"/>
          <w:szCs w:val="22"/>
        </w:rPr>
      </w:pPr>
    </w:p>
    <w:p w14:paraId="7E6C9E7D" w14:textId="5F02DE0F" w:rsidR="004801C0" w:rsidRPr="00F873C0" w:rsidRDefault="004801C0" w:rsidP="004801C0">
      <w:pPr>
        <w:numPr>
          <w:ilvl w:val="0"/>
          <w:numId w:val="38"/>
        </w:numPr>
        <w:spacing w:after="120"/>
        <w:rPr>
          <w:rFonts w:eastAsia="DengXian" w:cstheme="minorHAnsi"/>
        </w:rPr>
      </w:pPr>
      <w:r w:rsidRPr="00F873C0">
        <w:t xml:space="preserve">que se indique claramente la población biogeográfica de la especie en cuestión según consta en </w:t>
      </w:r>
      <w:r w:rsidRPr="00F873C0">
        <w:rPr>
          <w:i/>
          <w:iCs/>
        </w:rPr>
        <w:t>Waterbird Population Estimates</w:t>
      </w:r>
      <w:r w:rsidRPr="00F873C0">
        <w:t xml:space="preserve"> disponible en el Portal sobre Poblaciones de Aves Acuáticas;</w:t>
      </w:r>
    </w:p>
    <w:p w14:paraId="28092583" w14:textId="40C18F4C" w:rsidR="004801C0" w:rsidRPr="00F873C0" w:rsidRDefault="004801C0" w:rsidP="004801C0">
      <w:pPr>
        <w:numPr>
          <w:ilvl w:val="0"/>
          <w:numId w:val="38"/>
        </w:numPr>
        <w:spacing w:after="120"/>
        <w:rPr>
          <w:rFonts w:eastAsia="DengXian" w:cstheme="minorHAnsi"/>
        </w:rPr>
      </w:pPr>
      <w:r w:rsidRPr="00F873C0">
        <w:t>que dichos umbrales se deriven de las estimaciones publicadas en el Portal sobre Poblaciones de Aves Acuáticas, para las especies migratorias, basadas en los Exámenes del Estado de la Conservación realizados en el marco de instrumentos sobre vías migratorias, u otras evaluaciones que hayan sido objeto de un examen por homólogos</w:t>
      </w:r>
      <w:r w:rsidR="007045F0" w:rsidRPr="00F873C0">
        <w:t xml:space="preserve"> </w:t>
      </w:r>
      <w:r w:rsidR="00A8397E" w:rsidRPr="00F873C0">
        <w:rPr>
          <w:rFonts w:eastAsia="DengXian" w:cstheme="minorHAnsi"/>
        </w:rPr>
        <w:t>[o</w:t>
      </w:r>
      <w:r w:rsidR="007045F0" w:rsidRPr="00F873C0">
        <w:rPr>
          <w:rFonts w:eastAsia="DengXian" w:cstheme="minorHAnsi"/>
        </w:rPr>
        <w:t xml:space="preserve"> </w:t>
      </w:r>
      <w:r w:rsidR="007045F0" w:rsidRPr="00D125B2">
        <w:rPr>
          <w:rFonts w:eastAsia="DengXian" w:cstheme="minorHAnsi"/>
          <w:u w:val="single"/>
        </w:rPr>
        <w:t>literatura gris general</w:t>
      </w:r>
      <w:r w:rsidR="00FA5933" w:rsidRPr="00D125B2">
        <w:rPr>
          <w:rFonts w:eastAsia="DengXian" w:cstheme="minorHAnsi"/>
          <w:u w:val="single"/>
        </w:rPr>
        <w:t>mente</w:t>
      </w:r>
      <w:r w:rsidR="007045F0" w:rsidRPr="00D125B2">
        <w:rPr>
          <w:rFonts w:eastAsia="DengXian" w:cstheme="minorHAnsi"/>
          <w:u w:val="single"/>
        </w:rPr>
        <w:t xml:space="preserve"> aceptada</w:t>
      </w:r>
      <w:r w:rsidR="00A8397E" w:rsidRPr="00F873C0">
        <w:rPr>
          <w:rFonts w:eastAsia="DengXian" w:cstheme="minorHAnsi"/>
        </w:rPr>
        <w:t>]</w:t>
      </w:r>
      <w:r w:rsidR="007045F0" w:rsidRPr="00F873C0">
        <w:rPr>
          <w:rFonts w:eastAsia="DengXian" w:cstheme="minorHAnsi"/>
        </w:rPr>
        <w:t xml:space="preserve"> </w:t>
      </w:r>
      <w:r w:rsidR="00A068B1" w:rsidRPr="00F873C0">
        <w:rPr>
          <w:rFonts w:eastAsia="DengXian" w:cstheme="minorHAnsi"/>
          <w:u w:val="single"/>
        </w:rPr>
        <w:t>relativas a</w:t>
      </w:r>
      <w:r w:rsidR="007045F0" w:rsidRPr="00F873C0">
        <w:rPr>
          <w:rFonts w:eastAsia="DengXian" w:cstheme="minorHAnsi"/>
          <w:u w:val="single"/>
        </w:rPr>
        <w:t xml:space="preserve"> otras poblaciones migratorias</w:t>
      </w:r>
      <w:r w:rsidR="00A068B1" w:rsidRPr="00F873C0">
        <w:rPr>
          <w:rFonts w:eastAsia="DengXian" w:cstheme="minorHAnsi"/>
          <w:u w:val="single"/>
        </w:rPr>
        <w:t xml:space="preserve"> respecto de las cuales no existan evaluaciones del tipo examen del estado</w:t>
      </w:r>
      <w:r w:rsidR="00FA5933" w:rsidRPr="00F873C0">
        <w:rPr>
          <w:rFonts w:eastAsia="DengXian" w:cstheme="minorHAnsi"/>
          <w:u w:val="single"/>
        </w:rPr>
        <w:t xml:space="preserve"> de la conservación, así como</w:t>
      </w:r>
      <w:r w:rsidR="00A11260" w:rsidRPr="00F873C0">
        <w:rPr>
          <w:rFonts w:eastAsia="DengXian" w:cstheme="minorHAnsi"/>
        </w:rPr>
        <w:t xml:space="preserve"> poblaciones </w:t>
      </w:r>
      <w:r w:rsidR="00A11260" w:rsidRPr="00F873C0">
        <w:rPr>
          <w:rFonts w:eastAsia="DengXian" w:cstheme="minorHAnsi"/>
          <w:u w:val="single"/>
        </w:rPr>
        <w:t>no migratorias y</w:t>
      </w:r>
      <w:r w:rsidR="00A11260" w:rsidRPr="00F873C0">
        <w:rPr>
          <w:rFonts w:eastAsia="DengXian" w:cstheme="minorHAnsi"/>
        </w:rPr>
        <w:t xml:space="preserve"> </w:t>
      </w:r>
      <w:r w:rsidR="007671DE" w:rsidRPr="00F873C0">
        <w:t>endémicas</w:t>
      </w:r>
      <w:r w:rsidR="00A8397E" w:rsidRPr="00F873C0">
        <w:rPr>
          <w:rFonts w:eastAsia="DengXian" w:cstheme="minorHAnsi"/>
        </w:rPr>
        <w:t>;</w:t>
      </w:r>
    </w:p>
    <w:p w14:paraId="01F0CF10" w14:textId="1CD65BEF" w:rsidR="004801C0" w:rsidRPr="00F873C0" w:rsidRDefault="004801C0" w:rsidP="004801C0">
      <w:pPr>
        <w:numPr>
          <w:ilvl w:val="0"/>
          <w:numId w:val="38"/>
        </w:numPr>
        <w:spacing w:after="120"/>
        <w:rPr>
          <w:rFonts w:eastAsia="DengXian" w:cstheme="minorHAnsi"/>
        </w:rPr>
      </w:pPr>
      <w:r w:rsidRPr="00F873C0">
        <w:t xml:space="preserve">que se documenten las razones por las que una nueva estimación se considera más adecuada indicando claramente las fuentes, de forma que sea posible para terceros comprobar de dónde se ha derivado la estimación; </w:t>
      </w:r>
      <w:r w:rsidR="00A11260" w:rsidRPr="00F873C0">
        <w:rPr>
          <w:rFonts w:eastAsia="DengXian" w:cstheme="minorHAnsi"/>
        </w:rPr>
        <w:t>[</w:t>
      </w:r>
      <w:r w:rsidR="00A11260" w:rsidRPr="00F873C0">
        <w:rPr>
          <w:rFonts w:eastAsia="DengXian" w:cstheme="minorHAnsi"/>
          <w:u w:val="single"/>
        </w:rPr>
        <w:t>o eliminar el párrafo</w:t>
      </w:r>
      <w:r w:rsidR="00A11260" w:rsidRPr="00F873C0">
        <w:rPr>
          <w:rFonts w:eastAsia="DengXian" w:cstheme="minorHAnsi"/>
        </w:rPr>
        <w:t>]</w:t>
      </w:r>
    </w:p>
    <w:p w14:paraId="0E443C55" w14:textId="00F35BA8" w:rsidR="004801C0" w:rsidRPr="00F873C0" w:rsidRDefault="004801C0" w:rsidP="004801C0">
      <w:pPr>
        <w:numPr>
          <w:ilvl w:val="0"/>
          <w:numId w:val="38"/>
        </w:numPr>
        <w:spacing w:after="120"/>
        <w:rPr>
          <w:rFonts w:eastAsia="Times New Roman" w:cstheme="minorHAnsi"/>
        </w:rPr>
      </w:pPr>
      <w:r w:rsidRPr="00F873C0">
        <w:t xml:space="preserve">que se utilice la metodología normalizada convencional de redondeo utilizada por Wetlands International para convertir la estimación del tamaño de una población biogeográfica a un umbral de población del 1%; </w:t>
      </w:r>
      <w:r w:rsidR="00BE07D5" w:rsidRPr="00F873C0">
        <w:t>y,</w:t>
      </w:r>
      <w:r w:rsidRPr="00F873C0">
        <w:t xml:space="preserve"> por último</w:t>
      </w:r>
    </w:p>
    <w:p w14:paraId="6ACB401A" w14:textId="422D5C5C" w:rsidR="004801C0" w:rsidRPr="00F873C0" w:rsidRDefault="000E7A29" w:rsidP="004801C0">
      <w:pPr>
        <w:numPr>
          <w:ilvl w:val="0"/>
          <w:numId w:val="38"/>
        </w:numPr>
        <w:rPr>
          <w:rFonts w:eastAsia="Times New Roman" w:cstheme="minorHAnsi"/>
        </w:rPr>
      </w:pPr>
      <w:r w:rsidRPr="00F873C0">
        <w:t xml:space="preserve">que se comunique cualquier umbral alternativo utilizado por las Partes en relación con el Criterio 6 y su justificación tanto a la Secretaría (para que mantenga un registro de esos casos) como a Wetlands International (para que los examine e incluya en actualizaciones futuras de </w:t>
      </w:r>
      <w:r w:rsidRPr="00F873C0">
        <w:rPr>
          <w:i/>
          <w:iCs/>
        </w:rPr>
        <w:t>Waterbird Population Estimates</w:t>
      </w:r>
      <w:r w:rsidRPr="00F873C0">
        <w:t xml:space="preserve"> </w:t>
      </w:r>
      <w:r w:rsidR="00B35447" w:rsidRPr="00F873C0">
        <w:rPr>
          <w:u w:val="single"/>
        </w:rPr>
        <w:t xml:space="preserve">que </w:t>
      </w:r>
      <w:r w:rsidR="00811223" w:rsidRPr="00F873C0">
        <w:rPr>
          <w:u w:val="single"/>
        </w:rPr>
        <w:t>se presenten</w:t>
      </w:r>
      <w:r w:rsidRPr="00F873C0">
        <w:rPr>
          <w:strike/>
        </w:rPr>
        <w:t>y los presente</w:t>
      </w:r>
      <w:r w:rsidRPr="00F873C0">
        <w:t xml:space="preserve"> en el Portal sobre Poblaciones de Aves Acuáticas);</w:t>
      </w:r>
      <w:r w:rsidR="00811223" w:rsidRPr="00F873C0">
        <w:t xml:space="preserve"> </w:t>
      </w:r>
      <w:r w:rsidR="00811223" w:rsidRPr="00F873C0">
        <w:rPr>
          <w:rFonts w:eastAsia="Times New Roman" w:cstheme="minorHAnsi"/>
        </w:rPr>
        <w:t>[o sustituir el párrafo por el siguiente:</w:t>
      </w:r>
      <w:r w:rsidR="004149F5" w:rsidRPr="00F873C0">
        <w:rPr>
          <w:rFonts w:eastAsia="Times New Roman" w:cstheme="minorHAnsi"/>
        </w:rPr>
        <w:t xml:space="preserve"> “</w:t>
      </w:r>
      <w:r w:rsidR="006D2D55" w:rsidRPr="00F873C0">
        <w:rPr>
          <w:rFonts w:eastAsia="Times New Roman" w:cstheme="minorHAnsi"/>
        </w:rPr>
        <w:t>Todos los demás datos utilizados deberían estar incluidos en la base de datos de las FIR</w:t>
      </w:r>
      <w:r w:rsidR="00811223" w:rsidRPr="00F873C0">
        <w:rPr>
          <w:rFonts w:eastAsia="Times New Roman" w:cstheme="minorHAnsi"/>
        </w:rPr>
        <w:t>.”]</w:t>
      </w:r>
    </w:p>
    <w:p w14:paraId="33AE9FAE" w14:textId="77777777" w:rsidR="00B52520" w:rsidRPr="00F873C0" w:rsidRDefault="00B52520" w:rsidP="00C21A3D">
      <w:pPr>
        <w:pStyle w:val="DRText"/>
        <w:numPr>
          <w:ilvl w:val="0"/>
          <w:numId w:val="0"/>
        </w:numPr>
        <w:spacing w:after="0" w:line="240" w:lineRule="auto"/>
        <w:rPr>
          <w:rFonts w:asciiTheme="minorHAnsi" w:hAnsiTheme="minorHAnsi" w:cstheme="minorHAnsi"/>
          <w:sz w:val="22"/>
          <w:szCs w:val="22"/>
        </w:rPr>
      </w:pPr>
    </w:p>
    <w:p w14:paraId="47CDE1E9" w14:textId="02E182DB" w:rsidR="00523F23" w:rsidRPr="00F873C0" w:rsidRDefault="00523F23" w:rsidP="001841B2">
      <w:pPr>
        <w:pStyle w:val="ListParagraph"/>
        <w:numPr>
          <w:ilvl w:val="0"/>
          <w:numId w:val="44"/>
        </w:numPr>
      </w:pPr>
      <w:r w:rsidRPr="00F873C0">
        <w:t xml:space="preserve">ENCARGA a la Secretaría que modifique el </w:t>
      </w:r>
      <w:r w:rsidRPr="00F873C0">
        <w:rPr>
          <w:i/>
          <w:iCs/>
        </w:rPr>
        <w:t>Marco Estratégico</w:t>
      </w:r>
      <w:r w:rsidRPr="00F873C0">
        <w:t>, revisión de 2012, (adoptado como Resolución XI.8, anexo 2 (Rev. COP13) para aplicar el párrafo 11, como se indica en el anexo 1;</w:t>
      </w:r>
    </w:p>
    <w:p w14:paraId="3806B99D" w14:textId="77777777" w:rsidR="00523F23" w:rsidRPr="00F873C0" w:rsidRDefault="00523F23" w:rsidP="00C45C60">
      <w:pPr>
        <w:pStyle w:val="DRText"/>
        <w:numPr>
          <w:ilvl w:val="0"/>
          <w:numId w:val="0"/>
        </w:numPr>
        <w:spacing w:after="0" w:line="240" w:lineRule="auto"/>
        <w:rPr>
          <w:rFonts w:asciiTheme="minorHAnsi" w:hAnsiTheme="minorHAnsi" w:cstheme="minorHAnsi"/>
          <w:sz w:val="22"/>
          <w:szCs w:val="22"/>
        </w:rPr>
      </w:pPr>
    </w:p>
    <w:p w14:paraId="23F57456" w14:textId="504C75B7" w:rsidR="00E87AE1" w:rsidRPr="00F873C0" w:rsidRDefault="008D209C" w:rsidP="00954D06">
      <w:pPr>
        <w:pStyle w:val="DRText"/>
        <w:numPr>
          <w:ilvl w:val="0"/>
          <w:numId w:val="44"/>
        </w:numPr>
        <w:spacing w:after="0" w:line="240" w:lineRule="auto"/>
        <w:rPr>
          <w:rFonts w:ascii="Calibri" w:eastAsiaTheme="minorEastAsia" w:hAnsi="Calibri" w:cs="Calibri"/>
          <w:color w:val="000000"/>
          <w:sz w:val="22"/>
          <w:szCs w:val="22"/>
        </w:rPr>
      </w:pPr>
      <w:r w:rsidRPr="00F873C0">
        <w:rPr>
          <w:rFonts w:ascii="Calibri" w:hAnsi="Calibri"/>
          <w:color w:val="000000"/>
          <w:sz w:val="22"/>
          <w:szCs w:val="22"/>
        </w:rPr>
        <w:t xml:space="preserve">ALIENTA a las Partes a trabajar en cooperación con los acuerdos y asociaciones sobre vías migratorias a fin de facilitar la actualización periódica de </w:t>
      </w:r>
      <w:r w:rsidRPr="00F873C0">
        <w:rPr>
          <w:rFonts w:ascii="Calibri" w:hAnsi="Calibri"/>
          <w:i/>
          <w:iCs/>
          <w:color w:val="000000"/>
          <w:sz w:val="22"/>
          <w:szCs w:val="22"/>
        </w:rPr>
        <w:t>Waterbird Population Estimates</w:t>
      </w:r>
      <w:r w:rsidRPr="00F873C0">
        <w:rPr>
          <w:rFonts w:ascii="Calibri" w:hAnsi="Calibri"/>
          <w:color w:val="000000"/>
          <w:sz w:val="22"/>
          <w:szCs w:val="22"/>
        </w:rPr>
        <w:t>;</w:t>
      </w:r>
    </w:p>
    <w:p w14:paraId="429103D2" w14:textId="7614B34E" w:rsidR="00E87AE1" w:rsidRPr="00F873C0" w:rsidRDefault="00E87AE1" w:rsidP="00E87AE1">
      <w:pPr>
        <w:rPr>
          <w:rFonts w:ascii="Calibri" w:hAnsi="Calibri" w:cs="Calibri"/>
          <w:color w:val="000000"/>
        </w:rPr>
      </w:pPr>
    </w:p>
    <w:p w14:paraId="119E0308" w14:textId="75940082" w:rsidR="00D50D15" w:rsidRPr="00F873C0" w:rsidRDefault="00003D3D" w:rsidP="00E87AE1">
      <w:pPr>
        <w:pStyle w:val="ListParagraph"/>
        <w:numPr>
          <w:ilvl w:val="0"/>
          <w:numId w:val="44"/>
        </w:numPr>
        <w:rPr>
          <w:rFonts w:ascii="Calibri" w:hAnsi="Calibri"/>
          <w:color w:val="000000"/>
        </w:rPr>
      </w:pPr>
      <w:r w:rsidRPr="00F873C0">
        <w:rPr>
          <w:rFonts w:ascii="Calibri" w:hAnsi="Calibri"/>
          <w:color w:val="000000"/>
        </w:rPr>
        <w:t>ALIENTA TAMBIÉN a las Partes a que utilicen los mejores datos disponibles, científicamente sólidos</w:t>
      </w:r>
      <w:r w:rsidR="002A6A58" w:rsidRPr="00F873C0">
        <w:rPr>
          <w:rFonts w:ascii="Calibri" w:hAnsi="Calibri"/>
          <w:color w:val="000000"/>
        </w:rPr>
        <w:t xml:space="preserve"> </w:t>
      </w:r>
      <w:r w:rsidR="002A6A58" w:rsidRPr="00F873C0">
        <w:rPr>
          <w:rFonts w:ascii="Calibri" w:hAnsi="Calibri" w:cs="Calibri"/>
          <w:color w:val="000000"/>
          <w:u w:val="single"/>
        </w:rPr>
        <w:t xml:space="preserve">[(siendo la literatura gris también aceptable </w:t>
      </w:r>
      <w:r w:rsidR="00A426CD" w:rsidRPr="00F873C0">
        <w:rPr>
          <w:rFonts w:ascii="Calibri" w:hAnsi="Calibri" w:cs="Calibri"/>
          <w:color w:val="000000"/>
          <w:u w:val="single"/>
        </w:rPr>
        <w:t xml:space="preserve">si la Parte Contratante que presente el informe considerase que </w:t>
      </w:r>
      <w:r w:rsidR="00F92B48" w:rsidRPr="00F873C0">
        <w:rPr>
          <w:rFonts w:ascii="Calibri" w:hAnsi="Calibri" w:cs="Calibri"/>
          <w:color w:val="000000"/>
          <w:u w:val="single"/>
        </w:rPr>
        <w:t xml:space="preserve">esa ofrece </w:t>
      </w:r>
      <w:r w:rsidR="00A426CD" w:rsidRPr="00F873C0">
        <w:rPr>
          <w:rFonts w:ascii="Calibri" w:hAnsi="Calibri" w:cs="Calibri"/>
          <w:color w:val="000000"/>
          <w:u w:val="single"/>
        </w:rPr>
        <w:t>los datos más correctos</w:t>
      </w:r>
      <w:r w:rsidR="002A6A58" w:rsidRPr="00F873C0">
        <w:rPr>
          <w:rFonts w:ascii="Calibri" w:hAnsi="Calibri" w:cs="Calibri"/>
          <w:color w:val="000000"/>
          <w:u w:val="single"/>
        </w:rPr>
        <w:t>)]</w:t>
      </w:r>
      <w:r w:rsidRPr="00F873C0">
        <w:rPr>
          <w:rFonts w:ascii="Calibri" w:hAnsi="Calibri"/>
          <w:color w:val="000000"/>
        </w:rPr>
        <w:t>, a través del proceso establecido en los párrafos 10 y 11, a fin de determinar el umbral del 1% para las designaciones de sitios sobre la base del Criterio 6 y para las futuras actualizaciones de las Fichas Informativas de Ramsar;</w:t>
      </w:r>
    </w:p>
    <w:p w14:paraId="2C1D6CC2" w14:textId="77777777" w:rsidR="00D964B1" w:rsidRPr="00F873C0" w:rsidRDefault="00D964B1" w:rsidP="003D4713">
      <w:pPr>
        <w:pStyle w:val="ListParagraph"/>
        <w:spacing w:after="0" w:line="240" w:lineRule="auto"/>
        <w:ind w:left="426"/>
        <w:rPr>
          <w:rFonts w:cstheme="minorHAnsi"/>
          <w:lang w:eastAsia="ko-KR"/>
        </w:rPr>
      </w:pPr>
    </w:p>
    <w:p w14:paraId="71A8491C" w14:textId="174C4657" w:rsidR="00417B2D" w:rsidRPr="00F873C0" w:rsidRDefault="00417B2D" w:rsidP="00954D06">
      <w:pPr>
        <w:pStyle w:val="Default"/>
        <w:numPr>
          <w:ilvl w:val="0"/>
          <w:numId w:val="44"/>
        </w:numPr>
        <w:rPr>
          <w:sz w:val="22"/>
          <w:szCs w:val="22"/>
        </w:rPr>
      </w:pPr>
      <w:r w:rsidRPr="00F873C0">
        <w:rPr>
          <w:sz w:val="22"/>
          <w:szCs w:val="22"/>
        </w:rPr>
        <w:t>PIDE al Grupo de Examen Científico y Técnico que incluya en su plan de trabajo para el próximo trienio la elaboración de orientaciones a fin de facilitar la aplicación adecuada de esta Resolución por las Partes Contratantes</w:t>
      </w:r>
      <w:r w:rsidR="007B0490" w:rsidRPr="00F873C0">
        <w:rPr>
          <w:sz w:val="22"/>
          <w:szCs w:val="22"/>
        </w:rPr>
        <w:t xml:space="preserve">, </w:t>
      </w:r>
      <w:r w:rsidR="007B0490" w:rsidRPr="00F873C0">
        <w:rPr>
          <w:sz w:val="22"/>
          <w:szCs w:val="22"/>
          <w:u w:val="single"/>
        </w:rPr>
        <w:t>en colaboración con</w:t>
      </w:r>
      <w:r w:rsidR="00AE7BFE" w:rsidRPr="00F873C0">
        <w:rPr>
          <w:sz w:val="22"/>
          <w:szCs w:val="22"/>
          <w:u w:val="single"/>
        </w:rPr>
        <w:t xml:space="preserve"> los órganos</w:t>
      </w:r>
      <w:r w:rsidR="00463E03" w:rsidRPr="00F873C0">
        <w:rPr>
          <w:sz w:val="22"/>
          <w:szCs w:val="22"/>
          <w:u w:val="single"/>
        </w:rPr>
        <w:t xml:space="preserve"> </w:t>
      </w:r>
      <w:r w:rsidR="00AE7BFE" w:rsidRPr="00F873C0">
        <w:rPr>
          <w:sz w:val="22"/>
          <w:szCs w:val="22"/>
          <w:u w:val="single"/>
        </w:rPr>
        <w:t xml:space="preserve">subsidiarios técnicos y científicos de otros tratados pertinentes, tales como </w:t>
      </w:r>
      <w:r w:rsidR="00463E03" w:rsidRPr="00F873C0">
        <w:rPr>
          <w:sz w:val="22"/>
          <w:szCs w:val="22"/>
          <w:u w:val="single"/>
        </w:rPr>
        <w:t xml:space="preserve">el </w:t>
      </w:r>
      <w:r w:rsidR="00AE7BFE" w:rsidRPr="00F873C0">
        <w:rPr>
          <w:sz w:val="22"/>
          <w:szCs w:val="22"/>
          <w:u w:val="single"/>
        </w:rPr>
        <w:t>AEWA, la CEM</w:t>
      </w:r>
      <w:r w:rsidR="00463E03" w:rsidRPr="00F873C0">
        <w:rPr>
          <w:sz w:val="22"/>
          <w:szCs w:val="22"/>
          <w:u w:val="single"/>
        </w:rPr>
        <w:t xml:space="preserve">, así como la EAAFP y </w:t>
      </w:r>
      <w:r w:rsidR="00316F75" w:rsidRPr="00F873C0">
        <w:rPr>
          <w:sz w:val="22"/>
          <w:szCs w:val="22"/>
          <w:u w:val="single"/>
        </w:rPr>
        <w:t>otras iniciativas sobre vías migratorias</w:t>
      </w:r>
      <w:r w:rsidRPr="00F873C0">
        <w:rPr>
          <w:sz w:val="22"/>
          <w:szCs w:val="22"/>
        </w:rPr>
        <w:t>;</w:t>
      </w:r>
    </w:p>
    <w:p w14:paraId="4362C686" w14:textId="10FB5031" w:rsidR="007314E4" w:rsidRPr="00F873C0" w:rsidRDefault="00C45C60" w:rsidP="004A5ADA">
      <w:pPr>
        <w:pStyle w:val="Default"/>
        <w:ind w:firstLine="425"/>
        <w:rPr>
          <w:sz w:val="22"/>
          <w:szCs w:val="22"/>
        </w:rPr>
      </w:pPr>
      <w:r w:rsidRPr="00F873C0">
        <w:rPr>
          <w:sz w:val="22"/>
          <w:szCs w:val="22"/>
        </w:rPr>
        <w:tab/>
      </w:r>
    </w:p>
    <w:p w14:paraId="6009B486" w14:textId="582DDDC8" w:rsidR="00417B2D" w:rsidRPr="00F873C0" w:rsidRDefault="007314E4" w:rsidP="00954D06">
      <w:pPr>
        <w:pStyle w:val="Default"/>
        <w:numPr>
          <w:ilvl w:val="0"/>
          <w:numId w:val="44"/>
        </w:numPr>
        <w:rPr>
          <w:sz w:val="22"/>
          <w:szCs w:val="22"/>
        </w:rPr>
      </w:pPr>
      <w:r w:rsidRPr="00F873C0">
        <w:rPr>
          <w:sz w:val="22"/>
          <w:szCs w:val="22"/>
        </w:rPr>
        <w:t>PIDE al Grupo de Examen Científico y Técnico que elabore una propuesta</w:t>
      </w:r>
      <w:r w:rsidR="00316F75" w:rsidRPr="00F873C0">
        <w:rPr>
          <w:sz w:val="22"/>
          <w:szCs w:val="22"/>
        </w:rPr>
        <w:t xml:space="preserve"> </w:t>
      </w:r>
      <w:r w:rsidR="00316F75" w:rsidRPr="00F873C0">
        <w:rPr>
          <w:sz w:val="22"/>
          <w:szCs w:val="22"/>
          <w:u w:val="single"/>
        </w:rPr>
        <w:t>técnica</w:t>
      </w:r>
      <w:r w:rsidR="00CC0C7E" w:rsidRPr="00F873C0">
        <w:rPr>
          <w:sz w:val="22"/>
          <w:szCs w:val="22"/>
        </w:rPr>
        <w:t xml:space="preserve"> </w:t>
      </w:r>
      <w:r w:rsidRPr="00F873C0">
        <w:rPr>
          <w:sz w:val="22"/>
          <w:szCs w:val="22"/>
        </w:rPr>
        <w:t>para</w:t>
      </w:r>
      <w:r w:rsidR="00E14601" w:rsidRPr="00F873C0">
        <w:rPr>
          <w:sz w:val="22"/>
          <w:szCs w:val="22"/>
        </w:rPr>
        <w:t xml:space="preserve"> </w:t>
      </w:r>
      <w:r w:rsidR="00E14601" w:rsidRPr="00F873C0">
        <w:rPr>
          <w:sz w:val="22"/>
          <w:szCs w:val="22"/>
          <w:u w:val="single"/>
        </w:rPr>
        <w:t xml:space="preserve">facilitar la  </w:t>
      </w:r>
      <w:r w:rsidRPr="00F873C0">
        <w:rPr>
          <w:sz w:val="22"/>
          <w:szCs w:val="22"/>
          <w:u w:val="single"/>
        </w:rPr>
        <w:t>financia</w:t>
      </w:r>
      <w:r w:rsidR="00E14601" w:rsidRPr="00F873C0">
        <w:rPr>
          <w:sz w:val="22"/>
          <w:szCs w:val="22"/>
          <w:u w:val="single"/>
        </w:rPr>
        <w:t xml:space="preserve">ción y </w:t>
      </w:r>
      <w:r w:rsidRPr="00F873C0">
        <w:rPr>
          <w:sz w:val="22"/>
          <w:szCs w:val="22"/>
          <w:u w:val="single"/>
        </w:rPr>
        <w:t>r</w:t>
      </w:r>
      <w:r w:rsidR="00E14601" w:rsidRPr="00F873C0">
        <w:rPr>
          <w:sz w:val="22"/>
          <w:szCs w:val="22"/>
          <w:u w:val="single"/>
        </w:rPr>
        <w:t>ealización</w:t>
      </w:r>
      <w:r w:rsidR="00F0600C" w:rsidRPr="00F873C0">
        <w:rPr>
          <w:sz w:val="22"/>
          <w:szCs w:val="22"/>
          <w:u w:val="single"/>
        </w:rPr>
        <w:t xml:space="preserve"> de </w:t>
      </w:r>
      <w:r w:rsidRPr="00F873C0">
        <w:rPr>
          <w:strike/>
          <w:sz w:val="22"/>
          <w:szCs w:val="22"/>
        </w:rPr>
        <w:t>oportunamente</w:t>
      </w:r>
      <w:r w:rsidRPr="00F873C0">
        <w:rPr>
          <w:sz w:val="22"/>
          <w:szCs w:val="22"/>
        </w:rPr>
        <w:t xml:space="preserve"> las </w:t>
      </w:r>
      <w:r w:rsidR="00F0600C" w:rsidRPr="00F873C0">
        <w:rPr>
          <w:sz w:val="22"/>
          <w:szCs w:val="22"/>
        </w:rPr>
        <w:t xml:space="preserve">oportunas </w:t>
      </w:r>
      <w:r w:rsidRPr="00F873C0">
        <w:rPr>
          <w:sz w:val="22"/>
          <w:szCs w:val="22"/>
        </w:rPr>
        <w:t xml:space="preserve">futuras versiones actualizadas de </w:t>
      </w:r>
      <w:r w:rsidRPr="00F873C0">
        <w:rPr>
          <w:i/>
          <w:iCs/>
          <w:sz w:val="22"/>
          <w:szCs w:val="22"/>
        </w:rPr>
        <w:t>Waterbird Population Estimates</w:t>
      </w:r>
      <w:r w:rsidRPr="00F873C0">
        <w:rPr>
          <w:sz w:val="22"/>
          <w:szCs w:val="22"/>
        </w:rPr>
        <w:t>, en consulta con las Partes Contratantes, los acuerdos y asociaciones pertinentes sobre vías migratorias, Wetlands International y las entidades interesadas</w:t>
      </w:r>
      <w:r w:rsidR="007C3101" w:rsidRPr="00F873C0">
        <w:rPr>
          <w:sz w:val="22"/>
          <w:szCs w:val="22"/>
          <w:u w:val="single"/>
        </w:rPr>
        <w:t>; y que esa propuesta técnica</w:t>
      </w:r>
      <w:r w:rsidR="00607184" w:rsidRPr="00607184">
        <w:rPr>
          <w:sz w:val="22"/>
          <w:szCs w:val="22"/>
          <w:u w:val="single"/>
        </w:rPr>
        <w:t xml:space="preserve"> </w:t>
      </w:r>
      <w:r w:rsidR="00607184" w:rsidRPr="00F873C0">
        <w:rPr>
          <w:sz w:val="22"/>
          <w:szCs w:val="22"/>
          <w:u w:val="single"/>
        </w:rPr>
        <w:t>se presente a la reunión SC63</w:t>
      </w:r>
      <w:r w:rsidR="007C3101" w:rsidRPr="00F873C0">
        <w:rPr>
          <w:sz w:val="22"/>
          <w:szCs w:val="22"/>
          <w:u w:val="single"/>
        </w:rPr>
        <w:t>, incluyendo</w:t>
      </w:r>
      <w:r w:rsidR="00395997" w:rsidRPr="00F873C0">
        <w:rPr>
          <w:sz w:val="22"/>
          <w:szCs w:val="22"/>
          <w:u w:val="single"/>
        </w:rPr>
        <w:t xml:space="preserve"> </w:t>
      </w:r>
      <w:r w:rsidR="007C3101" w:rsidRPr="00F873C0">
        <w:rPr>
          <w:sz w:val="22"/>
          <w:szCs w:val="22"/>
          <w:u w:val="single"/>
        </w:rPr>
        <w:t xml:space="preserve">un esbozo de </w:t>
      </w:r>
      <w:r w:rsidR="00395997" w:rsidRPr="00F873C0">
        <w:rPr>
          <w:sz w:val="22"/>
          <w:szCs w:val="22"/>
          <w:u w:val="single"/>
        </w:rPr>
        <w:t>las implicaciones financieras</w:t>
      </w:r>
      <w:r w:rsidR="00204402">
        <w:rPr>
          <w:sz w:val="22"/>
          <w:szCs w:val="22"/>
          <w:u w:val="single"/>
        </w:rPr>
        <w:t xml:space="preserve"> elaborado</w:t>
      </w:r>
      <w:r w:rsidR="00A66DD1" w:rsidRPr="00F873C0">
        <w:rPr>
          <w:sz w:val="22"/>
          <w:szCs w:val="22"/>
          <w:u w:val="single"/>
        </w:rPr>
        <w:t xml:space="preserve"> </w:t>
      </w:r>
      <w:r w:rsidR="00204402" w:rsidRPr="00F873C0">
        <w:rPr>
          <w:sz w:val="22"/>
          <w:szCs w:val="22"/>
          <w:u w:val="single"/>
        </w:rPr>
        <w:t>con el asesoramiento de la Secretaría</w:t>
      </w:r>
      <w:r w:rsidR="00204402">
        <w:rPr>
          <w:sz w:val="22"/>
          <w:szCs w:val="22"/>
          <w:u w:val="single"/>
        </w:rPr>
        <w:t>,</w:t>
      </w:r>
      <w:r w:rsidR="00204402" w:rsidRPr="00F873C0">
        <w:rPr>
          <w:sz w:val="22"/>
          <w:szCs w:val="22"/>
          <w:u w:val="single"/>
        </w:rPr>
        <w:t xml:space="preserve"> </w:t>
      </w:r>
      <w:r w:rsidR="00A66DD1" w:rsidRPr="00F873C0">
        <w:rPr>
          <w:sz w:val="22"/>
          <w:szCs w:val="22"/>
          <w:u w:val="single"/>
        </w:rPr>
        <w:t>en anticipación de la presentación de un proyecto de resolución</w:t>
      </w:r>
      <w:r w:rsidR="001E0C6D" w:rsidRPr="00F873C0">
        <w:rPr>
          <w:sz w:val="22"/>
          <w:szCs w:val="22"/>
          <w:u w:val="single"/>
        </w:rPr>
        <w:t xml:space="preserve"> sobre </w:t>
      </w:r>
      <w:r w:rsidR="00631736" w:rsidRPr="00F873C0">
        <w:rPr>
          <w:sz w:val="22"/>
          <w:szCs w:val="22"/>
          <w:u w:val="single"/>
        </w:rPr>
        <w:t xml:space="preserve">la gestión de </w:t>
      </w:r>
      <w:r w:rsidR="001E0C6D" w:rsidRPr="00F873C0">
        <w:rPr>
          <w:sz w:val="22"/>
          <w:szCs w:val="22"/>
          <w:u w:val="single"/>
        </w:rPr>
        <w:t>las futuras actualizaciones periódicas del Portal</w:t>
      </w:r>
      <w:r w:rsidR="00631736" w:rsidRPr="00F873C0">
        <w:rPr>
          <w:sz w:val="22"/>
          <w:szCs w:val="22"/>
          <w:u w:val="single"/>
        </w:rPr>
        <w:t xml:space="preserve"> de </w:t>
      </w:r>
      <w:r w:rsidR="00631736" w:rsidRPr="00F873C0">
        <w:rPr>
          <w:i/>
          <w:sz w:val="22"/>
          <w:szCs w:val="22"/>
          <w:u w:val="single"/>
        </w:rPr>
        <w:t>Waterbird Population Estimates</w:t>
      </w:r>
      <w:r w:rsidR="00631736" w:rsidRPr="00F873C0">
        <w:rPr>
          <w:sz w:val="22"/>
          <w:szCs w:val="22"/>
          <w:u w:val="single"/>
        </w:rPr>
        <w:t xml:space="preserve"> en la próxima reunión de las Partes Contratantes</w:t>
      </w:r>
      <w:r w:rsidR="001E0C6D" w:rsidRPr="00F873C0">
        <w:rPr>
          <w:sz w:val="22"/>
          <w:szCs w:val="22"/>
          <w:u w:val="single"/>
        </w:rPr>
        <w:t xml:space="preserve"> </w:t>
      </w:r>
      <w:r w:rsidRPr="00F873C0">
        <w:rPr>
          <w:sz w:val="22"/>
          <w:szCs w:val="22"/>
        </w:rPr>
        <w:t>.</w:t>
      </w:r>
    </w:p>
    <w:p w14:paraId="74971DA0" w14:textId="645867AD" w:rsidR="00797875" w:rsidRPr="00F873C0" w:rsidRDefault="00797875" w:rsidP="00C45C60">
      <w:pPr>
        <w:pStyle w:val="Default"/>
        <w:ind w:left="425"/>
        <w:rPr>
          <w:sz w:val="22"/>
          <w:szCs w:val="22"/>
        </w:rPr>
      </w:pPr>
    </w:p>
    <w:p w14:paraId="0CB27809" w14:textId="14FA893D" w:rsidR="00797875" w:rsidRPr="00F873C0" w:rsidRDefault="00797875" w:rsidP="00797875">
      <w:pPr>
        <w:pStyle w:val="Default"/>
        <w:rPr>
          <w:sz w:val="22"/>
          <w:szCs w:val="22"/>
        </w:rPr>
      </w:pPr>
      <w:r w:rsidRPr="00F873C0">
        <w:rPr>
          <w:sz w:val="22"/>
          <w:szCs w:val="22"/>
        </w:rPr>
        <w:t xml:space="preserve">[párrafo adicional: </w:t>
      </w:r>
    </w:p>
    <w:p w14:paraId="35B3A845" w14:textId="257D27BE" w:rsidR="00797875" w:rsidRPr="00F873C0" w:rsidRDefault="003758FC" w:rsidP="00797875">
      <w:pPr>
        <w:pStyle w:val="Default"/>
        <w:rPr>
          <w:sz w:val="22"/>
          <w:szCs w:val="22"/>
        </w:rPr>
      </w:pPr>
      <w:r w:rsidRPr="00F873C0">
        <w:rPr>
          <w:sz w:val="22"/>
          <w:szCs w:val="22"/>
        </w:rPr>
        <w:t>ALIENTA a las Partes Contratantes, mediante su condición de miembro</w:t>
      </w:r>
      <w:r w:rsidR="00204402">
        <w:rPr>
          <w:sz w:val="22"/>
          <w:szCs w:val="22"/>
        </w:rPr>
        <w:t>s de</w:t>
      </w:r>
      <w:r w:rsidRPr="00F873C0">
        <w:rPr>
          <w:sz w:val="22"/>
          <w:szCs w:val="22"/>
        </w:rPr>
        <w:t xml:space="preserve"> </w:t>
      </w:r>
      <w:r w:rsidR="00797875" w:rsidRPr="00F873C0">
        <w:rPr>
          <w:sz w:val="22"/>
          <w:szCs w:val="22"/>
        </w:rPr>
        <w:t>Wetland</w:t>
      </w:r>
      <w:r w:rsidR="0041244A" w:rsidRPr="00F873C0">
        <w:rPr>
          <w:sz w:val="22"/>
          <w:szCs w:val="22"/>
        </w:rPr>
        <w:t>s</w:t>
      </w:r>
      <w:r w:rsidR="00797875" w:rsidRPr="00F873C0">
        <w:rPr>
          <w:sz w:val="22"/>
          <w:szCs w:val="22"/>
        </w:rPr>
        <w:t xml:space="preserve"> International, </w:t>
      </w:r>
      <w:r w:rsidR="0041244A" w:rsidRPr="00F873C0">
        <w:rPr>
          <w:sz w:val="22"/>
          <w:szCs w:val="22"/>
        </w:rPr>
        <w:t xml:space="preserve">a lograr que se conceda una mayor prioridad a la actualización de los datos </w:t>
      </w:r>
      <w:r w:rsidR="00F873C0" w:rsidRPr="00F873C0">
        <w:rPr>
          <w:sz w:val="22"/>
          <w:szCs w:val="22"/>
        </w:rPr>
        <w:t xml:space="preserve">sobre poblaciones por </w:t>
      </w:r>
      <w:r w:rsidR="00797875" w:rsidRPr="00F873C0">
        <w:rPr>
          <w:sz w:val="22"/>
          <w:szCs w:val="22"/>
        </w:rPr>
        <w:t>Wetlands International.]</w:t>
      </w:r>
    </w:p>
    <w:p w14:paraId="2E8E4F0F" w14:textId="77777777" w:rsidR="00797875" w:rsidRPr="00F873C0" w:rsidRDefault="00797875" w:rsidP="00C45C60">
      <w:pPr>
        <w:pStyle w:val="Default"/>
        <w:ind w:left="425"/>
        <w:rPr>
          <w:sz w:val="22"/>
          <w:szCs w:val="22"/>
        </w:rPr>
      </w:pPr>
    </w:p>
    <w:p w14:paraId="6ACB1565" w14:textId="0BB07696" w:rsidR="00E77A74" w:rsidRPr="00F873C0" w:rsidRDefault="00E77A74" w:rsidP="0012547A">
      <w:pPr>
        <w:pStyle w:val="Default"/>
        <w:rPr>
          <w:rFonts w:asciiTheme="minorHAnsi" w:hAnsiTheme="minorHAnsi" w:cstheme="minorHAnsi"/>
          <w:b/>
          <w:bCs/>
          <w:sz w:val="22"/>
          <w:szCs w:val="22"/>
        </w:rPr>
      </w:pPr>
      <w:r w:rsidRPr="00F873C0">
        <w:br w:type="column"/>
      </w:r>
      <w:r w:rsidRPr="00F873C0">
        <w:rPr>
          <w:rFonts w:asciiTheme="minorHAnsi" w:hAnsiTheme="minorHAnsi" w:cstheme="minorHAnsi"/>
          <w:b/>
          <w:bCs/>
          <w:sz w:val="22"/>
          <w:szCs w:val="22"/>
        </w:rPr>
        <w:lastRenderedPageBreak/>
        <w:t>Anexo 1</w:t>
      </w:r>
    </w:p>
    <w:p w14:paraId="26586898" w14:textId="2E4CA6F7" w:rsidR="00E77A74" w:rsidRPr="00F873C0" w:rsidRDefault="00E77A74" w:rsidP="00C45C60">
      <w:pPr>
        <w:pStyle w:val="Default"/>
        <w:ind w:left="425"/>
        <w:rPr>
          <w:rFonts w:asciiTheme="minorHAnsi" w:hAnsiTheme="minorHAnsi" w:cstheme="minorHAnsi"/>
          <w:b/>
          <w:bCs/>
          <w:sz w:val="22"/>
          <w:szCs w:val="22"/>
        </w:rPr>
      </w:pPr>
    </w:p>
    <w:p w14:paraId="15814D9B" w14:textId="62D4BD62" w:rsidR="004E0371" w:rsidRPr="00F873C0" w:rsidRDefault="00596213" w:rsidP="004E0371">
      <w:pPr>
        <w:pStyle w:val="DRText"/>
        <w:numPr>
          <w:ilvl w:val="0"/>
          <w:numId w:val="0"/>
        </w:numPr>
        <w:spacing w:after="0" w:line="240" w:lineRule="auto"/>
        <w:rPr>
          <w:rFonts w:asciiTheme="minorHAnsi" w:eastAsiaTheme="minorEastAsia" w:hAnsiTheme="minorHAnsi" w:cstheme="minorHAnsi"/>
          <w:b/>
          <w:bCs/>
          <w:color w:val="auto"/>
          <w:sz w:val="22"/>
          <w:szCs w:val="22"/>
        </w:rPr>
      </w:pPr>
      <w:r w:rsidRPr="00F873C0">
        <w:rPr>
          <w:rFonts w:asciiTheme="minorHAnsi" w:hAnsiTheme="minorHAnsi" w:cstheme="minorHAnsi"/>
          <w:b/>
          <w:bCs/>
          <w:sz w:val="22"/>
          <w:szCs w:val="22"/>
        </w:rPr>
        <w:t xml:space="preserve">Enmiendas al </w:t>
      </w:r>
      <w:r w:rsidRPr="00F873C0">
        <w:rPr>
          <w:rFonts w:asciiTheme="minorHAnsi" w:hAnsiTheme="minorHAnsi" w:cstheme="minorHAnsi"/>
          <w:b/>
          <w:bCs/>
          <w:i/>
          <w:iCs/>
          <w:sz w:val="22"/>
          <w:szCs w:val="22"/>
        </w:rPr>
        <w:t>Marco estratégico y lineamientos para el desarrollo futuro de la Lista de Humedales de Importancia Internacional de la Convención sobre los Humedales</w:t>
      </w:r>
      <w:r w:rsidRPr="00F873C0">
        <w:rPr>
          <w:rFonts w:asciiTheme="minorHAnsi" w:hAnsiTheme="minorHAnsi" w:cstheme="minorHAnsi"/>
          <w:b/>
          <w:bCs/>
          <w:sz w:val="22"/>
          <w:szCs w:val="22"/>
        </w:rPr>
        <w:t xml:space="preserve"> (Ramsar, Irán, 1971), revisión de 2012, (adoptado como Resolución XI.8, anexo 2, Rev. COP13</w:t>
      </w:r>
      <w:r w:rsidR="00BE07D5" w:rsidRPr="00F873C0">
        <w:rPr>
          <w:rFonts w:asciiTheme="minorHAnsi" w:hAnsiTheme="minorHAnsi" w:cstheme="minorHAnsi"/>
          <w:b/>
          <w:bCs/>
          <w:sz w:val="22"/>
          <w:szCs w:val="22"/>
        </w:rPr>
        <w:t>).</w:t>
      </w:r>
    </w:p>
    <w:p w14:paraId="1C8AE60A" w14:textId="77777777" w:rsidR="004E0371" w:rsidRPr="00F873C0" w:rsidRDefault="004E0371" w:rsidP="004E0371">
      <w:pPr>
        <w:pStyle w:val="DRText"/>
        <w:numPr>
          <w:ilvl w:val="0"/>
          <w:numId w:val="0"/>
        </w:numPr>
        <w:spacing w:after="0" w:line="240" w:lineRule="auto"/>
        <w:rPr>
          <w:b/>
          <w:bCs/>
        </w:rPr>
      </w:pPr>
    </w:p>
    <w:p w14:paraId="17A7BFFD" w14:textId="6A9B3735" w:rsidR="004E0371" w:rsidRPr="00F873C0" w:rsidRDefault="003347DB" w:rsidP="004E0371">
      <w:pPr>
        <w:pStyle w:val="DRText"/>
        <w:numPr>
          <w:ilvl w:val="0"/>
          <w:numId w:val="0"/>
        </w:numPr>
        <w:spacing w:after="0" w:line="240" w:lineRule="auto"/>
        <w:rPr>
          <w:rFonts w:ascii="Calibri" w:hAnsi="Calibri" w:cs="Calibri"/>
          <w:sz w:val="22"/>
          <w:szCs w:val="22"/>
        </w:rPr>
      </w:pPr>
      <w:r w:rsidRPr="00F873C0">
        <w:rPr>
          <w:rFonts w:ascii="Calibri" w:hAnsi="Calibri"/>
          <w:sz w:val="22"/>
          <w:szCs w:val="22"/>
        </w:rPr>
        <w:t>Suprimir y sustituir el párrafo 90 como sigue:</w:t>
      </w:r>
    </w:p>
    <w:p w14:paraId="5FA1D214" w14:textId="77777777" w:rsidR="00E07ECC" w:rsidRPr="00F873C0" w:rsidRDefault="00E07ECC" w:rsidP="004E0371">
      <w:pPr>
        <w:pStyle w:val="DRText"/>
        <w:numPr>
          <w:ilvl w:val="0"/>
          <w:numId w:val="0"/>
        </w:numPr>
        <w:spacing w:after="0" w:line="240" w:lineRule="auto"/>
        <w:rPr>
          <w:rFonts w:ascii="Calibri" w:hAnsi="Calibri" w:cs="Calibri"/>
          <w:sz w:val="22"/>
          <w:szCs w:val="22"/>
        </w:rPr>
      </w:pPr>
    </w:p>
    <w:p w14:paraId="197D02C9" w14:textId="3ADFDAF9" w:rsidR="004E0371" w:rsidRPr="00F873C0" w:rsidRDefault="004E0371" w:rsidP="004E0371">
      <w:pPr>
        <w:pStyle w:val="DRText"/>
        <w:numPr>
          <w:ilvl w:val="0"/>
          <w:numId w:val="0"/>
        </w:numPr>
        <w:spacing w:after="0" w:line="240" w:lineRule="auto"/>
        <w:rPr>
          <w:rFonts w:asciiTheme="minorHAnsi" w:eastAsiaTheme="minorEastAsia" w:hAnsiTheme="minorHAnsi" w:cstheme="minorBidi"/>
          <w:color w:val="auto"/>
          <w:sz w:val="22"/>
          <w:szCs w:val="22"/>
        </w:rPr>
      </w:pPr>
      <w:r w:rsidRPr="00F873C0">
        <w:rPr>
          <w:rFonts w:asciiTheme="minorHAnsi" w:hAnsiTheme="minorHAnsi"/>
          <w:color w:val="auto"/>
          <w:sz w:val="22"/>
          <w:szCs w:val="22"/>
        </w:rPr>
        <w:t xml:space="preserve">En el caso de las aves acuáticas, utilice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(Estimaciones de las poblaciones de aves acuáticas) como la fuente de información definitiva sobre poblaciones y taxonomía de especies (véanse también las secciones 6.1.5 y 6.1.6 más adelante) (Tenga en cuenta que son muy pocas las diferencias entre las nomenclaturas adoptadas por </w:t>
      </w:r>
      <w:r w:rsidRPr="00F873C0">
        <w:rPr>
          <w:rFonts w:asciiTheme="minorHAnsi" w:hAnsiTheme="minorHAnsi"/>
          <w:i/>
          <w:iCs/>
          <w:color w:val="auto"/>
          <w:sz w:val="22"/>
          <w:szCs w:val="22"/>
        </w:rPr>
        <w:t>Waterbird Population Estimates</w:t>
      </w:r>
      <w:r w:rsidRPr="00F873C0">
        <w:rPr>
          <w:rFonts w:asciiTheme="minorHAnsi" w:hAnsiTheme="minorHAnsi"/>
          <w:color w:val="auto"/>
          <w:sz w:val="22"/>
          <w:szCs w:val="22"/>
        </w:rPr>
        <w:t xml:space="preserve"> y la CITES). La fuente bibliográfica más actual es Waterbird Population Estimates, 5ª edición, disponible en el Portal sobre Poblaciones de Aves Acuáticas.</w:t>
      </w:r>
    </w:p>
    <w:p w14:paraId="6BE0A37F" w14:textId="77777777" w:rsidR="004E0371" w:rsidRPr="00F873C0" w:rsidRDefault="004E0371" w:rsidP="004E0371">
      <w:pPr>
        <w:pStyle w:val="DRText"/>
        <w:numPr>
          <w:ilvl w:val="0"/>
          <w:numId w:val="0"/>
        </w:numPr>
        <w:spacing w:after="0" w:line="240" w:lineRule="auto"/>
      </w:pPr>
    </w:p>
    <w:p w14:paraId="23ED2E1C" w14:textId="30F2A965" w:rsidR="004E0371" w:rsidRPr="00F873C0" w:rsidRDefault="004E0371" w:rsidP="004E0371">
      <w:pPr>
        <w:pStyle w:val="DRText"/>
        <w:numPr>
          <w:ilvl w:val="0"/>
          <w:numId w:val="0"/>
        </w:numPr>
        <w:spacing w:after="0" w:line="240" w:lineRule="auto"/>
        <w:rPr>
          <w:rFonts w:asciiTheme="minorHAnsi" w:hAnsiTheme="minorHAnsi" w:cstheme="minorHAnsi"/>
          <w:sz w:val="22"/>
          <w:szCs w:val="22"/>
        </w:rPr>
      </w:pPr>
      <w:r w:rsidRPr="00F873C0">
        <w:rPr>
          <w:rFonts w:asciiTheme="minorHAnsi" w:hAnsiTheme="minorHAnsi"/>
          <w:sz w:val="22"/>
          <w:szCs w:val="22"/>
        </w:rPr>
        <w:t>Modificar el párrafo 197 insertando el nuevo texto en cursiva, como sigue:</w:t>
      </w:r>
    </w:p>
    <w:p w14:paraId="5D0E9C19" w14:textId="77777777" w:rsidR="004E0371" w:rsidRPr="00F873C0" w:rsidRDefault="004E0371" w:rsidP="004E0371">
      <w:pPr>
        <w:pStyle w:val="DRText"/>
        <w:numPr>
          <w:ilvl w:val="0"/>
          <w:numId w:val="0"/>
        </w:numPr>
        <w:spacing w:after="0" w:line="240" w:lineRule="auto"/>
      </w:pPr>
    </w:p>
    <w:p w14:paraId="14874034" w14:textId="460F5DA1" w:rsidR="004E0371" w:rsidRPr="00F873C0" w:rsidRDefault="004E0371" w:rsidP="004E0371">
      <w:bookmarkStart w:id="1" w:name="_Hlk94623804"/>
      <w:r w:rsidRPr="00F873C0">
        <w:t xml:space="preserve">197. En la publicación periódica </w:t>
      </w:r>
      <w:r w:rsidRPr="00F873C0">
        <w:rPr>
          <w:i/>
          <w:iCs/>
        </w:rPr>
        <w:t>Waterbird Population Estimates</w:t>
      </w:r>
      <w:r w:rsidRPr="00F873C0">
        <w:t xml:space="preserve"> (Estimaciones de las poblaciones de aves acuáticas) de Wetland</w:t>
      </w:r>
      <w:r w:rsidR="00CB66CE" w:rsidRPr="00F873C0">
        <w:t>s</w:t>
      </w:r>
      <w:r w:rsidRPr="00F873C0">
        <w:t xml:space="preserve"> International, disponible en el Portal sobre Poblaciones de Aves Acuáticas, también están disponibles las estimaciones actuales de los tamaños de todas las poblaciones de especies de aves acuáticas así como los umbrales del 1% para las poblaciones de las que se cuenta con una estimación fiable del tamaño de su población En caso de aplicar este Criterio a una especie o población de ave acuática de la que no se recogen datos en la mencionada publicación o para la cual esa publicación no señala cuál es el umbral del 1% </w:t>
      </w:r>
      <w:r w:rsidRPr="00F873C0">
        <w:rPr>
          <w:i/>
          <w:iCs/>
        </w:rPr>
        <w:t>o el umbral proporcionado se considera obsoleto, se podrá utilizar una fuente alternativa para la estimación del tamaño de la población y se deberán comunicar los detalles de dicha fuente</w:t>
      </w:r>
      <w:r w:rsidRPr="00F873C0">
        <w:t xml:space="preserve">, tanto a la Secretaría (para que mantenga un registro de esos casos) como a Wetlands International (para que los examine e incluya en actualizaciones futuras de </w:t>
      </w:r>
      <w:r w:rsidRPr="00F873C0">
        <w:rPr>
          <w:i/>
          <w:iCs/>
        </w:rPr>
        <w:t>Waterbird Population Estimates</w:t>
      </w:r>
      <w:r w:rsidRPr="00F873C0">
        <w:t>);</w:t>
      </w:r>
    </w:p>
    <w:p w14:paraId="23B6CB8E" w14:textId="77777777" w:rsidR="004E0371" w:rsidRPr="00F873C0" w:rsidRDefault="004E0371" w:rsidP="004E0371">
      <w:pPr>
        <w:pStyle w:val="DRText"/>
        <w:numPr>
          <w:ilvl w:val="0"/>
          <w:numId w:val="0"/>
        </w:numPr>
        <w:spacing w:after="0" w:line="240" w:lineRule="auto"/>
        <w:rPr>
          <w:rFonts w:ascii="Calibri" w:hAnsi="Calibri" w:cs="Calibri"/>
          <w:sz w:val="22"/>
          <w:szCs w:val="22"/>
        </w:rPr>
      </w:pPr>
    </w:p>
    <w:p w14:paraId="36ABD70F" w14:textId="68410691" w:rsidR="004E0371" w:rsidRPr="00F873C0" w:rsidRDefault="004E0371" w:rsidP="004E0371">
      <w:pPr>
        <w:pStyle w:val="DRText"/>
        <w:numPr>
          <w:ilvl w:val="0"/>
          <w:numId w:val="0"/>
        </w:numPr>
        <w:spacing w:after="0" w:line="240" w:lineRule="auto"/>
        <w:rPr>
          <w:rFonts w:ascii="Calibri" w:hAnsi="Calibri" w:cs="Calibri"/>
          <w:sz w:val="22"/>
          <w:szCs w:val="22"/>
        </w:rPr>
      </w:pPr>
      <w:r w:rsidRPr="00F873C0">
        <w:rPr>
          <w:rFonts w:ascii="Calibri" w:hAnsi="Calibri"/>
          <w:sz w:val="22"/>
          <w:szCs w:val="22"/>
        </w:rPr>
        <w:t>Después del párrafo 207, insertar el siguiente párrafo:</w:t>
      </w:r>
    </w:p>
    <w:p w14:paraId="7966376F" w14:textId="77777777" w:rsidR="004E0371" w:rsidRPr="00F873C0" w:rsidRDefault="004E0371" w:rsidP="004E0371"/>
    <w:p w14:paraId="6169871F" w14:textId="77777777" w:rsidR="004E0371" w:rsidRPr="00F873C0" w:rsidRDefault="004E0371" w:rsidP="004E0371">
      <w:r w:rsidRPr="00F873C0">
        <w:t xml:space="preserve">207(a). También se podrá utilizar una fuente alternativa cuando se considere que las estimaciones de las poblaciones publicadas en la edición actual de </w:t>
      </w:r>
      <w:r w:rsidRPr="00F873C0">
        <w:rPr>
          <w:i/>
          <w:iCs/>
        </w:rPr>
        <w:t>Waterbird Population Estimates</w:t>
      </w:r>
      <w:r w:rsidRPr="00F873C0">
        <w:t xml:space="preserve"> son obsoletas.</w:t>
      </w:r>
    </w:p>
    <w:bookmarkEnd w:id="1"/>
    <w:p w14:paraId="28719C63" w14:textId="77777777" w:rsidR="004E0371" w:rsidRPr="00F873C0" w:rsidRDefault="004E0371" w:rsidP="004E0371">
      <w:pPr>
        <w:rPr>
          <w:rFonts w:cstheme="minorHAnsi"/>
          <w:b/>
          <w:bCs/>
          <w:iCs/>
        </w:rPr>
      </w:pPr>
    </w:p>
    <w:p w14:paraId="5DA97464" w14:textId="74E31D4E" w:rsidR="00B37CD9" w:rsidRPr="00F873C0" w:rsidRDefault="003347DB" w:rsidP="004E0371">
      <w:pPr>
        <w:pStyle w:val="DRText"/>
        <w:numPr>
          <w:ilvl w:val="0"/>
          <w:numId w:val="0"/>
        </w:numPr>
        <w:spacing w:after="0" w:line="240" w:lineRule="auto"/>
        <w:rPr>
          <w:rFonts w:asciiTheme="minorHAnsi" w:hAnsiTheme="minorHAnsi" w:cstheme="minorHAnsi"/>
          <w:sz w:val="22"/>
          <w:szCs w:val="22"/>
        </w:rPr>
      </w:pPr>
      <w:r w:rsidRPr="00F873C0">
        <w:rPr>
          <w:rFonts w:ascii="Calibri" w:hAnsi="Calibri"/>
          <w:sz w:val="22"/>
          <w:szCs w:val="22"/>
        </w:rPr>
        <w:t>Eliminar los enlaces existentes y modificar el párrafo 210 como sigue:</w:t>
      </w:r>
    </w:p>
    <w:p w14:paraId="10721A9D" w14:textId="3ED8CF9F" w:rsidR="004E0371" w:rsidRPr="00F873C0" w:rsidRDefault="004E0371" w:rsidP="004E0371">
      <w:r w:rsidRPr="00F873C0">
        <w:t xml:space="preserve">Censo Internacional de Aves Acuáticas: Wetlands International, </w:t>
      </w:r>
      <w:hyperlink r:id="rId8" w:history="1">
        <w:r w:rsidRPr="00F873C0">
          <w:rPr>
            <w:rStyle w:val="Hyperlink"/>
          </w:rPr>
          <w:t>https://www.wetlands.org/IWC</w:t>
        </w:r>
      </w:hyperlink>
      <w:r w:rsidRPr="00F873C0">
        <w:t xml:space="preserve"> y la publicación </w:t>
      </w:r>
      <w:r w:rsidRPr="00F873C0">
        <w:rPr>
          <w:i/>
          <w:iCs/>
        </w:rPr>
        <w:t>W</w:t>
      </w:r>
      <w:r w:rsidRPr="00F873C0">
        <w:t>a</w:t>
      </w:r>
      <w:r w:rsidRPr="00F873C0">
        <w:rPr>
          <w:i/>
          <w:iCs/>
        </w:rPr>
        <w:t xml:space="preserve">terbird Population Estimates </w:t>
      </w:r>
      <w:r w:rsidRPr="00F873C0">
        <w:t>disponible en a través del Portal sobre Poblaciones de Aves Acuáticas,</w:t>
      </w:r>
      <w:r w:rsidRPr="00F873C0">
        <w:rPr>
          <w:i/>
          <w:iCs/>
        </w:rPr>
        <w:t xml:space="preserve"> https://wpp.wetlands.org/</w:t>
      </w:r>
      <w:r w:rsidRPr="00F873C0">
        <w:t>.</w:t>
      </w:r>
    </w:p>
    <w:p w14:paraId="1A351CCE" w14:textId="522F67BF" w:rsidR="00DE7844" w:rsidRPr="00F873C0" w:rsidRDefault="00DE7844" w:rsidP="00975274"/>
    <w:sectPr w:rsidR="00DE7844" w:rsidRPr="00F873C0" w:rsidSect="00192BA6">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0F0" w14:textId="77777777" w:rsidR="00E9650A" w:rsidRDefault="00E9650A" w:rsidP="00494467">
      <w:r>
        <w:separator/>
      </w:r>
    </w:p>
  </w:endnote>
  <w:endnote w:type="continuationSeparator" w:id="0">
    <w:p w14:paraId="2A2168E9" w14:textId="77777777" w:rsidR="00E9650A" w:rsidRDefault="00E9650A"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6FAFA03C" w:rsidR="00D60EAB" w:rsidRPr="00D85324" w:rsidRDefault="00192BA6" w:rsidP="00D81003">
    <w:pPr>
      <w:pStyle w:val="Footer"/>
      <w:tabs>
        <w:tab w:val="clear" w:pos="9026"/>
        <w:tab w:val="right" w:pos="13892"/>
      </w:tabs>
      <w:rPr>
        <w:sz w:val="20"/>
        <w:szCs w:val="20"/>
      </w:rPr>
    </w:pPr>
    <w:r>
      <w:rPr>
        <w:sz w:val="20"/>
        <w:szCs w:val="20"/>
      </w:rPr>
      <w:t>SC59/2022 Doc.24.13</w:t>
    </w:r>
    <w:r w:rsidR="00D125B2">
      <w:rPr>
        <w:sz w:val="20"/>
        <w:szCs w:val="20"/>
      </w:rPr>
      <w:t xml:space="preserve"> Rev.1</w:t>
    </w:r>
    <w:r w:rsidR="00D60EAB">
      <w:rPr>
        <w:sz w:val="20"/>
        <w:szCs w:val="20"/>
      </w:rPr>
      <w:tab/>
    </w:r>
    <w:r w:rsidR="00D60EAB">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AA2B1E">
      <w:rPr>
        <w:noProof/>
        <w:sz w:val="20"/>
        <w:szCs w:val="20"/>
      </w:rPr>
      <w:t>6</w:t>
    </w:r>
    <w:r w:rsidR="00D60EAB" w:rsidRPr="00D8532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30D4" w14:textId="77777777" w:rsidR="00E9650A" w:rsidRDefault="00E9650A" w:rsidP="00494467">
      <w:r>
        <w:separator/>
      </w:r>
    </w:p>
  </w:footnote>
  <w:footnote w:type="continuationSeparator" w:id="0">
    <w:p w14:paraId="59BDA6D0" w14:textId="77777777" w:rsidR="00E9650A" w:rsidRDefault="00E9650A"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CB029634"/>
    <w:lvl w:ilvl="0" w:tplc="DA34A26E">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5"/>
  </w:num>
  <w:num w:numId="8">
    <w:abstractNumId w:val="3"/>
  </w:num>
  <w:num w:numId="9">
    <w:abstractNumId w:val="30"/>
  </w:num>
  <w:num w:numId="10">
    <w:abstractNumId w:val="20"/>
  </w:num>
  <w:num w:numId="11">
    <w:abstractNumId w:val="40"/>
  </w:num>
  <w:num w:numId="12">
    <w:abstractNumId w:val="23"/>
  </w:num>
  <w:num w:numId="13">
    <w:abstractNumId w:val="31"/>
  </w:num>
  <w:num w:numId="14">
    <w:abstractNumId w:val="15"/>
  </w:num>
  <w:num w:numId="15">
    <w:abstractNumId w:val="27"/>
  </w:num>
  <w:num w:numId="16">
    <w:abstractNumId w:val="19"/>
  </w:num>
  <w:num w:numId="17">
    <w:abstractNumId w:val="24"/>
  </w:num>
  <w:num w:numId="18">
    <w:abstractNumId w:val="34"/>
  </w:num>
  <w:num w:numId="19">
    <w:abstractNumId w:val="33"/>
  </w:num>
  <w:num w:numId="20">
    <w:abstractNumId w:val="38"/>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29"/>
  </w:num>
  <w:num w:numId="26">
    <w:abstractNumId w:val="28"/>
  </w:num>
  <w:num w:numId="27">
    <w:abstractNumId w:val="39"/>
  </w:num>
  <w:num w:numId="28">
    <w:abstractNumId w:val="26"/>
  </w:num>
  <w:num w:numId="29">
    <w:abstractNumId w:val="11"/>
  </w:num>
  <w:num w:numId="30">
    <w:abstractNumId w:val="4"/>
  </w:num>
  <w:num w:numId="31">
    <w:abstractNumId w:val="12"/>
  </w:num>
  <w:num w:numId="32">
    <w:abstractNumId w:val="5"/>
  </w:num>
  <w:num w:numId="33">
    <w:abstractNumId w:val="22"/>
  </w:num>
  <w:num w:numId="34">
    <w:abstractNumId w:val="10"/>
  </w:num>
  <w:num w:numId="35">
    <w:abstractNumId w:val="37"/>
  </w:num>
  <w:num w:numId="36">
    <w:abstractNumId w:val="0"/>
  </w:num>
  <w:num w:numId="37">
    <w:abstractNumId w:val="2"/>
  </w:num>
  <w:num w:numId="38">
    <w:abstractNumId w:val="17"/>
  </w:num>
  <w:num w:numId="39">
    <w:abstractNumId w:val="25"/>
  </w:num>
  <w:num w:numId="40">
    <w:abstractNumId w:val="31"/>
  </w:num>
  <w:num w:numId="41">
    <w:abstractNumId w:val="31"/>
  </w:num>
  <w:num w:numId="42">
    <w:abstractNumId w:val="31"/>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304F5"/>
    <w:rsid w:val="00030B4E"/>
    <w:rsid w:val="000328D1"/>
    <w:rsid w:val="00035772"/>
    <w:rsid w:val="00043388"/>
    <w:rsid w:val="000443DD"/>
    <w:rsid w:val="000521EB"/>
    <w:rsid w:val="00052B6B"/>
    <w:rsid w:val="00056725"/>
    <w:rsid w:val="00062521"/>
    <w:rsid w:val="00064FED"/>
    <w:rsid w:val="000651DD"/>
    <w:rsid w:val="00066602"/>
    <w:rsid w:val="000729E7"/>
    <w:rsid w:val="00074343"/>
    <w:rsid w:val="00075F35"/>
    <w:rsid w:val="0008029A"/>
    <w:rsid w:val="0008220C"/>
    <w:rsid w:val="00083634"/>
    <w:rsid w:val="000861B3"/>
    <w:rsid w:val="00087EA4"/>
    <w:rsid w:val="00090A7D"/>
    <w:rsid w:val="000912D6"/>
    <w:rsid w:val="00094BA3"/>
    <w:rsid w:val="00097AB9"/>
    <w:rsid w:val="000A00C0"/>
    <w:rsid w:val="000A2346"/>
    <w:rsid w:val="000A47C3"/>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41A3"/>
    <w:rsid w:val="0010444F"/>
    <w:rsid w:val="00107557"/>
    <w:rsid w:val="00111DD7"/>
    <w:rsid w:val="001146DD"/>
    <w:rsid w:val="00116C33"/>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C63"/>
    <w:rsid w:val="00183708"/>
    <w:rsid w:val="00183E75"/>
    <w:rsid w:val="001841B2"/>
    <w:rsid w:val="00187DC0"/>
    <w:rsid w:val="00190DBB"/>
    <w:rsid w:val="001920B0"/>
    <w:rsid w:val="00192BA6"/>
    <w:rsid w:val="0019373A"/>
    <w:rsid w:val="001937B3"/>
    <w:rsid w:val="00197364"/>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0C6D"/>
    <w:rsid w:val="001E3239"/>
    <w:rsid w:val="001E36CF"/>
    <w:rsid w:val="001E3D08"/>
    <w:rsid w:val="001E5E58"/>
    <w:rsid w:val="001F0A0F"/>
    <w:rsid w:val="001F0C3F"/>
    <w:rsid w:val="001F0FDC"/>
    <w:rsid w:val="001F25E9"/>
    <w:rsid w:val="001F38AA"/>
    <w:rsid w:val="001F4BC1"/>
    <w:rsid w:val="001F74B1"/>
    <w:rsid w:val="00201A87"/>
    <w:rsid w:val="00201FA0"/>
    <w:rsid w:val="00204402"/>
    <w:rsid w:val="00205313"/>
    <w:rsid w:val="002053AF"/>
    <w:rsid w:val="0020553F"/>
    <w:rsid w:val="00205AA1"/>
    <w:rsid w:val="00205E62"/>
    <w:rsid w:val="00206FBA"/>
    <w:rsid w:val="00207AD2"/>
    <w:rsid w:val="00211B42"/>
    <w:rsid w:val="00215C46"/>
    <w:rsid w:val="00215D3D"/>
    <w:rsid w:val="00216E35"/>
    <w:rsid w:val="0022054A"/>
    <w:rsid w:val="002258BB"/>
    <w:rsid w:val="00227E6E"/>
    <w:rsid w:val="0023274B"/>
    <w:rsid w:val="00233FFF"/>
    <w:rsid w:val="00236EBA"/>
    <w:rsid w:val="00241E3C"/>
    <w:rsid w:val="00242AEC"/>
    <w:rsid w:val="00245C0A"/>
    <w:rsid w:val="002478BA"/>
    <w:rsid w:val="002576F2"/>
    <w:rsid w:val="00257ED5"/>
    <w:rsid w:val="002608A0"/>
    <w:rsid w:val="0026466F"/>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A6A58"/>
    <w:rsid w:val="002B559B"/>
    <w:rsid w:val="002B5ADC"/>
    <w:rsid w:val="002B78B1"/>
    <w:rsid w:val="002C102E"/>
    <w:rsid w:val="002C2CAE"/>
    <w:rsid w:val="002C34FE"/>
    <w:rsid w:val="002D04A6"/>
    <w:rsid w:val="002D1D41"/>
    <w:rsid w:val="002D2700"/>
    <w:rsid w:val="002D3E55"/>
    <w:rsid w:val="002D4E0B"/>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DFE"/>
    <w:rsid w:val="00302BF9"/>
    <w:rsid w:val="00303EE3"/>
    <w:rsid w:val="00305819"/>
    <w:rsid w:val="00305F38"/>
    <w:rsid w:val="00306CFE"/>
    <w:rsid w:val="003104AE"/>
    <w:rsid w:val="00313363"/>
    <w:rsid w:val="00316F75"/>
    <w:rsid w:val="00320074"/>
    <w:rsid w:val="003214A8"/>
    <w:rsid w:val="00322330"/>
    <w:rsid w:val="00327534"/>
    <w:rsid w:val="0033279A"/>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8FC"/>
    <w:rsid w:val="003759E3"/>
    <w:rsid w:val="003778CE"/>
    <w:rsid w:val="003812B1"/>
    <w:rsid w:val="00381921"/>
    <w:rsid w:val="0038304E"/>
    <w:rsid w:val="00383B97"/>
    <w:rsid w:val="00383FA9"/>
    <w:rsid w:val="0039018A"/>
    <w:rsid w:val="00391157"/>
    <w:rsid w:val="00391B72"/>
    <w:rsid w:val="00391DAA"/>
    <w:rsid w:val="0039229E"/>
    <w:rsid w:val="00393DC9"/>
    <w:rsid w:val="00394124"/>
    <w:rsid w:val="00394EC1"/>
    <w:rsid w:val="00395997"/>
    <w:rsid w:val="003A09C2"/>
    <w:rsid w:val="003A1B90"/>
    <w:rsid w:val="003A5B73"/>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47C5"/>
    <w:rsid w:val="003F64C4"/>
    <w:rsid w:val="003F6A6D"/>
    <w:rsid w:val="003F6AE8"/>
    <w:rsid w:val="0040283F"/>
    <w:rsid w:val="00402DEA"/>
    <w:rsid w:val="004041B5"/>
    <w:rsid w:val="004106A1"/>
    <w:rsid w:val="00411533"/>
    <w:rsid w:val="0041244A"/>
    <w:rsid w:val="0041478B"/>
    <w:rsid w:val="004149F5"/>
    <w:rsid w:val="00417B2D"/>
    <w:rsid w:val="00421B2F"/>
    <w:rsid w:val="00424A3A"/>
    <w:rsid w:val="004268F9"/>
    <w:rsid w:val="00427974"/>
    <w:rsid w:val="00427FEF"/>
    <w:rsid w:val="00432272"/>
    <w:rsid w:val="00435CCE"/>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3E03"/>
    <w:rsid w:val="004656E0"/>
    <w:rsid w:val="00466D69"/>
    <w:rsid w:val="0046765B"/>
    <w:rsid w:val="004715ED"/>
    <w:rsid w:val="00474A42"/>
    <w:rsid w:val="0047576A"/>
    <w:rsid w:val="004801C0"/>
    <w:rsid w:val="00481074"/>
    <w:rsid w:val="00481543"/>
    <w:rsid w:val="00484C80"/>
    <w:rsid w:val="00490019"/>
    <w:rsid w:val="004914BF"/>
    <w:rsid w:val="00491701"/>
    <w:rsid w:val="004927D8"/>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47C1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4033"/>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2A7"/>
    <w:rsid w:val="005B1E2B"/>
    <w:rsid w:val="005B3FD3"/>
    <w:rsid w:val="005B45DA"/>
    <w:rsid w:val="005B4625"/>
    <w:rsid w:val="005B6610"/>
    <w:rsid w:val="005B6E14"/>
    <w:rsid w:val="005C0686"/>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07184"/>
    <w:rsid w:val="00616AA0"/>
    <w:rsid w:val="006174A5"/>
    <w:rsid w:val="00617A39"/>
    <w:rsid w:val="006228A5"/>
    <w:rsid w:val="00624D36"/>
    <w:rsid w:val="00631736"/>
    <w:rsid w:val="006326D4"/>
    <w:rsid w:val="00632A25"/>
    <w:rsid w:val="00632A76"/>
    <w:rsid w:val="0063374E"/>
    <w:rsid w:val="00635182"/>
    <w:rsid w:val="006416BA"/>
    <w:rsid w:val="006417D4"/>
    <w:rsid w:val="006438A5"/>
    <w:rsid w:val="0064526D"/>
    <w:rsid w:val="00645552"/>
    <w:rsid w:val="006460BA"/>
    <w:rsid w:val="0065251B"/>
    <w:rsid w:val="00656BF2"/>
    <w:rsid w:val="00656F65"/>
    <w:rsid w:val="00661935"/>
    <w:rsid w:val="00662E79"/>
    <w:rsid w:val="0066587C"/>
    <w:rsid w:val="006663B9"/>
    <w:rsid w:val="0066779B"/>
    <w:rsid w:val="00670D59"/>
    <w:rsid w:val="006732B6"/>
    <w:rsid w:val="0067477A"/>
    <w:rsid w:val="00680C07"/>
    <w:rsid w:val="0068264F"/>
    <w:rsid w:val="00687B47"/>
    <w:rsid w:val="00695709"/>
    <w:rsid w:val="006964FF"/>
    <w:rsid w:val="006976C5"/>
    <w:rsid w:val="006A0C28"/>
    <w:rsid w:val="006A3A9B"/>
    <w:rsid w:val="006A4C54"/>
    <w:rsid w:val="006A6FE3"/>
    <w:rsid w:val="006A715A"/>
    <w:rsid w:val="006B15F4"/>
    <w:rsid w:val="006B3ED3"/>
    <w:rsid w:val="006B500D"/>
    <w:rsid w:val="006B5F27"/>
    <w:rsid w:val="006B71D4"/>
    <w:rsid w:val="006C055C"/>
    <w:rsid w:val="006C422F"/>
    <w:rsid w:val="006C4245"/>
    <w:rsid w:val="006C4F31"/>
    <w:rsid w:val="006C520F"/>
    <w:rsid w:val="006C60E8"/>
    <w:rsid w:val="006C6FA4"/>
    <w:rsid w:val="006D052E"/>
    <w:rsid w:val="006D08B8"/>
    <w:rsid w:val="006D09FB"/>
    <w:rsid w:val="006D105E"/>
    <w:rsid w:val="006D214E"/>
    <w:rsid w:val="006D2D55"/>
    <w:rsid w:val="006D31CA"/>
    <w:rsid w:val="006D32DE"/>
    <w:rsid w:val="006D6080"/>
    <w:rsid w:val="006E09C4"/>
    <w:rsid w:val="006E39F5"/>
    <w:rsid w:val="006E3ACA"/>
    <w:rsid w:val="006E58E2"/>
    <w:rsid w:val="006F0677"/>
    <w:rsid w:val="006F2124"/>
    <w:rsid w:val="006F43A5"/>
    <w:rsid w:val="006F4B9E"/>
    <w:rsid w:val="006F513A"/>
    <w:rsid w:val="006F7B5E"/>
    <w:rsid w:val="00700FE1"/>
    <w:rsid w:val="00701469"/>
    <w:rsid w:val="00701BE4"/>
    <w:rsid w:val="00701F93"/>
    <w:rsid w:val="00702385"/>
    <w:rsid w:val="00702C2D"/>
    <w:rsid w:val="00702E31"/>
    <w:rsid w:val="00702F0F"/>
    <w:rsid w:val="0070439D"/>
    <w:rsid w:val="007045F0"/>
    <w:rsid w:val="007067FF"/>
    <w:rsid w:val="007124F3"/>
    <w:rsid w:val="0071291D"/>
    <w:rsid w:val="00712F99"/>
    <w:rsid w:val="00713DE6"/>
    <w:rsid w:val="0071738F"/>
    <w:rsid w:val="007175E6"/>
    <w:rsid w:val="007176D1"/>
    <w:rsid w:val="0072246B"/>
    <w:rsid w:val="00724A09"/>
    <w:rsid w:val="00727B62"/>
    <w:rsid w:val="007306B1"/>
    <w:rsid w:val="007314E4"/>
    <w:rsid w:val="00735FF3"/>
    <w:rsid w:val="0074194F"/>
    <w:rsid w:val="00743C00"/>
    <w:rsid w:val="00743E28"/>
    <w:rsid w:val="007632A2"/>
    <w:rsid w:val="00763B1B"/>
    <w:rsid w:val="00763D73"/>
    <w:rsid w:val="00766DD0"/>
    <w:rsid w:val="00766EE9"/>
    <w:rsid w:val="007671DE"/>
    <w:rsid w:val="007721D0"/>
    <w:rsid w:val="00772245"/>
    <w:rsid w:val="00773EE1"/>
    <w:rsid w:val="0078160D"/>
    <w:rsid w:val="007821A9"/>
    <w:rsid w:val="007830A4"/>
    <w:rsid w:val="00783D43"/>
    <w:rsid w:val="00790790"/>
    <w:rsid w:val="00790886"/>
    <w:rsid w:val="007910F7"/>
    <w:rsid w:val="00793708"/>
    <w:rsid w:val="007959CF"/>
    <w:rsid w:val="00795D64"/>
    <w:rsid w:val="00796D41"/>
    <w:rsid w:val="00797875"/>
    <w:rsid w:val="00797C56"/>
    <w:rsid w:val="007A0094"/>
    <w:rsid w:val="007A1397"/>
    <w:rsid w:val="007A17CE"/>
    <w:rsid w:val="007A4DC3"/>
    <w:rsid w:val="007A5FA3"/>
    <w:rsid w:val="007A7F5B"/>
    <w:rsid w:val="007B0490"/>
    <w:rsid w:val="007B2698"/>
    <w:rsid w:val="007B2EAD"/>
    <w:rsid w:val="007B56DC"/>
    <w:rsid w:val="007B59A3"/>
    <w:rsid w:val="007B6BFB"/>
    <w:rsid w:val="007C012D"/>
    <w:rsid w:val="007C07DF"/>
    <w:rsid w:val="007C111E"/>
    <w:rsid w:val="007C1BFC"/>
    <w:rsid w:val="007C3101"/>
    <w:rsid w:val="007C3A07"/>
    <w:rsid w:val="007C52D5"/>
    <w:rsid w:val="007D0CFD"/>
    <w:rsid w:val="007D3587"/>
    <w:rsid w:val="007D5515"/>
    <w:rsid w:val="007D62AD"/>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7CF4"/>
    <w:rsid w:val="00810F69"/>
    <w:rsid w:val="00811223"/>
    <w:rsid w:val="008170AA"/>
    <w:rsid w:val="00823D17"/>
    <w:rsid w:val="0082420A"/>
    <w:rsid w:val="00824D5C"/>
    <w:rsid w:val="0082548E"/>
    <w:rsid w:val="008323B6"/>
    <w:rsid w:val="00832A66"/>
    <w:rsid w:val="0083343A"/>
    <w:rsid w:val="0083440A"/>
    <w:rsid w:val="00835728"/>
    <w:rsid w:val="0083682A"/>
    <w:rsid w:val="00837F3D"/>
    <w:rsid w:val="00841263"/>
    <w:rsid w:val="008413C1"/>
    <w:rsid w:val="008429D7"/>
    <w:rsid w:val="00850765"/>
    <w:rsid w:val="008539E8"/>
    <w:rsid w:val="00853B64"/>
    <w:rsid w:val="008608B9"/>
    <w:rsid w:val="008610D9"/>
    <w:rsid w:val="008643F0"/>
    <w:rsid w:val="008722AA"/>
    <w:rsid w:val="008746E4"/>
    <w:rsid w:val="008763F0"/>
    <w:rsid w:val="00877B00"/>
    <w:rsid w:val="00880D77"/>
    <w:rsid w:val="008825C2"/>
    <w:rsid w:val="0088550F"/>
    <w:rsid w:val="008902C0"/>
    <w:rsid w:val="00890665"/>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09FE"/>
    <w:rsid w:val="008E113D"/>
    <w:rsid w:val="008E1ED5"/>
    <w:rsid w:val="008E2061"/>
    <w:rsid w:val="008E2A5E"/>
    <w:rsid w:val="008E52FD"/>
    <w:rsid w:val="008E67DF"/>
    <w:rsid w:val="008E757A"/>
    <w:rsid w:val="008E7CA4"/>
    <w:rsid w:val="008F59EC"/>
    <w:rsid w:val="008F618B"/>
    <w:rsid w:val="008F66A4"/>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C32"/>
    <w:rsid w:val="009353E2"/>
    <w:rsid w:val="00937FF7"/>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14D0"/>
    <w:rsid w:val="00972ADB"/>
    <w:rsid w:val="009730E7"/>
    <w:rsid w:val="009738C7"/>
    <w:rsid w:val="00973D55"/>
    <w:rsid w:val="00974BD5"/>
    <w:rsid w:val="00975274"/>
    <w:rsid w:val="00976867"/>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C69"/>
    <w:rsid w:val="009F6E2E"/>
    <w:rsid w:val="00A00482"/>
    <w:rsid w:val="00A02A60"/>
    <w:rsid w:val="00A068B1"/>
    <w:rsid w:val="00A07576"/>
    <w:rsid w:val="00A07776"/>
    <w:rsid w:val="00A11260"/>
    <w:rsid w:val="00A1320C"/>
    <w:rsid w:val="00A14C4C"/>
    <w:rsid w:val="00A15D8A"/>
    <w:rsid w:val="00A219A5"/>
    <w:rsid w:val="00A22462"/>
    <w:rsid w:val="00A25912"/>
    <w:rsid w:val="00A25F6F"/>
    <w:rsid w:val="00A30476"/>
    <w:rsid w:val="00A32660"/>
    <w:rsid w:val="00A33241"/>
    <w:rsid w:val="00A33640"/>
    <w:rsid w:val="00A34511"/>
    <w:rsid w:val="00A41F53"/>
    <w:rsid w:val="00A426CD"/>
    <w:rsid w:val="00A4553E"/>
    <w:rsid w:val="00A46103"/>
    <w:rsid w:val="00A47B92"/>
    <w:rsid w:val="00A505FF"/>
    <w:rsid w:val="00A52F83"/>
    <w:rsid w:val="00A54715"/>
    <w:rsid w:val="00A60F99"/>
    <w:rsid w:val="00A616A3"/>
    <w:rsid w:val="00A627B9"/>
    <w:rsid w:val="00A63470"/>
    <w:rsid w:val="00A637DE"/>
    <w:rsid w:val="00A64476"/>
    <w:rsid w:val="00A66D70"/>
    <w:rsid w:val="00A66DD1"/>
    <w:rsid w:val="00A71584"/>
    <w:rsid w:val="00A72DCF"/>
    <w:rsid w:val="00A73E27"/>
    <w:rsid w:val="00A76914"/>
    <w:rsid w:val="00A80D64"/>
    <w:rsid w:val="00A80E6D"/>
    <w:rsid w:val="00A8110E"/>
    <w:rsid w:val="00A81BA3"/>
    <w:rsid w:val="00A8397E"/>
    <w:rsid w:val="00A84093"/>
    <w:rsid w:val="00A84C91"/>
    <w:rsid w:val="00A85E90"/>
    <w:rsid w:val="00A8657E"/>
    <w:rsid w:val="00A8678B"/>
    <w:rsid w:val="00A87534"/>
    <w:rsid w:val="00AA11B0"/>
    <w:rsid w:val="00AA125E"/>
    <w:rsid w:val="00AA2B1E"/>
    <w:rsid w:val="00AA4111"/>
    <w:rsid w:val="00AA5B15"/>
    <w:rsid w:val="00AA5CA5"/>
    <w:rsid w:val="00AA7266"/>
    <w:rsid w:val="00AB0F9D"/>
    <w:rsid w:val="00AB2605"/>
    <w:rsid w:val="00AB3258"/>
    <w:rsid w:val="00AB57DB"/>
    <w:rsid w:val="00AC41DE"/>
    <w:rsid w:val="00AC41F5"/>
    <w:rsid w:val="00AC422C"/>
    <w:rsid w:val="00AD1902"/>
    <w:rsid w:val="00AD2EC5"/>
    <w:rsid w:val="00AD4DAD"/>
    <w:rsid w:val="00AD578B"/>
    <w:rsid w:val="00AD7DEC"/>
    <w:rsid w:val="00AE00C4"/>
    <w:rsid w:val="00AE0E95"/>
    <w:rsid w:val="00AE193D"/>
    <w:rsid w:val="00AE2876"/>
    <w:rsid w:val="00AE669B"/>
    <w:rsid w:val="00AE79EC"/>
    <w:rsid w:val="00AE7BFE"/>
    <w:rsid w:val="00AF0399"/>
    <w:rsid w:val="00AF2E89"/>
    <w:rsid w:val="00B0100D"/>
    <w:rsid w:val="00B02D01"/>
    <w:rsid w:val="00B03C1D"/>
    <w:rsid w:val="00B06C44"/>
    <w:rsid w:val="00B07774"/>
    <w:rsid w:val="00B1054F"/>
    <w:rsid w:val="00B11DDC"/>
    <w:rsid w:val="00B12AC0"/>
    <w:rsid w:val="00B13CAD"/>
    <w:rsid w:val="00B1434A"/>
    <w:rsid w:val="00B168F3"/>
    <w:rsid w:val="00B17F6B"/>
    <w:rsid w:val="00B2032C"/>
    <w:rsid w:val="00B21134"/>
    <w:rsid w:val="00B218EF"/>
    <w:rsid w:val="00B22DB0"/>
    <w:rsid w:val="00B26737"/>
    <w:rsid w:val="00B30383"/>
    <w:rsid w:val="00B33802"/>
    <w:rsid w:val="00B33F66"/>
    <w:rsid w:val="00B35447"/>
    <w:rsid w:val="00B36895"/>
    <w:rsid w:val="00B37CD9"/>
    <w:rsid w:val="00B41494"/>
    <w:rsid w:val="00B41668"/>
    <w:rsid w:val="00B41C72"/>
    <w:rsid w:val="00B43B4E"/>
    <w:rsid w:val="00B44D9F"/>
    <w:rsid w:val="00B46653"/>
    <w:rsid w:val="00B52520"/>
    <w:rsid w:val="00B611BE"/>
    <w:rsid w:val="00B62338"/>
    <w:rsid w:val="00B64F73"/>
    <w:rsid w:val="00B6527B"/>
    <w:rsid w:val="00B6565C"/>
    <w:rsid w:val="00B67F97"/>
    <w:rsid w:val="00B67FAE"/>
    <w:rsid w:val="00B70CFA"/>
    <w:rsid w:val="00B77A8F"/>
    <w:rsid w:val="00B77E3B"/>
    <w:rsid w:val="00B8126A"/>
    <w:rsid w:val="00B814AC"/>
    <w:rsid w:val="00B82FE3"/>
    <w:rsid w:val="00B86B3D"/>
    <w:rsid w:val="00B9283F"/>
    <w:rsid w:val="00B94F19"/>
    <w:rsid w:val="00B9789D"/>
    <w:rsid w:val="00BA0A7F"/>
    <w:rsid w:val="00BA0B59"/>
    <w:rsid w:val="00BA23F9"/>
    <w:rsid w:val="00BA30F7"/>
    <w:rsid w:val="00BB2FDB"/>
    <w:rsid w:val="00BB3439"/>
    <w:rsid w:val="00BB39A1"/>
    <w:rsid w:val="00BC0626"/>
    <w:rsid w:val="00BC0BA1"/>
    <w:rsid w:val="00BC2592"/>
    <w:rsid w:val="00BC2A50"/>
    <w:rsid w:val="00BC3EE3"/>
    <w:rsid w:val="00BC4231"/>
    <w:rsid w:val="00BC5669"/>
    <w:rsid w:val="00BC747E"/>
    <w:rsid w:val="00BC7A09"/>
    <w:rsid w:val="00BD0299"/>
    <w:rsid w:val="00BE005C"/>
    <w:rsid w:val="00BE07D5"/>
    <w:rsid w:val="00BE1841"/>
    <w:rsid w:val="00BE21A1"/>
    <w:rsid w:val="00BE2F3E"/>
    <w:rsid w:val="00BE3994"/>
    <w:rsid w:val="00BE514F"/>
    <w:rsid w:val="00BE56D9"/>
    <w:rsid w:val="00BF2700"/>
    <w:rsid w:val="00BF2C88"/>
    <w:rsid w:val="00BF3B11"/>
    <w:rsid w:val="00BF4F3D"/>
    <w:rsid w:val="00BF6EFC"/>
    <w:rsid w:val="00BF7A51"/>
    <w:rsid w:val="00BF7FFC"/>
    <w:rsid w:val="00C0120F"/>
    <w:rsid w:val="00C01A20"/>
    <w:rsid w:val="00C023BE"/>
    <w:rsid w:val="00C0737C"/>
    <w:rsid w:val="00C07BC4"/>
    <w:rsid w:val="00C11C05"/>
    <w:rsid w:val="00C1330E"/>
    <w:rsid w:val="00C2046D"/>
    <w:rsid w:val="00C20C0E"/>
    <w:rsid w:val="00C21465"/>
    <w:rsid w:val="00C21A3D"/>
    <w:rsid w:val="00C22A7C"/>
    <w:rsid w:val="00C23440"/>
    <w:rsid w:val="00C25DAB"/>
    <w:rsid w:val="00C2717C"/>
    <w:rsid w:val="00C30893"/>
    <w:rsid w:val="00C33C7C"/>
    <w:rsid w:val="00C35453"/>
    <w:rsid w:val="00C36B43"/>
    <w:rsid w:val="00C378CD"/>
    <w:rsid w:val="00C40390"/>
    <w:rsid w:val="00C44B78"/>
    <w:rsid w:val="00C45C60"/>
    <w:rsid w:val="00C46DE6"/>
    <w:rsid w:val="00C4779C"/>
    <w:rsid w:val="00C51E4B"/>
    <w:rsid w:val="00C549EE"/>
    <w:rsid w:val="00C556A1"/>
    <w:rsid w:val="00C55A09"/>
    <w:rsid w:val="00C626BE"/>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A316B"/>
    <w:rsid w:val="00CA61DC"/>
    <w:rsid w:val="00CB166E"/>
    <w:rsid w:val="00CB3C73"/>
    <w:rsid w:val="00CB6606"/>
    <w:rsid w:val="00CB66CE"/>
    <w:rsid w:val="00CB67BB"/>
    <w:rsid w:val="00CB6E41"/>
    <w:rsid w:val="00CC0C7E"/>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25B2"/>
    <w:rsid w:val="00D1507B"/>
    <w:rsid w:val="00D171D9"/>
    <w:rsid w:val="00D20A28"/>
    <w:rsid w:val="00D21BD5"/>
    <w:rsid w:val="00D221B5"/>
    <w:rsid w:val="00D302CB"/>
    <w:rsid w:val="00D307A1"/>
    <w:rsid w:val="00D308A4"/>
    <w:rsid w:val="00D337AB"/>
    <w:rsid w:val="00D338CE"/>
    <w:rsid w:val="00D34D5C"/>
    <w:rsid w:val="00D36E73"/>
    <w:rsid w:val="00D3780D"/>
    <w:rsid w:val="00D42326"/>
    <w:rsid w:val="00D44C3C"/>
    <w:rsid w:val="00D46A52"/>
    <w:rsid w:val="00D47871"/>
    <w:rsid w:val="00D47DEB"/>
    <w:rsid w:val="00D50120"/>
    <w:rsid w:val="00D50D15"/>
    <w:rsid w:val="00D536E3"/>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756"/>
    <w:rsid w:val="00D92E88"/>
    <w:rsid w:val="00D93C7D"/>
    <w:rsid w:val="00D947F5"/>
    <w:rsid w:val="00D95296"/>
    <w:rsid w:val="00D9576A"/>
    <w:rsid w:val="00D95D8C"/>
    <w:rsid w:val="00D964B1"/>
    <w:rsid w:val="00DA190C"/>
    <w:rsid w:val="00DA2282"/>
    <w:rsid w:val="00DA4798"/>
    <w:rsid w:val="00DA6228"/>
    <w:rsid w:val="00DA64D0"/>
    <w:rsid w:val="00DB12C5"/>
    <w:rsid w:val="00DB1F6E"/>
    <w:rsid w:val="00DB34C6"/>
    <w:rsid w:val="00DB4509"/>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2392"/>
    <w:rsid w:val="00E05CC7"/>
    <w:rsid w:val="00E06034"/>
    <w:rsid w:val="00E067E8"/>
    <w:rsid w:val="00E07ECC"/>
    <w:rsid w:val="00E10E90"/>
    <w:rsid w:val="00E14601"/>
    <w:rsid w:val="00E16187"/>
    <w:rsid w:val="00E17682"/>
    <w:rsid w:val="00E23EAB"/>
    <w:rsid w:val="00E24918"/>
    <w:rsid w:val="00E25106"/>
    <w:rsid w:val="00E26914"/>
    <w:rsid w:val="00E30785"/>
    <w:rsid w:val="00E336D7"/>
    <w:rsid w:val="00E33958"/>
    <w:rsid w:val="00E33B13"/>
    <w:rsid w:val="00E36926"/>
    <w:rsid w:val="00E41398"/>
    <w:rsid w:val="00E444D8"/>
    <w:rsid w:val="00E44952"/>
    <w:rsid w:val="00E46186"/>
    <w:rsid w:val="00E47AC8"/>
    <w:rsid w:val="00E47F89"/>
    <w:rsid w:val="00E50CC3"/>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87AE1"/>
    <w:rsid w:val="00E90842"/>
    <w:rsid w:val="00E91D74"/>
    <w:rsid w:val="00E92DF3"/>
    <w:rsid w:val="00E960C6"/>
    <w:rsid w:val="00E9650A"/>
    <w:rsid w:val="00EA0691"/>
    <w:rsid w:val="00EA185B"/>
    <w:rsid w:val="00EA21D6"/>
    <w:rsid w:val="00EA4EE0"/>
    <w:rsid w:val="00EB26BF"/>
    <w:rsid w:val="00EB57B8"/>
    <w:rsid w:val="00EB58A8"/>
    <w:rsid w:val="00EC16A9"/>
    <w:rsid w:val="00EC19C6"/>
    <w:rsid w:val="00EC2F20"/>
    <w:rsid w:val="00EC302D"/>
    <w:rsid w:val="00EC3209"/>
    <w:rsid w:val="00EC6323"/>
    <w:rsid w:val="00EC6795"/>
    <w:rsid w:val="00EC7069"/>
    <w:rsid w:val="00EC7C43"/>
    <w:rsid w:val="00ED1744"/>
    <w:rsid w:val="00ED4A4E"/>
    <w:rsid w:val="00ED6316"/>
    <w:rsid w:val="00ED65F6"/>
    <w:rsid w:val="00ED6630"/>
    <w:rsid w:val="00EE07FF"/>
    <w:rsid w:val="00EE0AAF"/>
    <w:rsid w:val="00EE44B8"/>
    <w:rsid w:val="00EE4727"/>
    <w:rsid w:val="00EE47DE"/>
    <w:rsid w:val="00EE6F63"/>
    <w:rsid w:val="00EF13B9"/>
    <w:rsid w:val="00EF1D12"/>
    <w:rsid w:val="00EF33B8"/>
    <w:rsid w:val="00EF4DBB"/>
    <w:rsid w:val="00EF4F76"/>
    <w:rsid w:val="00EF719B"/>
    <w:rsid w:val="00F00EFC"/>
    <w:rsid w:val="00F00FFD"/>
    <w:rsid w:val="00F015A9"/>
    <w:rsid w:val="00F036B6"/>
    <w:rsid w:val="00F042A9"/>
    <w:rsid w:val="00F0600C"/>
    <w:rsid w:val="00F06080"/>
    <w:rsid w:val="00F06AE8"/>
    <w:rsid w:val="00F10EE4"/>
    <w:rsid w:val="00F17F8D"/>
    <w:rsid w:val="00F23169"/>
    <w:rsid w:val="00F24004"/>
    <w:rsid w:val="00F24697"/>
    <w:rsid w:val="00F24D78"/>
    <w:rsid w:val="00F2595B"/>
    <w:rsid w:val="00F31D00"/>
    <w:rsid w:val="00F40B53"/>
    <w:rsid w:val="00F42465"/>
    <w:rsid w:val="00F45C4E"/>
    <w:rsid w:val="00F4716A"/>
    <w:rsid w:val="00F478AB"/>
    <w:rsid w:val="00F520C5"/>
    <w:rsid w:val="00F528FA"/>
    <w:rsid w:val="00F536D5"/>
    <w:rsid w:val="00F5374B"/>
    <w:rsid w:val="00F538A4"/>
    <w:rsid w:val="00F53C9B"/>
    <w:rsid w:val="00F57580"/>
    <w:rsid w:val="00F651B3"/>
    <w:rsid w:val="00F6556A"/>
    <w:rsid w:val="00F676AB"/>
    <w:rsid w:val="00F708DF"/>
    <w:rsid w:val="00F709DC"/>
    <w:rsid w:val="00F72193"/>
    <w:rsid w:val="00F736B0"/>
    <w:rsid w:val="00F75091"/>
    <w:rsid w:val="00F75DC0"/>
    <w:rsid w:val="00F769E3"/>
    <w:rsid w:val="00F773AD"/>
    <w:rsid w:val="00F809D4"/>
    <w:rsid w:val="00F83577"/>
    <w:rsid w:val="00F83AA6"/>
    <w:rsid w:val="00F873C0"/>
    <w:rsid w:val="00F92B48"/>
    <w:rsid w:val="00F96884"/>
    <w:rsid w:val="00FA0293"/>
    <w:rsid w:val="00FA12A5"/>
    <w:rsid w:val="00FA18F5"/>
    <w:rsid w:val="00FA25BD"/>
    <w:rsid w:val="00FA3DBD"/>
    <w:rsid w:val="00FA5933"/>
    <w:rsid w:val="00FA6BE2"/>
    <w:rsid w:val="00FA7D14"/>
    <w:rsid w:val="00FB01A9"/>
    <w:rsid w:val="00FB142E"/>
    <w:rsid w:val="00FB1904"/>
    <w:rsid w:val="00FB1B9A"/>
    <w:rsid w:val="00FB511E"/>
    <w:rsid w:val="00FB6225"/>
    <w:rsid w:val="00FB7B41"/>
    <w:rsid w:val="00FC1609"/>
    <w:rsid w:val="00FC2C65"/>
    <w:rsid w:val="00FD0103"/>
    <w:rsid w:val="00FD076E"/>
    <w:rsid w:val="00FD2F7D"/>
    <w:rsid w:val="00FD6288"/>
    <w:rsid w:val="00FD6734"/>
    <w:rsid w:val="00FD6D96"/>
    <w:rsid w:val="00FE1E91"/>
    <w:rsid w:val="00FE2B36"/>
    <w:rsid w:val="00FE4698"/>
    <w:rsid w:val="00FE46EB"/>
    <w:rsid w:val="00FE51A3"/>
    <w:rsid w:val="00FE62C0"/>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s-ES"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s-ES"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s-ES"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s-ES"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s-ES"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s-ES"/>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s-ES"/>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E15B-8B35-4899-A77B-94BFEC2B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2235</Words>
  <Characters>12746</Characters>
  <Application>Microsoft Office Word</Application>
  <DocSecurity>4</DocSecurity>
  <Lines>106</Lines>
  <Paragraphs>29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2022-05-27T12:49:00Z</cp:lastPrinted>
  <dcterms:created xsi:type="dcterms:W3CDTF">2022-05-27T15:39:00Z</dcterms:created>
  <dcterms:modified xsi:type="dcterms:W3CDTF">2022-05-27T15:39:00Z</dcterms:modified>
</cp:coreProperties>
</file>