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4E4A4" w14:textId="58C335E0" w:rsidR="00275F13" w:rsidRPr="00D57CA4" w:rsidRDefault="00D57CA4" w:rsidP="00A76B2F">
      <w:pPr>
        <w:pBdr>
          <w:top w:val="single" w:sz="12" w:space="0" w:color="auto" w:shadow="1"/>
          <w:left w:val="single" w:sz="12" w:space="4" w:color="auto" w:shadow="1"/>
          <w:bottom w:val="single" w:sz="12" w:space="1" w:color="auto" w:shadow="1"/>
          <w:right w:val="single" w:sz="12" w:space="0" w:color="auto" w:shadow="1"/>
        </w:pBdr>
        <w:suppressAutoHyphens/>
        <w:ind w:right="3753"/>
        <w:rPr>
          <w:bCs/>
          <w:sz w:val="24"/>
          <w:szCs w:val="24"/>
          <w:lang w:val="fr-CH"/>
        </w:rPr>
      </w:pPr>
      <w:r>
        <w:rPr>
          <w:bCs/>
          <w:sz w:val="24"/>
          <w:szCs w:val="24"/>
          <w:lang w:val="fr-CH"/>
        </w:rPr>
        <w:t>CONVENTION SUR LES ZONES HUMIDES</w:t>
      </w:r>
    </w:p>
    <w:p w14:paraId="29243701" w14:textId="20C5A221" w:rsidR="00DF2386" w:rsidRPr="00D57CA4" w:rsidRDefault="00642C9E" w:rsidP="00A76B2F">
      <w:pPr>
        <w:pBdr>
          <w:top w:val="single" w:sz="12" w:space="0" w:color="auto" w:shadow="1"/>
          <w:left w:val="single" w:sz="12" w:space="4" w:color="auto" w:shadow="1"/>
          <w:bottom w:val="single" w:sz="12" w:space="1" w:color="auto" w:shadow="1"/>
          <w:right w:val="single" w:sz="12" w:space="0" w:color="auto" w:shadow="1"/>
        </w:pBdr>
        <w:suppressAutoHyphens/>
        <w:ind w:right="3753"/>
        <w:rPr>
          <w:bCs/>
          <w:sz w:val="24"/>
          <w:szCs w:val="24"/>
          <w:lang w:val="fr-CH"/>
        </w:rPr>
      </w:pPr>
      <w:r w:rsidRPr="00D57CA4">
        <w:rPr>
          <w:bCs/>
          <w:sz w:val="24"/>
          <w:szCs w:val="24"/>
          <w:lang w:val="fr-CH"/>
        </w:rPr>
        <w:t>59</w:t>
      </w:r>
      <w:r w:rsidR="00D57CA4" w:rsidRPr="00D57CA4">
        <w:rPr>
          <w:bCs/>
          <w:sz w:val="24"/>
          <w:szCs w:val="24"/>
          <w:vertAlign w:val="superscript"/>
          <w:lang w:val="fr-CH"/>
        </w:rPr>
        <w:t>e</w:t>
      </w:r>
      <w:r w:rsidR="00D57CA4">
        <w:rPr>
          <w:bCs/>
          <w:sz w:val="24"/>
          <w:szCs w:val="24"/>
          <w:lang w:val="fr-CH"/>
        </w:rPr>
        <w:t xml:space="preserve"> Réunion du Comité</w:t>
      </w:r>
      <w:r w:rsidR="003E0FA5">
        <w:rPr>
          <w:bCs/>
          <w:sz w:val="24"/>
          <w:szCs w:val="24"/>
          <w:lang w:val="fr-CH"/>
        </w:rPr>
        <w:t xml:space="preserve"> </w:t>
      </w:r>
      <w:r w:rsidR="00D57CA4">
        <w:rPr>
          <w:bCs/>
          <w:sz w:val="24"/>
          <w:szCs w:val="24"/>
          <w:lang w:val="fr-CH"/>
        </w:rPr>
        <w:t>permanent</w:t>
      </w:r>
    </w:p>
    <w:p w14:paraId="1C9F7BAC" w14:textId="2FE1B31E" w:rsidR="00A76B2F" w:rsidRPr="00D57CA4" w:rsidRDefault="00A76B2F" w:rsidP="00A76B2F">
      <w:pPr>
        <w:pBdr>
          <w:top w:val="single" w:sz="12" w:space="0" w:color="auto" w:shadow="1"/>
          <w:left w:val="single" w:sz="12" w:space="4" w:color="auto" w:shadow="1"/>
          <w:bottom w:val="single" w:sz="12" w:space="1" w:color="auto" w:shadow="1"/>
          <w:right w:val="single" w:sz="12" w:space="0" w:color="auto" w:shadow="1"/>
        </w:pBdr>
        <w:suppressAutoHyphens/>
        <w:ind w:right="3753"/>
        <w:rPr>
          <w:bCs/>
          <w:sz w:val="24"/>
          <w:szCs w:val="24"/>
          <w:lang w:val="fr-CH"/>
        </w:rPr>
      </w:pPr>
      <w:r w:rsidRPr="00D57CA4">
        <w:rPr>
          <w:bCs/>
          <w:sz w:val="24"/>
          <w:szCs w:val="24"/>
          <w:lang w:val="fr-CH"/>
        </w:rPr>
        <w:t>Re</w:t>
      </w:r>
      <w:r w:rsidR="00D57CA4">
        <w:rPr>
          <w:bCs/>
          <w:sz w:val="24"/>
          <w:szCs w:val="24"/>
          <w:lang w:val="fr-CH"/>
        </w:rPr>
        <w:t>prise de séance</w:t>
      </w:r>
      <w:r w:rsidRPr="00D57CA4">
        <w:rPr>
          <w:bCs/>
          <w:sz w:val="24"/>
          <w:szCs w:val="24"/>
          <w:lang w:val="fr-CH"/>
        </w:rPr>
        <w:t xml:space="preserve"> </w:t>
      </w:r>
    </w:p>
    <w:p w14:paraId="6D5EE984" w14:textId="187D51C0" w:rsidR="00DF2386" w:rsidRPr="00D57CA4" w:rsidRDefault="00DF2386" w:rsidP="00A76B2F">
      <w:pPr>
        <w:pBdr>
          <w:top w:val="single" w:sz="12" w:space="0" w:color="auto" w:shadow="1"/>
          <w:left w:val="single" w:sz="12" w:space="4" w:color="auto" w:shadow="1"/>
          <w:bottom w:val="single" w:sz="12" w:space="1" w:color="auto" w:shadow="1"/>
          <w:right w:val="single" w:sz="12" w:space="0" w:color="auto" w:shadow="1"/>
        </w:pBdr>
        <w:suppressAutoHyphens/>
        <w:ind w:left="0" w:right="3753" w:firstLine="0"/>
        <w:rPr>
          <w:bCs/>
          <w:sz w:val="24"/>
          <w:szCs w:val="24"/>
          <w:lang w:val="fr-CH"/>
        </w:rPr>
      </w:pPr>
      <w:r w:rsidRPr="00D57CA4">
        <w:rPr>
          <w:bCs/>
          <w:sz w:val="24"/>
          <w:szCs w:val="24"/>
          <w:lang w:val="fr-CH"/>
        </w:rPr>
        <w:t xml:space="preserve">Gland, </w:t>
      </w:r>
      <w:r w:rsidR="00D57CA4">
        <w:rPr>
          <w:bCs/>
          <w:sz w:val="24"/>
          <w:szCs w:val="24"/>
          <w:lang w:val="fr-CH"/>
        </w:rPr>
        <w:t>Suisse</w:t>
      </w:r>
      <w:r w:rsidRPr="00D57CA4">
        <w:rPr>
          <w:bCs/>
          <w:sz w:val="24"/>
          <w:szCs w:val="24"/>
          <w:lang w:val="fr-CH"/>
        </w:rPr>
        <w:t xml:space="preserve">, </w:t>
      </w:r>
      <w:r w:rsidR="00AB1BEF" w:rsidRPr="00D57CA4">
        <w:rPr>
          <w:bCs/>
          <w:sz w:val="24"/>
          <w:szCs w:val="24"/>
          <w:lang w:val="fr-CH"/>
        </w:rPr>
        <w:t>23</w:t>
      </w:r>
      <w:r w:rsidR="00D57CA4">
        <w:rPr>
          <w:bCs/>
          <w:sz w:val="24"/>
          <w:szCs w:val="24"/>
          <w:lang w:val="fr-CH"/>
        </w:rPr>
        <w:t xml:space="preserve"> au </w:t>
      </w:r>
      <w:r w:rsidR="00AB1BEF" w:rsidRPr="00D57CA4">
        <w:rPr>
          <w:bCs/>
          <w:sz w:val="24"/>
          <w:szCs w:val="24"/>
          <w:lang w:val="fr-CH"/>
        </w:rPr>
        <w:t xml:space="preserve">27 </w:t>
      </w:r>
      <w:r w:rsidR="00D57CA4">
        <w:rPr>
          <w:bCs/>
          <w:sz w:val="24"/>
          <w:szCs w:val="24"/>
          <w:lang w:val="fr-CH"/>
        </w:rPr>
        <w:t>mai</w:t>
      </w:r>
      <w:r w:rsidR="00616B4C" w:rsidRPr="00D57CA4">
        <w:rPr>
          <w:bCs/>
          <w:sz w:val="24"/>
          <w:szCs w:val="24"/>
          <w:lang w:val="fr-CH"/>
        </w:rPr>
        <w:t xml:space="preserve"> </w:t>
      </w:r>
      <w:r w:rsidR="00B83EF9" w:rsidRPr="00D57CA4">
        <w:rPr>
          <w:bCs/>
          <w:sz w:val="24"/>
          <w:szCs w:val="24"/>
          <w:lang w:val="fr-CH"/>
        </w:rPr>
        <w:t>202</w:t>
      </w:r>
      <w:r w:rsidR="00506E6E" w:rsidRPr="00D57CA4">
        <w:rPr>
          <w:bCs/>
          <w:sz w:val="24"/>
          <w:szCs w:val="24"/>
          <w:lang w:val="fr-CH"/>
        </w:rPr>
        <w:t>2</w:t>
      </w:r>
    </w:p>
    <w:p w14:paraId="6D316A15" w14:textId="77777777" w:rsidR="00DF2386" w:rsidRPr="00152A81" w:rsidRDefault="00DF2386" w:rsidP="00D3734D">
      <w:pPr>
        <w:outlineLvl w:val="0"/>
        <w:rPr>
          <w:b/>
          <w:sz w:val="28"/>
          <w:szCs w:val="28"/>
          <w:lang w:val="fr-FR"/>
        </w:rPr>
      </w:pPr>
    </w:p>
    <w:p w14:paraId="1BBF8EA8" w14:textId="03C0DC49" w:rsidR="00DF2386" w:rsidRPr="00152A81" w:rsidRDefault="00B83EF9" w:rsidP="00D3734D">
      <w:pPr>
        <w:jc w:val="right"/>
        <w:rPr>
          <w:rFonts w:cs="Arial"/>
          <w:sz w:val="28"/>
          <w:szCs w:val="28"/>
          <w:lang w:val="fr-FR"/>
        </w:rPr>
      </w:pPr>
      <w:r w:rsidRPr="00152A81">
        <w:rPr>
          <w:rFonts w:cs="Arial"/>
          <w:b/>
          <w:sz w:val="28"/>
          <w:szCs w:val="28"/>
          <w:lang w:val="fr-FR"/>
        </w:rPr>
        <w:t>SC</w:t>
      </w:r>
      <w:r w:rsidR="000A3E87" w:rsidRPr="00152A81">
        <w:rPr>
          <w:rFonts w:cs="Arial"/>
          <w:b/>
          <w:sz w:val="28"/>
          <w:szCs w:val="28"/>
          <w:lang w:val="fr-FR"/>
        </w:rPr>
        <w:t>59</w:t>
      </w:r>
      <w:r w:rsidR="002E0F4C" w:rsidRPr="00152A81">
        <w:rPr>
          <w:rFonts w:cs="Arial"/>
          <w:b/>
          <w:sz w:val="28"/>
          <w:szCs w:val="28"/>
          <w:lang w:val="fr-FR"/>
        </w:rPr>
        <w:t>/2022</w:t>
      </w:r>
      <w:r w:rsidR="00506E6E" w:rsidRPr="00152A81">
        <w:rPr>
          <w:rFonts w:cs="Arial"/>
          <w:b/>
          <w:sz w:val="28"/>
          <w:szCs w:val="28"/>
          <w:lang w:val="fr-FR"/>
        </w:rPr>
        <w:t xml:space="preserve"> </w:t>
      </w:r>
      <w:r w:rsidR="00746EC1" w:rsidRPr="00152A81">
        <w:rPr>
          <w:rFonts w:cs="Arial"/>
          <w:b/>
          <w:sz w:val="28"/>
          <w:szCs w:val="28"/>
          <w:lang w:val="fr-FR"/>
        </w:rPr>
        <w:t>Doc</w:t>
      </w:r>
      <w:r w:rsidR="00A76B2F" w:rsidRPr="00152A81">
        <w:rPr>
          <w:rFonts w:cs="Arial"/>
          <w:b/>
          <w:sz w:val="28"/>
          <w:szCs w:val="28"/>
          <w:lang w:val="fr-FR"/>
        </w:rPr>
        <w:t>.24.11</w:t>
      </w:r>
      <w:r w:rsidR="00D245A1" w:rsidRPr="00152A81">
        <w:rPr>
          <w:rFonts w:cs="Arial"/>
          <w:b/>
          <w:sz w:val="28"/>
          <w:szCs w:val="28"/>
          <w:lang w:val="fr-FR"/>
        </w:rPr>
        <w:t xml:space="preserve"> </w:t>
      </w:r>
    </w:p>
    <w:p w14:paraId="1ED09395" w14:textId="77777777" w:rsidR="00DF2386" w:rsidRPr="00152A81" w:rsidRDefault="00DF2386" w:rsidP="00D3734D">
      <w:pPr>
        <w:ind w:left="0" w:firstLine="0"/>
        <w:jc w:val="center"/>
        <w:rPr>
          <w:rFonts w:cs="Arial"/>
          <w:b/>
          <w:sz w:val="28"/>
          <w:szCs w:val="28"/>
          <w:lang w:val="fr-FR"/>
        </w:rPr>
      </w:pPr>
    </w:p>
    <w:p w14:paraId="6412A1AF" w14:textId="707D8473" w:rsidR="00EB462B" w:rsidRPr="00D57CA4" w:rsidRDefault="00D57CA4" w:rsidP="00D3734D">
      <w:pPr>
        <w:ind w:left="0" w:firstLine="0"/>
        <w:jc w:val="center"/>
        <w:rPr>
          <w:rFonts w:cs="Arial"/>
          <w:b/>
          <w:sz w:val="28"/>
          <w:szCs w:val="28"/>
          <w:lang w:val="fr-CH"/>
        </w:rPr>
      </w:pPr>
      <w:bookmarkStart w:id="0" w:name="_Hlk92796366"/>
      <w:r w:rsidRPr="001114BA">
        <w:rPr>
          <w:rFonts w:cs="Arial"/>
          <w:b/>
          <w:sz w:val="28"/>
          <w:szCs w:val="28"/>
          <w:lang w:val="fr-CH"/>
        </w:rPr>
        <w:t>Pro</w:t>
      </w:r>
      <w:r>
        <w:rPr>
          <w:rFonts w:cs="Arial"/>
          <w:b/>
          <w:sz w:val="28"/>
          <w:szCs w:val="28"/>
          <w:lang w:val="fr-CH"/>
        </w:rPr>
        <w:t xml:space="preserve">jet de résolution proposé sur </w:t>
      </w:r>
    </w:p>
    <w:p w14:paraId="06B61086" w14:textId="10D79536" w:rsidR="00DF2386" w:rsidRPr="00D57CA4" w:rsidRDefault="000C57D4" w:rsidP="00D3734D">
      <w:pPr>
        <w:ind w:left="0" w:firstLine="0"/>
        <w:jc w:val="center"/>
        <w:rPr>
          <w:rFonts w:cs="Arial"/>
          <w:b/>
          <w:sz w:val="28"/>
          <w:szCs w:val="28"/>
          <w:lang w:val="fr-CH"/>
        </w:rPr>
      </w:pPr>
      <w:r>
        <w:rPr>
          <w:rFonts w:cs="Arial"/>
          <w:b/>
          <w:sz w:val="28"/>
          <w:szCs w:val="28"/>
          <w:lang w:val="fr-CH"/>
        </w:rPr>
        <w:t xml:space="preserve">Les </w:t>
      </w:r>
      <w:r w:rsidR="00D57CA4">
        <w:rPr>
          <w:rFonts w:cs="Arial"/>
          <w:b/>
          <w:sz w:val="28"/>
          <w:szCs w:val="28"/>
          <w:lang w:val="fr-CH"/>
        </w:rPr>
        <w:t xml:space="preserve">Initiatives régionales </w:t>
      </w:r>
      <w:r w:rsidR="00A46D6F" w:rsidRPr="00D57CA4">
        <w:rPr>
          <w:rFonts w:cs="Arial"/>
          <w:b/>
          <w:sz w:val="28"/>
          <w:szCs w:val="28"/>
          <w:lang w:val="fr-CH"/>
        </w:rPr>
        <w:t>Ramsar</w:t>
      </w:r>
      <w:r w:rsidR="00D57CA4">
        <w:rPr>
          <w:rFonts w:cs="Arial"/>
          <w:b/>
          <w:sz w:val="28"/>
          <w:szCs w:val="28"/>
          <w:lang w:val="fr-CH"/>
        </w:rPr>
        <w:t xml:space="preserve"> </w:t>
      </w:r>
      <w:r w:rsidR="00506E6E" w:rsidRPr="00D57CA4">
        <w:rPr>
          <w:rFonts w:cs="Arial"/>
          <w:b/>
          <w:sz w:val="28"/>
          <w:szCs w:val="28"/>
          <w:lang w:val="fr-CH"/>
        </w:rPr>
        <w:t xml:space="preserve">– </w:t>
      </w:r>
      <w:r w:rsidR="00DA3F2F">
        <w:rPr>
          <w:rFonts w:cs="Arial"/>
          <w:b/>
          <w:sz w:val="28"/>
          <w:szCs w:val="28"/>
          <w:lang w:val="fr-CH"/>
        </w:rPr>
        <w:t>T</w:t>
      </w:r>
      <w:r w:rsidR="00D57CA4">
        <w:rPr>
          <w:rFonts w:cs="Arial"/>
          <w:b/>
          <w:sz w:val="28"/>
          <w:szCs w:val="28"/>
          <w:lang w:val="fr-CH"/>
        </w:rPr>
        <w:t>raitement des anciennes décisions</w:t>
      </w:r>
    </w:p>
    <w:bookmarkEnd w:id="0"/>
    <w:p w14:paraId="70DEADEC" w14:textId="41199B72" w:rsidR="007B7FDF" w:rsidRPr="00D57CA4" w:rsidRDefault="007B7FDF" w:rsidP="00D3734D">
      <w:pPr>
        <w:rPr>
          <w:rFonts w:ascii="Garamond" w:hAnsi="Garamond" w:cs="Arial"/>
          <w:sz w:val="28"/>
          <w:szCs w:val="28"/>
          <w:lang w:val="fr-CH"/>
        </w:rPr>
      </w:pPr>
    </w:p>
    <w:p w14:paraId="0E6D2EAC" w14:textId="029D74A7" w:rsidR="00AD01AD" w:rsidRDefault="005C217F" w:rsidP="00D3734D">
      <w:pPr>
        <w:rPr>
          <w:rFonts w:asciiTheme="minorHAnsi" w:eastAsia="Times New Roman" w:hAnsiTheme="minorHAnsi"/>
          <w:i/>
          <w:lang w:val="fr-CH"/>
        </w:rPr>
      </w:pPr>
      <w:r w:rsidRPr="00D57CA4">
        <w:rPr>
          <w:rFonts w:asciiTheme="minorHAnsi" w:eastAsia="Times New Roman" w:hAnsiTheme="minorHAnsi"/>
          <w:i/>
          <w:lang w:val="fr-CH"/>
        </w:rPr>
        <w:t>Présenté par la Suède</w:t>
      </w:r>
    </w:p>
    <w:p w14:paraId="6D90DEAA" w14:textId="79EF9937" w:rsidR="00F57666" w:rsidRDefault="00F57666" w:rsidP="00D3734D">
      <w:pPr>
        <w:rPr>
          <w:rFonts w:asciiTheme="minorHAnsi" w:eastAsia="Times New Roman" w:hAnsiTheme="minorHAnsi"/>
          <w:i/>
          <w:lang w:val="fr-CH"/>
        </w:rPr>
      </w:pPr>
    </w:p>
    <w:p w14:paraId="091BA9EC" w14:textId="77777777" w:rsidR="00F57666" w:rsidRPr="00F57666" w:rsidRDefault="00F57666" w:rsidP="00F57666">
      <w:pPr>
        <w:ind w:left="0" w:firstLine="0"/>
        <w:rPr>
          <w:i/>
          <w:lang w:val="fr-FR"/>
        </w:rPr>
      </w:pPr>
      <w:r w:rsidRPr="00F57666">
        <w:rPr>
          <w:i/>
          <w:lang w:val="fr-FR"/>
        </w:rPr>
        <w:t xml:space="preserve">Note de couverture du Secrétariat : </w:t>
      </w:r>
    </w:p>
    <w:p w14:paraId="7412ED11" w14:textId="4102E296" w:rsidR="00F57666" w:rsidRPr="00F57666" w:rsidRDefault="00F57666" w:rsidP="00F57666">
      <w:pPr>
        <w:ind w:left="0" w:firstLine="0"/>
        <w:rPr>
          <w:lang w:val="fr-FR"/>
        </w:rPr>
      </w:pPr>
      <w:r w:rsidRPr="00F57666">
        <w:rPr>
          <w:lang w:val="fr-FR"/>
        </w:rPr>
        <w:t>Le projet de résolution se rapporte à des recommandations et résolutions antérieures liées aux IRR, notamment les Recommandations V.14, VI.11 et les Résolutions VII.22, VII26, VIII30, VIII.41, VIII.43, IX.7, X.6, XI.5, XII.8, XIII.9. Elles portent également sur les Résolutions IX.1, IX.19, X.3, X.15, X.17, X.19, XI.6, XI.10, XI.11, XI.14, XII.2, XII.5, XII.9, XII.11, XII.12, XIII.2, XIII.5, XIII.7, XIII.15, XIII.8, XIII.22, XIII.24. La Suède a soumis deux autres projets de résolution sur le thème des Initiatives régionales Ramsar : SC59/2022 Doc.24.</w:t>
      </w:r>
      <w:r>
        <w:rPr>
          <w:lang w:val="fr-FR"/>
        </w:rPr>
        <w:t>9</w:t>
      </w:r>
      <w:r w:rsidRPr="00F57666">
        <w:rPr>
          <w:lang w:val="fr-FR"/>
        </w:rPr>
        <w:t xml:space="preserve"> et SC59/2022 Doc.24.</w:t>
      </w:r>
      <w:r>
        <w:rPr>
          <w:lang w:val="fr-FR"/>
        </w:rPr>
        <w:t>10</w:t>
      </w:r>
      <w:r w:rsidRPr="00F57666">
        <w:rPr>
          <w:lang w:val="fr-FR"/>
        </w:rPr>
        <w:t xml:space="preserve">. Le thème est également abordé dans le projet de résolution sur les Initiatives régionales Ramsar 2022-2024 en annexe du document SC59 Doc.21.1 </w:t>
      </w:r>
      <w:r w:rsidRPr="00F57666">
        <w:rPr>
          <w:i/>
          <w:iCs/>
          <w:lang w:val="fr-FR"/>
        </w:rPr>
        <w:t>Rapport du Groupe de travail sur les Initiatives régionales Ramsar, relatif à la mise en œuvre de la Résolution XIII.9.</w:t>
      </w:r>
      <w:r w:rsidRPr="00F57666">
        <w:rPr>
          <w:lang w:val="fr-FR"/>
        </w:rPr>
        <w:t xml:space="preserve"> Le projet de résolution ne traite d’aucune question de nature scientifique ou technique nécessitant un examen par le GEST.</w:t>
      </w:r>
    </w:p>
    <w:p w14:paraId="1CB99213" w14:textId="77777777" w:rsidR="00BA7B0F" w:rsidRDefault="00BA7B0F">
      <w:pPr>
        <w:rPr>
          <w:rFonts w:ascii="Garamond" w:hAnsi="Garamond" w:cs="Arial"/>
          <w:sz w:val="28"/>
          <w:szCs w:val="28"/>
          <w:lang w:val="fr-FR"/>
        </w:rPr>
      </w:pPr>
      <w:r>
        <w:rPr>
          <w:rFonts w:ascii="Garamond" w:hAnsi="Garamond" w:cs="Arial"/>
          <w:sz w:val="28"/>
          <w:szCs w:val="28"/>
          <w:lang w:val="fr-FR"/>
        </w:rPr>
        <w:br w:type="page"/>
      </w:r>
    </w:p>
    <w:p w14:paraId="11A4AAD1" w14:textId="60EDC55E" w:rsidR="000C2489" w:rsidRDefault="000C2489" w:rsidP="00D3734D">
      <w:pPr>
        <w:autoSpaceDE w:val="0"/>
        <w:autoSpaceDN w:val="0"/>
        <w:adjustRightInd w:val="0"/>
        <w:rPr>
          <w:rFonts w:asciiTheme="minorHAnsi" w:eastAsiaTheme="minorHAnsi" w:hAnsiTheme="minorHAnsi" w:cs="Calibri-Bold"/>
          <w:b/>
          <w:bCs/>
        </w:rPr>
      </w:pPr>
      <w:r>
        <w:rPr>
          <w:noProof/>
          <w:lang w:eastAsia="en-GB"/>
        </w:rPr>
        <w:lastRenderedPageBreak/>
        <mc:AlternateContent>
          <mc:Choice Requires="wps">
            <w:drawing>
              <wp:inline distT="0" distB="0" distL="0" distR="0" wp14:anchorId="78C670CB" wp14:editId="10DDEB80">
                <wp:extent cx="5731510" cy="1190625"/>
                <wp:effectExtent l="0" t="0" r="21590" b="285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190625"/>
                        </a:xfrm>
                        <a:prstGeom prst="rect">
                          <a:avLst/>
                        </a:prstGeom>
                        <a:solidFill>
                          <a:srgbClr val="FFFFFF"/>
                        </a:solidFill>
                        <a:ln w="9525">
                          <a:solidFill>
                            <a:srgbClr val="000000"/>
                          </a:solidFill>
                          <a:miter lim="800000"/>
                          <a:headEnd/>
                          <a:tailEnd/>
                        </a:ln>
                      </wps:spPr>
                      <wps:txbx>
                        <w:txbxContent>
                          <w:p w14:paraId="25C6ED61" w14:textId="12049BC0" w:rsidR="00F44066" w:rsidRPr="005C217F" w:rsidRDefault="00F44066" w:rsidP="000C2489">
                            <w:pPr>
                              <w:rPr>
                                <w:b/>
                                <w:bCs/>
                                <w:lang w:val="fr-FR"/>
                              </w:rPr>
                            </w:pPr>
                            <w:r w:rsidRPr="005C217F">
                              <w:rPr>
                                <w:b/>
                                <w:bCs/>
                                <w:lang w:val="fr-FR"/>
                              </w:rPr>
                              <w:t xml:space="preserve">Mesure requise : </w:t>
                            </w:r>
                          </w:p>
                          <w:p w14:paraId="5B8D72C9" w14:textId="77777777" w:rsidR="00F44066" w:rsidRPr="005C217F" w:rsidRDefault="00F44066" w:rsidP="000C2489">
                            <w:pPr>
                              <w:pStyle w:val="ColorfulList-Accent11"/>
                              <w:ind w:left="0"/>
                              <w:rPr>
                                <w:lang w:val="fr-FR"/>
                              </w:rPr>
                            </w:pPr>
                          </w:p>
                          <w:p w14:paraId="5C796CF9" w14:textId="4FCC8B0D" w:rsidR="00F44066" w:rsidRPr="005C217F" w:rsidRDefault="00F44066" w:rsidP="00275F13">
                            <w:pPr>
                              <w:pStyle w:val="ColorfulList-Accent11"/>
                              <w:ind w:left="0" w:firstLine="0"/>
                              <w:rPr>
                                <w:rFonts w:cs="Calibri"/>
                                <w:lang w:val="fr-FR"/>
                              </w:rPr>
                            </w:pPr>
                            <w:r w:rsidRPr="005C217F">
                              <w:rPr>
                                <w:lang w:val="fr-FR"/>
                              </w:rPr>
                              <w:t>Le Comité permanent est invit</w:t>
                            </w:r>
                            <w:r>
                              <w:rPr>
                                <w:lang w:val="fr-FR"/>
                              </w:rPr>
                              <w:t>é</w:t>
                            </w:r>
                            <w:r w:rsidRPr="005C217F">
                              <w:rPr>
                                <w:lang w:val="fr-FR"/>
                              </w:rPr>
                              <w:t xml:space="preserve"> à </w:t>
                            </w:r>
                            <w:r w:rsidRPr="005C217F">
                              <w:rPr>
                                <w:rFonts w:cs="Calibri"/>
                                <w:lang w:val="fr-FR"/>
                              </w:rPr>
                              <w:t>:</w:t>
                            </w:r>
                          </w:p>
                          <w:p w14:paraId="025A5546" w14:textId="77777777" w:rsidR="00F44066" w:rsidRPr="005C217F" w:rsidRDefault="00F44066" w:rsidP="002C261A">
                            <w:pPr>
                              <w:pStyle w:val="ColorfulList-Accent11"/>
                              <w:ind w:left="709" w:hanging="283"/>
                              <w:rPr>
                                <w:lang w:val="fr-FR"/>
                              </w:rPr>
                            </w:pPr>
                          </w:p>
                          <w:p w14:paraId="639AE441" w14:textId="13D4741A" w:rsidR="00F44066" w:rsidRPr="005C217F" w:rsidRDefault="00F44066" w:rsidP="00F44066">
                            <w:pPr>
                              <w:pStyle w:val="ColorfulList-Accent11"/>
                              <w:numPr>
                                <w:ilvl w:val="0"/>
                                <w:numId w:val="12"/>
                              </w:numPr>
                              <w:rPr>
                                <w:rFonts w:cs="Calibri"/>
                                <w:lang w:val="fr-FR"/>
                              </w:rPr>
                            </w:pPr>
                            <w:r w:rsidRPr="005C217F">
                              <w:rPr>
                                <w:rFonts w:cs="Calibri"/>
                                <w:lang w:val="fr-FR"/>
                              </w:rPr>
                              <w:t xml:space="preserve">Examiner, approuver et </w:t>
                            </w:r>
                            <w:r w:rsidR="00DA3F2F">
                              <w:rPr>
                                <w:rFonts w:cs="Calibri"/>
                                <w:lang w:val="fr-FR"/>
                              </w:rPr>
                              <w:t>communiquer</w:t>
                            </w:r>
                            <w:r w:rsidRPr="005C217F">
                              <w:rPr>
                                <w:rFonts w:cs="Calibri"/>
                                <w:lang w:val="fr-FR"/>
                              </w:rPr>
                              <w:t xml:space="preserve"> le projet de résolution ci-joint </w:t>
                            </w:r>
                            <w:r>
                              <w:rPr>
                                <w:rFonts w:cs="Calibri"/>
                                <w:lang w:val="fr-FR"/>
                              </w:rPr>
                              <w:t>« </w:t>
                            </w:r>
                            <w:r w:rsidR="00DA3F2F">
                              <w:rPr>
                                <w:rFonts w:cs="Calibri"/>
                                <w:lang w:val="fr-FR"/>
                              </w:rPr>
                              <w:t xml:space="preserve">Les </w:t>
                            </w:r>
                            <w:r>
                              <w:rPr>
                                <w:rFonts w:cs="Calibri"/>
                                <w:lang w:val="fr-FR"/>
                              </w:rPr>
                              <w:t xml:space="preserve">Initiatives régionales Ramsar – </w:t>
                            </w:r>
                            <w:r w:rsidR="00DA3F2F">
                              <w:rPr>
                                <w:rFonts w:cs="Calibri"/>
                                <w:lang w:val="fr-FR"/>
                              </w:rPr>
                              <w:t>T</w:t>
                            </w:r>
                            <w:r>
                              <w:rPr>
                                <w:rFonts w:cs="Calibri"/>
                                <w:lang w:val="fr-FR"/>
                              </w:rPr>
                              <w:t>raitement des anciennes décisions »</w:t>
                            </w:r>
                            <w:r w:rsidRPr="005C217F">
                              <w:rPr>
                                <w:rFonts w:cs="Calibri"/>
                                <w:lang w:val="fr-FR"/>
                              </w:rPr>
                              <w:t xml:space="preserve">. </w:t>
                            </w:r>
                          </w:p>
                        </w:txbxContent>
                      </wps:txbx>
                      <wps:bodyPr rot="0" vert="horz" wrap="square" lIns="91440" tIns="45720" rIns="91440" bIns="45720" anchor="t" anchorCtr="0" upright="1">
                        <a:noAutofit/>
                      </wps:bodyPr>
                    </wps:wsp>
                  </a:graphicData>
                </a:graphic>
              </wp:inline>
            </w:drawing>
          </mc:Choice>
          <mc:Fallback>
            <w:pict>
              <v:shapetype w14:anchorId="78C670CB" id="_x0000_t202" coordsize="21600,21600" o:spt="202" path="m,l,21600r21600,l21600,xe">
                <v:stroke joinstyle="miter"/>
                <v:path gradientshapeok="t" o:connecttype="rect"/>
              </v:shapetype>
              <v:shape id="Text Box 1" o:spid="_x0000_s1026" type="#_x0000_t202" style="width:451.3pt;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">
                <v:textbox>
                  <w:txbxContent>
                    <w:p w14:paraId="25C6ED61" w14:textId="12049BC0" w:rsidR="00F44066" w:rsidRPr="005C217F" w:rsidRDefault="00F44066" w:rsidP="000C2489">
                      <w:pPr>
                        <w:rPr>
                          <w:b/>
                          <w:bCs/>
                          <w:lang w:val="fr-FR"/>
                        </w:rPr>
                      </w:pPr>
                      <w:r w:rsidRPr="005C217F">
                        <w:rPr>
                          <w:b/>
                          <w:bCs/>
                          <w:lang w:val="fr-FR"/>
                        </w:rPr>
                        <w:t xml:space="preserve">Mesure requise : </w:t>
                      </w:r>
                    </w:p>
                    <w:p w14:paraId="5B8D72C9" w14:textId="77777777" w:rsidR="00F44066" w:rsidRPr="005C217F" w:rsidRDefault="00F44066" w:rsidP="000C2489">
                      <w:pPr>
                        <w:pStyle w:val="ColorfulList-Accent11"/>
                        <w:ind w:left="0"/>
                        <w:rPr>
                          <w:lang w:val="fr-FR"/>
                        </w:rPr>
                      </w:pPr>
                    </w:p>
                    <w:p w14:paraId="5C796CF9" w14:textId="4FCC8B0D" w:rsidR="00F44066" w:rsidRPr="005C217F" w:rsidRDefault="00F44066" w:rsidP="00275F13">
                      <w:pPr>
                        <w:pStyle w:val="ColorfulList-Accent11"/>
                        <w:ind w:left="0" w:firstLine="0"/>
                        <w:rPr>
                          <w:rFonts w:cs="Calibri"/>
                          <w:lang w:val="fr-FR"/>
                        </w:rPr>
                      </w:pPr>
                      <w:r w:rsidRPr="005C217F">
                        <w:rPr>
                          <w:lang w:val="fr-FR"/>
                        </w:rPr>
                        <w:t>Le Comité permanent est invit</w:t>
                      </w:r>
                      <w:r>
                        <w:rPr>
                          <w:lang w:val="fr-FR"/>
                        </w:rPr>
                        <w:t>é</w:t>
                      </w:r>
                      <w:r w:rsidRPr="005C217F">
                        <w:rPr>
                          <w:lang w:val="fr-FR"/>
                        </w:rPr>
                        <w:t xml:space="preserve"> à </w:t>
                      </w:r>
                      <w:r w:rsidRPr="005C217F">
                        <w:rPr>
                          <w:rFonts w:cs="Calibri"/>
                          <w:lang w:val="fr-FR"/>
                        </w:rPr>
                        <w:t>:</w:t>
                      </w:r>
                    </w:p>
                    <w:p w14:paraId="025A5546" w14:textId="77777777" w:rsidR="00F44066" w:rsidRPr="005C217F" w:rsidRDefault="00F44066" w:rsidP="002C261A">
                      <w:pPr>
                        <w:pStyle w:val="ColorfulList-Accent11"/>
                        <w:ind w:left="709" w:hanging="283"/>
                        <w:rPr>
                          <w:lang w:val="fr-FR"/>
                        </w:rPr>
                      </w:pPr>
                    </w:p>
                    <w:p w14:paraId="639AE441" w14:textId="13D4741A" w:rsidR="00F44066" w:rsidRPr="005C217F" w:rsidRDefault="00F44066" w:rsidP="00F44066">
                      <w:pPr>
                        <w:pStyle w:val="ColorfulList-Accent11"/>
                        <w:numPr>
                          <w:ilvl w:val="0"/>
                          <w:numId w:val="12"/>
                        </w:numPr>
                        <w:rPr>
                          <w:rFonts w:cs="Calibri"/>
                          <w:lang w:val="fr-FR"/>
                        </w:rPr>
                      </w:pPr>
                      <w:r w:rsidRPr="005C217F">
                        <w:rPr>
                          <w:rFonts w:cs="Calibri"/>
                          <w:lang w:val="fr-FR"/>
                        </w:rPr>
                        <w:t xml:space="preserve">Examiner, approuver et </w:t>
                      </w:r>
                      <w:r w:rsidR="00DA3F2F">
                        <w:rPr>
                          <w:rFonts w:cs="Calibri"/>
                          <w:lang w:val="fr-FR"/>
                        </w:rPr>
                        <w:t>communiquer</w:t>
                      </w:r>
                      <w:r w:rsidRPr="005C217F">
                        <w:rPr>
                          <w:rFonts w:cs="Calibri"/>
                          <w:lang w:val="fr-FR"/>
                        </w:rPr>
                        <w:t xml:space="preserve"> le projet de résolution ci-joint </w:t>
                      </w:r>
                      <w:r>
                        <w:rPr>
                          <w:rFonts w:cs="Calibri"/>
                          <w:lang w:val="fr-FR"/>
                        </w:rPr>
                        <w:t>« </w:t>
                      </w:r>
                      <w:r w:rsidR="00DA3F2F">
                        <w:rPr>
                          <w:rFonts w:cs="Calibri"/>
                          <w:lang w:val="fr-FR"/>
                        </w:rPr>
                        <w:t xml:space="preserve">Les </w:t>
                      </w:r>
                      <w:r>
                        <w:rPr>
                          <w:rFonts w:cs="Calibri"/>
                          <w:lang w:val="fr-FR"/>
                        </w:rPr>
                        <w:t xml:space="preserve">Initiatives régionales Ramsar – </w:t>
                      </w:r>
                      <w:r w:rsidR="00DA3F2F">
                        <w:rPr>
                          <w:rFonts w:cs="Calibri"/>
                          <w:lang w:val="fr-FR"/>
                        </w:rPr>
                        <w:t>T</w:t>
                      </w:r>
                      <w:r>
                        <w:rPr>
                          <w:rFonts w:cs="Calibri"/>
                          <w:lang w:val="fr-FR"/>
                        </w:rPr>
                        <w:t>raitement des anciennes décisions »</w:t>
                      </w:r>
                      <w:r w:rsidRPr="005C217F">
                        <w:rPr>
                          <w:rFonts w:cs="Calibri"/>
                          <w:lang w:val="fr-FR"/>
                        </w:rPr>
                        <w:t xml:space="preserve">. </w:t>
                      </w:r>
                    </w:p>
                  </w:txbxContent>
                </v:textbox>
                <w10:anchorlock/>
              </v:shape>
            </w:pict>
          </mc:Fallback>
        </mc:AlternateContent>
      </w:r>
    </w:p>
    <w:p w14:paraId="0D09C557" w14:textId="77777777" w:rsidR="008B659C" w:rsidRDefault="008B659C" w:rsidP="00D3734D">
      <w:pPr>
        <w:rPr>
          <w:rFonts w:asciiTheme="minorHAnsi" w:hAnsiTheme="minorHAnsi" w:cstheme="minorHAnsi"/>
          <w:b/>
        </w:rPr>
      </w:pPr>
    </w:p>
    <w:p w14:paraId="5DCFE20A" w14:textId="77777777" w:rsidR="00BB27F0" w:rsidRPr="00152A81" w:rsidRDefault="00BB27F0" w:rsidP="00BB27F0">
      <w:pPr>
        <w:rPr>
          <w:rFonts w:asciiTheme="minorHAnsi" w:hAnsiTheme="minorHAnsi" w:cstheme="minorHAnsi"/>
          <w:b/>
          <w:lang w:val="fr-FR"/>
        </w:rPr>
      </w:pPr>
      <w:bookmarkStart w:id="1" w:name="_Hlk94783576"/>
      <w:r w:rsidRPr="00152A81">
        <w:rPr>
          <w:rFonts w:asciiTheme="minorHAnsi" w:hAnsiTheme="minorHAnsi" w:cstheme="minorHAnsi"/>
          <w:b/>
          <w:lang w:val="fr-FR"/>
        </w:rPr>
        <w:t>Introduction</w:t>
      </w:r>
    </w:p>
    <w:p w14:paraId="0B1F737A" w14:textId="77777777" w:rsidR="00BB27F0" w:rsidRPr="00152A81" w:rsidRDefault="00BB27F0" w:rsidP="00BB27F0">
      <w:pPr>
        <w:rPr>
          <w:rFonts w:asciiTheme="minorHAnsi" w:hAnsiTheme="minorHAnsi" w:cstheme="minorHAnsi"/>
          <w:b/>
          <w:lang w:val="fr-FR"/>
        </w:rPr>
      </w:pPr>
    </w:p>
    <w:p w14:paraId="509DBAA1" w14:textId="77777777" w:rsidR="00BB27F0" w:rsidRPr="009777B0" w:rsidRDefault="00BB27F0" w:rsidP="00BB27F0">
      <w:pPr>
        <w:rPr>
          <w:rFonts w:asciiTheme="minorHAnsi" w:hAnsiTheme="minorHAnsi" w:cstheme="minorHAnsi"/>
          <w:bCs/>
          <w:i/>
          <w:iCs/>
          <w:lang w:val="fr-FR"/>
        </w:rPr>
      </w:pPr>
      <w:bookmarkStart w:id="2" w:name="_Hlk94784253"/>
      <w:r w:rsidRPr="009777B0">
        <w:rPr>
          <w:rFonts w:asciiTheme="minorHAnsi" w:hAnsiTheme="minorHAnsi" w:cstheme="minorHAnsi"/>
          <w:bCs/>
          <w:i/>
          <w:iCs/>
          <w:lang w:val="fr-FR"/>
        </w:rPr>
        <w:t>Informations pour le Comité permanent</w:t>
      </w:r>
    </w:p>
    <w:p w14:paraId="4E0D8BE1" w14:textId="77777777" w:rsidR="00BB27F0" w:rsidRPr="009777B0" w:rsidRDefault="00BB27F0" w:rsidP="00BB27F0">
      <w:pPr>
        <w:rPr>
          <w:rFonts w:asciiTheme="minorHAnsi" w:hAnsiTheme="minorHAnsi" w:cstheme="minorHAnsi"/>
          <w:b/>
          <w:lang w:val="fr-FR"/>
        </w:rPr>
      </w:pPr>
    </w:p>
    <w:p w14:paraId="78BC04F6" w14:textId="616B77E6" w:rsidR="00BB27F0" w:rsidRPr="00A02DC3" w:rsidRDefault="00BB27F0" w:rsidP="00BB27F0">
      <w:pPr>
        <w:pStyle w:val="ListParagraph"/>
        <w:numPr>
          <w:ilvl w:val="0"/>
          <w:numId w:val="1"/>
        </w:numPr>
        <w:ind w:left="426" w:hanging="426"/>
        <w:rPr>
          <w:rFonts w:asciiTheme="minorHAnsi" w:hAnsiTheme="minorHAnsi" w:cstheme="minorHAnsi"/>
          <w:lang w:val="fr-FR"/>
        </w:rPr>
      </w:pPr>
      <w:bookmarkStart w:id="3" w:name="_Hlk66787368"/>
      <w:r w:rsidRPr="009777B0">
        <w:rPr>
          <w:rFonts w:asciiTheme="minorHAnsi" w:hAnsiTheme="minorHAnsi" w:cstheme="minorHAnsi"/>
          <w:lang w:val="fr-FR"/>
        </w:rPr>
        <w:t>La Résolution XIII.9</w:t>
      </w:r>
      <w:bookmarkEnd w:id="3"/>
      <w:r w:rsidRPr="009777B0">
        <w:rPr>
          <w:rFonts w:asciiTheme="minorHAnsi" w:hAnsiTheme="minorHAnsi" w:cstheme="minorHAnsi"/>
          <w:lang w:val="fr-FR"/>
        </w:rPr>
        <w:t xml:space="preserve"> </w:t>
      </w:r>
      <w:r w:rsidRPr="009777B0">
        <w:rPr>
          <w:lang w:val="fr-FR"/>
        </w:rPr>
        <w:t>reconstituait le Groupe de travail (à composition non limitée) sur les Initiatives régionales Ramsar, conformément à l’Article 25 du Règlement intérieur, et le chargeait de rédiger de nouvelles Directives opérationnelles pour les Initiatives régionales Ramsar (IRR)</w:t>
      </w:r>
      <w:r w:rsidRPr="009777B0">
        <w:rPr>
          <w:rFonts w:asciiTheme="minorHAnsi" w:hAnsiTheme="minorHAnsi" w:cstheme="minorHAnsi"/>
          <w:lang w:val="fr-FR"/>
        </w:rPr>
        <w:t xml:space="preserve">. Les résultats </w:t>
      </w:r>
      <w:r w:rsidR="0082477B">
        <w:rPr>
          <w:rFonts w:asciiTheme="minorHAnsi" w:hAnsiTheme="minorHAnsi" w:cstheme="minorHAnsi"/>
          <w:lang w:val="fr-FR"/>
        </w:rPr>
        <w:t xml:space="preserve">des travaux </w:t>
      </w:r>
      <w:r w:rsidRPr="009777B0">
        <w:rPr>
          <w:rFonts w:asciiTheme="minorHAnsi" w:hAnsiTheme="minorHAnsi" w:cstheme="minorHAnsi"/>
          <w:lang w:val="fr-FR"/>
        </w:rPr>
        <w:t xml:space="preserve">du Groupe de travail sont présentés dans le document SC59-21.1 qui </w:t>
      </w:r>
      <w:r w:rsidRPr="00A02DC3">
        <w:rPr>
          <w:rFonts w:asciiTheme="minorHAnsi" w:hAnsiTheme="minorHAnsi" w:cstheme="minorHAnsi"/>
          <w:lang w:val="fr-FR"/>
        </w:rPr>
        <w:t xml:space="preserve">contient un nouveau projet de résolution. </w:t>
      </w:r>
      <w:r w:rsidRPr="00A02DC3">
        <w:rPr>
          <w:rFonts w:asciiTheme="minorHAnsi" w:hAnsiTheme="minorHAnsi" w:cstheme="minorHAnsi"/>
          <w:lang w:val="fr-FR"/>
        </w:rPr>
        <w:br/>
      </w:r>
    </w:p>
    <w:p w14:paraId="6017437B" w14:textId="77777777" w:rsidR="00BB27F0" w:rsidRPr="00A02DC3" w:rsidRDefault="00BB27F0" w:rsidP="00BB27F0">
      <w:pPr>
        <w:pStyle w:val="ListParagraph"/>
        <w:numPr>
          <w:ilvl w:val="0"/>
          <w:numId w:val="1"/>
        </w:numPr>
        <w:ind w:left="426" w:hanging="426"/>
        <w:rPr>
          <w:rFonts w:cs="Calibri"/>
          <w:lang w:val="fr-FR"/>
        </w:rPr>
      </w:pPr>
      <w:r w:rsidRPr="00A02DC3">
        <w:rPr>
          <w:rFonts w:asciiTheme="minorHAnsi" w:hAnsiTheme="minorHAnsi" w:cstheme="minorHAnsi"/>
          <w:lang w:val="fr-FR"/>
        </w:rPr>
        <w:t xml:space="preserve">Le document SC59-21.1 a été, en partie rédigé à la hâte par quelques pays, et les commentaires d’autres pays n’ont pas été pris en compte.  </w:t>
      </w:r>
    </w:p>
    <w:p w14:paraId="7784B819" w14:textId="77777777" w:rsidR="00BB27F0" w:rsidRPr="00A02DC3" w:rsidRDefault="00BB27F0" w:rsidP="00BB27F0">
      <w:pPr>
        <w:ind w:left="0" w:firstLine="0"/>
        <w:rPr>
          <w:rFonts w:cs="Calibri"/>
          <w:lang w:val="fr-FR"/>
        </w:rPr>
      </w:pPr>
    </w:p>
    <w:p w14:paraId="39977EEF" w14:textId="0E2AE0F7" w:rsidR="00BB27F0" w:rsidRPr="00A02DC3" w:rsidRDefault="00BB27F0" w:rsidP="00BB27F0">
      <w:pPr>
        <w:pStyle w:val="ListParagraph"/>
        <w:numPr>
          <w:ilvl w:val="0"/>
          <w:numId w:val="1"/>
        </w:numPr>
        <w:ind w:left="426" w:hanging="426"/>
        <w:rPr>
          <w:rFonts w:cs="Calibri"/>
          <w:lang w:val="fr-FR"/>
        </w:rPr>
      </w:pPr>
      <w:r>
        <w:rPr>
          <w:rFonts w:cs="Calibri"/>
          <w:lang w:val="fr-FR"/>
        </w:rPr>
        <w:t xml:space="preserve">Au cours de la </w:t>
      </w:r>
      <w:bookmarkStart w:id="4" w:name="_Hlk98314633"/>
      <w:r>
        <w:rPr>
          <w:rFonts w:cs="Calibri"/>
          <w:lang w:val="fr-FR"/>
        </w:rPr>
        <w:t>59</w:t>
      </w:r>
      <w:r w:rsidRPr="00A02DC3">
        <w:rPr>
          <w:rFonts w:cs="Calibri"/>
          <w:vertAlign w:val="superscript"/>
          <w:lang w:val="fr-FR"/>
        </w:rPr>
        <w:t>e</w:t>
      </w:r>
      <w:r>
        <w:rPr>
          <w:rFonts w:cs="Calibri"/>
          <w:lang w:val="fr-FR"/>
        </w:rPr>
        <w:t xml:space="preserve"> Réunion </w:t>
      </w:r>
      <w:bookmarkEnd w:id="4"/>
      <w:r>
        <w:rPr>
          <w:rFonts w:cs="Calibri"/>
          <w:lang w:val="fr-FR"/>
        </w:rPr>
        <w:t>du Comité permanent, la Suède a encouragé le Groupe de travail à poursuivre ses travaux pour essayer de résoudre les dernières divergences et à soumettre un</w:t>
      </w:r>
      <w:r w:rsidRPr="00A02DC3">
        <w:rPr>
          <w:rFonts w:cs="Calibri"/>
          <w:lang w:val="fr-FR"/>
        </w:rPr>
        <w:t xml:space="preserve"> document </w:t>
      </w:r>
      <w:r>
        <w:rPr>
          <w:rFonts w:cs="Calibri"/>
          <w:lang w:val="fr-FR"/>
        </w:rPr>
        <w:t xml:space="preserve">mis à jour à la reprise de séance de la </w:t>
      </w:r>
      <w:r w:rsidRPr="00985767">
        <w:rPr>
          <w:rFonts w:cs="Calibri"/>
          <w:lang w:val="fr-FR"/>
        </w:rPr>
        <w:t>59</w:t>
      </w:r>
      <w:r w:rsidRPr="00985767">
        <w:rPr>
          <w:rFonts w:cs="Calibri"/>
          <w:vertAlign w:val="superscript"/>
          <w:lang w:val="fr-FR"/>
        </w:rPr>
        <w:t>e</w:t>
      </w:r>
      <w:r w:rsidRPr="00985767">
        <w:rPr>
          <w:rFonts w:cs="Calibri"/>
          <w:lang w:val="fr-FR"/>
        </w:rPr>
        <w:t xml:space="preserve"> Réunion</w:t>
      </w:r>
      <w:r>
        <w:rPr>
          <w:rFonts w:cs="Calibri"/>
          <w:lang w:val="fr-FR"/>
        </w:rPr>
        <w:t>, en mai</w:t>
      </w:r>
      <w:r w:rsidRPr="00A02DC3">
        <w:rPr>
          <w:rFonts w:cs="Calibri"/>
          <w:lang w:val="fr-FR"/>
        </w:rPr>
        <w:t xml:space="preserve"> 2022. </w:t>
      </w:r>
      <w:r>
        <w:rPr>
          <w:rFonts w:cs="Calibri"/>
          <w:lang w:val="fr-FR"/>
        </w:rPr>
        <w:t xml:space="preserve">Malheureusement </w:t>
      </w:r>
      <w:r w:rsidR="00B06642">
        <w:rPr>
          <w:rFonts w:cs="Calibri"/>
          <w:lang w:val="fr-FR"/>
        </w:rPr>
        <w:t>le Groupe de travail n’a pas progressé et</w:t>
      </w:r>
      <w:r w:rsidR="00F94DDC">
        <w:rPr>
          <w:rFonts w:cs="Calibri"/>
          <w:lang w:val="fr-FR"/>
        </w:rPr>
        <w:t>,</w:t>
      </w:r>
      <w:r w:rsidR="00B06642">
        <w:rPr>
          <w:rFonts w:cs="Calibri"/>
          <w:lang w:val="fr-FR"/>
        </w:rPr>
        <w:t xml:space="preserve"> à la place,</w:t>
      </w:r>
      <w:r>
        <w:rPr>
          <w:rFonts w:cs="Calibri"/>
          <w:lang w:val="fr-FR"/>
        </w:rPr>
        <w:t xml:space="preserve"> la Suède a rédigé d’autres projets de résolutions couvrant le sujet</w:t>
      </w:r>
      <w:r w:rsidRPr="00A02DC3">
        <w:rPr>
          <w:rFonts w:cs="Calibri"/>
          <w:lang w:val="fr-FR"/>
        </w:rPr>
        <w:t xml:space="preserve">. </w:t>
      </w:r>
      <w:r w:rsidRPr="00A02DC3">
        <w:rPr>
          <w:rFonts w:cs="Calibri"/>
          <w:lang w:val="fr-FR"/>
        </w:rPr>
        <w:br/>
      </w:r>
      <w:bookmarkStart w:id="5" w:name="_Hlk95148360"/>
    </w:p>
    <w:p w14:paraId="03ED6760" w14:textId="65072876" w:rsidR="00BB27F0" w:rsidRPr="00A02DC3" w:rsidRDefault="005E59BC" w:rsidP="00BB27F0">
      <w:pPr>
        <w:pStyle w:val="ListParagraph"/>
        <w:numPr>
          <w:ilvl w:val="0"/>
          <w:numId w:val="1"/>
        </w:numPr>
        <w:ind w:left="426" w:hanging="426"/>
        <w:rPr>
          <w:rFonts w:cs="Calibri"/>
          <w:lang w:val="fr-FR"/>
        </w:rPr>
      </w:pPr>
      <w:r>
        <w:rPr>
          <w:rFonts w:cs="Calibri"/>
          <w:lang w:val="fr-FR"/>
        </w:rPr>
        <w:t xml:space="preserve">Trois projets de </w:t>
      </w:r>
      <w:r w:rsidRPr="00A02DC3">
        <w:rPr>
          <w:rFonts w:cs="Calibri"/>
          <w:lang w:val="fr-FR"/>
        </w:rPr>
        <w:t xml:space="preserve">résolutions </w:t>
      </w:r>
      <w:r>
        <w:rPr>
          <w:rFonts w:cs="Calibri"/>
          <w:lang w:val="fr-FR"/>
        </w:rPr>
        <w:t>couvrant différentes parties du sujet, selon leur durée de vie</w:t>
      </w:r>
      <w:r w:rsidR="00BB27F0">
        <w:rPr>
          <w:rFonts w:cs="Calibri"/>
          <w:lang w:val="fr-FR"/>
        </w:rPr>
        <w:t xml:space="preserve"> prévisible</w:t>
      </w:r>
      <w:r w:rsidR="00BB27F0" w:rsidRPr="00DA3F2F">
        <w:rPr>
          <w:rFonts w:cs="Calibri"/>
          <w:lang w:val="fr-FR"/>
        </w:rPr>
        <w:t xml:space="preserve">, </w:t>
      </w:r>
      <w:r w:rsidR="00DA3F2F" w:rsidRPr="00DA3F2F">
        <w:rPr>
          <w:rFonts w:cs="Calibri"/>
          <w:lang w:val="fr-FR"/>
        </w:rPr>
        <w:t xml:space="preserve">sont </w:t>
      </w:r>
      <w:r w:rsidR="00BB27F0" w:rsidRPr="00DA3F2F">
        <w:rPr>
          <w:rFonts w:cs="Calibri"/>
          <w:lang w:val="fr-FR"/>
        </w:rPr>
        <w:t xml:space="preserve">sans doute </w:t>
      </w:r>
      <w:r w:rsidR="00925D89" w:rsidRPr="00DA3F2F">
        <w:rPr>
          <w:rFonts w:cs="Calibri"/>
          <w:lang w:val="fr-FR"/>
        </w:rPr>
        <w:t>préférable</w:t>
      </w:r>
      <w:r w:rsidR="00F618BB" w:rsidRPr="00DA3F2F">
        <w:rPr>
          <w:rFonts w:cs="Calibri"/>
          <w:lang w:val="fr-FR"/>
        </w:rPr>
        <w:t>s</w:t>
      </w:r>
      <w:r w:rsidR="00925D89">
        <w:rPr>
          <w:rFonts w:cs="Calibri"/>
          <w:lang w:val="fr-FR"/>
        </w:rPr>
        <w:t xml:space="preserve"> à </w:t>
      </w:r>
      <w:r w:rsidR="00BB27F0">
        <w:rPr>
          <w:rFonts w:cs="Calibri"/>
          <w:lang w:val="fr-FR"/>
        </w:rPr>
        <w:t xml:space="preserve">une seule </w:t>
      </w:r>
      <w:r w:rsidR="00BB27F0" w:rsidRPr="00A02DC3">
        <w:rPr>
          <w:rFonts w:cs="Calibri"/>
          <w:lang w:val="fr-FR"/>
        </w:rPr>
        <w:t>résolution co</w:t>
      </w:r>
      <w:r w:rsidR="00BB27F0">
        <w:rPr>
          <w:rFonts w:cs="Calibri"/>
          <w:lang w:val="fr-FR"/>
        </w:rPr>
        <w:t xml:space="preserve">uvrant toutes les questions </w:t>
      </w:r>
      <w:r w:rsidR="00DA3F2F">
        <w:rPr>
          <w:rFonts w:cs="Calibri"/>
          <w:lang w:val="fr-FR"/>
        </w:rPr>
        <w:t>relatives aux</w:t>
      </w:r>
      <w:r w:rsidR="00BB27F0">
        <w:rPr>
          <w:rFonts w:cs="Calibri"/>
          <w:lang w:val="fr-FR"/>
        </w:rPr>
        <w:t xml:space="preserve"> IRR qui devraient être traitées à la</w:t>
      </w:r>
      <w:r w:rsidR="00BB27F0" w:rsidRPr="00A02DC3">
        <w:rPr>
          <w:rFonts w:cs="Calibri"/>
          <w:lang w:val="fr-FR"/>
        </w:rPr>
        <w:t xml:space="preserve"> COP14. </w:t>
      </w:r>
      <w:r w:rsidR="00DA3F2F">
        <w:rPr>
          <w:rFonts w:cs="Calibri"/>
          <w:lang w:val="fr-FR"/>
        </w:rPr>
        <w:t>L’une des</w:t>
      </w:r>
      <w:r w:rsidR="00BB27F0">
        <w:rPr>
          <w:rFonts w:cs="Calibri"/>
          <w:lang w:val="fr-FR"/>
        </w:rPr>
        <w:t xml:space="preserve"> résolution</w:t>
      </w:r>
      <w:r w:rsidR="00DA3F2F">
        <w:rPr>
          <w:rFonts w:cs="Calibri"/>
          <w:lang w:val="fr-FR"/>
        </w:rPr>
        <w:t>s</w:t>
      </w:r>
      <w:r w:rsidR="00BB27F0">
        <w:rPr>
          <w:rFonts w:cs="Calibri"/>
          <w:lang w:val="fr-FR"/>
        </w:rPr>
        <w:t xml:space="preserve"> porte sur les fondamentaux à long terme des IRR</w:t>
      </w:r>
      <w:r w:rsidR="00BB27F0" w:rsidRPr="00A02DC3">
        <w:rPr>
          <w:rFonts w:cs="Calibri"/>
          <w:lang w:val="fr-FR"/>
        </w:rPr>
        <w:t xml:space="preserve">, </w:t>
      </w:r>
      <w:r w:rsidR="00DA3F2F">
        <w:rPr>
          <w:rFonts w:cs="Calibri"/>
          <w:lang w:val="fr-FR"/>
        </w:rPr>
        <w:t>une autre</w:t>
      </w:r>
      <w:r w:rsidR="00BB27F0">
        <w:rPr>
          <w:rFonts w:cs="Calibri"/>
          <w:lang w:val="fr-FR"/>
        </w:rPr>
        <w:t xml:space="preserve"> sur ce qui pourrait </w:t>
      </w:r>
      <w:r w:rsidR="00DA3F2F">
        <w:rPr>
          <w:rFonts w:cs="Calibri"/>
          <w:lang w:val="fr-FR"/>
        </w:rPr>
        <w:t>présenter un intérêt</w:t>
      </w:r>
      <w:r w:rsidR="00BB27F0">
        <w:rPr>
          <w:rFonts w:cs="Calibri"/>
          <w:lang w:val="fr-FR"/>
        </w:rPr>
        <w:t xml:space="preserve"> jusqu’à la prochaine COP</w:t>
      </w:r>
      <w:r w:rsidR="00BB27F0" w:rsidRPr="00A02DC3">
        <w:rPr>
          <w:rFonts w:cs="Calibri"/>
          <w:lang w:val="fr-FR"/>
        </w:rPr>
        <w:t xml:space="preserve">, </w:t>
      </w:r>
      <w:r w:rsidR="00BB27F0">
        <w:rPr>
          <w:rFonts w:cs="Calibri"/>
          <w:lang w:val="fr-FR"/>
        </w:rPr>
        <w:t xml:space="preserve">et la </w:t>
      </w:r>
      <w:r w:rsidR="00DA3F2F">
        <w:rPr>
          <w:rFonts w:cs="Calibri"/>
          <w:lang w:val="fr-FR"/>
        </w:rPr>
        <w:t>dernière</w:t>
      </w:r>
      <w:r w:rsidR="00BB27F0">
        <w:rPr>
          <w:rFonts w:cs="Calibri"/>
          <w:lang w:val="fr-FR"/>
        </w:rPr>
        <w:t xml:space="preserve"> sur les anciennes décisions pouvant être abrogées</w:t>
      </w:r>
      <w:r w:rsidR="00BB27F0" w:rsidRPr="00A02DC3">
        <w:rPr>
          <w:rFonts w:cs="Calibri"/>
          <w:lang w:val="fr-FR"/>
        </w:rPr>
        <w:t>.</w:t>
      </w:r>
      <w:r w:rsidR="00BB27F0" w:rsidRPr="00A02DC3">
        <w:rPr>
          <w:rFonts w:cs="Calibri"/>
          <w:lang w:val="fr-FR"/>
        </w:rPr>
        <w:br/>
      </w:r>
    </w:p>
    <w:p w14:paraId="45A38B77" w14:textId="45C52D80" w:rsidR="00BB27F0" w:rsidRPr="00BF1A31" w:rsidRDefault="00634642" w:rsidP="00BB27F0">
      <w:pPr>
        <w:pStyle w:val="ListParagraph"/>
        <w:numPr>
          <w:ilvl w:val="0"/>
          <w:numId w:val="1"/>
        </w:numPr>
        <w:ind w:left="426" w:hanging="426"/>
        <w:rPr>
          <w:rFonts w:cs="Calibri"/>
          <w:lang w:val="fr-FR"/>
        </w:rPr>
      </w:pPr>
      <w:r>
        <w:rPr>
          <w:rFonts w:cs="Calibri"/>
          <w:lang w:val="fr-FR"/>
        </w:rPr>
        <w:t>D</w:t>
      </w:r>
      <w:r w:rsidRPr="00BF1A31">
        <w:rPr>
          <w:rFonts w:cs="Calibri"/>
          <w:lang w:val="fr-FR"/>
        </w:rPr>
        <w:t xml:space="preserve">es </w:t>
      </w:r>
      <w:r w:rsidR="00F94DDC">
        <w:rPr>
          <w:rFonts w:cs="Calibri"/>
          <w:lang w:val="fr-FR"/>
        </w:rPr>
        <w:t>r</w:t>
      </w:r>
      <w:r w:rsidRPr="00BF1A31">
        <w:rPr>
          <w:rFonts w:cs="Calibri"/>
          <w:lang w:val="fr-FR"/>
        </w:rPr>
        <w:t xml:space="preserve">ésolutions </w:t>
      </w:r>
      <w:r>
        <w:rPr>
          <w:rFonts w:cs="Calibri"/>
          <w:lang w:val="fr-FR"/>
        </w:rPr>
        <w:t>adaptées à leur</w:t>
      </w:r>
      <w:r w:rsidRPr="00BF1A31">
        <w:rPr>
          <w:rFonts w:cs="Calibri"/>
          <w:lang w:val="fr-FR"/>
        </w:rPr>
        <w:t xml:space="preserve"> durée de vie ser</w:t>
      </w:r>
      <w:r w:rsidR="0082477B">
        <w:rPr>
          <w:rFonts w:cs="Calibri"/>
          <w:lang w:val="fr-FR"/>
        </w:rPr>
        <w:t>ont</w:t>
      </w:r>
      <w:r w:rsidRPr="00BF1A31">
        <w:rPr>
          <w:rFonts w:cs="Calibri"/>
          <w:lang w:val="fr-FR"/>
        </w:rPr>
        <w:t xml:space="preserve"> </w:t>
      </w:r>
      <w:r>
        <w:rPr>
          <w:rFonts w:cs="Calibri"/>
          <w:lang w:val="fr-FR"/>
        </w:rPr>
        <w:t xml:space="preserve">probablement </w:t>
      </w:r>
      <w:r w:rsidRPr="00BF1A31">
        <w:rPr>
          <w:rFonts w:cs="Calibri"/>
          <w:lang w:val="fr-FR"/>
        </w:rPr>
        <w:t>plus efficace</w:t>
      </w:r>
      <w:r w:rsidR="0082477B">
        <w:rPr>
          <w:rFonts w:cs="Calibri"/>
          <w:lang w:val="fr-FR"/>
        </w:rPr>
        <w:t>s</w:t>
      </w:r>
      <w:r w:rsidRPr="00BF1A31">
        <w:rPr>
          <w:rFonts w:cs="Calibri"/>
          <w:lang w:val="fr-FR"/>
        </w:rPr>
        <w:t xml:space="preserve"> et diminuer</w:t>
      </w:r>
      <w:r w:rsidR="0082477B">
        <w:rPr>
          <w:rFonts w:cs="Calibri"/>
          <w:lang w:val="fr-FR"/>
        </w:rPr>
        <w:t>ont</w:t>
      </w:r>
      <w:r w:rsidRPr="00BF1A31">
        <w:rPr>
          <w:rFonts w:cs="Calibri"/>
          <w:lang w:val="fr-FR"/>
        </w:rPr>
        <w:t xml:space="preserve"> la nécessité de disposer d</w:t>
      </w:r>
      <w:r>
        <w:rPr>
          <w:rFonts w:cs="Calibri"/>
          <w:lang w:val="fr-FR"/>
        </w:rPr>
        <w:t>’un</w:t>
      </w:r>
      <w:r w:rsidRPr="00BF1A31">
        <w:rPr>
          <w:rFonts w:cs="Calibri"/>
          <w:lang w:val="fr-FR"/>
        </w:rPr>
        <w:t xml:space="preserve"> processus de </w:t>
      </w:r>
      <w:r>
        <w:rPr>
          <w:rFonts w:cs="Calibri"/>
          <w:lang w:val="fr-FR"/>
        </w:rPr>
        <w:t>regroupement</w:t>
      </w:r>
      <w:r w:rsidRPr="00BF1A31">
        <w:rPr>
          <w:rFonts w:cs="Calibri"/>
          <w:lang w:val="fr-FR"/>
        </w:rPr>
        <w:t xml:space="preserve">. La charge de travail en sera allégée, de même que les coûts pour le Secrétariat Ramsar, les traducteurs et </w:t>
      </w:r>
      <w:r>
        <w:rPr>
          <w:rFonts w:cs="Calibri"/>
          <w:lang w:val="fr-FR"/>
        </w:rPr>
        <w:t>les</w:t>
      </w:r>
      <w:r w:rsidRPr="00BF1A31">
        <w:rPr>
          <w:rFonts w:cs="Calibri"/>
          <w:lang w:val="fr-FR"/>
        </w:rPr>
        <w:t xml:space="preserve"> délégués lors des sessions de la Convention</w:t>
      </w:r>
      <w:r w:rsidR="00BB27F0" w:rsidRPr="00BF1A31">
        <w:rPr>
          <w:rFonts w:cs="Calibri"/>
          <w:lang w:val="fr-FR"/>
        </w:rPr>
        <w:t>.</w:t>
      </w:r>
      <w:r w:rsidR="00BB27F0" w:rsidRPr="00BF1A31">
        <w:rPr>
          <w:rFonts w:cs="Calibri"/>
          <w:lang w:val="fr-FR"/>
        </w:rPr>
        <w:br/>
      </w:r>
    </w:p>
    <w:bookmarkEnd w:id="5"/>
    <w:p w14:paraId="2E2A39E9" w14:textId="18C44239" w:rsidR="00BB27F0" w:rsidRPr="00152A81" w:rsidRDefault="00BB27F0" w:rsidP="00BB27F0">
      <w:pPr>
        <w:pStyle w:val="ListParagraph"/>
        <w:numPr>
          <w:ilvl w:val="0"/>
          <w:numId w:val="1"/>
        </w:numPr>
        <w:ind w:left="426" w:hanging="426"/>
        <w:rPr>
          <w:rFonts w:cs="Calibri"/>
          <w:lang w:val="fr-FR"/>
        </w:rPr>
      </w:pPr>
      <w:r w:rsidRPr="00BF1A31">
        <w:rPr>
          <w:rFonts w:cs="Calibri"/>
          <w:lang w:val="fr-FR"/>
        </w:rPr>
        <w:t xml:space="preserve">Le présent document </w:t>
      </w:r>
      <w:r w:rsidR="00634642">
        <w:rPr>
          <w:rFonts w:cs="Calibri"/>
          <w:lang w:val="fr-FR"/>
        </w:rPr>
        <w:t xml:space="preserve">pour le Comité permanent </w:t>
      </w:r>
      <w:r w:rsidRPr="00BF1A31">
        <w:rPr>
          <w:rFonts w:cs="Calibri"/>
          <w:lang w:val="fr-FR"/>
        </w:rPr>
        <w:t xml:space="preserve">contient le projet de résolution </w:t>
      </w:r>
      <w:r>
        <w:rPr>
          <w:rFonts w:cs="Calibri"/>
          <w:lang w:val="fr-FR"/>
        </w:rPr>
        <w:t xml:space="preserve">sur les </w:t>
      </w:r>
      <w:r w:rsidR="00925D89">
        <w:rPr>
          <w:rFonts w:cs="Calibri"/>
          <w:lang w:val="fr-FR"/>
        </w:rPr>
        <w:t xml:space="preserve">résolutions anciennes qui peuvent être abrogées. C’est un </w:t>
      </w:r>
      <w:r w:rsidR="00822F3B">
        <w:rPr>
          <w:rFonts w:cs="Calibri"/>
          <w:lang w:val="fr-FR"/>
        </w:rPr>
        <w:t>texte</w:t>
      </w:r>
      <w:r w:rsidR="00925D89">
        <w:rPr>
          <w:rFonts w:cs="Calibri"/>
          <w:lang w:val="fr-FR"/>
        </w:rPr>
        <w:t xml:space="preserve"> à très court terme</w:t>
      </w:r>
      <w:r w:rsidR="00822F3B">
        <w:rPr>
          <w:rFonts w:cs="Calibri"/>
          <w:lang w:val="fr-FR"/>
        </w:rPr>
        <w:t xml:space="preserve"> qui sera abrogé dès que le contenu </w:t>
      </w:r>
      <w:r w:rsidR="00634642">
        <w:rPr>
          <w:rFonts w:cs="Calibri"/>
          <w:lang w:val="fr-FR"/>
        </w:rPr>
        <w:t>aura été</w:t>
      </w:r>
      <w:r w:rsidR="00822F3B">
        <w:rPr>
          <w:rFonts w:cs="Calibri"/>
          <w:lang w:val="fr-FR"/>
        </w:rPr>
        <w:t xml:space="preserve"> mis en œuvre</w:t>
      </w:r>
      <w:r>
        <w:rPr>
          <w:rFonts w:cs="Calibri"/>
          <w:lang w:val="fr-FR"/>
        </w:rPr>
        <w:t>.</w:t>
      </w:r>
      <w:bookmarkEnd w:id="2"/>
      <w:r w:rsidRPr="00152A81">
        <w:rPr>
          <w:rFonts w:cs="Calibri"/>
          <w:lang w:val="fr-FR"/>
        </w:rPr>
        <w:br/>
      </w:r>
    </w:p>
    <w:p w14:paraId="01D95DBC" w14:textId="77777777" w:rsidR="00BB27F0" w:rsidRPr="004F4E34" w:rsidRDefault="00BB27F0" w:rsidP="00BB27F0">
      <w:pPr>
        <w:rPr>
          <w:rFonts w:cs="Arial"/>
          <w:i/>
          <w:lang w:val="fr-FR"/>
        </w:rPr>
      </w:pPr>
      <w:r w:rsidRPr="004F4E34">
        <w:rPr>
          <w:rFonts w:cs="Arial"/>
          <w:i/>
          <w:lang w:val="fr-FR"/>
        </w:rPr>
        <w:t>Incidences financières de la mise en œuvre</w:t>
      </w:r>
    </w:p>
    <w:tbl>
      <w:tblPr>
        <w:tblStyle w:val="TableGrid"/>
        <w:tblW w:w="9185" w:type="dxa"/>
        <w:tblInd w:w="-5" w:type="dxa"/>
        <w:tblLayout w:type="fixed"/>
        <w:tblLook w:val="04A0" w:firstRow="1" w:lastRow="0" w:firstColumn="1" w:lastColumn="0" w:noHBand="0" w:noVBand="1"/>
      </w:tblPr>
      <w:tblGrid>
        <w:gridCol w:w="2240"/>
        <w:gridCol w:w="4819"/>
        <w:gridCol w:w="2126"/>
      </w:tblGrid>
      <w:tr w:rsidR="00BB27F0" w:rsidRPr="00F57666" w14:paraId="4F3CE4BE" w14:textId="77777777" w:rsidTr="00BA7B0F">
        <w:tc>
          <w:tcPr>
            <w:tcW w:w="2240" w:type="dxa"/>
          </w:tcPr>
          <w:bookmarkEnd w:id="1"/>
          <w:p w14:paraId="305C7CC1" w14:textId="10925502" w:rsidR="00BB27F0" w:rsidRPr="00152A81" w:rsidRDefault="00BB27F0" w:rsidP="00BB27F0">
            <w:pPr>
              <w:ind w:left="0" w:firstLine="0"/>
              <w:rPr>
                <w:rFonts w:cs="Arial"/>
                <w:b/>
                <w:bCs/>
                <w:iCs/>
                <w:lang w:val="fr-FR"/>
              </w:rPr>
            </w:pPr>
            <w:r w:rsidRPr="004F4E34">
              <w:rPr>
                <w:rFonts w:cs="Arial"/>
                <w:b/>
                <w:bCs/>
                <w:iCs/>
                <w:lang w:val="fr-FR"/>
              </w:rPr>
              <w:t>Paragraphe/s (numéro/s, principale partie du texte)</w:t>
            </w:r>
          </w:p>
        </w:tc>
        <w:tc>
          <w:tcPr>
            <w:tcW w:w="4819" w:type="dxa"/>
          </w:tcPr>
          <w:p w14:paraId="664E6A41" w14:textId="7F1C99AB" w:rsidR="00BB27F0" w:rsidRPr="003A20C5" w:rsidRDefault="00BB27F0" w:rsidP="00BB27F0">
            <w:pPr>
              <w:ind w:left="0" w:firstLine="0"/>
              <w:rPr>
                <w:rFonts w:cs="Arial"/>
                <w:b/>
                <w:bCs/>
                <w:iCs/>
              </w:rPr>
            </w:pPr>
            <w:r w:rsidRPr="004F4E34">
              <w:rPr>
                <w:rFonts w:cs="Arial"/>
                <w:b/>
                <w:bCs/>
                <w:iCs/>
                <w:lang w:val="fr-FR"/>
              </w:rPr>
              <w:t>Action ou manque d’action</w:t>
            </w:r>
          </w:p>
        </w:tc>
        <w:tc>
          <w:tcPr>
            <w:tcW w:w="2126" w:type="dxa"/>
          </w:tcPr>
          <w:p w14:paraId="1D75E773" w14:textId="1542A6B4" w:rsidR="00BB27F0" w:rsidRPr="00152A81" w:rsidRDefault="00F91909" w:rsidP="00BB27F0">
            <w:pPr>
              <w:ind w:left="0" w:firstLine="0"/>
              <w:rPr>
                <w:rFonts w:cs="Arial"/>
                <w:b/>
                <w:bCs/>
                <w:iCs/>
                <w:lang w:val="fr-FR"/>
              </w:rPr>
            </w:pPr>
            <w:r w:rsidRPr="004F4E34">
              <w:rPr>
                <w:rFonts w:cs="Arial"/>
                <w:b/>
                <w:bCs/>
                <w:iCs/>
                <w:lang w:val="fr-FR"/>
              </w:rPr>
              <w:t>Coût (CHF) et avantages éventuels</w:t>
            </w:r>
          </w:p>
        </w:tc>
      </w:tr>
      <w:tr w:rsidR="00BB27F0" w14:paraId="6D6B4C4B" w14:textId="77777777" w:rsidTr="00BA7B0F">
        <w:tc>
          <w:tcPr>
            <w:tcW w:w="2240" w:type="dxa"/>
          </w:tcPr>
          <w:p w14:paraId="707A92AC" w14:textId="6CF1B165" w:rsidR="00BB27F0" w:rsidRDefault="00ED0912" w:rsidP="00BB27F0">
            <w:pPr>
              <w:ind w:left="0" w:firstLine="0"/>
              <w:rPr>
                <w:rFonts w:cs="Arial"/>
                <w:iCs/>
              </w:rPr>
            </w:pPr>
            <w:r>
              <w:rPr>
                <w:rFonts w:cs="Arial"/>
                <w:iCs/>
              </w:rPr>
              <w:t>5</w:t>
            </w:r>
            <w:r w:rsidRPr="00F618BB">
              <w:rPr>
                <w:rFonts w:cs="Arial"/>
                <w:iCs/>
                <w:lang w:val="fr-CH"/>
              </w:rPr>
              <w:t>. Instruction pour le Secrétariat</w:t>
            </w:r>
          </w:p>
        </w:tc>
        <w:tc>
          <w:tcPr>
            <w:tcW w:w="4819" w:type="dxa"/>
          </w:tcPr>
          <w:p w14:paraId="6E202F2D" w14:textId="2CBFBF58" w:rsidR="00BB27F0" w:rsidRPr="00152A81" w:rsidRDefault="00822F3B" w:rsidP="00BB27F0">
            <w:pPr>
              <w:ind w:left="0" w:firstLine="0"/>
              <w:rPr>
                <w:rFonts w:cs="Arial"/>
                <w:iCs/>
                <w:highlight w:val="yellow"/>
                <w:lang w:val="fr-FR"/>
              </w:rPr>
            </w:pPr>
            <w:r w:rsidRPr="004F4E34">
              <w:rPr>
                <w:rFonts w:cs="Arial"/>
                <w:lang w:val="fr-FR"/>
              </w:rPr>
              <w:t xml:space="preserve">Mettre à jour la liste </w:t>
            </w:r>
            <w:r w:rsidR="00634642">
              <w:rPr>
                <w:rFonts w:cs="Arial"/>
                <w:lang w:val="fr-FR"/>
              </w:rPr>
              <w:t>regroupée</w:t>
            </w:r>
            <w:r w:rsidRPr="004F4E34">
              <w:rPr>
                <w:rFonts w:cs="Arial"/>
                <w:lang w:val="fr-FR"/>
              </w:rPr>
              <w:t xml:space="preserve"> de décisions abrogées dès qu’une décision est abrogée, signaler le</w:t>
            </w:r>
            <w:r>
              <w:rPr>
                <w:rFonts w:cs="Arial"/>
                <w:lang w:val="fr-FR"/>
              </w:rPr>
              <w:t>s résolutions</w:t>
            </w:r>
            <w:r w:rsidRPr="004F4E34">
              <w:rPr>
                <w:rFonts w:cs="Arial"/>
                <w:lang w:val="fr-FR"/>
              </w:rPr>
              <w:t xml:space="preserve"> comme abrogé</w:t>
            </w:r>
            <w:r>
              <w:rPr>
                <w:rFonts w:cs="Arial"/>
                <w:lang w:val="fr-FR"/>
              </w:rPr>
              <w:t>es</w:t>
            </w:r>
            <w:r w:rsidRPr="004F4E34">
              <w:rPr>
                <w:rFonts w:cs="Arial"/>
                <w:lang w:val="fr-FR"/>
              </w:rPr>
              <w:t xml:space="preserve"> sur le site web </w:t>
            </w:r>
            <w:r>
              <w:rPr>
                <w:rFonts w:cs="Arial"/>
                <w:lang w:val="fr-FR"/>
              </w:rPr>
              <w:t>et</w:t>
            </w:r>
            <w:r w:rsidR="00ED0912">
              <w:rPr>
                <w:rFonts w:cs="Arial"/>
                <w:lang w:val="fr-FR"/>
              </w:rPr>
              <w:t xml:space="preserve"> marquer les décisions du Comité permanent comme obsolètes et abrogées.</w:t>
            </w:r>
          </w:p>
        </w:tc>
        <w:tc>
          <w:tcPr>
            <w:tcW w:w="2126" w:type="dxa"/>
          </w:tcPr>
          <w:p w14:paraId="2A2F2355" w14:textId="7218B3FE" w:rsidR="00BB27F0" w:rsidRPr="00F618BB" w:rsidRDefault="00822F3B" w:rsidP="00BB27F0">
            <w:pPr>
              <w:ind w:left="0" w:firstLine="0"/>
              <w:rPr>
                <w:rFonts w:cs="Arial"/>
                <w:iCs/>
                <w:lang w:val="fr-CH"/>
              </w:rPr>
            </w:pPr>
            <w:r w:rsidRPr="00F618BB">
              <w:rPr>
                <w:rFonts w:cs="Arial"/>
                <w:lang w:val="fr-CH"/>
              </w:rPr>
              <w:t>Moins de</w:t>
            </w:r>
            <w:r w:rsidR="00BB27F0" w:rsidRPr="00F618BB">
              <w:rPr>
                <w:rFonts w:cs="Arial"/>
                <w:lang w:val="fr-CH"/>
              </w:rPr>
              <w:t xml:space="preserve"> 100 CHF</w:t>
            </w:r>
          </w:p>
        </w:tc>
      </w:tr>
    </w:tbl>
    <w:p w14:paraId="66E82AD4" w14:textId="1FF93C13" w:rsidR="00535B5E" w:rsidRPr="00F618BB" w:rsidRDefault="00642C9E" w:rsidP="00535B5E">
      <w:pPr>
        <w:ind w:right="16"/>
        <w:rPr>
          <w:rFonts w:asciiTheme="minorHAnsi" w:eastAsia="Times New Roman" w:hAnsiTheme="minorHAnsi"/>
          <w:b/>
          <w:bCs/>
          <w:lang w:val="fr-CH"/>
        </w:rPr>
      </w:pPr>
      <w:bookmarkStart w:id="6" w:name="_GoBack"/>
      <w:bookmarkEnd w:id="6"/>
      <w:r w:rsidRPr="00F618BB">
        <w:rPr>
          <w:rFonts w:asciiTheme="minorHAnsi" w:eastAsia="Times New Roman" w:hAnsiTheme="minorHAnsi"/>
          <w:b/>
          <w:bCs/>
          <w:lang w:val="fr-CH"/>
        </w:rPr>
        <w:lastRenderedPageBreak/>
        <w:t>Annex</w:t>
      </w:r>
      <w:r w:rsidR="00F618BB">
        <w:rPr>
          <w:rFonts w:asciiTheme="minorHAnsi" w:eastAsia="Times New Roman" w:hAnsiTheme="minorHAnsi"/>
          <w:b/>
          <w:bCs/>
          <w:lang w:val="fr-CH"/>
        </w:rPr>
        <w:t>e</w:t>
      </w:r>
      <w:r w:rsidRPr="00F618BB">
        <w:rPr>
          <w:rFonts w:asciiTheme="minorHAnsi" w:eastAsia="Times New Roman" w:hAnsiTheme="minorHAnsi"/>
          <w:b/>
          <w:bCs/>
          <w:lang w:val="fr-CH"/>
        </w:rPr>
        <w:t xml:space="preserve"> 1. </w:t>
      </w:r>
      <w:r w:rsidR="00F618BB">
        <w:rPr>
          <w:rFonts w:asciiTheme="minorHAnsi" w:eastAsia="Times New Roman" w:hAnsiTheme="minorHAnsi"/>
          <w:b/>
          <w:bCs/>
          <w:lang w:val="fr-CH"/>
        </w:rPr>
        <w:t>Projet de résolution</w:t>
      </w:r>
      <w:r w:rsidR="00535B5E" w:rsidRPr="00F618BB">
        <w:rPr>
          <w:rFonts w:asciiTheme="minorHAnsi" w:eastAsia="Times New Roman" w:hAnsiTheme="minorHAnsi"/>
          <w:b/>
          <w:bCs/>
          <w:lang w:val="fr-CH"/>
        </w:rPr>
        <w:t xml:space="preserve"> </w:t>
      </w:r>
      <w:r w:rsidR="00535B5E" w:rsidRPr="00F618BB">
        <w:rPr>
          <w:rFonts w:asciiTheme="minorHAnsi" w:eastAsia="Times New Roman" w:hAnsiTheme="minorHAnsi"/>
          <w:b/>
          <w:bCs/>
          <w:highlight w:val="yellow"/>
          <w:lang w:val="fr-CH"/>
        </w:rPr>
        <w:t>XIV.</w:t>
      </w:r>
      <w:r w:rsidR="00CE6745" w:rsidRPr="00F618BB">
        <w:rPr>
          <w:rFonts w:asciiTheme="minorHAnsi" w:eastAsia="Times New Roman" w:hAnsiTheme="minorHAnsi"/>
          <w:b/>
          <w:bCs/>
          <w:highlight w:val="yellow"/>
          <w:lang w:val="fr-CH"/>
        </w:rPr>
        <w:t>¤¤</w:t>
      </w:r>
    </w:p>
    <w:p w14:paraId="73BFFBFA" w14:textId="77777777" w:rsidR="00535B5E" w:rsidRPr="00F618BB" w:rsidRDefault="00535B5E" w:rsidP="00535B5E">
      <w:pPr>
        <w:ind w:right="16"/>
        <w:rPr>
          <w:rFonts w:asciiTheme="minorHAnsi" w:eastAsia="Times New Roman" w:hAnsiTheme="minorHAnsi"/>
          <w:b/>
          <w:bCs/>
          <w:lang w:val="fr-CH"/>
        </w:rPr>
      </w:pPr>
    </w:p>
    <w:p w14:paraId="2732946B" w14:textId="271B5B10" w:rsidR="00535B5E" w:rsidRPr="00F618BB" w:rsidRDefault="00F618BB" w:rsidP="00535B5E">
      <w:pPr>
        <w:ind w:right="16"/>
        <w:rPr>
          <w:rFonts w:asciiTheme="minorHAnsi" w:eastAsia="Times New Roman" w:hAnsiTheme="minorHAnsi"/>
          <w:b/>
          <w:bCs/>
          <w:sz w:val="24"/>
          <w:szCs w:val="24"/>
          <w:lang w:val="fr-CH"/>
        </w:rPr>
      </w:pPr>
      <w:r>
        <w:rPr>
          <w:rFonts w:asciiTheme="minorHAnsi" w:eastAsia="Times New Roman" w:hAnsiTheme="minorHAnsi"/>
          <w:b/>
          <w:bCs/>
          <w:sz w:val="24"/>
          <w:szCs w:val="24"/>
          <w:lang w:val="fr-CH"/>
        </w:rPr>
        <w:t xml:space="preserve">Les Initiatives régionales Ramsar – </w:t>
      </w:r>
      <w:r w:rsidR="008F31B6">
        <w:rPr>
          <w:rFonts w:asciiTheme="minorHAnsi" w:eastAsia="Times New Roman" w:hAnsiTheme="minorHAnsi"/>
          <w:b/>
          <w:bCs/>
          <w:sz w:val="24"/>
          <w:szCs w:val="24"/>
          <w:lang w:val="fr-CH"/>
        </w:rPr>
        <w:t>A</w:t>
      </w:r>
      <w:r>
        <w:rPr>
          <w:rFonts w:asciiTheme="minorHAnsi" w:eastAsia="Times New Roman" w:hAnsiTheme="minorHAnsi"/>
          <w:b/>
          <w:bCs/>
          <w:sz w:val="24"/>
          <w:szCs w:val="24"/>
          <w:lang w:val="fr-CH"/>
        </w:rPr>
        <w:t>brogation d</w:t>
      </w:r>
      <w:r w:rsidR="00C00B66">
        <w:rPr>
          <w:rFonts w:asciiTheme="minorHAnsi" w:eastAsia="Times New Roman" w:hAnsiTheme="minorHAnsi"/>
          <w:b/>
          <w:bCs/>
          <w:sz w:val="24"/>
          <w:szCs w:val="24"/>
          <w:lang w:val="fr-CH"/>
        </w:rPr>
        <w:t xml:space="preserve">es </w:t>
      </w:r>
      <w:r>
        <w:rPr>
          <w:rFonts w:asciiTheme="minorHAnsi" w:eastAsia="Times New Roman" w:hAnsiTheme="minorHAnsi"/>
          <w:b/>
          <w:bCs/>
          <w:sz w:val="24"/>
          <w:szCs w:val="24"/>
          <w:lang w:val="fr-CH"/>
        </w:rPr>
        <w:t>anciennes décisions</w:t>
      </w:r>
    </w:p>
    <w:p w14:paraId="5A74843E" w14:textId="77777777" w:rsidR="00535B5E" w:rsidRPr="00F618BB" w:rsidRDefault="00535B5E" w:rsidP="00535B5E">
      <w:pPr>
        <w:ind w:right="16"/>
        <w:rPr>
          <w:rFonts w:asciiTheme="minorHAnsi" w:hAnsiTheme="minorHAnsi"/>
          <w:lang w:val="fr-CH"/>
        </w:rPr>
      </w:pPr>
      <w:r w:rsidRPr="00F618BB">
        <w:rPr>
          <w:rFonts w:asciiTheme="minorHAnsi" w:hAnsiTheme="minorHAnsi"/>
          <w:lang w:val="fr-CH"/>
        </w:rPr>
        <w:t xml:space="preserve"> </w:t>
      </w:r>
    </w:p>
    <w:p w14:paraId="43C38A11" w14:textId="4C3B16F9" w:rsidR="00535B5E" w:rsidRPr="00F618BB" w:rsidRDefault="00535B5E" w:rsidP="00535B5E">
      <w:pPr>
        <w:rPr>
          <w:lang w:val="fr-CH"/>
        </w:rPr>
      </w:pPr>
      <w:r w:rsidRPr="00F618BB">
        <w:rPr>
          <w:lang w:val="fr-CH"/>
        </w:rPr>
        <w:t>1.</w:t>
      </w:r>
      <w:r w:rsidRPr="00F618BB">
        <w:rPr>
          <w:lang w:val="fr-CH"/>
        </w:rPr>
        <w:tab/>
      </w:r>
      <w:r w:rsidR="00F618BB">
        <w:rPr>
          <w:lang w:val="fr-CH"/>
        </w:rPr>
        <w:t>RECONNAISSANT qu’il est nécessaire d’abroger d’anciennes décisions sur les IRR (résolutions</w:t>
      </w:r>
      <w:r w:rsidR="005E59BC">
        <w:rPr>
          <w:lang w:val="fr-CH"/>
        </w:rPr>
        <w:t xml:space="preserve"> et</w:t>
      </w:r>
      <w:r w:rsidR="00F618BB">
        <w:rPr>
          <w:lang w:val="fr-CH"/>
        </w:rPr>
        <w:t xml:space="preserve"> recommandations</w:t>
      </w:r>
      <w:r w:rsidR="005E59BC">
        <w:rPr>
          <w:lang w:val="fr-CH"/>
        </w:rPr>
        <w:t xml:space="preserve"> de la COP</w:t>
      </w:r>
      <w:r w:rsidR="003E5BD3">
        <w:rPr>
          <w:lang w:val="fr-CH"/>
        </w:rPr>
        <w:t>,</w:t>
      </w:r>
      <w:r w:rsidR="00F618BB">
        <w:rPr>
          <w:lang w:val="fr-CH"/>
        </w:rPr>
        <w:t xml:space="preserve"> décisions et documents du Comité permanent) ; </w:t>
      </w:r>
      <w:r w:rsidRPr="00F618BB">
        <w:rPr>
          <w:lang w:val="fr-CH"/>
        </w:rPr>
        <w:t xml:space="preserve"> </w:t>
      </w:r>
      <w:r w:rsidRPr="00F618BB">
        <w:rPr>
          <w:lang w:val="fr-CH"/>
        </w:rPr>
        <w:br/>
      </w:r>
    </w:p>
    <w:p w14:paraId="3F948FE2" w14:textId="02255A50" w:rsidR="00535B5E" w:rsidRPr="00F618BB" w:rsidRDefault="00535B5E" w:rsidP="00535B5E">
      <w:pPr>
        <w:rPr>
          <w:highlight w:val="yellow"/>
          <w:lang w:val="fr-CH"/>
        </w:rPr>
      </w:pPr>
      <w:r w:rsidRPr="00F618BB">
        <w:rPr>
          <w:lang w:val="fr-CH"/>
        </w:rPr>
        <w:t>2.</w:t>
      </w:r>
      <w:r w:rsidRPr="00F618BB">
        <w:rPr>
          <w:lang w:val="fr-CH"/>
        </w:rPr>
        <w:tab/>
        <w:t>RECO</w:t>
      </w:r>
      <w:r w:rsidR="00F618BB">
        <w:rPr>
          <w:lang w:val="fr-CH"/>
        </w:rPr>
        <w:t xml:space="preserve">NNAISSANT qu’il est nécessaire de </w:t>
      </w:r>
      <w:r w:rsidR="00C00B66">
        <w:rPr>
          <w:lang w:val="fr-CH"/>
        </w:rPr>
        <w:t>séparer</w:t>
      </w:r>
      <w:r w:rsidR="00F618BB">
        <w:rPr>
          <w:lang w:val="fr-CH"/>
        </w:rPr>
        <w:t xml:space="preserve"> les décisions sur l’abrogation d’anciennes décisions des autres décisions sur les IRR. Il s’agit de faire en sorte que la présente résolution soit abrogée rapidement </w:t>
      </w:r>
      <w:r w:rsidR="003E5BD3">
        <w:rPr>
          <w:lang w:val="fr-CH"/>
        </w:rPr>
        <w:t>une fois qu’elle aura</w:t>
      </w:r>
      <w:r w:rsidR="00F618BB">
        <w:rPr>
          <w:lang w:val="fr-CH"/>
        </w:rPr>
        <w:t xml:space="preserve"> été appliquée. Le contenu ne paralysera pas les résolutions </w:t>
      </w:r>
      <w:r w:rsidR="003E5BD3">
        <w:rPr>
          <w:lang w:val="fr-CH"/>
        </w:rPr>
        <w:t>utilisées</w:t>
      </w:r>
      <w:r w:rsidR="00F618BB">
        <w:rPr>
          <w:lang w:val="fr-CH"/>
        </w:rPr>
        <w:t xml:space="preserve"> plus longtemps et ne créera pas </w:t>
      </w:r>
      <w:r w:rsidR="00C00B66">
        <w:rPr>
          <w:lang w:val="fr-CH"/>
        </w:rPr>
        <w:t>l</w:t>
      </w:r>
      <w:r w:rsidR="00F618BB">
        <w:rPr>
          <w:lang w:val="fr-CH"/>
        </w:rPr>
        <w:t xml:space="preserve">e besoin </w:t>
      </w:r>
      <w:r w:rsidR="003E5BD3">
        <w:rPr>
          <w:lang w:val="fr-CH"/>
        </w:rPr>
        <w:t>de disposer d’un</w:t>
      </w:r>
      <w:r w:rsidR="00F618BB">
        <w:rPr>
          <w:lang w:val="fr-CH"/>
        </w:rPr>
        <w:t xml:space="preserve"> processus de regroupement.</w:t>
      </w:r>
      <w:r w:rsidRPr="00F618BB">
        <w:rPr>
          <w:lang w:val="fr-CH"/>
        </w:rPr>
        <w:t xml:space="preserve"> </w:t>
      </w:r>
    </w:p>
    <w:p w14:paraId="4C47379E" w14:textId="48B605B7" w:rsidR="006F1793" w:rsidRPr="00F618BB" w:rsidRDefault="006F1793" w:rsidP="00535B5E">
      <w:pPr>
        <w:ind w:left="0" w:firstLine="0"/>
        <w:rPr>
          <w:lang w:val="fr-CH"/>
        </w:rPr>
      </w:pPr>
    </w:p>
    <w:p w14:paraId="632D7486" w14:textId="77777777" w:rsidR="006F1793" w:rsidRPr="00F618BB" w:rsidRDefault="006F1793" w:rsidP="006F1793">
      <w:pPr>
        <w:rPr>
          <w:lang w:val="fr-CH"/>
        </w:rPr>
      </w:pPr>
    </w:p>
    <w:p w14:paraId="61DC277F" w14:textId="329AE642" w:rsidR="006F1793" w:rsidRPr="00F618BB" w:rsidRDefault="00F618BB" w:rsidP="006F1793">
      <w:pPr>
        <w:pStyle w:val="BodyText"/>
        <w:keepNext/>
        <w:widowControl/>
        <w:ind w:left="425" w:hanging="425"/>
        <w:jc w:val="center"/>
        <w:rPr>
          <w:lang w:val="fr-CH"/>
        </w:rPr>
      </w:pPr>
      <w:r>
        <w:rPr>
          <w:lang w:val="fr-CH"/>
        </w:rPr>
        <w:t>LA CONFÉRENCE DES PARTIES CONTRACTANTE</w:t>
      </w:r>
      <w:r w:rsidR="006F1793" w:rsidRPr="00F618BB">
        <w:rPr>
          <w:lang w:val="fr-CH"/>
        </w:rPr>
        <w:t>S</w:t>
      </w:r>
    </w:p>
    <w:p w14:paraId="55E425C7" w14:textId="77777777" w:rsidR="006F1793" w:rsidRPr="00F618BB" w:rsidRDefault="006F1793" w:rsidP="006F1793">
      <w:pPr>
        <w:pStyle w:val="BodyText"/>
        <w:keepNext/>
        <w:widowControl/>
        <w:ind w:left="0" w:firstLine="0"/>
        <w:rPr>
          <w:lang w:val="fr-CH"/>
        </w:rPr>
      </w:pPr>
    </w:p>
    <w:p w14:paraId="2C8A19B0" w14:textId="6F621CD7" w:rsidR="006F1793" w:rsidRPr="00F618BB" w:rsidRDefault="00F618BB" w:rsidP="006F1793">
      <w:pPr>
        <w:pStyle w:val="BodyText"/>
        <w:keepNext/>
        <w:widowControl/>
        <w:ind w:left="425" w:hanging="425"/>
        <w:rPr>
          <w:b/>
          <w:bCs/>
          <w:lang w:val="fr-CH"/>
        </w:rPr>
      </w:pPr>
      <w:r>
        <w:rPr>
          <w:b/>
          <w:bCs/>
          <w:lang w:val="fr-CH"/>
        </w:rPr>
        <w:t>Décisions de base</w:t>
      </w:r>
    </w:p>
    <w:p w14:paraId="490838F9" w14:textId="77777777" w:rsidR="006F1793" w:rsidRPr="00F618BB" w:rsidRDefault="006F1793" w:rsidP="006F1793">
      <w:pPr>
        <w:pStyle w:val="BodyText"/>
        <w:keepNext/>
        <w:widowControl/>
        <w:ind w:left="0" w:firstLine="0"/>
        <w:rPr>
          <w:lang w:val="fr-CH"/>
        </w:rPr>
      </w:pPr>
    </w:p>
    <w:p w14:paraId="5B7E7F99" w14:textId="487C25A3" w:rsidR="006F1793" w:rsidRPr="00F618BB" w:rsidRDefault="006F1793" w:rsidP="006F1793">
      <w:pPr>
        <w:rPr>
          <w:lang w:val="fr-CH"/>
        </w:rPr>
      </w:pPr>
      <w:r w:rsidRPr="00F618BB">
        <w:rPr>
          <w:lang w:val="fr-CH"/>
        </w:rPr>
        <w:t>2.</w:t>
      </w:r>
      <w:r w:rsidRPr="00F618BB">
        <w:rPr>
          <w:lang w:val="fr-CH"/>
        </w:rPr>
        <w:tab/>
      </w:r>
      <w:r w:rsidR="008171CE">
        <w:rPr>
          <w:lang w:val="fr-CH"/>
        </w:rPr>
        <w:t>DÉCIDE</w:t>
      </w:r>
      <w:r w:rsidRPr="00F618BB">
        <w:rPr>
          <w:lang w:val="fr-CH"/>
        </w:rPr>
        <w:t xml:space="preserve"> </w:t>
      </w:r>
      <w:r w:rsidR="008171CE">
        <w:rPr>
          <w:lang w:val="fr-CH"/>
        </w:rPr>
        <w:t xml:space="preserve">que toutes les résolutions précédentes ayant les IRR comme thème principal, </w:t>
      </w:r>
      <w:r w:rsidR="003E5BD3">
        <w:rPr>
          <w:lang w:val="fr-CH"/>
        </w:rPr>
        <w:t>dont la liste figure</w:t>
      </w:r>
      <w:r w:rsidR="008171CE">
        <w:rPr>
          <w:lang w:val="fr-CH"/>
        </w:rPr>
        <w:t xml:space="preserve"> dans l’annexe 1, sont abrogées et ne sont plus valables. </w:t>
      </w:r>
    </w:p>
    <w:p w14:paraId="1EF1F3F0" w14:textId="77777777" w:rsidR="006F1793" w:rsidRPr="00F618BB" w:rsidRDefault="006F1793" w:rsidP="006F1793">
      <w:pPr>
        <w:rPr>
          <w:lang w:val="fr-CH"/>
        </w:rPr>
      </w:pPr>
    </w:p>
    <w:p w14:paraId="4328127B" w14:textId="0FF40D97" w:rsidR="006F1793" w:rsidRPr="00F618BB" w:rsidRDefault="006F1793" w:rsidP="006F1793">
      <w:pPr>
        <w:rPr>
          <w:lang w:val="fr-CH"/>
        </w:rPr>
      </w:pPr>
      <w:r w:rsidRPr="00F618BB">
        <w:rPr>
          <w:lang w:val="fr-CH"/>
        </w:rPr>
        <w:t xml:space="preserve">3. </w:t>
      </w:r>
      <w:r w:rsidRPr="00F618BB">
        <w:rPr>
          <w:lang w:val="fr-CH"/>
        </w:rPr>
        <w:tab/>
      </w:r>
      <w:r w:rsidR="008171CE">
        <w:rPr>
          <w:lang w:val="fr-CH"/>
        </w:rPr>
        <w:t>DÉCIDE</w:t>
      </w:r>
      <w:r w:rsidR="008171CE" w:rsidRPr="00F618BB">
        <w:rPr>
          <w:lang w:val="fr-CH"/>
        </w:rPr>
        <w:t xml:space="preserve"> </w:t>
      </w:r>
      <w:r w:rsidR="008171CE">
        <w:rPr>
          <w:lang w:val="fr-CH"/>
        </w:rPr>
        <w:t>que tous les textes relatifs aux IRR</w:t>
      </w:r>
      <w:r w:rsidR="003E5BD3">
        <w:rPr>
          <w:lang w:val="fr-CH"/>
        </w:rPr>
        <w:t>,</w:t>
      </w:r>
      <w:r w:rsidR="008171CE">
        <w:rPr>
          <w:lang w:val="fr-CH"/>
        </w:rPr>
        <w:t xml:space="preserve"> dans les résolutions qui n’ont pas les IRR comme thème principal</w:t>
      </w:r>
      <w:r w:rsidR="003E5BD3">
        <w:rPr>
          <w:lang w:val="fr-CH"/>
        </w:rPr>
        <w:t>,</w:t>
      </w:r>
      <w:r w:rsidR="008171CE">
        <w:rPr>
          <w:lang w:val="fr-CH"/>
        </w:rPr>
        <w:t xml:space="preserve"> sont abrogés s’ils sont en contradiction avec le texte de la pré</w:t>
      </w:r>
      <w:r w:rsidR="003E5BD3">
        <w:rPr>
          <w:lang w:val="fr-CH"/>
        </w:rPr>
        <w:t>s</w:t>
      </w:r>
      <w:r w:rsidR="008171CE">
        <w:rPr>
          <w:lang w:val="fr-CH"/>
        </w:rPr>
        <w:t>ente résolution ou si cette dernière les rend redondants.</w:t>
      </w:r>
    </w:p>
    <w:p w14:paraId="7359DFC8" w14:textId="77777777" w:rsidR="006F1793" w:rsidRPr="00F618BB" w:rsidRDefault="006F1793" w:rsidP="006F1793">
      <w:pPr>
        <w:rPr>
          <w:lang w:val="fr-CH"/>
        </w:rPr>
      </w:pPr>
    </w:p>
    <w:p w14:paraId="59EAF976" w14:textId="09CF47B1" w:rsidR="006F1793" w:rsidRPr="00F618BB" w:rsidRDefault="006F1793" w:rsidP="006F1793">
      <w:pPr>
        <w:rPr>
          <w:lang w:val="fr-CH"/>
        </w:rPr>
      </w:pPr>
      <w:r w:rsidRPr="00F618BB">
        <w:rPr>
          <w:lang w:val="fr-CH"/>
        </w:rPr>
        <w:t xml:space="preserve">4. </w:t>
      </w:r>
      <w:r w:rsidRPr="00F618BB">
        <w:rPr>
          <w:lang w:val="fr-CH"/>
        </w:rPr>
        <w:tab/>
      </w:r>
      <w:r w:rsidR="008171CE">
        <w:rPr>
          <w:lang w:val="fr-CH"/>
        </w:rPr>
        <w:t>DÉCIDE</w:t>
      </w:r>
      <w:r w:rsidR="008171CE" w:rsidRPr="00F618BB">
        <w:rPr>
          <w:lang w:val="fr-CH"/>
        </w:rPr>
        <w:t xml:space="preserve"> </w:t>
      </w:r>
      <w:r w:rsidR="008171CE">
        <w:rPr>
          <w:lang w:val="fr-CH"/>
        </w:rPr>
        <w:t>que toutes les décisions du Comité permanent (ou les parties pertinentes</w:t>
      </w:r>
      <w:r w:rsidR="005A36B5">
        <w:rPr>
          <w:lang w:val="fr-CH"/>
        </w:rPr>
        <w:t xml:space="preserve"> de ces décisions</w:t>
      </w:r>
      <w:r w:rsidR="008171CE">
        <w:rPr>
          <w:lang w:val="fr-CH"/>
        </w:rPr>
        <w:t>) sur les IRR (comme dans</w:t>
      </w:r>
      <w:r w:rsidR="005A36B5">
        <w:rPr>
          <w:lang w:val="fr-CH"/>
        </w:rPr>
        <w:t xml:space="preserve"> la liste de</w:t>
      </w:r>
      <w:r w:rsidR="008171CE">
        <w:rPr>
          <w:lang w:val="fr-CH"/>
        </w:rPr>
        <w:t xml:space="preserve"> l’annexe 1, pour la période </w:t>
      </w:r>
      <w:r w:rsidR="00AF0BBB" w:rsidRPr="00F618BB">
        <w:rPr>
          <w:lang w:val="fr-CH"/>
        </w:rPr>
        <w:t xml:space="preserve">2010-2022) </w:t>
      </w:r>
      <w:r w:rsidR="008171CE">
        <w:rPr>
          <w:lang w:val="fr-CH"/>
        </w:rPr>
        <w:t>sont abrogées ; DÉCIDE AUSSI que toutes les autres décisions du Comité permanent sur les IRR sont abrogées et ne sont plus valables si elles sont en contradiction avec le texte de la présente résolution ou si ce dernier les rend redondantes.</w:t>
      </w:r>
    </w:p>
    <w:p w14:paraId="2670FCCF" w14:textId="7A5A0200" w:rsidR="006F1793" w:rsidRPr="00F618BB" w:rsidRDefault="006F1793" w:rsidP="006F1793">
      <w:pPr>
        <w:rPr>
          <w:lang w:val="fr-CH"/>
        </w:rPr>
      </w:pPr>
    </w:p>
    <w:p w14:paraId="5C9D4989" w14:textId="32C53365" w:rsidR="00642C9E" w:rsidRPr="00F618BB" w:rsidRDefault="00642C9E" w:rsidP="00642C9E">
      <w:pPr>
        <w:rPr>
          <w:lang w:val="fr-CH"/>
        </w:rPr>
      </w:pPr>
      <w:r w:rsidRPr="00F618BB">
        <w:rPr>
          <w:lang w:val="fr-CH"/>
        </w:rPr>
        <w:t xml:space="preserve">5. </w:t>
      </w:r>
      <w:r w:rsidRPr="00F618BB">
        <w:rPr>
          <w:lang w:val="fr-CH"/>
        </w:rPr>
        <w:tab/>
      </w:r>
      <w:r w:rsidR="008171CE">
        <w:rPr>
          <w:lang w:val="fr-CH"/>
        </w:rPr>
        <w:t>DÉCIDE</w:t>
      </w:r>
      <w:r w:rsidR="008171CE" w:rsidRPr="00F618BB">
        <w:rPr>
          <w:lang w:val="fr-CH"/>
        </w:rPr>
        <w:t xml:space="preserve"> </w:t>
      </w:r>
      <w:r w:rsidR="008171CE">
        <w:rPr>
          <w:lang w:val="fr-CH"/>
        </w:rPr>
        <w:t xml:space="preserve">que tous les documents du Comité permanent </w:t>
      </w:r>
      <w:r w:rsidR="005A36B5">
        <w:rPr>
          <w:lang w:val="fr-CH"/>
        </w:rPr>
        <w:t>ayant</w:t>
      </w:r>
      <w:r w:rsidR="008171CE">
        <w:rPr>
          <w:lang w:val="fr-CH"/>
        </w:rPr>
        <w:t xml:space="preserve"> les IRR comme thème principal sont traités de la manière décrite dans la Résolution </w:t>
      </w:r>
      <w:r w:rsidR="00E11742" w:rsidRPr="00152A81">
        <w:rPr>
          <w:lang w:val="fr-CH"/>
        </w:rPr>
        <w:t>IIX</w:t>
      </w:r>
      <w:r w:rsidR="00E11742" w:rsidRPr="00F618BB">
        <w:rPr>
          <w:lang w:val="fr-CH"/>
        </w:rPr>
        <w:t>.XX (</w:t>
      </w:r>
      <w:r w:rsidR="008171CE">
        <w:rPr>
          <w:lang w:val="fr-CH"/>
        </w:rPr>
        <w:t xml:space="preserve">sur l’abrogation, le regroupement de résolutions, </w:t>
      </w:r>
      <w:r w:rsidR="005E59BC">
        <w:rPr>
          <w:lang w:val="fr-CH"/>
        </w:rPr>
        <w:t xml:space="preserve">de </w:t>
      </w:r>
      <w:r w:rsidR="008171CE">
        <w:rPr>
          <w:lang w:val="fr-CH"/>
        </w:rPr>
        <w:t xml:space="preserve">recommandations et </w:t>
      </w:r>
      <w:r w:rsidR="005E59BC">
        <w:rPr>
          <w:lang w:val="fr-CH"/>
        </w:rPr>
        <w:t xml:space="preserve">de </w:t>
      </w:r>
      <w:r w:rsidR="008171CE">
        <w:rPr>
          <w:lang w:val="fr-CH"/>
        </w:rPr>
        <w:t xml:space="preserve">décisions du Comité permanent, etc.) s’ils sont en contradiction avec le texte de la présente résolution ou si ce dernier les rend redondants. C’est tout particulièrement important pour toutes les versions existantes des Directives opérationnelles des IRR. </w:t>
      </w:r>
    </w:p>
    <w:p w14:paraId="6A0BAA9D" w14:textId="77777777" w:rsidR="00642C9E" w:rsidRPr="00F618BB" w:rsidRDefault="00642C9E" w:rsidP="006F1793">
      <w:pPr>
        <w:rPr>
          <w:lang w:val="fr-CH"/>
        </w:rPr>
      </w:pPr>
    </w:p>
    <w:p w14:paraId="579F5BFA" w14:textId="3CDC6EF4" w:rsidR="006F1793" w:rsidRPr="00F618BB" w:rsidRDefault="00E11742" w:rsidP="006F1793">
      <w:pPr>
        <w:rPr>
          <w:lang w:val="fr-CH"/>
        </w:rPr>
      </w:pPr>
      <w:r w:rsidRPr="00F618BB">
        <w:rPr>
          <w:lang w:val="fr-CH"/>
        </w:rPr>
        <w:t>6</w:t>
      </w:r>
      <w:r w:rsidR="006F1793" w:rsidRPr="00F618BB">
        <w:rPr>
          <w:lang w:val="fr-CH"/>
        </w:rPr>
        <w:t xml:space="preserve">. </w:t>
      </w:r>
      <w:r w:rsidR="006F1793" w:rsidRPr="00F618BB">
        <w:rPr>
          <w:lang w:val="fr-CH"/>
        </w:rPr>
        <w:tab/>
      </w:r>
      <w:r w:rsidR="008171CE" w:rsidRPr="0048280A">
        <w:rPr>
          <w:lang w:val="fr-CH"/>
        </w:rPr>
        <w:t>DONNE INSTRUCTION au Secrétariat</w:t>
      </w:r>
      <w:r w:rsidR="005A36B5" w:rsidRPr="0048280A">
        <w:rPr>
          <w:lang w:val="fr-CH"/>
        </w:rPr>
        <w:t xml:space="preserve"> de faire</w:t>
      </w:r>
      <w:r w:rsidR="008171CE" w:rsidRPr="0048280A">
        <w:rPr>
          <w:lang w:val="fr-CH"/>
        </w:rPr>
        <w:t xml:space="preserve"> la liste de toutes les sortes de décisions touchées par les paragraphes 2 à 5 ci</w:t>
      </w:r>
      <w:r w:rsidR="008171CE" w:rsidRPr="0048280A">
        <w:rPr>
          <w:lang w:val="fr-CH"/>
        </w:rPr>
        <w:noBreakHyphen/>
        <w:t xml:space="preserve">dessus dans la liste regroupée de décisions abrogées, en commençant par celles de l’annexe 1 </w:t>
      </w:r>
      <w:r w:rsidR="0048280A" w:rsidRPr="0048280A">
        <w:rPr>
          <w:lang w:val="fr-CH"/>
        </w:rPr>
        <w:t>de</w:t>
      </w:r>
      <w:r w:rsidR="008171CE" w:rsidRPr="0048280A">
        <w:rPr>
          <w:lang w:val="fr-CH"/>
        </w:rPr>
        <w:t xml:space="preserve"> la présente résolution.</w:t>
      </w:r>
      <w:r w:rsidR="006F1793" w:rsidRPr="00F618BB">
        <w:rPr>
          <w:lang w:val="fr-CH"/>
        </w:rPr>
        <w:t xml:space="preserve">  </w:t>
      </w:r>
    </w:p>
    <w:p w14:paraId="3ADF2B1D" w14:textId="77777777" w:rsidR="001D710F" w:rsidRPr="00F618BB" w:rsidRDefault="001D710F" w:rsidP="006F1793">
      <w:pPr>
        <w:rPr>
          <w:lang w:val="fr-CH"/>
        </w:rPr>
      </w:pPr>
    </w:p>
    <w:p w14:paraId="614B8E72" w14:textId="53F9AC81" w:rsidR="001D710F" w:rsidRPr="00F618BB" w:rsidRDefault="001D710F" w:rsidP="001D710F">
      <w:pPr>
        <w:rPr>
          <w:lang w:val="fr-CH"/>
        </w:rPr>
      </w:pPr>
      <w:r w:rsidRPr="00F618BB">
        <w:rPr>
          <w:lang w:val="fr-CH"/>
        </w:rPr>
        <w:t xml:space="preserve">7. </w:t>
      </w:r>
      <w:r w:rsidRPr="00F618BB">
        <w:rPr>
          <w:lang w:val="fr-CH"/>
        </w:rPr>
        <w:tab/>
      </w:r>
      <w:r w:rsidR="008171CE">
        <w:rPr>
          <w:lang w:val="fr-CH"/>
        </w:rPr>
        <w:t>DÉCIDE</w:t>
      </w:r>
      <w:r w:rsidR="008171CE" w:rsidRPr="00F618BB">
        <w:rPr>
          <w:lang w:val="fr-CH"/>
        </w:rPr>
        <w:t xml:space="preserve"> </w:t>
      </w:r>
      <w:r w:rsidR="008171CE">
        <w:rPr>
          <w:lang w:val="fr-CH"/>
        </w:rPr>
        <w:t xml:space="preserve">que dans les résolutions qui n’ont pas les IRR comme thème principal et </w:t>
      </w:r>
      <w:r w:rsidR="0048280A">
        <w:rPr>
          <w:lang w:val="fr-CH"/>
        </w:rPr>
        <w:t xml:space="preserve">dont la liste figure dans l’annexe </w:t>
      </w:r>
      <w:r w:rsidR="008171CE">
        <w:rPr>
          <w:lang w:val="fr-CH"/>
        </w:rPr>
        <w:t xml:space="preserve">2, </w:t>
      </w:r>
      <w:r w:rsidR="00302765">
        <w:rPr>
          <w:lang w:val="fr-CH"/>
        </w:rPr>
        <w:t xml:space="preserve">le libellé de certains paragraphes </w:t>
      </w:r>
      <w:r w:rsidR="008171CE">
        <w:rPr>
          <w:lang w:val="fr-CH"/>
        </w:rPr>
        <w:t>peu</w:t>
      </w:r>
      <w:r w:rsidR="0048280A">
        <w:rPr>
          <w:lang w:val="fr-CH"/>
        </w:rPr>
        <w:t>t</w:t>
      </w:r>
      <w:r w:rsidR="008171CE">
        <w:rPr>
          <w:lang w:val="fr-CH"/>
        </w:rPr>
        <w:t xml:space="preserve"> être </w:t>
      </w:r>
      <w:r w:rsidR="0048280A">
        <w:rPr>
          <w:lang w:val="fr-CH"/>
        </w:rPr>
        <w:t>modifié</w:t>
      </w:r>
      <w:r w:rsidR="008171CE">
        <w:rPr>
          <w:lang w:val="fr-CH"/>
        </w:rPr>
        <w:t xml:space="preserve"> lorsque de </w:t>
      </w:r>
      <w:r w:rsidR="00302765">
        <w:rPr>
          <w:lang w:val="fr-CH"/>
        </w:rPr>
        <w:t>nouvelles résolutions</w:t>
      </w:r>
      <w:r w:rsidR="008171CE">
        <w:rPr>
          <w:lang w:val="fr-CH"/>
        </w:rPr>
        <w:t xml:space="preserve"> </w:t>
      </w:r>
      <w:r w:rsidR="00302765">
        <w:rPr>
          <w:lang w:val="fr-CH"/>
        </w:rPr>
        <w:t>sont rédigées pour les</w:t>
      </w:r>
      <w:r w:rsidR="0048280A">
        <w:rPr>
          <w:lang w:val="fr-CH"/>
        </w:rPr>
        <w:t xml:space="preserve"> remplacer</w:t>
      </w:r>
      <w:r w:rsidR="008171CE">
        <w:rPr>
          <w:lang w:val="fr-CH"/>
        </w:rPr>
        <w:t xml:space="preserve"> ou lorsqu’</w:t>
      </w:r>
      <w:r w:rsidR="00FD7460">
        <w:rPr>
          <w:lang w:val="fr-CH"/>
        </w:rPr>
        <w:t>elle</w:t>
      </w:r>
      <w:r w:rsidR="008171CE">
        <w:rPr>
          <w:lang w:val="fr-CH"/>
        </w:rPr>
        <w:t xml:space="preserve">s font partie d’un processus de regroupement, les solutions possibles </w:t>
      </w:r>
      <w:r w:rsidR="00302765">
        <w:rPr>
          <w:lang w:val="fr-CH"/>
        </w:rPr>
        <w:t>suggérées figurent</w:t>
      </w:r>
      <w:r w:rsidR="008171CE">
        <w:rPr>
          <w:lang w:val="fr-CH"/>
        </w:rPr>
        <w:t xml:space="preserve"> dans l’annexe 2 également.</w:t>
      </w:r>
    </w:p>
    <w:p w14:paraId="11AAEB33" w14:textId="650DB9EC" w:rsidR="00AD01AD" w:rsidRPr="00F618BB" w:rsidRDefault="00AD01AD" w:rsidP="006F1793">
      <w:pPr>
        <w:rPr>
          <w:lang w:val="fr-CH"/>
        </w:rPr>
      </w:pPr>
    </w:p>
    <w:p w14:paraId="292E1B66" w14:textId="69E7F962" w:rsidR="00AD01AD" w:rsidRPr="00F618BB" w:rsidRDefault="00077504" w:rsidP="00AD01AD">
      <w:pPr>
        <w:rPr>
          <w:lang w:val="fr-CH"/>
        </w:rPr>
      </w:pPr>
      <w:r w:rsidRPr="00F618BB">
        <w:rPr>
          <w:lang w:val="fr-CH"/>
        </w:rPr>
        <w:t>8</w:t>
      </w:r>
      <w:r w:rsidR="00AD01AD" w:rsidRPr="00F618BB">
        <w:rPr>
          <w:lang w:val="fr-CH"/>
        </w:rPr>
        <w:t xml:space="preserve">. </w:t>
      </w:r>
      <w:r w:rsidR="00AD01AD" w:rsidRPr="00F618BB">
        <w:rPr>
          <w:lang w:val="fr-CH"/>
        </w:rPr>
        <w:tab/>
      </w:r>
      <w:r w:rsidR="008171CE">
        <w:rPr>
          <w:lang w:val="fr-CH"/>
        </w:rPr>
        <w:t>DÉCIDE</w:t>
      </w:r>
      <w:r w:rsidR="008171CE" w:rsidRPr="00F618BB">
        <w:rPr>
          <w:lang w:val="fr-CH"/>
        </w:rPr>
        <w:t xml:space="preserve"> </w:t>
      </w:r>
      <w:r w:rsidR="00FD7460">
        <w:rPr>
          <w:lang w:val="fr-CH"/>
        </w:rPr>
        <w:t xml:space="preserve">que la présente résolution peut être abrogée dès que son contenu aura été mis en œuvre, en d’autres </w:t>
      </w:r>
      <w:r w:rsidR="00302765">
        <w:rPr>
          <w:lang w:val="fr-CH"/>
        </w:rPr>
        <w:t>termes</w:t>
      </w:r>
      <w:r w:rsidR="00FD7460">
        <w:rPr>
          <w:lang w:val="fr-CH"/>
        </w:rPr>
        <w:t>, lorsque son contenu est reflété dans la liste regroupée de décisions abrogées ou dans des résolutions regroupées n’ayant pas les IRR comme thème principal.</w:t>
      </w:r>
    </w:p>
    <w:p w14:paraId="5AA28DFD" w14:textId="52BD0F91" w:rsidR="00152A81" w:rsidRDefault="00152A81">
      <w:pPr>
        <w:rPr>
          <w:lang w:val="fr-CH"/>
        </w:rPr>
      </w:pPr>
      <w:r>
        <w:rPr>
          <w:lang w:val="fr-CH"/>
        </w:rPr>
        <w:br w:type="page"/>
      </w:r>
    </w:p>
    <w:p w14:paraId="5977C850" w14:textId="571B5AE1" w:rsidR="006B211D" w:rsidRPr="00FD7460" w:rsidRDefault="004725FC" w:rsidP="004725FC">
      <w:pPr>
        <w:rPr>
          <w:b/>
          <w:iCs/>
          <w:lang w:val="fr-CH"/>
        </w:rPr>
      </w:pPr>
      <w:r w:rsidRPr="00FD7460">
        <w:rPr>
          <w:b/>
          <w:iCs/>
          <w:lang w:val="fr-CH"/>
        </w:rPr>
        <w:lastRenderedPageBreak/>
        <w:t>Annex</w:t>
      </w:r>
      <w:r w:rsidR="002F28B4" w:rsidRPr="00FD7460">
        <w:rPr>
          <w:b/>
          <w:iCs/>
          <w:lang w:val="fr-CH"/>
        </w:rPr>
        <w:t>e</w:t>
      </w:r>
      <w:r w:rsidRPr="00FD7460">
        <w:rPr>
          <w:b/>
          <w:iCs/>
          <w:lang w:val="fr-CH"/>
        </w:rPr>
        <w:t xml:space="preserve"> I </w:t>
      </w:r>
    </w:p>
    <w:p w14:paraId="77C7C6BD" w14:textId="5EB0975C" w:rsidR="004725FC" w:rsidRPr="00FD7460" w:rsidRDefault="00FD7460" w:rsidP="004725FC">
      <w:pPr>
        <w:rPr>
          <w:b/>
          <w:iCs/>
          <w:lang w:val="fr-CH"/>
        </w:rPr>
      </w:pPr>
      <w:r>
        <w:rPr>
          <w:b/>
          <w:iCs/>
          <w:lang w:val="fr-CH"/>
        </w:rPr>
        <w:t>Décisions précédentes</w:t>
      </w:r>
      <w:r w:rsidR="006B211D" w:rsidRPr="00FD7460">
        <w:rPr>
          <w:b/>
          <w:iCs/>
          <w:lang w:val="fr-CH"/>
        </w:rPr>
        <w:t xml:space="preserve"> (</w:t>
      </w:r>
      <w:r>
        <w:rPr>
          <w:b/>
          <w:iCs/>
          <w:lang w:val="fr-CH"/>
        </w:rPr>
        <w:t>entières</w:t>
      </w:r>
      <w:r w:rsidR="00A75223" w:rsidRPr="00FD7460">
        <w:rPr>
          <w:b/>
          <w:iCs/>
          <w:lang w:val="fr-CH"/>
        </w:rPr>
        <w:t>/</w:t>
      </w:r>
      <w:r w:rsidR="006B211D" w:rsidRPr="00FD7460">
        <w:rPr>
          <w:b/>
          <w:iCs/>
          <w:lang w:val="fr-CH"/>
        </w:rPr>
        <w:t>part</w:t>
      </w:r>
      <w:r>
        <w:rPr>
          <w:b/>
          <w:iCs/>
          <w:lang w:val="fr-CH"/>
        </w:rPr>
        <w:t>ie</w:t>
      </w:r>
      <w:r w:rsidR="006B211D" w:rsidRPr="00FD7460">
        <w:rPr>
          <w:b/>
          <w:iCs/>
          <w:lang w:val="fr-CH"/>
        </w:rPr>
        <w:t>s)</w:t>
      </w:r>
      <w:r w:rsidR="003038C4" w:rsidRPr="00FD7460">
        <w:rPr>
          <w:b/>
          <w:iCs/>
          <w:lang w:val="fr-CH"/>
        </w:rPr>
        <w:t>,</w:t>
      </w:r>
      <w:r w:rsidR="006B211D" w:rsidRPr="00FD7460">
        <w:rPr>
          <w:b/>
          <w:iCs/>
          <w:lang w:val="fr-CH"/>
        </w:rPr>
        <w:t xml:space="preserve"> </w:t>
      </w:r>
      <w:r>
        <w:rPr>
          <w:b/>
          <w:iCs/>
          <w:lang w:val="fr-CH"/>
        </w:rPr>
        <w:t xml:space="preserve">sur les Initiatives régionales Ramsar, qui sont abrogées par la présente résolution </w:t>
      </w:r>
    </w:p>
    <w:p w14:paraId="4620486E" w14:textId="4B0E19BA" w:rsidR="004725FC" w:rsidRPr="00FD7460" w:rsidRDefault="004725FC" w:rsidP="004725FC">
      <w:pPr>
        <w:ind w:left="0" w:firstLine="0"/>
        <w:rPr>
          <w:bCs/>
          <w:iCs/>
          <w:lang w:val="fr-CH"/>
        </w:rPr>
      </w:pPr>
    </w:p>
    <w:p w14:paraId="2FD02139" w14:textId="20BCFB44" w:rsidR="00F214B4" w:rsidRPr="00FD7460" w:rsidRDefault="00F214B4" w:rsidP="00F214B4">
      <w:pPr>
        <w:rPr>
          <w:lang w:val="fr-CH"/>
        </w:rPr>
      </w:pPr>
      <w:r w:rsidRPr="00FD7460">
        <w:rPr>
          <w:lang w:val="fr-CH"/>
        </w:rPr>
        <w:t>1.</w:t>
      </w:r>
      <w:r w:rsidRPr="00FD7460">
        <w:rPr>
          <w:lang w:val="fr-CH"/>
        </w:rPr>
        <w:tab/>
      </w:r>
      <w:r w:rsidR="00FD7460">
        <w:rPr>
          <w:lang w:val="fr-CH"/>
        </w:rPr>
        <w:t xml:space="preserve">La liste des Résolutions et Recommandations pouvant être abrogées s’appuie sur les travaux du consultant du Groupe de travail sur les IRR. </w:t>
      </w:r>
      <w:r w:rsidRPr="00FD7460">
        <w:rPr>
          <w:lang w:val="fr-CH"/>
        </w:rPr>
        <w:br/>
      </w:r>
    </w:p>
    <w:p w14:paraId="5E974167" w14:textId="6CEBE93E" w:rsidR="00F214B4" w:rsidRPr="00FD7460" w:rsidRDefault="00F214B4" w:rsidP="00F214B4">
      <w:pPr>
        <w:rPr>
          <w:highlight w:val="yellow"/>
          <w:lang w:val="fr-CH"/>
        </w:rPr>
      </w:pPr>
      <w:r w:rsidRPr="00FD7460">
        <w:rPr>
          <w:lang w:val="fr-CH"/>
        </w:rPr>
        <w:t>2.</w:t>
      </w:r>
      <w:r w:rsidRPr="00FD7460">
        <w:rPr>
          <w:lang w:val="fr-CH"/>
        </w:rPr>
        <w:tab/>
      </w:r>
      <w:r w:rsidR="00FD7460">
        <w:rPr>
          <w:lang w:val="fr-CH"/>
        </w:rPr>
        <w:t xml:space="preserve">La liste des décisions du Comité permanent pouvant être totalement ou partiellement abrogées </w:t>
      </w:r>
      <w:r w:rsidR="00302765">
        <w:rPr>
          <w:lang w:val="fr-CH"/>
        </w:rPr>
        <w:t>provient de l’examen</w:t>
      </w:r>
      <w:r w:rsidR="00FD7460">
        <w:rPr>
          <w:lang w:val="fr-CH"/>
        </w:rPr>
        <w:t xml:space="preserve"> des rapports du Comité permanent de toutes les réunions du Comité permanent</w:t>
      </w:r>
      <w:r w:rsidR="004734FD">
        <w:rPr>
          <w:lang w:val="fr-CH"/>
        </w:rPr>
        <w:t>,</w:t>
      </w:r>
      <w:r w:rsidR="00FD7460">
        <w:rPr>
          <w:lang w:val="fr-CH"/>
        </w:rPr>
        <w:t xml:space="preserve"> de 2010 à mars 2022, </w:t>
      </w:r>
      <w:r w:rsidR="005E59BC">
        <w:rPr>
          <w:lang w:val="fr-CH"/>
        </w:rPr>
        <w:t>et de la recherche du</w:t>
      </w:r>
      <w:r w:rsidR="00FD7460">
        <w:rPr>
          <w:lang w:val="fr-CH"/>
        </w:rPr>
        <w:t xml:space="preserve"> mot « régionales »</w:t>
      </w:r>
      <w:r w:rsidR="004734FD">
        <w:rPr>
          <w:lang w:val="fr-CH"/>
        </w:rPr>
        <w:t>. C</w:t>
      </w:r>
      <w:r w:rsidR="00FD7460">
        <w:rPr>
          <w:lang w:val="fr-CH"/>
        </w:rPr>
        <w:t xml:space="preserve">ette recherche </w:t>
      </w:r>
      <w:r w:rsidR="004734FD">
        <w:rPr>
          <w:lang w:val="fr-CH"/>
        </w:rPr>
        <w:t>a</w:t>
      </w:r>
      <w:r w:rsidR="00FD7460">
        <w:rPr>
          <w:lang w:val="fr-CH"/>
        </w:rPr>
        <w:t xml:space="preserve"> probablement permis de trouver toutes les décisions du Comité permanent ayant les IRR comme thème principal ou qui affecteront le processus des IRR durant cette période. Les décisions relatives aux travaux du Groupe de surveillance des activités de CESP concernant les IRR ne sont pas incluses.</w:t>
      </w:r>
      <w:r w:rsidR="00995BE2" w:rsidRPr="00FD7460">
        <w:rPr>
          <w:lang w:val="fr-CH"/>
        </w:rPr>
        <w:t xml:space="preserve"> </w:t>
      </w:r>
    </w:p>
    <w:p w14:paraId="6BB4F803" w14:textId="77777777" w:rsidR="00F214B4" w:rsidRPr="00FD7460" w:rsidRDefault="00F214B4" w:rsidP="00F214B4">
      <w:pPr>
        <w:ind w:left="0" w:firstLine="0"/>
        <w:rPr>
          <w:lang w:val="fr-CH"/>
        </w:rPr>
      </w:pPr>
    </w:p>
    <w:p w14:paraId="7D00DC68" w14:textId="77777777" w:rsidR="00F214B4" w:rsidRPr="00FD7460" w:rsidRDefault="00F214B4" w:rsidP="006B211D">
      <w:pPr>
        <w:ind w:left="0" w:firstLine="0"/>
        <w:rPr>
          <w:bCs/>
          <w:i/>
          <w:lang w:val="fr-CH"/>
        </w:rPr>
      </w:pPr>
    </w:p>
    <w:p w14:paraId="6CB56A59" w14:textId="42CFB2AC" w:rsidR="004725FC" w:rsidRPr="00FD7460" w:rsidRDefault="004725FC" w:rsidP="006B211D">
      <w:pPr>
        <w:ind w:left="0" w:firstLine="0"/>
        <w:rPr>
          <w:bCs/>
          <w:i/>
          <w:lang w:val="fr-CH"/>
        </w:rPr>
      </w:pPr>
      <w:r w:rsidRPr="00FD7460">
        <w:rPr>
          <w:bCs/>
          <w:i/>
          <w:lang w:val="fr-CH"/>
        </w:rPr>
        <w:t>R</w:t>
      </w:r>
      <w:r w:rsidR="00B062EF" w:rsidRPr="00FD7460">
        <w:rPr>
          <w:bCs/>
          <w:i/>
          <w:lang w:val="fr-CH"/>
        </w:rPr>
        <w:t>é</w:t>
      </w:r>
      <w:r w:rsidRPr="00FD7460">
        <w:rPr>
          <w:bCs/>
          <w:i/>
          <w:lang w:val="fr-CH"/>
        </w:rPr>
        <w:t>solution</w:t>
      </w:r>
      <w:r w:rsidR="00FD7460">
        <w:rPr>
          <w:bCs/>
          <w:i/>
          <w:lang w:val="fr-CH"/>
        </w:rPr>
        <w:t>s</w:t>
      </w:r>
      <w:r w:rsidRPr="00FD7460">
        <w:rPr>
          <w:bCs/>
          <w:i/>
          <w:lang w:val="fr-CH"/>
        </w:rPr>
        <w:t xml:space="preserve"> </w:t>
      </w:r>
      <w:r w:rsidR="00B062EF" w:rsidRPr="00FD7460">
        <w:rPr>
          <w:bCs/>
          <w:i/>
          <w:lang w:val="fr-CH"/>
        </w:rPr>
        <w:t>et</w:t>
      </w:r>
      <w:r w:rsidRPr="00FD7460">
        <w:rPr>
          <w:bCs/>
          <w:i/>
          <w:lang w:val="fr-CH"/>
        </w:rPr>
        <w:t xml:space="preserve"> Recomm</w:t>
      </w:r>
      <w:r w:rsidR="00B062EF" w:rsidRPr="00FD7460">
        <w:rPr>
          <w:bCs/>
          <w:i/>
          <w:lang w:val="fr-CH"/>
        </w:rPr>
        <w:t>a</w:t>
      </w:r>
      <w:r w:rsidRPr="00FD7460">
        <w:rPr>
          <w:bCs/>
          <w:i/>
          <w:lang w:val="fr-CH"/>
        </w:rPr>
        <w:t xml:space="preserve">ndations </w:t>
      </w:r>
      <w:r w:rsidR="00B062EF" w:rsidRPr="00FD7460">
        <w:rPr>
          <w:bCs/>
          <w:i/>
          <w:lang w:val="fr-CH"/>
        </w:rPr>
        <w:t xml:space="preserve">abrogées </w:t>
      </w:r>
      <w:r w:rsidRPr="00FD7460">
        <w:rPr>
          <w:bCs/>
          <w:i/>
          <w:lang w:val="fr-CH"/>
        </w:rPr>
        <w:t>:</w:t>
      </w:r>
    </w:p>
    <w:p w14:paraId="56901C35" w14:textId="77777777" w:rsidR="00995BE2" w:rsidRPr="00FD7460" w:rsidRDefault="00995BE2" w:rsidP="004725FC">
      <w:pPr>
        <w:rPr>
          <w:lang w:val="fr-CH"/>
        </w:rPr>
      </w:pPr>
    </w:p>
    <w:p w14:paraId="06BDCC66" w14:textId="08D50A64" w:rsidR="004725FC" w:rsidRPr="00FD7460" w:rsidRDefault="00B062EF" w:rsidP="004725FC">
      <w:pPr>
        <w:rPr>
          <w:lang w:val="fr-CH"/>
        </w:rPr>
      </w:pPr>
      <w:r w:rsidRPr="00FD7460">
        <w:rPr>
          <w:lang w:val="fr-CH"/>
        </w:rPr>
        <w:t>Résolution</w:t>
      </w:r>
      <w:r w:rsidR="004725FC" w:rsidRPr="00FD7460">
        <w:rPr>
          <w:lang w:val="fr-CH"/>
        </w:rPr>
        <w:t xml:space="preserve"> XIII.9</w:t>
      </w:r>
    </w:p>
    <w:p w14:paraId="3A572678" w14:textId="3E11BB0D" w:rsidR="004725FC" w:rsidRPr="00FD7460" w:rsidRDefault="00B062EF" w:rsidP="004725FC">
      <w:pPr>
        <w:rPr>
          <w:lang w:val="fr-CH"/>
        </w:rPr>
      </w:pPr>
      <w:r w:rsidRPr="00FD7460">
        <w:rPr>
          <w:lang w:val="fr-CH"/>
        </w:rPr>
        <w:t>Résolution</w:t>
      </w:r>
      <w:r w:rsidR="004725FC" w:rsidRPr="00FD7460">
        <w:rPr>
          <w:lang w:val="fr-CH"/>
        </w:rPr>
        <w:t xml:space="preserve"> XII.8</w:t>
      </w:r>
    </w:p>
    <w:p w14:paraId="3C6B9306" w14:textId="797A9858" w:rsidR="004725FC" w:rsidRPr="00FD7460" w:rsidRDefault="00B062EF" w:rsidP="004725FC">
      <w:pPr>
        <w:rPr>
          <w:lang w:val="fr-CH"/>
        </w:rPr>
      </w:pPr>
      <w:r w:rsidRPr="00FD7460">
        <w:rPr>
          <w:lang w:val="fr-CH"/>
        </w:rPr>
        <w:t>Résolution</w:t>
      </w:r>
      <w:r w:rsidR="004725FC" w:rsidRPr="00FD7460">
        <w:rPr>
          <w:lang w:val="fr-CH"/>
        </w:rPr>
        <w:t xml:space="preserve"> XI.5</w:t>
      </w:r>
    </w:p>
    <w:p w14:paraId="05F42753" w14:textId="20EE4038" w:rsidR="004725FC" w:rsidRPr="00FD7460" w:rsidRDefault="00B062EF" w:rsidP="004725FC">
      <w:pPr>
        <w:rPr>
          <w:lang w:val="fr-CH"/>
        </w:rPr>
      </w:pPr>
      <w:r w:rsidRPr="00FD7460">
        <w:rPr>
          <w:lang w:val="fr-CH"/>
        </w:rPr>
        <w:t>Résolution</w:t>
      </w:r>
      <w:r w:rsidR="004725FC" w:rsidRPr="00FD7460">
        <w:rPr>
          <w:lang w:val="fr-CH"/>
        </w:rPr>
        <w:t xml:space="preserve"> X.6 </w:t>
      </w:r>
    </w:p>
    <w:p w14:paraId="02953BFA" w14:textId="14BAD784" w:rsidR="004725FC" w:rsidRPr="00FD7460" w:rsidRDefault="00B062EF" w:rsidP="004725FC">
      <w:pPr>
        <w:rPr>
          <w:lang w:val="fr-CH"/>
        </w:rPr>
      </w:pPr>
      <w:r w:rsidRPr="00FD7460">
        <w:rPr>
          <w:lang w:val="fr-CH"/>
        </w:rPr>
        <w:t>Résolution</w:t>
      </w:r>
      <w:r w:rsidR="004725FC" w:rsidRPr="00FD7460">
        <w:rPr>
          <w:lang w:val="fr-CH"/>
        </w:rPr>
        <w:t xml:space="preserve"> IX.7</w:t>
      </w:r>
    </w:p>
    <w:p w14:paraId="322A885D" w14:textId="67915787" w:rsidR="004725FC" w:rsidRPr="00FD7460" w:rsidRDefault="00B062EF" w:rsidP="004725FC">
      <w:pPr>
        <w:rPr>
          <w:lang w:val="fr-CH"/>
        </w:rPr>
      </w:pPr>
      <w:r w:rsidRPr="00FD7460">
        <w:rPr>
          <w:lang w:val="fr-CH"/>
        </w:rPr>
        <w:t>Résolution</w:t>
      </w:r>
      <w:r w:rsidR="004725FC" w:rsidRPr="00FD7460">
        <w:rPr>
          <w:lang w:val="fr-CH"/>
        </w:rPr>
        <w:t xml:space="preserve"> VIII.43</w:t>
      </w:r>
    </w:p>
    <w:p w14:paraId="24BE2783" w14:textId="6B854917" w:rsidR="004725FC" w:rsidRPr="00FD7460" w:rsidRDefault="00B062EF" w:rsidP="004725FC">
      <w:pPr>
        <w:rPr>
          <w:lang w:val="fr-CH"/>
        </w:rPr>
      </w:pPr>
      <w:r w:rsidRPr="00FD7460">
        <w:rPr>
          <w:lang w:val="fr-CH"/>
        </w:rPr>
        <w:t>Résolution</w:t>
      </w:r>
      <w:r w:rsidR="004725FC" w:rsidRPr="00FD7460">
        <w:rPr>
          <w:lang w:val="fr-CH"/>
        </w:rPr>
        <w:t xml:space="preserve"> VIII.41</w:t>
      </w:r>
    </w:p>
    <w:p w14:paraId="2DFEA143" w14:textId="2B05F586" w:rsidR="004725FC" w:rsidRPr="00FD7460" w:rsidRDefault="00B062EF" w:rsidP="004725FC">
      <w:pPr>
        <w:rPr>
          <w:lang w:val="fr-CH"/>
        </w:rPr>
      </w:pPr>
      <w:r w:rsidRPr="00FD7460">
        <w:rPr>
          <w:lang w:val="fr-CH"/>
        </w:rPr>
        <w:t>Résolution</w:t>
      </w:r>
      <w:r w:rsidR="004725FC" w:rsidRPr="00FD7460">
        <w:rPr>
          <w:lang w:val="fr-CH"/>
        </w:rPr>
        <w:t xml:space="preserve"> VIII.30</w:t>
      </w:r>
    </w:p>
    <w:p w14:paraId="1C7D448F" w14:textId="51419B44" w:rsidR="004725FC" w:rsidRPr="00FD7460" w:rsidRDefault="00B062EF" w:rsidP="004725FC">
      <w:pPr>
        <w:rPr>
          <w:lang w:val="fr-CH"/>
        </w:rPr>
      </w:pPr>
      <w:r w:rsidRPr="00FD7460">
        <w:rPr>
          <w:lang w:val="fr-CH"/>
        </w:rPr>
        <w:t>Résolution</w:t>
      </w:r>
      <w:r w:rsidR="004725FC" w:rsidRPr="00FD7460">
        <w:rPr>
          <w:lang w:val="fr-CH"/>
        </w:rPr>
        <w:t xml:space="preserve"> VII.26</w:t>
      </w:r>
    </w:p>
    <w:p w14:paraId="0CBBE4CA" w14:textId="3E24C439" w:rsidR="004725FC" w:rsidRPr="00FD7460" w:rsidRDefault="00B062EF" w:rsidP="004725FC">
      <w:pPr>
        <w:rPr>
          <w:lang w:val="fr-CH"/>
        </w:rPr>
      </w:pPr>
      <w:r w:rsidRPr="00FD7460">
        <w:rPr>
          <w:lang w:val="fr-CH"/>
        </w:rPr>
        <w:t>Résolution</w:t>
      </w:r>
      <w:r w:rsidR="004725FC" w:rsidRPr="00FD7460">
        <w:rPr>
          <w:lang w:val="fr-CH"/>
        </w:rPr>
        <w:t xml:space="preserve"> VII.22</w:t>
      </w:r>
    </w:p>
    <w:p w14:paraId="1F44CDC3" w14:textId="477CA51F" w:rsidR="004725FC" w:rsidRPr="00FD7460" w:rsidRDefault="00B062EF" w:rsidP="004725FC">
      <w:pPr>
        <w:rPr>
          <w:lang w:val="fr-CH"/>
        </w:rPr>
      </w:pPr>
      <w:r w:rsidRPr="00FD7460">
        <w:rPr>
          <w:lang w:val="fr-CH"/>
        </w:rPr>
        <w:t>Recommandation</w:t>
      </w:r>
      <w:r w:rsidR="004725FC" w:rsidRPr="00FD7460">
        <w:rPr>
          <w:lang w:val="fr-CH"/>
        </w:rPr>
        <w:t xml:space="preserve"> VI.11</w:t>
      </w:r>
    </w:p>
    <w:p w14:paraId="11D6C81D" w14:textId="4B4AA33D" w:rsidR="004725FC" w:rsidRPr="00FD7460" w:rsidRDefault="00B062EF" w:rsidP="004725FC">
      <w:pPr>
        <w:rPr>
          <w:lang w:val="fr-CH"/>
        </w:rPr>
      </w:pPr>
      <w:r w:rsidRPr="00FD7460">
        <w:rPr>
          <w:lang w:val="fr-CH"/>
        </w:rPr>
        <w:t>Recommandation</w:t>
      </w:r>
      <w:r w:rsidR="004725FC" w:rsidRPr="00FD7460">
        <w:rPr>
          <w:lang w:val="fr-CH"/>
        </w:rPr>
        <w:t xml:space="preserve"> V.14</w:t>
      </w:r>
    </w:p>
    <w:p w14:paraId="7866A3AE" w14:textId="14A23FDA" w:rsidR="004725FC" w:rsidRPr="00FD7460" w:rsidRDefault="004725FC" w:rsidP="004725FC">
      <w:pPr>
        <w:rPr>
          <w:lang w:val="fr-CH"/>
        </w:rPr>
      </w:pPr>
    </w:p>
    <w:p w14:paraId="73931CA1" w14:textId="77777777" w:rsidR="004725FC" w:rsidRPr="00FD7460" w:rsidRDefault="004725FC" w:rsidP="004725FC">
      <w:pPr>
        <w:ind w:left="0" w:firstLine="0"/>
        <w:rPr>
          <w:b/>
          <w:i/>
          <w:lang w:val="fr-CH"/>
        </w:rPr>
      </w:pPr>
    </w:p>
    <w:p w14:paraId="605E26DC" w14:textId="18A3DAFC" w:rsidR="004725FC" w:rsidRPr="00FD7460" w:rsidRDefault="00FD7460" w:rsidP="006B211D">
      <w:pPr>
        <w:ind w:left="0" w:firstLine="0"/>
        <w:rPr>
          <w:bCs/>
          <w:i/>
          <w:lang w:val="fr-CH"/>
        </w:rPr>
      </w:pPr>
      <w:r>
        <w:rPr>
          <w:bCs/>
          <w:i/>
          <w:lang w:val="fr-CH"/>
        </w:rPr>
        <w:t xml:space="preserve">Décisions du Comité permanent qui sont </w:t>
      </w:r>
      <w:r w:rsidR="005E59BC">
        <w:rPr>
          <w:bCs/>
          <w:i/>
          <w:lang w:val="fr-CH"/>
        </w:rPr>
        <w:t>obsolètes</w:t>
      </w:r>
      <w:r>
        <w:rPr>
          <w:bCs/>
          <w:i/>
          <w:lang w:val="fr-CH"/>
        </w:rPr>
        <w:t xml:space="preserve"> et sont </w:t>
      </w:r>
      <w:r w:rsidRPr="00FD7460">
        <w:rPr>
          <w:bCs/>
          <w:i/>
          <w:u w:val="single"/>
          <w:lang w:val="fr-CH"/>
        </w:rPr>
        <w:t>totalement</w:t>
      </w:r>
      <w:r>
        <w:rPr>
          <w:bCs/>
          <w:i/>
          <w:lang w:val="fr-CH"/>
        </w:rPr>
        <w:t xml:space="preserve"> </w:t>
      </w:r>
      <w:r w:rsidR="005E59BC">
        <w:rPr>
          <w:bCs/>
          <w:i/>
          <w:lang w:val="fr-CH"/>
        </w:rPr>
        <w:t xml:space="preserve">abrogées </w:t>
      </w:r>
      <w:r>
        <w:rPr>
          <w:bCs/>
          <w:i/>
          <w:lang w:val="fr-CH"/>
        </w:rPr>
        <w:t>par la présente résolution :</w:t>
      </w:r>
    </w:p>
    <w:p w14:paraId="2F14743E" w14:textId="77777777" w:rsidR="00995BE2" w:rsidRPr="00FD7460" w:rsidRDefault="00995BE2" w:rsidP="00A75223">
      <w:pPr>
        <w:rPr>
          <w:bCs/>
          <w:lang w:val="fr-CH"/>
        </w:rPr>
      </w:pPr>
    </w:p>
    <w:p w14:paraId="4986588F" w14:textId="07AC6DE2" w:rsidR="00A75223" w:rsidRPr="00FD7460" w:rsidRDefault="00A75223" w:rsidP="00A75223">
      <w:pPr>
        <w:rPr>
          <w:bCs/>
          <w:lang w:val="fr-CH"/>
        </w:rPr>
      </w:pPr>
      <w:r w:rsidRPr="00FD7460">
        <w:rPr>
          <w:bCs/>
          <w:lang w:val="fr-CH"/>
        </w:rPr>
        <w:t>SC41‐19 (</w:t>
      </w:r>
      <w:r w:rsidR="00267ED8">
        <w:rPr>
          <w:bCs/>
          <w:lang w:val="fr-CH"/>
        </w:rPr>
        <w:t>questions budgétaires</w:t>
      </w:r>
      <w:r w:rsidRPr="00FD7460">
        <w:rPr>
          <w:lang w:val="fr-CH"/>
        </w:rPr>
        <w:t>)</w:t>
      </w:r>
    </w:p>
    <w:p w14:paraId="42005059" w14:textId="22EDA0C6" w:rsidR="00A75223" w:rsidRPr="00FD7460" w:rsidRDefault="00A75223" w:rsidP="00A75223">
      <w:pPr>
        <w:rPr>
          <w:bCs/>
          <w:lang w:val="fr-CH"/>
        </w:rPr>
      </w:pPr>
      <w:r w:rsidRPr="00FD7460">
        <w:rPr>
          <w:bCs/>
          <w:lang w:val="fr-CH"/>
        </w:rPr>
        <w:t>SC41‐20 (</w:t>
      </w:r>
      <w:r w:rsidR="00267ED8">
        <w:rPr>
          <w:bCs/>
          <w:lang w:val="fr-CH"/>
        </w:rPr>
        <w:t>questions budgétaires</w:t>
      </w:r>
      <w:r w:rsidRPr="00FD7460">
        <w:rPr>
          <w:lang w:val="fr-CH"/>
        </w:rPr>
        <w:t>)</w:t>
      </w:r>
    </w:p>
    <w:p w14:paraId="38F0C4E8" w14:textId="26DC9036" w:rsidR="00A75223" w:rsidRPr="00FD7460" w:rsidRDefault="00A75223" w:rsidP="00A75223">
      <w:pPr>
        <w:rPr>
          <w:lang w:val="fr-CH"/>
        </w:rPr>
      </w:pPr>
      <w:r w:rsidRPr="00FD7460">
        <w:rPr>
          <w:bCs/>
          <w:lang w:val="fr-CH"/>
        </w:rPr>
        <w:t>SC41‐21 (</w:t>
      </w:r>
      <w:r w:rsidR="00267ED8">
        <w:rPr>
          <w:bCs/>
          <w:lang w:val="fr-CH"/>
        </w:rPr>
        <w:t>modèle de rapport annuel</w:t>
      </w:r>
      <w:r w:rsidRPr="00FD7460">
        <w:rPr>
          <w:lang w:val="fr-CH"/>
        </w:rPr>
        <w:t>)</w:t>
      </w:r>
    </w:p>
    <w:p w14:paraId="7248DBE8" w14:textId="1AF114A8" w:rsidR="00CE6745" w:rsidRPr="00FD7460" w:rsidRDefault="00CE6745" w:rsidP="00F214B4">
      <w:pPr>
        <w:rPr>
          <w:bCs/>
          <w:lang w:val="fr-CH"/>
        </w:rPr>
      </w:pPr>
      <w:r w:rsidRPr="00FD7460">
        <w:rPr>
          <w:bCs/>
          <w:lang w:val="fr-CH"/>
        </w:rPr>
        <w:t>SC41‐22 (</w:t>
      </w:r>
      <w:r w:rsidR="00267ED8">
        <w:rPr>
          <w:bCs/>
          <w:lang w:val="fr-CH"/>
        </w:rPr>
        <w:t>modèle de contrat, intégré dans</w:t>
      </w:r>
      <w:r w:rsidR="0017027E" w:rsidRPr="00FD7460">
        <w:rPr>
          <w:bCs/>
          <w:lang w:val="fr-CH"/>
        </w:rPr>
        <w:t xml:space="preserve"> </w:t>
      </w:r>
      <w:r w:rsidRPr="00FD7460">
        <w:rPr>
          <w:bCs/>
          <w:lang w:val="fr-CH"/>
        </w:rPr>
        <w:t xml:space="preserve">XIV.¤¤ </w:t>
      </w:r>
      <w:r w:rsidR="00267ED8">
        <w:rPr>
          <w:i/>
          <w:iCs/>
          <w:lang w:val="fr-CH"/>
        </w:rPr>
        <w:t xml:space="preserve">Les Initiatives régionales Ramsar – </w:t>
      </w:r>
      <w:r w:rsidR="004734FD">
        <w:rPr>
          <w:i/>
          <w:iCs/>
          <w:lang w:val="fr-CH"/>
        </w:rPr>
        <w:t>L</w:t>
      </w:r>
      <w:r w:rsidR="00267ED8">
        <w:rPr>
          <w:i/>
          <w:iCs/>
          <w:lang w:val="fr-CH"/>
        </w:rPr>
        <w:t xml:space="preserve">es fondamentaux) </w:t>
      </w:r>
    </w:p>
    <w:p w14:paraId="1D64F366" w14:textId="31F6F540" w:rsidR="00F214B4" w:rsidRPr="00FD7460" w:rsidRDefault="00F214B4" w:rsidP="00F214B4">
      <w:pPr>
        <w:rPr>
          <w:lang w:val="fr-CH"/>
        </w:rPr>
      </w:pPr>
      <w:r w:rsidRPr="00FD7460">
        <w:rPr>
          <w:bCs/>
          <w:lang w:val="fr-CH"/>
        </w:rPr>
        <w:t>SC41‐23 (</w:t>
      </w:r>
      <w:r w:rsidR="002C3FCC">
        <w:rPr>
          <w:bCs/>
          <w:lang w:val="fr-CH"/>
        </w:rPr>
        <w:t>approbation de nouvelles IRR et répétition</w:t>
      </w:r>
      <w:r w:rsidRPr="00FD7460">
        <w:rPr>
          <w:bCs/>
          <w:lang w:val="fr-CH"/>
        </w:rPr>
        <w:t xml:space="preserve"> SC41-22 </w:t>
      </w:r>
      <w:r w:rsidR="002C3FCC">
        <w:rPr>
          <w:bCs/>
          <w:lang w:val="fr-CH"/>
        </w:rPr>
        <w:t>et</w:t>
      </w:r>
      <w:r w:rsidRPr="00FD7460">
        <w:rPr>
          <w:bCs/>
          <w:lang w:val="fr-CH"/>
        </w:rPr>
        <w:t xml:space="preserve"> SC41-23</w:t>
      </w:r>
      <w:r w:rsidRPr="00FD7460">
        <w:rPr>
          <w:lang w:val="fr-CH"/>
        </w:rPr>
        <w:t>)</w:t>
      </w:r>
    </w:p>
    <w:p w14:paraId="0D71EB57" w14:textId="6315AD30" w:rsidR="00F214B4" w:rsidRPr="00FD7460" w:rsidRDefault="00A75223" w:rsidP="00F214B4">
      <w:pPr>
        <w:rPr>
          <w:bCs/>
          <w:lang w:val="fr-CH"/>
        </w:rPr>
      </w:pPr>
      <w:r w:rsidRPr="00FD7460">
        <w:rPr>
          <w:bCs/>
          <w:lang w:val="fr-CH"/>
        </w:rPr>
        <w:t>SC42-20 (</w:t>
      </w:r>
      <w:r w:rsidR="00F44066">
        <w:rPr>
          <w:bCs/>
          <w:lang w:val="fr-CH"/>
        </w:rPr>
        <w:t>approbation de la liste d</w:t>
      </w:r>
      <w:r w:rsidR="007275BE">
        <w:rPr>
          <w:bCs/>
          <w:lang w:val="fr-CH"/>
        </w:rPr>
        <w:t xml:space="preserve">es </w:t>
      </w:r>
      <w:r w:rsidR="00F44066">
        <w:rPr>
          <w:bCs/>
          <w:lang w:val="fr-CH"/>
        </w:rPr>
        <w:t>IRR, questions budgétaires</w:t>
      </w:r>
      <w:r w:rsidRPr="00FD7460">
        <w:rPr>
          <w:bCs/>
          <w:lang w:val="fr-CH"/>
        </w:rPr>
        <w:t>)</w:t>
      </w:r>
    </w:p>
    <w:p w14:paraId="44EBC7F0" w14:textId="7D1A6788" w:rsidR="006B211D" w:rsidRPr="00FD7460" w:rsidRDefault="006B211D" w:rsidP="0048026F">
      <w:pPr>
        <w:rPr>
          <w:bCs/>
          <w:lang w:val="fr-CH"/>
        </w:rPr>
      </w:pPr>
      <w:r w:rsidRPr="00FD7460">
        <w:rPr>
          <w:bCs/>
          <w:lang w:val="fr-CH"/>
        </w:rPr>
        <w:t>SC44-09 (</w:t>
      </w:r>
      <w:r w:rsidR="00F44066">
        <w:rPr>
          <w:bCs/>
          <w:lang w:val="fr-CH"/>
        </w:rPr>
        <w:t>notant que la réunion demandée a eu lieu</w:t>
      </w:r>
      <w:r w:rsidRPr="00FD7460">
        <w:rPr>
          <w:bCs/>
          <w:lang w:val="fr-CH"/>
        </w:rPr>
        <w:t>)</w:t>
      </w:r>
    </w:p>
    <w:p w14:paraId="529C6603" w14:textId="0A809796" w:rsidR="006B211D" w:rsidRPr="00FD7460" w:rsidRDefault="006B211D" w:rsidP="0048026F">
      <w:pPr>
        <w:rPr>
          <w:bCs/>
          <w:lang w:val="fr-CH"/>
        </w:rPr>
      </w:pPr>
      <w:r w:rsidRPr="00FD7460">
        <w:rPr>
          <w:bCs/>
          <w:lang w:val="fr-CH"/>
        </w:rPr>
        <w:t>SC46-28 (</w:t>
      </w:r>
      <w:r w:rsidR="00F44066">
        <w:rPr>
          <w:bCs/>
          <w:lang w:val="fr-CH"/>
        </w:rPr>
        <w:t>approbation des Directives opérationnelles</w:t>
      </w:r>
      <w:r w:rsidRPr="00FD7460">
        <w:rPr>
          <w:bCs/>
          <w:lang w:val="fr-CH"/>
        </w:rPr>
        <w:t>)</w:t>
      </w:r>
    </w:p>
    <w:p w14:paraId="41E5C9AB" w14:textId="5CBB9025" w:rsidR="00E03A98" w:rsidRPr="00FD7460" w:rsidRDefault="00E03A98" w:rsidP="0048026F">
      <w:pPr>
        <w:rPr>
          <w:bCs/>
          <w:lang w:val="fr-CH"/>
        </w:rPr>
      </w:pPr>
      <w:r w:rsidRPr="00FD7460">
        <w:rPr>
          <w:bCs/>
          <w:lang w:val="fr-CH"/>
        </w:rPr>
        <w:t>SC47‐10 (</w:t>
      </w:r>
      <w:r w:rsidR="00F44066">
        <w:rPr>
          <w:bCs/>
          <w:lang w:val="fr-CH"/>
        </w:rPr>
        <w:t>questions budgétaires</w:t>
      </w:r>
      <w:r w:rsidRPr="00FD7460">
        <w:rPr>
          <w:lang w:val="fr-CH"/>
        </w:rPr>
        <w:t>)</w:t>
      </w:r>
    </w:p>
    <w:p w14:paraId="6EC6F88B" w14:textId="245C148D" w:rsidR="0048026F" w:rsidRPr="00FD7460" w:rsidRDefault="0048026F" w:rsidP="0048026F">
      <w:pPr>
        <w:rPr>
          <w:bCs/>
          <w:lang w:val="fr-CH"/>
        </w:rPr>
      </w:pPr>
      <w:r w:rsidRPr="00FD7460">
        <w:rPr>
          <w:bCs/>
          <w:lang w:val="fr-CH"/>
        </w:rPr>
        <w:t>SC48-25 (</w:t>
      </w:r>
      <w:r w:rsidR="00F44066">
        <w:rPr>
          <w:bCs/>
          <w:lang w:val="fr-CH"/>
        </w:rPr>
        <w:t>communication du projet de résolution à la COP</w:t>
      </w:r>
      <w:r w:rsidRPr="00FD7460">
        <w:rPr>
          <w:bCs/>
          <w:lang w:val="fr-CH"/>
        </w:rPr>
        <w:t xml:space="preserve">) </w:t>
      </w:r>
    </w:p>
    <w:p w14:paraId="767B8465" w14:textId="7926C6F2" w:rsidR="0048026F" w:rsidRPr="00FD7460" w:rsidRDefault="0048026F" w:rsidP="0048026F">
      <w:pPr>
        <w:rPr>
          <w:lang w:val="fr-CH"/>
        </w:rPr>
      </w:pPr>
      <w:r w:rsidRPr="00FD7460">
        <w:rPr>
          <w:lang w:val="fr-CH"/>
        </w:rPr>
        <w:t>SC49-03 (</w:t>
      </w:r>
      <w:r w:rsidR="00F44066">
        <w:rPr>
          <w:lang w:val="fr-CH"/>
        </w:rPr>
        <w:t>questions budgétaires</w:t>
      </w:r>
      <w:r w:rsidRPr="00FD7460">
        <w:rPr>
          <w:lang w:val="fr-CH"/>
        </w:rPr>
        <w:t xml:space="preserve">)  </w:t>
      </w:r>
    </w:p>
    <w:p w14:paraId="5D0350A8" w14:textId="7E079EE8" w:rsidR="0018300F" w:rsidRPr="00FD7460" w:rsidRDefault="0018300F" w:rsidP="0014401A">
      <w:pPr>
        <w:rPr>
          <w:lang w:val="fr-CH"/>
        </w:rPr>
      </w:pPr>
      <w:r w:rsidRPr="00FD7460">
        <w:rPr>
          <w:lang w:val="fr-CH"/>
        </w:rPr>
        <w:t>SC51-11 (</w:t>
      </w:r>
      <w:r w:rsidR="00F44066">
        <w:rPr>
          <w:lang w:val="fr-CH"/>
        </w:rPr>
        <w:t>établissement du Groupe de travail</w:t>
      </w:r>
      <w:r w:rsidRPr="00FD7460">
        <w:rPr>
          <w:lang w:val="fr-CH"/>
        </w:rPr>
        <w:t>)</w:t>
      </w:r>
    </w:p>
    <w:p w14:paraId="56B28F2B" w14:textId="1EC87512" w:rsidR="0018300F" w:rsidRPr="00FD7460" w:rsidRDefault="0018300F" w:rsidP="0014401A">
      <w:pPr>
        <w:rPr>
          <w:lang w:val="fr-CH"/>
        </w:rPr>
      </w:pPr>
      <w:r w:rsidRPr="00FD7460">
        <w:rPr>
          <w:lang w:val="fr-CH"/>
        </w:rPr>
        <w:t>SC51-12 (</w:t>
      </w:r>
      <w:r w:rsidR="00F44066">
        <w:rPr>
          <w:lang w:val="fr-CH"/>
        </w:rPr>
        <w:t>sur l’évaluation des IRR et la stratégie de communication</w:t>
      </w:r>
      <w:r w:rsidRPr="00FD7460">
        <w:rPr>
          <w:lang w:val="fr-CH"/>
        </w:rPr>
        <w:t>)</w:t>
      </w:r>
    </w:p>
    <w:p w14:paraId="2D4E76E4" w14:textId="3A153D38" w:rsidR="0018300F" w:rsidRPr="00FD7460" w:rsidRDefault="0018300F" w:rsidP="0014401A">
      <w:pPr>
        <w:rPr>
          <w:lang w:val="fr-CH"/>
        </w:rPr>
      </w:pPr>
      <w:r w:rsidRPr="00FD7460">
        <w:rPr>
          <w:lang w:val="fr-CH"/>
        </w:rPr>
        <w:t>SC51-13 (</w:t>
      </w:r>
      <w:r w:rsidR="00F44066">
        <w:rPr>
          <w:lang w:val="fr-CH"/>
        </w:rPr>
        <w:t xml:space="preserve">organiser l’atelier sur les Directives opérationnelles avant SC52) </w:t>
      </w:r>
    </w:p>
    <w:p w14:paraId="175C9E71" w14:textId="41F3BEAD" w:rsidR="0018300F" w:rsidRPr="00FD7460" w:rsidRDefault="0018300F" w:rsidP="0014401A">
      <w:pPr>
        <w:rPr>
          <w:lang w:val="fr-CH"/>
        </w:rPr>
      </w:pPr>
      <w:r w:rsidRPr="00FD7460">
        <w:rPr>
          <w:lang w:val="fr-CH"/>
        </w:rPr>
        <w:t>SC51-14 (</w:t>
      </w:r>
      <w:r w:rsidR="00F44066">
        <w:rPr>
          <w:lang w:val="fr-CH"/>
        </w:rPr>
        <w:t>avoir une liste de références pour les nouvelles IRR</w:t>
      </w:r>
      <w:r w:rsidRPr="00FD7460">
        <w:rPr>
          <w:lang w:val="fr-CH"/>
        </w:rPr>
        <w:t>)</w:t>
      </w:r>
    </w:p>
    <w:p w14:paraId="10FA92AF" w14:textId="0391727C" w:rsidR="0018300F" w:rsidRPr="00FD7460" w:rsidRDefault="0018300F" w:rsidP="0014401A">
      <w:pPr>
        <w:rPr>
          <w:lang w:val="fr-CH"/>
        </w:rPr>
      </w:pPr>
      <w:r w:rsidRPr="00FD7460">
        <w:rPr>
          <w:lang w:val="fr-CH"/>
        </w:rPr>
        <w:lastRenderedPageBreak/>
        <w:t>SC51-23 (</w:t>
      </w:r>
      <w:r w:rsidR="00F44066">
        <w:rPr>
          <w:lang w:val="fr-CH"/>
        </w:rPr>
        <w:t>journée pour atelier à</w:t>
      </w:r>
      <w:r w:rsidRPr="00FD7460">
        <w:rPr>
          <w:lang w:val="fr-CH"/>
        </w:rPr>
        <w:t xml:space="preserve"> Gland)</w:t>
      </w:r>
    </w:p>
    <w:p w14:paraId="3BE14AF1" w14:textId="19EA3D63" w:rsidR="00285D93" w:rsidRPr="00FD7460" w:rsidRDefault="00285D93" w:rsidP="0014401A">
      <w:pPr>
        <w:rPr>
          <w:lang w:val="fr-CH"/>
        </w:rPr>
      </w:pPr>
      <w:r w:rsidRPr="00FD7460">
        <w:rPr>
          <w:lang w:val="fr-CH"/>
        </w:rPr>
        <w:t>SC52</w:t>
      </w:r>
      <w:r w:rsidR="00DA7C20" w:rsidRPr="00FD7460">
        <w:rPr>
          <w:lang w:val="fr-CH"/>
        </w:rPr>
        <w:t>-16</w:t>
      </w:r>
      <w:r w:rsidRPr="00FD7460">
        <w:rPr>
          <w:lang w:val="fr-CH"/>
        </w:rPr>
        <w:t xml:space="preserve"> (</w:t>
      </w:r>
      <w:r w:rsidR="00F44066">
        <w:rPr>
          <w:lang w:val="fr-CH"/>
        </w:rPr>
        <w:t>décision sur les Directives opérationnelles</w:t>
      </w:r>
      <w:r w:rsidRPr="00FD7460">
        <w:rPr>
          <w:lang w:val="fr-CH"/>
        </w:rPr>
        <w:t>)</w:t>
      </w:r>
    </w:p>
    <w:p w14:paraId="2B0419DF" w14:textId="63C6D544" w:rsidR="00DA7C20" w:rsidRPr="00FD7460" w:rsidRDefault="00DA7C20" w:rsidP="0014401A">
      <w:pPr>
        <w:rPr>
          <w:lang w:val="fr-CH"/>
        </w:rPr>
      </w:pPr>
      <w:r w:rsidRPr="00FD7460">
        <w:rPr>
          <w:lang w:val="fr-CH"/>
        </w:rPr>
        <w:t>SC52-17 (list</w:t>
      </w:r>
      <w:r w:rsidR="00F44066">
        <w:rPr>
          <w:lang w:val="fr-CH"/>
        </w:rPr>
        <w:t>e des IRR</w:t>
      </w:r>
      <w:r w:rsidRPr="00FD7460">
        <w:rPr>
          <w:lang w:val="fr-CH"/>
        </w:rPr>
        <w:t>)</w:t>
      </w:r>
    </w:p>
    <w:p w14:paraId="2F7DAE5B" w14:textId="1519CCAE" w:rsidR="00DA7C20" w:rsidRPr="00FD7460" w:rsidRDefault="00DA7C20" w:rsidP="0014401A">
      <w:pPr>
        <w:rPr>
          <w:lang w:val="fr-CH"/>
        </w:rPr>
      </w:pPr>
      <w:r w:rsidRPr="00FD7460">
        <w:rPr>
          <w:lang w:val="fr-CH"/>
        </w:rPr>
        <w:t>SC52-18 (</w:t>
      </w:r>
      <w:r w:rsidR="00F44066">
        <w:rPr>
          <w:lang w:val="fr-CH"/>
        </w:rPr>
        <w:t>évaluation du caractère applicable des Directives opérationnelles</w:t>
      </w:r>
      <w:r w:rsidRPr="00FD7460">
        <w:rPr>
          <w:lang w:val="fr-CH"/>
        </w:rPr>
        <w:t>)</w:t>
      </w:r>
    </w:p>
    <w:p w14:paraId="08E19AB9" w14:textId="5FB29E2D" w:rsidR="00DA7C20" w:rsidRPr="00FD7460" w:rsidRDefault="00DA7C20" w:rsidP="00DA7C20">
      <w:pPr>
        <w:rPr>
          <w:lang w:val="fr-CH"/>
        </w:rPr>
      </w:pPr>
      <w:r w:rsidRPr="00FD7460">
        <w:rPr>
          <w:lang w:val="fr-CH"/>
        </w:rPr>
        <w:t>SC52-19 (</w:t>
      </w:r>
      <w:r w:rsidR="00F44066">
        <w:rPr>
          <w:lang w:val="fr-CH"/>
        </w:rPr>
        <w:t>demande de rapport résumé du Groupe de travail</w:t>
      </w:r>
      <w:r w:rsidRPr="00FD7460">
        <w:rPr>
          <w:lang w:val="fr-CH"/>
        </w:rPr>
        <w:t>)</w:t>
      </w:r>
    </w:p>
    <w:p w14:paraId="314EAC29" w14:textId="7C4C7BA6" w:rsidR="00DA7C20" w:rsidRPr="00FD7460" w:rsidRDefault="00DA7C20" w:rsidP="00DA7C20">
      <w:pPr>
        <w:rPr>
          <w:lang w:val="fr-CH"/>
        </w:rPr>
      </w:pPr>
      <w:r w:rsidRPr="00FD7460">
        <w:rPr>
          <w:lang w:val="fr-CH"/>
        </w:rPr>
        <w:t>SC52-20 (</w:t>
      </w:r>
      <w:r w:rsidR="00F44066">
        <w:rPr>
          <w:bCs/>
          <w:lang w:val="fr-CH"/>
        </w:rPr>
        <w:t>questions budgétaires</w:t>
      </w:r>
      <w:r w:rsidRPr="00FD7460">
        <w:rPr>
          <w:lang w:val="fr-CH"/>
        </w:rPr>
        <w:t xml:space="preserve">)  </w:t>
      </w:r>
    </w:p>
    <w:p w14:paraId="61900437" w14:textId="0DD8A9A3" w:rsidR="00285D93" w:rsidRPr="00FD7460" w:rsidRDefault="00285D93" w:rsidP="0014401A">
      <w:pPr>
        <w:rPr>
          <w:lang w:val="fr-CH"/>
        </w:rPr>
      </w:pPr>
      <w:r w:rsidRPr="00FD7460">
        <w:rPr>
          <w:lang w:val="fr-CH"/>
        </w:rPr>
        <w:t>SC53-37 (</w:t>
      </w:r>
      <w:r w:rsidR="00F44066">
        <w:rPr>
          <w:bCs/>
          <w:lang w:val="fr-CH"/>
        </w:rPr>
        <w:t>questions budgétaires</w:t>
      </w:r>
      <w:r w:rsidRPr="00FD7460">
        <w:rPr>
          <w:lang w:val="fr-CH"/>
        </w:rPr>
        <w:t xml:space="preserve">)  </w:t>
      </w:r>
    </w:p>
    <w:p w14:paraId="65400922" w14:textId="67AFAD2A" w:rsidR="00285D93" w:rsidRPr="00FD7460" w:rsidRDefault="00285D93" w:rsidP="00285D93">
      <w:pPr>
        <w:rPr>
          <w:lang w:val="fr-CH"/>
        </w:rPr>
      </w:pPr>
      <w:r w:rsidRPr="00FD7460">
        <w:rPr>
          <w:lang w:val="fr-CH"/>
        </w:rPr>
        <w:t>SC53-38 (</w:t>
      </w:r>
      <w:r w:rsidR="00F44066">
        <w:rPr>
          <w:bCs/>
          <w:lang w:val="fr-CH"/>
        </w:rPr>
        <w:t>questions budgétaires</w:t>
      </w:r>
      <w:r w:rsidRPr="00FD7460">
        <w:rPr>
          <w:lang w:val="fr-CH"/>
        </w:rPr>
        <w:t xml:space="preserve">)  </w:t>
      </w:r>
    </w:p>
    <w:p w14:paraId="2C6CEAD0" w14:textId="1BE46E51" w:rsidR="00285D93" w:rsidRPr="00FD7460" w:rsidRDefault="00285D93" w:rsidP="0014401A">
      <w:pPr>
        <w:rPr>
          <w:lang w:val="fr-CH"/>
        </w:rPr>
      </w:pPr>
      <w:r w:rsidRPr="00FD7460">
        <w:rPr>
          <w:lang w:val="fr-CH"/>
        </w:rPr>
        <w:t>SC53-12 (</w:t>
      </w:r>
      <w:r w:rsidR="00F44066">
        <w:rPr>
          <w:lang w:val="fr-CH"/>
        </w:rPr>
        <w:t xml:space="preserve">sur futurs projets de résolutions pour la </w:t>
      </w:r>
      <w:r w:rsidRPr="00FD7460">
        <w:rPr>
          <w:lang w:val="fr-CH"/>
        </w:rPr>
        <w:t>COP)</w:t>
      </w:r>
    </w:p>
    <w:p w14:paraId="2BA7EA11" w14:textId="43F64FA6" w:rsidR="00AF4497" w:rsidRPr="00FD7460" w:rsidRDefault="00AF4497" w:rsidP="0014401A">
      <w:pPr>
        <w:rPr>
          <w:lang w:val="fr-CH"/>
        </w:rPr>
      </w:pPr>
      <w:r w:rsidRPr="00FD7460">
        <w:rPr>
          <w:lang w:val="fr-CH"/>
        </w:rPr>
        <w:t>SC53-09 (</w:t>
      </w:r>
      <w:r w:rsidR="00F44066">
        <w:rPr>
          <w:bCs/>
          <w:lang w:val="fr-CH"/>
        </w:rPr>
        <w:t>questions budgétaires</w:t>
      </w:r>
      <w:r w:rsidRPr="00FD7460">
        <w:rPr>
          <w:lang w:val="fr-CH"/>
        </w:rPr>
        <w:t xml:space="preserve">)  </w:t>
      </w:r>
    </w:p>
    <w:p w14:paraId="56DE0F31" w14:textId="6CA2DDAD" w:rsidR="00881FFD" w:rsidRPr="00FD7460" w:rsidRDefault="00AF4497" w:rsidP="0014401A">
      <w:pPr>
        <w:rPr>
          <w:lang w:val="fr-CH"/>
        </w:rPr>
      </w:pPr>
      <w:r w:rsidRPr="00FD7460">
        <w:rPr>
          <w:lang w:val="fr-CH"/>
        </w:rPr>
        <w:t>SC54-30 (</w:t>
      </w:r>
      <w:r w:rsidR="00293AF9">
        <w:rPr>
          <w:lang w:val="fr-CH"/>
        </w:rPr>
        <w:t xml:space="preserve">demande d’étude du statut juridique et communication du projet de résolution à la </w:t>
      </w:r>
      <w:r w:rsidRPr="00FD7460">
        <w:rPr>
          <w:lang w:val="fr-CH"/>
        </w:rPr>
        <w:t>COP)</w:t>
      </w:r>
    </w:p>
    <w:p w14:paraId="45E3681F" w14:textId="199DC50A" w:rsidR="00881FFD" w:rsidRPr="00FD7460" w:rsidRDefault="00881FFD" w:rsidP="0014401A">
      <w:pPr>
        <w:rPr>
          <w:lang w:val="fr-CH"/>
        </w:rPr>
      </w:pPr>
      <w:r w:rsidRPr="00FD7460">
        <w:rPr>
          <w:lang w:val="fr-CH"/>
        </w:rPr>
        <w:t>SC55-11 (</w:t>
      </w:r>
      <w:r w:rsidR="00293AF9">
        <w:rPr>
          <w:lang w:val="fr-CH"/>
        </w:rPr>
        <w:t xml:space="preserve">prendre note du </w:t>
      </w:r>
      <w:r w:rsidRPr="00FD7460">
        <w:rPr>
          <w:lang w:val="fr-CH"/>
        </w:rPr>
        <w:t>document SC55 Doc.9)</w:t>
      </w:r>
    </w:p>
    <w:p w14:paraId="32518490" w14:textId="61849673" w:rsidR="0014401A" w:rsidRPr="00FD7460" w:rsidRDefault="0014401A" w:rsidP="0014401A">
      <w:pPr>
        <w:rPr>
          <w:lang w:val="fr-CH"/>
        </w:rPr>
      </w:pPr>
      <w:r w:rsidRPr="00FD7460">
        <w:rPr>
          <w:lang w:val="fr-CH"/>
        </w:rPr>
        <w:t>SC56-</w:t>
      </w:r>
      <w:r w:rsidR="00881FFD" w:rsidRPr="00FD7460">
        <w:rPr>
          <w:lang w:val="fr-CH"/>
        </w:rPr>
        <w:t>07</w:t>
      </w:r>
      <w:r w:rsidRPr="00FD7460">
        <w:rPr>
          <w:lang w:val="fr-CH"/>
        </w:rPr>
        <w:t xml:space="preserve"> (</w:t>
      </w:r>
      <w:r w:rsidR="00293AF9">
        <w:rPr>
          <w:lang w:val="fr-CH"/>
        </w:rPr>
        <w:t>sur le Groupe de travail et son budget</w:t>
      </w:r>
      <w:r w:rsidRPr="00FD7460">
        <w:rPr>
          <w:lang w:val="fr-CH"/>
        </w:rPr>
        <w:t>)</w:t>
      </w:r>
    </w:p>
    <w:p w14:paraId="675362D4" w14:textId="379A8F6B" w:rsidR="0014401A" w:rsidRPr="00FD7460" w:rsidRDefault="0014401A" w:rsidP="00651313">
      <w:pPr>
        <w:rPr>
          <w:lang w:val="fr-CH"/>
        </w:rPr>
      </w:pPr>
      <w:r w:rsidRPr="00FD7460">
        <w:rPr>
          <w:lang w:val="fr-CH"/>
        </w:rPr>
        <w:t>SC57-11 (</w:t>
      </w:r>
      <w:r w:rsidR="00293AF9">
        <w:rPr>
          <w:lang w:val="fr-CH"/>
        </w:rPr>
        <w:t>présentation de rapport</w:t>
      </w:r>
      <w:r w:rsidRPr="00FD7460">
        <w:rPr>
          <w:lang w:val="fr-CH"/>
        </w:rPr>
        <w:t>)</w:t>
      </w:r>
    </w:p>
    <w:p w14:paraId="4D6F8C51" w14:textId="5D694D06" w:rsidR="0014401A" w:rsidRPr="00FD7460" w:rsidRDefault="0014401A" w:rsidP="0014401A">
      <w:pPr>
        <w:rPr>
          <w:lang w:val="fr-CH"/>
        </w:rPr>
      </w:pPr>
      <w:r w:rsidRPr="00FD7460">
        <w:rPr>
          <w:lang w:val="fr-CH"/>
        </w:rPr>
        <w:t>SC57-28 (</w:t>
      </w:r>
      <w:r w:rsidR="00293AF9">
        <w:rPr>
          <w:lang w:val="fr-CH"/>
        </w:rPr>
        <w:t>établissement du Groupe de travail et son budget</w:t>
      </w:r>
      <w:r w:rsidRPr="00FD7460">
        <w:rPr>
          <w:lang w:val="fr-CH"/>
        </w:rPr>
        <w:t>)</w:t>
      </w:r>
    </w:p>
    <w:p w14:paraId="7BAE551F" w14:textId="3440FD8C" w:rsidR="0014401A" w:rsidRPr="00FD7460" w:rsidRDefault="0014401A" w:rsidP="0014401A">
      <w:pPr>
        <w:rPr>
          <w:lang w:val="fr-CH"/>
        </w:rPr>
      </w:pPr>
      <w:r w:rsidRPr="00FD7460">
        <w:rPr>
          <w:lang w:val="fr-CH"/>
        </w:rPr>
        <w:t>SC57-29 (</w:t>
      </w:r>
      <w:r w:rsidR="00293AF9">
        <w:rPr>
          <w:lang w:val="fr-CH"/>
        </w:rPr>
        <w:t>recherche d’avis sur le statut juridique des IRR</w:t>
      </w:r>
      <w:r w:rsidRPr="00FD7460">
        <w:rPr>
          <w:lang w:val="fr-CH"/>
        </w:rPr>
        <w:t>)</w:t>
      </w:r>
    </w:p>
    <w:p w14:paraId="0C8C0D72" w14:textId="34D6C036" w:rsidR="0014401A" w:rsidRPr="00FD7460" w:rsidRDefault="0014401A" w:rsidP="0014401A">
      <w:pPr>
        <w:rPr>
          <w:lang w:val="fr-CH"/>
        </w:rPr>
      </w:pPr>
      <w:r w:rsidRPr="00FD7460">
        <w:rPr>
          <w:lang w:val="fr-CH"/>
        </w:rPr>
        <w:t>SC58-48 (</w:t>
      </w:r>
      <w:r w:rsidR="00F44066">
        <w:rPr>
          <w:bCs/>
          <w:lang w:val="fr-CH"/>
        </w:rPr>
        <w:t>questions budgétaires</w:t>
      </w:r>
      <w:r w:rsidRPr="00FD7460">
        <w:rPr>
          <w:lang w:val="fr-CH"/>
        </w:rPr>
        <w:t xml:space="preserve">)  </w:t>
      </w:r>
    </w:p>
    <w:p w14:paraId="28CDEDFC" w14:textId="54475969" w:rsidR="0014401A" w:rsidRPr="00FD7460" w:rsidRDefault="0014401A" w:rsidP="0014401A">
      <w:pPr>
        <w:rPr>
          <w:lang w:val="fr-CH"/>
        </w:rPr>
      </w:pPr>
      <w:r w:rsidRPr="00FD7460">
        <w:rPr>
          <w:lang w:val="fr-CH"/>
        </w:rPr>
        <w:t>SC58-48 (</w:t>
      </w:r>
      <w:r w:rsidR="00F44066">
        <w:rPr>
          <w:bCs/>
          <w:lang w:val="fr-CH"/>
        </w:rPr>
        <w:t>questions budgétaires</w:t>
      </w:r>
      <w:r w:rsidRPr="00FD7460">
        <w:rPr>
          <w:lang w:val="fr-CH"/>
        </w:rPr>
        <w:t xml:space="preserve">)  </w:t>
      </w:r>
    </w:p>
    <w:p w14:paraId="46DFB05F" w14:textId="4166FB05" w:rsidR="00651313" w:rsidRPr="00FD7460" w:rsidRDefault="00651313" w:rsidP="00651313">
      <w:pPr>
        <w:rPr>
          <w:lang w:val="fr-CH"/>
        </w:rPr>
      </w:pPr>
      <w:r w:rsidRPr="00FD7460">
        <w:rPr>
          <w:lang w:val="fr-CH"/>
        </w:rPr>
        <w:t>SC58-23 (</w:t>
      </w:r>
      <w:r w:rsidR="00293AF9">
        <w:rPr>
          <w:lang w:val="fr-CH"/>
        </w:rPr>
        <w:t>appel pour de nouvelles IRR</w:t>
      </w:r>
      <w:r w:rsidRPr="00FD7460">
        <w:rPr>
          <w:lang w:val="fr-CH"/>
        </w:rPr>
        <w:t xml:space="preserve">)  </w:t>
      </w:r>
    </w:p>
    <w:p w14:paraId="15CAA487" w14:textId="7332EE4B" w:rsidR="00651313" w:rsidRPr="00FD7460" w:rsidRDefault="00651313" w:rsidP="004725FC">
      <w:pPr>
        <w:rPr>
          <w:lang w:val="fr-CH"/>
        </w:rPr>
      </w:pPr>
      <w:r w:rsidRPr="00FD7460">
        <w:rPr>
          <w:lang w:val="fr-CH"/>
        </w:rPr>
        <w:t>SC58-28 (</w:t>
      </w:r>
      <w:r w:rsidR="00F44066">
        <w:rPr>
          <w:bCs/>
          <w:lang w:val="fr-CH"/>
        </w:rPr>
        <w:t>questions budgétaires</w:t>
      </w:r>
      <w:r w:rsidRPr="00FD7460">
        <w:rPr>
          <w:lang w:val="fr-CH"/>
        </w:rPr>
        <w:t xml:space="preserve">)  </w:t>
      </w:r>
    </w:p>
    <w:p w14:paraId="74BF82E8" w14:textId="326CDB48" w:rsidR="002E0F4C" w:rsidRPr="00FD7460" w:rsidRDefault="004725FC" w:rsidP="004725FC">
      <w:pPr>
        <w:rPr>
          <w:lang w:val="fr-CH"/>
        </w:rPr>
      </w:pPr>
      <w:r w:rsidRPr="00FD7460">
        <w:rPr>
          <w:lang w:val="fr-CH"/>
        </w:rPr>
        <w:t>SC</w:t>
      </w:r>
      <w:r w:rsidR="002E0F4C" w:rsidRPr="00FD7460">
        <w:rPr>
          <w:lang w:val="fr-CH"/>
        </w:rPr>
        <w:t>59-21 (</w:t>
      </w:r>
      <w:r w:rsidR="00293AF9">
        <w:rPr>
          <w:lang w:val="fr-CH"/>
        </w:rPr>
        <w:t>report de l’examen du rapport jusqu’à la prochaine réunion</w:t>
      </w:r>
      <w:r w:rsidR="002E0F4C" w:rsidRPr="00FD7460">
        <w:rPr>
          <w:lang w:val="fr-CH"/>
        </w:rPr>
        <w:t>)</w:t>
      </w:r>
    </w:p>
    <w:p w14:paraId="54D24F8E" w14:textId="283D5084" w:rsidR="004725FC" w:rsidRPr="00FD7460" w:rsidRDefault="002E0F4C" w:rsidP="004725FC">
      <w:pPr>
        <w:rPr>
          <w:lang w:val="fr-CH"/>
        </w:rPr>
      </w:pPr>
      <w:r w:rsidRPr="00FD7460">
        <w:rPr>
          <w:lang w:val="fr-CH"/>
        </w:rPr>
        <w:t>SC59-33 (</w:t>
      </w:r>
      <w:r w:rsidR="00F44066">
        <w:rPr>
          <w:bCs/>
          <w:lang w:val="fr-CH"/>
        </w:rPr>
        <w:t>questions budgétaires</w:t>
      </w:r>
      <w:r w:rsidRPr="00FD7460">
        <w:rPr>
          <w:lang w:val="fr-CH"/>
        </w:rPr>
        <w:t>)</w:t>
      </w:r>
      <w:r w:rsidR="004725FC" w:rsidRPr="00FD7460">
        <w:rPr>
          <w:lang w:val="fr-CH"/>
        </w:rPr>
        <w:t xml:space="preserve">  </w:t>
      </w:r>
    </w:p>
    <w:p w14:paraId="5488FA87" w14:textId="2868874B" w:rsidR="004725FC" w:rsidRPr="00FD7460" w:rsidRDefault="002E0F4C" w:rsidP="004725FC">
      <w:pPr>
        <w:rPr>
          <w:lang w:val="fr-CH"/>
        </w:rPr>
      </w:pPr>
      <w:r w:rsidRPr="00FD7460">
        <w:rPr>
          <w:lang w:val="fr-CH"/>
        </w:rPr>
        <w:t>SC59-34 (</w:t>
      </w:r>
      <w:r w:rsidR="0053635D">
        <w:rPr>
          <w:lang w:val="fr-CH"/>
        </w:rPr>
        <w:t xml:space="preserve">comment demander un financement, intégré dans la Résolution </w:t>
      </w:r>
      <w:r w:rsidRPr="00FD7460">
        <w:rPr>
          <w:lang w:val="fr-CH"/>
        </w:rPr>
        <w:t xml:space="preserve">XIV.¤¤ </w:t>
      </w:r>
      <w:r w:rsidR="0053635D" w:rsidRPr="0053635D">
        <w:rPr>
          <w:i/>
          <w:lang w:val="fr-CH"/>
        </w:rPr>
        <w:t>IRR</w:t>
      </w:r>
      <w:r w:rsidRPr="00FD7460">
        <w:rPr>
          <w:i/>
          <w:iCs/>
          <w:lang w:val="fr-CH"/>
        </w:rPr>
        <w:t xml:space="preserve"> </w:t>
      </w:r>
      <w:r w:rsidR="0053635D">
        <w:rPr>
          <w:i/>
          <w:iCs/>
          <w:lang w:val="fr-CH"/>
        </w:rPr>
        <w:t xml:space="preserve">– </w:t>
      </w:r>
      <w:r w:rsidR="004734FD">
        <w:rPr>
          <w:i/>
          <w:iCs/>
          <w:lang w:val="fr-CH"/>
        </w:rPr>
        <w:t>L</w:t>
      </w:r>
      <w:r w:rsidR="0053635D">
        <w:rPr>
          <w:i/>
          <w:iCs/>
          <w:lang w:val="fr-CH"/>
        </w:rPr>
        <w:t>es fondamentaux</w:t>
      </w:r>
      <w:r w:rsidRPr="00FD7460">
        <w:rPr>
          <w:lang w:val="fr-CH"/>
        </w:rPr>
        <w:t>)</w:t>
      </w:r>
    </w:p>
    <w:p w14:paraId="3DE9D399" w14:textId="561798D8" w:rsidR="002E0F4C" w:rsidRPr="00FD7460" w:rsidRDefault="002E0F4C" w:rsidP="004725FC">
      <w:pPr>
        <w:rPr>
          <w:lang w:val="fr-CH"/>
        </w:rPr>
      </w:pPr>
      <w:r w:rsidRPr="00FD7460">
        <w:rPr>
          <w:lang w:val="fr-CH"/>
        </w:rPr>
        <w:t>SC59-35 (</w:t>
      </w:r>
      <w:r w:rsidR="00F44066">
        <w:rPr>
          <w:bCs/>
          <w:lang w:val="fr-CH"/>
        </w:rPr>
        <w:t>questions budgétaires</w:t>
      </w:r>
      <w:r w:rsidRPr="00FD7460">
        <w:rPr>
          <w:lang w:val="fr-CH"/>
        </w:rPr>
        <w:t>)</w:t>
      </w:r>
    </w:p>
    <w:p w14:paraId="691A91CD" w14:textId="5AF5FF66" w:rsidR="004725FC" w:rsidRPr="00FD7460" w:rsidRDefault="00651313" w:rsidP="004725FC">
      <w:pPr>
        <w:rPr>
          <w:i/>
          <w:iCs/>
          <w:lang w:val="fr-CH"/>
        </w:rPr>
      </w:pPr>
      <w:r w:rsidRPr="00FD7460">
        <w:rPr>
          <w:i/>
          <w:iCs/>
          <w:lang w:val="fr-CH"/>
        </w:rPr>
        <w:t>SC59/2002-XX (</w:t>
      </w:r>
      <w:r w:rsidR="0053635D">
        <w:rPr>
          <w:i/>
          <w:iCs/>
          <w:lang w:val="fr-CH"/>
        </w:rPr>
        <w:t xml:space="preserve">non traitée par le projet de résolution mais pourrait être ajoutée à la </w:t>
      </w:r>
      <w:r w:rsidRPr="00FD7460">
        <w:rPr>
          <w:i/>
          <w:iCs/>
          <w:lang w:val="fr-CH"/>
        </w:rPr>
        <w:t>COP14)</w:t>
      </w:r>
    </w:p>
    <w:p w14:paraId="462DD2F4" w14:textId="6702C4A9" w:rsidR="004725FC" w:rsidRPr="00FD7460" w:rsidRDefault="004725FC" w:rsidP="004725FC">
      <w:pPr>
        <w:rPr>
          <w:lang w:val="fr-CH"/>
        </w:rPr>
      </w:pPr>
    </w:p>
    <w:p w14:paraId="703F886B" w14:textId="506168D5" w:rsidR="004725FC" w:rsidRPr="00FD7460" w:rsidRDefault="004725FC" w:rsidP="004725FC">
      <w:pPr>
        <w:rPr>
          <w:lang w:val="fr-CH"/>
        </w:rPr>
      </w:pPr>
    </w:p>
    <w:p w14:paraId="2ABD06C2" w14:textId="51873FDF" w:rsidR="00651313" w:rsidRPr="00FD7460" w:rsidRDefault="0053635D" w:rsidP="00651313">
      <w:pPr>
        <w:ind w:left="0" w:firstLine="0"/>
        <w:rPr>
          <w:bCs/>
          <w:i/>
          <w:lang w:val="fr-CH"/>
        </w:rPr>
      </w:pPr>
      <w:r>
        <w:rPr>
          <w:bCs/>
          <w:i/>
          <w:lang w:val="fr-CH"/>
        </w:rPr>
        <w:t xml:space="preserve">Décisions du Comité permanent dont les </w:t>
      </w:r>
      <w:r w:rsidR="009577A1" w:rsidRPr="00FD7460">
        <w:rPr>
          <w:bCs/>
          <w:i/>
          <w:u w:val="single"/>
          <w:lang w:val="fr-CH"/>
        </w:rPr>
        <w:t>part</w:t>
      </w:r>
      <w:r>
        <w:rPr>
          <w:bCs/>
          <w:i/>
          <w:u w:val="single"/>
          <w:lang w:val="fr-CH"/>
        </w:rPr>
        <w:t>ie</w:t>
      </w:r>
      <w:r w:rsidR="009577A1" w:rsidRPr="00FD7460">
        <w:rPr>
          <w:bCs/>
          <w:i/>
          <w:u w:val="single"/>
          <w:lang w:val="fr-CH"/>
        </w:rPr>
        <w:t>s</w:t>
      </w:r>
      <w:r>
        <w:rPr>
          <w:bCs/>
          <w:i/>
          <w:u w:val="single"/>
          <w:lang w:val="fr-CH"/>
        </w:rPr>
        <w:t xml:space="preserve"> sur les IRR</w:t>
      </w:r>
      <w:r w:rsidR="009577A1" w:rsidRPr="00FD7460">
        <w:rPr>
          <w:bCs/>
          <w:i/>
          <w:lang w:val="fr-CH"/>
        </w:rPr>
        <w:t xml:space="preserve"> </w:t>
      </w:r>
      <w:r w:rsidR="005E59BC">
        <w:rPr>
          <w:bCs/>
          <w:i/>
          <w:lang w:val="fr-CH"/>
        </w:rPr>
        <w:t>sont obsolètes</w:t>
      </w:r>
      <w:r>
        <w:rPr>
          <w:bCs/>
          <w:i/>
          <w:lang w:val="fr-CH"/>
        </w:rPr>
        <w:t xml:space="preserve"> et abrogées par la présente résolution :</w:t>
      </w:r>
    </w:p>
    <w:p w14:paraId="30B909C2" w14:textId="77777777" w:rsidR="00651313" w:rsidRPr="00FD7460" w:rsidRDefault="00651313" w:rsidP="00651313">
      <w:pPr>
        <w:jc w:val="center"/>
        <w:rPr>
          <w:lang w:val="fr-CH"/>
        </w:rPr>
      </w:pPr>
    </w:p>
    <w:p w14:paraId="48FAA60E" w14:textId="27AF7892" w:rsidR="00A75223" w:rsidRPr="00FD7460" w:rsidRDefault="00A75223" w:rsidP="00E03A98">
      <w:pPr>
        <w:ind w:left="0" w:firstLine="0"/>
        <w:rPr>
          <w:lang w:val="fr-CH"/>
        </w:rPr>
      </w:pPr>
      <w:r w:rsidRPr="00FD7460">
        <w:rPr>
          <w:lang w:val="fr-CH"/>
        </w:rPr>
        <w:t>SC42-15 (</w:t>
      </w:r>
      <w:r w:rsidR="0053635D">
        <w:rPr>
          <w:lang w:val="fr-CH"/>
        </w:rPr>
        <w:t>questions budgétaires pour les IRR</w:t>
      </w:r>
      <w:r w:rsidRPr="00FD7460">
        <w:rPr>
          <w:lang w:val="fr-CH"/>
        </w:rPr>
        <w:t xml:space="preserve">)  </w:t>
      </w:r>
    </w:p>
    <w:p w14:paraId="7DCD52FB" w14:textId="6641204C" w:rsidR="00CD3067" w:rsidRPr="00FD7460" w:rsidRDefault="00CD3067" w:rsidP="00E03A98">
      <w:pPr>
        <w:ind w:left="0" w:firstLine="0"/>
        <w:rPr>
          <w:lang w:val="fr-CH"/>
        </w:rPr>
      </w:pPr>
      <w:r w:rsidRPr="00FD7460">
        <w:rPr>
          <w:lang w:val="fr-CH"/>
        </w:rPr>
        <w:t>SC43-16 (</w:t>
      </w:r>
      <w:r w:rsidR="0053635D">
        <w:rPr>
          <w:lang w:val="fr-CH"/>
        </w:rPr>
        <w:t>questions budgétaires pour les IRR</w:t>
      </w:r>
      <w:r w:rsidRPr="00FD7460">
        <w:rPr>
          <w:lang w:val="fr-CH"/>
        </w:rPr>
        <w:t xml:space="preserve">)  </w:t>
      </w:r>
    </w:p>
    <w:p w14:paraId="3F025991" w14:textId="4BE43D9E" w:rsidR="00CD3067" w:rsidRPr="00FD7460" w:rsidRDefault="00CD3067" w:rsidP="00CD3067">
      <w:pPr>
        <w:ind w:left="0" w:firstLine="0"/>
        <w:rPr>
          <w:lang w:val="fr-CH"/>
        </w:rPr>
      </w:pPr>
      <w:r w:rsidRPr="00FD7460">
        <w:rPr>
          <w:lang w:val="fr-CH"/>
        </w:rPr>
        <w:t>SC43-17 (</w:t>
      </w:r>
      <w:r w:rsidR="0053635D">
        <w:rPr>
          <w:lang w:val="fr-CH"/>
        </w:rPr>
        <w:t>questions budgétaires pour les IRR</w:t>
      </w:r>
      <w:r w:rsidRPr="00FD7460">
        <w:rPr>
          <w:lang w:val="fr-CH"/>
        </w:rPr>
        <w:t xml:space="preserve">)  </w:t>
      </w:r>
    </w:p>
    <w:p w14:paraId="10FAA8F7" w14:textId="5FA81600" w:rsidR="00CD3067" w:rsidRPr="00FD7460" w:rsidRDefault="00CD3067" w:rsidP="00CD3067">
      <w:pPr>
        <w:ind w:left="0" w:firstLine="0"/>
        <w:rPr>
          <w:lang w:val="fr-CH"/>
        </w:rPr>
      </w:pPr>
      <w:r w:rsidRPr="00FD7460">
        <w:rPr>
          <w:lang w:val="fr-CH"/>
        </w:rPr>
        <w:t>SC43-21 (</w:t>
      </w:r>
      <w:r w:rsidR="0053635D">
        <w:rPr>
          <w:lang w:val="fr-CH"/>
        </w:rPr>
        <w:t>questions budgétaires, économies potentielles sur les coûts concernant les IRR</w:t>
      </w:r>
      <w:r w:rsidRPr="00FD7460">
        <w:rPr>
          <w:lang w:val="fr-CH"/>
        </w:rPr>
        <w:t xml:space="preserve">)  </w:t>
      </w:r>
    </w:p>
    <w:p w14:paraId="6C3FBE1E" w14:textId="75587385" w:rsidR="003841D5" w:rsidRPr="00FD7460" w:rsidRDefault="003841D5" w:rsidP="00E03A98">
      <w:pPr>
        <w:ind w:left="0" w:firstLine="0"/>
        <w:rPr>
          <w:lang w:val="fr-CH"/>
        </w:rPr>
      </w:pPr>
      <w:r w:rsidRPr="00FD7460">
        <w:rPr>
          <w:lang w:val="fr-CH"/>
        </w:rPr>
        <w:t xml:space="preserve">SC46-13 (i, </w:t>
      </w:r>
      <w:r w:rsidR="0053635D">
        <w:rPr>
          <w:lang w:val="fr-CH"/>
        </w:rPr>
        <w:t>approbation de la liste des IRR</w:t>
      </w:r>
      <w:r w:rsidRPr="00FD7460">
        <w:rPr>
          <w:lang w:val="fr-CH"/>
        </w:rPr>
        <w:t>)</w:t>
      </w:r>
    </w:p>
    <w:p w14:paraId="57484C6A" w14:textId="20CEF029" w:rsidR="003841D5" w:rsidRPr="00FD7460" w:rsidRDefault="0053635D" w:rsidP="003841D5">
      <w:pPr>
        <w:ind w:left="0" w:firstLine="0"/>
        <w:rPr>
          <w:lang w:val="fr-CH"/>
        </w:rPr>
      </w:pPr>
      <w:r>
        <w:rPr>
          <w:lang w:val="fr-CH"/>
        </w:rPr>
        <w:t>SC46-23 (v, questions budgétaires pour les IRR</w:t>
      </w:r>
      <w:r w:rsidR="003841D5" w:rsidRPr="00FD7460">
        <w:rPr>
          <w:lang w:val="fr-CH"/>
        </w:rPr>
        <w:t>)</w:t>
      </w:r>
    </w:p>
    <w:p w14:paraId="1D365D95" w14:textId="0B33DADC" w:rsidR="00E03A98" w:rsidRPr="00FD7460" w:rsidRDefault="00E03A98" w:rsidP="00E03A98">
      <w:pPr>
        <w:ind w:left="0" w:firstLine="0"/>
        <w:rPr>
          <w:lang w:val="fr-CH"/>
        </w:rPr>
      </w:pPr>
      <w:r w:rsidRPr="00FD7460">
        <w:rPr>
          <w:lang w:val="fr-CH"/>
        </w:rPr>
        <w:t>SC47‐26 (</w:t>
      </w:r>
      <w:r w:rsidR="0053635D">
        <w:rPr>
          <w:lang w:val="fr-CH"/>
        </w:rPr>
        <w:t>acceptation des rapports annuels et liste des IRR</w:t>
      </w:r>
      <w:r w:rsidRPr="00FD7460">
        <w:rPr>
          <w:lang w:val="fr-CH"/>
        </w:rPr>
        <w:t>)</w:t>
      </w:r>
    </w:p>
    <w:p w14:paraId="45B823AE" w14:textId="7D9A8E41" w:rsidR="00651313" w:rsidRPr="00FD7460" w:rsidRDefault="00651313" w:rsidP="00651313">
      <w:pPr>
        <w:rPr>
          <w:lang w:val="fr-CH"/>
        </w:rPr>
      </w:pPr>
      <w:r w:rsidRPr="00FD7460">
        <w:rPr>
          <w:lang w:val="fr-CH"/>
        </w:rPr>
        <w:t>SC58-16 (</w:t>
      </w:r>
      <w:r w:rsidR="0053635D">
        <w:rPr>
          <w:lang w:val="fr-CH"/>
        </w:rPr>
        <w:t>questions budgétaires pour les IRR</w:t>
      </w:r>
      <w:r w:rsidRPr="00FD7460">
        <w:rPr>
          <w:lang w:val="fr-CH"/>
        </w:rPr>
        <w:t xml:space="preserve">)  </w:t>
      </w:r>
    </w:p>
    <w:p w14:paraId="4D360D0B" w14:textId="4BBAA018" w:rsidR="00651313" w:rsidRPr="00FD7460" w:rsidRDefault="00651313" w:rsidP="00651313">
      <w:pPr>
        <w:rPr>
          <w:i/>
          <w:iCs/>
          <w:lang w:val="fr-CH"/>
        </w:rPr>
      </w:pPr>
      <w:r w:rsidRPr="00FD7460">
        <w:rPr>
          <w:i/>
          <w:iCs/>
          <w:lang w:val="fr-CH"/>
        </w:rPr>
        <w:t>SC59/2002-XX (</w:t>
      </w:r>
      <w:r w:rsidR="0053635D">
        <w:rPr>
          <w:i/>
          <w:iCs/>
          <w:lang w:val="fr-CH"/>
        </w:rPr>
        <w:t xml:space="preserve">non traitée par le projet de résolution, mais pourrait être ajoutée à la </w:t>
      </w:r>
      <w:r w:rsidRPr="00FD7460">
        <w:rPr>
          <w:i/>
          <w:iCs/>
          <w:lang w:val="fr-CH"/>
        </w:rPr>
        <w:t>COP14)</w:t>
      </w:r>
    </w:p>
    <w:p w14:paraId="2D9F480C" w14:textId="77777777" w:rsidR="00651313" w:rsidRPr="00FD7460" w:rsidRDefault="00651313" w:rsidP="00651313">
      <w:pPr>
        <w:rPr>
          <w:lang w:val="fr-CH"/>
        </w:rPr>
      </w:pPr>
    </w:p>
    <w:p w14:paraId="529BC129" w14:textId="350BD3DA" w:rsidR="00651313" w:rsidRPr="00FD7460" w:rsidRDefault="00651313" w:rsidP="00651313">
      <w:pPr>
        <w:rPr>
          <w:lang w:val="fr-CH"/>
        </w:rPr>
      </w:pPr>
    </w:p>
    <w:p w14:paraId="068E132D" w14:textId="20895A71" w:rsidR="00651313" w:rsidRPr="00FD7460" w:rsidRDefault="0053635D" w:rsidP="00651313">
      <w:pPr>
        <w:ind w:left="0" w:firstLine="0"/>
        <w:rPr>
          <w:bCs/>
          <w:i/>
          <w:lang w:val="fr-CH"/>
        </w:rPr>
      </w:pPr>
      <w:r>
        <w:rPr>
          <w:bCs/>
          <w:i/>
          <w:lang w:val="fr-CH"/>
        </w:rPr>
        <w:t>Décisions du Comité permanent dont la mise en œuvre est incertaine mais pouvant être abrogées :</w:t>
      </w:r>
    </w:p>
    <w:p w14:paraId="21CB1269" w14:textId="5567ACEB" w:rsidR="00651313" w:rsidRPr="00FD7460" w:rsidRDefault="00651313" w:rsidP="00651313">
      <w:pPr>
        <w:rPr>
          <w:lang w:val="fr-CH"/>
        </w:rPr>
      </w:pPr>
    </w:p>
    <w:p w14:paraId="26ADA62C" w14:textId="71E43D9C" w:rsidR="009577A1" w:rsidRPr="00FD7460" w:rsidRDefault="009577A1" w:rsidP="003841D5">
      <w:pPr>
        <w:ind w:left="0" w:firstLine="0"/>
        <w:rPr>
          <w:lang w:val="fr-CH"/>
        </w:rPr>
      </w:pPr>
      <w:r w:rsidRPr="00FD7460">
        <w:rPr>
          <w:lang w:val="fr-CH"/>
        </w:rPr>
        <w:t>SC43-11 (</w:t>
      </w:r>
      <w:r w:rsidR="003B3855">
        <w:rPr>
          <w:lang w:val="fr-CH"/>
        </w:rPr>
        <w:t>évaluation des centres régionaux en Afrique et en Asie</w:t>
      </w:r>
      <w:r w:rsidR="00CD3067" w:rsidRPr="00FD7460">
        <w:rPr>
          <w:lang w:val="fr-CH"/>
        </w:rPr>
        <w:t>)</w:t>
      </w:r>
    </w:p>
    <w:p w14:paraId="0E58956B" w14:textId="64DD7E48" w:rsidR="003841D5" w:rsidRPr="00FD7460" w:rsidRDefault="003841D5" w:rsidP="003841D5">
      <w:pPr>
        <w:ind w:left="0" w:firstLine="0"/>
        <w:rPr>
          <w:lang w:val="fr-CH"/>
        </w:rPr>
      </w:pPr>
      <w:r w:rsidRPr="00FD7460">
        <w:rPr>
          <w:lang w:val="fr-CH"/>
        </w:rPr>
        <w:t xml:space="preserve">SC46-13 (ii, </w:t>
      </w:r>
      <w:r w:rsidR="003B3855">
        <w:rPr>
          <w:lang w:val="fr-CH"/>
        </w:rPr>
        <w:t xml:space="preserve">demander aux IRR de faire rapport sur les </w:t>
      </w:r>
      <w:r w:rsidR="004734FD">
        <w:rPr>
          <w:lang w:val="fr-CH"/>
        </w:rPr>
        <w:t>mesures</w:t>
      </w:r>
      <w:r w:rsidR="003B3855">
        <w:rPr>
          <w:lang w:val="fr-CH"/>
        </w:rPr>
        <w:t xml:space="preserve"> prises pour combler les lacunes</w:t>
      </w:r>
      <w:r w:rsidRPr="00FD7460">
        <w:rPr>
          <w:lang w:val="fr-CH"/>
        </w:rPr>
        <w:t>)</w:t>
      </w:r>
    </w:p>
    <w:p w14:paraId="49BC94AC" w14:textId="2732C78E" w:rsidR="00E03A98" w:rsidRPr="00FD7460" w:rsidRDefault="00E03A98" w:rsidP="008B4CA2">
      <w:pPr>
        <w:rPr>
          <w:lang w:val="fr-CH"/>
        </w:rPr>
      </w:pPr>
      <w:r w:rsidRPr="00FD7460">
        <w:rPr>
          <w:lang w:val="fr-CH"/>
        </w:rPr>
        <w:t xml:space="preserve">SC47‐26 (a, </w:t>
      </w:r>
      <w:r w:rsidR="008B4CA2">
        <w:rPr>
          <w:lang w:val="fr-CH"/>
        </w:rPr>
        <w:t>relier virtuellement les IRR, b, le Secrétariat prié de renforcer la coopération régionale des IRR</w:t>
      </w:r>
      <w:r w:rsidRPr="00FD7460">
        <w:rPr>
          <w:lang w:val="fr-CH"/>
        </w:rPr>
        <w:t>)</w:t>
      </w:r>
    </w:p>
    <w:p w14:paraId="5F888C95" w14:textId="29FB2D70" w:rsidR="00651313" w:rsidRPr="00FD7460" w:rsidRDefault="00651313" w:rsidP="00651313">
      <w:pPr>
        <w:rPr>
          <w:lang w:val="fr-CH"/>
        </w:rPr>
      </w:pPr>
      <w:r w:rsidRPr="00FD7460">
        <w:rPr>
          <w:lang w:val="fr-CH"/>
        </w:rPr>
        <w:t>SC59-28 (</w:t>
      </w:r>
      <w:r w:rsidR="008B4CA2">
        <w:rPr>
          <w:lang w:val="fr-CH"/>
        </w:rPr>
        <w:t>questions budgétaires et étude pour mieux comprendre les IRR</w:t>
      </w:r>
      <w:r w:rsidRPr="00FD7460">
        <w:rPr>
          <w:lang w:val="fr-CH"/>
        </w:rPr>
        <w:t>)</w:t>
      </w:r>
    </w:p>
    <w:p w14:paraId="3A4596D4" w14:textId="50A625E8" w:rsidR="004725FC" w:rsidRPr="00152A81" w:rsidRDefault="004725FC" w:rsidP="006A00E5">
      <w:pPr>
        <w:rPr>
          <w:lang w:val="fr-FR"/>
        </w:rPr>
      </w:pPr>
    </w:p>
    <w:p w14:paraId="74AF8D8C" w14:textId="510D17E8" w:rsidR="004725FC" w:rsidRPr="00152A81" w:rsidRDefault="004725FC" w:rsidP="004725FC">
      <w:pPr>
        <w:rPr>
          <w:lang w:val="fr-FR"/>
        </w:rPr>
        <w:sectPr w:rsidR="004725FC" w:rsidRPr="00152A81" w:rsidSect="00245572">
          <w:footerReference w:type="default" r:id="rId13"/>
          <w:pgSz w:w="11906" w:h="16838"/>
          <w:pgMar w:top="1440" w:right="1440" w:bottom="1440" w:left="1440" w:header="708" w:footer="708" w:gutter="0"/>
          <w:cols w:space="708"/>
          <w:titlePg/>
          <w:docGrid w:linePitch="360"/>
        </w:sectPr>
      </w:pPr>
      <w:bookmarkStart w:id="7" w:name="_Hlk74044597"/>
    </w:p>
    <w:p w14:paraId="0391A31F" w14:textId="4F7A6140" w:rsidR="00146A8B" w:rsidRPr="00152A81" w:rsidRDefault="00146A8B" w:rsidP="00146A8B">
      <w:pPr>
        <w:rPr>
          <w:b/>
          <w:i/>
          <w:lang w:val="fr-FR"/>
        </w:rPr>
      </w:pPr>
      <w:r w:rsidRPr="00152A81">
        <w:rPr>
          <w:b/>
          <w:i/>
          <w:lang w:val="fr-FR"/>
        </w:rPr>
        <w:lastRenderedPageBreak/>
        <w:t>Annex</w:t>
      </w:r>
      <w:r w:rsidR="006F6124" w:rsidRPr="00152A81">
        <w:rPr>
          <w:b/>
          <w:i/>
          <w:lang w:val="fr-FR"/>
        </w:rPr>
        <w:t>e</w:t>
      </w:r>
      <w:r w:rsidRPr="00152A81">
        <w:rPr>
          <w:b/>
          <w:i/>
          <w:lang w:val="fr-FR"/>
        </w:rPr>
        <w:t xml:space="preserve"> II </w:t>
      </w:r>
    </w:p>
    <w:p w14:paraId="16DA0212" w14:textId="49D5CA8D" w:rsidR="00E55F63" w:rsidRDefault="007B7631" w:rsidP="00146A8B">
      <w:pPr>
        <w:rPr>
          <w:b/>
          <w:lang w:val="fr-FR"/>
        </w:rPr>
      </w:pPr>
      <w:r w:rsidRPr="000125C6">
        <w:rPr>
          <w:b/>
          <w:lang w:val="fr-FR"/>
        </w:rPr>
        <w:t>R</w:t>
      </w:r>
      <w:r w:rsidR="000125C6" w:rsidRPr="000125C6">
        <w:rPr>
          <w:b/>
          <w:lang w:val="fr-FR"/>
        </w:rPr>
        <w:t>é</w:t>
      </w:r>
      <w:r w:rsidRPr="000125C6">
        <w:rPr>
          <w:b/>
          <w:lang w:val="fr-FR"/>
        </w:rPr>
        <w:t xml:space="preserve">solutions </w:t>
      </w:r>
      <w:r w:rsidR="000125C6" w:rsidRPr="000125C6">
        <w:rPr>
          <w:b/>
          <w:lang w:val="fr-FR"/>
        </w:rPr>
        <w:t>comprenant des paragraphes relatifs aux IRR</w:t>
      </w:r>
      <w:r w:rsidR="00A85DAB" w:rsidRPr="000125C6">
        <w:rPr>
          <w:b/>
          <w:lang w:val="fr-FR"/>
        </w:rPr>
        <w:t>,</w:t>
      </w:r>
      <w:r w:rsidRPr="000125C6">
        <w:rPr>
          <w:b/>
          <w:lang w:val="fr-FR"/>
        </w:rPr>
        <w:t xml:space="preserve"> </w:t>
      </w:r>
      <w:r w:rsidR="000125C6" w:rsidRPr="000125C6">
        <w:rPr>
          <w:b/>
          <w:lang w:val="fr-FR"/>
        </w:rPr>
        <w:t xml:space="preserve">encore en vigueur au moment de la </w:t>
      </w:r>
      <w:r w:rsidR="00A85DAB" w:rsidRPr="000125C6">
        <w:rPr>
          <w:b/>
          <w:lang w:val="fr-FR"/>
        </w:rPr>
        <w:t xml:space="preserve">COP14, </w:t>
      </w:r>
      <w:r w:rsidR="000125C6" w:rsidRPr="000125C6">
        <w:rPr>
          <w:b/>
          <w:lang w:val="fr-FR"/>
        </w:rPr>
        <w:t>et dont le texte peut être</w:t>
      </w:r>
      <w:r w:rsidR="002C3B0D">
        <w:rPr>
          <w:b/>
          <w:lang w:val="fr-FR"/>
        </w:rPr>
        <w:t xml:space="preserve"> réécrit lors du regroupement</w:t>
      </w:r>
    </w:p>
    <w:p w14:paraId="29C85D37" w14:textId="77777777" w:rsidR="002C3B0D" w:rsidRPr="00152A81" w:rsidRDefault="002C3B0D" w:rsidP="00146A8B">
      <w:pPr>
        <w:rPr>
          <w:b/>
          <w:lang w:val="fr-FR"/>
        </w:rPr>
      </w:pPr>
    </w:p>
    <w:tbl>
      <w:tblPr>
        <w:tblStyle w:val="TableGrid"/>
        <w:tblW w:w="0" w:type="auto"/>
        <w:tblInd w:w="-5" w:type="dxa"/>
        <w:tblLook w:val="04A0" w:firstRow="1" w:lastRow="0" w:firstColumn="1" w:lastColumn="0" w:noHBand="0" w:noVBand="1"/>
      </w:tblPr>
      <w:tblGrid>
        <w:gridCol w:w="2523"/>
        <w:gridCol w:w="8817"/>
        <w:gridCol w:w="2835"/>
      </w:tblGrid>
      <w:tr w:rsidR="00E55F63" w:rsidRPr="00F57666" w14:paraId="71317F73" w14:textId="77777777" w:rsidTr="006E6FA9">
        <w:tc>
          <w:tcPr>
            <w:tcW w:w="2523" w:type="dxa"/>
          </w:tcPr>
          <w:p w14:paraId="205ED5F0" w14:textId="2C574238" w:rsidR="00E55F63" w:rsidRDefault="00E55F63" w:rsidP="00146A8B">
            <w:pPr>
              <w:ind w:left="0" w:firstLine="0"/>
              <w:rPr>
                <w:b/>
                <w:lang w:val="en-US"/>
              </w:rPr>
            </w:pPr>
            <w:r>
              <w:rPr>
                <w:b/>
                <w:lang w:val="en-US"/>
              </w:rPr>
              <w:t>R</w:t>
            </w:r>
            <w:r w:rsidR="002C3B0D">
              <w:rPr>
                <w:b/>
                <w:lang w:val="en-US"/>
              </w:rPr>
              <w:t>é</w:t>
            </w:r>
            <w:r>
              <w:rPr>
                <w:b/>
                <w:lang w:val="en-US"/>
              </w:rPr>
              <w:t>solution</w:t>
            </w:r>
          </w:p>
        </w:tc>
        <w:tc>
          <w:tcPr>
            <w:tcW w:w="8817" w:type="dxa"/>
          </w:tcPr>
          <w:p w14:paraId="7142194C" w14:textId="2FCEA847" w:rsidR="00E55F63" w:rsidRDefault="00E55F63" w:rsidP="00146A8B">
            <w:pPr>
              <w:ind w:left="0" w:firstLine="0"/>
              <w:rPr>
                <w:b/>
                <w:lang w:val="en-US"/>
              </w:rPr>
            </w:pPr>
            <w:r>
              <w:rPr>
                <w:b/>
                <w:lang w:val="en-US"/>
              </w:rPr>
              <w:t>Conten</w:t>
            </w:r>
            <w:r w:rsidR="002C3B0D">
              <w:rPr>
                <w:b/>
                <w:lang w:val="en-US"/>
              </w:rPr>
              <w:t>u sur les IRR</w:t>
            </w:r>
          </w:p>
        </w:tc>
        <w:tc>
          <w:tcPr>
            <w:tcW w:w="2835" w:type="dxa"/>
          </w:tcPr>
          <w:p w14:paraId="0FD172E5" w14:textId="7DE788B3" w:rsidR="00E55F63" w:rsidRPr="00152A81" w:rsidRDefault="002C3B0D" w:rsidP="00146A8B">
            <w:pPr>
              <w:ind w:left="0" w:firstLine="0"/>
              <w:rPr>
                <w:b/>
                <w:lang w:val="fr-FR"/>
              </w:rPr>
            </w:pPr>
            <w:r w:rsidRPr="00152A81">
              <w:rPr>
                <w:b/>
                <w:lang w:val="fr-FR"/>
              </w:rPr>
              <w:t>À traiter de la manière suivante</w:t>
            </w:r>
          </w:p>
        </w:tc>
      </w:tr>
      <w:tr w:rsidR="00E55F63" w:rsidRPr="00F57666" w14:paraId="495FBBBD" w14:textId="77777777" w:rsidTr="006E6FA9">
        <w:tc>
          <w:tcPr>
            <w:tcW w:w="2523" w:type="dxa"/>
          </w:tcPr>
          <w:p w14:paraId="46DEC97B" w14:textId="1CD189A7" w:rsidR="00E55F63" w:rsidRPr="007B72EA" w:rsidRDefault="00E55F63" w:rsidP="00146A8B">
            <w:pPr>
              <w:ind w:left="0" w:firstLine="0"/>
              <w:rPr>
                <w:b/>
                <w:lang w:val="fr-FR"/>
              </w:rPr>
            </w:pPr>
            <w:r w:rsidRPr="007B72EA">
              <w:rPr>
                <w:b/>
                <w:lang w:val="fr-FR"/>
              </w:rPr>
              <w:t>XIII.2</w:t>
            </w:r>
          </w:p>
          <w:p w14:paraId="12F34AD4" w14:textId="14578BEA" w:rsidR="00E55F63" w:rsidRPr="007B72EA" w:rsidRDefault="002C3B0D" w:rsidP="00146A8B">
            <w:pPr>
              <w:ind w:left="0" w:firstLine="0"/>
              <w:rPr>
                <w:b/>
                <w:lang w:val="fr-FR"/>
              </w:rPr>
            </w:pPr>
            <w:r w:rsidRPr="007B72EA">
              <w:rPr>
                <w:bCs/>
                <w:lang w:val="fr-FR"/>
              </w:rPr>
              <w:t>Questions financières et budgétaires</w:t>
            </w:r>
          </w:p>
        </w:tc>
        <w:tc>
          <w:tcPr>
            <w:tcW w:w="8817" w:type="dxa"/>
          </w:tcPr>
          <w:p w14:paraId="0A06218E" w14:textId="22F5670E" w:rsidR="00E55F63" w:rsidRPr="002C3B0D" w:rsidRDefault="00E55F63" w:rsidP="00E55F63">
            <w:pPr>
              <w:pStyle w:val="NormalWeb"/>
              <w:rPr>
                <w:rFonts w:ascii="Calibri" w:hAnsi="Calibri"/>
                <w:sz w:val="22"/>
                <w:szCs w:val="22"/>
              </w:rPr>
            </w:pPr>
            <w:r w:rsidRPr="00152A81">
              <w:rPr>
                <w:rFonts w:ascii="Calibri" w:hAnsi="Calibri"/>
                <w:sz w:val="22"/>
                <w:szCs w:val="22"/>
              </w:rPr>
              <w:t xml:space="preserve">4 </w:t>
            </w:r>
            <w:r w:rsidR="002C3B0D" w:rsidRPr="002C3B0D">
              <w:rPr>
                <w:rFonts w:asciiTheme="minorHAnsi" w:hAnsiTheme="minorHAnsi" w:cstheme="minorHAnsi"/>
                <w:sz w:val="22"/>
                <w:szCs w:val="22"/>
              </w:rPr>
              <w:t>NOTANT AVEC GRATITUDE les contributions financières supplémentaires versées volontairement par nombre de Parties contractantes, notamment celles de Parties contractantes d’Afrique spécifiquement affectées aux Initiatives régionales africaines (conformément au paragraphe 23 de la Résolution X.2, Questions financières et budgétaires), ainsi que les contributions d’organisations non gouvernementales et du secteur privé destinées aux activités du Secrétariat</w:t>
            </w:r>
            <w:r w:rsidR="002C3B0D" w:rsidRPr="002C3B0D">
              <w:t xml:space="preserve"> </w:t>
            </w:r>
            <w:r w:rsidRPr="002C3B0D">
              <w:rPr>
                <w:rFonts w:ascii="Calibri" w:hAnsi="Calibri"/>
                <w:sz w:val="22"/>
                <w:szCs w:val="22"/>
              </w:rPr>
              <w:t xml:space="preserve">; </w:t>
            </w:r>
          </w:p>
          <w:p w14:paraId="2841FB23" w14:textId="6A453F71" w:rsidR="00E55F63" w:rsidRPr="002C3B0D" w:rsidRDefault="00E55F63" w:rsidP="00E55F63">
            <w:pPr>
              <w:pStyle w:val="NormalWeb"/>
              <w:rPr>
                <w:rFonts w:ascii="Calibri" w:hAnsi="Calibri"/>
                <w:sz w:val="22"/>
                <w:szCs w:val="22"/>
              </w:rPr>
            </w:pPr>
            <w:r w:rsidRPr="002C3B0D">
              <w:rPr>
                <w:rFonts w:ascii="Calibri" w:hAnsi="Calibri"/>
                <w:sz w:val="22"/>
                <w:szCs w:val="22"/>
              </w:rPr>
              <w:t xml:space="preserve">24 </w:t>
            </w:r>
            <w:r w:rsidR="002C3B0D" w:rsidRPr="002C3B0D">
              <w:rPr>
                <w:rFonts w:ascii="Calibri" w:hAnsi="Calibri"/>
                <w:sz w:val="22"/>
                <w:szCs w:val="22"/>
              </w:rPr>
              <w:t>CHARGE le Secrétariat de fournir aux Initiatives régionales Ramsar (IRR) en Afrique, sur une base annuelle, le solde disponible du fonds africain de contributions volontaires</w:t>
            </w:r>
            <w:r w:rsidR="002C3B0D">
              <w:rPr>
                <w:rFonts w:ascii="Calibri" w:hAnsi="Calibri"/>
                <w:sz w:val="22"/>
                <w:szCs w:val="22"/>
              </w:rPr>
              <w:t xml:space="preserve"> </w:t>
            </w:r>
            <w:r w:rsidR="002C3B0D" w:rsidRPr="002C3B0D">
              <w:rPr>
                <w:rFonts w:ascii="Calibri" w:hAnsi="Calibri"/>
                <w:sz w:val="22"/>
                <w:szCs w:val="22"/>
              </w:rPr>
              <w:t xml:space="preserve">; et INVITE ces IRR à soumettre au Secrétariat, dans leurs rapports, des demandes d'accès aux fonds disponibles, conformément aux dispositions de la Résolution XIII.9, </w:t>
            </w:r>
            <w:r w:rsidR="002C3B0D" w:rsidRPr="002C3B0D">
              <w:rPr>
                <w:rFonts w:ascii="Calibri" w:hAnsi="Calibri"/>
                <w:i/>
                <w:iCs/>
                <w:sz w:val="22"/>
                <w:szCs w:val="22"/>
              </w:rPr>
              <w:t>Les Initiatives régionales Ramsar 2019-2021</w:t>
            </w:r>
            <w:r w:rsidR="00152A81">
              <w:rPr>
                <w:rFonts w:ascii="Calibri" w:hAnsi="Calibri"/>
                <w:sz w:val="22"/>
                <w:szCs w:val="22"/>
              </w:rPr>
              <w:t> </w:t>
            </w:r>
            <w:r w:rsidRPr="002C3B0D">
              <w:rPr>
                <w:rFonts w:ascii="Calibri" w:hAnsi="Calibri"/>
                <w:sz w:val="22"/>
                <w:szCs w:val="22"/>
              </w:rPr>
              <w:t xml:space="preserve">; </w:t>
            </w:r>
          </w:p>
          <w:p w14:paraId="1A8A57CC" w14:textId="6C082658" w:rsidR="00E55F63" w:rsidRPr="00152A81" w:rsidRDefault="00E55F63" w:rsidP="007B72EA">
            <w:pPr>
              <w:ind w:left="0" w:firstLine="0"/>
              <w:rPr>
                <w:b/>
                <w:lang w:val="fr-FR"/>
              </w:rPr>
            </w:pPr>
            <w:r w:rsidRPr="002C3B0D">
              <w:rPr>
                <w:color w:val="232323"/>
                <w:lang w:val="fr-FR"/>
              </w:rPr>
              <w:t xml:space="preserve">26 </w:t>
            </w:r>
            <w:r w:rsidR="002C3B0D" w:rsidRPr="002C3B0D">
              <w:rPr>
                <w:color w:val="232323"/>
                <w:lang w:val="fr-FR"/>
              </w:rPr>
              <w:t>CHARGE le Secrétariat, dans le cadre juridique et dans les limites de son mandat actuels d’aider,</w:t>
            </w:r>
            <w:r w:rsidR="007B72EA">
              <w:rPr>
                <w:color w:val="232323"/>
                <w:lang w:val="fr-FR"/>
              </w:rPr>
              <w:t xml:space="preserve"> </w:t>
            </w:r>
            <w:r w:rsidR="002C3B0D" w:rsidRPr="002C3B0D">
              <w:rPr>
                <w:color w:val="232323"/>
                <w:lang w:val="fr-FR"/>
              </w:rPr>
              <w:t>comme il convient, les Parties contractantes à administrer les projets financés par des fonds</w:t>
            </w:r>
            <w:r w:rsidR="007B72EA">
              <w:rPr>
                <w:color w:val="232323"/>
                <w:lang w:val="fr-FR"/>
              </w:rPr>
              <w:t xml:space="preserve"> </w:t>
            </w:r>
            <w:r w:rsidR="002C3B0D" w:rsidRPr="002C3B0D">
              <w:rPr>
                <w:color w:val="232323"/>
                <w:lang w:val="fr-FR"/>
              </w:rPr>
              <w:t>non administratifs, y compris, sans toutefois s’y limiter, les appels de fonds pour les Initiatives</w:t>
            </w:r>
            <w:r w:rsidR="007B72EA">
              <w:rPr>
                <w:color w:val="232323"/>
                <w:lang w:val="fr-FR"/>
              </w:rPr>
              <w:t xml:space="preserve"> </w:t>
            </w:r>
            <w:r w:rsidR="002C3B0D" w:rsidRPr="002C3B0D">
              <w:rPr>
                <w:color w:val="232323"/>
                <w:lang w:val="fr-FR"/>
              </w:rPr>
              <w:t>régionales Ramsar; et DONNE INSTRUCTION au personnel du Secrétariat décrit dans l’Annexe 4,</w:t>
            </w:r>
            <w:r w:rsidR="007B72EA">
              <w:rPr>
                <w:color w:val="232323"/>
                <w:lang w:val="fr-FR"/>
              </w:rPr>
              <w:t xml:space="preserve"> </w:t>
            </w:r>
            <w:r w:rsidR="002C3B0D" w:rsidRPr="002C3B0D">
              <w:rPr>
                <w:color w:val="232323"/>
                <w:lang w:val="fr-FR"/>
              </w:rPr>
              <w:t>rémunéré par des fonds administratifs, de ne pas prendre part à l’administration quotidienne</w:t>
            </w:r>
            <w:r w:rsidR="007B72EA">
              <w:rPr>
                <w:color w:val="232323"/>
                <w:lang w:val="fr-FR"/>
              </w:rPr>
              <w:t xml:space="preserve"> </w:t>
            </w:r>
            <w:r w:rsidR="002C3B0D" w:rsidRPr="002C3B0D">
              <w:rPr>
                <w:color w:val="232323"/>
                <w:lang w:val="fr-FR"/>
              </w:rPr>
              <w:t>des projets financés par des fonds non administratifs car ce rôle incombe au personnel du</w:t>
            </w:r>
            <w:r w:rsidR="007B72EA">
              <w:rPr>
                <w:color w:val="232323"/>
                <w:lang w:val="fr-FR"/>
              </w:rPr>
              <w:t xml:space="preserve"> </w:t>
            </w:r>
            <w:r w:rsidR="002C3B0D" w:rsidRPr="002C3B0D">
              <w:rPr>
                <w:color w:val="232323"/>
                <w:lang w:val="fr-FR"/>
              </w:rPr>
              <w:t>Secrétariat rémunéré à ces fins par des fonds non administratifs</w:t>
            </w:r>
            <w:r w:rsidRPr="002C3B0D">
              <w:rPr>
                <w:color w:val="232323"/>
                <w:lang w:val="fr-FR"/>
              </w:rPr>
              <w:t>.</w:t>
            </w:r>
          </w:p>
        </w:tc>
        <w:tc>
          <w:tcPr>
            <w:tcW w:w="2835" w:type="dxa"/>
          </w:tcPr>
          <w:p w14:paraId="4856EA1A" w14:textId="280855AD" w:rsidR="00E55F63" w:rsidRPr="00071927" w:rsidRDefault="00071927" w:rsidP="00146A8B">
            <w:pPr>
              <w:ind w:left="0" w:firstLine="0"/>
              <w:rPr>
                <w:bCs/>
                <w:lang w:val="fr-FR"/>
              </w:rPr>
            </w:pPr>
            <w:r w:rsidRPr="00071927">
              <w:rPr>
                <w:bCs/>
                <w:lang w:val="fr-FR"/>
              </w:rPr>
              <w:t>La</w:t>
            </w:r>
            <w:r w:rsidR="00E55F63" w:rsidRPr="00071927">
              <w:rPr>
                <w:bCs/>
                <w:lang w:val="fr-FR"/>
              </w:rPr>
              <w:t xml:space="preserve"> </w:t>
            </w:r>
            <w:r w:rsidRPr="00071927">
              <w:rPr>
                <w:bCs/>
                <w:lang w:val="fr-FR"/>
              </w:rPr>
              <w:t>résolution</w:t>
            </w:r>
            <w:r w:rsidR="00E55F63" w:rsidRPr="00071927">
              <w:rPr>
                <w:bCs/>
                <w:lang w:val="fr-FR"/>
              </w:rPr>
              <w:t xml:space="preserve"> </w:t>
            </w:r>
            <w:r w:rsidRPr="00071927">
              <w:rPr>
                <w:bCs/>
                <w:lang w:val="fr-FR"/>
              </w:rPr>
              <w:t>sera remplacée à la</w:t>
            </w:r>
            <w:r w:rsidR="00E55F63" w:rsidRPr="00071927">
              <w:rPr>
                <w:bCs/>
                <w:lang w:val="fr-FR"/>
              </w:rPr>
              <w:t xml:space="preserve"> COP14, </w:t>
            </w:r>
            <w:r>
              <w:rPr>
                <w:bCs/>
                <w:lang w:val="fr-FR"/>
              </w:rPr>
              <w:t>le contenu de la nouvelle</w:t>
            </w:r>
            <w:r w:rsidR="00E55F63" w:rsidRPr="00071927">
              <w:rPr>
                <w:bCs/>
                <w:lang w:val="fr-FR"/>
              </w:rPr>
              <w:t xml:space="preserve"> </w:t>
            </w:r>
            <w:r w:rsidRPr="00071927">
              <w:rPr>
                <w:bCs/>
                <w:lang w:val="fr-FR"/>
              </w:rPr>
              <w:t>résolution</w:t>
            </w:r>
            <w:r w:rsidR="00E55F63" w:rsidRPr="00071927">
              <w:rPr>
                <w:bCs/>
                <w:lang w:val="fr-FR"/>
              </w:rPr>
              <w:t xml:space="preserve"> </w:t>
            </w:r>
            <w:r>
              <w:rPr>
                <w:bCs/>
                <w:lang w:val="fr-FR"/>
              </w:rPr>
              <w:t>pourrait être semblable à celui des paragraphes</w:t>
            </w:r>
            <w:r w:rsidR="00E55F63" w:rsidRPr="00071927">
              <w:rPr>
                <w:bCs/>
                <w:lang w:val="fr-FR"/>
              </w:rPr>
              <w:t xml:space="preserve"> 4 </w:t>
            </w:r>
            <w:r>
              <w:rPr>
                <w:bCs/>
                <w:lang w:val="fr-FR"/>
              </w:rPr>
              <w:t>et</w:t>
            </w:r>
            <w:r w:rsidR="00E55F63" w:rsidRPr="00071927">
              <w:rPr>
                <w:bCs/>
                <w:lang w:val="fr-FR"/>
              </w:rPr>
              <w:t xml:space="preserve"> 24, </w:t>
            </w:r>
            <w:r w:rsidR="008D6B86">
              <w:rPr>
                <w:bCs/>
                <w:lang w:val="fr-FR"/>
              </w:rPr>
              <w:t xml:space="preserve">mais le contenu du paragraphe </w:t>
            </w:r>
            <w:r w:rsidR="00E55F63" w:rsidRPr="00071927">
              <w:rPr>
                <w:bCs/>
                <w:lang w:val="fr-FR"/>
              </w:rPr>
              <w:t xml:space="preserve">26 </w:t>
            </w:r>
            <w:r w:rsidR="008D6B86">
              <w:rPr>
                <w:bCs/>
                <w:lang w:val="fr-FR"/>
              </w:rPr>
              <w:t>doit être réécrit pour être conforme au texte de la Ré</w:t>
            </w:r>
            <w:r w:rsidR="00275302" w:rsidRPr="00071927">
              <w:rPr>
                <w:bCs/>
                <w:lang w:val="fr-FR"/>
              </w:rPr>
              <w:t>solution XIV.XX</w:t>
            </w:r>
            <w:r w:rsidR="00E55F63" w:rsidRPr="00071927">
              <w:rPr>
                <w:bCs/>
                <w:lang w:val="fr-FR"/>
              </w:rPr>
              <w:t xml:space="preserve"> </w:t>
            </w:r>
            <w:r w:rsidR="008F31B6" w:rsidRPr="008F31B6">
              <w:rPr>
                <w:bCs/>
                <w:i/>
                <w:iCs/>
                <w:lang w:val="fr-FR"/>
              </w:rPr>
              <w:t>Les</w:t>
            </w:r>
            <w:r w:rsidR="008F31B6">
              <w:rPr>
                <w:bCs/>
                <w:lang w:val="fr-FR"/>
              </w:rPr>
              <w:t xml:space="preserve"> </w:t>
            </w:r>
            <w:r w:rsidR="00275302" w:rsidRPr="00071927">
              <w:rPr>
                <w:bCs/>
                <w:i/>
                <w:iCs/>
                <w:lang w:val="fr-FR"/>
              </w:rPr>
              <w:t>Initiatives</w:t>
            </w:r>
            <w:r w:rsidR="008D6B86" w:rsidRPr="00071927">
              <w:rPr>
                <w:bCs/>
                <w:i/>
                <w:iCs/>
                <w:lang w:val="fr-FR"/>
              </w:rPr>
              <w:t xml:space="preserve"> </w:t>
            </w:r>
            <w:r w:rsidR="008D6B86">
              <w:rPr>
                <w:bCs/>
                <w:i/>
                <w:iCs/>
                <w:lang w:val="fr-FR"/>
              </w:rPr>
              <w:t>ré</w:t>
            </w:r>
            <w:r w:rsidR="008D6B86" w:rsidRPr="00071927">
              <w:rPr>
                <w:bCs/>
                <w:i/>
                <w:iCs/>
                <w:lang w:val="fr-FR"/>
              </w:rPr>
              <w:t>gional</w:t>
            </w:r>
            <w:r w:rsidR="008D6B86">
              <w:rPr>
                <w:bCs/>
                <w:i/>
                <w:iCs/>
                <w:lang w:val="fr-FR"/>
              </w:rPr>
              <w:t>es</w:t>
            </w:r>
            <w:r w:rsidR="008D6B86" w:rsidRPr="00071927">
              <w:rPr>
                <w:bCs/>
                <w:i/>
                <w:iCs/>
                <w:lang w:val="fr-FR"/>
              </w:rPr>
              <w:t xml:space="preserve"> Ramsar</w:t>
            </w:r>
            <w:r w:rsidR="00275302" w:rsidRPr="00071927">
              <w:rPr>
                <w:bCs/>
                <w:i/>
                <w:iCs/>
                <w:lang w:val="fr-FR"/>
              </w:rPr>
              <w:t xml:space="preserve"> – </w:t>
            </w:r>
            <w:r w:rsidR="004734FD">
              <w:rPr>
                <w:bCs/>
                <w:i/>
                <w:iCs/>
                <w:lang w:val="fr-FR"/>
              </w:rPr>
              <w:t>L</w:t>
            </w:r>
            <w:r w:rsidR="008D6B86">
              <w:rPr>
                <w:bCs/>
                <w:i/>
                <w:iCs/>
                <w:lang w:val="fr-FR"/>
              </w:rPr>
              <w:t>es fondamentaux</w:t>
            </w:r>
            <w:r w:rsidR="00275302" w:rsidRPr="00071927">
              <w:rPr>
                <w:bCs/>
                <w:i/>
                <w:iCs/>
                <w:lang w:val="fr-FR"/>
              </w:rPr>
              <w:t>.</w:t>
            </w:r>
          </w:p>
        </w:tc>
      </w:tr>
      <w:tr w:rsidR="00275302" w:rsidRPr="00F57666" w14:paraId="496A18DC" w14:textId="77777777" w:rsidTr="006E6FA9">
        <w:tc>
          <w:tcPr>
            <w:tcW w:w="2523" w:type="dxa"/>
          </w:tcPr>
          <w:p w14:paraId="088A3D57" w14:textId="77777777" w:rsidR="00275302" w:rsidRPr="007B72EA" w:rsidRDefault="00275302" w:rsidP="00275302">
            <w:pPr>
              <w:ind w:left="0" w:firstLine="0"/>
              <w:rPr>
                <w:b/>
                <w:bCs/>
                <w:lang w:val="fr-FR"/>
              </w:rPr>
            </w:pPr>
            <w:r w:rsidRPr="007B72EA">
              <w:rPr>
                <w:b/>
                <w:bCs/>
                <w:lang w:val="fr-FR"/>
              </w:rPr>
              <w:t xml:space="preserve">XIII.5 </w:t>
            </w:r>
          </w:p>
          <w:p w14:paraId="78B228C2" w14:textId="5829286C" w:rsidR="00275302" w:rsidRPr="007B72EA" w:rsidRDefault="007B72EA" w:rsidP="00275302">
            <w:pPr>
              <w:ind w:left="0" w:firstLine="0"/>
              <w:rPr>
                <w:b/>
                <w:lang w:val="fr-FR"/>
              </w:rPr>
            </w:pPr>
            <w:r w:rsidRPr="007B72EA">
              <w:rPr>
                <w:lang w:val="fr-FR"/>
              </w:rPr>
              <w:t>Révision du quatrième Plan stratégique de la Convention de Ramsar</w:t>
            </w:r>
          </w:p>
        </w:tc>
        <w:tc>
          <w:tcPr>
            <w:tcW w:w="8817" w:type="dxa"/>
          </w:tcPr>
          <w:p w14:paraId="65D29847" w14:textId="1011B5F8" w:rsidR="00275302" w:rsidRPr="007B72EA" w:rsidRDefault="00275302" w:rsidP="00275302">
            <w:pPr>
              <w:ind w:left="0" w:firstLine="0"/>
              <w:rPr>
                <w:b/>
                <w:lang w:val="fr-FR"/>
              </w:rPr>
            </w:pPr>
            <w:r w:rsidRPr="007B72EA">
              <w:rPr>
                <w:lang w:val="fr-FR"/>
              </w:rPr>
              <w:t xml:space="preserve">11 </w:t>
            </w:r>
            <w:r w:rsidR="007B72EA" w:rsidRPr="007B72EA">
              <w:rPr>
                <w:lang w:val="fr-FR"/>
              </w:rPr>
              <w:t xml:space="preserve">EXPRIMANT SON APPRÉCIATION pour l’appui fourni aux Parties, en matière d’application du Plan stratégique, par les Initiatives régionales Ramsar, les organisations intergouvernementales, les Organisations internationales partenaires et les organisations non gouvernementales </w:t>
            </w:r>
            <w:r w:rsidRPr="007B72EA">
              <w:rPr>
                <w:lang w:val="fr-FR"/>
              </w:rPr>
              <w:t xml:space="preserve">; </w:t>
            </w:r>
            <w:r w:rsidR="007B72EA" w:rsidRPr="007B72EA">
              <w:rPr>
                <w:lang w:val="fr-FR"/>
              </w:rPr>
              <w:t>et</w:t>
            </w:r>
          </w:p>
        </w:tc>
        <w:tc>
          <w:tcPr>
            <w:tcW w:w="2835" w:type="dxa"/>
          </w:tcPr>
          <w:p w14:paraId="5B28DB18" w14:textId="768A9564" w:rsidR="00275302" w:rsidRPr="00152A81" w:rsidRDefault="008D6B86" w:rsidP="00275302">
            <w:pPr>
              <w:ind w:left="0" w:firstLine="0"/>
              <w:rPr>
                <w:b/>
                <w:lang w:val="fr-FR"/>
              </w:rPr>
            </w:pPr>
            <w:r w:rsidRPr="008D6B86">
              <w:rPr>
                <w:bCs/>
                <w:lang w:val="fr-FR"/>
              </w:rPr>
              <w:t>La résolution sera remplacée à la COP14, le contenu de la nouvelle résolution pourrait être semblable mais doit être réécrit pour être conforme au paragraphe 7 de la Rés</w:t>
            </w:r>
            <w:r w:rsidR="00275302" w:rsidRPr="008D6B86">
              <w:rPr>
                <w:bCs/>
                <w:lang w:val="fr-FR"/>
              </w:rPr>
              <w:t>olution</w:t>
            </w:r>
            <w:r w:rsidR="00275302" w:rsidRPr="00152A81">
              <w:rPr>
                <w:bCs/>
                <w:lang w:val="fr-FR"/>
              </w:rPr>
              <w:t xml:space="preserve"> XIV.XX </w:t>
            </w:r>
            <w:r w:rsidR="008F31B6" w:rsidRPr="00152A81">
              <w:rPr>
                <w:bCs/>
                <w:i/>
                <w:iCs/>
                <w:lang w:val="fr-FR"/>
              </w:rPr>
              <w:t>Les</w:t>
            </w:r>
            <w:r w:rsidR="008F31B6" w:rsidRPr="00152A81">
              <w:rPr>
                <w:bCs/>
                <w:lang w:val="fr-FR"/>
              </w:rPr>
              <w:t xml:space="preserve"> </w:t>
            </w:r>
            <w:r w:rsidRPr="00071927">
              <w:rPr>
                <w:bCs/>
                <w:i/>
                <w:iCs/>
                <w:lang w:val="fr-FR"/>
              </w:rPr>
              <w:t xml:space="preserve">Initiatives </w:t>
            </w:r>
            <w:r>
              <w:rPr>
                <w:bCs/>
                <w:i/>
                <w:iCs/>
                <w:lang w:val="fr-FR"/>
              </w:rPr>
              <w:t>ré</w:t>
            </w:r>
            <w:r w:rsidRPr="00071927">
              <w:rPr>
                <w:bCs/>
                <w:i/>
                <w:iCs/>
                <w:lang w:val="fr-FR"/>
              </w:rPr>
              <w:t>gional</w:t>
            </w:r>
            <w:r>
              <w:rPr>
                <w:bCs/>
                <w:i/>
                <w:iCs/>
                <w:lang w:val="fr-FR"/>
              </w:rPr>
              <w:t>es</w:t>
            </w:r>
            <w:r w:rsidRPr="00071927">
              <w:rPr>
                <w:bCs/>
                <w:i/>
                <w:iCs/>
                <w:lang w:val="fr-FR"/>
              </w:rPr>
              <w:t xml:space="preserve"> Ramsar </w:t>
            </w:r>
            <w:r w:rsidRPr="00071927">
              <w:rPr>
                <w:bCs/>
                <w:i/>
                <w:iCs/>
                <w:lang w:val="fr-FR"/>
              </w:rPr>
              <w:lastRenderedPageBreak/>
              <w:t xml:space="preserve">– </w:t>
            </w:r>
            <w:r w:rsidR="004734FD">
              <w:rPr>
                <w:bCs/>
                <w:i/>
                <w:iCs/>
                <w:lang w:val="fr-FR"/>
              </w:rPr>
              <w:t xml:space="preserve">Les </w:t>
            </w:r>
            <w:r>
              <w:rPr>
                <w:bCs/>
                <w:i/>
                <w:iCs/>
                <w:lang w:val="fr-FR"/>
              </w:rPr>
              <w:t>fondamentaux</w:t>
            </w:r>
            <w:r w:rsidRPr="00071927">
              <w:rPr>
                <w:bCs/>
                <w:i/>
                <w:iCs/>
                <w:lang w:val="fr-FR"/>
              </w:rPr>
              <w:t>.</w:t>
            </w:r>
          </w:p>
        </w:tc>
      </w:tr>
      <w:tr w:rsidR="00275302" w:rsidRPr="00F57666" w14:paraId="2545C134" w14:textId="77777777" w:rsidTr="006E6FA9">
        <w:tc>
          <w:tcPr>
            <w:tcW w:w="2523" w:type="dxa"/>
          </w:tcPr>
          <w:p w14:paraId="74B9FA01" w14:textId="77777777" w:rsidR="00275302" w:rsidRPr="00A868BC" w:rsidRDefault="00275302" w:rsidP="00275302">
            <w:pPr>
              <w:ind w:left="0" w:firstLine="0"/>
              <w:rPr>
                <w:b/>
                <w:bCs/>
                <w:lang w:val="fr-FR"/>
              </w:rPr>
            </w:pPr>
            <w:r w:rsidRPr="00A868BC">
              <w:rPr>
                <w:b/>
                <w:bCs/>
                <w:lang w:val="fr-FR"/>
              </w:rPr>
              <w:lastRenderedPageBreak/>
              <w:t xml:space="preserve">XIII.7 </w:t>
            </w:r>
          </w:p>
          <w:p w14:paraId="06489468" w14:textId="41A1405D" w:rsidR="00275302" w:rsidRPr="00A868BC" w:rsidRDefault="00A868BC" w:rsidP="00275302">
            <w:pPr>
              <w:ind w:left="0" w:firstLine="0"/>
              <w:rPr>
                <w:b/>
                <w:lang w:val="fr-FR"/>
              </w:rPr>
            </w:pPr>
            <w:r w:rsidRPr="00A868BC">
              <w:rPr>
                <w:lang w:val="fr-FR"/>
              </w:rPr>
              <w:t>Renforcer la visibilité de la Convention et les synergies avec d’autres accords multilatéraux sur l’environnement et institutions internationales</w:t>
            </w:r>
          </w:p>
        </w:tc>
        <w:tc>
          <w:tcPr>
            <w:tcW w:w="8817" w:type="dxa"/>
          </w:tcPr>
          <w:p w14:paraId="2971FD26" w14:textId="37E36A74" w:rsidR="00275302" w:rsidRPr="00A868BC" w:rsidRDefault="00275302" w:rsidP="00275302">
            <w:pPr>
              <w:ind w:left="0" w:firstLine="0"/>
              <w:rPr>
                <w:b/>
                <w:lang w:val="fr-FR"/>
              </w:rPr>
            </w:pPr>
            <w:r w:rsidRPr="00A868BC">
              <w:rPr>
                <w:lang w:val="fr-FR"/>
              </w:rPr>
              <w:t xml:space="preserve">1 </w:t>
            </w:r>
            <w:r w:rsidR="00A868BC" w:rsidRPr="00A868BC">
              <w:rPr>
                <w:lang w:val="fr-FR"/>
              </w:rPr>
              <w:t xml:space="preserve">RAPPELANT que dans ses paragraphes 17 et 18, la Résolution XI.1, </w:t>
            </w:r>
            <w:r w:rsidR="00A868BC" w:rsidRPr="00A868BC">
              <w:rPr>
                <w:i/>
                <w:iCs/>
                <w:lang w:val="fr-FR"/>
              </w:rPr>
              <w:t>Accueil institutionnel du Secrétariat Ramsar</w:t>
            </w:r>
            <w:r w:rsidR="00A868BC" w:rsidRPr="00A868BC">
              <w:rPr>
                <w:lang w:val="fr-FR"/>
              </w:rPr>
              <w:t xml:space="preserve">, donne instruction au Comité permanent et aux Parties contractantes d’élaborer des stratégies pour étudier l’intégration des langues des Nations Unies dans la Convention, le renforcement de la visibilité et de la stature de la Convention, en particulier par l’amélioration de l’engagement politique de haut niveau dans ses travaux aux niveaux national, régional et mondial, le renforcement des synergies avec les accords multilatéraux sur l’environnement (AME) et autres entités internationales, </w:t>
            </w:r>
            <w:r w:rsidR="00A868BC" w:rsidRPr="0039372D">
              <w:rPr>
                <w:b/>
                <w:bCs/>
                <w:lang w:val="fr-FR"/>
              </w:rPr>
              <w:t>notamment dans le cadre des initiatives régionales</w:t>
            </w:r>
            <w:r w:rsidR="00A868BC" w:rsidRPr="00A868BC">
              <w:rPr>
                <w:lang w:val="fr-FR"/>
              </w:rPr>
              <w:t>, et la participation accrue aux initiatives et programmes du Programme des Nations Unies pour l’environnement (PNUE) ;</w:t>
            </w:r>
            <w:r w:rsidRPr="00A868BC">
              <w:rPr>
                <w:lang w:val="fr-FR"/>
              </w:rPr>
              <w:t xml:space="preserve"> </w:t>
            </w:r>
          </w:p>
        </w:tc>
        <w:tc>
          <w:tcPr>
            <w:tcW w:w="2835" w:type="dxa"/>
          </w:tcPr>
          <w:p w14:paraId="15096A75" w14:textId="224C5A3F" w:rsidR="00275302" w:rsidRPr="008D6B86" w:rsidRDefault="008D6B86" w:rsidP="00275302">
            <w:pPr>
              <w:ind w:left="0" w:firstLine="0"/>
              <w:rPr>
                <w:bCs/>
                <w:lang w:val="fr-FR"/>
              </w:rPr>
            </w:pPr>
            <w:r w:rsidRPr="008D6B86">
              <w:rPr>
                <w:bCs/>
                <w:lang w:val="fr-FR"/>
              </w:rPr>
              <w:t>Le texte en gras peut être supprimé</w:t>
            </w:r>
            <w:r w:rsidR="00BF55AD" w:rsidRPr="008D6B86">
              <w:rPr>
                <w:bCs/>
                <w:lang w:val="fr-FR"/>
              </w:rPr>
              <w:t xml:space="preserve"> </w:t>
            </w:r>
            <w:r w:rsidRPr="008D6B86">
              <w:rPr>
                <w:bCs/>
                <w:lang w:val="fr-FR"/>
              </w:rPr>
              <w:t xml:space="preserve">lors du processus de regroupement des </w:t>
            </w:r>
            <w:r w:rsidR="009F25B7" w:rsidRPr="008D6B86">
              <w:rPr>
                <w:bCs/>
                <w:lang w:val="fr-FR"/>
              </w:rPr>
              <w:t>r</w:t>
            </w:r>
            <w:r w:rsidRPr="008D6B86">
              <w:rPr>
                <w:bCs/>
                <w:lang w:val="fr-FR"/>
              </w:rPr>
              <w:t>é</w:t>
            </w:r>
            <w:r w:rsidR="009F25B7" w:rsidRPr="008D6B86">
              <w:rPr>
                <w:bCs/>
                <w:lang w:val="fr-FR"/>
              </w:rPr>
              <w:t>solution</w:t>
            </w:r>
            <w:r w:rsidRPr="008D6B86">
              <w:rPr>
                <w:bCs/>
                <w:lang w:val="fr-FR"/>
              </w:rPr>
              <w:t>s</w:t>
            </w:r>
            <w:r w:rsidR="00BF55AD" w:rsidRPr="008D6B86">
              <w:rPr>
                <w:bCs/>
                <w:lang w:val="fr-FR"/>
              </w:rPr>
              <w:t>.</w:t>
            </w:r>
          </w:p>
        </w:tc>
      </w:tr>
      <w:tr w:rsidR="00275302" w:rsidRPr="00F57666" w14:paraId="7F98A01E" w14:textId="77777777" w:rsidTr="006E6FA9">
        <w:tc>
          <w:tcPr>
            <w:tcW w:w="2523" w:type="dxa"/>
          </w:tcPr>
          <w:p w14:paraId="57D1F649" w14:textId="77777777" w:rsidR="00275302" w:rsidRPr="0039372D" w:rsidRDefault="00275302" w:rsidP="00275302">
            <w:pPr>
              <w:ind w:left="0" w:firstLine="0"/>
              <w:rPr>
                <w:b/>
                <w:bCs/>
                <w:lang w:val="fr-FR"/>
              </w:rPr>
            </w:pPr>
            <w:r w:rsidRPr="0039372D">
              <w:rPr>
                <w:b/>
                <w:bCs/>
                <w:lang w:val="fr-FR"/>
              </w:rPr>
              <w:t xml:space="preserve">XIII.15 </w:t>
            </w:r>
          </w:p>
          <w:p w14:paraId="0011B24C" w14:textId="18E92B62" w:rsidR="00275302" w:rsidRPr="0039372D" w:rsidRDefault="004B1111" w:rsidP="00275302">
            <w:pPr>
              <w:ind w:left="0" w:firstLine="0"/>
              <w:rPr>
                <w:b/>
                <w:lang w:val="fr-FR"/>
              </w:rPr>
            </w:pPr>
            <w:r w:rsidRPr="0039372D">
              <w:rPr>
                <w:lang w:val="fr-FR"/>
              </w:rPr>
              <w:t>Valeurs culturelles et pratiques des peuples autochtones et des communautés locales, et leur contribution à l’atténuation des changements climatiques et à l’adaptation à ces changements dans les zones humides</w:t>
            </w:r>
          </w:p>
        </w:tc>
        <w:tc>
          <w:tcPr>
            <w:tcW w:w="8817" w:type="dxa"/>
          </w:tcPr>
          <w:p w14:paraId="40FE79E5" w14:textId="0B4EFAF8" w:rsidR="00275302" w:rsidRPr="0039372D" w:rsidRDefault="00275302" w:rsidP="00275302">
            <w:pPr>
              <w:pStyle w:val="NormalWeb"/>
              <w:rPr>
                <w:rFonts w:ascii="Calibri" w:hAnsi="Calibri"/>
                <w:sz w:val="22"/>
                <w:szCs w:val="22"/>
              </w:rPr>
            </w:pPr>
            <w:r w:rsidRPr="0039372D">
              <w:rPr>
                <w:rFonts w:ascii="Calibri" w:hAnsi="Calibri"/>
                <w:sz w:val="22"/>
                <w:szCs w:val="22"/>
              </w:rPr>
              <w:t xml:space="preserve">16 </w:t>
            </w:r>
            <w:r w:rsidR="004B1111" w:rsidRPr="0039372D">
              <w:rPr>
                <w:rFonts w:ascii="Calibri" w:hAnsi="Calibri"/>
                <w:sz w:val="22"/>
                <w:szCs w:val="22"/>
              </w:rPr>
              <w:t xml:space="preserve">ENCOURAGE les Parties contractantes, le Secrétariat de la Convention de Ramsar </w:t>
            </w:r>
            <w:r w:rsidR="004B1111" w:rsidRPr="0039372D">
              <w:rPr>
                <w:rFonts w:ascii="Calibri" w:hAnsi="Calibri"/>
                <w:b/>
                <w:bCs/>
                <w:sz w:val="22"/>
                <w:szCs w:val="22"/>
              </w:rPr>
              <w:t>et les Initiatives régionales Ramsar</w:t>
            </w:r>
            <w:r w:rsidR="004B1111" w:rsidRPr="0039372D">
              <w:rPr>
                <w:rFonts w:ascii="Calibri" w:hAnsi="Calibri"/>
                <w:sz w:val="22"/>
                <w:szCs w:val="22"/>
              </w:rPr>
              <w:t>, et INVITE les organisations et réseaux intéressés, à protéger, soutenir et promouvoir l’utilisation des valeurs culturelles, des connaissances traditionnelles, des innovations et des pratiques des peuples autochtones et des communautés locales qui peuvent contribuer à l’adaptation aux impacts de plus en plus négatifs des changements climatiques, en prenant en considération les groupes vulnérables, les communautés et les écosystèmes</w:t>
            </w:r>
            <w:r w:rsidR="0039372D" w:rsidRPr="0039372D">
              <w:rPr>
                <w:rFonts w:ascii="Calibri" w:hAnsi="Calibri"/>
                <w:sz w:val="22"/>
                <w:szCs w:val="22"/>
              </w:rPr>
              <w:t xml:space="preserve"> </w:t>
            </w:r>
            <w:r w:rsidRPr="0039372D">
              <w:rPr>
                <w:rFonts w:ascii="Calibri" w:hAnsi="Calibri"/>
                <w:sz w:val="22"/>
                <w:szCs w:val="22"/>
              </w:rPr>
              <w:t xml:space="preserve">; </w:t>
            </w:r>
          </w:p>
          <w:p w14:paraId="41F1CF3F" w14:textId="531943E8" w:rsidR="00275302" w:rsidRPr="0039372D" w:rsidRDefault="00275302" w:rsidP="00275302">
            <w:pPr>
              <w:ind w:left="0" w:firstLine="0"/>
              <w:rPr>
                <w:b/>
                <w:lang w:val="fr-FR"/>
              </w:rPr>
            </w:pPr>
            <w:r w:rsidRPr="0039372D">
              <w:rPr>
                <w:lang w:val="fr-FR"/>
              </w:rPr>
              <w:t xml:space="preserve">22 </w:t>
            </w:r>
            <w:r w:rsidR="0039372D" w:rsidRPr="0039372D">
              <w:rPr>
                <w:lang w:val="fr-FR"/>
              </w:rPr>
              <w:t xml:space="preserve">PRIE le Secrétariat de continuer, sous réserve des ressources disponibles, et INVITE les Parties contractantes, </w:t>
            </w:r>
            <w:r w:rsidR="0039372D" w:rsidRPr="0039372D">
              <w:rPr>
                <w:b/>
                <w:bCs/>
                <w:lang w:val="fr-FR"/>
              </w:rPr>
              <w:t>les Initiatives régionales Ramsar</w:t>
            </w:r>
            <w:r w:rsidR="0039372D" w:rsidRPr="0039372D">
              <w:rPr>
                <w:lang w:val="fr-FR"/>
              </w:rPr>
              <w:t xml:space="preserve">, les organisations et réseaux intéressés à continuer d'entreprendre des activités habilitantes à des fins d’examen effectif des valeurs culturelles des zones humides dans les efforts de protection et de gestion des zones humides </w:t>
            </w:r>
            <w:r w:rsidRPr="0039372D">
              <w:rPr>
                <w:lang w:val="fr-FR"/>
              </w:rPr>
              <w:t xml:space="preserve">; </w:t>
            </w:r>
          </w:p>
        </w:tc>
        <w:tc>
          <w:tcPr>
            <w:tcW w:w="2835" w:type="dxa"/>
          </w:tcPr>
          <w:p w14:paraId="74A88238" w14:textId="440EEC2A" w:rsidR="00275302" w:rsidRPr="00152A81" w:rsidRDefault="00297E47" w:rsidP="00275302">
            <w:pPr>
              <w:ind w:left="0" w:firstLine="0"/>
              <w:rPr>
                <w:bCs/>
                <w:lang w:val="fr-FR"/>
              </w:rPr>
            </w:pPr>
            <w:r w:rsidRPr="008D6B86">
              <w:rPr>
                <w:bCs/>
                <w:lang w:val="fr-FR"/>
              </w:rPr>
              <w:t>Le texte en gras peut être supprimé lors du processus de regroupement des résolutions.</w:t>
            </w:r>
          </w:p>
        </w:tc>
      </w:tr>
      <w:tr w:rsidR="00275302" w:rsidRPr="00F57666" w14:paraId="64B027A2" w14:textId="77777777" w:rsidTr="006E6FA9">
        <w:tc>
          <w:tcPr>
            <w:tcW w:w="2523" w:type="dxa"/>
          </w:tcPr>
          <w:p w14:paraId="63553BA2" w14:textId="36343854" w:rsidR="00275302" w:rsidRPr="009273D6" w:rsidRDefault="00275302" w:rsidP="00275302">
            <w:pPr>
              <w:ind w:left="0" w:firstLine="0"/>
              <w:rPr>
                <w:b/>
                <w:lang w:val="fr-FR"/>
              </w:rPr>
            </w:pPr>
            <w:r w:rsidRPr="009273D6">
              <w:rPr>
                <w:b/>
                <w:lang w:val="fr-FR"/>
              </w:rPr>
              <w:t>XIII.8</w:t>
            </w:r>
          </w:p>
          <w:p w14:paraId="1D438FD1" w14:textId="7B86359C" w:rsidR="00275302" w:rsidRPr="009273D6" w:rsidRDefault="00BB5161" w:rsidP="00275302">
            <w:pPr>
              <w:ind w:left="0" w:firstLine="0"/>
              <w:rPr>
                <w:b/>
                <w:lang w:val="fr-FR"/>
              </w:rPr>
            </w:pPr>
            <w:r w:rsidRPr="009273D6">
              <w:rPr>
                <w:bCs/>
                <w:lang w:val="fr-FR"/>
              </w:rPr>
              <w:t>Application future des aspects scientifiques et techniques de la Convention pour 2019-2021</w:t>
            </w:r>
          </w:p>
        </w:tc>
        <w:tc>
          <w:tcPr>
            <w:tcW w:w="8817" w:type="dxa"/>
          </w:tcPr>
          <w:p w14:paraId="7B2FF5B7" w14:textId="4EC49ECA" w:rsidR="00275302" w:rsidRPr="009273D6" w:rsidRDefault="00275302" w:rsidP="00275302">
            <w:pPr>
              <w:pStyle w:val="NormalWeb"/>
              <w:rPr>
                <w:rFonts w:asciiTheme="minorHAnsi" w:hAnsiTheme="minorHAnsi"/>
                <w:sz w:val="22"/>
                <w:szCs w:val="22"/>
              </w:rPr>
            </w:pPr>
            <w:r w:rsidRPr="009273D6">
              <w:rPr>
                <w:rFonts w:asciiTheme="minorHAnsi" w:hAnsiTheme="minorHAnsi"/>
                <w:bCs/>
                <w:sz w:val="22"/>
                <w:szCs w:val="22"/>
              </w:rPr>
              <w:t>Annex</w:t>
            </w:r>
            <w:r w:rsidR="00BB5161" w:rsidRPr="009273D6">
              <w:rPr>
                <w:rFonts w:asciiTheme="minorHAnsi" w:hAnsiTheme="minorHAnsi"/>
                <w:bCs/>
                <w:sz w:val="22"/>
                <w:szCs w:val="22"/>
              </w:rPr>
              <w:t>e</w:t>
            </w:r>
            <w:r w:rsidRPr="009273D6">
              <w:rPr>
                <w:rFonts w:asciiTheme="minorHAnsi" w:hAnsiTheme="minorHAnsi"/>
                <w:bCs/>
                <w:sz w:val="22"/>
                <w:szCs w:val="22"/>
              </w:rPr>
              <w:t xml:space="preserve"> 3</w:t>
            </w:r>
            <w:r w:rsidR="00BB5161" w:rsidRPr="009273D6">
              <w:rPr>
                <w:rFonts w:asciiTheme="minorHAnsi" w:hAnsiTheme="minorHAnsi"/>
                <w:bCs/>
                <w:sz w:val="22"/>
                <w:szCs w:val="22"/>
              </w:rPr>
              <w:t xml:space="preserve"> </w:t>
            </w:r>
            <w:r w:rsidRPr="009273D6">
              <w:rPr>
                <w:rFonts w:asciiTheme="minorHAnsi" w:hAnsiTheme="minorHAnsi"/>
                <w:bCs/>
                <w:sz w:val="22"/>
                <w:szCs w:val="22"/>
              </w:rPr>
              <w:t xml:space="preserve">: </w:t>
            </w:r>
            <w:r w:rsidR="00BB5161" w:rsidRPr="009273D6">
              <w:rPr>
                <w:rFonts w:asciiTheme="minorHAnsi" w:hAnsiTheme="minorHAnsi"/>
                <w:bCs/>
                <w:sz w:val="22"/>
                <w:szCs w:val="22"/>
              </w:rPr>
              <w:t>Organes et organisations invités à participer en tant qu’observateurs aux réunions et processus du Groupe d’évaluation scientifique et technique pour la période triennale 2019-2021</w:t>
            </w:r>
          </w:p>
          <w:p w14:paraId="0293252F" w14:textId="77777777" w:rsidR="00BB5161" w:rsidRPr="009273D6" w:rsidRDefault="00BB5161" w:rsidP="00152A81">
            <w:pPr>
              <w:pStyle w:val="NormalWeb"/>
              <w:numPr>
                <w:ilvl w:val="0"/>
                <w:numId w:val="15"/>
              </w:numPr>
              <w:ind w:left="287"/>
              <w:rPr>
                <w:rFonts w:asciiTheme="minorHAnsi" w:hAnsiTheme="minorHAnsi"/>
                <w:sz w:val="22"/>
                <w:szCs w:val="22"/>
              </w:rPr>
            </w:pPr>
            <w:r w:rsidRPr="009273D6">
              <w:rPr>
                <w:rFonts w:asciiTheme="minorHAnsi" w:hAnsiTheme="minorHAnsi"/>
                <w:sz w:val="22"/>
                <w:szCs w:val="22"/>
              </w:rPr>
              <w:t xml:space="preserve">Réseau scientifique et technique de </w:t>
            </w:r>
            <w:r w:rsidRPr="009273D6">
              <w:rPr>
                <w:rFonts w:asciiTheme="minorHAnsi" w:hAnsiTheme="minorHAnsi"/>
                <w:b/>
                <w:bCs/>
                <w:sz w:val="22"/>
                <w:szCs w:val="22"/>
              </w:rPr>
              <w:t>l’Initiative pour les zones humides méditerranéennes (MedWet)</w:t>
            </w:r>
          </w:p>
          <w:p w14:paraId="49C7DE21" w14:textId="7BCDCF34" w:rsidR="00275302" w:rsidRPr="009273D6" w:rsidRDefault="00275302" w:rsidP="00275302">
            <w:pPr>
              <w:pStyle w:val="NormalWeb"/>
              <w:rPr>
                <w:rFonts w:asciiTheme="minorHAnsi" w:hAnsiTheme="minorHAnsi"/>
                <w:sz w:val="22"/>
                <w:szCs w:val="22"/>
              </w:rPr>
            </w:pPr>
            <w:r w:rsidRPr="009273D6">
              <w:rPr>
                <w:rFonts w:asciiTheme="minorHAnsi" w:hAnsiTheme="minorHAnsi"/>
                <w:bCs/>
                <w:sz w:val="22"/>
                <w:szCs w:val="22"/>
              </w:rPr>
              <w:t>Annex</w:t>
            </w:r>
            <w:r w:rsidR="00BB5161" w:rsidRPr="009273D6">
              <w:rPr>
                <w:rFonts w:asciiTheme="minorHAnsi" w:hAnsiTheme="minorHAnsi"/>
                <w:bCs/>
                <w:sz w:val="22"/>
                <w:szCs w:val="22"/>
              </w:rPr>
              <w:t>e</w:t>
            </w:r>
            <w:r w:rsidRPr="009273D6">
              <w:rPr>
                <w:rFonts w:asciiTheme="minorHAnsi" w:hAnsiTheme="minorHAnsi"/>
                <w:bCs/>
                <w:sz w:val="22"/>
                <w:szCs w:val="22"/>
              </w:rPr>
              <w:t xml:space="preserve"> 4</w:t>
            </w:r>
            <w:r w:rsidR="00BB5161" w:rsidRPr="009273D6">
              <w:rPr>
                <w:rFonts w:asciiTheme="minorHAnsi" w:hAnsiTheme="minorHAnsi"/>
                <w:bCs/>
                <w:sz w:val="22"/>
                <w:szCs w:val="22"/>
              </w:rPr>
              <w:t xml:space="preserve"> </w:t>
            </w:r>
            <w:r w:rsidRPr="009273D6">
              <w:rPr>
                <w:rFonts w:asciiTheme="minorHAnsi" w:hAnsiTheme="minorHAnsi"/>
                <w:bCs/>
                <w:sz w:val="22"/>
                <w:szCs w:val="22"/>
              </w:rPr>
              <w:t xml:space="preserve">: </w:t>
            </w:r>
            <w:r w:rsidR="009273D6" w:rsidRPr="009273D6">
              <w:rPr>
                <w:rFonts w:asciiTheme="minorHAnsi" w:hAnsiTheme="minorHAnsi"/>
                <w:bCs/>
                <w:sz w:val="22"/>
                <w:szCs w:val="22"/>
              </w:rPr>
              <w:t>Lignes directrices pour préparer des demandes à l’intention de la Plateforme intergouvernementale, scientifique et politique, sur la biodiversité et les services écosystémiques (IPBES) pour ses futurs programmes de travail</w:t>
            </w:r>
          </w:p>
          <w:p w14:paraId="43F11493" w14:textId="1C07B955" w:rsidR="00275302" w:rsidRPr="009273D6" w:rsidRDefault="00275302" w:rsidP="00275302">
            <w:pPr>
              <w:ind w:left="0" w:firstLine="0"/>
              <w:rPr>
                <w:b/>
                <w:lang w:val="fr-FR"/>
              </w:rPr>
            </w:pPr>
            <w:r w:rsidRPr="009273D6">
              <w:rPr>
                <w:rFonts w:asciiTheme="minorHAnsi" w:hAnsiTheme="minorHAnsi"/>
                <w:lang w:val="fr-FR"/>
              </w:rPr>
              <w:lastRenderedPageBreak/>
              <w:t xml:space="preserve">2 </w:t>
            </w:r>
            <w:r w:rsidR="009273D6" w:rsidRPr="009273D6">
              <w:rPr>
                <w:rFonts w:asciiTheme="minorHAnsi" w:hAnsiTheme="minorHAnsi"/>
                <w:lang w:val="fr-FR"/>
              </w:rPr>
              <w:t xml:space="preserve">Les Parties contractantes, </w:t>
            </w:r>
            <w:r w:rsidR="009273D6" w:rsidRPr="009273D6">
              <w:rPr>
                <w:rFonts w:asciiTheme="minorHAnsi" w:hAnsiTheme="minorHAnsi"/>
                <w:b/>
                <w:bCs/>
                <w:lang w:val="fr-FR"/>
              </w:rPr>
              <w:t>les Initiatives régionales Ramsar</w:t>
            </w:r>
            <w:r w:rsidR="009273D6" w:rsidRPr="009273D6">
              <w:rPr>
                <w:rFonts w:asciiTheme="minorHAnsi" w:hAnsiTheme="minorHAnsi"/>
                <w:lang w:val="fr-FR"/>
              </w:rPr>
              <w:t>, le GEST et les accords multilatéraux sur l’environnement (AME) qui proposent une soumission conjointe</w:t>
            </w:r>
            <w:r w:rsidRPr="009273D6">
              <w:rPr>
                <w:rFonts w:asciiTheme="minorHAnsi" w:hAnsiTheme="minorHAnsi"/>
                <w:lang w:val="fr-FR"/>
              </w:rPr>
              <w:t xml:space="preserve">. </w:t>
            </w:r>
          </w:p>
        </w:tc>
        <w:tc>
          <w:tcPr>
            <w:tcW w:w="2835" w:type="dxa"/>
          </w:tcPr>
          <w:p w14:paraId="12AF2877" w14:textId="1CCED2AB" w:rsidR="00275302" w:rsidRPr="00152A81" w:rsidRDefault="00297E47" w:rsidP="00275302">
            <w:pPr>
              <w:ind w:left="0" w:firstLine="0"/>
              <w:rPr>
                <w:bCs/>
                <w:lang w:val="fr-FR"/>
              </w:rPr>
            </w:pPr>
            <w:r w:rsidRPr="008D6B86">
              <w:rPr>
                <w:bCs/>
                <w:lang w:val="fr-FR"/>
              </w:rPr>
              <w:lastRenderedPageBreak/>
              <w:t xml:space="preserve">Le texte en gras </w:t>
            </w:r>
            <w:r>
              <w:rPr>
                <w:bCs/>
                <w:lang w:val="fr-FR"/>
              </w:rPr>
              <w:t xml:space="preserve">dans les annexes et le paragraphe </w:t>
            </w:r>
            <w:r w:rsidRPr="008D6B86">
              <w:rPr>
                <w:bCs/>
                <w:lang w:val="fr-FR"/>
              </w:rPr>
              <w:t>peut être supprimé lors du processus de regroupement des résolutions</w:t>
            </w:r>
            <w:r>
              <w:rPr>
                <w:bCs/>
                <w:lang w:val="fr-FR"/>
              </w:rPr>
              <w:t xml:space="preserve"> ou lorsque la résolution sera remplacée par une nouvelle résolution sur le GEST</w:t>
            </w:r>
            <w:r w:rsidR="00BF55AD" w:rsidRPr="00152A81">
              <w:rPr>
                <w:bCs/>
                <w:lang w:val="fr-FR"/>
              </w:rPr>
              <w:t>.</w:t>
            </w:r>
          </w:p>
        </w:tc>
      </w:tr>
      <w:tr w:rsidR="00275302" w:rsidRPr="00F57666" w14:paraId="00264988" w14:textId="77777777" w:rsidTr="006E6FA9">
        <w:tc>
          <w:tcPr>
            <w:tcW w:w="2523" w:type="dxa"/>
          </w:tcPr>
          <w:p w14:paraId="1D13EAF5" w14:textId="77777777" w:rsidR="00586889" w:rsidRPr="00D067AD" w:rsidRDefault="00275302" w:rsidP="00275302">
            <w:pPr>
              <w:ind w:left="0" w:firstLine="0"/>
              <w:rPr>
                <w:b/>
                <w:lang w:val="fr-FR"/>
              </w:rPr>
            </w:pPr>
            <w:r w:rsidRPr="00D067AD">
              <w:rPr>
                <w:b/>
                <w:lang w:val="fr-FR"/>
              </w:rPr>
              <w:t xml:space="preserve">XIII.22 </w:t>
            </w:r>
          </w:p>
          <w:p w14:paraId="36D8FE3C" w14:textId="5739EE59" w:rsidR="00275302" w:rsidRPr="00D067AD" w:rsidRDefault="009273D6" w:rsidP="00275302">
            <w:pPr>
              <w:ind w:left="0" w:firstLine="0"/>
              <w:rPr>
                <w:bCs/>
                <w:lang w:val="fr-FR"/>
              </w:rPr>
            </w:pPr>
            <w:r w:rsidRPr="00D067AD">
              <w:rPr>
                <w:bCs/>
                <w:lang w:val="fr-FR"/>
              </w:rPr>
              <w:t>Les zones humides en Asie de l’Ouest</w:t>
            </w:r>
          </w:p>
        </w:tc>
        <w:tc>
          <w:tcPr>
            <w:tcW w:w="8817" w:type="dxa"/>
          </w:tcPr>
          <w:p w14:paraId="347319DC" w14:textId="3CE9181D" w:rsidR="00275302" w:rsidRPr="00D067AD" w:rsidRDefault="00275302" w:rsidP="00275302">
            <w:pPr>
              <w:pStyle w:val="NormalWeb"/>
              <w:rPr>
                <w:rFonts w:ascii="Calibri" w:hAnsi="Calibri"/>
                <w:sz w:val="22"/>
                <w:szCs w:val="22"/>
              </w:rPr>
            </w:pPr>
            <w:r w:rsidRPr="00D067AD">
              <w:rPr>
                <w:rFonts w:ascii="Calibri" w:hAnsi="Calibri"/>
                <w:sz w:val="22"/>
                <w:szCs w:val="22"/>
              </w:rPr>
              <w:t xml:space="preserve">11 </w:t>
            </w:r>
            <w:r w:rsidR="009273D6" w:rsidRPr="00D067AD">
              <w:rPr>
                <w:rFonts w:ascii="Calibri" w:hAnsi="Calibri"/>
                <w:sz w:val="22"/>
                <w:szCs w:val="22"/>
              </w:rPr>
              <w:t xml:space="preserve">ENCOURAGE les Parties contractantes de la région d’Asie de l’Ouest à envisager de recourir aux </w:t>
            </w:r>
            <w:r w:rsidR="009273D6" w:rsidRPr="00D067AD">
              <w:rPr>
                <w:rFonts w:ascii="Calibri" w:hAnsi="Calibri"/>
                <w:b/>
                <w:bCs/>
                <w:sz w:val="22"/>
                <w:szCs w:val="22"/>
              </w:rPr>
              <w:t>initiatives</w:t>
            </w:r>
            <w:r w:rsidR="009273D6" w:rsidRPr="00D067AD">
              <w:rPr>
                <w:rFonts w:ascii="Calibri" w:hAnsi="Calibri"/>
                <w:sz w:val="22"/>
                <w:szCs w:val="22"/>
              </w:rPr>
              <w:t xml:space="preserve"> de coopération et</w:t>
            </w:r>
            <w:r w:rsidR="009273D6" w:rsidRPr="00D067AD">
              <w:rPr>
                <w:rFonts w:ascii="Calibri" w:hAnsi="Calibri"/>
                <w:b/>
                <w:bCs/>
                <w:sz w:val="22"/>
                <w:szCs w:val="22"/>
              </w:rPr>
              <w:t xml:space="preserve"> régionales</w:t>
            </w:r>
            <w:r w:rsidR="009273D6" w:rsidRPr="00D067AD">
              <w:rPr>
                <w:rFonts w:ascii="Calibri" w:hAnsi="Calibri"/>
                <w:sz w:val="22"/>
                <w:szCs w:val="22"/>
              </w:rPr>
              <w:t xml:space="preserve"> dans le contexte du développement durable </w:t>
            </w:r>
            <w:r w:rsidRPr="00D067AD">
              <w:rPr>
                <w:rFonts w:ascii="Calibri" w:hAnsi="Calibri"/>
                <w:sz w:val="22"/>
                <w:szCs w:val="22"/>
              </w:rPr>
              <w:t xml:space="preserve">; </w:t>
            </w:r>
          </w:p>
          <w:p w14:paraId="3D9E01C3" w14:textId="5A84915F" w:rsidR="00275302" w:rsidRPr="00D067AD" w:rsidRDefault="00275302" w:rsidP="00275302">
            <w:pPr>
              <w:ind w:left="0" w:firstLine="0"/>
              <w:rPr>
                <w:b/>
                <w:lang w:val="fr-FR"/>
              </w:rPr>
            </w:pPr>
            <w:r w:rsidRPr="00D067AD">
              <w:rPr>
                <w:lang w:val="fr-FR"/>
              </w:rPr>
              <w:t xml:space="preserve">14 </w:t>
            </w:r>
            <w:r w:rsidR="009273D6" w:rsidRPr="00D067AD">
              <w:rPr>
                <w:lang w:val="fr-FR"/>
              </w:rPr>
              <w:t xml:space="preserve">DEMANDE au </w:t>
            </w:r>
            <w:r w:rsidR="009273D6" w:rsidRPr="00D067AD">
              <w:rPr>
                <w:b/>
                <w:bCs/>
                <w:lang w:val="fr-FR"/>
              </w:rPr>
              <w:t>Centre régional Ramsar-Asie centrale et de l’Ouest</w:t>
            </w:r>
            <w:r w:rsidR="009273D6" w:rsidRPr="00D067AD">
              <w:rPr>
                <w:lang w:val="fr-FR"/>
              </w:rPr>
              <w:t xml:space="preserve"> de donner suite aux dispositions de la présente Résolution, dans le cadre de son mandat, et de rendre compte à la Conférence des Parties contractantes</w:t>
            </w:r>
            <w:r w:rsidRPr="00D067AD">
              <w:rPr>
                <w:lang w:val="fr-FR"/>
              </w:rPr>
              <w:t xml:space="preserve">. </w:t>
            </w:r>
          </w:p>
        </w:tc>
        <w:tc>
          <w:tcPr>
            <w:tcW w:w="2835" w:type="dxa"/>
          </w:tcPr>
          <w:p w14:paraId="71B677FE" w14:textId="44938629" w:rsidR="00275302" w:rsidRPr="00152A81" w:rsidRDefault="005650BD" w:rsidP="00275302">
            <w:pPr>
              <w:ind w:left="0" w:firstLine="0"/>
              <w:rPr>
                <w:bCs/>
                <w:lang w:val="fr-FR"/>
              </w:rPr>
            </w:pPr>
            <w:r w:rsidRPr="005650BD">
              <w:rPr>
                <w:bCs/>
                <w:lang w:val="fr-FR"/>
              </w:rPr>
              <w:t>Le texte en gras peut être supprimé lors du processus de regroupement des résolutions</w:t>
            </w:r>
            <w:r w:rsidR="009F25B7" w:rsidRPr="00152A81">
              <w:rPr>
                <w:bCs/>
                <w:lang w:val="fr-FR"/>
              </w:rPr>
              <w:t>.</w:t>
            </w:r>
          </w:p>
        </w:tc>
      </w:tr>
      <w:tr w:rsidR="00275302" w:rsidRPr="00F57666" w14:paraId="20AC3C12" w14:textId="77777777" w:rsidTr="006E6FA9">
        <w:tc>
          <w:tcPr>
            <w:tcW w:w="2523" w:type="dxa"/>
          </w:tcPr>
          <w:p w14:paraId="74D3C712" w14:textId="77777777" w:rsidR="00586889" w:rsidRPr="00D067AD" w:rsidRDefault="00275302" w:rsidP="00275302">
            <w:pPr>
              <w:ind w:left="0" w:firstLine="0"/>
              <w:rPr>
                <w:b/>
                <w:lang w:val="fr-FR"/>
              </w:rPr>
            </w:pPr>
            <w:r w:rsidRPr="00D067AD">
              <w:rPr>
                <w:b/>
                <w:lang w:val="fr-FR"/>
              </w:rPr>
              <w:t xml:space="preserve">XIII.24 </w:t>
            </w:r>
          </w:p>
          <w:p w14:paraId="232F526F" w14:textId="4E8A4920" w:rsidR="00275302" w:rsidRPr="00D067AD" w:rsidRDefault="00D067AD" w:rsidP="00275302">
            <w:pPr>
              <w:ind w:left="0" w:firstLine="0"/>
              <w:rPr>
                <w:bCs/>
                <w:lang w:val="fr-FR"/>
              </w:rPr>
            </w:pPr>
            <w:r w:rsidRPr="00D067AD">
              <w:rPr>
                <w:bCs/>
                <w:lang w:val="fr-FR"/>
              </w:rPr>
              <w:t>Renforcement de la conservation des habitats côtiers des tortues marines, et désignation au titre de Ramsar des sites à enjeux majeurs</w:t>
            </w:r>
          </w:p>
        </w:tc>
        <w:tc>
          <w:tcPr>
            <w:tcW w:w="8817" w:type="dxa"/>
          </w:tcPr>
          <w:p w14:paraId="697A251E" w14:textId="2B2EF210" w:rsidR="00275302" w:rsidRPr="00D067AD" w:rsidRDefault="00275302" w:rsidP="00275302">
            <w:pPr>
              <w:ind w:left="0" w:firstLine="0"/>
              <w:rPr>
                <w:b/>
                <w:lang w:val="fr-FR"/>
              </w:rPr>
            </w:pPr>
            <w:r w:rsidRPr="00D067AD">
              <w:rPr>
                <w:lang w:val="fr-FR"/>
              </w:rPr>
              <w:t xml:space="preserve">22 </w:t>
            </w:r>
            <w:r w:rsidR="00D067AD" w:rsidRPr="00D067AD">
              <w:rPr>
                <w:lang w:val="fr-FR"/>
              </w:rPr>
              <w:t xml:space="preserve">ENCOURAGE les Parties contractantes à examiner les plans de gestion de leurs Sites Ramsar pour s’assurer qu’ils contiennent des mesures de conservation pour les tortues marines, s’il y a lieu ; et RECOMMANDE de renforcer les synergies et d'améliorer la coordination avec </w:t>
            </w:r>
            <w:r w:rsidR="00D067AD" w:rsidRPr="00D067AD">
              <w:rPr>
                <w:b/>
                <w:bCs/>
                <w:lang w:val="fr-FR"/>
              </w:rPr>
              <w:t>les Initiatives régionales Ramsar</w:t>
            </w:r>
            <w:r w:rsidR="00D067AD" w:rsidRPr="00D067AD">
              <w:rPr>
                <w:lang w:val="fr-FR"/>
              </w:rPr>
              <w:t xml:space="preserve"> </w:t>
            </w:r>
            <w:r w:rsidR="00D067AD" w:rsidRPr="00436ED3">
              <w:rPr>
                <w:b/>
                <w:bCs/>
                <w:lang w:val="fr-FR"/>
              </w:rPr>
              <w:t>et</w:t>
            </w:r>
            <w:r w:rsidR="00D067AD" w:rsidRPr="00D067AD">
              <w:rPr>
                <w:lang w:val="fr-FR"/>
              </w:rPr>
              <w:t xml:space="preserve"> les réseaux existants plutôt que d'établir de nouveaux accords </w:t>
            </w:r>
            <w:r w:rsidRPr="00D067AD">
              <w:rPr>
                <w:lang w:val="fr-FR"/>
              </w:rPr>
              <w:t xml:space="preserve">; </w:t>
            </w:r>
          </w:p>
        </w:tc>
        <w:tc>
          <w:tcPr>
            <w:tcW w:w="2835" w:type="dxa"/>
          </w:tcPr>
          <w:p w14:paraId="0DEEE3F7" w14:textId="4265A599" w:rsidR="00275302" w:rsidRPr="00152A81" w:rsidRDefault="005650BD" w:rsidP="00275302">
            <w:pPr>
              <w:ind w:left="0" w:firstLine="0"/>
              <w:rPr>
                <w:bCs/>
                <w:lang w:val="fr-FR"/>
              </w:rPr>
            </w:pPr>
            <w:r w:rsidRPr="008D6B86">
              <w:rPr>
                <w:bCs/>
                <w:lang w:val="fr-FR"/>
              </w:rPr>
              <w:t>Le texte en gras peut être supprimé lors du processus de regroupement des résolutions</w:t>
            </w:r>
            <w:r w:rsidR="009F25B7" w:rsidRPr="00152A81">
              <w:rPr>
                <w:bCs/>
                <w:lang w:val="fr-FR"/>
              </w:rPr>
              <w:t>.</w:t>
            </w:r>
          </w:p>
        </w:tc>
      </w:tr>
      <w:tr w:rsidR="00275302" w:rsidRPr="00F57666" w14:paraId="1ECC8A64" w14:textId="77777777" w:rsidTr="006E6FA9">
        <w:tc>
          <w:tcPr>
            <w:tcW w:w="2523" w:type="dxa"/>
          </w:tcPr>
          <w:p w14:paraId="27C72FC7" w14:textId="77777777" w:rsidR="00275302" w:rsidRPr="00D067AD" w:rsidRDefault="00275302" w:rsidP="00275302">
            <w:pPr>
              <w:ind w:left="0" w:firstLine="0"/>
              <w:rPr>
                <w:b/>
                <w:lang w:val="fr-FR"/>
              </w:rPr>
            </w:pPr>
            <w:r w:rsidRPr="00D067AD">
              <w:rPr>
                <w:b/>
                <w:lang w:val="fr-FR"/>
              </w:rPr>
              <w:t xml:space="preserve">XII.2 </w:t>
            </w:r>
          </w:p>
          <w:p w14:paraId="278A0339" w14:textId="1C7775DA" w:rsidR="00275302" w:rsidRPr="00D067AD" w:rsidRDefault="00D067AD" w:rsidP="00275302">
            <w:pPr>
              <w:ind w:left="0" w:firstLine="0"/>
              <w:rPr>
                <w:bCs/>
                <w:lang w:val="fr-FR"/>
              </w:rPr>
            </w:pPr>
            <w:r>
              <w:rPr>
                <w:bCs/>
                <w:lang w:val="fr-FR"/>
              </w:rPr>
              <w:t xml:space="preserve">Le Plan stratégique </w:t>
            </w:r>
            <w:r w:rsidR="00275302" w:rsidRPr="00D067AD">
              <w:rPr>
                <w:bCs/>
                <w:lang w:val="fr-FR"/>
              </w:rPr>
              <w:t xml:space="preserve">Ramsar </w:t>
            </w:r>
            <w:r w:rsidR="00451B34">
              <w:rPr>
                <w:bCs/>
                <w:lang w:val="fr-FR"/>
              </w:rPr>
              <w:t>2016-2024</w:t>
            </w:r>
          </w:p>
        </w:tc>
        <w:tc>
          <w:tcPr>
            <w:tcW w:w="8817" w:type="dxa"/>
          </w:tcPr>
          <w:p w14:paraId="74AA7865" w14:textId="7DE12E35" w:rsidR="00275302" w:rsidRPr="00D067AD" w:rsidRDefault="00D067AD" w:rsidP="00275302">
            <w:pPr>
              <w:ind w:left="0" w:firstLine="0"/>
              <w:rPr>
                <w:bCs/>
                <w:lang w:val="fr-FR"/>
              </w:rPr>
            </w:pPr>
            <w:r>
              <w:rPr>
                <w:lang w:val="fr-FR"/>
              </w:rPr>
              <w:t xml:space="preserve">De multiples références tout au long </w:t>
            </w:r>
            <w:r w:rsidR="00451B34">
              <w:rPr>
                <w:lang w:val="fr-FR"/>
              </w:rPr>
              <w:t>du document</w:t>
            </w:r>
            <w:r w:rsidR="00275302" w:rsidRPr="00D067AD">
              <w:rPr>
                <w:lang w:val="fr-FR"/>
              </w:rPr>
              <w:t xml:space="preserve">   </w:t>
            </w:r>
          </w:p>
        </w:tc>
        <w:tc>
          <w:tcPr>
            <w:tcW w:w="2835" w:type="dxa"/>
          </w:tcPr>
          <w:p w14:paraId="4AD9C0F6" w14:textId="5C137CBC" w:rsidR="00275302" w:rsidRPr="00152A81" w:rsidRDefault="005650BD" w:rsidP="00275302">
            <w:pPr>
              <w:ind w:left="0" w:firstLine="0"/>
              <w:rPr>
                <w:bCs/>
                <w:lang w:val="fr-FR"/>
              </w:rPr>
            </w:pPr>
            <w:r w:rsidRPr="008022AB">
              <w:rPr>
                <w:bCs/>
                <w:lang w:val="fr-FR"/>
              </w:rPr>
              <w:t xml:space="preserve">Lors de la mise à jour du Plan, il vaudrait mieux faire </w:t>
            </w:r>
            <w:r w:rsidR="008022AB" w:rsidRPr="008022AB">
              <w:rPr>
                <w:bCs/>
                <w:lang w:val="fr-FR"/>
              </w:rPr>
              <w:t>référence</w:t>
            </w:r>
            <w:r w:rsidRPr="008022AB">
              <w:rPr>
                <w:bCs/>
                <w:lang w:val="fr-FR"/>
              </w:rPr>
              <w:t xml:space="preserve"> à différentes sortes de coopérations</w:t>
            </w:r>
            <w:r w:rsidR="008022AB" w:rsidRPr="008022AB">
              <w:rPr>
                <w:bCs/>
                <w:lang w:val="fr-FR"/>
              </w:rPr>
              <w:t xml:space="preserve"> régionales ou équivalentes que de mentionner explicitement les Initiatives régionales Ramsar</w:t>
            </w:r>
            <w:r w:rsidR="009F25B7" w:rsidRPr="008022AB">
              <w:rPr>
                <w:bCs/>
                <w:lang w:val="fr-FR"/>
              </w:rPr>
              <w:t xml:space="preserve">, </w:t>
            </w:r>
            <w:r w:rsidR="008022AB" w:rsidRPr="008022AB">
              <w:rPr>
                <w:bCs/>
                <w:lang w:val="fr-FR"/>
              </w:rPr>
              <w:t>selon le contexte, IRR peut suffire</w:t>
            </w:r>
            <w:r w:rsidR="009F25B7" w:rsidRPr="00152A81">
              <w:rPr>
                <w:bCs/>
                <w:lang w:val="fr-FR"/>
              </w:rPr>
              <w:t xml:space="preserve">.  </w:t>
            </w:r>
          </w:p>
        </w:tc>
      </w:tr>
      <w:tr w:rsidR="00275302" w:rsidRPr="00F57666" w14:paraId="1EC060D4" w14:textId="77777777" w:rsidTr="006E6FA9">
        <w:tc>
          <w:tcPr>
            <w:tcW w:w="2523" w:type="dxa"/>
          </w:tcPr>
          <w:p w14:paraId="2474439A" w14:textId="77777777" w:rsidR="00275302" w:rsidRPr="00D12E3D" w:rsidRDefault="00275302" w:rsidP="00275302">
            <w:pPr>
              <w:ind w:left="0" w:firstLine="0"/>
              <w:rPr>
                <w:b/>
                <w:lang w:val="fr-FR"/>
              </w:rPr>
            </w:pPr>
            <w:r w:rsidRPr="00D12E3D">
              <w:rPr>
                <w:b/>
                <w:lang w:val="fr-FR"/>
              </w:rPr>
              <w:t xml:space="preserve">XII.5 </w:t>
            </w:r>
          </w:p>
          <w:p w14:paraId="4DA7CC86" w14:textId="1BEA346E" w:rsidR="00275302" w:rsidRPr="00D12E3D" w:rsidRDefault="00D12E3D" w:rsidP="00275302">
            <w:pPr>
              <w:ind w:left="0" w:firstLine="0"/>
              <w:rPr>
                <w:bCs/>
                <w:lang w:val="fr-FR"/>
              </w:rPr>
            </w:pPr>
            <w:r w:rsidRPr="00D12E3D">
              <w:rPr>
                <w:bCs/>
                <w:lang w:val="fr-FR"/>
              </w:rPr>
              <w:t>Nouveau cadre pour la fourniture d’avis et d’orientations scientifiques et techniques à la Convention</w:t>
            </w:r>
          </w:p>
        </w:tc>
        <w:tc>
          <w:tcPr>
            <w:tcW w:w="8817" w:type="dxa"/>
          </w:tcPr>
          <w:p w14:paraId="66C25267" w14:textId="77777777" w:rsidR="00D12E3D" w:rsidRPr="00D12E3D" w:rsidRDefault="00D12E3D" w:rsidP="00D12E3D">
            <w:pPr>
              <w:rPr>
                <w:rFonts w:cstheme="minorHAnsi"/>
                <w:lang w:val="fr-FR"/>
              </w:rPr>
            </w:pPr>
            <w:r w:rsidRPr="00D12E3D">
              <w:rPr>
                <w:rFonts w:cstheme="minorHAnsi"/>
                <w:lang w:val="fr-FR"/>
              </w:rPr>
              <w:t>Rôle et responsabilités des membres du GEST</w:t>
            </w:r>
          </w:p>
          <w:p w14:paraId="47E02B02" w14:textId="77777777" w:rsidR="00D12E3D" w:rsidRPr="00D12E3D" w:rsidRDefault="00D12E3D" w:rsidP="00D12E3D">
            <w:pPr>
              <w:rPr>
                <w:rFonts w:cstheme="minorHAnsi"/>
                <w:lang w:val="fr-FR"/>
              </w:rPr>
            </w:pPr>
            <w:r w:rsidRPr="00D12E3D">
              <w:rPr>
                <w:rFonts w:cstheme="minorHAnsi"/>
                <w:lang w:val="fr-FR"/>
              </w:rPr>
              <w:t>12. Les principales responsabilités collectives des membres du GEST sont :</w:t>
            </w:r>
          </w:p>
          <w:p w14:paraId="395E1BFA" w14:textId="7FC84D1B" w:rsidR="00275302" w:rsidRPr="00D12E3D" w:rsidRDefault="00D12E3D" w:rsidP="00D12E3D">
            <w:pPr>
              <w:ind w:left="0" w:firstLine="0"/>
              <w:rPr>
                <w:bCs/>
                <w:lang w:val="fr-FR"/>
              </w:rPr>
            </w:pPr>
            <w:r w:rsidRPr="00D12E3D">
              <w:rPr>
                <w:rFonts w:cstheme="minorHAnsi"/>
                <w:lang w:val="fr-FR"/>
              </w:rPr>
              <w:t xml:space="preserve">i) établir la portée, les produits et l’approche liés à chaque tâche confiée, notamment </w:t>
            </w:r>
            <w:r w:rsidR="005E59BC" w:rsidRPr="00D12E3D">
              <w:rPr>
                <w:rFonts w:cstheme="minorHAnsi"/>
                <w:lang w:val="fr-FR"/>
              </w:rPr>
              <w:t>par</w:t>
            </w:r>
            <w:r w:rsidR="005E59BC">
              <w:rPr>
                <w:rFonts w:cstheme="minorHAnsi"/>
                <w:lang w:val="fr-FR"/>
              </w:rPr>
              <w:t xml:space="preserve"> l’intermédiaire</w:t>
            </w:r>
            <w:r w:rsidRPr="00D12E3D">
              <w:rPr>
                <w:rFonts w:cstheme="minorHAnsi"/>
                <w:lang w:val="fr-FR"/>
              </w:rPr>
              <w:t xml:space="preserve"> d’ateliers exploratoires, s’il y a lieu, et ce faisant garantir la participation du</w:t>
            </w:r>
            <w:r>
              <w:rPr>
                <w:rFonts w:cstheme="minorHAnsi"/>
                <w:lang w:val="fr-FR"/>
              </w:rPr>
              <w:t xml:space="preserve"> </w:t>
            </w:r>
            <w:r w:rsidRPr="00D12E3D">
              <w:rPr>
                <w:rFonts w:cstheme="minorHAnsi"/>
                <w:lang w:val="fr-FR"/>
              </w:rPr>
              <w:t xml:space="preserve">réseau de Correspondants nationaux du GEST, </w:t>
            </w:r>
            <w:r w:rsidRPr="00D12E3D">
              <w:rPr>
                <w:rFonts w:cstheme="minorHAnsi"/>
                <w:b/>
                <w:bCs/>
                <w:lang w:val="fr-FR"/>
              </w:rPr>
              <w:t>des Initiatives régionales Ramsar</w:t>
            </w:r>
            <w:r w:rsidRPr="00D12E3D">
              <w:rPr>
                <w:rFonts w:cstheme="minorHAnsi"/>
                <w:lang w:val="fr-FR"/>
              </w:rPr>
              <w:t xml:space="preserve"> et de toute</w:t>
            </w:r>
            <w:r>
              <w:rPr>
                <w:rFonts w:cstheme="minorHAnsi"/>
                <w:lang w:val="fr-FR"/>
              </w:rPr>
              <w:t xml:space="preserve"> </w:t>
            </w:r>
            <w:r w:rsidRPr="00D12E3D">
              <w:rPr>
                <w:rFonts w:cstheme="minorHAnsi"/>
                <w:lang w:val="fr-FR"/>
              </w:rPr>
              <w:t>autre organisation compétente</w:t>
            </w:r>
            <w:r>
              <w:rPr>
                <w:rFonts w:cstheme="minorHAnsi"/>
                <w:lang w:val="fr-FR"/>
              </w:rPr>
              <w:t> ;</w:t>
            </w:r>
          </w:p>
        </w:tc>
        <w:tc>
          <w:tcPr>
            <w:tcW w:w="2835" w:type="dxa"/>
          </w:tcPr>
          <w:p w14:paraId="6A6423DA" w14:textId="0D03E765" w:rsidR="00275302" w:rsidRPr="00152A81" w:rsidRDefault="005650BD" w:rsidP="00275302">
            <w:pPr>
              <w:ind w:left="0" w:firstLine="0"/>
              <w:rPr>
                <w:bCs/>
                <w:lang w:val="fr-FR"/>
              </w:rPr>
            </w:pPr>
            <w:r w:rsidRPr="008D6B86">
              <w:rPr>
                <w:bCs/>
                <w:lang w:val="fr-FR"/>
              </w:rPr>
              <w:t>Le texte en gras peut être supprimé lors du processus de regroupement des résolutions</w:t>
            </w:r>
            <w:r w:rsidR="009F25B7" w:rsidRPr="00152A81">
              <w:rPr>
                <w:bCs/>
                <w:lang w:val="fr-FR"/>
              </w:rPr>
              <w:t>.</w:t>
            </w:r>
          </w:p>
        </w:tc>
      </w:tr>
      <w:tr w:rsidR="009F25B7" w:rsidRPr="00F57666" w14:paraId="0E178DAD" w14:textId="77777777" w:rsidTr="006E6FA9">
        <w:tc>
          <w:tcPr>
            <w:tcW w:w="2523" w:type="dxa"/>
          </w:tcPr>
          <w:p w14:paraId="3A3D51B3" w14:textId="77777777" w:rsidR="009F25B7" w:rsidRPr="00F86E1A" w:rsidRDefault="009F25B7" w:rsidP="009F25B7">
            <w:pPr>
              <w:ind w:left="0" w:firstLine="0"/>
              <w:rPr>
                <w:b/>
                <w:lang w:val="fr-FR"/>
              </w:rPr>
            </w:pPr>
            <w:r w:rsidRPr="00F86E1A">
              <w:rPr>
                <w:b/>
                <w:lang w:val="fr-FR"/>
              </w:rPr>
              <w:t xml:space="preserve">XII.9 </w:t>
            </w:r>
          </w:p>
          <w:p w14:paraId="5463E80C" w14:textId="2ECEC95D" w:rsidR="009F25B7" w:rsidRPr="00F86E1A" w:rsidRDefault="009E6D60" w:rsidP="009F25B7">
            <w:pPr>
              <w:ind w:left="0" w:firstLine="0"/>
              <w:rPr>
                <w:bCs/>
                <w:lang w:val="fr-FR"/>
              </w:rPr>
            </w:pPr>
            <w:r w:rsidRPr="00F86E1A">
              <w:rPr>
                <w:bCs/>
                <w:lang w:val="fr-FR"/>
              </w:rPr>
              <w:t xml:space="preserve">Le Programme de la </w:t>
            </w:r>
            <w:r w:rsidRPr="00F86E1A">
              <w:rPr>
                <w:bCs/>
                <w:lang w:val="fr-FR"/>
              </w:rPr>
              <w:lastRenderedPageBreak/>
              <w:t>Convention de Ramsar relatif à la communication, au renforcement des capacités, à l’éducation, à la sensibilisation et à la participation (CESP) 2016-2024</w:t>
            </w:r>
          </w:p>
        </w:tc>
        <w:tc>
          <w:tcPr>
            <w:tcW w:w="8817" w:type="dxa"/>
          </w:tcPr>
          <w:p w14:paraId="68839E57" w14:textId="122EA873" w:rsidR="009F25B7" w:rsidRPr="00F86E1A" w:rsidRDefault="009F25B7" w:rsidP="009F25B7">
            <w:pPr>
              <w:pStyle w:val="NormalWeb"/>
              <w:rPr>
                <w:rFonts w:asciiTheme="minorHAnsi" w:hAnsiTheme="minorHAnsi"/>
                <w:sz w:val="22"/>
                <w:szCs w:val="22"/>
              </w:rPr>
            </w:pPr>
            <w:r w:rsidRPr="00F86E1A">
              <w:rPr>
                <w:rFonts w:asciiTheme="minorHAnsi" w:hAnsiTheme="minorHAnsi"/>
                <w:sz w:val="22"/>
                <w:szCs w:val="22"/>
              </w:rPr>
              <w:lastRenderedPageBreak/>
              <w:t xml:space="preserve">13 </w:t>
            </w:r>
            <w:r w:rsidR="00F86E1A" w:rsidRPr="00F86E1A">
              <w:rPr>
                <w:rFonts w:asciiTheme="minorHAnsi" w:hAnsiTheme="minorHAnsi"/>
                <w:sz w:val="22"/>
                <w:szCs w:val="22"/>
              </w:rPr>
              <w:t xml:space="preserve">INVITE toutes les Parties contractantes, comme suggéré dans les Résolutions VII.9 et VIII.31 et dans le Programme de CESP 2016-2024, à formuler leurs Plans d’action pour la CESP relative </w:t>
            </w:r>
            <w:r w:rsidR="00F86E1A" w:rsidRPr="00F86E1A">
              <w:rPr>
                <w:rFonts w:asciiTheme="minorHAnsi" w:hAnsiTheme="minorHAnsi"/>
                <w:sz w:val="22"/>
                <w:szCs w:val="22"/>
              </w:rPr>
              <w:lastRenderedPageBreak/>
              <w:t xml:space="preserve">aux zones humides (aux niveaux national, sous-national, du bassin versant ou local) pour inclure les actions prioritaires qui traitent des besoins internationaux, régionaux, nationaux et locaux et, selon qu’il conviendra, de fournir des copies de ces plans au Secrétariat Ramsar dans le cadre de leurs rapports nationaux, afin qu’ils puissent être partagés en tant qu’exemples de bonnes pratiques; et CHARGE le Secrétariat de fournir des informations pertinentes aux Initiatives régionales sur les priorités et les activités d’appui à l’exécution du Programme de CESP </w:t>
            </w:r>
            <w:r w:rsidRPr="00F86E1A">
              <w:rPr>
                <w:rFonts w:asciiTheme="minorHAnsi" w:hAnsiTheme="minorHAnsi"/>
                <w:sz w:val="22"/>
                <w:szCs w:val="22"/>
              </w:rPr>
              <w:t xml:space="preserve">; </w:t>
            </w:r>
          </w:p>
          <w:p w14:paraId="1C5E6C5D" w14:textId="5443A2CF" w:rsidR="009F25B7" w:rsidRPr="00F86E1A" w:rsidRDefault="00152A81" w:rsidP="009F25B7">
            <w:pPr>
              <w:pStyle w:val="NormalWeb"/>
              <w:rPr>
                <w:rFonts w:asciiTheme="minorHAnsi" w:hAnsiTheme="minorHAnsi"/>
                <w:sz w:val="22"/>
                <w:szCs w:val="22"/>
              </w:rPr>
            </w:pPr>
            <w:r>
              <w:rPr>
                <w:rFonts w:asciiTheme="minorHAnsi" w:hAnsiTheme="minorHAnsi"/>
                <w:sz w:val="22"/>
                <w:szCs w:val="22"/>
              </w:rPr>
              <w:t xml:space="preserve">23 </w:t>
            </w:r>
            <w:r w:rsidR="00F86E1A" w:rsidRPr="00F86E1A">
              <w:rPr>
                <w:rFonts w:asciiTheme="minorHAnsi" w:hAnsiTheme="minorHAnsi"/>
                <w:sz w:val="22"/>
                <w:szCs w:val="22"/>
              </w:rPr>
              <w:t xml:space="preserve">INVITE les OIP, les Initiatives régionales Ramsar et d’autres organisations avec lesquelles le Secrétariat Ramsar a des accords de collaboration à soutenir la mise en œuvre du Programme de CESP aux niveaux mondial, régional, national ou local, selon le cas, avec les experts, réseaux, compétences et ressources à leur disposition </w:t>
            </w:r>
            <w:r w:rsidR="009F25B7" w:rsidRPr="00F86E1A">
              <w:rPr>
                <w:rFonts w:asciiTheme="minorHAnsi" w:hAnsiTheme="minorHAnsi"/>
                <w:sz w:val="22"/>
                <w:szCs w:val="22"/>
              </w:rPr>
              <w:t xml:space="preserve">; </w:t>
            </w:r>
          </w:p>
          <w:p w14:paraId="17C9F698" w14:textId="67497D17" w:rsidR="009F25B7" w:rsidRPr="00F86E1A" w:rsidRDefault="009F25B7" w:rsidP="0033601A">
            <w:pPr>
              <w:pStyle w:val="BodyText"/>
              <w:kinsoku w:val="0"/>
              <w:overflowPunct w:val="0"/>
              <w:ind w:left="0" w:firstLine="0"/>
              <w:rPr>
                <w:rFonts w:asciiTheme="minorHAnsi" w:hAnsiTheme="minorHAnsi"/>
                <w:b/>
                <w:bCs/>
                <w:lang w:val="fr-FR"/>
              </w:rPr>
            </w:pPr>
            <w:r w:rsidRPr="00F86E1A">
              <w:rPr>
                <w:rFonts w:asciiTheme="minorHAnsi" w:hAnsiTheme="minorHAnsi"/>
                <w:spacing w:val="-1"/>
                <w:lang w:val="fr-FR"/>
              </w:rPr>
              <w:t>Annex</w:t>
            </w:r>
            <w:r w:rsidR="00F86E1A" w:rsidRPr="00F86E1A">
              <w:rPr>
                <w:rFonts w:asciiTheme="minorHAnsi" w:hAnsiTheme="minorHAnsi"/>
                <w:spacing w:val="-1"/>
                <w:lang w:val="fr-FR"/>
              </w:rPr>
              <w:t>e</w:t>
            </w:r>
            <w:r w:rsidRPr="00F86E1A">
              <w:rPr>
                <w:rFonts w:asciiTheme="minorHAnsi" w:hAnsiTheme="minorHAnsi"/>
                <w:spacing w:val="-9"/>
                <w:lang w:val="fr-FR"/>
              </w:rPr>
              <w:t xml:space="preserve"> </w:t>
            </w:r>
            <w:r w:rsidRPr="00F86E1A">
              <w:rPr>
                <w:rFonts w:asciiTheme="minorHAnsi" w:hAnsiTheme="minorHAnsi"/>
                <w:lang w:val="fr-FR"/>
              </w:rPr>
              <w:t>1</w:t>
            </w:r>
            <w:r w:rsidR="00F86E1A" w:rsidRPr="00F86E1A">
              <w:rPr>
                <w:rFonts w:asciiTheme="minorHAnsi" w:hAnsiTheme="minorHAnsi"/>
                <w:lang w:val="fr-FR"/>
              </w:rPr>
              <w:t xml:space="preserve"> </w:t>
            </w:r>
            <w:r w:rsidR="0033601A" w:rsidRPr="00F86E1A">
              <w:rPr>
                <w:rFonts w:asciiTheme="minorHAnsi" w:hAnsiTheme="minorHAnsi"/>
                <w:lang w:val="fr-FR"/>
              </w:rPr>
              <w:t>:</w:t>
            </w:r>
            <w:r w:rsidR="003E0FA5">
              <w:rPr>
                <w:rFonts w:asciiTheme="minorHAnsi" w:hAnsiTheme="minorHAnsi"/>
                <w:lang w:val="fr-FR"/>
              </w:rPr>
              <w:t xml:space="preserve"> </w:t>
            </w:r>
            <w:r w:rsidR="00F86E1A" w:rsidRPr="00F86E1A">
              <w:rPr>
                <w:rFonts w:asciiTheme="minorHAnsi" w:hAnsiTheme="minorHAnsi"/>
                <w:bCs/>
                <w:lang w:val="fr-FR"/>
              </w:rPr>
              <w:t>Le Programme de la Convention de Ramsar relatif à la communication, au renforcement des capacités, à l’éducation, à la sensibilisation et à la participation (CESP) 2016-2024</w:t>
            </w:r>
          </w:p>
        </w:tc>
        <w:tc>
          <w:tcPr>
            <w:tcW w:w="2835" w:type="dxa"/>
          </w:tcPr>
          <w:p w14:paraId="3A05DDB7" w14:textId="698B67DA" w:rsidR="009F25B7" w:rsidRPr="00496CAE" w:rsidRDefault="008022AB" w:rsidP="009F25B7">
            <w:pPr>
              <w:ind w:left="0" w:firstLine="0"/>
              <w:rPr>
                <w:bCs/>
                <w:lang w:val="fr-FR"/>
              </w:rPr>
            </w:pPr>
            <w:r w:rsidRPr="00496CAE">
              <w:rPr>
                <w:bCs/>
                <w:lang w:val="fr-FR"/>
              </w:rPr>
              <w:lastRenderedPageBreak/>
              <w:t>La r</w:t>
            </w:r>
            <w:r w:rsidR="00496CAE" w:rsidRPr="00496CAE">
              <w:rPr>
                <w:bCs/>
                <w:lang w:val="fr-FR"/>
              </w:rPr>
              <w:t>é</w:t>
            </w:r>
            <w:r w:rsidRPr="00496CAE">
              <w:rPr>
                <w:bCs/>
                <w:lang w:val="fr-FR"/>
              </w:rPr>
              <w:t>solution sera abrogée à la</w:t>
            </w:r>
            <w:r w:rsidR="0033601A" w:rsidRPr="00496CAE">
              <w:rPr>
                <w:bCs/>
                <w:lang w:val="fr-FR"/>
              </w:rPr>
              <w:t xml:space="preserve"> COP 14 </w:t>
            </w:r>
            <w:r w:rsidRPr="00496CAE">
              <w:rPr>
                <w:bCs/>
                <w:lang w:val="fr-FR"/>
              </w:rPr>
              <w:t>et</w:t>
            </w:r>
            <w:r w:rsidR="0033601A" w:rsidRPr="00496CAE">
              <w:rPr>
                <w:bCs/>
                <w:lang w:val="fr-FR"/>
              </w:rPr>
              <w:t xml:space="preserve"> re</w:t>
            </w:r>
            <w:r w:rsidRPr="00496CAE">
              <w:rPr>
                <w:bCs/>
                <w:lang w:val="fr-FR"/>
              </w:rPr>
              <w:t>m</w:t>
            </w:r>
            <w:r w:rsidR="0033601A" w:rsidRPr="00496CAE">
              <w:rPr>
                <w:bCs/>
                <w:lang w:val="fr-FR"/>
              </w:rPr>
              <w:t>plac</w:t>
            </w:r>
            <w:r w:rsidRPr="00496CAE">
              <w:rPr>
                <w:bCs/>
                <w:lang w:val="fr-FR"/>
              </w:rPr>
              <w:t xml:space="preserve">ée par </w:t>
            </w:r>
            <w:r w:rsidRPr="00496CAE">
              <w:rPr>
                <w:bCs/>
                <w:lang w:val="fr-FR"/>
              </w:rPr>
              <w:lastRenderedPageBreak/>
              <w:t>la nouvelle approche de CESP</w:t>
            </w:r>
            <w:r w:rsidR="0033601A" w:rsidRPr="00496CAE">
              <w:rPr>
                <w:bCs/>
                <w:lang w:val="fr-FR"/>
              </w:rPr>
              <w:t xml:space="preserve">, </w:t>
            </w:r>
            <w:r w:rsidRPr="00496CAE">
              <w:rPr>
                <w:bCs/>
                <w:lang w:val="fr-FR"/>
              </w:rPr>
              <w:t>l’annexe CESP sur la vue d’ensemble pour le Plan stratégique</w:t>
            </w:r>
            <w:r w:rsidR="0033601A" w:rsidRPr="00496CAE">
              <w:rPr>
                <w:bCs/>
                <w:lang w:val="fr-FR"/>
              </w:rPr>
              <w:t xml:space="preserve">.  </w:t>
            </w:r>
          </w:p>
        </w:tc>
      </w:tr>
      <w:tr w:rsidR="009F25B7" w:rsidRPr="00F57666" w14:paraId="34655E62" w14:textId="77777777" w:rsidTr="006E6FA9">
        <w:tc>
          <w:tcPr>
            <w:tcW w:w="2523" w:type="dxa"/>
          </w:tcPr>
          <w:p w14:paraId="4FEE859E" w14:textId="77777777" w:rsidR="009F25B7" w:rsidRPr="001E0A62" w:rsidRDefault="009F25B7" w:rsidP="009F25B7">
            <w:pPr>
              <w:ind w:left="0" w:firstLine="0"/>
              <w:rPr>
                <w:b/>
                <w:lang w:val="fr-FR"/>
              </w:rPr>
            </w:pPr>
            <w:r w:rsidRPr="001E0A62">
              <w:rPr>
                <w:b/>
                <w:lang w:val="fr-FR"/>
              </w:rPr>
              <w:lastRenderedPageBreak/>
              <w:t xml:space="preserve">XII.11 </w:t>
            </w:r>
          </w:p>
          <w:p w14:paraId="4018E837" w14:textId="7880F45E" w:rsidR="009F25B7" w:rsidRPr="001E0A62" w:rsidRDefault="0092483D" w:rsidP="009F25B7">
            <w:pPr>
              <w:ind w:left="0" w:firstLine="0"/>
              <w:rPr>
                <w:bCs/>
                <w:lang w:val="fr-FR"/>
              </w:rPr>
            </w:pPr>
            <w:r w:rsidRPr="001E0A62">
              <w:rPr>
                <w:bCs/>
                <w:lang w:val="fr-FR"/>
              </w:rPr>
              <w:t>Les tourbières, les changements climatiques et l’utilisation rationnelle : implications pour la Convention de Ramsar</w:t>
            </w:r>
          </w:p>
        </w:tc>
        <w:tc>
          <w:tcPr>
            <w:tcW w:w="8817" w:type="dxa"/>
          </w:tcPr>
          <w:p w14:paraId="169162D2" w14:textId="7CA9D0DC" w:rsidR="009F25B7" w:rsidRPr="001E0A62" w:rsidRDefault="009F25B7" w:rsidP="009F25B7">
            <w:pPr>
              <w:ind w:left="0" w:firstLine="0"/>
              <w:rPr>
                <w:bCs/>
                <w:lang w:val="fr-FR"/>
              </w:rPr>
            </w:pPr>
            <w:r w:rsidRPr="001E0A62">
              <w:rPr>
                <w:rFonts w:asciiTheme="minorHAnsi" w:hAnsiTheme="minorHAnsi"/>
                <w:lang w:val="fr-FR"/>
              </w:rPr>
              <w:t xml:space="preserve">20 </w:t>
            </w:r>
            <w:r w:rsidR="0092483D" w:rsidRPr="001E0A62">
              <w:rPr>
                <w:rFonts w:asciiTheme="minorHAnsi" w:hAnsiTheme="minorHAnsi"/>
                <w:lang w:val="fr-FR"/>
              </w:rPr>
              <w:t xml:space="preserve">PRENANT NOTE du document de politique « </w:t>
            </w:r>
            <w:r w:rsidR="0092483D" w:rsidRPr="001E0A62">
              <w:rPr>
                <w:rFonts w:asciiTheme="minorHAnsi" w:hAnsiTheme="minorHAnsi"/>
                <w:i/>
                <w:iCs/>
                <w:lang w:val="fr-FR"/>
              </w:rPr>
              <w:t>Peatlands, climate change mitigation and biodiversity conservation</w:t>
            </w:r>
            <w:r w:rsidR="0092483D" w:rsidRPr="001E0A62">
              <w:rPr>
                <w:rFonts w:asciiTheme="minorHAnsi" w:hAnsiTheme="minorHAnsi"/>
                <w:lang w:val="fr-FR"/>
              </w:rPr>
              <w:t xml:space="preserve"> » et du rapport « </w:t>
            </w:r>
            <w:r w:rsidR="0092483D" w:rsidRPr="001E0A62">
              <w:rPr>
                <w:rFonts w:asciiTheme="minorHAnsi" w:hAnsiTheme="minorHAnsi"/>
                <w:i/>
                <w:iCs/>
                <w:lang w:val="fr-FR"/>
              </w:rPr>
              <w:t>Peatlands and Climate Change in a Ramsar context – a Nordic Baltic Perspective</w:t>
            </w:r>
            <w:r w:rsidR="0092483D" w:rsidRPr="001E0A62">
              <w:rPr>
                <w:rFonts w:asciiTheme="minorHAnsi" w:hAnsiTheme="minorHAnsi"/>
                <w:lang w:val="fr-FR"/>
              </w:rPr>
              <w:t xml:space="preserve"> » élaborés par l’Initiative régionale Ramsar NorBalWet </w:t>
            </w:r>
            <w:r w:rsidR="0092483D" w:rsidRPr="001E0A62">
              <w:rPr>
                <w:rFonts w:asciiTheme="minorHAnsi" w:hAnsiTheme="minorHAnsi"/>
                <w:b/>
                <w:bCs/>
                <w:lang w:val="fr-FR"/>
              </w:rPr>
              <w:t xml:space="preserve">qui peuvent inspirer d’autres initiatives régionales Ramsar et les Parties, le cas échéant </w:t>
            </w:r>
            <w:r w:rsidRPr="001E0A62">
              <w:rPr>
                <w:rFonts w:asciiTheme="minorHAnsi" w:hAnsiTheme="minorHAnsi"/>
                <w:lang w:val="fr-FR"/>
              </w:rPr>
              <w:t>;</w:t>
            </w:r>
          </w:p>
        </w:tc>
        <w:tc>
          <w:tcPr>
            <w:tcW w:w="2835" w:type="dxa"/>
          </w:tcPr>
          <w:p w14:paraId="6288C7C9" w14:textId="44B7F7BA" w:rsidR="009F25B7" w:rsidRPr="00152A81" w:rsidRDefault="008022AB" w:rsidP="009F25B7">
            <w:pPr>
              <w:ind w:left="0" w:firstLine="0"/>
              <w:rPr>
                <w:bCs/>
                <w:lang w:val="fr-FR"/>
              </w:rPr>
            </w:pPr>
            <w:r w:rsidRPr="008D6B86">
              <w:rPr>
                <w:bCs/>
                <w:lang w:val="fr-FR"/>
              </w:rPr>
              <w:t>Le texte en gras peut être supprimé lors du processus de regroupement des résolutions</w:t>
            </w:r>
            <w:r w:rsidR="0033601A" w:rsidRPr="00152A81">
              <w:rPr>
                <w:bCs/>
                <w:lang w:val="fr-FR"/>
              </w:rPr>
              <w:t>.</w:t>
            </w:r>
          </w:p>
        </w:tc>
      </w:tr>
      <w:tr w:rsidR="009F25B7" w:rsidRPr="00F57666" w14:paraId="0C4378E8" w14:textId="77777777" w:rsidTr="006E6FA9">
        <w:tc>
          <w:tcPr>
            <w:tcW w:w="2523" w:type="dxa"/>
          </w:tcPr>
          <w:p w14:paraId="2B2ACE7C" w14:textId="77777777" w:rsidR="009F25B7" w:rsidRPr="001E0A62" w:rsidRDefault="009F25B7" w:rsidP="009F25B7">
            <w:pPr>
              <w:ind w:left="0" w:firstLine="0"/>
              <w:rPr>
                <w:b/>
                <w:lang w:val="fr-FR"/>
              </w:rPr>
            </w:pPr>
            <w:r w:rsidRPr="001E0A62">
              <w:rPr>
                <w:b/>
                <w:lang w:val="fr-FR"/>
              </w:rPr>
              <w:t>XII.12</w:t>
            </w:r>
          </w:p>
          <w:p w14:paraId="4873A154" w14:textId="0034F90F" w:rsidR="009F25B7" w:rsidRPr="001E0A62" w:rsidRDefault="001E0A62" w:rsidP="009F25B7">
            <w:pPr>
              <w:ind w:left="0" w:firstLine="0"/>
              <w:rPr>
                <w:bCs/>
                <w:lang w:val="fr-FR"/>
              </w:rPr>
            </w:pPr>
            <w:r w:rsidRPr="001E0A62">
              <w:rPr>
                <w:bCs/>
                <w:lang w:val="fr-FR"/>
              </w:rPr>
              <w:t>Appel à l’action pour garantir et protéger les besoins en eau des zones humides, présents et futurs</w:t>
            </w:r>
          </w:p>
        </w:tc>
        <w:tc>
          <w:tcPr>
            <w:tcW w:w="8817" w:type="dxa"/>
          </w:tcPr>
          <w:p w14:paraId="5C8D0CE9" w14:textId="253610DD" w:rsidR="009F25B7" w:rsidRPr="001E0A62" w:rsidRDefault="009F25B7" w:rsidP="009F25B7">
            <w:pPr>
              <w:ind w:left="0" w:firstLine="0"/>
              <w:rPr>
                <w:bCs/>
                <w:lang w:val="fr-FR"/>
              </w:rPr>
            </w:pPr>
            <w:r w:rsidRPr="001E0A62">
              <w:rPr>
                <w:bCs/>
                <w:lang w:val="fr-FR"/>
              </w:rPr>
              <w:t xml:space="preserve">21 </w:t>
            </w:r>
            <w:r w:rsidR="001E0A62" w:rsidRPr="001E0A62">
              <w:rPr>
                <w:bCs/>
                <w:lang w:val="fr-FR"/>
              </w:rPr>
              <w:t>SE FÉLICITE du processus engagé au Mexique en vue de créer des réserves d’eau pour les zones humides, joint en annexe à la présente Résolution.</w:t>
            </w:r>
          </w:p>
          <w:p w14:paraId="2A352235" w14:textId="77777777" w:rsidR="009F25B7" w:rsidRPr="001E0A62" w:rsidRDefault="009F25B7" w:rsidP="009F25B7">
            <w:pPr>
              <w:ind w:left="0" w:firstLine="0"/>
              <w:rPr>
                <w:bCs/>
                <w:lang w:val="fr-FR"/>
              </w:rPr>
            </w:pPr>
          </w:p>
          <w:p w14:paraId="1700EE55" w14:textId="7741F00F" w:rsidR="009F25B7" w:rsidRPr="001E0A62" w:rsidRDefault="009F25B7" w:rsidP="009F25B7">
            <w:pPr>
              <w:ind w:left="0" w:firstLine="0"/>
              <w:rPr>
                <w:bCs/>
                <w:lang w:val="fr-FR"/>
              </w:rPr>
            </w:pPr>
            <w:r w:rsidRPr="001E0A62">
              <w:rPr>
                <w:bCs/>
                <w:lang w:val="fr-FR"/>
              </w:rPr>
              <w:t xml:space="preserve">22 </w:t>
            </w:r>
            <w:r w:rsidR="001E0A62" w:rsidRPr="001E0A62">
              <w:rPr>
                <w:bCs/>
                <w:lang w:val="fr-FR"/>
              </w:rPr>
              <w:t xml:space="preserve">ENCOURAGE les Parties contractantes à envisager la possibilité de s’inspirer de l’approche mexicaine, le cas échéant, afin de cerner les possibilités de prendre des mesures préventives, en adaptant le processus selon que de besoin, en fonction de la situation et du contexte nationaux et régionaux, dans le cadre </w:t>
            </w:r>
            <w:r w:rsidR="001E0A62" w:rsidRPr="001E0A62">
              <w:rPr>
                <w:b/>
                <w:lang w:val="fr-FR"/>
              </w:rPr>
              <w:t>des initiatives et engagements régionaux</w:t>
            </w:r>
            <w:r w:rsidR="001E0A62" w:rsidRPr="001E0A62">
              <w:rPr>
                <w:bCs/>
                <w:lang w:val="fr-FR"/>
              </w:rPr>
              <w:t xml:space="preserve"> en place et du développement durable.</w:t>
            </w:r>
          </w:p>
        </w:tc>
        <w:tc>
          <w:tcPr>
            <w:tcW w:w="2835" w:type="dxa"/>
          </w:tcPr>
          <w:p w14:paraId="19C3EC0D" w14:textId="3DA0C0B5" w:rsidR="009F25B7" w:rsidRPr="00152A81" w:rsidRDefault="007C1268" w:rsidP="009F25B7">
            <w:pPr>
              <w:ind w:left="0" w:firstLine="0"/>
              <w:rPr>
                <w:bCs/>
                <w:lang w:val="fr-FR"/>
              </w:rPr>
            </w:pPr>
            <w:r w:rsidRPr="007C1268">
              <w:rPr>
                <w:bCs/>
                <w:lang w:val="fr-FR"/>
              </w:rPr>
              <w:t xml:space="preserve">Le texte en gras peut être </w:t>
            </w:r>
            <w:r w:rsidR="007C3A6D">
              <w:rPr>
                <w:bCs/>
                <w:lang w:val="fr-FR"/>
              </w:rPr>
              <w:t>remplacé par</w:t>
            </w:r>
            <w:r w:rsidRPr="007C1268">
              <w:rPr>
                <w:bCs/>
                <w:lang w:val="fr-FR"/>
              </w:rPr>
              <w:t xml:space="preserve"> un texte plus général sur les coopérations </w:t>
            </w:r>
            <w:r>
              <w:rPr>
                <w:bCs/>
                <w:lang w:val="fr-FR"/>
              </w:rPr>
              <w:t>régionales</w:t>
            </w:r>
            <w:r w:rsidR="0033601A" w:rsidRPr="00152A81">
              <w:rPr>
                <w:bCs/>
                <w:lang w:val="fr-FR"/>
              </w:rPr>
              <w:t xml:space="preserve"> </w:t>
            </w:r>
            <w:r w:rsidRPr="007C1268">
              <w:rPr>
                <w:bCs/>
                <w:lang w:val="fr-FR"/>
              </w:rPr>
              <w:t>lors du processus de regroupement des résolutions</w:t>
            </w:r>
            <w:r w:rsidR="0033601A" w:rsidRPr="00152A81">
              <w:rPr>
                <w:bCs/>
                <w:lang w:val="fr-FR"/>
              </w:rPr>
              <w:t>.</w:t>
            </w:r>
          </w:p>
        </w:tc>
      </w:tr>
      <w:tr w:rsidR="009F25B7" w:rsidRPr="00F57666" w14:paraId="429D8C74" w14:textId="77777777" w:rsidTr="006E6FA9">
        <w:tc>
          <w:tcPr>
            <w:tcW w:w="2523" w:type="dxa"/>
          </w:tcPr>
          <w:p w14:paraId="78D6AE16" w14:textId="77777777" w:rsidR="009F25B7" w:rsidRPr="00EA5A0F" w:rsidRDefault="009F25B7" w:rsidP="009F25B7">
            <w:pPr>
              <w:ind w:left="0" w:firstLine="0"/>
              <w:rPr>
                <w:b/>
                <w:lang w:val="fr-FR"/>
              </w:rPr>
            </w:pPr>
            <w:r w:rsidRPr="00EA5A0F">
              <w:rPr>
                <w:b/>
                <w:lang w:val="fr-FR"/>
              </w:rPr>
              <w:t xml:space="preserve">XI.6 </w:t>
            </w:r>
          </w:p>
          <w:p w14:paraId="5EA8F3FF" w14:textId="7B916341" w:rsidR="009F25B7" w:rsidRPr="00EA5A0F" w:rsidRDefault="00041CBE" w:rsidP="009F25B7">
            <w:pPr>
              <w:ind w:left="0" w:firstLine="0"/>
              <w:rPr>
                <w:bCs/>
                <w:lang w:val="fr-FR"/>
              </w:rPr>
            </w:pPr>
            <w:r w:rsidRPr="00EA5A0F">
              <w:rPr>
                <w:bCs/>
                <w:lang w:val="fr-FR"/>
              </w:rPr>
              <w:t xml:space="preserve">Partenariats et synergies avec les Accords </w:t>
            </w:r>
            <w:r w:rsidRPr="00EA5A0F">
              <w:rPr>
                <w:bCs/>
                <w:lang w:val="fr-FR"/>
              </w:rPr>
              <w:lastRenderedPageBreak/>
              <w:t>multilatéraux sur l’environnement et autres institutions</w:t>
            </w:r>
          </w:p>
        </w:tc>
        <w:tc>
          <w:tcPr>
            <w:tcW w:w="8817" w:type="dxa"/>
          </w:tcPr>
          <w:p w14:paraId="12A56604" w14:textId="4205E405" w:rsidR="009F25B7" w:rsidRPr="00937687" w:rsidRDefault="009F25B7" w:rsidP="009F25B7">
            <w:pPr>
              <w:ind w:left="0" w:firstLine="0"/>
              <w:rPr>
                <w:bCs/>
                <w:spacing w:val="-4"/>
                <w:lang w:val="fr-FR"/>
              </w:rPr>
            </w:pPr>
            <w:r w:rsidRPr="00937687">
              <w:rPr>
                <w:bCs/>
                <w:spacing w:val="-4"/>
                <w:lang w:val="fr-FR"/>
              </w:rPr>
              <w:lastRenderedPageBreak/>
              <w:t>3</w:t>
            </w:r>
            <w:r w:rsidR="00EA5A0F" w:rsidRPr="00937687">
              <w:rPr>
                <w:bCs/>
                <w:spacing w:val="-4"/>
                <w:lang w:val="fr-FR"/>
              </w:rPr>
              <w:t>6</w:t>
            </w:r>
            <w:r w:rsidRPr="00937687">
              <w:rPr>
                <w:bCs/>
                <w:spacing w:val="-4"/>
                <w:lang w:val="fr-FR"/>
              </w:rPr>
              <w:t xml:space="preserve"> </w:t>
            </w:r>
            <w:r w:rsidR="00EA5A0F" w:rsidRPr="00937687">
              <w:rPr>
                <w:bCs/>
                <w:spacing w:val="-4"/>
                <w:lang w:val="fr-FR"/>
              </w:rPr>
              <w:t xml:space="preserve">DEMANDE au Secrétariat de continuer d’examiner ses mémorandums de coopération avec d’autres accords mondiaux et régionaux sur l’environnement et autres organisations en vue de réactiver ceux qui sont le plus susceptibles d’être bénéfiques aux travaux de la Convention dans la </w:t>
            </w:r>
            <w:r w:rsidR="00EA5A0F" w:rsidRPr="00937687">
              <w:rPr>
                <w:bCs/>
                <w:spacing w:val="-4"/>
                <w:lang w:val="fr-FR"/>
              </w:rPr>
              <w:lastRenderedPageBreak/>
              <w:t xml:space="preserve">limite du temps et des ressources disponibles, en tenant compte de l’approche et des priorités établies dans le « Cadre pour les partenariats stratégiques de la Convention de Ramsar » et ENCOURAGE EN OUTRE le Secrétariat à continuer d’établir et de renforcer les partenariats et les relations de travail avec des groupes intergouvernementaux, régionaux et infrarégionaux, notamment avec des organisations régionales et infrarégionales </w:t>
            </w:r>
            <w:r w:rsidR="00EA5A0F" w:rsidRPr="00937687">
              <w:rPr>
                <w:b/>
                <w:spacing w:val="-4"/>
                <w:lang w:val="fr-FR"/>
              </w:rPr>
              <w:t>et en particulier avec les Initiatives régionales</w:t>
            </w:r>
            <w:r w:rsidR="00EA5A0F" w:rsidRPr="00937687">
              <w:rPr>
                <w:bCs/>
                <w:spacing w:val="-4"/>
                <w:lang w:val="fr-FR"/>
              </w:rPr>
              <w:t>, dans le but de renforcer le rôle et la visibilité de la Convention dans ces régions.</w:t>
            </w:r>
          </w:p>
        </w:tc>
        <w:tc>
          <w:tcPr>
            <w:tcW w:w="2835" w:type="dxa"/>
          </w:tcPr>
          <w:p w14:paraId="6E475BE7" w14:textId="64D635C0" w:rsidR="009F25B7" w:rsidRPr="00152A81" w:rsidRDefault="00496CAE" w:rsidP="009F25B7">
            <w:pPr>
              <w:ind w:left="0" w:firstLine="0"/>
              <w:rPr>
                <w:bCs/>
                <w:lang w:val="fr-FR"/>
              </w:rPr>
            </w:pPr>
            <w:r w:rsidRPr="008D6B86">
              <w:rPr>
                <w:bCs/>
                <w:lang w:val="fr-FR"/>
              </w:rPr>
              <w:lastRenderedPageBreak/>
              <w:t xml:space="preserve">Le texte en gras peut être supprimé lors du processus de regroupement des </w:t>
            </w:r>
            <w:r w:rsidRPr="008D6B86">
              <w:rPr>
                <w:bCs/>
                <w:lang w:val="fr-FR"/>
              </w:rPr>
              <w:lastRenderedPageBreak/>
              <w:t>résolutions</w:t>
            </w:r>
            <w:r w:rsidR="0033601A" w:rsidRPr="00152A81">
              <w:rPr>
                <w:bCs/>
                <w:lang w:val="fr-FR"/>
              </w:rPr>
              <w:t>.</w:t>
            </w:r>
          </w:p>
        </w:tc>
      </w:tr>
      <w:tr w:rsidR="009F25B7" w:rsidRPr="00F57666" w14:paraId="14A4A426" w14:textId="77777777" w:rsidTr="006E6FA9">
        <w:tc>
          <w:tcPr>
            <w:tcW w:w="2523" w:type="dxa"/>
          </w:tcPr>
          <w:p w14:paraId="3FE59BA8" w14:textId="77777777" w:rsidR="009F25B7" w:rsidRPr="00EA5A0F" w:rsidRDefault="009F25B7" w:rsidP="009F25B7">
            <w:pPr>
              <w:ind w:left="0" w:firstLine="0"/>
              <w:rPr>
                <w:b/>
                <w:lang w:val="fr-FR"/>
              </w:rPr>
            </w:pPr>
            <w:r w:rsidRPr="00EA5A0F">
              <w:rPr>
                <w:b/>
                <w:lang w:val="fr-FR"/>
              </w:rPr>
              <w:lastRenderedPageBreak/>
              <w:t xml:space="preserve">XI.10 </w:t>
            </w:r>
          </w:p>
          <w:p w14:paraId="78B31591" w14:textId="4E2C7DDC" w:rsidR="009F25B7" w:rsidRPr="00EA5A0F" w:rsidRDefault="00EA5A0F" w:rsidP="009F25B7">
            <w:pPr>
              <w:ind w:left="0" w:firstLine="0"/>
              <w:rPr>
                <w:bCs/>
                <w:lang w:val="fr-FR"/>
              </w:rPr>
            </w:pPr>
            <w:r w:rsidRPr="00EA5A0F">
              <w:rPr>
                <w:bCs/>
                <w:lang w:val="fr-FR"/>
              </w:rPr>
              <w:t>Les zones humides et les questions relatives à l’énergie</w:t>
            </w:r>
          </w:p>
        </w:tc>
        <w:tc>
          <w:tcPr>
            <w:tcW w:w="8817" w:type="dxa"/>
          </w:tcPr>
          <w:p w14:paraId="54B33A71" w14:textId="293064AC" w:rsidR="009F25B7" w:rsidRPr="00EA5A0F" w:rsidRDefault="009F25B7" w:rsidP="009F25B7">
            <w:pPr>
              <w:ind w:left="34" w:hanging="34"/>
              <w:rPr>
                <w:lang w:val="fr-FR"/>
              </w:rPr>
            </w:pPr>
            <w:r w:rsidRPr="00EA5A0F">
              <w:rPr>
                <w:lang w:val="fr-FR"/>
              </w:rPr>
              <w:t xml:space="preserve">14 </w:t>
            </w:r>
            <w:r w:rsidR="00EA5A0F" w:rsidRPr="00EA5A0F">
              <w:rPr>
                <w:lang w:val="fr-FR"/>
              </w:rPr>
              <w:t xml:space="preserve">ACCUEILLE AVEC SATISFACTION les « </w:t>
            </w:r>
            <w:r w:rsidR="00EA5A0F" w:rsidRPr="00EA5A0F">
              <w:rPr>
                <w:i/>
                <w:iCs/>
                <w:lang w:val="fr-FR"/>
              </w:rPr>
              <w:t>Orientations sur les conséquences pour les zones humides des politiques, plans et activités du secteur de l’énergie</w:t>
            </w:r>
            <w:r w:rsidR="00EA5A0F" w:rsidRPr="00EA5A0F">
              <w:rPr>
                <w:lang w:val="fr-FR"/>
              </w:rPr>
              <w:t xml:space="preserve"> » annexées à la présente Résolution et INVITE les Parties contractantes à en faire usage, en les adaptant si nécessaire aux conditions et circonstances nationales, dans le cadre </w:t>
            </w:r>
            <w:r w:rsidR="00EA5A0F" w:rsidRPr="00EA5A0F">
              <w:rPr>
                <w:b/>
                <w:bCs/>
                <w:lang w:val="fr-FR"/>
              </w:rPr>
              <w:t>d’initiatives et d’engagements régionaux</w:t>
            </w:r>
            <w:r w:rsidR="00EA5A0F" w:rsidRPr="00EA5A0F">
              <w:rPr>
                <w:lang w:val="fr-FR"/>
              </w:rPr>
              <w:t xml:space="preserve"> existants</w:t>
            </w:r>
            <w:r w:rsidR="00EA5A0F">
              <w:rPr>
                <w:lang w:val="fr-FR"/>
              </w:rPr>
              <w:t xml:space="preserve"> </w:t>
            </w:r>
            <w:r w:rsidRPr="00EA5A0F">
              <w:rPr>
                <w:lang w:val="fr-FR"/>
              </w:rPr>
              <w:t xml:space="preserve">; </w:t>
            </w:r>
          </w:p>
          <w:p w14:paraId="7AD5F603" w14:textId="77777777" w:rsidR="009F25B7" w:rsidRPr="00EA5A0F" w:rsidRDefault="009F25B7" w:rsidP="009F25B7">
            <w:pPr>
              <w:ind w:left="34" w:hanging="34"/>
              <w:rPr>
                <w:lang w:val="fr-FR"/>
              </w:rPr>
            </w:pPr>
          </w:p>
          <w:p w14:paraId="094F4C4C" w14:textId="4092F154" w:rsidR="009F25B7" w:rsidRPr="00EA5A0F" w:rsidRDefault="009F25B7" w:rsidP="009F25B7">
            <w:pPr>
              <w:ind w:left="0" w:firstLine="0"/>
              <w:rPr>
                <w:bCs/>
                <w:lang w:val="fr-FR"/>
              </w:rPr>
            </w:pPr>
            <w:r w:rsidRPr="00EA5A0F">
              <w:rPr>
                <w:lang w:val="fr-FR"/>
              </w:rPr>
              <w:t xml:space="preserve">15…… </w:t>
            </w:r>
            <w:r w:rsidR="00EA5A0F" w:rsidRPr="00EA5A0F">
              <w:rPr>
                <w:lang w:val="fr-FR"/>
              </w:rPr>
              <w:t>et</w:t>
            </w:r>
            <w:r w:rsidRPr="00EA5A0F">
              <w:rPr>
                <w:lang w:val="fr-FR"/>
              </w:rPr>
              <w:t xml:space="preserve"> </w:t>
            </w:r>
            <w:r w:rsidR="00EA5A0F" w:rsidRPr="00EA5A0F">
              <w:rPr>
                <w:lang w:val="fr-FR"/>
              </w:rPr>
              <w:t xml:space="preserve">DEMANDE au Secrétariat, en collaboration avec le Groupe d’évaluation scientifique et technique (GEST), le Groupe de surveillance des activités de CESP, </w:t>
            </w:r>
            <w:r w:rsidR="00EA5A0F" w:rsidRPr="00EA5A0F">
              <w:rPr>
                <w:b/>
                <w:bCs/>
                <w:lang w:val="fr-FR"/>
              </w:rPr>
              <w:t>les Initiatives régionales</w:t>
            </w:r>
            <w:r w:rsidR="00EA5A0F" w:rsidRPr="00EA5A0F">
              <w:rPr>
                <w:lang w:val="fr-FR"/>
              </w:rPr>
              <w:t xml:space="preserve"> et les Parties contractantes, de soutenir, si les ressources le permettent, les efforts de formation et de renforcement des capacités des Parties contractantes</w:t>
            </w:r>
            <w:r w:rsidR="00EA5A0F">
              <w:rPr>
                <w:lang w:val="fr-FR"/>
              </w:rPr>
              <w:t xml:space="preserve"> </w:t>
            </w:r>
            <w:r w:rsidRPr="00EA5A0F">
              <w:rPr>
                <w:lang w:val="fr-FR"/>
              </w:rPr>
              <w:t>;</w:t>
            </w:r>
          </w:p>
        </w:tc>
        <w:tc>
          <w:tcPr>
            <w:tcW w:w="2835" w:type="dxa"/>
          </w:tcPr>
          <w:p w14:paraId="422EB363" w14:textId="39FA3DDB" w:rsidR="009F25B7" w:rsidRPr="00152A81" w:rsidRDefault="0079067F" w:rsidP="009F25B7">
            <w:pPr>
              <w:ind w:left="0" w:firstLine="0"/>
              <w:rPr>
                <w:bCs/>
                <w:lang w:val="fr-FR"/>
              </w:rPr>
            </w:pPr>
            <w:r w:rsidRPr="007C1268">
              <w:rPr>
                <w:bCs/>
                <w:lang w:val="fr-FR"/>
              </w:rPr>
              <w:t xml:space="preserve">Le texte en gras peut être </w:t>
            </w:r>
            <w:r w:rsidR="007C3A6D">
              <w:rPr>
                <w:bCs/>
                <w:lang w:val="fr-FR"/>
              </w:rPr>
              <w:t>remplacé par</w:t>
            </w:r>
            <w:r w:rsidRPr="007C1268">
              <w:rPr>
                <w:bCs/>
                <w:lang w:val="fr-FR"/>
              </w:rPr>
              <w:t xml:space="preserve"> un texte plus général sur les coopérations </w:t>
            </w:r>
            <w:r>
              <w:rPr>
                <w:bCs/>
                <w:lang w:val="fr-FR"/>
              </w:rPr>
              <w:t>régionales</w:t>
            </w:r>
            <w:r w:rsidRPr="00152A81">
              <w:rPr>
                <w:bCs/>
                <w:lang w:val="fr-FR"/>
              </w:rPr>
              <w:t xml:space="preserve"> </w:t>
            </w:r>
            <w:r w:rsidRPr="007C1268">
              <w:rPr>
                <w:bCs/>
                <w:lang w:val="fr-FR"/>
              </w:rPr>
              <w:t>lors du processus de regroupement des résolutions</w:t>
            </w:r>
            <w:r>
              <w:rPr>
                <w:bCs/>
                <w:lang w:val="fr-FR"/>
              </w:rPr>
              <w:t>.</w:t>
            </w:r>
          </w:p>
        </w:tc>
      </w:tr>
      <w:tr w:rsidR="009F25B7" w:rsidRPr="00F57666" w14:paraId="5B21F989" w14:textId="77777777" w:rsidTr="006E6FA9">
        <w:tc>
          <w:tcPr>
            <w:tcW w:w="2523" w:type="dxa"/>
          </w:tcPr>
          <w:p w14:paraId="27594CC3" w14:textId="77777777" w:rsidR="009F25B7" w:rsidRPr="00C03EA3" w:rsidRDefault="009F25B7" w:rsidP="009F25B7">
            <w:pPr>
              <w:ind w:left="0" w:firstLine="0"/>
              <w:rPr>
                <w:b/>
                <w:lang w:val="fr-FR"/>
              </w:rPr>
            </w:pPr>
            <w:r w:rsidRPr="00C03EA3">
              <w:rPr>
                <w:b/>
                <w:lang w:val="fr-FR"/>
              </w:rPr>
              <w:t xml:space="preserve">XI.11 </w:t>
            </w:r>
          </w:p>
          <w:p w14:paraId="16E3E190" w14:textId="7CCD15EB" w:rsidR="009F25B7" w:rsidRPr="00C03EA3" w:rsidRDefault="00C03EA3" w:rsidP="009F25B7">
            <w:pPr>
              <w:ind w:left="0" w:firstLine="0"/>
              <w:rPr>
                <w:bCs/>
                <w:lang w:val="fr-FR"/>
              </w:rPr>
            </w:pPr>
            <w:r w:rsidRPr="00C03EA3">
              <w:rPr>
                <w:bCs/>
                <w:lang w:val="fr-FR"/>
              </w:rPr>
              <w:t>Principes pour la planification et la gestion des zones humides urbaines et périurbaines</w:t>
            </w:r>
          </w:p>
        </w:tc>
        <w:tc>
          <w:tcPr>
            <w:tcW w:w="8817" w:type="dxa"/>
          </w:tcPr>
          <w:p w14:paraId="3F511ECA" w14:textId="6E007A6B" w:rsidR="009F25B7" w:rsidRPr="00C03EA3" w:rsidRDefault="009F25B7" w:rsidP="009F25B7">
            <w:pPr>
              <w:ind w:left="0" w:firstLine="0"/>
              <w:rPr>
                <w:bCs/>
                <w:lang w:val="fr-FR"/>
              </w:rPr>
            </w:pPr>
            <w:r w:rsidRPr="00C03EA3">
              <w:rPr>
                <w:rFonts w:asciiTheme="minorHAnsi" w:hAnsiTheme="minorHAnsi"/>
                <w:lang w:val="fr-FR"/>
              </w:rPr>
              <w:t xml:space="preserve">27 </w:t>
            </w:r>
            <w:r w:rsidR="00C03EA3" w:rsidRPr="00C03EA3">
              <w:rPr>
                <w:rFonts w:asciiTheme="minorHAnsi" w:hAnsiTheme="minorHAnsi"/>
                <w:lang w:val="fr-FR"/>
              </w:rPr>
              <w:t xml:space="preserve">DEMANDE au Secrétariat Ramsar et au Groupe d’évaluation scientifique et technique (GEST) de renforcer les initiatives en collaboration avec ONU-Habitat et de poursuivre le développement de la collaboration avec </w:t>
            </w:r>
            <w:r w:rsidR="00C03EA3" w:rsidRPr="00C03EA3">
              <w:rPr>
                <w:rFonts w:asciiTheme="minorHAnsi" w:hAnsiTheme="minorHAnsi"/>
                <w:b/>
                <w:bCs/>
                <w:lang w:val="fr-FR"/>
              </w:rPr>
              <w:t>les Initiatives régionales Ramsar,</w:t>
            </w:r>
            <w:r w:rsidR="00C03EA3" w:rsidRPr="00C03EA3">
              <w:rPr>
                <w:rFonts w:asciiTheme="minorHAnsi" w:hAnsiTheme="minorHAnsi"/>
                <w:lang w:val="fr-FR"/>
              </w:rPr>
              <w:t xml:space="preserve"> la CDB, l’ICLEI, les OIP Ramsar et autres acteurs urbains appropriés, y compris des villes individuelles, afin d’encourager les projets de sites pilotes à la fois utiles aux communautés urbaines locales et encourageant l’utilisation rationnelle des zones humides </w:t>
            </w:r>
            <w:r w:rsidRPr="00C03EA3">
              <w:rPr>
                <w:rFonts w:asciiTheme="minorHAnsi" w:hAnsiTheme="minorHAnsi"/>
                <w:lang w:val="fr-FR"/>
              </w:rPr>
              <w:t>;</w:t>
            </w:r>
          </w:p>
        </w:tc>
        <w:tc>
          <w:tcPr>
            <w:tcW w:w="2835" w:type="dxa"/>
          </w:tcPr>
          <w:p w14:paraId="2616FE2E" w14:textId="07AF74B7" w:rsidR="009F25B7" w:rsidRPr="00152A81" w:rsidRDefault="0079067F" w:rsidP="009F25B7">
            <w:pPr>
              <w:ind w:left="0" w:firstLine="0"/>
              <w:rPr>
                <w:bCs/>
                <w:lang w:val="fr-FR"/>
              </w:rPr>
            </w:pPr>
            <w:r w:rsidRPr="007C1268">
              <w:rPr>
                <w:bCs/>
                <w:lang w:val="fr-FR"/>
              </w:rPr>
              <w:t xml:space="preserve">Le texte en gras peut être </w:t>
            </w:r>
            <w:r w:rsidR="007C3A6D">
              <w:rPr>
                <w:bCs/>
                <w:lang w:val="fr-FR"/>
              </w:rPr>
              <w:t>remplacé par</w:t>
            </w:r>
            <w:r w:rsidRPr="007C1268">
              <w:rPr>
                <w:bCs/>
                <w:lang w:val="fr-FR"/>
              </w:rPr>
              <w:t xml:space="preserve"> un texte plus général sur les coopérations </w:t>
            </w:r>
            <w:r>
              <w:rPr>
                <w:bCs/>
                <w:lang w:val="fr-FR"/>
              </w:rPr>
              <w:t>régionales</w:t>
            </w:r>
            <w:r w:rsidRPr="00152A81">
              <w:rPr>
                <w:bCs/>
                <w:lang w:val="fr-FR"/>
              </w:rPr>
              <w:t xml:space="preserve"> </w:t>
            </w:r>
            <w:r w:rsidRPr="007C1268">
              <w:rPr>
                <w:bCs/>
                <w:lang w:val="fr-FR"/>
              </w:rPr>
              <w:t>lors du processus de regroupement des résolutions</w:t>
            </w:r>
            <w:r w:rsidR="0033601A" w:rsidRPr="00152A81">
              <w:rPr>
                <w:bCs/>
                <w:lang w:val="fr-FR"/>
              </w:rPr>
              <w:t>.</w:t>
            </w:r>
          </w:p>
        </w:tc>
      </w:tr>
      <w:tr w:rsidR="009F25B7" w:rsidRPr="00F57666" w14:paraId="2E942A79" w14:textId="77777777" w:rsidTr="006E6FA9">
        <w:tc>
          <w:tcPr>
            <w:tcW w:w="2523" w:type="dxa"/>
          </w:tcPr>
          <w:p w14:paraId="64FAC0C2" w14:textId="77777777" w:rsidR="009F25B7" w:rsidRPr="00C03EA3" w:rsidRDefault="009F25B7" w:rsidP="009F25B7">
            <w:pPr>
              <w:ind w:left="0" w:firstLine="0"/>
              <w:rPr>
                <w:b/>
                <w:lang w:val="fr-FR"/>
              </w:rPr>
            </w:pPr>
            <w:r w:rsidRPr="00C03EA3">
              <w:rPr>
                <w:b/>
                <w:lang w:val="fr-FR"/>
              </w:rPr>
              <w:t xml:space="preserve">XI.14 </w:t>
            </w:r>
          </w:p>
          <w:p w14:paraId="1B7D8387" w14:textId="2E73F2FF" w:rsidR="009F25B7" w:rsidRPr="00C03EA3" w:rsidRDefault="00C03EA3" w:rsidP="009F25B7">
            <w:pPr>
              <w:ind w:left="0" w:firstLine="0"/>
              <w:rPr>
                <w:bCs/>
                <w:lang w:val="fr-FR"/>
              </w:rPr>
            </w:pPr>
            <w:r w:rsidRPr="00C03EA3">
              <w:rPr>
                <w:bCs/>
                <w:lang w:val="fr-FR"/>
              </w:rPr>
              <w:t>Les changements climatiques et les zones humides : implications pour la Convention de Ramsar sur les zones humides</w:t>
            </w:r>
          </w:p>
        </w:tc>
        <w:tc>
          <w:tcPr>
            <w:tcW w:w="8817" w:type="dxa"/>
          </w:tcPr>
          <w:p w14:paraId="0637808A" w14:textId="31411DF9" w:rsidR="009F25B7" w:rsidRPr="00937687" w:rsidRDefault="009F25B7" w:rsidP="00937687">
            <w:pPr>
              <w:pStyle w:val="NormalWeb"/>
              <w:spacing w:before="0" w:beforeAutospacing="0" w:after="0" w:afterAutospacing="0"/>
              <w:rPr>
                <w:rFonts w:asciiTheme="minorHAnsi" w:hAnsiTheme="minorHAnsi"/>
                <w:spacing w:val="-2"/>
                <w:sz w:val="22"/>
                <w:szCs w:val="22"/>
              </w:rPr>
            </w:pPr>
            <w:r w:rsidRPr="00937687">
              <w:rPr>
                <w:rFonts w:asciiTheme="minorHAnsi" w:hAnsiTheme="minorHAnsi"/>
                <w:spacing w:val="-2"/>
                <w:sz w:val="22"/>
                <w:szCs w:val="22"/>
              </w:rPr>
              <w:t xml:space="preserve">32 </w:t>
            </w:r>
            <w:r w:rsidR="00C03EA3" w:rsidRPr="00937687">
              <w:rPr>
                <w:rFonts w:asciiTheme="minorHAnsi" w:hAnsiTheme="minorHAnsi"/>
                <w:spacing w:val="-2"/>
                <w:sz w:val="22"/>
                <w:szCs w:val="22"/>
              </w:rPr>
              <w:t>ENCOURAGE les Parties contractantes et les organisations pertinentes à entreprendre des études sur le rôle de la conservation et/ou de la restauration des zones humides boisées et non boisées en rapport avec i) l’atténuation des changements climatiques, y compris le rôle des zones humides dans le piégeage et le stockage du carbone, les émissions de gaz à effet de serre provenant de zones humides dégradées, la prévention des émissions de gaz à effet de serre issues de l’élimination des puits de carbone des zones humides et ii) l’adaptation aux changements climatiques, y compris la régulation de l’eau aux niveaux local et régional, comme par exemple la réduction des risques d’inondation, l’approvisionnement en eau et le stockage de l’eau, et la réduction des effets de l’élévation du niveau de la mer et des phénomènes météorologiques extrêmes, y compris les précipitations extrêmes; et à coopérer, au sein des</w:t>
            </w:r>
            <w:r w:rsidR="00C03EA3" w:rsidRPr="00937687">
              <w:rPr>
                <w:rFonts w:asciiTheme="minorHAnsi" w:hAnsiTheme="minorHAnsi"/>
                <w:b/>
                <w:bCs/>
                <w:spacing w:val="-2"/>
                <w:sz w:val="22"/>
                <w:szCs w:val="22"/>
              </w:rPr>
              <w:t xml:space="preserve"> Initiatives régionales ou d’autres</w:t>
            </w:r>
            <w:r w:rsidR="00C03EA3" w:rsidRPr="00937687">
              <w:rPr>
                <w:rFonts w:asciiTheme="minorHAnsi" w:hAnsiTheme="minorHAnsi"/>
                <w:spacing w:val="-2"/>
                <w:sz w:val="22"/>
                <w:szCs w:val="22"/>
              </w:rPr>
              <w:t xml:space="preserve"> forums régionaux de coopération en vue d’élaborer et de diffuser des connaissances </w:t>
            </w:r>
            <w:r w:rsidR="00C03EA3" w:rsidRPr="00937687">
              <w:rPr>
                <w:rFonts w:asciiTheme="minorHAnsi" w:hAnsiTheme="minorHAnsi"/>
                <w:spacing w:val="-2"/>
                <w:sz w:val="22"/>
                <w:szCs w:val="22"/>
              </w:rPr>
              <w:lastRenderedPageBreak/>
              <w:t xml:space="preserve">sur les résultats ; et INVITE les Parties contractantes et d’autres organisations à mettre leurs conclusions à la disposition du Secrétariat Ramsar, du Secrétariat de la CCNUCC et d’autres organismes compétents au moyen des processus de communication de rapports existants. </w:t>
            </w:r>
          </w:p>
          <w:p w14:paraId="1A4AD686" w14:textId="13BD37F1" w:rsidR="009F25B7" w:rsidRPr="00B21864" w:rsidRDefault="009F25B7" w:rsidP="006E6FA9">
            <w:pPr>
              <w:pStyle w:val="NormalWeb"/>
              <w:rPr>
                <w:rFonts w:asciiTheme="minorHAnsi" w:hAnsiTheme="minorHAnsi"/>
                <w:sz w:val="22"/>
                <w:szCs w:val="22"/>
              </w:rPr>
            </w:pPr>
            <w:r w:rsidRPr="00B21864">
              <w:rPr>
                <w:rFonts w:asciiTheme="minorHAnsi" w:hAnsiTheme="minorHAnsi"/>
                <w:sz w:val="22"/>
                <w:szCs w:val="22"/>
              </w:rPr>
              <w:t xml:space="preserve">35 </w:t>
            </w:r>
            <w:r w:rsidR="00C03EA3" w:rsidRPr="00B21864">
              <w:rPr>
                <w:rFonts w:asciiTheme="minorHAnsi" w:hAnsiTheme="minorHAnsi"/>
                <w:sz w:val="22"/>
                <w:szCs w:val="22"/>
              </w:rPr>
              <w:t>DEMANDE au Groupe d’évaluation scientifique et technique (GEST) de :</w:t>
            </w:r>
          </w:p>
          <w:p w14:paraId="61DEA48A" w14:textId="60645C3F" w:rsidR="009F25B7" w:rsidRPr="00B21864" w:rsidRDefault="00B21864" w:rsidP="009F25B7">
            <w:pPr>
              <w:pStyle w:val="NormalWeb"/>
              <w:rPr>
                <w:rFonts w:asciiTheme="minorHAnsi" w:hAnsiTheme="minorHAnsi" w:cstheme="minorHAnsi"/>
                <w:sz w:val="22"/>
                <w:szCs w:val="22"/>
              </w:rPr>
            </w:pPr>
            <w:r w:rsidRPr="00B21864">
              <w:rPr>
                <w:rFonts w:asciiTheme="minorHAnsi" w:hAnsiTheme="minorHAnsi" w:cstheme="minorHAnsi"/>
                <w:sz w:val="22"/>
                <w:szCs w:val="22"/>
              </w:rPr>
              <w:t xml:space="preserve">iv) de concert avec le Secrétariat, </w:t>
            </w:r>
            <w:r w:rsidRPr="00047A9E">
              <w:rPr>
                <w:rFonts w:asciiTheme="minorHAnsi" w:hAnsiTheme="minorHAnsi" w:cstheme="minorHAnsi"/>
                <w:b/>
                <w:bCs/>
                <w:sz w:val="22"/>
                <w:szCs w:val="22"/>
              </w:rPr>
              <w:t>les Réseaux d’Initiatives régionales et de Centres Ramsar,</w:t>
            </w:r>
            <w:r w:rsidRPr="00B21864">
              <w:rPr>
                <w:rFonts w:asciiTheme="minorHAnsi" w:hAnsiTheme="minorHAnsi" w:cstheme="minorHAnsi"/>
                <w:sz w:val="22"/>
                <w:szCs w:val="22"/>
              </w:rPr>
              <w:t xml:space="preserve"> collaborer avec les organisations et conventions compétentes, dans le cadre de leurs mandats respectifs, pour examiner plus en détail la contribution éventuelle des écosystèmes de zones humides à l’atténuation des changements climatiques et à l’adaptation à leurs effets, notamment </w:t>
            </w:r>
            <w:r w:rsidR="009F25B7" w:rsidRPr="00B21864">
              <w:rPr>
                <w:rFonts w:asciiTheme="minorHAnsi" w:hAnsiTheme="minorHAnsi" w:cstheme="minorHAnsi"/>
                <w:sz w:val="22"/>
                <w:szCs w:val="22"/>
              </w:rPr>
              <w:t xml:space="preserve">: </w:t>
            </w:r>
          </w:p>
          <w:p w14:paraId="1E33EEA8" w14:textId="13C05226" w:rsidR="00B21864" w:rsidRPr="00B21864" w:rsidRDefault="00B21864" w:rsidP="00B21864">
            <w:pPr>
              <w:ind w:left="311" w:hanging="311"/>
              <w:rPr>
                <w:rFonts w:asciiTheme="minorHAnsi" w:eastAsiaTheme="minorHAnsi" w:hAnsiTheme="minorHAnsi"/>
                <w:lang w:val="fr-FR" w:eastAsia="fr-FR"/>
              </w:rPr>
            </w:pPr>
            <w:r w:rsidRPr="00B21864">
              <w:rPr>
                <w:rFonts w:asciiTheme="minorHAnsi" w:eastAsiaTheme="minorHAnsi" w:hAnsiTheme="minorHAnsi"/>
                <w:lang w:val="fr-FR" w:eastAsia="fr-FR"/>
              </w:rPr>
              <w:t>a) en préparant des avis sur l’évaluation de la résilience sociale et de la vulnérabilité des zones humides aux changements climatiques, en complément de l’avis existant sur la vulnérabilité biophysique des zones humides aux changements climatiques (Rapport technique Ramsar n°5/volume 57 des Séries techniques de la CDB)</w:t>
            </w:r>
            <w:r>
              <w:rPr>
                <w:rFonts w:asciiTheme="minorHAnsi" w:eastAsiaTheme="minorHAnsi" w:hAnsiTheme="minorHAnsi"/>
                <w:lang w:val="fr-FR" w:eastAsia="fr-FR"/>
              </w:rPr>
              <w:t xml:space="preserve"> </w:t>
            </w:r>
            <w:r w:rsidRPr="00B21864">
              <w:rPr>
                <w:rFonts w:asciiTheme="minorHAnsi" w:eastAsiaTheme="minorHAnsi" w:hAnsiTheme="minorHAnsi"/>
                <w:lang w:val="fr-FR" w:eastAsia="fr-FR"/>
              </w:rPr>
              <w:t>;</w:t>
            </w:r>
          </w:p>
          <w:p w14:paraId="51800900" w14:textId="541C30DA" w:rsidR="00B21864" w:rsidRPr="00B21864" w:rsidRDefault="00B21864" w:rsidP="00B21864">
            <w:pPr>
              <w:ind w:left="311" w:hanging="311"/>
              <w:rPr>
                <w:rFonts w:asciiTheme="minorHAnsi" w:eastAsiaTheme="minorHAnsi" w:hAnsiTheme="minorHAnsi"/>
                <w:lang w:val="fr-FR" w:eastAsia="fr-FR"/>
              </w:rPr>
            </w:pPr>
            <w:r w:rsidRPr="00B21864">
              <w:rPr>
                <w:rFonts w:asciiTheme="minorHAnsi" w:eastAsiaTheme="minorHAnsi" w:hAnsiTheme="minorHAnsi"/>
                <w:lang w:val="fr-FR" w:eastAsia="fr-FR"/>
              </w:rPr>
              <w:t>b) en préparant des avis sur l’adaptation aux changements climatiques fondée sur les écosystèmes pour les zones humides intérieures et côtières</w:t>
            </w:r>
            <w:r>
              <w:rPr>
                <w:rFonts w:asciiTheme="minorHAnsi" w:eastAsiaTheme="minorHAnsi" w:hAnsiTheme="minorHAnsi"/>
                <w:lang w:val="fr-FR" w:eastAsia="fr-FR"/>
              </w:rPr>
              <w:t xml:space="preserve"> </w:t>
            </w:r>
            <w:r w:rsidRPr="00B21864">
              <w:rPr>
                <w:rFonts w:asciiTheme="minorHAnsi" w:eastAsiaTheme="minorHAnsi" w:hAnsiTheme="minorHAnsi"/>
                <w:lang w:val="fr-FR" w:eastAsia="fr-FR"/>
              </w:rPr>
              <w:t>; et</w:t>
            </w:r>
          </w:p>
          <w:p w14:paraId="1FEE7CC5" w14:textId="0074097A" w:rsidR="00B21864" w:rsidRDefault="00B21864" w:rsidP="00B21864">
            <w:pPr>
              <w:ind w:left="311" w:hanging="311"/>
              <w:rPr>
                <w:rFonts w:asciiTheme="minorHAnsi" w:eastAsiaTheme="minorHAnsi" w:hAnsiTheme="minorHAnsi"/>
                <w:lang w:val="fr-FR" w:eastAsia="fr-FR"/>
              </w:rPr>
            </w:pPr>
            <w:r w:rsidRPr="00B21864">
              <w:rPr>
                <w:rFonts w:asciiTheme="minorHAnsi" w:eastAsiaTheme="minorHAnsi" w:hAnsiTheme="minorHAnsi"/>
                <w:lang w:val="fr-FR" w:eastAsia="fr-FR"/>
              </w:rPr>
              <w:t>c) en étudiant tout avis pertinent fourni par d’autres AME, en particulier les résultats de la COP11 de la CDB</w:t>
            </w:r>
            <w:r w:rsidR="00047A9E">
              <w:rPr>
                <w:rFonts w:asciiTheme="minorHAnsi" w:eastAsiaTheme="minorHAnsi" w:hAnsiTheme="minorHAnsi"/>
                <w:lang w:val="fr-FR" w:eastAsia="fr-FR"/>
              </w:rPr>
              <w:t xml:space="preserve"> </w:t>
            </w:r>
            <w:r w:rsidRPr="00B21864">
              <w:rPr>
                <w:rFonts w:asciiTheme="minorHAnsi" w:eastAsiaTheme="minorHAnsi" w:hAnsiTheme="minorHAnsi"/>
                <w:lang w:val="fr-FR" w:eastAsia="fr-FR"/>
              </w:rPr>
              <w:t>;</w:t>
            </w:r>
          </w:p>
          <w:p w14:paraId="1D44FC44" w14:textId="77777777" w:rsidR="00B21864" w:rsidRPr="00B21864" w:rsidRDefault="00B21864" w:rsidP="00B21864">
            <w:pPr>
              <w:ind w:left="311" w:hanging="311"/>
              <w:rPr>
                <w:rFonts w:asciiTheme="minorHAnsi" w:eastAsiaTheme="minorHAnsi" w:hAnsiTheme="minorHAnsi"/>
                <w:lang w:val="fr-FR" w:eastAsia="fr-FR"/>
              </w:rPr>
            </w:pPr>
          </w:p>
          <w:p w14:paraId="392BA43D" w14:textId="588B0C1C" w:rsidR="009F25B7" w:rsidRPr="00C03EA3" w:rsidRDefault="00B21864" w:rsidP="009F25B7">
            <w:pPr>
              <w:ind w:left="0" w:firstLine="0"/>
              <w:rPr>
                <w:bCs/>
                <w:lang w:val="fr-FR"/>
              </w:rPr>
            </w:pPr>
            <w:r w:rsidRPr="00B21864">
              <w:rPr>
                <w:rFonts w:asciiTheme="minorHAnsi" w:eastAsiaTheme="minorHAnsi" w:hAnsiTheme="minorHAnsi"/>
                <w:lang w:val="fr-FR" w:eastAsia="fr-FR"/>
              </w:rPr>
              <w:t>sans préjuger de toute décision future de la CCNUCC.</w:t>
            </w:r>
          </w:p>
        </w:tc>
        <w:tc>
          <w:tcPr>
            <w:tcW w:w="2835" w:type="dxa"/>
          </w:tcPr>
          <w:p w14:paraId="0D1A0F5D" w14:textId="1878DFC1" w:rsidR="009F25B7" w:rsidRPr="00152A81" w:rsidRDefault="00496CAE" w:rsidP="009F25B7">
            <w:pPr>
              <w:ind w:left="0" w:firstLine="0"/>
              <w:rPr>
                <w:bCs/>
                <w:lang w:val="fr-FR"/>
              </w:rPr>
            </w:pPr>
            <w:r w:rsidRPr="00152A81">
              <w:rPr>
                <w:bCs/>
                <w:lang w:val="fr-FR"/>
              </w:rPr>
              <w:lastRenderedPageBreak/>
              <w:t>Le premier</w:t>
            </w:r>
            <w:r w:rsidR="0033601A" w:rsidRPr="00152A81">
              <w:rPr>
                <w:bCs/>
                <w:lang w:val="fr-FR"/>
              </w:rPr>
              <w:t xml:space="preserve"> </w:t>
            </w:r>
            <w:r w:rsidRPr="0079067F">
              <w:rPr>
                <w:bCs/>
                <w:lang w:val="fr-FR"/>
              </w:rPr>
              <w:t>texte en gras peut être supprimé lors du processus de regroupement des résolutions</w:t>
            </w:r>
            <w:r w:rsidR="0033601A" w:rsidRPr="00152A81">
              <w:rPr>
                <w:bCs/>
                <w:lang w:val="fr-FR"/>
              </w:rPr>
              <w:t>.</w:t>
            </w:r>
          </w:p>
          <w:p w14:paraId="1E53E777" w14:textId="77777777" w:rsidR="0033601A" w:rsidRPr="00152A81" w:rsidRDefault="0033601A" w:rsidP="009F25B7">
            <w:pPr>
              <w:ind w:left="0" w:firstLine="0"/>
              <w:rPr>
                <w:bCs/>
                <w:lang w:val="fr-FR"/>
              </w:rPr>
            </w:pPr>
          </w:p>
          <w:p w14:paraId="5A489BF7" w14:textId="0C34CF20" w:rsidR="0033601A" w:rsidRPr="00152A81" w:rsidRDefault="00496CAE" w:rsidP="009F25B7">
            <w:pPr>
              <w:ind w:left="0" w:firstLine="0"/>
              <w:rPr>
                <w:bCs/>
                <w:lang w:val="fr-FR"/>
              </w:rPr>
            </w:pPr>
            <w:r w:rsidRPr="00152A81">
              <w:rPr>
                <w:bCs/>
                <w:lang w:val="fr-FR"/>
              </w:rPr>
              <w:t xml:space="preserve">Le </w:t>
            </w:r>
            <w:r w:rsidRPr="0079067F">
              <w:rPr>
                <w:bCs/>
                <w:lang w:val="fr-FR"/>
              </w:rPr>
              <w:t>deuxième</w:t>
            </w:r>
            <w:r w:rsidR="0033601A" w:rsidRPr="00152A81">
              <w:rPr>
                <w:bCs/>
                <w:lang w:val="fr-FR"/>
              </w:rPr>
              <w:t xml:space="preserve"> </w:t>
            </w:r>
            <w:r w:rsidR="0079067F" w:rsidRPr="0079067F">
              <w:rPr>
                <w:bCs/>
                <w:lang w:val="fr-FR"/>
              </w:rPr>
              <w:t xml:space="preserve">texte en gras peut être </w:t>
            </w:r>
            <w:r w:rsidR="007C3A6D">
              <w:rPr>
                <w:bCs/>
                <w:lang w:val="fr-FR"/>
              </w:rPr>
              <w:t>remplacé par</w:t>
            </w:r>
            <w:r w:rsidR="0079067F" w:rsidRPr="0079067F">
              <w:rPr>
                <w:bCs/>
                <w:lang w:val="fr-FR"/>
              </w:rPr>
              <w:t xml:space="preserve"> un texte plus général sur les coopérations régionales</w:t>
            </w:r>
            <w:r w:rsidR="0079067F" w:rsidRPr="00152A81">
              <w:rPr>
                <w:bCs/>
                <w:lang w:val="fr-FR"/>
              </w:rPr>
              <w:t xml:space="preserve"> </w:t>
            </w:r>
            <w:r w:rsidR="0079067F" w:rsidRPr="0079067F">
              <w:rPr>
                <w:bCs/>
                <w:lang w:val="fr-FR"/>
              </w:rPr>
              <w:t xml:space="preserve">lors du processus de regroupement des </w:t>
            </w:r>
            <w:r w:rsidR="0079067F" w:rsidRPr="0079067F">
              <w:rPr>
                <w:bCs/>
                <w:lang w:val="fr-FR"/>
              </w:rPr>
              <w:lastRenderedPageBreak/>
              <w:t>résolutions</w:t>
            </w:r>
            <w:r w:rsidR="0033601A" w:rsidRPr="00152A81">
              <w:rPr>
                <w:bCs/>
                <w:lang w:val="fr-FR"/>
              </w:rPr>
              <w:t>.</w:t>
            </w:r>
          </w:p>
        </w:tc>
      </w:tr>
      <w:tr w:rsidR="009F25B7" w:rsidRPr="00F57666" w14:paraId="68118020" w14:textId="77777777" w:rsidTr="006E6FA9">
        <w:tc>
          <w:tcPr>
            <w:tcW w:w="2523" w:type="dxa"/>
          </w:tcPr>
          <w:p w14:paraId="616C3740" w14:textId="77777777" w:rsidR="009F25B7" w:rsidRPr="002D7666" w:rsidRDefault="009F25B7" w:rsidP="009F25B7">
            <w:pPr>
              <w:ind w:left="0" w:firstLine="0"/>
              <w:rPr>
                <w:b/>
                <w:lang w:val="fr-FR"/>
              </w:rPr>
            </w:pPr>
            <w:r w:rsidRPr="002D7666">
              <w:rPr>
                <w:b/>
                <w:lang w:val="fr-FR"/>
              </w:rPr>
              <w:lastRenderedPageBreak/>
              <w:t>X.3</w:t>
            </w:r>
          </w:p>
          <w:p w14:paraId="427E1647" w14:textId="79DAC8EA" w:rsidR="009F25B7" w:rsidRPr="002D7666" w:rsidRDefault="002D7666" w:rsidP="009F25B7">
            <w:pPr>
              <w:ind w:left="0" w:firstLine="0"/>
              <w:rPr>
                <w:bCs/>
                <w:lang w:val="fr-FR"/>
              </w:rPr>
            </w:pPr>
            <w:r w:rsidRPr="002D7666">
              <w:rPr>
                <w:bCs/>
                <w:lang w:val="fr-FR"/>
              </w:rPr>
              <w:t>La Déclaration de Changwon sur le bien-être humain et les zones humides</w:t>
            </w:r>
          </w:p>
        </w:tc>
        <w:tc>
          <w:tcPr>
            <w:tcW w:w="8817" w:type="dxa"/>
          </w:tcPr>
          <w:p w14:paraId="7A297AF4" w14:textId="4E677759" w:rsidR="009F25B7" w:rsidRPr="002D7666" w:rsidRDefault="009F25B7" w:rsidP="009F25B7">
            <w:pPr>
              <w:ind w:left="0" w:firstLine="0"/>
              <w:rPr>
                <w:bCs/>
                <w:lang w:val="fr-FR"/>
              </w:rPr>
            </w:pPr>
            <w:r w:rsidRPr="002D7666">
              <w:rPr>
                <w:rFonts w:asciiTheme="minorHAnsi" w:hAnsiTheme="minorHAnsi"/>
                <w:lang w:val="fr-FR"/>
              </w:rPr>
              <w:t xml:space="preserve">14 </w:t>
            </w:r>
            <w:r w:rsidR="002D7666" w:rsidRPr="002D7666">
              <w:rPr>
                <w:rFonts w:asciiTheme="minorHAnsi" w:hAnsiTheme="minorHAnsi"/>
                <w:lang w:val="fr-FR"/>
              </w:rPr>
              <w:t xml:space="preserve">PRIE ENFIN INSTAMMENT le Comité permanent, le GEST, le Secrétariat Ramsar, les Correspondants nationaux CESP, </w:t>
            </w:r>
            <w:r w:rsidR="002D7666" w:rsidRPr="002D7666">
              <w:rPr>
                <w:rFonts w:asciiTheme="minorHAnsi" w:hAnsiTheme="minorHAnsi"/>
                <w:b/>
                <w:bCs/>
                <w:lang w:val="fr-FR"/>
              </w:rPr>
              <w:t>les Initiatives régionales fonctionnant dans le cadre de la Convention,</w:t>
            </w:r>
            <w:r w:rsidR="002D7666" w:rsidRPr="002D7666">
              <w:rPr>
                <w:rFonts w:asciiTheme="minorHAnsi" w:hAnsiTheme="minorHAnsi"/>
                <w:lang w:val="fr-FR"/>
              </w:rPr>
              <w:t xml:space="preserve"> les Organisations internationales partenaires (OIP), entre autres, non seulement d’utiliser la </w:t>
            </w:r>
            <w:r w:rsidR="009C044D" w:rsidRPr="002D7666">
              <w:rPr>
                <w:rFonts w:asciiTheme="minorHAnsi" w:hAnsiTheme="minorHAnsi"/>
                <w:lang w:val="fr-FR"/>
              </w:rPr>
              <w:t>«</w:t>
            </w:r>
            <w:r w:rsidR="009C044D">
              <w:rPr>
                <w:rFonts w:asciiTheme="minorHAnsi" w:hAnsiTheme="minorHAnsi"/>
                <w:lang w:val="fr-FR"/>
              </w:rPr>
              <w:t xml:space="preserve"> Déclaration</w:t>
            </w:r>
            <w:r w:rsidR="002D7666" w:rsidRPr="002D7666">
              <w:rPr>
                <w:rFonts w:asciiTheme="minorHAnsi" w:hAnsiTheme="minorHAnsi"/>
                <w:lang w:val="fr-FR"/>
              </w:rPr>
              <w:t xml:space="preserve"> de Changwon » dans leurs travaux futurs et dans l’établissement de leurs priorités, mais aussi de saisir personnellement toutes les occasions de promouvoir activement la Déclaration</w:t>
            </w:r>
            <w:r w:rsidR="002D7666">
              <w:rPr>
                <w:rFonts w:asciiTheme="minorHAnsi" w:hAnsiTheme="minorHAnsi"/>
                <w:lang w:val="fr-FR"/>
              </w:rPr>
              <w:t>.</w:t>
            </w:r>
          </w:p>
        </w:tc>
        <w:tc>
          <w:tcPr>
            <w:tcW w:w="2835" w:type="dxa"/>
          </w:tcPr>
          <w:p w14:paraId="245EE8B0" w14:textId="0DF3D116" w:rsidR="009F25B7" w:rsidRPr="00152A81" w:rsidRDefault="0079067F" w:rsidP="009F25B7">
            <w:pPr>
              <w:ind w:left="0" w:firstLine="0"/>
              <w:rPr>
                <w:bCs/>
                <w:lang w:val="fr-FR"/>
              </w:rPr>
            </w:pPr>
            <w:r w:rsidRPr="007C1268">
              <w:rPr>
                <w:bCs/>
                <w:lang w:val="fr-FR"/>
              </w:rPr>
              <w:t xml:space="preserve">Le texte en gras peut être </w:t>
            </w:r>
            <w:r w:rsidR="007C3A6D">
              <w:rPr>
                <w:bCs/>
                <w:lang w:val="fr-FR"/>
              </w:rPr>
              <w:t>remplacé par</w:t>
            </w:r>
            <w:r w:rsidRPr="007C1268">
              <w:rPr>
                <w:bCs/>
                <w:lang w:val="fr-FR"/>
              </w:rPr>
              <w:t xml:space="preserve"> un texte plus général sur les coopérations </w:t>
            </w:r>
            <w:r>
              <w:rPr>
                <w:bCs/>
                <w:lang w:val="fr-FR"/>
              </w:rPr>
              <w:t>régionales</w:t>
            </w:r>
            <w:r w:rsidRPr="00152A81">
              <w:rPr>
                <w:bCs/>
                <w:lang w:val="fr-FR"/>
              </w:rPr>
              <w:t xml:space="preserve"> </w:t>
            </w:r>
            <w:r w:rsidRPr="007C1268">
              <w:rPr>
                <w:bCs/>
                <w:lang w:val="fr-FR"/>
              </w:rPr>
              <w:t>lors du processus de regroupement des résolutions</w:t>
            </w:r>
          </w:p>
        </w:tc>
      </w:tr>
      <w:tr w:rsidR="009F25B7" w:rsidRPr="00F57666" w14:paraId="474C0A5A" w14:textId="77777777" w:rsidTr="006E6FA9">
        <w:tc>
          <w:tcPr>
            <w:tcW w:w="2523" w:type="dxa"/>
          </w:tcPr>
          <w:p w14:paraId="0D777C77" w14:textId="77777777" w:rsidR="009F25B7" w:rsidRPr="009C044D" w:rsidRDefault="009F25B7" w:rsidP="009F25B7">
            <w:pPr>
              <w:ind w:left="0" w:firstLine="0"/>
              <w:rPr>
                <w:bCs/>
                <w:lang w:val="fr-FR"/>
              </w:rPr>
            </w:pPr>
            <w:r w:rsidRPr="009C044D">
              <w:rPr>
                <w:b/>
                <w:lang w:val="fr-FR"/>
              </w:rPr>
              <w:t>X.15</w:t>
            </w:r>
            <w:r w:rsidRPr="009C044D">
              <w:rPr>
                <w:bCs/>
                <w:lang w:val="fr-FR"/>
              </w:rPr>
              <w:t xml:space="preserve"> </w:t>
            </w:r>
          </w:p>
          <w:p w14:paraId="3159DE5F" w14:textId="36D4E3BD" w:rsidR="009F25B7" w:rsidRPr="009C044D" w:rsidRDefault="002D7666" w:rsidP="009F25B7">
            <w:pPr>
              <w:ind w:left="0" w:firstLine="0"/>
              <w:rPr>
                <w:bCs/>
                <w:lang w:val="fr-FR"/>
              </w:rPr>
            </w:pPr>
            <w:r w:rsidRPr="009C044D">
              <w:rPr>
                <w:bCs/>
                <w:lang w:val="fr-FR"/>
              </w:rPr>
              <w:t xml:space="preserve">Description des caractéristiques écologiques des zones humides, et besoins et </w:t>
            </w:r>
            <w:r w:rsidRPr="009C044D">
              <w:rPr>
                <w:bCs/>
                <w:lang w:val="fr-FR"/>
              </w:rPr>
              <w:lastRenderedPageBreak/>
              <w:t>présentation des données pour un inventaire de base : orientations scientifiques et techniques</w:t>
            </w:r>
          </w:p>
        </w:tc>
        <w:tc>
          <w:tcPr>
            <w:tcW w:w="8817" w:type="dxa"/>
          </w:tcPr>
          <w:p w14:paraId="5FB4A1C0" w14:textId="743D4B97" w:rsidR="009F25B7" w:rsidRPr="009C044D" w:rsidRDefault="009F25B7" w:rsidP="009F25B7">
            <w:pPr>
              <w:ind w:left="0" w:firstLine="0"/>
              <w:rPr>
                <w:bCs/>
                <w:lang w:val="fr-FR"/>
              </w:rPr>
            </w:pPr>
            <w:r w:rsidRPr="009C044D">
              <w:rPr>
                <w:rFonts w:asciiTheme="minorHAnsi" w:hAnsiTheme="minorHAnsi"/>
                <w:lang w:val="fr-FR"/>
              </w:rPr>
              <w:lastRenderedPageBreak/>
              <w:t xml:space="preserve">4 </w:t>
            </w:r>
            <w:r w:rsidR="009C044D" w:rsidRPr="009C044D">
              <w:rPr>
                <w:rFonts w:asciiTheme="minorHAnsi" w:hAnsiTheme="minorHAnsi"/>
                <w:lang w:val="fr-FR"/>
              </w:rPr>
              <w:t xml:space="preserve">ACCUEILLE FAVORABLEMENT les orientations sur la « Description des caractéristiques écologiques des zones humides, et besoins et présentation des données pour un inventaire de base » qui figurent en annexe à la présente Résolution et PRIE INSTAMMENT les Parties contractantes d’en faire bon usage, s’il y a lieu, en les adaptant aux conditions et circonstances nationales, dans le cadre </w:t>
            </w:r>
            <w:r w:rsidR="009C044D" w:rsidRPr="009C044D">
              <w:rPr>
                <w:rFonts w:asciiTheme="minorHAnsi" w:hAnsiTheme="minorHAnsi"/>
                <w:b/>
                <w:bCs/>
                <w:lang w:val="fr-FR"/>
              </w:rPr>
              <w:t>d’initiatives et d’engagements régionaux</w:t>
            </w:r>
            <w:r w:rsidR="009C044D" w:rsidRPr="009C044D">
              <w:rPr>
                <w:rFonts w:asciiTheme="minorHAnsi" w:hAnsiTheme="minorHAnsi"/>
                <w:lang w:val="fr-FR"/>
              </w:rPr>
              <w:t xml:space="preserve"> existants et dans le contexte </w:t>
            </w:r>
            <w:r w:rsidR="009C044D" w:rsidRPr="009C044D">
              <w:rPr>
                <w:rFonts w:asciiTheme="minorHAnsi" w:hAnsiTheme="minorHAnsi"/>
                <w:lang w:val="fr-FR"/>
              </w:rPr>
              <w:lastRenderedPageBreak/>
              <w:t>du développement durable.</w:t>
            </w:r>
          </w:p>
        </w:tc>
        <w:tc>
          <w:tcPr>
            <w:tcW w:w="2835" w:type="dxa"/>
          </w:tcPr>
          <w:p w14:paraId="2FAE2847" w14:textId="329BDF41" w:rsidR="009F25B7" w:rsidRPr="00152A81" w:rsidRDefault="0079067F" w:rsidP="009F25B7">
            <w:pPr>
              <w:ind w:left="0" w:firstLine="0"/>
              <w:rPr>
                <w:bCs/>
                <w:lang w:val="fr-FR"/>
              </w:rPr>
            </w:pPr>
            <w:r w:rsidRPr="007C1268">
              <w:rPr>
                <w:bCs/>
                <w:lang w:val="fr-FR"/>
              </w:rPr>
              <w:lastRenderedPageBreak/>
              <w:t xml:space="preserve">Le texte en gras peut être </w:t>
            </w:r>
            <w:r w:rsidR="007C3A6D">
              <w:rPr>
                <w:bCs/>
                <w:lang w:val="fr-FR"/>
              </w:rPr>
              <w:t>remplacé par</w:t>
            </w:r>
            <w:r w:rsidRPr="007C1268">
              <w:rPr>
                <w:bCs/>
                <w:lang w:val="fr-FR"/>
              </w:rPr>
              <w:t xml:space="preserve"> un texte plus général sur les coopérations </w:t>
            </w:r>
            <w:r>
              <w:rPr>
                <w:bCs/>
                <w:lang w:val="fr-FR"/>
              </w:rPr>
              <w:t>régionales</w:t>
            </w:r>
            <w:r w:rsidRPr="00152A81">
              <w:rPr>
                <w:bCs/>
                <w:lang w:val="fr-FR"/>
              </w:rPr>
              <w:t xml:space="preserve"> </w:t>
            </w:r>
            <w:r w:rsidRPr="007C1268">
              <w:rPr>
                <w:bCs/>
                <w:lang w:val="fr-FR"/>
              </w:rPr>
              <w:t xml:space="preserve">lors du processus de regroupement des </w:t>
            </w:r>
            <w:r w:rsidRPr="007C1268">
              <w:rPr>
                <w:bCs/>
                <w:lang w:val="fr-FR"/>
              </w:rPr>
              <w:lastRenderedPageBreak/>
              <w:t>résolutions</w:t>
            </w:r>
          </w:p>
        </w:tc>
      </w:tr>
      <w:tr w:rsidR="009F25B7" w:rsidRPr="00F57666" w14:paraId="5445B114" w14:textId="77777777" w:rsidTr="006E6FA9">
        <w:tc>
          <w:tcPr>
            <w:tcW w:w="2523" w:type="dxa"/>
          </w:tcPr>
          <w:p w14:paraId="4AC8D58E" w14:textId="77777777" w:rsidR="009F25B7" w:rsidRPr="009C044D" w:rsidRDefault="009F25B7" w:rsidP="009F25B7">
            <w:pPr>
              <w:ind w:left="0" w:firstLine="0"/>
              <w:rPr>
                <w:b/>
                <w:lang w:val="fr-FR"/>
              </w:rPr>
            </w:pPr>
            <w:r w:rsidRPr="009C044D">
              <w:rPr>
                <w:b/>
                <w:lang w:val="fr-FR"/>
              </w:rPr>
              <w:lastRenderedPageBreak/>
              <w:t xml:space="preserve">X.17 </w:t>
            </w:r>
          </w:p>
          <w:p w14:paraId="5E315605" w14:textId="10DC9406" w:rsidR="009F25B7" w:rsidRPr="009C044D" w:rsidRDefault="009C044D" w:rsidP="009F25B7">
            <w:pPr>
              <w:ind w:left="0" w:firstLine="0"/>
              <w:rPr>
                <w:bCs/>
                <w:lang w:val="fr-FR"/>
              </w:rPr>
            </w:pPr>
            <w:r w:rsidRPr="009C044D">
              <w:rPr>
                <w:bCs/>
                <w:lang w:val="fr-FR"/>
              </w:rPr>
              <w:t>Étude d’impact sur l’environnement et évaluation environnementale stratégique : orientations scientifiques et techniques actualisées</w:t>
            </w:r>
          </w:p>
        </w:tc>
        <w:tc>
          <w:tcPr>
            <w:tcW w:w="8817" w:type="dxa"/>
          </w:tcPr>
          <w:p w14:paraId="25BDDAE1" w14:textId="69D1ADD2" w:rsidR="009F25B7" w:rsidRPr="009C044D" w:rsidRDefault="009F25B7" w:rsidP="009F25B7">
            <w:pPr>
              <w:ind w:left="0" w:firstLine="0"/>
              <w:rPr>
                <w:bCs/>
                <w:lang w:val="fr-FR"/>
              </w:rPr>
            </w:pPr>
            <w:r w:rsidRPr="009C044D">
              <w:rPr>
                <w:bCs/>
                <w:lang w:val="fr-FR"/>
              </w:rPr>
              <w:t xml:space="preserve">8 </w:t>
            </w:r>
            <w:r w:rsidR="009C044D" w:rsidRPr="009C044D">
              <w:rPr>
                <w:bCs/>
                <w:lang w:val="fr-FR"/>
              </w:rPr>
              <w:t xml:space="preserve">ACCUEILLE FAVORABLEMENT les Lignes directrices relatives à l’évaluation d’impact sur l’environnement tenant compte de la diversité biologique qui figurent en annexe à la présente Résolution et INVITE les Parties contractantes de faire bon usage de ces lignes directrices, selon les besoins, y compris </w:t>
            </w:r>
            <w:r w:rsidR="009C044D" w:rsidRPr="009C044D">
              <w:rPr>
                <w:b/>
                <w:lang w:val="fr-FR"/>
              </w:rPr>
              <w:t>dans le cadre d’initiatives et d’engagements régionaux existants</w:t>
            </w:r>
            <w:r w:rsidR="009C044D" w:rsidRPr="009C044D">
              <w:rPr>
                <w:bCs/>
                <w:lang w:val="fr-FR"/>
              </w:rPr>
              <w:t xml:space="preserve"> et dans le contexte du développement durable sans préjudice des pratiques déjà établies par les Parties</w:t>
            </w:r>
            <w:r w:rsidR="009C044D">
              <w:rPr>
                <w:bCs/>
                <w:lang w:val="fr-FR"/>
              </w:rPr>
              <w:t>.</w:t>
            </w:r>
          </w:p>
        </w:tc>
        <w:tc>
          <w:tcPr>
            <w:tcW w:w="2835" w:type="dxa"/>
          </w:tcPr>
          <w:p w14:paraId="7F82B423" w14:textId="79725778" w:rsidR="009F25B7" w:rsidRPr="00152A81" w:rsidRDefault="0079067F" w:rsidP="009F25B7">
            <w:pPr>
              <w:ind w:left="0" w:firstLine="0"/>
              <w:rPr>
                <w:bCs/>
                <w:lang w:val="fr-FR"/>
              </w:rPr>
            </w:pPr>
            <w:r w:rsidRPr="007C1268">
              <w:rPr>
                <w:bCs/>
                <w:lang w:val="fr-FR"/>
              </w:rPr>
              <w:t xml:space="preserve">Le texte en gras peut être </w:t>
            </w:r>
            <w:r w:rsidR="007C3A6D">
              <w:rPr>
                <w:bCs/>
                <w:lang w:val="fr-FR"/>
              </w:rPr>
              <w:t>remplacé par</w:t>
            </w:r>
            <w:r w:rsidRPr="007C1268">
              <w:rPr>
                <w:bCs/>
                <w:lang w:val="fr-FR"/>
              </w:rPr>
              <w:t xml:space="preserve"> un texte plus général sur les coopérations </w:t>
            </w:r>
            <w:r>
              <w:rPr>
                <w:bCs/>
                <w:lang w:val="fr-FR"/>
              </w:rPr>
              <w:t>régionales</w:t>
            </w:r>
            <w:r w:rsidRPr="00152A81">
              <w:rPr>
                <w:bCs/>
                <w:lang w:val="fr-FR"/>
              </w:rPr>
              <w:t xml:space="preserve"> </w:t>
            </w:r>
            <w:r w:rsidRPr="007C1268">
              <w:rPr>
                <w:bCs/>
                <w:lang w:val="fr-FR"/>
              </w:rPr>
              <w:t>lors du processus de regroupement des résolutions</w:t>
            </w:r>
            <w:r>
              <w:rPr>
                <w:bCs/>
                <w:lang w:val="fr-FR"/>
              </w:rPr>
              <w:t>.</w:t>
            </w:r>
          </w:p>
        </w:tc>
      </w:tr>
      <w:tr w:rsidR="009F25B7" w:rsidRPr="00F57666" w14:paraId="5108D2D9" w14:textId="77777777" w:rsidTr="006E6FA9">
        <w:tc>
          <w:tcPr>
            <w:tcW w:w="2523" w:type="dxa"/>
          </w:tcPr>
          <w:p w14:paraId="1A930B76" w14:textId="77777777" w:rsidR="009F25B7" w:rsidRPr="00072F2F" w:rsidRDefault="009F25B7" w:rsidP="009F25B7">
            <w:pPr>
              <w:ind w:left="0" w:firstLine="0"/>
              <w:rPr>
                <w:b/>
                <w:lang w:val="fr-FR"/>
              </w:rPr>
            </w:pPr>
            <w:r w:rsidRPr="00072F2F">
              <w:rPr>
                <w:b/>
                <w:lang w:val="fr-FR"/>
              </w:rPr>
              <w:t xml:space="preserve">X.19 </w:t>
            </w:r>
          </w:p>
          <w:p w14:paraId="03CD72C2" w14:textId="648A4E90" w:rsidR="009F25B7" w:rsidRPr="00072F2F" w:rsidRDefault="00072F2F" w:rsidP="009F25B7">
            <w:pPr>
              <w:ind w:left="0" w:firstLine="0"/>
              <w:rPr>
                <w:bCs/>
                <w:lang w:val="fr-FR"/>
              </w:rPr>
            </w:pPr>
            <w:r w:rsidRPr="00072F2F">
              <w:rPr>
                <w:bCs/>
                <w:lang w:val="fr-FR"/>
              </w:rPr>
              <w:t>Les zones humides et la gestion des bassins hydrographiques : orientations scientifiques et techniques regroupées</w:t>
            </w:r>
          </w:p>
        </w:tc>
        <w:tc>
          <w:tcPr>
            <w:tcW w:w="8817" w:type="dxa"/>
          </w:tcPr>
          <w:p w14:paraId="7BB81FEA" w14:textId="470B49BB" w:rsidR="009F25B7" w:rsidRPr="00072F2F" w:rsidRDefault="009F25B7" w:rsidP="009F25B7">
            <w:pPr>
              <w:ind w:left="0" w:firstLine="0"/>
              <w:rPr>
                <w:bCs/>
                <w:lang w:val="fr-FR"/>
              </w:rPr>
            </w:pPr>
            <w:r w:rsidRPr="00072F2F">
              <w:rPr>
                <w:rFonts w:asciiTheme="minorHAnsi" w:hAnsiTheme="minorHAnsi"/>
                <w:lang w:val="fr-FR"/>
              </w:rPr>
              <w:t xml:space="preserve">5 </w:t>
            </w:r>
            <w:r w:rsidR="00072F2F" w:rsidRPr="00072F2F">
              <w:rPr>
                <w:rFonts w:asciiTheme="minorHAnsi" w:hAnsiTheme="minorHAnsi"/>
                <w:lang w:val="fr-FR"/>
              </w:rPr>
              <w:t xml:space="preserve">PREND NOTE des « Orientations regroupées pour intégrer la conservation et l’utilisation rationnelle des zones humides dans la gestion des bassins hydrographiques » jointes en annexe à la présente Résolution et INVITE les Parties contractantes à en faire bon usage s’il y a lieu, en les adaptant au besoin pour tenir compte des conditions et circonstances nationales, dans le cadre </w:t>
            </w:r>
            <w:r w:rsidR="00072F2F" w:rsidRPr="00071927">
              <w:rPr>
                <w:rFonts w:asciiTheme="minorHAnsi" w:hAnsiTheme="minorHAnsi"/>
                <w:b/>
                <w:bCs/>
                <w:lang w:val="fr-FR"/>
              </w:rPr>
              <w:t>d’initiatives et d’engagements régionaux</w:t>
            </w:r>
            <w:r w:rsidR="00072F2F" w:rsidRPr="00072F2F">
              <w:rPr>
                <w:rFonts w:asciiTheme="minorHAnsi" w:hAnsiTheme="minorHAnsi"/>
                <w:lang w:val="fr-FR"/>
              </w:rPr>
              <w:t xml:space="preserve"> existants, dans le contexte du développement durable et conformément aux institutions et cadres juridiques nationaux.</w:t>
            </w:r>
          </w:p>
        </w:tc>
        <w:tc>
          <w:tcPr>
            <w:tcW w:w="2835" w:type="dxa"/>
          </w:tcPr>
          <w:p w14:paraId="61AD50FD" w14:textId="3E0E9214" w:rsidR="009F25B7" w:rsidRPr="00152A81" w:rsidRDefault="0079067F" w:rsidP="009F25B7">
            <w:pPr>
              <w:ind w:left="0" w:firstLine="0"/>
              <w:rPr>
                <w:bCs/>
                <w:lang w:val="fr-FR"/>
              </w:rPr>
            </w:pPr>
            <w:r w:rsidRPr="007C1268">
              <w:rPr>
                <w:bCs/>
                <w:lang w:val="fr-FR"/>
              </w:rPr>
              <w:t xml:space="preserve">Le texte en gras peut être </w:t>
            </w:r>
            <w:r w:rsidR="007C3A6D">
              <w:rPr>
                <w:bCs/>
                <w:lang w:val="fr-FR"/>
              </w:rPr>
              <w:t>remplacé par</w:t>
            </w:r>
            <w:r w:rsidRPr="007C1268">
              <w:rPr>
                <w:bCs/>
                <w:lang w:val="fr-FR"/>
              </w:rPr>
              <w:t xml:space="preserve"> un texte plus général sur les coopérations </w:t>
            </w:r>
            <w:r>
              <w:rPr>
                <w:bCs/>
                <w:lang w:val="fr-FR"/>
              </w:rPr>
              <w:t>régionales</w:t>
            </w:r>
            <w:r w:rsidRPr="00152A81">
              <w:rPr>
                <w:bCs/>
                <w:lang w:val="fr-FR"/>
              </w:rPr>
              <w:t xml:space="preserve"> </w:t>
            </w:r>
            <w:r w:rsidRPr="007C1268">
              <w:rPr>
                <w:bCs/>
                <w:lang w:val="fr-FR"/>
              </w:rPr>
              <w:t>lors du processus de regroupement des résolutions</w:t>
            </w:r>
            <w:r>
              <w:rPr>
                <w:bCs/>
                <w:lang w:val="fr-FR"/>
              </w:rPr>
              <w:t>.</w:t>
            </w:r>
          </w:p>
        </w:tc>
      </w:tr>
      <w:tr w:rsidR="009F25B7" w:rsidRPr="00F57666" w14:paraId="2FADE343" w14:textId="77777777" w:rsidTr="006E6FA9">
        <w:tc>
          <w:tcPr>
            <w:tcW w:w="2523" w:type="dxa"/>
          </w:tcPr>
          <w:p w14:paraId="6FE63AEE" w14:textId="77777777" w:rsidR="009F25B7" w:rsidRPr="00071927" w:rsidRDefault="009F25B7" w:rsidP="009F25B7">
            <w:pPr>
              <w:ind w:left="0" w:firstLine="0"/>
              <w:rPr>
                <w:b/>
                <w:lang w:val="fr-FR"/>
              </w:rPr>
            </w:pPr>
            <w:r w:rsidRPr="00071927">
              <w:rPr>
                <w:b/>
                <w:lang w:val="fr-FR"/>
              </w:rPr>
              <w:t xml:space="preserve">IX.1 </w:t>
            </w:r>
          </w:p>
          <w:p w14:paraId="05A21D6B" w14:textId="19AC1AD0" w:rsidR="009F25B7" w:rsidRPr="00071927" w:rsidRDefault="00072F2F" w:rsidP="009F25B7">
            <w:pPr>
              <w:ind w:left="0" w:firstLine="0"/>
              <w:rPr>
                <w:bCs/>
                <w:lang w:val="fr-FR"/>
              </w:rPr>
            </w:pPr>
            <w:r w:rsidRPr="00071927">
              <w:rPr>
                <w:bCs/>
                <w:lang w:val="fr-FR"/>
              </w:rPr>
              <w:t>Orientations scientifiques et techniques additionnelles pour appliquer le concept d’utilisation rationnelle de Ramsar</w:t>
            </w:r>
          </w:p>
        </w:tc>
        <w:tc>
          <w:tcPr>
            <w:tcW w:w="8817" w:type="dxa"/>
          </w:tcPr>
          <w:p w14:paraId="374F5156" w14:textId="48878D85" w:rsidR="009F25B7" w:rsidRPr="006E6FA9" w:rsidRDefault="009F25B7" w:rsidP="006E6FA9">
            <w:pPr>
              <w:pStyle w:val="NormalWeb"/>
              <w:rPr>
                <w:rFonts w:asciiTheme="minorHAnsi" w:hAnsiTheme="minorHAnsi"/>
                <w:sz w:val="22"/>
                <w:szCs w:val="22"/>
              </w:rPr>
            </w:pPr>
            <w:r w:rsidRPr="00071927">
              <w:rPr>
                <w:rFonts w:asciiTheme="minorHAnsi" w:hAnsiTheme="minorHAnsi"/>
                <w:sz w:val="22"/>
                <w:szCs w:val="22"/>
              </w:rPr>
              <w:t xml:space="preserve">7 </w:t>
            </w:r>
            <w:r w:rsidR="00072F2F" w:rsidRPr="00071927">
              <w:rPr>
                <w:rFonts w:asciiTheme="minorHAnsi" w:hAnsiTheme="minorHAnsi"/>
                <w:sz w:val="22"/>
                <w:szCs w:val="22"/>
              </w:rPr>
              <w:t xml:space="preserve">ACCUEILLE AVEC SATISFACTION les cadres, lignes directrices et autres avis fournis dans les annexes C, D et E à la présente Résolution et PRIE INSTAMMENT les Parties contractantes d’en faire bon usage, selon que de besoin, et de les adapter, le cas échéant, pour répondre aux conditions et circonstances nationales, dans le cadre </w:t>
            </w:r>
            <w:r w:rsidR="00072F2F" w:rsidRPr="00071927">
              <w:rPr>
                <w:rFonts w:asciiTheme="minorHAnsi" w:hAnsiTheme="minorHAnsi"/>
                <w:b/>
                <w:bCs/>
                <w:sz w:val="22"/>
                <w:szCs w:val="22"/>
              </w:rPr>
              <w:t>des initiatives et engagements régionaux en vigueur</w:t>
            </w:r>
            <w:r w:rsidR="00072F2F" w:rsidRPr="00071927">
              <w:rPr>
                <w:rFonts w:asciiTheme="minorHAnsi" w:hAnsiTheme="minorHAnsi"/>
                <w:sz w:val="22"/>
                <w:szCs w:val="22"/>
              </w:rPr>
              <w:t xml:space="preserve"> et dans le contexte du développement durable</w:t>
            </w:r>
            <w:r w:rsidRPr="00071927">
              <w:rPr>
                <w:rFonts w:asciiTheme="minorHAnsi" w:hAnsiTheme="minorHAnsi"/>
                <w:sz w:val="22"/>
                <w:szCs w:val="22"/>
              </w:rPr>
              <w:t xml:space="preserve"> </w:t>
            </w:r>
          </w:p>
        </w:tc>
        <w:tc>
          <w:tcPr>
            <w:tcW w:w="2835" w:type="dxa"/>
          </w:tcPr>
          <w:p w14:paraId="78F0244F" w14:textId="33A23037" w:rsidR="009F25B7" w:rsidRPr="00152A81" w:rsidRDefault="0079067F" w:rsidP="009F25B7">
            <w:pPr>
              <w:ind w:left="0" w:firstLine="0"/>
              <w:rPr>
                <w:bCs/>
                <w:lang w:val="fr-FR"/>
              </w:rPr>
            </w:pPr>
            <w:r w:rsidRPr="007C1268">
              <w:rPr>
                <w:bCs/>
                <w:lang w:val="fr-FR"/>
              </w:rPr>
              <w:t xml:space="preserve">Le texte en gras peut être </w:t>
            </w:r>
            <w:r w:rsidR="007C3A6D">
              <w:rPr>
                <w:bCs/>
                <w:lang w:val="fr-FR"/>
              </w:rPr>
              <w:t>remplacé par</w:t>
            </w:r>
            <w:r w:rsidRPr="007C1268">
              <w:rPr>
                <w:bCs/>
                <w:lang w:val="fr-FR"/>
              </w:rPr>
              <w:t xml:space="preserve"> un texte plus général sur les coopérations </w:t>
            </w:r>
            <w:r>
              <w:rPr>
                <w:bCs/>
                <w:lang w:val="fr-FR"/>
              </w:rPr>
              <w:t>régionales</w:t>
            </w:r>
            <w:r w:rsidRPr="00152A81">
              <w:rPr>
                <w:bCs/>
                <w:lang w:val="fr-FR"/>
              </w:rPr>
              <w:t xml:space="preserve"> </w:t>
            </w:r>
            <w:r w:rsidRPr="007C1268">
              <w:rPr>
                <w:bCs/>
                <w:lang w:val="fr-FR"/>
              </w:rPr>
              <w:t>lors du processus de regroupement des résolutions</w:t>
            </w:r>
            <w:r w:rsidR="001D710F" w:rsidRPr="00152A81">
              <w:rPr>
                <w:bCs/>
                <w:lang w:val="fr-FR"/>
              </w:rPr>
              <w:t>.</w:t>
            </w:r>
          </w:p>
        </w:tc>
      </w:tr>
      <w:tr w:rsidR="009F25B7" w:rsidRPr="00F57666" w14:paraId="5EA0343C" w14:textId="77777777" w:rsidTr="006E6FA9">
        <w:tc>
          <w:tcPr>
            <w:tcW w:w="2523" w:type="dxa"/>
          </w:tcPr>
          <w:p w14:paraId="4E1049D0" w14:textId="77777777" w:rsidR="009F25B7" w:rsidRPr="00071927" w:rsidRDefault="009F25B7" w:rsidP="009F25B7">
            <w:pPr>
              <w:ind w:left="0" w:firstLine="0"/>
              <w:rPr>
                <w:b/>
                <w:lang w:val="fr-FR"/>
              </w:rPr>
            </w:pPr>
            <w:r w:rsidRPr="00071927">
              <w:rPr>
                <w:b/>
                <w:lang w:val="fr-FR"/>
              </w:rPr>
              <w:t xml:space="preserve">IX.19 </w:t>
            </w:r>
          </w:p>
          <w:p w14:paraId="5B8B51F3" w14:textId="1EE79CD0" w:rsidR="009F25B7" w:rsidRPr="00071927" w:rsidRDefault="00071927" w:rsidP="009F25B7">
            <w:pPr>
              <w:ind w:left="0" w:firstLine="0"/>
              <w:rPr>
                <w:bCs/>
                <w:lang w:val="fr-FR"/>
              </w:rPr>
            </w:pPr>
            <w:r w:rsidRPr="00071927">
              <w:rPr>
                <w:bCs/>
                <w:lang w:val="fr-FR"/>
              </w:rPr>
              <w:t>L’importance des colloques régionaux sur les zones humides pour l’application efficace de la Convention de Ramsar</w:t>
            </w:r>
          </w:p>
        </w:tc>
        <w:tc>
          <w:tcPr>
            <w:tcW w:w="8817" w:type="dxa"/>
          </w:tcPr>
          <w:p w14:paraId="0AD3C520" w14:textId="062891E3" w:rsidR="009F25B7" w:rsidRPr="00071927" w:rsidRDefault="009F25B7" w:rsidP="009F25B7">
            <w:pPr>
              <w:ind w:left="0" w:firstLine="0"/>
              <w:rPr>
                <w:bCs/>
                <w:lang w:val="fr-FR"/>
              </w:rPr>
            </w:pPr>
            <w:r w:rsidRPr="00071927">
              <w:rPr>
                <w:rFonts w:asciiTheme="minorHAnsi" w:hAnsiTheme="minorHAnsi"/>
                <w:lang w:val="fr-FR"/>
              </w:rPr>
              <w:t xml:space="preserve">15 </w:t>
            </w:r>
            <w:r w:rsidR="00071927" w:rsidRPr="00071927">
              <w:rPr>
                <w:rFonts w:asciiTheme="minorHAnsi" w:hAnsiTheme="minorHAnsi"/>
                <w:lang w:val="fr-FR"/>
              </w:rPr>
              <w:t xml:space="preserve">RECOMMANDE aux Parties contractantes, aux ONG internationales et à d’autres organisations scientifiques et techniques pertinentes d’envisager, lorsqu’il n’en existe pas, d’établir des forums scientifiques et techniques régionaux semblables, se réunissant périodiquement, en s’inspirant de l’expérience du Colloque sur les zones humides d’Asie, comme moyen d’augmenter l’appui scientifique et technique à l’application de la Convention, comprenant, </w:t>
            </w:r>
            <w:r w:rsidR="00071927" w:rsidRPr="00071927">
              <w:rPr>
                <w:rFonts w:asciiTheme="minorHAnsi" w:hAnsiTheme="minorHAnsi"/>
                <w:b/>
                <w:bCs/>
                <w:lang w:val="fr-FR"/>
              </w:rPr>
              <w:t>entre autres, toute initiative régionale établie dans le cadre de la Convention</w:t>
            </w:r>
            <w:r w:rsidR="00071927" w:rsidRPr="00071927">
              <w:rPr>
                <w:rFonts w:asciiTheme="minorHAnsi" w:hAnsiTheme="minorHAnsi"/>
                <w:lang w:val="fr-FR"/>
              </w:rPr>
              <w:t>.</w:t>
            </w:r>
          </w:p>
        </w:tc>
        <w:tc>
          <w:tcPr>
            <w:tcW w:w="2835" w:type="dxa"/>
          </w:tcPr>
          <w:p w14:paraId="793E1B09" w14:textId="27D419D2" w:rsidR="009F25B7" w:rsidRPr="00152A81" w:rsidRDefault="0079067F" w:rsidP="009F25B7">
            <w:pPr>
              <w:ind w:left="0" w:firstLine="0"/>
              <w:rPr>
                <w:bCs/>
                <w:lang w:val="fr-FR"/>
              </w:rPr>
            </w:pPr>
            <w:r w:rsidRPr="007C1268">
              <w:rPr>
                <w:bCs/>
                <w:lang w:val="fr-FR"/>
              </w:rPr>
              <w:t xml:space="preserve">Le texte en gras peut être </w:t>
            </w:r>
            <w:r w:rsidR="007C3A6D">
              <w:rPr>
                <w:bCs/>
                <w:lang w:val="fr-FR"/>
              </w:rPr>
              <w:t>remplacé par</w:t>
            </w:r>
            <w:r w:rsidRPr="007C1268">
              <w:rPr>
                <w:bCs/>
                <w:lang w:val="fr-FR"/>
              </w:rPr>
              <w:t xml:space="preserve"> un texte plus général sur les coopérations </w:t>
            </w:r>
            <w:r>
              <w:rPr>
                <w:bCs/>
                <w:lang w:val="fr-FR"/>
              </w:rPr>
              <w:t>régionales</w:t>
            </w:r>
            <w:r w:rsidRPr="00152A81">
              <w:rPr>
                <w:bCs/>
                <w:lang w:val="fr-FR"/>
              </w:rPr>
              <w:t xml:space="preserve"> </w:t>
            </w:r>
            <w:r w:rsidRPr="007C1268">
              <w:rPr>
                <w:bCs/>
                <w:lang w:val="fr-FR"/>
              </w:rPr>
              <w:t>lors du processus de regroupement des résolutions</w:t>
            </w:r>
            <w:r>
              <w:rPr>
                <w:bCs/>
                <w:lang w:val="fr-FR"/>
              </w:rPr>
              <w:t>.</w:t>
            </w:r>
          </w:p>
        </w:tc>
      </w:tr>
      <w:bookmarkEnd w:id="7"/>
    </w:tbl>
    <w:p w14:paraId="02836B98" w14:textId="0D999760" w:rsidR="002F7454" w:rsidRPr="00152A81" w:rsidRDefault="002F7454" w:rsidP="00937687">
      <w:pPr>
        <w:ind w:left="0" w:firstLine="0"/>
        <w:rPr>
          <w:rFonts w:eastAsia="Times New Roman" w:cs="Calibri"/>
          <w:sz w:val="24"/>
          <w:szCs w:val="24"/>
          <w:lang w:val="fr-FR" w:eastAsia="en-GB"/>
        </w:rPr>
      </w:pPr>
    </w:p>
    <w:sectPr w:rsidR="002F7454" w:rsidRPr="00152A81" w:rsidSect="00627A4A">
      <w:headerReference w:type="default" r:id="rId14"/>
      <w:footerReference w:type="default" r:id="rId15"/>
      <w:footerReference w:type="first" r:id="rId16"/>
      <w:pgSz w:w="16838" w:h="11906" w:orient="landscape"/>
      <w:pgMar w:top="1440" w:right="70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2C012" w14:textId="77777777" w:rsidR="00EC4FEE" w:rsidRDefault="00EC4FEE" w:rsidP="00DF2386">
      <w:r>
        <w:separator/>
      </w:r>
    </w:p>
  </w:endnote>
  <w:endnote w:type="continuationSeparator" w:id="0">
    <w:p w14:paraId="62686904" w14:textId="77777777" w:rsidR="00EC4FEE" w:rsidRDefault="00EC4FEE" w:rsidP="00DF2386">
      <w:r>
        <w:continuationSeparator/>
      </w:r>
    </w:p>
  </w:endnote>
  <w:endnote w:type="continuationNotice" w:id="1">
    <w:p w14:paraId="21D0C149" w14:textId="77777777" w:rsidR="00EC4FEE" w:rsidRDefault="00EC4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C4E9F" w14:textId="4353C3F7" w:rsidR="00F44066" w:rsidRPr="00A77D00" w:rsidRDefault="00F44066" w:rsidP="00A77D00">
    <w:pPr>
      <w:pStyle w:val="Header"/>
      <w:rPr>
        <w:noProof/>
        <w:sz w:val="20"/>
        <w:szCs w:val="20"/>
      </w:rPr>
    </w:pPr>
    <w:r w:rsidRPr="00A77D00">
      <w:rPr>
        <w:sz w:val="20"/>
        <w:szCs w:val="20"/>
      </w:rPr>
      <w:t>SC</w:t>
    </w:r>
    <w:r>
      <w:rPr>
        <w:sz w:val="20"/>
        <w:szCs w:val="20"/>
      </w:rPr>
      <w:t>59/2022</w:t>
    </w:r>
    <w:r w:rsidRPr="00A77D00">
      <w:rPr>
        <w:sz w:val="20"/>
        <w:szCs w:val="20"/>
      </w:rPr>
      <w:t xml:space="preserve"> Doc.</w:t>
    </w:r>
    <w:r>
      <w:rPr>
        <w:sz w:val="20"/>
        <w:szCs w:val="20"/>
      </w:rPr>
      <w:t>24.11</w:t>
    </w:r>
    <w:r w:rsidRPr="00A77D00">
      <w:rPr>
        <w:sz w:val="20"/>
        <w:szCs w:val="20"/>
      </w:rPr>
      <w:tab/>
    </w:r>
    <w:r w:rsidRPr="00A77D00">
      <w:rPr>
        <w:sz w:val="20"/>
        <w:szCs w:val="20"/>
      </w:rPr>
      <w:tab/>
    </w:r>
    <w:sdt>
      <w:sdtPr>
        <w:rPr>
          <w:sz w:val="20"/>
          <w:szCs w:val="20"/>
        </w:rPr>
        <w:id w:val="-1515519963"/>
        <w:docPartObj>
          <w:docPartGallery w:val="Page Numbers (Top of Page)"/>
          <w:docPartUnique/>
        </w:docPartObj>
      </w:sdtPr>
      <w:sdtEndPr>
        <w:rPr>
          <w:noProof/>
        </w:rPr>
      </w:sdtEndPr>
      <w:sdtContent>
        <w:r w:rsidRPr="00A77D00">
          <w:rPr>
            <w:sz w:val="20"/>
            <w:szCs w:val="20"/>
          </w:rPr>
          <w:fldChar w:fldCharType="begin"/>
        </w:r>
        <w:r w:rsidRPr="00A77D00">
          <w:rPr>
            <w:sz w:val="20"/>
            <w:szCs w:val="20"/>
          </w:rPr>
          <w:instrText xml:space="preserve"> PAGE   \* MERGEFORMAT </w:instrText>
        </w:r>
        <w:r w:rsidRPr="00A77D00">
          <w:rPr>
            <w:sz w:val="20"/>
            <w:szCs w:val="20"/>
          </w:rPr>
          <w:fldChar w:fldCharType="separate"/>
        </w:r>
        <w:r w:rsidR="00BA7B0F">
          <w:rPr>
            <w:noProof/>
            <w:sz w:val="20"/>
            <w:szCs w:val="20"/>
          </w:rPr>
          <w:t>3</w:t>
        </w:r>
        <w:r w:rsidRPr="00A77D00">
          <w:rPr>
            <w:noProof/>
            <w:sz w:val="20"/>
            <w:szCs w:val="20"/>
          </w:rPr>
          <w:fldChar w:fldCharType="end"/>
        </w:r>
      </w:sdtContent>
    </w:sdt>
  </w:p>
  <w:p w14:paraId="2539D883" w14:textId="77777777" w:rsidR="00F44066" w:rsidRDefault="00F44066" w:rsidP="00A77D00">
    <w:pPr>
      <w:pStyle w:val="Footer"/>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8BE40" w14:textId="122A5620" w:rsidR="00F44066" w:rsidRPr="00A77D00" w:rsidRDefault="00F44066" w:rsidP="00245572">
    <w:pPr>
      <w:pStyle w:val="Header"/>
      <w:tabs>
        <w:tab w:val="clear" w:pos="4513"/>
        <w:tab w:val="clear" w:pos="9026"/>
        <w:tab w:val="left" w:pos="13608"/>
      </w:tabs>
      <w:rPr>
        <w:noProof/>
        <w:sz w:val="20"/>
        <w:szCs w:val="20"/>
      </w:rPr>
    </w:pPr>
    <w:r w:rsidRPr="00A77D00">
      <w:rPr>
        <w:sz w:val="20"/>
        <w:szCs w:val="20"/>
      </w:rPr>
      <w:t>SC59</w:t>
    </w:r>
    <w:r>
      <w:rPr>
        <w:sz w:val="20"/>
        <w:szCs w:val="20"/>
      </w:rPr>
      <w:t>/2022</w:t>
    </w:r>
    <w:r w:rsidRPr="00A77D00">
      <w:rPr>
        <w:sz w:val="20"/>
        <w:szCs w:val="20"/>
      </w:rPr>
      <w:t xml:space="preserve"> Doc.</w:t>
    </w:r>
    <w:r>
      <w:rPr>
        <w:sz w:val="20"/>
        <w:szCs w:val="20"/>
      </w:rPr>
      <w:t>24.11</w:t>
    </w:r>
    <w:r w:rsidRPr="00A77D00">
      <w:rPr>
        <w:sz w:val="20"/>
        <w:szCs w:val="20"/>
      </w:rPr>
      <w:tab/>
    </w:r>
    <w:r w:rsidRPr="00A77D00">
      <w:rPr>
        <w:sz w:val="20"/>
        <w:szCs w:val="20"/>
      </w:rPr>
      <w:tab/>
    </w:r>
    <w:sdt>
      <w:sdtPr>
        <w:rPr>
          <w:sz w:val="20"/>
          <w:szCs w:val="20"/>
        </w:rPr>
        <w:id w:val="-1790969534"/>
        <w:docPartObj>
          <w:docPartGallery w:val="Page Numbers (Top of Page)"/>
          <w:docPartUnique/>
        </w:docPartObj>
      </w:sdtPr>
      <w:sdtEndPr>
        <w:rPr>
          <w:noProof/>
        </w:rPr>
      </w:sdtEndPr>
      <w:sdtContent>
        <w:r w:rsidRPr="00A77D00">
          <w:rPr>
            <w:sz w:val="20"/>
            <w:szCs w:val="20"/>
          </w:rPr>
          <w:fldChar w:fldCharType="begin"/>
        </w:r>
        <w:r w:rsidRPr="00A77D00">
          <w:rPr>
            <w:sz w:val="20"/>
            <w:szCs w:val="20"/>
          </w:rPr>
          <w:instrText xml:space="preserve"> PAGE   \* MERGEFORMAT </w:instrText>
        </w:r>
        <w:r w:rsidRPr="00A77D00">
          <w:rPr>
            <w:sz w:val="20"/>
            <w:szCs w:val="20"/>
          </w:rPr>
          <w:fldChar w:fldCharType="separate"/>
        </w:r>
        <w:r w:rsidR="00BA7B0F">
          <w:rPr>
            <w:noProof/>
            <w:sz w:val="20"/>
            <w:szCs w:val="20"/>
          </w:rPr>
          <w:t>9</w:t>
        </w:r>
        <w:r w:rsidRPr="00A77D00">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6352B" w14:textId="76A448EF" w:rsidR="00F44066" w:rsidRPr="00A77D00" w:rsidRDefault="00F44066" w:rsidP="00A77D00">
    <w:pPr>
      <w:pStyle w:val="Header"/>
      <w:rPr>
        <w:noProof/>
        <w:sz w:val="20"/>
        <w:szCs w:val="20"/>
      </w:rPr>
    </w:pPr>
    <w:r w:rsidRPr="00A77D00">
      <w:rPr>
        <w:sz w:val="20"/>
        <w:szCs w:val="20"/>
      </w:rPr>
      <w:t>SC59 Doc.21.1</w:t>
    </w:r>
    <w:r w:rsidRPr="00A77D00">
      <w:rPr>
        <w:sz w:val="20"/>
        <w:szCs w:val="20"/>
      </w:rPr>
      <w:tab/>
    </w:r>
    <w:r w:rsidRPr="00A77D00">
      <w:rPr>
        <w:sz w:val="20"/>
        <w:szCs w:val="20"/>
      </w:rPr>
      <w:tab/>
    </w:r>
    <w:sdt>
      <w:sdtPr>
        <w:rPr>
          <w:sz w:val="20"/>
          <w:szCs w:val="20"/>
        </w:rPr>
        <w:id w:val="2111695882"/>
        <w:docPartObj>
          <w:docPartGallery w:val="Page Numbers (Top of Page)"/>
          <w:docPartUnique/>
        </w:docPartObj>
      </w:sdtPr>
      <w:sdtEndPr>
        <w:rPr>
          <w:noProof/>
        </w:rPr>
      </w:sdtEndPr>
      <w:sdtContent>
        <w:r w:rsidRPr="00A77D00">
          <w:rPr>
            <w:sz w:val="20"/>
            <w:szCs w:val="20"/>
          </w:rPr>
          <w:fldChar w:fldCharType="begin"/>
        </w:r>
        <w:r w:rsidRPr="00A77D00">
          <w:rPr>
            <w:sz w:val="20"/>
            <w:szCs w:val="20"/>
          </w:rPr>
          <w:instrText xml:space="preserve"> PAGE   \* MERGEFORMAT </w:instrText>
        </w:r>
        <w:r w:rsidRPr="00A77D00">
          <w:rPr>
            <w:sz w:val="20"/>
            <w:szCs w:val="20"/>
          </w:rPr>
          <w:fldChar w:fldCharType="separate"/>
        </w:r>
        <w:r>
          <w:rPr>
            <w:noProof/>
            <w:sz w:val="20"/>
            <w:szCs w:val="20"/>
          </w:rPr>
          <w:t>23</w:t>
        </w:r>
        <w:r w:rsidRPr="00A77D00">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113EE" w14:textId="77777777" w:rsidR="00EC4FEE" w:rsidRDefault="00EC4FEE" w:rsidP="00DF2386">
      <w:r>
        <w:separator/>
      </w:r>
    </w:p>
  </w:footnote>
  <w:footnote w:type="continuationSeparator" w:id="0">
    <w:p w14:paraId="116C09E8" w14:textId="77777777" w:rsidR="00EC4FEE" w:rsidRDefault="00EC4FEE" w:rsidP="00DF2386">
      <w:r>
        <w:continuationSeparator/>
      </w:r>
    </w:p>
  </w:footnote>
  <w:footnote w:type="continuationNotice" w:id="1">
    <w:p w14:paraId="325B842E" w14:textId="77777777" w:rsidR="00EC4FEE" w:rsidRDefault="00EC4FE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67BBB" w14:textId="77777777" w:rsidR="00F44066" w:rsidRDefault="00F44066">
    <w:pPr>
      <w:pStyle w:val="Header"/>
    </w:pPr>
  </w:p>
  <w:p w14:paraId="2AE5869B" w14:textId="77777777" w:rsidR="00F44066" w:rsidRDefault="00F44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199A"/>
    <w:multiLevelType w:val="multilevel"/>
    <w:tmpl w:val="AC90ACD0"/>
    <w:lvl w:ilvl="0">
      <w:start w:val="7"/>
      <w:numFmt w:val="decimal"/>
      <w:lvlText w:val="%1"/>
      <w:lvlJc w:val="left"/>
      <w:pPr>
        <w:ind w:left="360" w:hanging="360"/>
      </w:pPr>
      <w:rPr>
        <w:rFonts w:hint="default"/>
      </w:rPr>
    </w:lvl>
    <w:lvl w:ilvl="1">
      <w:start w:val="1"/>
      <w:numFmt w:val="decimal"/>
      <w:lvlText w:val="%2."/>
      <w:lvlJc w:val="left"/>
      <w:pPr>
        <w:ind w:left="1070" w:hanging="360"/>
      </w:pPr>
      <w:rPr>
        <w:rFonts w:ascii="Calibri" w:eastAsia="Calibri" w:hAnsi="Calibri" w:cstheme="minorHAnsi"/>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DE77857"/>
    <w:multiLevelType w:val="hybridMultilevel"/>
    <w:tmpl w:val="87287B20"/>
    <w:lvl w:ilvl="0" w:tplc="78CA80AA">
      <w:start w:val="1"/>
      <w:numFmt w:val="lowerRoman"/>
      <w:lvlText w:val="%1)"/>
      <w:lvlJc w:val="left"/>
      <w:pPr>
        <w:ind w:left="1146" w:hanging="720"/>
      </w:pPr>
      <w:rPr>
        <w:rFonts w:hAnsi="Arial Unicode MS" w:hint="default"/>
        <w:caps w:val="0"/>
        <w:smallCaps w:val="0"/>
        <w:strike w:val="0"/>
        <w:dstrike w:val="0"/>
        <w:outline w:val="0"/>
        <w:emboss w:val="0"/>
        <w:imprint w:val="0"/>
        <w:spacing w:val="0"/>
        <w:w w:val="100"/>
        <w:kern w:val="0"/>
        <w:position w:val="0"/>
        <w:vertAlign w:val="baseline"/>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2" w15:restartNumberingAfterBreak="0">
    <w:nsid w:val="0E5F04AE"/>
    <w:multiLevelType w:val="hybridMultilevel"/>
    <w:tmpl w:val="7A0A38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CD4E6B"/>
    <w:multiLevelType w:val="hybridMultilevel"/>
    <w:tmpl w:val="4CDC2686"/>
    <w:lvl w:ilvl="0" w:tplc="24645798">
      <w:start w:val="1"/>
      <w:numFmt w:val="decimal"/>
      <w:lvlText w:val="%1."/>
      <w:lvlJc w:val="left"/>
      <w:pPr>
        <w:ind w:left="686" w:hanging="567"/>
        <w:jc w:val="right"/>
      </w:pPr>
      <w:rPr>
        <w:rFonts w:ascii="Calibri" w:eastAsia="Calibri" w:hAnsi="Calibri" w:hint="default"/>
        <w:sz w:val="22"/>
        <w:szCs w:val="22"/>
      </w:rPr>
    </w:lvl>
    <w:lvl w:ilvl="1" w:tplc="CE9CED28">
      <w:start w:val="1"/>
      <w:numFmt w:val="bullet"/>
      <w:lvlText w:val="•"/>
      <w:lvlJc w:val="left"/>
      <w:pPr>
        <w:ind w:left="666" w:hanging="360"/>
      </w:pPr>
      <w:rPr>
        <w:rFonts w:hint="default"/>
        <w:sz w:val="22"/>
        <w:szCs w:val="22"/>
      </w:rPr>
    </w:lvl>
    <w:lvl w:ilvl="2" w:tplc="CE9CED28">
      <w:start w:val="1"/>
      <w:numFmt w:val="bullet"/>
      <w:lvlText w:val="•"/>
      <w:lvlJc w:val="left"/>
      <w:pPr>
        <w:ind w:left="1639" w:hanging="360"/>
      </w:pPr>
      <w:rPr>
        <w:rFonts w:hint="default"/>
      </w:rPr>
    </w:lvl>
    <w:lvl w:ilvl="3" w:tplc="9B76A3AA">
      <w:start w:val="1"/>
      <w:numFmt w:val="bullet"/>
      <w:lvlText w:val="•"/>
      <w:lvlJc w:val="left"/>
      <w:pPr>
        <w:ind w:left="2592" w:hanging="360"/>
      </w:pPr>
      <w:rPr>
        <w:rFonts w:hint="default"/>
      </w:rPr>
    </w:lvl>
    <w:lvl w:ilvl="4" w:tplc="1F427340">
      <w:start w:val="1"/>
      <w:numFmt w:val="bullet"/>
      <w:lvlText w:val="•"/>
      <w:lvlJc w:val="left"/>
      <w:pPr>
        <w:ind w:left="3546" w:hanging="360"/>
      </w:pPr>
      <w:rPr>
        <w:rFonts w:hint="default"/>
      </w:rPr>
    </w:lvl>
    <w:lvl w:ilvl="5" w:tplc="F6745888">
      <w:start w:val="1"/>
      <w:numFmt w:val="bullet"/>
      <w:lvlText w:val="•"/>
      <w:lvlJc w:val="left"/>
      <w:pPr>
        <w:ind w:left="4499" w:hanging="360"/>
      </w:pPr>
      <w:rPr>
        <w:rFonts w:hint="default"/>
      </w:rPr>
    </w:lvl>
    <w:lvl w:ilvl="6" w:tplc="D8A838C4">
      <w:start w:val="1"/>
      <w:numFmt w:val="bullet"/>
      <w:lvlText w:val="•"/>
      <w:lvlJc w:val="left"/>
      <w:pPr>
        <w:ind w:left="5452" w:hanging="360"/>
      </w:pPr>
      <w:rPr>
        <w:rFonts w:hint="default"/>
      </w:rPr>
    </w:lvl>
    <w:lvl w:ilvl="7" w:tplc="149C182C">
      <w:start w:val="1"/>
      <w:numFmt w:val="bullet"/>
      <w:lvlText w:val="•"/>
      <w:lvlJc w:val="left"/>
      <w:pPr>
        <w:ind w:left="6406" w:hanging="360"/>
      </w:pPr>
      <w:rPr>
        <w:rFonts w:hint="default"/>
      </w:rPr>
    </w:lvl>
    <w:lvl w:ilvl="8" w:tplc="BF8E4816">
      <w:start w:val="1"/>
      <w:numFmt w:val="bullet"/>
      <w:lvlText w:val="•"/>
      <w:lvlJc w:val="left"/>
      <w:pPr>
        <w:ind w:left="7359" w:hanging="360"/>
      </w:pPr>
      <w:rPr>
        <w:rFonts w:hint="default"/>
      </w:rPr>
    </w:lvl>
  </w:abstractNum>
  <w:abstractNum w:abstractNumId="4" w15:restartNumberingAfterBreak="0">
    <w:nsid w:val="1E9B51A0"/>
    <w:multiLevelType w:val="hybridMultilevel"/>
    <w:tmpl w:val="54CEB6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0DB19DD"/>
    <w:multiLevelType w:val="hybridMultilevel"/>
    <w:tmpl w:val="D46A8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CE1121"/>
    <w:multiLevelType w:val="hybridMultilevel"/>
    <w:tmpl w:val="93CC9D1E"/>
    <w:lvl w:ilvl="0" w:tplc="4EAEE732">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 w15:restartNumberingAfterBreak="0">
    <w:nsid w:val="33FD2BFF"/>
    <w:multiLevelType w:val="hybridMultilevel"/>
    <w:tmpl w:val="D6CCDC32"/>
    <w:lvl w:ilvl="0" w:tplc="EDCE8482">
      <w:start w:val="1"/>
      <w:numFmt w:val="lowerRoman"/>
      <w:lvlText w:val="%1."/>
      <w:lvlJc w:val="left"/>
      <w:pPr>
        <w:ind w:left="1530" w:hanging="72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8" w15:restartNumberingAfterBreak="0">
    <w:nsid w:val="55F13E21"/>
    <w:multiLevelType w:val="hybridMultilevel"/>
    <w:tmpl w:val="DA32290E"/>
    <w:lvl w:ilvl="0" w:tplc="040C0019">
      <w:start w:val="1"/>
      <w:numFmt w:val="lowerLetter"/>
      <w:lvlText w:val="%1."/>
      <w:lvlJc w:val="left"/>
      <w:pPr>
        <w:ind w:left="791" w:hanging="360"/>
      </w:pPr>
      <w:rPr>
        <w:rFonts w:hint="default"/>
      </w:rPr>
    </w:lvl>
    <w:lvl w:ilvl="1" w:tplc="39980504">
      <w:start w:val="1"/>
      <w:numFmt w:val="lowerRoman"/>
      <w:lvlText w:val="%2."/>
      <w:lvlJc w:val="left"/>
      <w:pPr>
        <w:ind w:left="1511" w:hanging="360"/>
      </w:pPr>
      <w:rPr>
        <w:rFonts w:hint="default"/>
      </w:rPr>
    </w:lvl>
    <w:lvl w:ilvl="2" w:tplc="041D0005" w:tentative="1">
      <w:start w:val="1"/>
      <w:numFmt w:val="bullet"/>
      <w:lvlText w:val=""/>
      <w:lvlJc w:val="left"/>
      <w:pPr>
        <w:ind w:left="2231" w:hanging="360"/>
      </w:pPr>
      <w:rPr>
        <w:rFonts w:ascii="Wingdings" w:hAnsi="Wingdings" w:hint="default"/>
      </w:rPr>
    </w:lvl>
    <w:lvl w:ilvl="3" w:tplc="041D0001" w:tentative="1">
      <w:start w:val="1"/>
      <w:numFmt w:val="bullet"/>
      <w:lvlText w:val=""/>
      <w:lvlJc w:val="left"/>
      <w:pPr>
        <w:ind w:left="2951" w:hanging="360"/>
      </w:pPr>
      <w:rPr>
        <w:rFonts w:ascii="Symbol" w:hAnsi="Symbol" w:hint="default"/>
      </w:rPr>
    </w:lvl>
    <w:lvl w:ilvl="4" w:tplc="041D0003" w:tentative="1">
      <w:start w:val="1"/>
      <w:numFmt w:val="bullet"/>
      <w:lvlText w:val="o"/>
      <w:lvlJc w:val="left"/>
      <w:pPr>
        <w:ind w:left="3671" w:hanging="360"/>
      </w:pPr>
      <w:rPr>
        <w:rFonts w:ascii="Courier New" w:hAnsi="Courier New" w:cs="Courier New" w:hint="default"/>
      </w:rPr>
    </w:lvl>
    <w:lvl w:ilvl="5" w:tplc="041D0005" w:tentative="1">
      <w:start w:val="1"/>
      <w:numFmt w:val="bullet"/>
      <w:lvlText w:val=""/>
      <w:lvlJc w:val="left"/>
      <w:pPr>
        <w:ind w:left="4391" w:hanging="360"/>
      </w:pPr>
      <w:rPr>
        <w:rFonts w:ascii="Wingdings" w:hAnsi="Wingdings" w:hint="default"/>
      </w:rPr>
    </w:lvl>
    <w:lvl w:ilvl="6" w:tplc="041D0001" w:tentative="1">
      <w:start w:val="1"/>
      <w:numFmt w:val="bullet"/>
      <w:lvlText w:val=""/>
      <w:lvlJc w:val="left"/>
      <w:pPr>
        <w:ind w:left="5111" w:hanging="360"/>
      </w:pPr>
      <w:rPr>
        <w:rFonts w:ascii="Symbol" w:hAnsi="Symbol" w:hint="default"/>
      </w:rPr>
    </w:lvl>
    <w:lvl w:ilvl="7" w:tplc="041D0003" w:tentative="1">
      <w:start w:val="1"/>
      <w:numFmt w:val="bullet"/>
      <w:lvlText w:val="o"/>
      <w:lvlJc w:val="left"/>
      <w:pPr>
        <w:ind w:left="5831" w:hanging="360"/>
      </w:pPr>
      <w:rPr>
        <w:rFonts w:ascii="Courier New" w:hAnsi="Courier New" w:cs="Courier New" w:hint="default"/>
      </w:rPr>
    </w:lvl>
    <w:lvl w:ilvl="8" w:tplc="041D0005" w:tentative="1">
      <w:start w:val="1"/>
      <w:numFmt w:val="bullet"/>
      <w:lvlText w:val=""/>
      <w:lvlJc w:val="left"/>
      <w:pPr>
        <w:ind w:left="6551" w:hanging="360"/>
      </w:pPr>
      <w:rPr>
        <w:rFonts w:ascii="Wingdings" w:hAnsi="Wingdings" w:hint="default"/>
      </w:rPr>
    </w:lvl>
  </w:abstractNum>
  <w:abstractNum w:abstractNumId="9" w15:restartNumberingAfterBreak="0">
    <w:nsid w:val="5D1957A4"/>
    <w:multiLevelType w:val="hybridMultilevel"/>
    <w:tmpl w:val="1AE64A00"/>
    <w:lvl w:ilvl="0" w:tplc="FC10B800">
      <w:start w:val="1"/>
      <w:numFmt w:val="decimal"/>
      <w:lvlText w:val="%1."/>
      <w:lvlJc w:val="left"/>
      <w:pPr>
        <w:ind w:left="502" w:hanging="360"/>
      </w:pPr>
      <w:rPr>
        <w:b w:val="0"/>
        <w:bCs w:val="0"/>
        <w:i w:val="0"/>
        <w:iCs w:val="0"/>
        <w:strike w:val="0"/>
      </w:rPr>
    </w:lvl>
    <w:lvl w:ilvl="1" w:tplc="0409000F">
      <w:start w:val="1"/>
      <w:numFmt w:val="decimal"/>
      <w:lvlText w:val="%2."/>
      <w:lvlJc w:val="left"/>
      <w:pPr>
        <w:ind w:left="928" w:hanging="360"/>
      </w:pPr>
    </w:lvl>
    <w:lvl w:ilvl="2" w:tplc="0409001B" w:tentative="1">
      <w:start w:val="1"/>
      <w:numFmt w:val="lowerRoman"/>
      <w:lvlText w:val="%3."/>
      <w:lvlJc w:val="right"/>
      <w:pPr>
        <w:ind w:left="1462" w:hanging="180"/>
      </w:pPr>
    </w:lvl>
    <w:lvl w:ilvl="3" w:tplc="0409000F">
      <w:start w:val="1"/>
      <w:numFmt w:val="decimal"/>
      <w:lvlText w:val="%4."/>
      <w:lvlJc w:val="left"/>
      <w:pPr>
        <w:ind w:left="2182" w:hanging="360"/>
      </w:pPr>
    </w:lvl>
    <w:lvl w:ilvl="4" w:tplc="04090019" w:tentative="1">
      <w:start w:val="1"/>
      <w:numFmt w:val="lowerLetter"/>
      <w:lvlText w:val="%5."/>
      <w:lvlJc w:val="left"/>
      <w:pPr>
        <w:ind w:left="2902" w:hanging="360"/>
      </w:pPr>
    </w:lvl>
    <w:lvl w:ilvl="5" w:tplc="0409001B" w:tentative="1">
      <w:start w:val="1"/>
      <w:numFmt w:val="lowerRoman"/>
      <w:lvlText w:val="%6."/>
      <w:lvlJc w:val="right"/>
      <w:pPr>
        <w:ind w:left="3622" w:hanging="180"/>
      </w:pPr>
    </w:lvl>
    <w:lvl w:ilvl="6" w:tplc="0409000F" w:tentative="1">
      <w:start w:val="1"/>
      <w:numFmt w:val="decimal"/>
      <w:lvlText w:val="%7."/>
      <w:lvlJc w:val="left"/>
      <w:pPr>
        <w:ind w:left="4342" w:hanging="360"/>
      </w:pPr>
    </w:lvl>
    <w:lvl w:ilvl="7" w:tplc="04090019" w:tentative="1">
      <w:start w:val="1"/>
      <w:numFmt w:val="lowerLetter"/>
      <w:lvlText w:val="%8."/>
      <w:lvlJc w:val="left"/>
      <w:pPr>
        <w:ind w:left="5062" w:hanging="360"/>
      </w:pPr>
    </w:lvl>
    <w:lvl w:ilvl="8" w:tplc="0409001B" w:tentative="1">
      <w:start w:val="1"/>
      <w:numFmt w:val="lowerRoman"/>
      <w:lvlText w:val="%9."/>
      <w:lvlJc w:val="right"/>
      <w:pPr>
        <w:ind w:left="5782" w:hanging="180"/>
      </w:pPr>
    </w:lvl>
  </w:abstractNum>
  <w:abstractNum w:abstractNumId="10" w15:restartNumberingAfterBreak="0">
    <w:nsid w:val="6C48604C"/>
    <w:multiLevelType w:val="hybridMultilevel"/>
    <w:tmpl w:val="99724168"/>
    <w:lvl w:ilvl="0" w:tplc="6C0C90F6">
      <w:start w:val="1"/>
      <w:numFmt w:val="low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6F0F4FB3"/>
    <w:multiLevelType w:val="hybridMultilevel"/>
    <w:tmpl w:val="2CAE7C5A"/>
    <w:lvl w:ilvl="0" w:tplc="517C8DAA">
      <w:start w:val="1"/>
      <w:numFmt w:val="decimal"/>
      <w:lvlText w:val="%1."/>
      <w:lvlJc w:val="left"/>
      <w:pPr>
        <w:ind w:left="780" w:hanging="4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0F119E5"/>
    <w:multiLevelType w:val="hybridMultilevel"/>
    <w:tmpl w:val="076AD84C"/>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7CB6213A"/>
    <w:multiLevelType w:val="hybridMultilevel"/>
    <w:tmpl w:val="F09C3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29442F"/>
    <w:multiLevelType w:val="hybridMultilevel"/>
    <w:tmpl w:val="9A7AD1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3"/>
  </w:num>
  <w:num w:numId="5">
    <w:abstractNumId w:val="13"/>
  </w:num>
  <w:num w:numId="6">
    <w:abstractNumId w:val="9"/>
  </w:num>
  <w:num w:numId="7">
    <w:abstractNumId w:val="0"/>
  </w:num>
  <w:num w:numId="8">
    <w:abstractNumId w:val="2"/>
  </w:num>
  <w:num w:numId="9">
    <w:abstractNumId w:val="10"/>
  </w:num>
  <w:num w:numId="10">
    <w:abstractNumId w:val="4"/>
  </w:num>
  <w:num w:numId="11">
    <w:abstractNumId w:val="12"/>
  </w:num>
  <w:num w:numId="12">
    <w:abstractNumId w:val="1"/>
  </w:num>
  <w:num w:numId="13">
    <w:abstractNumId w:val="11"/>
  </w:num>
  <w:num w:numId="14">
    <w:abstractNumId w:val="14"/>
  </w:num>
  <w:num w:numId="15">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CyNDEyMDI3MzY3MTRX0lEKTi0uzszPAykwrwUAkIbWZCwAAAA="/>
  </w:docVars>
  <w:rsids>
    <w:rsidRoot w:val="00DF2386"/>
    <w:rsid w:val="00006003"/>
    <w:rsid w:val="00011E7A"/>
    <w:rsid w:val="000125C6"/>
    <w:rsid w:val="00014168"/>
    <w:rsid w:val="00017A16"/>
    <w:rsid w:val="00017FEA"/>
    <w:rsid w:val="00026E09"/>
    <w:rsid w:val="00027A80"/>
    <w:rsid w:val="00030371"/>
    <w:rsid w:val="00032C4D"/>
    <w:rsid w:val="000354DD"/>
    <w:rsid w:val="00036889"/>
    <w:rsid w:val="00037CE0"/>
    <w:rsid w:val="00041CBE"/>
    <w:rsid w:val="00042B63"/>
    <w:rsid w:val="00047A9E"/>
    <w:rsid w:val="00053929"/>
    <w:rsid w:val="00057D70"/>
    <w:rsid w:val="00071927"/>
    <w:rsid w:val="00072F2F"/>
    <w:rsid w:val="000749F6"/>
    <w:rsid w:val="00074DE8"/>
    <w:rsid w:val="00077504"/>
    <w:rsid w:val="00081070"/>
    <w:rsid w:val="000A3E3E"/>
    <w:rsid w:val="000A3E87"/>
    <w:rsid w:val="000A61DD"/>
    <w:rsid w:val="000C2489"/>
    <w:rsid w:val="000C4A48"/>
    <w:rsid w:val="000C57D4"/>
    <w:rsid w:val="000C5EEF"/>
    <w:rsid w:val="000C7365"/>
    <w:rsid w:val="000D5C76"/>
    <w:rsid w:val="000E161E"/>
    <w:rsid w:val="000E2FA0"/>
    <w:rsid w:val="000E32EE"/>
    <w:rsid w:val="000E3816"/>
    <w:rsid w:val="000E47E9"/>
    <w:rsid w:val="000F310B"/>
    <w:rsid w:val="001006E9"/>
    <w:rsid w:val="00114138"/>
    <w:rsid w:val="0012005C"/>
    <w:rsid w:val="0012096C"/>
    <w:rsid w:val="00123AFC"/>
    <w:rsid w:val="0012489A"/>
    <w:rsid w:val="00127828"/>
    <w:rsid w:val="0014401A"/>
    <w:rsid w:val="00146A8B"/>
    <w:rsid w:val="001516A8"/>
    <w:rsid w:val="00152A81"/>
    <w:rsid w:val="00161BDA"/>
    <w:rsid w:val="0017027E"/>
    <w:rsid w:val="00171618"/>
    <w:rsid w:val="00174DF2"/>
    <w:rsid w:val="001819B1"/>
    <w:rsid w:val="0018300F"/>
    <w:rsid w:val="001A1578"/>
    <w:rsid w:val="001A2D10"/>
    <w:rsid w:val="001A4C3A"/>
    <w:rsid w:val="001B06BF"/>
    <w:rsid w:val="001C5E41"/>
    <w:rsid w:val="001C77BC"/>
    <w:rsid w:val="001D48BB"/>
    <w:rsid w:val="001D710F"/>
    <w:rsid w:val="001E00E3"/>
    <w:rsid w:val="001E0A62"/>
    <w:rsid w:val="001F0233"/>
    <w:rsid w:val="001F2349"/>
    <w:rsid w:val="001F4532"/>
    <w:rsid w:val="001F502D"/>
    <w:rsid w:val="001F5ECA"/>
    <w:rsid w:val="002002B4"/>
    <w:rsid w:val="002005D2"/>
    <w:rsid w:val="0020298B"/>
    <w:rsid w:val="00206111"/>
    <w:rsid w:val="002137E0"/>
    <w:rsid w:val="0021566A"/>
    <w:rsid w:val="002347F6"/>
    <w:rsid w:val="00245572"/>
    <w:rsid w:val="00247AE7"/>
    <w:rsid w:val="00267ED8"/>
    <w:rsid w:val="002741AC"/>
    <w:rsid w:val="00275302"/>
    <w:rsid w:val="002757B1"/>
    <w:rsid w:val="00275F13"/>
    <w:rsid w:val="00280714"/>
    <w:rsid w:val="002819C0"/>
    <w:rsid w:val="00284D23"/>
    <w:rsid w:val="00285D93"/>
    <w:rsid w:val="0029079B"/>
    <w:rsid w:val="00291F0A"/>
    <w:rsid w:val="00292637"/>
    <w:rsid w:val="00293919"/>
    <w:rsid w:val="00293AF9"/>
    <w:rsid w:val="002942F9"/>
    <w:rsid w:val="00295556"/>
    <w:rsid w:val="00295BB5"/>
    <w:rsid w:val="002978F0"/>
    <w:rsid w:val="00297E47"/>
    <w:rsid w:val="002A5A4D"/>
    <w:rsid w:val="002B106E"/>
    <w:rsid w:val="002B4262"/>
    <w:rsid w:val="002B6506"/>
    <w:rsid w:val="002C261A"/>
    <w:rsid w:val="002C3B0D"/>
    <w:rsid w:val="002C3FCC"/>
    <w:rsid w:val="002C7689"/>
    <w:rsid w:val="002D0F2E"/>
    <w:rsid w:val="002D211D"/>
    <w:rsid w:val="002D5A4D"/>
    <w:rsid w:val="002D7666"/>
    <w:rsid w:val="002E0F4C"/>
    <w:rsid w:val="002E22AF"/>
    <w:rsid w:val="002E6A2F"/>
    <w:rsid w:val="002F12D4"/>
    <w:rsid w:val="002F28B4"/>
    <w:rsid w:val="002F6155"/>
    <w:rsid w:val="002F7454"/>
    <w:rsid w:val="003022C6"/>
    <w:rsid w:val="00302765"/>
    <w:rsid w:val="003038C4"/>
    <w:rsid w:val="00304664"/>
    <w:rsid w:val="00320338"/>
    <w:rsid w:val="00324398"/>
    <w:rsid w:val="00331449"/>
    <w:rsid w:val="0033280D"/>
    <w:rsid w:val="00335864"/>
    <w:rsid w:val="0033601A"/>
    <w:rsid w:val="003370D3"/>
    <w:rsid w:val="0035473A"/>
    <w:rsid w:val="003565B3"/>
    <w:rsid w:val="00380D31"/>
    <w:rsid w:val="003841D5"/>
    <w:rsid w:val="00384FC3"/>
    <w:rsid w:val="003914D9"/>
    <w:rsid w:val="0039372D"/>
    <w:rsid w:val="003A3804"/>
    <w:rsid w:val="003A40E2"/>
    <w:rsid w:val="003A52BE"/>
    <w:rsid w:val="003A5866"/>
    <w:rsid w:val="003A6E9F"/>
    <w:rsid w:val="003B3855"/>
    <w:rsid w:val="003B7E13"/>
    <w:rsid w:val="003C2D9F"/>
    <w:rsid w:val="003D4CD6"/>
    <w:rsid w:val="003E0FA5"/>
    <w:rsid w:val="003E1FCF"/>
    <w:rsid w:val="003E5BD3"/>
    <w:rsid w:val="003F4793"/>
    <w:rsid w:val="00400B9A"/>
    <w:rsid w:val="00400F34"/>
    <w:rsid w:val="00402393"/>
    <w:rsid w:val="0040748D"/>
    <w:rsid w:val="00415C75"/>
    <w:rsid w:val="004228C7"/>
    <w:rsid w:val="00424D50"/>
    <w:rsid w:val="0042798B"/>
    <w:rsid w:val="0043222D"/>
    <w:rsid w:val="00434913"/>
    <w:rsid w:val="00436ED3"/>
    <w:rsid w:val="00441F1C"/>
    <w:rsid w:val="004474F8"/>
    <w:rsid w:val="00451B34"/>
    <w:rsid w:val="00456299"/>
    <w:rsid w:val="00460388"/>
    <w:rsid w:val="00463E9C"/>
    <w:rsid w:val="004725FC"/>
    <w:rsid w:val="004734FD"/>
    <w:rsid w:val="00477550"/>
    <w:rsid w:val="0048026F"/>
    <w:rsid w:val="004824BB"/>
    <w:rsid w:val="0048280A"/>
    <w:rsid w:val="004844A8"/>
    <w:rsid w:val="00485492"/>
    <w:rsid w:val="00491BEF"/>
    <w:rsid w:val="00496803"/>
    <w:rsid w:val="00496CAE"/>
    <w:rsid w:val="004A039A"/>
    <w:rsid w:val="004A2ED4"/>
    <w:rsid w:val="004A67D2"/>
    <w:rsid w:val="004B1111"/>
    <w:rsid w:val="004B37E8"/>
    <w:rsid w:val="004B6688"/>
    <w:rsid w:val="004B74FA"/>
    <w:rsid w:val="004B7FA1"/>
    <w:rsid w:val="004C2E2B"/>
    <w:rsid w:val="004D1625"/>
    <w:rsid w:val="004E1FC1"/>
    <w:rsid w:val="00506E6E"/>
    <w:rsid w:val="00511D20"/>
    <w:rsid w:val="00522BC7"/>
    <w:rsid w:val="005244A4"/>
    <w:rsid w:val="00527783"/>
    <w:rsid w:val="00535B5E"/>
    <w:rsid w:val="0053635D"/>
    <w:rsid w:val="0054257B"/>
    <w:rsid w:val="005469A0"/>
    <w:rsid w:val="0056265A"/>
    <w:rsid w:val="005650BD"/>
    <w:rsid w:val="0057405B"/>
    <w:rsid w:val="0058138D"/>
    <w:rsid w:val="005814B5"/>
    <w:rsid w:val="00581EDA"/>
    <w:rsid w:val="00586442"/>
    <w:rsid w:val="00586889"/>
    <w:rsid w:val="00591F70"/>
    <w:rsid w:val="005A291A"/>
    <w:rsid w:val="005A36B5"/>
    <w:rsid w:val="005C217F"/>
    <w:rsid w:val="005C4ED0"/>
    <w:rsid w:val="005D3E9D"/>
    <w:rsid w:val="005D5D95"/>
    <w:rsid w:val="005E0D93"/>
    <w:rsid w:val="005E29EA"/>
    <w:rsid w:val="005E4C99"/>
    <w:rsid w:val="005E59BC"/>
    <w:rsid w:val="00603322"/>
    <w:rsid w:val="00603A46"/>
    <w:rsid w:val="00603AF0"/>
    <w:rsid w:val="00603FA5"/>
    <w:rsid w:val="00607547"/>
    <w:rsid w:val="00616B4C"/>
    <w:rsid w:val="006256D3"/>
    <w:rsid w:val="00627A4A"/>
    <w:rsid w:val="00627BB7"/>
    <w:rsid w:val="00634642"/>
    <w:rsid w:val="0063739A"/>
    <w:rsid w:val="00642C9E"/>
    <w:rsid w:val="00644A13"/>
    <w:rsid w:val="006471FA"/>
    <w:rsid w:val="00651313"/>
    <w:rsid w:val="0065136E"/>
    <w:rsid w:val="0066479C"/>
    <w:rsid w:val="00665315"/>
    <w:rsid w:val="00670D71"/>
    <w:rsid w:val="006811BF"/>
    <w:rsid w:val="00681AC9"/>
    <w:rsid w:val="00695D91"/>
    <w:rsid w:val="00695F3C"/>
    <w:rsid w:val="00697C1D"/>
    <w:rsid w:val="006A00E5"/>
    <w:rsid w:val="006B211D"/>
    <w:rsid w:val="006E6FA9"/>
    <w:rsid w:val="006E7836"/>
    <w:rsid w:val="006E7DCE"/>
    <w:rsid w:val="006F1793"/>
    <w:rsid w:val="006F6124"/>
    <w:rsid w:val="007050FF"/>
    <w:rsid w:val="0070596A"/>
    <w:rsid w:val="007133F1"/>
    <w:rsid w:val="00714005"/>
    <w:rsid w:val="00717CCD"/>
    <w:rsid w:val="00723EB5"/>
    <w:rsid w:val="0072595F"/>
    <w:rsid w:val="00726751"/>
    <w:rsid w:val="007275BE"/>
    <w:rsid w:val="00745B79"/>
    <w:rsid w:val="00746EC1"/>
    <w:rsid w:val="007472B2"/>
    <w:rsid w:val="00752764"/>
    <w:rsid w:val="00762430"/>
    <w:rsid w:val="00762F77"/>
    <w:rsid w:val="0076682C"/>
    <w:rsid w:val="00766962"/>
    <w:rsid w:val="00774643"/>
    <w:rsid w:val="00775287"/>
    <w:rsid w:val="00776612"/>
    <w:rsid w:val="00781C79"/>
    <w:rsid w:val="00782F59"/>
    <w:rsid w:val="007843C4"/>
    <w:rsid w:val="0079067F"/>
    <w:rsid w:val="007A372E"/>
    <w:rsid w:val="007B3A5C"/>
    <w:rsid w:val="007B72EA"/>
    <w:rsid w:val="007B7631"/>
    <w:rsid w:val="007B7FDF"/>
    <w:rsid w:val="007C1268"/>
    <w:rsid w:val="007C3A6D"/>
    <w:rsid w:val="007D33F4"/>
    <w:rsid w:val="007E133B"/>
    <w:rsid w:val="007E25B1"/>
    <w:rsid w:val="007F3ABE"/>
    <w:rsid w:val="007F53B6"/>
    <w:rsid w:val="007F5DF1"/>
    <w:rsid w:val="007F7C00"/>
    <w:rsid w:val="007F7FB2"/>
    <w:rsid w:val="008022AB"/>
    <w:rsid w:val="00806991"/>
    <w:rsid w:val="0081553D"/>
    <w:rsid w:val="00816E0C"/>
    <w:rsid w:val="008171CE"/>
    <w:rsid w:val="00822F3B"/>
    <w:rsid w:val="0082477B"/>
    <w:rsid w:val="008249D1"/>
    <w:rsid w:val="00825E19"/>
    <w:rsid w:val="00826BB1"/>
    <w:rsid w:val="00831A2F"/>
    <w:rsid w:val="008328E9"/>
    <w:rsid w:val="00835BCB"/>
    <w:rsid w:val="00835CDC"/>
    <w:rsid w:val="008465FE"/>
    <w:rsid w:val="00850B09"/>
    <w:rsid w:val="00857746"/>
    <w:rsid w:val="00863B9D"/>
    <w:rsid w:val="00863BE6"/>
    <w:rsid w:val="00875462"/>
    <w:rsid w:val="008775BC"/>
    <w:rsid w:val="00881917"/>
    <w:rsid w:val="00881FFD"/>
    <w:rsid w:val="00882661"/>
    <w:rsid w:val="00882F1B"/>
    <w:rsid w:val="00883A54"/>
    <w:rsid w:val="008977E5"/>
    <w:rsid w:val="008A70CE"/>
    <w:rsid w:val="008B4CA2"/>
    <w:rsid w:val="008B659C"/>
    <w:rsid w:val="008C25E4"/>
    <w:rsid w:val="008C2DAE"/>
    <w:rsid w:val="008C59EB"/>
    <w:rsid w:val="008D6B86"/>
    <w:rsid w:val="008F31B6"/>
    <w:rsid w:val="008F6687"/>
    <w:rsid w:val="008F6A50"/>
    <w:rsid w:val="009059A9"/>
    <w:rsid w:val="00913505"/>
    <w:rsid w:val="009138DA"/>
    <w:rsid w:val="009226AC"/>
    <w:rsid w:val="0092483D"/>
    <w:rsid w:val="0092515E"/>
    <w:rsid w:val="00925D89"/>
    <w:rsid w:val="009260F6"/>
    <w:rsid w:val="009273D6"/>
    <w:rsid w:val="00933122"/>
    <w:rsid w:val="00937687"/>
    <w:rsid w:val="00941723"/>
    <w:rsid w:val="00942FBD"/>
    <w:rsid w:val="0094770B"/>
    <w:rsid w:val="0095590A"/>
    <w:rsid w:val="009577A1"/>
    <w:rsid w:val="009626BE"/>
    <w:rsid w:val="009627B2"/>
    <w:rsid w:val="00963DA4"/>
    <w:rsid w:val="0096430E"/>
    <w:rsid w:val="00973739"/>
    <w:rsid w:val="00974097"/>
    <w:rsid w:val="00975E44"/>
    <w:rsid w:val="0097758C"/>
    <w:rsid w:val="00977B6A"/>
    <w:rsid w:val="009837E7"/>
    <w:rsid w:val="00986AE6"/>
    <w:rsid w:val="00995BE2"/>
    <w:rsid w:val="009A1374"/>
    <w:rsid w:val="009B2267"/>
    <w:rsid w:val="009C044D"/>
    <w:rsid w:val="009C315E"/>
    <w:rsid w:val="009C460A"/>
    <w:rsid w:val="009C721C"/>
    <w:rsid w:val="009C79BE"/>
    <w:rsid w:val="009E0AE8"/>
    <w:rsid w:val="009E5374"/>
    <w:rsid w:val="009E6D60"/>
    <w:rsid w:val="009F0C3D"/>
    <w:rsid w:val="009F22AD"/>
    <w:rsid w:val="009F25B7"/>
    <w:rsid w:val="009F345D"/>
    <w:rsid w:val="009F6240"/>
    <w:rsid w:val="00A038A0"/>
    <w:rsid w:val="00A103F9"/>
    <w:rsid w:val="00A13218"/>
    <w:rsid w:val="00A162BC"/>
    <w:rsid w:val="00A16ADD"/>
    <w:rsid w:val="00A17151"/>
    <w:rsid w:val="00A22339"/>
    <w:rsid w:val="00A227A3"/>
    <w:rsid w:val="00A22ED9"/>
    <w:rsid w:val="00A2595B"/>
    <w:rsid w:val="00A268B2"/>
    <w:rsid w:val="00A31448"/>
    <w:rsid w:val="00A35666"/>
    <w:rsid w:val="00A35BDA"/>
    <w:rsid w:val="00A37D4F"/>
    <w:rsid w:val="00A42ED3"/>
    <w:rsid w:val="00A44886"/>
    <w:rsid w:val="00A46D6F"/>
    <w:rsid w:val="00A603F3"/>
    <w:rsid w:val="00A60B73"/>
    <w:rsid w:val="00A62B3E"/>
    <w:rsid w:val="00A637B6"/>
    <w:rsid w:val="00A63BC4"/>
    <w:rsid w:val="00A75223"/>
    <w:rsid w:val="00A76B2F"/>
    <w:rsid w:val="00A77D00"/>
    <w:rsid w:val="00A80080"/>
    <w:rsid w:val="00A85614"/>
    <w:rsid w:val="00A85DAB"/>
    <w:rsid w:val="00A868BC"/>
    <w:rsid w:val="00A90003"/>
    <w:rsid w:val="00A92432"/>
    <w:rsid w:val="00AA02D4"/>
    <w:rsid w:val="00AA03C2"/>
    <w:rsid w:val="00AB1BEF"/>
    <w:rsid w:val="00AB24A9"/>
    <w:rsid w:val="00AB3A75"/>
    <w:rsid w:val="00AB4951"/>
    <w:rsid w:val="00AC2554"/>
    <w:rsid w:val="00AD01AD"/>
    <w:rsid w:val="00AD4069"/>
    <w:rsid w:val="00AD42F0"/>
    <w:rsid w:val="00AE4FF2"/>
    <w:rsid w:val="00AE7CFF"/>
    <w:rsid w:val="00AF0BBB"/>
    <w:rsid w:val="00AF4497"/>
    <w:rsid w:val="00B059E2"/>
    <w:rsid w:val="00B062EF"/>
    <w:rsid w:val="00B06642"/>
    <w:rsid w:val="00B156F6"/>
    <w:rsid w:val="00B17EFC"/>
    <w:rsid w:val="00B20C36"/>
    <w:rsid w:val="00B21864"/>
    <w:rsid w:val="00B27CB5"/>
    <w:rsid w:val="00B27D23"/>
    <w:rsid w:val="00B315A0"/>
    <w:rsid w:val="00B34A18"/>
    <w:rsid w:val="00B34AF2"/>
    <w:rsid w:val="00B43841"/>
    <w:rsid w:val="00B468CE"/>
    <w:rsid w:val="00B50FE1"/>
    <w:rsid w:val="00B52CE4"/>
    <w:rsid w:val="00B579CB"/>
    <w:rsid w:val="00B626CD"/>
    <w:rsid w:val="00B6398B"/>
    <w:rsid w:val="00B67FE1"/>
    <w:rsid w:val="00B70083"/>
    <w:rsid w:val="00B7121F"/>
    <w:rsid w:val="00B73554"/>
    <w:rsid w:val="00B73B3A"/>
    <w:rsid w:val="00B773E1"/>
    <w:rsid w:val="00B83EF9"/>
    <w:rsid w:val="00B925AB"/>
    <w:rsid w:val="00B947D5"/>
    <w:rsid w:val="00BA66E2"/>
    <w:rsid w:val="00BA7B0F"/>
    <w:rsid w:val="00BB25BE"/>
    <w:rsid w:val="00BB27F0"/>
    <w:rsid w:val="00BB28F6"/>
    <w:rsid w:val="00BB31F3"/>
    <w:rsid w:val="00BB5161"/>
    <w:rsid w:val="00BB6F8F"/>
    <w:rsid w:val="00BC2609"/>
    <w:rsid w:val="00BD4486"/>
    <w:rsid w:val="00BD4DA4"/>
    <w:rsid w:val="00BD565E"/>
    <w:rsid w:val="00BE204E"/>
    <w:rsid w:val="00BE49B0"/>
    <w:rsid w:val="00BF55AD"/>
    <w:rsid w:val="00C00B66"/>
    <w:rsid w:val="00C03EA3"/>
    <w:rsid w:val="00C0528F"/>
    <w:rsid w:val="00C1184B"/>
    <w:rsid w:val="00C1292B"/>
    <w:rsid w:val="00C13145"/>
    <w:rsid w:val="00C20858"/>
    <w:rsid w:val="00C26AC6"/>
    <w:rsid w:val="00C3561B"/>
    <w:rsid w:val="00C53FB8"/>
    <w:rsid w:val="00C54833"/>
    <w:rsid w:val="00C54848"/>
    <w:rsid w:val="00C65A25"/>
    <w:rsid w:val="00C817CB"/>
    <w:rsid w:val="00C81BA2"/>
    <w:rsid w:val="00C8780E"/>
    <w:rsid w:val="00CA32AC"/>
    <w:rsid w:val="00CA7384"/>
    <w:rsid w:val="00CB5D33"/>
    <w:rsid w:val="00CC359E"/>
    <w:rsid w:val="00CD002B"/>
    <w:rsid w:val="00CD3067"/>
    <w:rsid w:val="00CE1E10"/>
    <w:rsid w:val="00CE6745"/>
    <w:rsid w:val="00CE750F"/>
    <w:rsid w:val="00CF06B6"/>
    <w:rsid w:val="00CF15EA"/>
    <w:rsid w:val="00CF4496"/>
    <w:rsid w:val="00D03679"/>
    <w:rsid w:val="00D05019"/>
    <w:rsid w:val="00D058F6"/>
    <w:rsid w:val="00D067AD"/>
    <w:rsid w:val="00D122F6"/>
    <w:rsid w:val="00D12E3D"/>
    <w:rsid w:val="00D154CC"/>
    <w:rsid w:val="00D160CB"/>
    <w:rsid w:val="00D245A1"/>
    <w:rsid w:val="00D31F04"/>
    <w:rsid w:val="00D3734D"/>
    <w:rsid w:val="00D412FB"/>
    <w:rsid w:val="00D415E2"/>
    <w:rsid w:val="00D42055"/>
    <w:rsid w:val="00D57CA4"/>
    <w:rsid w:val="00D61885"/>
    <w:rsid w:val="00D647C3"/>
    <w:rsid w:val="00D72CA1"/>
    <w:rsid w:val="00D93258"/>
    <w:rsid w:val="00D9633A"/>
    <w:rsid w:val="00D965BC"/>
    <w:rsid w:val="00DA3F2F"/>
    <w:rsid w:val="00DA4E72"/>
    <w:rsid w:val="00DA7C20"/>
    <w:rsid w:val="00DA7E51"/>
    <w:rsid w:val="00DC6424"/>
    <w:rsid w:val="00DD206E"/>
    <w:rsid w:val="00DD4889"/>
    <w:rsid w:val="00DE0776"/>
    <w:rsid w:val="00DE3825"/>
    <w:rsid w:val="00DF02FE"/>
    <w:rsid w:val="00DF05FB"/>
    <w:rsid w:val="00DF0924"/>
    <w:rsid w:val="00DF2386"/>
    <w:rsid w:val="00DF7FE7"/>
    <w:rsid w:val="00E03A98"/>
    <w:rsid w:val="00E11742"/>
    <w:rsid w:val="00E21FBB"/>
    <w:rsid w:val="00E27909"/>
    <w:rsid w:val="00E30CBA"/>
    <w:rsid w:val="00E46367"/>
    <w:rsid w:val="00E5511F"/>
    <w:rsid w:val="00E55F63"/>
    <w:rsid w:val="00E63F0B"/>
    <w:rsid w:val="00E64C8C"/>
    <w:rsid w:val="00E70E88"/>
    <w:rsid w:val="00E75F82"/>
    <w:rsid w:val="00E800F9"/>
    <w:rsid w:val="00E81D16"/>
    <w:rsid w:val="00E82D0D"/>
    <w:rsid w:val="00E92301"/>
    <w:rsid w:val="00E94620"/>
    <w:rsid w:val="00E96D3E"/>
    <w:rsid w:val="00E9702A"/>
    <w:rsid w:val="00EA3A7F"/>
    <w:rsid w:val="00EA5A0F"/>
    <w:rsid w:val="00EA5DAF"/>
    <w:rsid w:val="00EB2684"/>
    <w:rsid w:val="00EB462B"/>
    <w:rsid w:val="00EC4FEE"/>
    <w:rsid w:val="00ED0912"/>
    <w:rsid w:val="00ED1FA0"/>
    <w:rsid w:val="00EE71D8"/>
    <w:rsid w:val="00EF2B22"/>
    <w:rsid w:val="00F00320"/>
    <w:rsid w:val="00F0280E"/>
    <w:rsid w:val="00F0299D"/>
    <w:rsid w:val="00F078F1"/>
    <w:rsid w:val="00F214B4"/>
    <w:rsid w:val="00F25B8F"/>
    <w:rsid w:val="00F26400"/>
    <w:rsid w:val="00F32D03"/>
    <w:rsid w:val="00F344DE"/>
    <w:rsid w:val="00F36CA5"/>
    <w:rsid w:val="00F44066"/>
    <w:rsid w:val="00F45DD5"/>
    <w:rsid w:val="00F46D57"/>
    <w:rsid w:val="00F478F9"/>
    <w:rsid w:val="00F57666"/>
    <w:rsid w:val="00F618BB"/>
    <w:rsid w:val="00F63609"/>
    <w:rsid w:val="00F66101"/>
    <w:rsid w:val="00F73E71"/>
    <w:rsid w:val="00F81D9B"/>
    <w:rsid w:val="00F86E1A"/>
    <w:rsid w:val="00F91909"/>
    <w:rsid w:val="00F91FB8"/>
    <w:rsid w:val="00F94DDC"/>
    <w:rsid w:val="00F95970"/>
    <w:rsid w:val="00FA5977"/>
    <w:rsid w:val="00FA7462"/>
    <w:rsid w:val="00FB3CAC"/>
    <w:rsid w:val="00FC6300"/>
    <w:rsid w:val="00FD3D90"/>
    <w:rsid w:val="00FD7329"/>
    <w:rsid w:val="00FD7460"/>
    <w:rsid w:val="00FF19D7"/>
    <w:rsid w:val="00FF57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73C88"/>
  <w15:docId w15:val="{BBFBDDF8-699F-4744-9C14-1695E38B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paragraph" w:styleId="Heading1">
    <w:name w:val="heading 1"/>
    <w:basedOn w:val="Normal"/>
    <w:next w:val="Normal"/>
    <w:link w:val="Heading1Char"/>
    <w:uiPriority w:val="9"/>
    <w:qFormat/>
    <w:rsid w:val="00DC642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1"/>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3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table" w:customStyle="1" w:styleId="TableGrid1">
    <w:name w:val="Table Grid1"/>
    <w:basedOn w:val="TableNormal"/>
    <w:next w:val="TableGrid"/>
    <w:uiPriority w:val="39"/>
    <w:rsid w:val="004D1625"/>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843C4"/>
    <w:pPr>
      <w:ind w:left="0" w:firstLine="0"/>
    </w:pPr>
    <w:rPr>
      <w:rFonts w:eastAsia="Yu Mincho"/>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C6424"/>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DC64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6424"/>
    <w:rPr>
      <w:rFonts w:asciiTheme="majorHAnsi" w:eastAsiaTheme="majorEastAsia" w:hAnsiTheme="majorHAnsi" w:cstheme="majorBidi"/>
      <w:spacing w:val="-10"/>
      <w:kern w:val="28"/>
      <w:sz w:val="56"/>
      <w:szCs w:val="56"/>
    </w:rPr>
  </w:style>
  <w:style w:type="paragraph" w:customStyle="1" w:styleId="Default">
    <w:name w:val="Default"/>
    <w:rsid w:val="007B7631"/>
    <w:pPr>
      <w:autoSpaceDE w:val="0"/>
      <w:autoSpaceDN w:val="0"/>
      <w:adjustRightInd w:val="0"/>
      <w:ind w:left="0" w:firstLine="0"/>
    </w:pPr>
    <w:rPr>
      <w:rFonts w:ascii="Calibri" w:hAnsi="Calibri" w:cs="Calibri"/>
      <w:color w:val="000000"/>
      <w:sz w:val="24"/>
      <w:szCs w:val="24"/>
    </w:rPr>
  </w:style>
  <w:style w:type="paragraph" w:styleId="BodyText">
    <w:name w:val="Body Text"/>
    <w:basedOn w:val="Normal"/>
    <w:link w:val="BodyTextChar"/>
    <w:uiPriority w:val="1"/>
    <w:qFormat/>
    <w:rsid w:val="007B7631"/>
    <w:pPr>
      <w:widowControl w:val="0"/>
      <w:ind w:left="827" w:hanging="708"/>
    </w:pPr>
    <w:rPr>
      <w:rFonts w:cstheme="minorBidi"/>
      <w:lang w:val="en-US"/>
    </w:rPr>
  </w:style>
  <w:style w:type="character" w:customStyle="1" w:styleId="BodyTextChar">
    <w:name w:val="Body Text Char"/>
    <w:basedOn w:val="DefaultParagraphFont"/>
    <w:link w:val="BodyText"/>
    <w:uiPriority w:val="1"/>
    <w:rsid w:val="007B7631"/>
    <w:rPr>
      <w:rFonts w:ascii="Calibri" w:eastAsia="Calibri" w:hAnsi="Calibri"/>
      <w:lang w:val="en-US"/>
    </w:rPr>
  </w:style>
  <w:style w:type="paragraph" w:styleId="NormalWeb">
    <w:name w:val="Normal (Web)"/>
    <w:basedOn w:val="Normal"/>
    <w:uiPriority w:val="99"/>
    <w:unhideWhenUsed/>
    <w:rsid w:val="007B7631"/>
    <w:pPr>
      <w:spacing w:before="100" w:beforeAutospacing="1" w:after="100" w:afterAutospacing="1"/>
      <w:ind w:left="0" w:firstLine="0"/>
    </w:pPr>
    <w:rPr>
      <w:rFonts w:ascii="Times New Roman" w:eastAsiaTheme="minorHAnsi"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20849">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769087218">
      <w:bodyDiv w:val="1"/>
      <w:marLeft w:val="0"/>
      <w:marRight w:val="0"/>
      <w:marTop w:val="0"/>
      <w:marBottom w:val="0"/>
      <w:divBdr>
        <w:top w:val="none" w:sz="0" w:space="0" w:color="auto"/>
        <w:left w:val="none" w:sz="0" w:space="0" w:color="auto"/>
        <w:bottom w:val="none" w:sz="0" w:space="0" w:color="auto"/>
        <w:right w:val="none" w:sz="0" w:space="0" w:color="auto"/>
      </w:divBdr>
    </w:div>
    <w:div w:id="955141471">
      <w:bodyDiv w:val="1"/>
      <w:marLeft w:val="0"/>
      <w:marRight w:val="0"/>
      <w:marTop w:val="0"/>
      <w:marBottom w:val="0"/>
      <w:divBdr>
        <w:top w:val="none" w:sz="0" w:space="0" w:color="auto"/>
        <w:left w:val="none" w:sz="0" w:space="0" w:color="auto"/>
        <w:bottom w:val="none" w:sz="0" w:space="0" w:color="auto"/>
        <w:right w:val="none" w:sz="0" w:space="0" w:color="auto"/>
      </w:divBdr>
      <w:divsChild>
        <w:div w:id="2116437081">
          <w:marLeft w:val="0"/>
          <w:marRight w:val="0"/>
          <w:marTop w:val="0"/>
          <w:marBottom w:val="0"/>
          <w:divBdr>
            <w:top w:val="none" w:sz="0" w:space="0" w:color="auto"/>
            <w:left w:val="none" w:sz="0" w:space="0" w:color="auto"/>
            <w:bottom w:val="none" w:sz="0" w:space="0" w:color="auto"/>
            <w:right w:val="none" w:sz="0" w:space="0" w:color="auto"/>
          </w:divBdr>
          <w:divsChild>
            <w:div w:id="8770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5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SPIRE Document" ma:contentTypeID="0x010100DB29C2AB6EB75541991FB3E24043BFB600582F7F37840F594BBCB087811BB6529F" ma:contentTypeVersion="24" ma:contentTypeDescription="SPIRE Document" ma:contentTypeScope="" ma:versionID="45a9d200ca0bc6cd93f3542b9e74c4e2">
  <xsd:schema xmlns:xsd="http://www.w3.org/2001/XMLSchema" xmlns:xs="http://www.w3.org/2001/XMLSchema" xmlns:p="http://schemas.microsoft.com/office/2006/metadata/properties" xmlns:ns2="5af92df4-ae3d-4772-abff-92e7cba13994" xmlns:ns3="http://schemas.microsoft.com/sharepoint/v4" targetNamespace="http://schemas.microsoft.com/office/2006/metadata/properties" ma:root="true" ma:fieldsID="ad856c9fd6ce3e2418f8237cf12b7dcb" ns2:_="" ns3:_="">
    <xsd:import namespace="5af92df4-ae3d-4772-abff-92e7cba13994"/>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Division" minOccurs="0"/>
                <xsd:element ref="ns2:Branch" minOccurs="0"/>
                <xsd:element ref="ns2:Se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92df4-ae3d-4772-abff-92e7cba13994"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International"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Division" ma:index="12" nillable="true" ma:displayName="Division" ma:description="Department Division" ma:hidden="true" ma:SearchPeopleOnly="false" ma:internalName="Divis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SearchPeopleOnly="false" ma:internalName="Branc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tion" ma:index="14" nillable="true" ma:displayName="Section" ma:description="Department Section" ma:hidden="true" ma:SearchPeopleOnly="false" ma:internalName="Sect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pproval xmlns="5af92df4-ae3d-4772-abff-92e7cba13994" xsi:nil="true"/>
    <Function xmlns="5af92df4-ae3d-4772-abff-92e7cba13994">International</Function>
    <Section xmlns="5af92df4-ae3d-4772-abff-92e7cba13994">
      <UserInfo>
        <DisplayName/>
        <AccountId xsi:nil="true"/>
        <AccountType/>
      </UserInfo>
    </Section>
    <RecordNumber xmlns="5af92df4-ae3d-4772-abff-92e7cba13994" xsi:nil="true"/>
    <IconOverlay xmlns="http://schemas.microsoft.com/sharepoint/v4" xsi:nil="true"/>
    <Division xmlns="5af92df4-ae3d-4772-abff-92e7cba13994">
      <UserInfo>
        <DisplayName/>
        <AccountId xsi:nil="true"/>
        <AccountType/>
      </UserInfo>
    </Division>
    <DocumentDescription xmlns="5af92df4-ae3d-4772-abff-92e7cba13994" xsi:nil="true"/>
    <Branch xmlns="5af92df4-ae3d-4772-abff-92e7cba13994">
      <UserInfo>
        <DisplayName/>
        <AccountId xsi:nil="true"/>
        <AccountType/>
      </UserInfo>
    </Branch>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545D4-7A6D-4782-A897-B7531D604AB8}">
  <ds:schemaRefs>
    <ds:schemaRef ds:uri="http://schemas.microsoft.com/sharepoint/v3/contenttype/forms"/>
  </ds:schemaRefs>
</ds:datastoreItem>
</file>

<file path=customXml/itemProps2.xml><?xml version="1.0" encoding="utf-8"?>
<ds:datastoreItem xmlns:ds="http://schemas.openxmlformats.org/officeDocument/2006/customXml" ds:itemID="{7D62D6A4-A5C7-49F5-822C-909B25E79499}">
  <ds:schemaRefs>
    <ds:schemaRef ds:uri="http://schemas.microsoft.com/office/2006/metadata/customXsn"/>
  </ds:schemaRefs>
</ds:datastoreItem>
</file>

<file path=customXml/itemProps3.xml><?xml version="1.0" encoding="utf-8"?>
<ds:datastoreItem xmlns:ds="http://schemas.openxmlformats.org/officeDocument/2006/customXml" ds:itemID="{E0AA399B-199E-4E8E-B45E-437F95D59F06}">
  <ds:schemaRefs>
    <ds:schemaRef ds:uri="http://schemas.microsoft.com/sharepoint/events"/>
  </ds:schemaRefs>
</ds:datastoreItem>
</file>

<file path=customXml/itemProps4.xml><?xml version="1.0" encoding="utf-8"?>
<ds:datastoreItem xmlns:ds="http://schemas.openxmlformats.org/officeDocument/2006/customXml" ds:itemID="{9EB98732-12CD-4FDB-8294-CBBF47525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92df4-ae3d-4772-abff-92e7cba139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9DE30D-9469-4031-ACF5-3BEB5D720E26}">
  <ds:schemaRefs>
    <ds:schemaRef ds:uri="http://purl.org/dc/dcmitype/"/>
    <ds:schemaRef ds:uri="http://schemas.microsoft.com/office/2006/documentManagement/types"/>
    <ds:schemaRef ds:uri="http://purl.org/dc/elements/1.1/"/>
    <ds:schemaRef ds:uri="5af92df4-ae3d-4772-abff-92e7cba13994"/>
    <ds:schemaRef ds:uri="http://www.w3.org/XML/1998/namespace"/>
    <ds:schemaRef ds:uri="http://schemas.microsoft.com/sharepoint/v4"/>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6.xml><?xml version="1.0" encoding="utf-8"?>
<ds:datastoreItem xmlns:ds="http://schemas.openxmlformats.org/officeDocument/2006/customXml" ds:itemID="{7078E5D7-D364-4E0A-A96F-779030274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4799</Words>
  <Characters>27360</Characters>
  <Application>Microsoft Office Word</Application>
  <DocSecurity>0</DocSecurity>
  <Lines>228</Lines>
  <Paragraphs>64</Paragraphs>
  <ScaleCrop>false</ScaleCrop>
  <HeadingPairs>
    <vt:vector size="6" baseType="variant">
      <vt:variant>
        <vt:lpstr>Title</vt:lpstr>
      </vt:variant>
      <vt:variant>
        <vt:i4>1</vt:i4>
      </vt:variant>
      <vt:variant>
        <vt:lpstr>Titre</vt:lpstr>
      </vt:variant>
      <vt:variant>
        <vt:i4>1</vt:i4>
      </vt:variant>
      <vt:variant>
        <vt:lpstr>Rubrik</vt:lpstr>
      </vt:variant>
      <vt:variant>
        <vt:i4>1</vt:i4>
      </vt:variant>
    </vt:vector>
  </HeadingPairs>
  <TitlesOfParts>
    <vt:vector size="3" baseType="lpstr">
      <vt:lpstr/>
      <vt:lpstr/>
      <vt:lpstr/>
    </vt:vector>
  </TitlesOfParts>
  <Company>IUCN</Company>
  <LinksUpToDate>false</LinksUpToDate>
  <CharactersWithSpaces>32095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Ramsar\KatzM</dc:creator>
  <cp:lastModifiedBy>Ed Jennings</cp:lastModifiedBy>
  <cp:revision>3</cp:revision>
  <cp:lastPrinted>2020-04-06T13:42:00Z</cp:lastPrinted>
  <dcterms:created xsi:type="dcterms:W3CDTF">2022-03-25T12:55:00Z</dcterms:created>
  <dcterms:modified xsi:type="dcterms:W3CDTF">2022-03-29T11:30:00Z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0x010100DB29C2AB6EB75541991FB3E24043BFB600582F7F37840F594BBCB087811BB6529F</vt:lpwstr>
  </property>
  <property fmtid="{D5CDD505-2E9C-101B-9397-08002B2CF9AE}" pid="3" name="RecordPoint_ActiveItemUniqueId">
    <vt:lpwstr>{086ae4ea-fc5f-4716-a749-55eafd89fd66}</vt:lpwstr>
  </property>
  <property fmtid="{D5CDD505-2E9C-101B-9397-08002B2CF9AE}" pid="4" name="RecordPoint_WorkflowType">
    <vt:lpwstr>ActiveSubmitStub</vt:lpwstr>
  </property>
  <property fmtid="{D5CDD505-2E9C-101B-9397-08002B2CF9AE}" pid="5" name="RecordPoint_ActiveItemSiteId">
    <vt:lpwstr>{a8f0bc9d-7c61-4d87-8154-4194e40ae5d3}</vt:lpwstr>
  </property>
  <property fmtid="{D5CDD505-2E9C-101B-9397-08002B2CF9AE}" pid="6" name="RecordPoint_ActiveItemListId">
    <vt:lpwstr>{5dd4d19f-453b-4598-8756-d997d940362f}</vt:lpwstr>
  </property>
  <property fmtid="{D5CDD505-2E9C-101B-9397-08002B2CF9AE}" pid="7" name="RecordPoint_ActiveItemWebId">
    <vt:lpwstr>{5af92df4-ae3d-4772-abff-92e7cba13994}</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
  </property>
</Properties>
</file>