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E4A4" w14:textId="65C0C92A" w:rsidR="00275F13" w:rsidRPr="00EB2684" w:rsidRDefault="00BE49B0" w:rsidP="00A76B2F">
      <w:pPr>
        <w:pBdr>
          <w:top w:val="single" w:sz="12" w:space="0" w:color="auto" w:shadow="1"/>
          <w:left w:val="single" w:sz="12" w:space="4" w:color="auto" w:shadow="1"/>
          <w:bottom w:val="single" w:sz="12" w:space="1" w:color="auto" w:shadow="1"/>
          <w:right w:val="single" w:sz="12" w:space="0" w:color="auto" w:shadow="1"/>
        </w:pBdr>
        <w:suppressAutoHyphens/>
        <w:ind w:right="3753"/>
        <w:rPr>
          <w:bCs/>
          <w:sz w:val="24"/>
          <w:szCs w:val="24"/>
        </w:rPr>
      </w:pPr>
      <w:r w:rsidRPr="00EB2684">
        <w:rPr>
          <w:bCs/>
          <w:sz w:val="24"/>
          <w:szCs w:val="24"/>
        </w:rPr>
        <w:t>THE</w:t>
      </w:r>
      <w:r w:rsidR="00275F13" w:rsidRPr="00EB2684">
        <w:rPr>
          <w:bCs/>
          <w:sz w:val="24"/>
          <w:szCs w:val="24"/>
        </w:rPr>
        <w:t xml:space="preserve"> </w:t>
      </w:r>
      <w:r w:rsidR="00DF2386" w:rsidRPr="00EB2684">
        <w:rPr>
          <w:bCs/>
          <w:sz w:val="24"/>
          <w:szCs w:val="24"/>
        </w:rPr>
        <w:t xml:space="preserve">CONVENTION ON WETLANDS </w:t>
      </w:r>
    </w:p>
    <w:p w14:paraId="29243701" w14:textId="5CB46D89" w:rsidR="00DF2386" w:rsidRDefault="00642C9E" w:rsidP="00A76B2F">
      <w:pPr>
        <w:pBdr>
          <w:top w:val="single" w:sz="12" w:space="0" w:color="auto" w:shadow="1"/>
          <w:left w:val="single" w:sz="12" w:space="4" w:color="auto" w:shadow="1"/>
          <w:bottom w:val="single" w:sz="12" w:space="1" w:color="auto" w:shadow="1"/>
          <w:right w:val="single" w:sz="12" w:space="0" w:color="auto" w:shadow="1"/>
        </w:pBdr>
        <w:suppressAutoHyphens/>
        <w:ind w:right="3753"/>
        <w:rPr>
          <w:bCs/>
          <w:sz w:val="24"/>
          <w:szCs w:val="24"/>
        </w:rPr>
      </w:pPr>
      <w:r>
        <w:rPr>
          <w:bCs/>
          <w:sz w:val="24"/>
          <w:szCs w:val="24"/>
        </w:rPr>
        <w:t>59</w:t>
      </w:r>
      <w:r w:rsidR="00B83EF9" w:rsidRPr="00EB2684">
        <w:rPr>
          <w:bCs/>
          <w:sz w:val="24"/>
          <w:szCs w:val="24"/>
        </w:rPr>
        <w:t xml:space="preserve">th </w:t>
      </w:r>
      <w:r w:rsidR="00DF2386" w:rsidRPr="00EB2684">
        <w:rPr>
          <w:bCs/>
          <w:sz w:val="24"/>
          <w:szCs w:val="24"/>
        </w:rPr>
        <w:t>Meeting of the Standing Committee</w:t>
      </w:r>
    </w:p>
    <w:p w14:paraId="1C9F7BAC" w14:textId="11AAC869" w:rsidR="00A76B2F" w:rsidRPr="00A76B2F" w:rsidRDefault="00A76B2F" w:rsidP="00A76B2F">
      <w:pPr>
        <w:pBdr>
          <w:top w:val="single" w:sz="12" w:space="0" w:color="auto" w:shadow="1"/>
          <w:left w:val="single" w:sz="12" w:space="4" w:color="auto" w:shadow="1"/>
          <w:bottom w:val="single" w:sz="12" w:space="1" w:color="auto" w:shadow="1"/>
          <w:right w:val="single" w:sz="12" w:space="0" w:color="auto" w:shadow="1"/>
        </w:pBdr>
        <w:suppressAutoHyphens/>
        <w:ind w:right="3753"/>
        <w:rPr>
          <w:bCs/>
          <w:sz w:val="24"/>
          <w:szCs w:val="24"/>
        </w:rPr>
      </w:pPr>
      <w:r>
        <w:rPr>
          <w:bCs/>
          <w:sz w:val="24"/>
          <w:szCs w:val="24"/>
        </w:rPr>
        <w:t>R</w:t>
      </w:r>
      <w:r w:rsidRPr="00A76B2F">
        <w:rPr>
          <w:bCs/>
          <w:sz w:val="24"/>
          <w:szCs w:val="24"/>
        </w:rPr>
        <w:t xml:space="preserve">esumed session </w:t>
      </w:r>
    </w:p>
    <w:p w14:paraId="6D5EE984" w14:textId="635A40BD" w:rsidR="00DF2386" w:rsidRPr="00DA7E51" w:rsidRDefault="00DF2386" w:rsidP="00A76B2F">
      <w:pPr>
        <w:pBdr>
          <w:top w:val="single" w:sz="12" w:space="0" w:color="auto" w:shadow="1"/>
          <w:left w:val="single" w:sz="12" w:space="4" w:color="auto" w:shadow="1"/>
          <w:bottom w:val="single" w:sz="12" w:space="1" w:color="auto" w:shadow="1"/>
          <w:right w:val="single" w:sz="12" w:space="0" w:color="auto" w:shadow="1"/>
        </w:pBdr>
        <w:suppressAutoHyphens/>
        <w:ind w:left="0" w:right="3753" w:firstLine="0"/>
        <w:rPr>
          <w:bCs/>
          <w:sz w:val="24"/>
          <w:szCs w:val="24"/>
        </w:rPr>
      </w:pPr>
      <w:r w:rsidRPr="00EB2684">
        <w:rPr>
          <w:bCs/>
          <w:sz w:val="24"/>
          <w:szCs w:val="24"/>
        </w:rPr>
        <w:t xml:space="preserve">Gland, Switzerland, </w:t>
      </w:r>
      <w:r w:rsidR="00AB1BEF" w:rsidRPr="00EB2684">
        <w:rPr>
          <w:bCs/>
          <w:sz w:val="24"/>
          <w:szCs w:val="24"/>
        </w:rPr>
        <w:t xml:space="preserve">23-27 </w:t>
      </w:r>
      <w:r w:rsidR="00506E6E" w:rsidRPr="00EB2684">
        <w:rPr>
          <w:bCs/>
          <w:sz w:val="24"/>
          <w:szCs w:val="24"/>
        </w:rPr>
        <w:t>May</w:t>
      </w:r>
      <w:r w:rsidR="00616B4C">
        <w:rPr>
          <w:bCs/>
          <w:sz w:val="24"/>
          <w:szCs w:val="24"/>
        </w:rPr>
        <w:t xml:space="preserve"> </w:t>
      </w:r>
      <w:r w:rsidR="00B83EF9" w:rsidRPr="00DA7E51">
        <w:rPr>
          <w:bCs/>
          <w:sz w:val="24"/>
          <w:szCs w:val="24"/>
        </w:rPr>
        <w:t>202</w:t>
      </w:r>
      <w:r w:rsidR="00506E6E">
        <w:rPr>
          <w:bCs/>
          <w:sz w:val="24"/>
          <w:szCs w:val="24"/>
        </w:rPr>
        <w:t>2</w:t>
      </w:r>
    </w:p>
    <w:p w14:paraId="6D316A15" w14:textId="77777777" w:rsidR="00DF2386" w:rsidRPr="00AD42F0" w:rsidRDefault="00DF2386" w:rsidP="00D3734D">
      <w:pPr>
        <w:outlineLvl w:val="0"/>
        <w:rPr>
          <w:b/>
          <w:sz w:val="28"/>
          <w:szCs w:val="28"/>
        </w:rPr>
      </w:pPr>
    </w:p>
    <w:p w14:paraId="1BBF8EA8" w14:textId="03C0DC49" w:rsidR="00DF2386" w:rsidRPr="00DA7E51" w:rsidRDefault="00B83EF9" w:rsidP="00D3734D">
      <w:pPr>
        <w:jc w:val="right"/>
        <w:rPr>
          <w:rFonts w:cs="Arial"/>
          <w:sz w:val="28"/>
          <w:szCs w:val="28"/>
        </w:rPr>
      </w:pPr>
      <w:r w:rsidRPr="00F00320">
        <w:rPr>
          <w:rFonts w:cs="Arial"/>
          <w:b/>
          <w:sz w:val="28"/>
          <w:szCs w:val="28"/>
        </w:rPr>
        <w:t>SC</w:t>
      </w:r>
      <w:r w:rsidR="000A3E87">
        <w:rPr>
          <w:rFonts w:cs="Arial"/>
          <w:b/>
          <w:sz w:val="28"/>
          <w:szCs w:val="28"/>
        </w:rPr>
        <w:t>59</w:t>
      </w:r>
      <w:r w:rsidR="002E0F4C">
        <w:rPr>
          <w:rFonts w:cs="Arial"/>
          <w:b/>
          <w:sz w:val="28"/>
          <w:szCs w:val="28"/>
        </w:rPr>
        <w:t>/2022</w:t>
      </w:r>
      <w:r w:rsidR="00506E6E">
        <w:rPr>
          <w:rFonts w:cs="Arial"/>
          <w:b/>
          <w:sz w:val="28"/>
          <w:szCs w:val="28"/>
        </w:rPr>
        <w:t xml:space="preserve"> </w:t>
      </w:r>
      <w:r w:rsidR="00746EC1" w:rsidRPr="00F00320">
        <w:rPr>
          <w:rFonts w:cs="Arial"/>
          <w:b/>
          <w:sz w:val="28"/>
          <w:szCs w:val="28"/>
        </w:rPr>
        <w:t>Doc</w:t>
      </w:r>
      <w:r w:rsidR="00A76B2F">
        <w:rPr>
          <w:rFonts w:cs="Arial"/>
          <w:b/>
          <w:sz w:val="28"/>
          <w:szCs w:val="28"/>
        </w:rPr>
        <w:t>.24.11</w:t>
      </w:r>
      <w:r w:rsidR="00D245A1" w:rsidRPr="00DA7E51">
        <w:rPr>
          <w:rFonts w:cs="Arial"/>
          <w:b/>
          <w:sz w:val="28"/>
          <w:szCs w:val="28"/>
        </w:rPr>
        <w:t xml:space="preserve"> </w:t>
      </w:r>
    </w:p>
    <w:p w14:paraId="1ED09395" w14:textId="77777777" w:rsidR="00DF2386" w:rsidRPr="00DA7E51" w:rsidRDefault="00DF2386" w:rsidP="00D3734D">
      <w:pPr>
        <w:ind w:left="0" w:firstLine="0"/>
        <w:jc w:val="center"/>
        <w:rPr>
          <w:rFonts w:cs="Arial"/>
          <w:b/>
          <w:sz w:val="28"/>
          <w:szCs w:val="28"/>
        </w:rPr>
      </w:pPr>
    </w:p>
    <w:p w14:paraId="6412A1AF" w14:textId="77777777" w:rsidR="00EB462B" w:rsidRDefault="00EB462B" w:rsidP="00D3734D">
      <w:pPr>
        <w:ind w:left="0" w:firstLine="0"/>
        <w:jc w:val="center"/>
        <w:rPr>
          <w:rFonts w:cs="Arial"/>
          <w:b/>
          <w:sz w:val="28"/>
          <w:szCs w:val="28"/>
        </w:rPr>
      </w:pPr>
      <w:bookmarkStart w:id="0" w:name="_Hlk92796366"/>
      <w:r>
        <w:rPr>
          <w:rFonts w:cs="Arial"/>
          <w:b/>
          <w:sz w:val="28"/>
          <w:szCs w:val="28"/>
        </w:rPr>
        <w:t xml:space="preserve">Proposed draft resolution on </w:t>
      </w:r>
    </w:p>
    <w:p w14:paraId="06B61086" w14:textId="65E25428" w:rsidR="00DF2386" w:rsidRDefault="00A46D6F" w:rsidP="00D3734D">
      <w:pPr>
        <w:ind w:left="0" w:firstLine="0"/>
        <w:jc w:val="center"/>
        <w:rPr>
          <w:rFonts w:cs="Arial"/>
          <w:b/>
          <w:sz w:val="28"/>
          <w:szCs w:val="28"/>
        </w:rPr>
      </w:pPr>
      <w:r w:rsidRPr="00A46D6F">
        <w:rPr>
          <w:rFonts w:cs="Arial"/>
          <w:b/>
          <w:sz w:val="28"/>
          <w:szCs w:val="28"/>
        </w:rPr>
        <w:t xml:space="preserve">Ramsar Regional Initiatives </w:t>
      </w:r>
      <w:r w:rsidR="00506E6E">
        <w:rPr>
          <w:rFonts w:cs="Arial"/>
          <w:b/>
          <w:sz w:val="28"/>
          <w:szCs w:val="28"/>
        </w:rPr>
        <w:t xml:space="preserve">– </w:t>
      </w:r>
      <w:r w:rsidR="00B27D23">
        <w:rPr>
          <w:rFonts w:cs="Arial"/>
          <w:b/>
          <w:sz w:val="28"/>
          <w:szCs w:val="28"/>
        </w:rPr>
        <w:t xml:space="preserve">addressing </w:t>
      </w:r>
      <w:r w:rsidR="006F1793">
        <w:rPr>
          <w:rFonts w:cs="Arial"/>
          <w:b/>
          <w:sz w:val="28"/>
          <w:szCs w:val="28"/>
        </w:rPr>
        <w:t>old decisions</w:t>
      </w:r>
    </w:p>
    <w:bookmarkEnd w:id="0"/>
    <w:p w14:paraId="70DEADEC" w14:textId="41199B72" w:rsidR="007B7FDF" w:rsidRDefault="007B7FDF" w:rsidP="00D3734D">
      <w:pPr>
        <w:rPr>
          <w:rFonts w:ascii="Garamond" w:hAnsi="Garamond" w:cs="Arial"/>
          <w:sz w:val="28"/>
          <w:szCs w:val="28"/>
        </w:rPr>
      </w:pPr>
    </w:p>
    <w:p w14:paraId="0E6D2EAC" w14:textId="586306FF" w:rsidR="00AD01AD" w:rsidRDefault="00AD01AD" w:rsidP="00D3734D">
      <w:pPr>
        <w:rPr>
          <w:rFonts w:asciiTheme="minorHAnsi" w:eastAsia="Times New Roman" w:hAnsiTheme="minorHAnsi"/>
          <w:i/>
        </w:rPr>
      </w:pPr>
      <w:r w:rsidRPr="00EC5B5E">
        <w:rPr>
          <w:rFonts w:asciiTheme="minorHAnsi" w:eastAsia="Times New Roman" w:hAnsiTheme="minorHAnsi"/>
          <w:i/>
        </w:rPr>
        <w:t>Submitted by</w:t>
      </w:r>
      <w:r>
        <w:rPr>
          <w:rFonts w:asciiTheme="minorHAnsi" w:eastAsia="Times New Roman" w:hAnsiTheme="minorHAnsi"/>
          <w:i/>
        </w:rPr>
        <w:t xml:space="preserve"> Sweden</w:t>
      </w:r>
    </w:p>
    <w:p w14:paraId="6A104F08" w14:textId="28BD00CC" w:rsidR="00C24F6B" w:rsidRDefault="00C24F6B" w:rsidP="00D3734D">
      <w:pPr>
        <w:rPr>
          <w:rFonts w:asciiTheme="minorHAnsi" w:eastAsia="Times New Roman" w:hAnsiTheme="minorHAnsi"/>
          <w:i/>
        </w:rPr>
      </w:pPr>
    </w:p>
    <w:p w14:paraId="1123F8F8" w14:textId="77777777" w:rsidR="00C24F6B" w:rsidRPr="00C24F6B" w:rsidRDefault="00C24F6B" w:rsidP="00C24F6B">
      <w:pPr>
        <w:rPr>
          <w:i/>
        </w:rPr>
      </w:pPr>
      <w:r w:rsidRPr="00C24F6B">
        <w:rPr>
          <w:i/>
        </w:rPr>
        <w:t xml:space="preserve">Secretariat cover note: </w:t>
      </w:r>
    </w:p>
    <w:p w14:paraId="70469DFB" w14:textId="61E669D5" w:rsidR="00C24F6B" w:rsidRDefault="00C24F6B" w:rsidP="00C24F6B">
      <w:pPr>
        <w:ind w:left="0" w:firstLine="0"/>
      </w:pPr>
      <w:r w:rsidRPr="00C24F6B">
        <w:t xml:space="preserve">The DR refers to earlier recommendations and resolutions related to RRIs notably, Recommendations V.14, VI.11 and Resolutions VII.22, VII26, VIII30, VIII.41, VIII.43, IX.7, X.6, XI.5, XII.8, XIII.9. It also refers to Resolutions IX.1, IX.19, X.3, X.15, X.17, X.19, XI.6, XI.10, XI.11, XI.14, XII.2, XII.5, XII.9, XII.11, XII.12, XIII.2, XIII.5, XIII.7, XIII.15, XIII.8, XIII.22, XIII.24. There are two additional DRs on the topic of Ramsar Regional Initiatives submitted by Sweden as documents SC59/2022 Doc.24.9 and SC59/2022 Doc.24.10. The topic is also addressed in the Draft Resolution on Ramsar Regional Initiatives 2022-2024 annexed to document SC59 Doc.21.1 </w:t>
      </w:r>
      <w:r w:rsidRPr="00C24F6B">
        <w:rPr>
          <w:i/>
        </w:rPr>
        <w:t>Report of the Ramsar Regional Initiatives Working Group on Addressing Resolution XIII.9</w:t>
      </w:r>
      <w:r w:rsidRPr="00C24F6B">
        <w:t>. The DR does not address matters of a scientific or technical nature requiring review by the STRP.</w:t>
      </w:r>
    </w:p>
    <w:p w14:paraId="791AAAE2" w14:textId="77777777" w:rsidR="009634C1" w:rsidRDefault="009634C1">
      <w:pPr>
        <w:rPr>
          <w:rFonts w:ascii="Garamond" w:hAnsi="Garamond" w:cs="Arial"/>
          <w:sz w:val="28"/>
          <w:szCs w:val="28"/>
        </w:rPr>
      </w:pPr>
      <w:r>
        <w:rPr>
          <w:rFonts w:ascii="Garamond" w:hAnsi="Garamond" w:cs="Arial"/>
          <w:sz w:val="28"/>
          <w:szCs w:val="28"/>
        </w:rPr>
        <w:br w:type="page"/>
      </w:r>
    </w:p>
    <w:bookmarkStart w:id="1" w:name="_GoBack"/>
    <w:bookmarkEnd w:id="1"/>
    <w:p w14:paraId="11A4AAD1" w14:textId="2EF7F264" w:rsidR="000C2489" w:rsidRDefault="000C2489" w:rsidP="00D3734D">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78C670CB" wp14:editId="10DDEB80">
                <wp:extent cx="5731510" cy="11906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77777777" w:rsidR="00A90003" w:rsidRDefault="00A90003" w:rsidP="000C2489">
                            <w:pPr>
                              <w:rPr>
                                <w:b/>
                                <w:bCs/>
                              </w:rPr>
                            </w:pPr>
                            <w:r>
                              <w:rPr>
                                <w:b/>
                                <w:bCs/>
                              </w:rPr>
                              <w:t xml:space="preserve">Actions requested: </w:t>
                            </w:r>
                          </w:p>
                          <w:p w14:paraId="5B8D72C9" w14:textId="77777777" w:rsidR="00A90003" w:rsidRDefault="00A90003" w:rsidP="000C2489">
                            <w:pPr>
                              <w:pStyle w:val="ColorfulList-Accent11"/>
                              <w:ind w:left="0"/>
                            </w:pPr>
                          </w:p>
                          <w:p w14:paraId="5C796CF9" w14:textId="131F9268" w:rsidR="00A90003" w:rsidRDefault="00A90003" w:rsidP="00275F13">
                            <w:pPr>
                              <w:pStyle w:val="ColorfulList-Accent11"/>
                              <w:ind w:left="0" w:firstLine="0"/>
                              <w:rPr>
                                <w:rFonts w:cs="Calibri"/>
                              </w:rPr>
                            </w:pPr>
                            <w:r>
                              <w:t xml:space="preserve">The Standing Committee is </w:t>
                            </w:r>
                            <w:r>
                              <w:rPr>
                                <w:rFonts w:cs="Calibri"/>
                              </w:rPr>
                              <w:t>invited to:</w:t>
                            </w:r>
                          </w:p>
                          <w:p w14:paraId="025A5546" w14:textId="77777777" w:rsidR="00A90003" w:rsidRPr="00F32D03" w:rsidRDefault="00A90003" w:rsidP="002C261A">
                            <w:pPr>
                              <w:pStyle w:val="ColorfulList-Accent11"/>
                              <w:ind w:left="709" w:hanging="283"/>
                            </w:pPr>
                          </w:p>
                          <w:p w14:paraId="639AE441" w14:textId="43CA0826" w:rsidR="00933122" w:rsidRPr="00933122" w:rsidRDefault="00CB5D33" w:rsidP="00FC2C7A">
                            <w:pPr>
                              <w:pStyle w:val="ColorfulList-Accent11"/>
                              <w:numPr>
                                <w:ilvl w:val="0"/>
                                <w:numId w:val="12"/>
                              </w:numPr>
                              <w:rPr>
                                <w:rFonts w:cs="Calibri"/>
                              </w:rPr>
                            </w:pPr>
                            <w:r w:rsidRPr="00CB5D33">
                              <w:rPr>
                                <w:rFonts w:cs="Calibri"/>
                              </w:rPr>
                              <w:t>R</w:t>
                            </w:r>
                            <w:r w:rsidR="00A90003" w:rsidRPr="00CB5D33">
                              <w:rPr>
                                <w:rFonts w:cs="Calibri"/>
                              </w:rPr>
                              <w:t>eview</w:t>
                            </w:r>
                            <w:r w:rsidRPr="00CB5D33">
                              <w:rPr>
                                <w:rFonts w:cs="Calibri"/>
                              </w:rPr>
                              <w:t>,</w:t>
                            </w:r>
                            <w:r w:rsidR="00A90003" w:rsidRPr="00CB5D33">
                              <w:rPr>
                                <w:rFonts w:cs="Calibri"/>
                              </w:rPr>
                              <w:t xml:space="preserve"> </w:t>
                            </w:r>
                            <w:r w:rsidR="00EB462B" w:rsidRPr="00CB5D33">
                              <w:rPr>
                                <w:rFonts w:cs="Calibri"/>
                              </w:rPr>
                              <w:t xml:space="preserve">approve </w:t>
                            </w:r>
                            <w:r w:rsidRPr="00CB5D33">
                              <w:rPr>
                                <w:rFonts w:cs="Calibri"/>
                              </w:rPr>
                              <w:t>and</w:t>
                            </w:r>
                            <w:r>
                              <w:rPr>
                                <w:rFonts w:cs="Calibri"/>
                              </w:rPr>
                              <w:t xml:space="preserve"> </w:t>
                            </w:r>
                            <w:r w:rsidR="005469A0">
                              <w:rPr>
                                <w:rFonts w:cs="Calibri"/>
                              </w:rPr>
                              <w:t xml:space="preserve">then </w:t>
                            </w:r>
                            <w:r w:rsidR="00A90003" w:rsidRPr="00882661">
                              <w:rPr>
                                <w:rFonts w:cs="Calibri"/>
                              </w:rPr>
                              <w:t xml:space="preserve">submit the attached draft resolution </w:t>
                            </w:r>
                            <w:r w:rsidR="00882661">
                              <w:rPr>
                                <w:rFonts w:cs="Calibri"/>
                              </w:rPr>
                              <w:t>“</w:t>
                            </w:r>
                            <w:r w:rsidR="00A90003" w:rsidRPr="00882661">
                              <w:rPr>
                                <w:rFonts w:cs="Calibri"/>
                              </w:rPr>
                              <w:t>Ramsar Regional Initiatives</w:t>
                            </w:r>
                            <w:r w:rsidR="00882661" w:rsidRPr="00882661">
                              <w:rPr>
                                <w:rFonts w:cs="Calibri"/>
                              </w:rPr>
                              <w:t xml:space="preserve"> </w:t>
                            </w:r>
                            <w:r w:rsidR="00882661">
                              <w:rPr>
                                <w:rFonts w:cs="Calibri"/>
                              </w:rPr>
                              <w:t>–</w:t>
                            </w:r>
                            <w:r w:rsidR="00B27D23">
                              <w:rPr>
                                <w:rFonts w:cs="Calibri"/>
                              </w:rPr>
                              <w:t xml:space="preserve">addressing </w:t>
                            </w:r>
                            <w:r w:rsidR="00882661">
                              <w:rPr>
                                <w:rFonts w:cs="Calibri"/>
                              </w:rPr>
                              <w:t>old decisions”.</w:t>
                            </w:r>
                            <w:r w:rsidR="00882661" w:rsidRPr="00882661">
                              <w:rPr>
                                <w:rFonts w:cs="Calibri"/>
                              </w:rPr>
                              <w:t xml:space="preserve"> </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">
                <v:textbox>
                  <w:txbxContent>
                    <w:p w14:paraId="25C6ED61" w14:textId="77777777" w:rsidR="00A90003" w:rsidRDefault="00A90003" w:rsidP="000C2489">
                      <w:pPr>
                        <w:rPr>
                          <w:b/>
                          <w:bCs/>
                        </w:rPr>
                      </w:pPr>
                      <w:r>
                        <w:rPr>
                          <w:b/>
                          <w:bCs/>
                        </w:rPr>
                        <w:t xml:space="preserve">Actions requested: </w:t>
                      </w:r>
                    </w:p>
                    <w:p w14:paraId="5B8D72C9" w14:textId="77777777" w:rsidR="00A90003" w:rsidRDefault="00A90003" w:rsidP="000C2489">
                      <w:pPr>
                        <w:pStyle w:val="ColorfulList-Accent11"/>
                        <w:ind w:left="0"/>
                      </w:pPr>
                    </w:p>
                    <w:p w14:paraId="5C796CF9" w14:textId="131F9268" w:rsidR="00A90003" w:rsidRDefault="00A90003" w:rsidP="00275F13">
                      <w:pPr>
                        <w:pStyle w:val="ColorfulList-Accent11"/>
                        <w:ind w:left="0" w:firstLine="0"/>
                        <w:rPr>
                          <w:rFonts w:cs="Calibri"/>
                        </w:rPr>
                      </w:pPr>
                      <w:r>
                        <w:t xml:space="preserve">The Standing Committee is </w:t>
                      </w:r>
                      <w:r>
                        <w:rPr>
                          <w:rFonts w:cs="Calibri"/>
                        </w:rPr>
                        <w:t>invited to:</w:t>
                      </w:r>
                    </w:p>
                    <w:p w14:paraId="025A5546" w14:textId="77777777" w:rsidR="00A90003" w:rsidRPr="00F32D03" w:rsidRDefault="00A90003" w:rsidP="002C261A">
                      <w:pPr>
                        <w:pStyle w:val="ColorfulList-Accent11"/>
                        <w:ind w:left="709" w:hanging="283"/>
                      </w:pPr>
                    </w:p>
                    <w:p w14:paraId="639AE441" w14:textId="43CA0826" w:rsidR="00933122" w:rsidRPr="00933122" w:rsidRDefault="00CB5D33" w:rsidP="00FC2C7A">
                      <w:pPr>
                        <w:pStyle w:val="ColorfulList-Accent11"/>
                        <w:numPr>
                          <w:ilvl w:val="0"/>
                          <w:numId w:val="12"/>
                        </w:numPr>
                        <w:rPr>
                          <w:rFonts w:cs="Calibri"/>
                        </w:rPr>
                      </w:pPr>
                      <w:r w:rsidRPr="00CB5D33">
                        <w:rPr>
                          <w:rFonts w:cs="Calibri"/>
                        </w:rPr>
                        <w:t>R</w:t>
                      </w:r>
                      <w:r w:rsidR="00A90003" w:rsidRPr="00CB5D33">
                        <w:rPr>
                          <w:rFonts w:cs="Calibri"/>
                        </w:rPr>
                        <w:t>eview</w:t>
                      </w:r>
                      <w:r w:rsidRPr="00CB5D33">
                        <w:rPr>
                          <w:rFonts w:cs="Calibri"/>
                        </w:rPr>
                        <w:t>,</w:t>
                      </w:r>
                      <w:r w:rsidR="00A90003" w:rsidRPr="00CB5D33">
                        <w:rPr>
                          <w:rFonts w:cs="Calibri"/>
                        </w:rPr>
                        <w:t xml:space="preserve"> </w:t>
                      </w:r>
                      <w:r w:rsidR="00EB462B" w:rsidRPr="00CB5D33">
                        <w:rPr>
                          <w:rFonts w:cs="Calibri"/>
                        </w:rPr>
                        <w:t xml:space="preserve">approve </w:t>
                      </w:r>
                      <w:r w:rsidRPr="00CB5D33">
                        <w:rPr>
                          <w:rFonts w:cs="Calibri"/>
                        </w:rPr>
                        <w:t>and</w:t>
                      </w:r>
                      <w:r>
                        <w:rPr>
                          <w:rFonts w:cs="Calibri"/>
                        </w:rPr>
                        <w:t xml:space="preserve"> </w:t>
                      </w:r>
                      <w:r w:rsidR="005469A0">
                        <w:rPr>
                          <w:rFonts w:cs="Calibri"/>
                        </w:rPr>
                        <w:t xml:space="preserve">then </w:t>
                      </w:r>
                      <w:r w:rsidR="00A90003" w:rsidRPr="00882661">
                        <w:rPr>
                          <w:rFonts w:cs="Calibri"/>
                        </w:rPr>
                        <w:t xml:space="preserve">submit the attached draft resolution </w:t>
                      </w:r>
                      <w:r w:rsidR="00882661">
                        <w:rPr>
                          <w:rFonts w:cs="Calibri"/>
                        </w:rPr>
                        <w:t>“</w:t>
                      </w:r>
                      <w:r w:rsidR="00A90003" w:rsidRPr="00882661">
                        <w:rPr>
                          <w:rFonts w:cs="Calibri"/>
                        </w:rPr>
                        <w:t>Ramsar Regional Initiatives</w:t>
                      </w:r>
                      <w:r w:rsidR="00882661" w:rsidRPr="00882661">
                        <w:rPr>
                          <w:rFonts w:cs="Calibri"/>
                        </w:rPr>
                        <w:t xml:space="preserve"> </w:t>
                      </w:r>
                      <w:r w:rsidR="00882661">
                        <w:rPr>
                          <w:rFonts w:cs="Calibri"/>
                        </w:rPr>
                        <w:t>–</w:t>
                      </w:r>
                      <w:r w:rsidR="00B27D23">
                        <w:rPr>
                          <w:rFonts w:cs="Calibri"/>
                        </w:rPr>
                        <w:t xml:space="preserve">addressing </w:t>
                      </w:r>
                      <w:r w:rsidR="00882661">
                        <w:rPr>
                          <w:rFonts w:cs="Calibri"/>
                        </w:rPr>
                        <w:t>old decisions”.</w:t>
                      </w:r>
                      <w:r w:rsidR="00882661" w:rsidRPr="00882661">
                        <w:rPr>
                          <w:rFonts w:cs="Calibri"/>
                        </w:rPr>
                        <w:t xml:space="preserve"> </w:t>
                      </w:r>
                    </w:p>
                  </w:txbxContent>
                </v:textbox>
                <w10:anchorlock/>
              </v:shape>
            </w:pict>
          </mc:Fallback>
        </mc:AlternateContent>
      </w:r>
    </w:p>
    <w:p w14:paraId="0D09C557" w14:textId="77777777" w:rsidR="008B659C" w:rsidRDefault="008B659C" w:rsidP="00D3734D">
      <w:pPr>
        <w:rPr>
          <w:rFonts w:asciiTheme="minorHAnsi" w:hAnsiTheme="minorHAnsi" w:cstheme="minorHAnsi"/>
          <w:b/>
        </w:rPr>
      </w:pPr>
    </w:p>
    <w:p w14:paraId="7089F019" w14:textId="77777777" w:rsidR="008B659C" w:rsidRDefault="008B659C" w:rsidP="00D3734D">
      <w:pPr>
        <w:rPr>
          <w:rFonts w:asciiTheme="minorHAnsi" w:hAnsiTheme="minorHAnsi" w:cstheme="minorHAnsi"/>
          <w:b/>
        </w:rPr>
      </w:pPr>
    </w:p>
    <w:p w14:paraId="0C63D9FB" w14:textId="1D9AF272" w:rsidR="000C2489" w:rsidRDefault="00EB462B" w:rsidP="00D3734D">
      <w:pPr>
        <w:rPr>
          <w:rFonts w:asciiTheme="minorHAnsi" w:hAnsiTheme="minorHAnsi" w:cstheme="minorHAnsi"/>
          <w:b/>
        </w:rPr>
      </w:pPr>
      <w:r>
        <w:rPr>
          <w:rFonts w:asciiTheme="minorHAnsi" w:hAnsiTheme="minorHAnsi" w:cstheme="minorHAnsi"/>
          <w:b/>
        </w:rPr>
        <w:t>Introduction</w:t>
      </w:r>
    </w:p>
    <w:p w14:paraId="5C53B403" w14:textId="122DC490" w:rsidR="00AD01AD" w:rsidRDefault="00AD01AD" w:rsidP="00D3734D">
      <w:pPr>
        <w:rPr>
          <w:rFonts w:asciiTheme="minorHAnsi" w:hAnsiTheme="minorHAnsi" w:cstheme="minorHAnsi"/>
          <w:b/>
        </w:rPr>
      </w:pPr>
    </w:p>
    <w:p w14:paraId="00DA8A41" w14:textId="45AFEE23" w:rsidR="00AD01AD" w:rsidRPr="00AD01AD" w:rsidRDefault="00AD01AD" w:rsidP="00D3734D">
      <w:pPr>
        <w:rPr>
          <w:rFonts w:asciiTheme="minorHAnsi" w:hAnsiTheme="minorHAnsi" w:cstheme="minorHAnsi"/>
          <w:bCs/>
          <w:i/>
          <w:iCs/>
        </w:rPr>
      </w:pPr>
      <w:r w:rsidRPr="00AD01AD">
        <w:rPr>
          <w:rFonts w:asciiTheme="minorHAnsi" w:hAnsiTheme="minorHAnsi" w:cstheme="minorHAnsi"/>
          <w:bCs/>
          <w:i/>
          <w:iCs/>
        </w:rPr>
        <w:t>Information for the Standing Committee</w:t>
      </w:r>
    </w:p>
    <w:p w14:paraId="3B416055" w14:textId="77777777" w:rsidR="008B659C" w:rsidRPr="00774643" w:rsidRDefault="008B659C" w:rsidP="00D3734D">
      <w:pPr>
        <w:rPr>
          <w:rFonts w:asciiTheme="minorHAnsi" w:hAnsiTheme="minorHAnsi" w:cstheme="minorHAnsi"/>
          <w:b/>
        </w:rPr>
      </w:pPr>
    </w:p>
    <w:p w14:paraId="7DDE3D3B" w14:textId="3C96254E" w:rsidR="00C1292B" w:rsidRDefault="00B773E1" w:rsidP="007F7FB2">
      <w:pPr>
        <w:pStyle w:val="ListParagraph"/>
        <w:numPr>
          <w:ilvl w:val="0"/>
          <w:numId w:val="1"/>
        </w:numPr>
        <w:ind w:left="426" w:hanging="426"/>
        <w:rPr>
          <w:rFonts w:asciiTheme="minorHAnsi" w:hAnsiTheme="minorHAnsi" w:cstheme="minorHAnsi"/>
        </w:rPr>
      </w:pPr>
      <w:bookmarkStart w:id="2" w:name="_Hlk66787368"/>
      <w:r w:rsidRPr="00C1292B">
        <w:rPr>
          <w:rFonts w:asciiTheme="minorHAnsi" w:hAnsiTheme="minorHAnsi" w:cstheme="minorHAnsi"/>
        </w:rPr>
        <w:t>Resolution XIII.9</w:t>
      </w:r>
      <w:bookmarkEnd w:id="2"/>
      <w:r w:rsidRPr="00C1292B">
        <w:rPr>
          <w:rFonts w:asciiTheme="minorHAnsi" w:hAnsiTheme="minorHAnsi" w:cstheme="minorHAnsi"/>
        </w:rPr>
        <w:t xml:space="preserve"> re-established the (open-ended) Ramsar Regional Initiatives Working Group under</w:t>
      </w:r>
      <w:r w:rsidR="00C1292B" w:rsidRPr="00C1292B">
        <w:rPr>
          <w:rFonts w:asciiTheme="minorHAnsi" w:hAnsiTheme="minorHAnsi" w:cstheme="minorHAnsi"/>
        </w:rPr>
        <w:t xml:space="preserve"> </w:t>
      </w:r>
      <w:r w:rsidRPr="00C1292B">
        <w:rPr>
          <w:rFonts w:asciiTheme="minorHAnsi" w:hAnsiTheme="minorHAnsi" w:cstheme="minorHAnsi"/>
        </w:rPr>
        <w:t xml:space="preserve">Rule 25 of the Rules of Procedure to draft new </w:t>
      </w:r>
      <w:r w:rsidR="004C2E2B">
        <w:rPr>
          <w:rFonts w:asciiTheme="minorHAnsi" w:hAnsiTheme="minorHAnsi" w:cstheme="minorHAnsi"/>
        </w:rPr>
        <w:t>o</w:t>
      </w:r>
      <w:r w:rsidR="004C2E2B" w:rsidRPr="00C1292B">
        <w:rPr>
          <w:rFonts w:asciiTheme="minorHAnsi" w:hAnsiTheme="minorHAnsi" w:cstheme="minorHAnsi"/>
        </w:rPr>
        <w:t xml:space="preserve">perational </w:t>
      </w:r>
      <w:r w:rsidR="004C2E2B">
        <w:rPr>
          <w:rFonts w:asciiTheme="minorHAnsi" w:hAnsiTheme="minorHAnsi" w:cstheme="minorHAnsi"/>
        </w:rPr>
        <w:t>g</w:t>
      </w:r>
      <w:r w:rsidR="004C2E2B" w:rsidRPr="00C1292B">
        <w:rPr>
          <w:rFonts w:asciiTheme="minorHAnsi" w:hAnsiTheme="minorHAnsi" w:cstheme="minorHAnsi"/>
        </w:rPr>
        <w:t xml:space="preserve">uidelines </w:t>
      </w:r>
      <w:r w:rsidRPr="00C1292B">
        <w:rPr>
          <w:rFonts w:asciiTheme="minorHAnsi" w:hAnsiTheme="minorHAnsi" w:cstheme="minorHAnsi"/>
        </w:rPr>
        <w:t>for Ramsar Regional Initiatives</w:t>
      </w:r>
      <w:r w:rsidR="00402393">
        <w:rPr>
          <w:rFonts w:asciiTheme="minorHAnsi" w:hAnsiTheme="minorHAnsi" w:cstheme="minorHAnsi"/>
        </w:rPr>
        <w:t xml:space="preserve"> (RRIs)</w:t>
      </w:r>
      <w:r w:rsidRPr="00C1292B">
        <w:rPr>
          <w:rFonts w:asciiTheme="minorHAnsi" w:hAnsiTheme="minorHAnsi" w:cstheme="minorHAnsi"/>
        </w:rPr>
        <w:t>.</w:t>
      </w:r>
      <w:r w:rsidR="00C1292B" w:rsidRPr="00C1292B">
        <w:rPr>
          <w:rFonts w:asciiTheme="minorHAnsi" w:hAnsiTheme="minorHAnsi" w:cstheme="minorHAnsi"/>
        </w:rPr>
        <w:t xml:space="preserve"> </w:t>
      </w:r>
      <w:r w:rsidR="0058138D">
        <w:rPr>
          <w:rFonts w:asciiTheme="minorHAnsi" w:hAnsiTheme="minorHAnsi" w:cstheme="minorHAnsi"/>
        </w:rPr>
        <w:t>The results from the working group is presented in document SC59-21.1 and contains a new draft resolution</w:t>
      </w:r>
      <w:r w:rsidR="00A90003">
        <w:rPr>
          <w:rFonts w:asciiTheme="minorHAnsi" w:hAnsiTheme="minorHAnsi" w:cstheme="minorHAnsi"/>
        </w:rPr>
        <w:t xml:space="preserve">. </w:t>
      </w:r>
      <w:r w:rsidR="00A90003">
        <w:rPr>
          <w:rFonts w:asciiTheme="minorHAnsi" w:hAnsiTheme="minorHAnsi" w:cstheme="minorHAnsi"/>
        </w:rPr>
        <w:br/>
      </w:r>
    </w:p>
    <w:p w14:paraId="193A8254" w14:textId="36C86085" w:rsidR="00C1292B" w:rsidRPr="00A90003" w:rsidRDefault="00A90003" w:rsidP="00A90003">
      <w:pPr>
        <w:pStyle w:val="ListParagraph"/>
        <w:numPr>
          <w:ilvl w:val="0"/>
          <w:numId w:val="1"/>
        </w:numPr>
        <w:ind w:left="426" w:hanging="426"/>
        <w:rPr>
          <w:rFonts w:cs="Calibri"/>
        </w:rPr>
      </w:pPr>
      <w:r w:rsidRPr="00A90003">
        <w:rPr>
          <w:rFonts w:asciiTheme="minorHAnsi" w:hAnsiTheme="minorHAnsi" w:cstheme="minorHAnsi"/>
        </w:rPr>
        <w:t>Parts of the</w:t>
      </w:r>
      <w:r w:rsidR="00642C9E">
        <w:rPr>
          <w:rFonts w:asciiTheme="minorHAnsi" w:hAnsiTheme="minorHAnsi" w:cstheme="minorHAnsi"/>
        </w:rPr>
        <w:t xml:space="preserve"> </w:t>
      </w:r>
      <w:r w:rsidRPr="00A90003">
        <w:rPr>
          <w:rFonts w:asciiTheme="minorHAnsi" w:hAnsiTheme="minorHAnsi" w:cstheme="minorHAnsi"/>
        </w:rPr>
        <w:t xml:space="preserve">SC59-21.1 was </w:t>
      </w:r>
      <w:r>
        <w:rPr>
          <w:rFonts w:asciiTheme="minorHAnsi" w:hAnsiTheme="minorHAnsi" w:cstheme="minorHAnsi"/>
        </w:rPr>
        <w:t xml:space="preserve">written in </w:t>
      </w:r>
      <w:r w:rsidRPr="00A90003">
        <w:rPr>
          <w:rFonts w:asciiTheme="minorHAnsi" w:hAnsiTheme="minorHAnsi" w:cstheme="minorHAnsi"/>
        </w:rPr>
        <w:t>hast</w:t>
      </w:r>
      <w:r>
        <w:rPr>
          <w:rFonts w:asciiTheme="minorHAnsi" w:hAnsiTheme="minorHAnsi" w:cstheme="minorHAnsi"/>
        </w:rPr>
        <w:t>e</w:t>
      </w:r>
      <w:r w:rsidRPr="00A90003">
        <w:rPr>
          <w:rFonts w:asciiTheme="minorHAnsi" w:hAnsiTheme="minorHAnsi" w:cstheme="minorHAnsi"/>
        </w:rPr>
        <w:t xml:space="preserve"> by a few countries and input from other countries was </w:t>
      </w:r>
      <w:r w:rsidR="00E800F9">
        <w:rPr>
          <w:rFonts w:asciiTheme="minorHAnsi" w:hAnsiTheme="minorHAnsi" w:cstheme="minorHAnsi"/>
        </w:rPr>
        <w:t xml:space="preserve">not included. </w:t>
      </w:r>
      <w:r>
        <w:rPr>
          <w:rFonts w:asciiTheme="minorHAnsi" w:hAnsiTheme="minorHAnsi" w:cstheme="minorHAnsi"/>
        </w:rPr>
        <w:br/>
      </w:r>
    </w:p>
    <w:p w14:paraId="27F2109C" w14:textId="73BDFD9E" w:rsidR="00BE204E" w:rsidRPr="00BE204E" w:rsidRDefault="00A90003" w:rsidP="00BE204E">
      <w:pPr>
        <w:pStyle w:val="ListParagraph"/>
        <w:numPr>
          <w:ilvl w:val="0"/>
          <w:numId w:val="1"/>
        </w:numPr>
        <w:ind w:left="426" w:hanging="426"/>
        <w:rPr>
          <w:rFonts w:cs="Calibri"/>
        </w:rPr>
      </w:pPr>
      <w:bookmarkStart w:id="3" w:name="_Hlk94783576"/>
      <w:r>
        <w:rPr>
          <w:rFonts w:cs="Calibri"/>
        </w:rPr>
        <w:t>During the SC59 Sweden encouraged the working group to continue their work and try to solve the remaining differences</w:t>
      </w:r>
      <w:r w:rsidR="00933122">
        <w:rPr>
          <w:rFonts w:cs="Calibri"/>
        </w:rPr>
        <w:t xml:space="preserve"> and submit an updated document to the </w:t>
      </w:r>
      <w:r w:rsidR="000A3E87">
        <w:rPr>
          <w:rFonts w:cs="Calibri"/>
        </w:rPr>
        <w:t>resumed SC59 in May 2022</w:t>
      </w:r>
      <w:r w:rsidR="00933122">
        <w:rPr>
          <w:rFonts w:cs="Calibri"/>
        </w:rPr>
        <w:t xml:space="preserve">. </w:t>
      </w:r>
      <w:r w:rsidR="00AB3A75">
        <w:rPr>
          <w:rFonts w:cs="Calibri"/>
        </w:rPr>
        <w:t>Unfortunately,</w:t>
      </w:r>
      <w:r w:rsidR="00E800F9">
        <w:rPr>
          <w:rFonts w:cs="Calibri"/>
        </w:rPr>
        <w:t xml:space="preserve"> there was no development in the working group and </w:t>
      </w:r>
      <w:r w:rsidR="00933122">
        <w:rPr>
          <w:rFonts w:cs="Calibri"/>
        </w:rPr>
        <w:t>Sweden have instead written alternative draft resolutions</w:t>
      </w:r>
      <w:r w:rsidR="00CB5D33">
        <w:rPr>
          <w:rFonts w:cs="Calibri"/>
        </w:rPr>
        <w:t xml:space="preserve"> that cover the topic</w:t>
      </w:r>
      <w:r w:rsidR="00933122">
        <w:rPr>
          <w:rFonts w:cs="Calibri"/>
        </w:rPr>
        <w:t xml:space="preserve">. </w:t>
      </w:r>
      <w:r w:rsidR="00933122">
        <w:rPr>
          <w:rFonts w:cs="Calibri"/>
        </w:rPr>
        <w:br/>
      </w:r>
    </w:p>
    <w:p w14:paraId="59B7597A" w14:textId="428F0390" w:rsidR="007F53B6" w:rsidRDefault="00AB3A75" w:rsidP="00BE204E">
      <w:pPr>
        <w:pStyle w:val="ListParagraph"/>
        <w:numPr>
          <w:ilvl w:val="0"/>
          <w:numId w:val="1"/>
        </w:numPr>
        <w:ind w:left="426" w:hanging="426"/>
        <w:rPr>
          <w:rFonts w:cs="Calibri"/>
        </w:rPr>
      </w:pPr>
      <w:r>
        <w:rPr>
          <w:rFonts w:cs="Calibri"/>
        </w:rPr>
        <w:t>T</w:t>
      </w:r>
      <w:r w:rsidR="00BE204E">
        <w:rPr>
          <w:rFonts w:cs="Calibri"/>
        </w:rPr>
        <w:t>hree draft resolutions with the content divided between them according to a foreseeable lifespan, would be a better then having one resolution covering all RRI matters in need to be addressed at COP14. One resolution will address the long-lived basics for RRIs, the second will address what might be of interest until the coming COP, and the third will address older decision that can be retired.</w:t>
      </w:r>
      <w:r w:rsidR="007F53B6">
        <w:rPr>
          <w:rFonts w:cs="Calibri"/>
        </w:rPr>
        <w:br/>
      </w:r>
    </w:p>
    <w:p w14:paraId="15458AFF" w14:textId="693B733C" w:rsidR="00BE204E" w:rsidRPr="007F53B6" w:rsidRDefault="00AB3A75" w:rsidP="007F53B6">
      <w:pPr>
        <w:pStyle w:val="ListParagraph"/>
        <w:numPr>
          <w:ilvl w:val="0"/>
          <w:numId w:val="1"/>
        </w:numPr>
        <w:ind w:left="426" w:hanging="426"/>
        <w:rPr>
          <w:rFonts w:cs="Calibri"/>
        </w:rPr>
      </w:pPr>
      <w:bookmarkStart w:id="4" w:name="_Hlk94784253"/>
      <w:r>
        <w:rPr>
          <w:rFonts w:cs="Calibri"/>
        </w:rPr>
        <w:t>R</w:t>
      </w:r>
      <w:r w:rsidR="00BE204E" w:rsidRPr="007F53B6">
        <w:rPr>
          <w:rFonts w:cs="Calibri"/>
        </w:rPr>
        <w:t>esolutions adapted after lifespan will</w:t>
      </w:r>
      <w:r>
        <w:rPr>
          <w:rFonts w:cs="Calibri"/>
        </w:rPr>
        <w:t xml:space="preserve"> probably</w:t>
      </w:r>
      <w:r w:rsidR="00BE204E" w:rsidRPr="007F53B6">
        <w:rPr>
          <w:rFonts w:cs="Calibri"/>
        </w:rPr>
        <w:t xml:space="preserve"> be more efficient and decreasing the need for consolidation processes. It will decrease the workload and the costs for the Ramsar Secretariat, translators and all kinds of delegates at Convention meetings.</w:t>
      </w:r>
      <w:bookmarkEnd w:id="4"/>
      <w:r w:rsidR="00BE204E" w:rsidRPr="007F53B6">
        <w:rPr>
          <w:rFonts w:cs="Calibri"/>
        </w:rPr>
        <w:br/>
      </w:r>
    </w:p>
    <w:bookmarkEnd w:id="3"/>
    <w:p w14:paraId="60C0B15B" w14:textId="12140872" w:rsidR="00A90003" w:rsidRDefault="005E4C99" w:rsidP="00F0299D">
      <w:pPr>
        <w:pStyle w:val="ListParagraph"/>
        <w:numPr>
          <w:ilvl w:val="0"/>
          <w:numId w:val="1"/>
        </w:numPr>
        <w:ind w:left="426" w:hanging="426"/>
        <w:rPr>
          <w:rFonts w:cs="Calibri"/>
        </w:rPr>
      </w:pPr>
      <w:r>
        <w:rPr>
          <w:rFonts w:cs="Calibri"/>
        </w:rPr>
        <w:t xml:space="preserve">This </w:t>
      </w:r>
      <w:r w:rsidR="00535B5E">
        <w:rPr>
          <w:rFonts w:cs="Calibri"/>
        </w:rPr>
        <w:t>SC-</w:t>
      </w:r>
      <w:r>
        <w:rPr>
          <w:rFonts w:cs="Calibri"/>
        </w:rPr>
        <w:t>document contains the draft resolution on older decisions that can be retired.</w:t>
      </w:r>
      <w:r w:rsidR="00CB5D33">
        <w:rPr>
          <w:rFonts w:cs="Calibri"/>
        </w:rPr>
        <w:t xml:space="preserve"> It will be extremely short-lived, as soon as the content has been </w:t>
      </w:r>
      <w:r w:rsidR="007F53B6">
        <w:rPr>
          <w:rFonts w:cs="Calibri"/>
        </w:rPr>
        <w:t>implemented i</w:t>
      </w:r>
      <w:r w:rsidR="00CB5D33">
        <w:rPr>
          <w:rFonts w:cs="Calibri"/>
        </w:rPr>
        <w:t xml:space="preserve">t will be retired. </w:t>
      </w:r>
      <w:r>
        <w:rPr>
          <w:rFonts w:cs="Calibri"/>
        </w:rPr>
        <w:br/>
      </w:r>
    </w:p>
    <w:p w14:paraId="0CAE3386" w14:textId="64815EF5" w:rsidR="00AD01AD" w:rsidRDefault="00AD01AD" w:rsidP="00AD01AD">
      <w:pPr>
        <w:tabs>
          <w:tab w:val="left" w:pos="426"/>
        </w:tabs>
        <w:textAlignment w:val="center"/>
        <w:rPr>
          <w:rFonts w:eastAsia="Times New Roman" w:cs="Calibri"/>
          <w:lang w:eastAsia="es-NI"/>
        </w:rPr>
      </w:pPr>
    </w:p>
    <w:p w14:paraId="5224C873" w14:textId="77777777" w:rsidR="00AD01AD" w:rsidRDefault="00AD01AD" w:rsidP="00AD01AD">
      <w:pPr>
        <w:tabs>
          <w:tab w:val="left" w:pos="426"/>
        </w:tabs>
        <w:textAlignment w:val="center"/>
        <w:rPr>
          <w:rFonts w:eastAsia="Times New Roman" w:cs="Calibri"/>
          <w:lang w:eastAsia="es-NI"/>
        </w:rPr>
      </w:pPr>
    </w:p>
    <w:p w14:paraId="06E95D9D" w14:textId="6E2A7D41" w:rsidR="00AD01AD" w:rsidRDefault="00AD01AD" w:rsidP="00AD01AD">
      <w:pPr>
        <w:rPr>
          <w:rFonts w:cs="Arial"/>
          <w:i/>
        </w:rPr>
      </w:pPr>
      <w:r w:rsidRPr="001C1599">
        <w:rPr>
          <w:rFonts w:cs="Arial"/>
          <w:i/>
        </w:rPr>
        <w:t>Financial implications of implementation</w:t>
      </w:r>
    </w:p>
    <w:p w14:paraId="53B51E0B" w14:textId="77777777" w:rsidR="00C81BA2" w:rsidRDefault="00C81BA2" w:rsidP="00C81BA2">
      <w:pPr>
        <w:rPr>
          <w:rFonts w:cs="Arial"/>
          <w:i/>
        </w:rPr>
      </w:pPr>
    </w:p>
    <w:tbl>
      <w:tblPr>
        <w:tblStyle w:val="TableGrid"/>
        <w:tblW w:w="0" w:type="auto"/>
        <w:tblInd w:w="-5" w:type="dxa"/>
        <w:tblLook w:val="04A0" w:firstRow="1" w:lastRow="0" w:firstColumn="1" w:lastColumn="0" w:noHBand="0" w:noVBand="1"/>
      </w:tblPr>
      <w:tblGrid>
        <w:gridCol w:w="2410"/>
        <w:gridCol w:w="4394"/>
        <w:gridCol w:w="2217"/>
      </w:tblGrid>
      <w:tr w:rsidR="00C81BA2" w14:paraId="4F3CE4BE" w14:textId="77777777" w:rsidTr="006941D9">
        <w:tc>
          <w:tcPr>
            <w:tcW w:w="2410" w:type="dxa"/>
          </w:tcPr>
          <w:p w14:paraId="664E6A41" w14:textId="77777777" w:rsidR="00C81BA2" w:rsidRPr="003A20C5" w:rsidRDefault="00C81BA2" w:rsidP="006941D9">
            <w:pPr>
              <w:ind w:left="0" w:firstLine="0"/>
              <w:rPr>
                <w:rFonts w:cs="Arial"/>
                <w:b/>
                <w:bCs/>
                <w:iCs/>
              </w:rPr>
            </w:pPr>
            <w:r w:rsidRPr="003A20C5">
              <w:rPr>
                <w:rFonts w:cs="Arial"/>
                <w:b/>
                <w:bCs/>
                <w:iCs/>
              </w:rPr>
              <w:t xml:space="preserve">Para graph (number/-s, </w:t>
            </w:r>
            <w:r>
              <w:rPr>
                <w:rFonts w:cs="Arial"/>
                <w:b/>
                <w:bCs/>
                <w:iCs/>
              </w:rPr>
              <w:br/>
            </w:r>
            <w:r w:rsidRPr="003A20C5">
              <w:rPr>
                <w:rFonts w:cs="Arial"/>
                <w:b/>
                <w:bCs/>
                <w:iCs/>
              </w:rPr>
              <w:t>key part of text)</w:t>
            </w:r>
          </w:p>
        </w:tc>
        <w:tc>
          <w:tcPr>
            <w:tcW w:w="4394" w:type="dxa"/>
          </w:tcPr>
          <w:p w14:paraId="694F2CC8" w14:textId="77777777" w:rsidR="00C81BA2" w:rsidRPr="003A20C5" w:rsidRDefault="00C81BA2" w:rsidP="006941D9">
            <w:pPr>
              <w:ind w:left="0" w:firstLine="0"/>
              <w:rPr>
                <w:rFonts w:cs="Arial"/>
                <w:b/>
                <w:bCs/>
                <w:iCs/>
              </w:rPr>
            </w:pPr>
            <w:r w:rsidRPr="003A20C5">
              <w:rPr>
                <w:rFonts w:cs="Arial"/>
                <w:b/>
                <w:bCs/>
                <w:iCs/>
              </w:rPr>
              <w:t>Action or lack of action</w:t>
            </w:r>
          </w:p>
        </w:tc>
        <w:tc>
          <w:tcPr>
            <w:tcW w:w="2217" w:type="dxa"/>
          </w:tcPr>
          <w:p w14:paraId="1D75E773" w14:textId="77777777" w:rsidR="00C81BA2" w:rsidRPr="003A20C5" w:rsidRDefault="00C81BA2" w:rsidP="006941D9">
            <w:pPr>
              <w:ind w:left="0" w:firstLine="0"/>
              <w:rPr>
                <w:rFonts w:cs="Arial"/>
                <w:b/>
                <w:bCs/>
                <w:iCs/>
              </w:rPr>
            </w:pPr>
            <w:r w:rsidRPr="003A20C5">
              <w:rPr>
                <w:rFonts w:cs="Arial"/>
                <w:b/>
                <w:bCs/>
                <w:iCs/>
              </w:rPr>
              <w:t xml:space="preserve">Cost </w:t>
            </w:r>
            <w:r>
              <w:rPr>
                <w:rFonts w:cs="Arial"/>
                <w:b/>
                <w:bCs/>
                <w:iCs/>
              </w:rPr>
              <w:t>(</w:t>
            </w:r>
            <w:r w:rsidRPr="003A20C5">
              <w:rPr>
                <w:rFonts w:cs="Arial"/>
                <w:b/>
                <w:bCs/>
                <w:iCs/>
              </w:rPr>
              <w:t>CHF) and potential benefits</w:t>
            </w:r>
          </w:p>
        </w:tc>
      </w:tr>
      <w:tr w:rsidR="00C81BA2" w14:paraId="6D6B4C4B" w14:textId="77777777" w:rsidTr="006941D9">
        <w:tc>
          <w:tcPr>
            <w:tcW w:w="2410" w:type="dxa"/>
          </w:tcPr>
          <w:p w14:paraId="6E202F2D" w14:textId="0A969457" w:rsidR="00C81BA2" w:rsidRPr="003A20C5" w:rsidRDefault="00C81BA2" w:rsidP="006941D9">
            <w:pPr>
              <w:ind w:left="0" w:firstLine="0"/>
              <w:rPr>
                <w:rFonts w:cs="Arial"/>
                <w:iCs/>
                <w:highlight w:val="yellow"/>
              </w:rPr>
            </w:pPr>
            <w:r>
              <w:rPr>
                <w:rFonts w:cs="Arial"/>
                <w:iCs/>
              </w:rPr>
              <w:t>5</w:t>
            </w:r>
            <w:r w:rsidRPr="00F333AE">
              <w:rPr>
                <w:rFonts w:cs="Arial"/>
                <w:iCs/>
              </w:rPr>
              <w:t>.</w:t>
            </w:r>
            <w:r>
              <w:rPr>
                <w:rFonts w:cs="Arial"/>
                <w:iCs/>
              </w:rPr>
              <w:t xml:space="preserve"> </w:t>
            </w:r>
            <w:r w:rsidRPr="00C81BA2">
              <w:rPr>
                <w:rFonts w:cs="Arial"/>
                <w:iCs/>
              </w:rPr>
              <w:t>Instruction for the Secretariat</w:t>
            </w:r>
          </w:p>
        </w:tc>
        <w:tc>
          <w:tcPr>
            <w:tcW w:w="4394" w:type="dxa"/>
          </w:tcPr>
          <w:p w14:paraId="63BECF9A" w14:textId="1793F41D" w:rsidR="00C81BA2" w:rsidRPr="003A20C5" w:rsidRDefault="00C81BA2" w:rsidP="006941D9">
            <w:pPr>
              <w:ind w:left="0" w:firstLine="0"/>
              <w:rPr>
                <w:rFonts w:cs="Arial"/>
                <w:iCs/>
              </w:rPr>
            </w:pPr>
            <w:r w:rsidRPr="00C81BA2">
              <w:rPr>
                <w:rFonts w:cs="Arial"/>
                <w:iCs/>
              </w:rPr>
              <w:t>Updating consolidated list of retired decisions and tagging resolutions as retired at the website as well as mark SC decisions as outdated and retired.</w:t>
            </w:r>
          </w:p>
        </w:tc>
        <w:tc>
          <w:tcPr>
            <w:tcW w:w="2217" w:type="dxa"/>
          </w:tcPr>
          <w:p w14:paraId="2A2F2355" w14:textId="460A8575" w:rsidR="00C81BA2" w:rsidRPr="003A20C5" w:rsidRDefault="00C81BA2" w:rsidP="006941D9">
            <w:pPr>
              <w:ind w:left="0" w:firstLine="0"/>
              <w:rPr>
                <w:rFonts w:cs="Arial"/>
                <w:iCs/>
              </w:rPr>
            </w:pPr>
            <w:r w:rsidRPr="005E7D81">
              <w:rPr>
                <w:rFonts w:cs="Arial"/>
              </w:rPr>
              <w:t xml:space="preserve">Less than </w:t>
            </w:r>
            <w:r>
              <w:rPr>
                <w:rFonts w:cs="Arial"/>
              </w:rPr>
              <w:t>10</w:t>
            </w:r>
            <w:r w:rsidRPr="005E7D81">
              <w:rPr>
                <w:rFonts w:cs="Arial"/>
              </w:rPr>
              <w:t>0 CH</w:t>
            </w:r>
            <w:r>
              <w:rPr>
                <w:rFonts w:cs="Arial"/>
              </w:rPr>
              <w:t>F</w:t>
            </w:r>
          </w:p>
        </w:tc>
      </w:tr>
    </w:tbl>
    <w:p w14:paraId="64645459" w14:textId="77777777" w:rsidR="00AB28F1" w:rsidRDefault="00AB28F1" w:rsidP="00535B5E">
      <w:pPr>
        <w:ind w:right="16"/>
        <w:rPr>
          <w:rFonts w:cs="Arial"/>
          <w:i/>
        </w:rPr>
      </w:pPr>
    </w:p>
    <w:p w14:paraId="6B1004A8" w14:textId="77777777" w:rsidR="00AB28F1" w:rsidRDefault="00AB28F1">
      <w:pPr>
        <w:rPr>
          <w:rFonts w:cs="Arial"/>
          <w:i/>
        </w:rPr>
      </w:pPr>
      <w:r>
        <w:rPr>
          <w:rFonts w:cs="Arial"/>
          <w:i/>
        </w:rPr>
        <w:br w:type="page"/>
      </w:r>
    </w:p>
    <w:p w14:paraId="66E82AD4" w14:textId="7804CBEC" w:rsidR="00535B5E" w:rsidRPr="00EC5B5E" w:rsidRDefault="00642C9E" w:rsidP="00535B5E">
      <w:pPr>
        <w:ind w:right="16"/>
        <w:rPr>
          <w:rFonts w:asciiTheme="minorHAnsi" w:eastAsia="Times New Roman" w:hAnsiTheme="minorHAnsi"/>
          <w:b/>
          <w:bCs/>
        </w:rPr>
      </w:pPr>
      <w:r>
        <w:rPr>
          <w:rFonts w:asciiTheme="minorHAnsi" w:eastAsia="Times New Roman" w:hAnsiTheme="minorHAnsi"/>
          <w:b/>
          <w:bCs/>
        </w:rPr>
        <w:lastRenderedPageBreak/>
        <w:t xml:space="preserve">Annex 1. </w:t>
      </w:r>
      <w:r w:rsidR="00535B5E" w:rsidRPr="00EC5B5E">
        <w:rPr>
          <w:rFonts w:asciiTheme="minorHAnsi" w:eastAsia="Times New Roman" w:hAnsiTheme="minorHAnsi"/>
          <w:b/>
          <w:bCs/>
        </w:rPr>
        <w:t xml:space="preserve">Draft </w:t>
      </w:r>
      <w:r w:rsidR="00535B5E">
        <w:rPr>
          <w:rFonts w:asciiTheme="minorHAnsi" w:eastAsia="Times New Roman" w:hAnsiTheme="minorHAnsi"/>
          <w:b/>
          <w:bCs/>
        </w:rPr>
        <w:t>R</w:t>
      </w:r>
      <w:r w:rsidR="00535B5E" w:rsidRPr="00EC5B5E">
        <w:rPr>
          <w:rFonts w:asciiTheme="minorHAnsi" w:eastAsia="Times New Roman" w:hAnsiTheme="minorHAnsi"/>
          <w:b/>
          <w:bCs/>
        </w:rPr>
        <w:t xml:space="preserve">esolution </w:t>
      </w:r>
      <w:r w:rsidR="00535B5E" w:rsidRPr="00642C9E">
        <w:rPr>
          <w:rFonts w:asciiTheme="minorHAnsi" w:eastAsia="Times New Roman" w:hAnsiTheme="minorHAnsi"/>
          <w:b/>
          <w:bCs/>
          <w:highlight w:val="yellow"/>
        </w:rPr>
        <w:t>XIV.</w:t>
      </w:r>
      <w:r w:rsidR="00CE6745">
        <w:rPr>
          <w:rFonts w:asciiTheme="minorHAnsi" w:eastAsia="Times New Roman" w:hAnsiTheme="minorHAnsi"/>
          <w:b/>
          <w:bCs/>
          <w:highlight w:val="yellow"/>
        </w:rPr>
        <w:t>¤¤</w:t>
      </w:r>
    </w:p>
    <w:p w14:paraId="73BFFBFA" w14:textId="77777777" w:rsidR="00535B5E" w:rsidRPr="00EC5B5E" w:rsidRDefault="00535B5E" w:rsidP="00535B5E">
      <w:pPr>
        <w:ind w:right="16"/>
        <w:rPr>
          <w:rFonts w:asciiTheme="minorHAnsi" w:eastAsia="Times New Roman" w:hAnsiTheme="minorHAnsi"/>
          <w:b/>
          <w:bCs/>
        </w:rPr>
      </w:pPr>
    </w:p>
    <w:p w14:paraId="2732946B" w14:textId="5533E2B6" w:rsidR="00535B5E" w:rsidRDefault="00535B5E" w:rsidP="00535B5E">
      <w:pPr>
        <w:ind w:right="16"/>
        <w:rPr>
          <w:rFonts w:asciiTheme="minorHAnsi" w:eastAsia="Times New Roman" w:hAnsiTheme="minorHAnsi"/>
          <w:b/>
          <w:bCs/>
          <w:sz w:val="24"/>
          <w:szCs w:val="24"/>
        </w:rPr>
      </w:pPr>
      <w:r w:rsidRPr="00535B5E">
        <w:rPr>
          <w:rFonts w:asciiTheme="minorHAnsi" w:eastAsia="Times New Roman" w:hAnsiTheme="minorHAnsi"/>
          <w:b/>
          <w:bCs/>
          <w:sz w:val="24"/>
          <w:szCs w:val="24"/>
        </w:rPr>
        <w:t>Ramsar Regional Initiatives - Retiring old decisions</w:t>
      </w:r>
    </w:p>
    <w:p w14:paraId="5A74843E" w14:textId="77777777" w:rsidR="00535B5E" w:rsidRPr="00535B5E" w:rsidRDefault="00535B5E" w:rsidP="00535B5E">
      <w:pPr>
        <w:ind w:right="16"/>
        <w:rPr>
          <w:rFonts w:asciiTheme="minorHAnsi" w:hAnsiTheme="minorHAnsi"/>
        </w:rPr>
      </w:pPr>
      <w:r w:rsidRPr="00535B5E">
        <w:rPr>
          <w:rFonts w:asciiTheme="minorHAnsi" w:hAnsiTheme="minorHAnsi"/>
        </w:rPr>
        <w:t xml:space="preserve"> </w:t>
      </w:r>
    </w:p>
    <w:p w14:paraId="43C38A11" w14:textId="41718B7E" w:rsidR="00535B5E" w:rsidRPr="00535B5E" w:rsidRDefault="00535B5E" w:rsidP="00535B5E">
      <w:r w:rsidRPr="00535B5E">
        <w:t>1.</w:t>
      </w:r>
      <w:r w:rsidRPr="00535B5E">
        <w:tab/>
        <w:t xml:space="preserve">RECOGNIZING the need for retiring older decisions on RRIs, </w:t>
      </w:r>
      <w:r w:rsidR="004A67D2">
        <w:t>(</w:t>
      </w:r>
      <w:r w:rsidRPr="00535B5E">
        <w:t>resolutions, recommendations and SC-decisions</w:t>
      </w:r>
      <w:r w:rsidR="00642C9E">
        <w:t xml:space="preserve"> and SC documents</w:t>
      </w:r>
      <w:r w:rsidR="004A67D2">
        <w:t>)</w:t>
      </w:r>
      <w:r w:rsidRPr="00535B5E">
        <w:t>;</w:t>
      </w:r>
      <w:r w:rsidRPr="00535B5E">
        <w:br/>
      </w:r>
    </w:p>
    <w:p w14:paraId="3F948FE2" w14:textId="7563DE7D" w:rsidR="00535B5E" w:rsidRPr="0034761A" w:rsidRDefault="00535B5E" w:rsidP="00535B5E">
      <w:pPr>
        <w:rPr>
          <w:highlight w:val="yellow"/>
        </w:rPr>
      </w:pPr>
      <w:r w:rsidRPr="00535B5E">
        <w:t>2.</w:t>
      </w:r>
      <w:r w:rsidRPr="00535B5E">
        <w:tab/>
        <w:t xml:space="preserve">RECOGNIZING the need to keep the decisions on retirement of older decisions </w:t>
      </w:r>
      <w:r w:rsidR="00642C9E">
        <w:t xml:space="preserve">etc </w:t>
      </w:r>
      <w:r w:rsidRPr="00535B5E">
        <w:t xml:space="preserve">separate from </w:t>
      </w:r>
      <w:r w:rsidR="004A67D2">
        <w:t xml:space="preserve">other decisions on RRIs. This to make it possible for this resolution to be retired quickly after </w:t>
      </w:r>
      <w:r w:rsidR="007F53B6">
        <w:t>having been implement</w:t>
      </w:r>
      <w:r w:rsidR="004A67D2">
        <w:t xml:space="preserve">ed. The content will </w:t>
      </w:r>
      <w:r w:rsidR="00EF2B22">
        <w:t xml:space="preserve">not bog down resolutions that will be used </w:t>
      </w:r>
      <w:r w:rsidR="004A67D2">
        <w:t xml:space="preserve">for a longer time </w:t>
      </w:r>
      <w:r w:rsidR="00EF2B22">
        <w:t xml:space="preserve">or </w:t>
      </w:r>
      <w:r w:rsidR="004A67D2">
        <w:t xml:space="preserve">create a need for a </w:t>
      </w:r>
      <w:r w:rsidR="00EF2B22">
        <w:t>consolidation process</w:t>
      </w:r>
      <w:r>
        <w:t xml:space="preserve">. </w:t>
      </w:r>
    </w:p>
    <w:p w14:paraId="4C47379E" w14:textId="48B605B7" w:rsidR="006F1793" w:rsidRPr="00C61794" w:rsidRDefault="006F1793" w:rsidP="00535B5E">
      <w:pPr>
        <w:ind w:left="0" w:firstLine="0"/>
      </w:pPr>
    </w:p>
    <w:p w14:paraId="632D7486" w14:textId="77777777" w:rsidR="006F1793" w:rsidRPr="00C61794" w:rsidRDefault="006F1793" w:rsidP="006F1793"/>
    <w:p w14:paraId="61DC277F" w14:textId="77777777" w:rsidR="006F1793" w:rsidRDefault="006F1793" w:rsidP="006F1793">
      <w:pPr>
        <w:pStyle w:val="BodyText"/>
        <w:keepNext/>
        <w:widowControl/>
        <w:ind w:left="425" w:hanging="425"/>
        <w:jc w:val="center"/>
      </w:pPr>
      <w:r w:rsidRPr="00C61794">
        <w:t>THE CONFERENCE OF THE CONTRACTING PARTIES</w:t>
      </w:r>
    </w:p>
    <w:p w14:paraId="55E425C7" w14:textId="77777777" w:rsidR="006F1793" w:rsidRDefault="006F1793" w:rsidP="006F1793">
      <w:pPr>
        <w:pStyle w:val="BodyText"/>
        <w:keepNext/>
        <w:widowControl/>
        <w:ind w:left="0" w:firstLine="0"/>
      </w:pPr>
    </w:p>
    <w:p w14:paraId="2C8A19B0" w14:textId="77777777" w:rsidR="006F1793" w:rsidRPr="00023DB2" w:rsidRDefault="006F1793" w:rsidP="006F1793">
      <w:pPr>
        <w:pStyle w:val="BodyText"/>
        <w:keepNext/>
        <w:widowControl/>
        <w:ind w:left="425" w:hanging="425"/>
        <w:rPr>
          <w:b/>
          <w:bCs/>
        </w:rPr>
      </w:pPr>
      <w:r>
        <w:rPr>
          <w:b/>
          <w:bCs/>
        </w:rPr>
        <w:t xml:space="preserve">Basic decisions </w:t>
      </w:r>
    </w:p>
    <w:p w14:paraId="490838F9" w14:textId="77777777" w:rsidR="006F1793" w:rsidRDefault="006F1793" w:rsidP="006F1793">
      <w:pPr>
        <w:pStyle w:val="BodyText"/>
        <w:keepNext/>
        <w:widowControl/>
        <w:ind w:left="0" w:firstLine="0"/>
      </w:pPr>
    </w:p>
    <w:p w14:paraId="5B7E7F99" w14:textId="0D66A766" w:rsidR="006F1793" w:rsidRDefault="006F1793" w:rsidP="006F1793">
      <w:r>
        <w:t>2.</w:t>
      </w:r>
      <w:r>
        <w:tab/>
        <w:t>DECIDES that all previous resolutions having the RRIs as their main topic</w:t>
      </w:r>
      <w:r w:rsidR="00AF0BBB">
        <w:t xml:space="preserve">, as listed in annex 1, </w:t>
      </w:r>
      <w:r>
        <w:t>are retired</w:t>
      </w:r>
      <w:r w:rsidR="00AF0BBB">
        <w:t xml:space="preserve">, </w:t>
      </w:r>
      <w:r>
        <w:t xml:space="preserve">and </w:t>
      </w:r>
      <w:r w:rsidR="00AF0BBB">
        <w:t>no longer</w:t>
      </w:r>
      <w:r>
        <w:t xml:space="preserve"> valid;</w:t>
      </w:r>
    </w:p>
    <w:p w14:paraId="1EF1F3F0" w14:textId="77777777" w:rsidR="006F1793" w:rsidRDefault="006F1793" w:rsidP="006F1793"/>
    <w:p w14:paraId="4328127B" w14:textId="77777777" w:rsidR="006F1793" w:rsidRDefault="006F1793" w:rsidP="006F1793">
      <w:r>
        <w:t xml:space="preserve">3. </w:t>
      </w:r>
      <w:r>
        <w:tab/>
        <w:t>DECIDES that all text about RRIs in resolutions that haven’t got RRIs as their main topic are retired if they are contradictionary to the text in this resolution or are otherwise made redundant by it;</w:t>
      </w:r>
    </w:p>
    <w:p w14:paraId="7359DFC8" w14:textId="77777777" w:rsidR="006F1793" w:rsidRDefault="006F1793" w:rsidP="006F1793"/>
    <w:p w14:paraId="59EAF976" w14:textId="760AC6BA" w:rsidR="006F1793" w:rsidRDefault="006F1793" w:rsidP="006F1793">
      <w:r>
        <w:t xml:space="preserve">4. </w:t>
      </w:r>
      <w:r>
        <w:tab/>
        <w:t>DECIDES that all SC-decisions (or relevant parts thereof) on RRIs</w:t>
      </w:r>
      <w:r w:rsidR="00AF0BBB">
        <w:t>,</w:t>
      </w:r>
      <w:r>
        <w:t xml:space="preserve"> </w:t>
      </w:r>
      <w:r w:rsidR="00AF0BBB">
        <w:t xml:space="preserve">(as listed in annex 1, for the period 2010-2022) </w:t>
      </w:r>
      <w:r>
        <w:t>are retired</w:t>
      </w:r>
      <w:r w:rsidR="00AF0BBB">
        <w:t xml:space="preserve">; ALSO DECIDES that all other SC decisions on RRIs also are retired </w:t>
      </w:r>
      <w:r>
        <w:t>and no longer valid if they are contradictionary to the text in this resolution</w:t>
      </w:r>
      <w:r w:rsidRPr="003A7FF5">
        <w:t xml:space="preserve"> </w:t>
      </w:r>
      <w:r>
        <w:t>or otherwise are made redundant by it;</w:t>
      </w:r>
    </w:p>
    <w:p w14:paraId="2670FCCF" w14:textId="7A5A0200" w:rsidR="006F1793" w:rsidRDefault="006F1793" w:rsidP="006F1793"/>
    <w:p w14:paraId="5C9D4989" w14:textId="67D2EEFD" w:rsidR="00642C9E" w:rsidRDefault="00642C9E" w:rsidP="00642C9E">
      <w:r>
        <w:t xml:space="preserve">5. </w:t>
      </w:r>
      <w:r>
        <w:tab/>
        <w:t>DECIDES that all SC-</w:t>
      </w:r>
      <w:r w:rsidR="00E11742">
        <w:t xml:space="preserve">documents with </w:t>
      </w:r>
      <w:r>
        <w:t xml:space="preserve">RRIs </w:t>
      </w:r>
      <w:r w:rsidR="00E11742">
        <w:t xml:space="preserve">as their main topic are addressed in the way described in the Resolution IIX.XX (on retirement, consolidation of resolutions, recommendation and SC-decisions etc) </w:t>
      </w:r>
      <w:r>
        <w:t>if they are contradictionary to the text in this resolution</w:t>
      </w:r>
      <w:r w:rsidRPr="003A7FF5">
        <w:t xml:space="preserve"> </w:t>
      </w:r>
      <w:r>
        <w:t>or otherwise are made redundant by it. This is of particular importance for all existing version of the Operational Guidelines on RRIs;</w:t>
      </w:r>
    </w:p>
    <w:p w14:paraId="6A0BAA9D" w14:textId="77777777" w:rsidR="00642C9E" w:rsidRDefault="00642C9E" w:rsidP="006F1793"/>
    <w:p w14:paraId="579F5BFA" w14:textId="419458A3" w:rsidR="006F1793" w:rsidRDefault="00E11742" w:rsidP="006F1793">
      <w:r>
        <w:t>6</w:t>
      </w:r>
      <w:r w:rsidR="006F1793">
        <w:t xml:space="preserve">. </w:t>
      </w:r>
      <w:r w:rsidR="006F1793">
        <w:tab/>
        <w:t xml:space="preserve">INSTRUCTS the Secretariat to </w:t>
      </w:r>
      <w:r w:rsidR="00AF0BBB">
        <w:t xml:space="preserve">if </w:t>
      </w:r>
      <w:r w:rsidR="006F1793">
        <w:t>list all kinds of decisions affected by the para 2-</w:t>
      </w:r>
      <w:r>
        <w:t>5</w:t>
      </w:r>
      <w:r w:rsidR="006F1793">
        <w:t xml:space="preserve"> </w:t>
      </w:r>
      <w:r w:rsidR="00642C9E">
        <w:t xml:space="preserve">above </w:t>
      </w:r>
      <w:r w:rsidR="006F1793">
        <w:t xml:space="preserve">in the consolidated list of retired decisions, starting with the ones in Annex 1 to this resolution;  </w:t>
      </w:r>
    </w:p>
    <w:p w14:paraId="3ADF2B1D" w14:textId="77777777" w:rsidR="001D710F" w:rsidRDefault="001D710F" w:rsidP="006F1793"/>
    <w:p w14:paraId="614B8E72" w14:textId="4CAA515F" w:rsidR="001D710F" w:rsidRDefault="001D710F" w:rsidP="001D710F">
      <w:r>
        <w:t xml:space="preserve">7. </w:t>
      </w:r>
      <w:r>
        <w:tab/>
        <w:t>DECIDES that paragraphs in resolutions th</w:t>
      </w:r>
      <w:r w:rsidR="00077504">
        <w:t xml:space="preserve">at do not have RRIs </w:t>
      </w:r>
      <w:r w:rsidR="00F26400">
        <w:t xml:space="preserve">as their main focus and listed in annex 2 </w:t>
      </w:r>
      <w:r w:rsidR="00077504">
        <w:t xml:space="preserve">can </w:t>
      </w:r>
      <w:r w:rsidR="00F26400">
        <w:t>have their wording changes when new ones that are to replace them are written or when being part of a consolidation process, suggested possible solutions are listed in the annex 2 as  well;</w:t>
      </w:r>
    </w:p>
    <w:p w14:paraId="11AAEB33" w14:textId="650DB9EC" w:rsidR="00AD01AD" w:rsidRDefault="00AD01AD" w:rsidP="006F1793"/>
    <w:p w14:paraId="292E1B66" w14:textId="0E649403" w:rsidR="00AD01AD" w:rsidRDefault="00077504" w:rsidP="00AD01AD">
      <w:r>
        <w:t>8</w:t>
      </w:r>
      <w:r w:rsidR="00AD01AD">
        <w:t xml:space="preserve">. </w:t>
      </w:r>
      <w:r w:rsidR="00AD01AD">
        <w:tab/>
        <w:t xml:space="preserve">DECIDES that this resolution can be retired after the content has been </w:t>
      </w:r>
      <w:r>
        <w:t>implemented, in other word</w:t>
      </w:r>
      <w:r w:rsidR="00AF0BBB">
        <w:t>s</w:t>
      </w:r>
      <w:r>
        <w:t xml:space="preserve"> when </w:t>
      </w:r>
      <w:r w:rsidR="00AF0BBB">
        <w:t xml:space="preserve">its content is </w:t>
      </w:r>
      <w:r w:rsidR="00AD01AD">
        <w:t>reflected in the consolidated list of retired decisions</w:t>
      </w:r>
      <w:r w:rsidR="00AF0BBB">
        <w:t>, or in consolidated resolutions not having RRRI as a main focus</w:t>
      </w:r>
      <w:r w:rsidR="00AD01AD">
        <w:t>.</w:t>
      </w:r>
    </w:p>
    <w:p w14:paraId="32A3F24F" w14:textId="77777777" w:rsidR="00D64255" w:rsidRDefault="00D64255">
      <w:r>
        <w:br w:type="page"/>
      </w:r>
    </w:p>
    <w:p w14:paraId="5977C850" w14:textId="49F0B6DC" w:rsidR="006B211D" w:rsidRPr="006B211D" w:rsidRDefault="004725FC" w:rsidP="004725FC">
      <w:pPr>
        <w:rPr>
          <w:b/>
          <w:iCs/>
          <w:lang w:val="en-US"/>
        </w:rPr>
      </w:pPr>
      <w:r w:rsidRPr="006B211D">
        <w:rPr>
          <w:b/>
          <w:iCs/>
          <w:lang w:val="en-US"/>
        </w:rPr>
        <w:lastRenderedPageBreak/>
        <w:t xml:space="preserve">Annex I </w:t>
      </w:r>
    </w:p>
    <w:p w14:paraId="77C7C6BD" w14:textId="6923CBD3" w:rsidR="004725FC" w:rsidRPr="006B211D" w:rsidRDefault="006B211D" w:rsidP="004725FC">
      <w:pPr>
        <w:rPr>
          <w:b/>
          <w:iCs/>
        </w:rPr>
      </w:pPr>
      <w:r w:rsidRPr="006B211D">
        <w:rPr>
          <w:b/>
          <w:iCs/>
          <w:lang w:val="en-US"/>
        </w:rPr>
        <w:t>Earlier decisions (full</w:t>
      </w:r>
      <w:r w:rsidR="00A75223">
        <w:rPr>
          <w:b/>
          <w:iCs/>
          <w:lang w:val="en-US"/>
        </w:rPr>
        <w:t>/</w:t>
      </w:r>
      <w:r w:rsidRPr="006B211D">
        <w:rPr>
          <w:b/>
          <w:iCs/>
          <w:lang w:val="en-US"/>
        </w:rPr>
        <w:t>parts)</w:t>
      </w:r>
      <w:r w:rsidR="003038C4">
        <w:rPr>
          <w:b/>
          <w:iCs/>
          <w:lang w:val="en-US"/>
        </w:rPr>
        <w:t>,</w:t>
      </w:r>
      <w:r w:rsidRPr="006B211D">
        <w:rPr>
          <w:b/>
          <w:iCs/>
          <w:lang w:val="en-US"/>
        </w:rPr>
        <w:t xml:space="preserve"> </w:t>
      </w:r>
      <w:r w:rsidR="00A75223">
        <w:rPr>
          <w:b/>
          <w:iCs/>
          <w:lang w:val="en-US"/>
        </w:rPr>
        <w:t xml:space="preserve">on </w:t>
      </w:r>
      <w:r w:rsidRPr="006B211D">
        <w:rPr>
          <w:b/>
          <w:iCs/>
          <w:lang w:val="en-US"/>
        </w:rPr>
        <w:t>Ramsar Regional Initiative that are repealed</w:t>
      </w:r>
      <w:r w:rsidR="00A75223">
        <w:rPr>
          <w:b/>
          <w:iCs/>
          <w:lang w:val="en-US"/>
        </w:rPr>
        <w:t xml:space="preserve"> by this resolution</w:t>
      </w:r>
    </w:p>
    <w:p w14:paraId="4620486E" w14:textId="4B0E19BA" w:rsidR="004725FC" w:rsidRDefault="004725FC" w:rsidP="004725FC">
      <w:pPr>
        <w:ind w:left="0" w:firstLine="0"/>
        <w:rPr>
          <w:bCs/>
          <w:iCs/>
          <w:lang w:val="en-US"/>
        </w:rPr>
      </w:pPr>
    </w:p>
    <w:p w14:paraId="2FD02139" w14:textId="59187540" w:rsidR="00F214B4" w:rsidRPr="00535B5E" w:rsidRDefault="00F214B4" w:rsidP="00F214B4">
      <w:r w:rsidRPr="00535B5E">
        <w:t>1.</w:t>
      </w:r>
      <w:r w:rsidRPr="00535B5E">
        <w:tab/>
      </w:r>
      <w:r w:rsidR="003038C4">
        <w:t xml:space="preserve">The list of </w:t>
      </w:r>
      <w:r w:rsidR="003038C4" w:rsidRPr="003038C4">
        <w:t xml:space="preserve">Resolution and Recommendations </w:t>
      </w:r>
      <w:r w:rsidR="003038C4">
        <w:t>decisions that can be repealed is based upon the work done by the consultant for the RRI working Group</w:t>
      </w:r>
      <w:r w:rsidRPr="00535B5E">
        <w:t>;</w:t>
      </w:r>
      <w:r w:rsidRPr="00535B5E">
        <w:br/>
      </w:r>
    </w:p>
    <w:p w14:paraId="5E974167" w14:textId="7AC4991C" w:rsidR="00F214B4" w:rsidRPr="0034761A" w:rsidRDefault="00F214B4" w:rsidP="00F214B4">
      <w:pPr>
        <w:rPr>
          <w:highlight w:val="yellow"/>
        </w:rPr>
      </w:pPr>
      <w:r w:rsidRPr="00535B5E">
        <w:t>2.</w:t>
      </w:r>
      <w:r w:rsidRPr="00535B5E">
        <w:tab/>
      </w:r>
      <w:r w:rsidR="003038C4" w:rsidRPr="003038C4">
        <w:t xml:space="preserve">The list of </w:t>
      </w:r>
      <w:r w:rsidR="003038C4">
        <w:t xml:space="preserve">SC-decisions that can be fully or partly </w:t>
      </w:r>
      <w:r w:rsidR="00995BE2">
        <w:t>repealed h</w:t>
      </w:r>
      <w:r w:rsidR="003038C4">
        <w:t xml:space="preserve">ave been found by checking SC reports from all SC meeting from 2010 until March 2022, searching for “regional” and by such search probably having found all SC-decision that have RRI as their main focus or will affect RRI </w:t>
      </w:r>
      <w:r>
        <w:t>process</w:t>
      </w:r>
      <w:r w:rsidR="003038C4">
        <w:t xml:space="preserve"> during this period. </w:t>
      </w:r>
      <w:r w:rsidR="00995BE2">
        <w:t xml:space="preserve">Decisions addressing the CEPA OP work about RRIs are not included. </w:t>
      </w:r>
    </w:p>
    <w:p w14:paraId="6BB4F803" w14:textId="77777777" w:rsidR="00F214B4" w:rsidRPr="00C61794" w:rsidRDefault="00F214B4" w:rsidP="00F214B4">
      <w:pPr>
        <w:ind w:left="0" w:firstLine="0"/>
      </w:pPr>
    </w:p>
    <w:p w14:paraId="7D00DC68" w14:textId="77777777" w:rsidR="00F214B4" w:rsidRDefault="00F214B4" w:rsidP="006B211D">
      <w:pPr>
        <w:ind w:left="0" w:firstLine="0"/>
        <w:rPr>
          <w:bCs/>
          <w:i/>
          <w:lang w:val="en-US"/>
        </w:rPr>
      </w:pPr>
    </w:p>
    <w:p w14:paraId="6CB56A59" w14:textId="327CE8EF" w:rsidR="004725FC" w:rsidRPr="006B211D" w:rsidRDefault="004725FC" w:rsidP="006B211D">
      <w:pPr>
        <w:ind w:left="0" w:firstLine="0"/>
        <w:rPr>
          <w:bCs/>
          <w:i/>
          <w:lang w:val="en-US"/>
        </w:rPr>
      </w:pPr>
      <w:r w:rsidRPr="006B211D">
        <w:rPr>
          <w:bCs/>
          <w:i/>
          <w:lang w:val="en-US"/>
        </w:rPr>
        <w:t>Resolution and Recommendations that are repealed:</w:t>
      </w:r>
    </w:p>
    <w:p w14:paraId="56901C35" w14:textId="77777777" w:rsidR="00995BE2" w:rsidRDefault="00995BE2" w:rsidP="004725FC">
      <w:pPr>
        <w:rPr>
          <w:lang w:val="en-US"/>
        </w:rPr>
      </w:pPr>
    </w:p>
    <w:p w14:paraId="06BDCC66" w14:textId="3EBC3D80" w:rsidR="004725FC" w:rsidRDefault="004725FC" w:rsidP="004725FC">
      <w:pPr>
        <w:rPr>
          <w:lang w:val="en-US"/>
        </w:rPr>
      </w:pPr>
      <w:r>
        <w:rPr>
          <w:lang w:val="en-US"/>
        </w:rPr>
        <w:t>Resolution XIII.9</w:t>
      </w:r>
    </w:p>
    <w:p w14:paraId="3A572678" w14:textId="77777777" w:rsidR="004725FC" w:rsidRPr="0012489A" w:rsidRDefault="004725FC" w:rsidP="004725FC">
      <w:pPr>
        <w:rPr>
          <w:lang w:val="en-US"/>
        </w:rPr>
      </w:pPr>
      <w:r w:rsidRPr="0012489A">
        <w:rPr>
          <w:lang w:val="en-US"/>
        </w:rPr>
        <w:t>Resolution XII.8</w:t>
      </w:r>
    </w:p>
    <w:p w14:paraId="3C6B9306" w14:textId="6DBE4040" w:rsidR="004725FC" w:rsidRPr="0012489A" w:rsidRDefault="004725FC" w:rsidP="004725FC">
      <w:pPr>
        <w:rPr>
          <w:lang w:val="en-US"/>
        </w:rPr>
      </w:pPr>
      <w:r w:rsidRPr="0012489A">
        <w:rPr>
          <w:lang w:val="en-US"/>
        </w:rPr>
        <w:t>Resolution XI.5</w:t>
      </w:r>
    </w:p>
    <w:p w14:paraId="05F42753" w14:textId="77777777" w:rsidR="004725FC" w:rsidRPr="0012489A" w:rsidRDefault="004725FC" w:rsidP="004725FC">
      <w:pPr>
        <w:rPr>
          <w:lang w:val="en-US"/>
        </w:rPr>
      </w:pPr>
      <w:r w:rsidRPr="0012489A">
        <w:rPr>
          <w:lang w:val="en-US"/>
        </w:rPr>
        <w:t xml:space="preserve">Resolution X.6 </w:t>
      </w:r>
    </w:p>
    <w:p w14:paraId="02953BFA" w14:textId="77777777" w:rsidR="004725FC" w:rsidRPr="0012489A" w:rsidRDefault="004725FC" w:rsidP="004725FC">
      <w:pPr>
        <w:rPr>
          <w:lang w:val="en-US"/>
        </w:rPr>
      </w:pPr>
      <w:r w:rsidRPr="0012489A">
        <w:rPr>
          <w:lang w:val="en-US"/>
        </w:rPr>
        <w:t>Resolution IX.7</w:t>
      </w:r>
    </w:p>
    <w:p w14:paraId="322A885D" w14:textId="77777777" w:rsidR="004725FC" w:rsidRPr="0012489A" w:rsidRDefault="004725FC" w:rsidP="004725FC">
      <w:pPr>
        <w:rPr>
          <w:lang w:val="en-US"/>
        </w:rPr>
      </w:pPr>
      <w:r w:rsidRPr="0012489A">
        <w:rPr>
          <w:lang w:val="en-US"/>
        </w:rPr>
        <w:t>Resolution VIII.43</w:t>
      </w:r>
    </w:p>
    <w:p w14:paraId="24BE2783" w14:textId="77777777" w:rsidR="004725FC" w:rsidRPr="0012489A" w:rsidRDefault="004725FC" w:rsidP="004725FC">
      <w:pPr>
        <w:rPr>
          <w:lang w:val="en-US"/>
        </w:rPr>
      </w:pPr>
      <w:r w:rsidRPr="0012489A">
        <w:rPr>
          <w:lang w:val="en-US"/>
        </w:rPr>
        <w:t>Resolution VIII.41</w:t>
      </w:r>
    </w:p>
    <w:p w14:paraId="2DFEA143" w14:textId="77777777" w:rsidR="004725FC" w:rsidRPr="0012489A" w:rsidRDefault="004725FC" w:rsidP="004725FC">
      <w:pPr>
        <w:rPr>
          <w:lang w:val="en-US"/>
        </w:rPr>
      </w:pPr>
      <w:r w:rsidRPr="0012489A">
        <w:rPr>
          <w:lang w:val="en-US"/>
        </w:rPr>
        <w:t>Resolution VIII.30</w:t>
      </w:r>
    </w:p>
    <w:p w14:paraId="1C7D448F" w14:textId="77777777" w:rsidR="004725FC" w:rsidRPr="0012489A" w:rsidRDefault="004725FC" w:rsidP="004725FC">
      <w:pPr>
        <w:rPr>
          <w:lang w:val="en-US"/>
        </w:rPr>
      </w:pPr>
      <w:r w:rsidRPr="0012489A">
        <w:rPr>
          <w:lang w:val="en-US"/>
        </w:rPr>
        <w:t>Resolution VII.26</w:t>
      </w:r>
    </w:p>
    <w:p w14:paraId="0CBBE4CA" w14:textId="77777777" w:rsidR="004725FC" w:rsidRPr="0012489A" w:rsidRDefault="004725FC" w:rsidP="004725FC">
      <w:pPr>
        <w:rPr>
          <w:lang w:val="en-US"/>
        </w:rPr>
      </w:pPr>
      <w:r w:rsidRPr="0012489A">
        <w:rPr>
          <w:lang w:val="en-US"/>
        </w:rPr>
        <w:t>Resolution VII.22</w:t>
      </w:r>
    </w:p>
    <w:p w14:paraId="1F44CDC3" w14:textId="77777777" w:rsidR="004725FC" w:rsidRPr="0012489A" w:rsidRDefault="004725FC" w:rsidP="004725FC">
      <w:pPr>
        <w:rPr>
          <w:lang w:val="en-US"/>
        </w:rPr>
      </w:pPr>
      <w:r w:rsidRPr="0012489A">
        <w:rPr>
          <w:lang w:val="en-US"/>
        </w:rPr>
        <w:t>Recommendation VI.11</w:t>
      </w:r>
    </w:p>
    <w:p w14:paraId="11D6C81D" w14:textId="63C785D8" w:rsidR="004725FC" w:rsidRDefault="004725FC" w:rsidP="004725FC">
      <w:pPr>
        <w:rPr>
          <w:lang w:val="en-US"/>
        </w:rPr>
      </w:pPr>
      <w:r w:rsidRPr="0012489A">
        <w:rPr>
          <w:lang w:val="en-US"/>
        </w:rPr>
        <w:t>Recommendation V.</w:t>
      </w:r>
      <w:r>
        <w:rPr>
          <w:lang w:val="en-US"/>
        </w:rPr>
        <w:t>14</w:t>
      </w:r>
    </w:p>
    <w:p w14:paraId="7866A3AE" w14:textId="14A23FDA" w:rsidR="004725FC" w:rsidRDefault="004725FC" w:rsidP="004725FC">
      <w:pPr>
        <w:rPr>
          <w:lang w:val="en-US"/>
        </w:rPr>
      </w:pPr>
    </w:p>
    <w:p w14:paraId="73931CA1" w14:textId="77777777" w:rsidR="004725FC" w:rsidRDefault="004725FC" w:rsidP="004725FC">
      <w:pPr>
        <w:ind w:left="0" w:firstLine="0"/>
        <w:rPr>
          <w:b/>
          <w:i/>
          <w:lang w:val="en-US"/>
        </w:rPr>
      </w:pPr>
    </w:p>
    <w:p w14:paraId="605E26DC" w14:textId="02649CF3" w:rsidR="004725FC" w:rsidRPr="006B211D" w:rsidRDefault="004725FC" w:rsidP="006B211D">
      <w:pPr>
        <w:ind w:left="0" w:firstLine="0"/>
        <w:rPr>
          <w:bCs/>
          <w:i/>
          <w:lang w:val="en-US"/>
        </w:rPr>
      </w:pPr>
      <w:r w:rsidRPr="006B211D">
        <w:rPr>
          <w:bCs/>
          <w:i/>
          <w:lang w:val="en-US"/>
        </w:rPr>
        <w:t xml:space="preserve">SC-decisions that are </w:t>
      </w:r>
      <w:r w:rsidR="002E0F4C" w:rsidRPr="006B211D">
        <w:rPr>
          <w:bCs/>
          <w:i/>
          <w:lang w:val="en-US"/>
        </w:rPr>
        <w:t xml:space="preserve">history and </w:t>
      </w:r>
      <w:r w:rsidRPr="006B211D">
        <w:rPr>
          <w:bCs/>
          <w:i/>
          <w:lang w:val="en-US"/>
        </w:rPr>
        <w:t>repealed</w:t>
      </w:r>
      <w:r w:rsidR="001D710F" w:rsidRPr="006B211D">
        <w:rPr>
          <w:bCs/>
          <w:i/>
          <w:lang w:val="en-US"/>
        </w:rPr>
        <w:t xml:space="preserve"> </w:t>
      </w:r>
      <w:r w:rsidR="00651313" w:rsidRPr="006B211D">
        <w:rPr>
          <w:bCs/>
          <w:i/>
          <w:u w:val="single"/>
          <w:lang w:val="en-US"/>
        </w:rPr>
        <w:t>in full</w:t>
      </w:r>
      <w:r w:rsidR="00651313" w:rsidRPr="006B211D">
        <w:rPr>
          <w:bCs/>
          <w:i/>
          <w:lang w:val="en-US"/>
        </w:rPr>
        <w:t xml:space="preserve"> </w:t>
      </w:r>
      <w:r w:rsidR="001D710F" w:rsidRPr="006B211D">
        <w:rPr>
          <w:bCs/>
          <w:i/>
          <w:lang w:val="en-US"/>
        </w:rPr>
        <w:t>by this resolution</w:t>
      </w:r>
      <w:r w:rsidRPr="006B211D">
        <w:rPr>
          <w:bCs/>
          <w:i/>
          <w:lang w:val="en-US"/>
        </w:rPr>
        <w:t>:</w:t>
      </w:r>
    </w:p>
    <w:p w14:paraId="2F14743E" w14:textId="77777777" w:rsidR="00995BE2" w:rsidRDefault="00995BE2" w:rsidP="00A75223">
      <w:pPr>
        <w:rPr>
          <w:bCs/>
        </w:rPr>
      </w:pPr>
    </w:p>
    <w:p w14:paraId="4986588F" w14:textId="6332CDF7" w:rsidR="00A75223" w:rsidRDefault="00A75223" w:rsidP="00A75223">
      <w:pPr>
        <w:rPr>
          <w:bCs/>
        </w:rPr>
      </w:pPr>
      <w:r w:rsidRPr="00E03A98">
        <w:rPr>
          <w:bCs/>
        </w:rPr>
        <w:t>SC4</w:t>
      </w:r>
      <w:r>
        <w:rPr>
          <w:bCs/>
        </w:rPr>
        <w:t>1</w:t>
      </w:r>
      <w:r w:rsidRPr="00E03A98">
        <w:rPr>
          <w:bCs/>
        </w:rPr>
        <w:t>‐1</w:t>
      </w:r>
      <w:r>
        <w:rPr>
          <w:bCs/>
        </w:rPr>
        <w:t>9 (</w:t>
      </w:r>
      <w:r>
        <w:rPr>
          <w:lang w:val="en-US"/>
        </w:rPr>
        <w:t>budgetary issue)</w:t>
      </w:r>
    </w:p>
    <w:p w14:paraId="42005059" w14:textId="234C9529" w:rsidR="00A75223" w:rsidRDefault="00A75223" w:rsidP="00A75223">
      <w:pPr>
        <w:rPr>
          <w:bCs/>
        </w:rPr>
      </w:pPr>
      <w:r w:rsidRPr="00E03A98">
        <w:rPr>
          <w:bCs/>
        </w:rPr>
        <w:t>SC4</w:t>
      </w:r>
      <w:r>
        <w:rPr>
          <w:bCs/>
        </w:rPr>
        <w:t>1</w:t>
      </w:r>
      <w:r w:rsidRPr="00E03A98">
        <w:rPr>
          <w:bCs/>
        </w:rPr>
        <w:t>‐</w:t>
      </w:r>
      <w:r>
        <w:rPr>
          <w:bCs/>
        </w:rPr>
        <w:t>20 (</w:t>
      </w:r>
      <w:r>
        <w:rPr>
          <w:lang w:val="en-US"/>
        </w:rPr>
        <w:t>budgetary issue)</w:t>
      </w:r>
    </w:p>
    <w:p w14:paraId="38F0C4E8" w14:textId="41E6F4A1" w:rsidR="00A75223" w:rsidRPr="0017027E" w:rsidRDefault="00A75223" w:rsidP="00A75223">
      <w:pPr>
        <w:rPr>
          <w:lang w:val="en-US"/>
        </w:rPr>
      </w:pPr>
      <w:r w:rsidRPr="0017027E">
        <w:rPr>
          <w:bCs/>
        </w:rPr>
        <w:t>SC41‐21 (</w:t>
      </w:r>
      <w:r w:rsidR="00F214B4" w:rsidRPr="0017027E">
        <w:rPr>
          <w:bCs/>
        </w:rPr>
        <w:t xml:space="preserve">annual </w:t>
      </w:r>
      <w:r w:rsidRPr="0017027E">
        <w:rPr>
          <w:bCs/>
        </w:rPr>
        <w:t>report format</w:t>
      </w:r>
      <w:r w:rsidRPr="0017027E">
        <w:rPr>
          <w:lang w:val="en-US"/>
        </w:rPr>
        <w:t>)</w:t>
      </w:r>
    </w:p>
    <w:p w14:paraId="7248DBE8" w14:textId="59F5553E" w:rsidR="00CE6745" w:rsidRDefault="00CE6745" w:rsidP="00F214B4">
      <w:pPr>
        <w:rPr>
          <w:bCs/>
        </w:rPr>
      </w:pPr>
      <w:r w:rsidRPr="0017027E">
        <w:rPr>
          <w:bCs/>
        </w:rPr>
        <w:t>SC41‐22 (model contract, in</w:t>
      </w:r>
      <w:r w:rsidR="0017027E" w:rsidRPr="0017027E">
        <w:rPr>
          <w:bCs/>
        </w:rPr>
        <w:t xml:space="preserve">tegrated into </w:t>
      </w:r>
      <w:r w:rsidRPr="0017027E">
        <w:rPr>
          <w:bCs/>
        </w:rPr>
        <w:t xml:space="preserve">XIV.¤¤ </w:t>
      </w:r>
      <w:r w:rsidRPr="0017027E">
        <w:rPr>
          <w:i/>
          <w:iCs/>
          <w:lang w:val="en-US"/>
        </w:rPr>
        <w:t>Ramsar Regional Initiatives - the basics</w:t>
      </w:r>
      <w:r w:rsidRPr="0017027E">
        <w:rPr>
          <w:bCs/>
        </w:rPr>
        <w:t>)</w:t>
      </w:r>
    </w:p>
    <w:p w14:paraId="1D64F366" w14:textId="21F294F2" w:rsidR="00F214B4" w:rsidRDefault="00F214B4" w:rsidP="00F214B4">
      <w:pPr>
        <w:rPr>
          <w:lang w:val="en-US"/>
        </w:rPr>
      </w:pPr>
      <w:r w:rsidRPr="00E03A98">
        <w:rPr>
          <w:bCs/>
        </w:rPr>
        <w:t>SC4</w:t>
      </w:r>
      <w:r>
        <w:rPr>
          <w:bCs/>
        </w:rPr>
        <w:t>1</w:t>
      </w:r>
      <w:r w:rsidRPr="00E03A98">
        <w:rPr>
          <w:bCs/>
        </w:rPr>
        <w:t>‐</w:t>
      </w:r>
      <w:r>
        <w:rPr>
          <w:bCs/>
        </w:rPr>
        <w:t>23 (endorsing new RRIs, and repeating SC41-22 and SC41-23</w:t>
      </w:r>
      <w:r>
        <w:rPr>
          <w:lang w:val="en-US"/>
        </w:rPr>
        <w:t>)</w:t>
      </w:r>
    </w:p>
    <w:p w14:paraId="0D71EB57" w14:textId="665E120A" w:rsidR="00F214B4" w:rsidRDefault="00A75223" w:rsidP="00F214B4">
      <w:pPr>
        <w:rPr>
          <w:bCs/>
        </w:rPr>
      </w:pPr>
      <w:r>
        <w:rPr>
          <w:bCs/>
        </w:rPr>
        <w:t>SC42-20 (endorsing list of RRI, budgetary issues)</w:t>
      </w:r>
    </w:p>
    <w:p w14:paraId="44EBC7F0" w14:textId="0B578FF0" w:rsidR="006B211D" w:rsidRDefault="006B211D" w:rsidP="0048026F">
      <w:pPr>
        <w:rPr>
          <w:bCs/>
        </w:rPr>
      </w:pPr>
      <w:r w:rsidRPr="006B211D">
        <w:rPr>
          <w:bCs/>
        </w:rPr>
        <w:t>SC44-</w:t>
      </w:r>
      <w:r>
        <w:rPr>
          <w:bCs/>
        </w:rPr>
        <w:t>0</w:t>
      </w:r>
      <w:r w:rsidRPr="006B211D">
        <w:rPr>
          <w:bCs/>
        </w:rPr>
        <w:t xml:space="preserve">9 </w:t>
      </w:r>
      <w:r>
        <w:rPr>
          <w:bCs/>
        </w:rPr>
        <w:t>(noting the asked for meeting had been held)</w:t>
      </w:r>
    </w:p>
    <w:p w14:paraId="529C6603" w14:textId="53B0E91C" w:rsidR="006B211D" w:rsidRDefault="006B211D" w:rsidP="0048026F">
      <w:pPr>
        <w:rPr>
          <w:bCs/>
        </w:rPr>
      </w:pPr>
      <w:r w:rsidRPr="006B211D">
        <w:rPr>
          <w:bCs/>
        </w:rPr>
        <w:t xml:space="preserve">SC46-28 </w:t>
      </w:r>
      <w:r>
        <w:rPr>
          <w:bCs/>
        </w:rPr>
        <w:t>(endorsing operational guidelines)</w:t>
      </w:r>
    </w:p>
    <w:p w14:paraId="41E5C9AB" w14:textId="17487AD1" w:rsidR="00E03A98" w:rsidRDefault="00E03A98" w:rsidP="0048026F">
      <w:pPr>
        <w:rPr>
          <w:bCs/>
        </w:rPr>
      </w:pPr>
      <w:r w:rsidRPr="00E03A98">
        <w:rPr>
          <w:bCs/>
        </w:rPr>
        <w:t>SC47‐10</w:t>
      </w:r>
      <w:r>
        <w:rPr>
          <w:bCs/>
        </w:rPr>
        <w:t xml:space="preserve"> (</w:t>
      </w:r>
      <w:r>
        <w:rPr>
          <w:lang w:val="en-US"/>
        </w:rPr>
        <w:t>budgetary issue)</w:t>
      </w:r>
    </w:p>
    <w:p w14:paraId="6EC6F88B" w14:textId="40095A9B" w:rsidR="0048026F" w:rsidRPr="0048026F" w:rsidRDefault="0048026F" w:rsidP="0048026F">
      <w:pPr>
        <w:rPr>
          <w:bCs/>
        </w:rPr>
      </w:pPr>
      <w:r w:rsidRPr="0048026F">
        <w:rPr>
          <w:bCs/>
        </w:rPr>
        <w:t>SC48-25</w:t>
      </w:r>
      <w:r>
        <w:rPr>
          <w:bCs/>
        </w:rPr>
        <w:t xml:space="preserve"> (forwarding DR to COP) </w:t>
      </w:r>
    </w:p>
    <w:p w14:paraId="767B8465" w14:textId="6BF9F207" w:rsidR="0048026F" w:rsidRDefault="0048026F" w:rsidP="0048026F">
      <w:pPr>
        <w:rPr>
          <w:lang w:val="en-US"/>
        </w:rPr>
      </w:pPr>
      <w:r w:rsidRPr="00DA7C20">
        <w:rPr>
          <w:lang w:val="en-US"/>
        </w:rPr>
        <w:t>SC</w:t>
      </w:r>
      <w:r>
        <w:rPr>
          <w:lang w:val="en-US"/>
        </w:rPr>
        <w:t>49</w:t>
      </w:r>
      <w:r w:rsidRPr="00DA7C20">
        <w:rPr>
          <w:lang w:val="en-US"/>
        </w:rPr>
        <w:t>-0</w:t>
      </w:r>
      <w:r>
        <w:rPr>
          <w:lang w:val="en-US"/>
        </w:rPr>
        <w:t xml:space="preserve">3 (budgetary issue)  </w:t>
      </w:r>
    </w:p>
    <w:p w14:paraId="5D0350A8" w14:textId="5F94489D" w:rsidR="0018300F" w:rsidRDefault="0018300F" w:rsidP="0014401A">
      <w:pPr>
        <w:rPr>
          <w:lang w:val="en-US"/>
        </w:rPr>
      </w:pPr>
      <w:r w:rsidRPr="0018300F">
        <w:rPr>
          <w:lang w:val="en-US"/>
        </w:rPr>
        <w:t>SC51-11</w:t>
      </w:r>
      <w:r>
        <w:rPr>
          <w:lang w:val="en-US"/>
        </w:rPr>
        <w:t xml:space="preserve"> (establishment of Working Group)</w:t>
      </w:r>
    </w:p>
    <w:p w14:paraId="56B28F2B" w14:textId="6CB4A1BE" w:rsidR="0018300F" w:rsidRDefault="0018300F" w:rsidP="0014401A">
      <w:pPr>
        <w:rPr>
          <w:lang w:val="en-US"/>
        </w:rPr>
      </w:pPr>
      <w:r w:rsidRPr="0018300F">
        <w:rPr>
          <w:lang w:val="en-US"/>
        </w:rPr>
        <w:t>SC51-12</w:t>
      </w:r>
      <w:r>
        <w:rPr>
          <w:lang w:val="en-US"/>
        </w:rPr>
        <w:t xml:space="preserve"> (about assessment of the RRIs and communication strategy)</w:t>
      </w:r>
    </w:p>
    <w:p w14:paraId="2D4E76E4" w14:textId="28170D0E" w:rsidR="0018300F" w:rsidRDefault="0018300F" w:rsidP="0014401A">
      <w:pPr>
        <w:rPr>
          <w:lang w:val="en-US"/>
        </w:rPr>
      </w:pPr>
      <w:r w:rsidRPr="0018300F">
        <w:rPr>
          <w:lang w:val="en-US"/>
        </w:rPr>
        <w:t>SC51-1</w:t>
      </w:r>
      <w:r>
        <w:rPr>
          <w:lang w:val="en-US"/>
        </w:rPr>
        <w:t xml:space="preserve">3 (have workshop on operational guidelines before SC52) </w:t>
      </w:r>
    </w:p>
    <w:p w14:paraId="175C9E71" w14:textId="02F95C31" w:rsidR="0018300F" w:rsidRDefault="0018300F" w:rsidP="0014401A">
      <w:pPr>
        <w:rPr>
          <w:lang w:val="en-US"/>
        </w:rPr>
      </w:pPr>
      <w:r w:rsidRPr="0018300F">
        <w:rPr>
          <w:lang w:val="en-US"/>
        </w:rPr>
        <w:t>SC51-14</w:t>
      </w:r>
      <w:r>
        <w:rPr>
          <w:lang w:val="en-US"/>
        </w:rPr>
        <w:t xml:space="preserve"> (about having a checklist for new RRIs)</w:t>
      </w:r>
    </w:p>
    <w:p w14:paraId="10FA92AF" w14:textId="6EBF8972" w:rsidR="0018300F" w:rsidRDefault="0018300F" w:rsidP="0014401A">
      <w:pPr>
        <w:rPr>
          <w:lang w:val="en-US"/>
        </w:rPr>
      </w:pPr>
      <w:r w:rsidRPr="0018300F">
        <w:rPr>
          <w:lang w:val="en-US"/>
        </w:rPr>
        <w:t>SC51-23</w:t>
      </w:r>
      <w:r>
        <w:rPr>
          <w:lang w:val="en-US"/>
        </w:rPr>
        <w:t xml:space="preserve"> (day for workshop in Gland)</w:t>
      </w:r>
    </w:p>
    <w:p w14:paraId="3BE14AF1" w14:textId="6D8135D1" w:rsidR="00285D93" w:rsidRDefault="00285D93" w:rsidP="0014401A">
      <w:pPr>
        <w:rPr>
          <w:lang w:val="en-US"/>
        </w:rPr>
      </w:pPr>
      <w:r>
        <w:rPr>
          <w:lang w:val="en-US"/>
        </w:rPr>
        <w:t>SC52</w:t>
      </w:r>
      <w:r w:rsidR="00DA7C20">
        <w:rPr>
          <w:lang w:val="en-US"/>
        </w:rPr>
        <w:t>-16</w:t>
      </w:r>
      <w:r>
        <w:rPr>
          <w:lang w:val="en-US"/>
        </w:rPr>
        <w:t xml:space="preserve"> (decision on operational guidelines)</w:t>
      </w:r>
    </w:p>
    <w:p w14:paraId="2B0419DF" w14:textId="067673B4" w:rsidR="00DA7C20" w:rsidRDefault="00DA7C20" w:rsidP="0014401A">
      <w:pPr>
        <w:rPr>
          <w:lang w:val="en-US"/>
        </w:rPr>
      </w:pPr>
      <w:r w:rsidRPr="00DA7C20">
        <w:rPr>
          <w:lang w:val="en-US"/>
        </w:rPr>
        <w:t>SC52-17</w:t>
      </w:r>
      <w:r>
        <w:rPr>
          <w:lang w:val="en-US"/>
        </w:rPr>
        <w:t xml:space="preserve"> (list of RRIs)</w:t>
      </w:r>
    </w:p>
    <w:p w14:paraId="2F7DAE5B" w14:textId="1AED960D" w:rsidR="00DA7C20" w:rsidRDefault="00DA7C20" w:rsidP="0014401A">
      <w:pPr>
        <w:rPr>
          <w:lang w:val="en-US"/>
        </w:rPr>
      </w:pPr>
      <w:r w:rsidRPr="00DA7C20">
        <w:rPr>
          <w:lang w:val="en-US"/>
        </w:rPr>
        <w:t>SC52-18</w:t>
      </w:r>
      <w:r>
        <w:rPr>
          <w:lang w:val="en-US"/>
        </w:rPr>
        <w:t xml:space="preserve"> (assessment of applicability of operational guidelines)</w:t>
      </w:r>
    </w:p>
    <w:p w14:paraId="08E19AB9" w14:textId="697B112C" w:rsidR="00DA7C20" w:rsidRDefault="00DA7C20" w:rsidP="00DA7C20">
      <w:pPr>
        <w:rPr>
          <w:lang w:val="en-US"/>
        </w:rPr>
      </w:pPr>
      <w:r w:rsidRPr="00DA7C20">
        <w:rPr>
          <w:lang w:val="en-US"/>
        </w:rPr>
        <w:t>SC52-19</w:t>
      </w:r>
      <w:r>
        <w:rPr>
          <w:lang w:val="en-US"/>
        </w:rPr>
        <w:t xml:space="preserve"> (request about summary report from the WG)</w:t>
      </w:r>
    </w:p>
    <w:p w14:paraId="314EAC29" w14:textId="4B31305A" w:rsidR="00DA7C20" w:rsidRDefault="00DA7C20" w:rsidP="00DA7C20">
      <w:pPr>
        <w:rPr>
          <w:lang w:val="en-US"/>
        </w:rPr>
      </w:pPr>
      <w:r w:rsidRPr="00DA7C20">
        <w:rPr>
          <w:lang w:val="en-US"/>
        </w:rPr>
        <w:t>SC52-20</w:t>
      </w:r>
      <w:r>
        <w:rPr>
          <w:lang w:val="en-US"/>
        </w:rPr>
        <w:t xml:space="preserve"> (budgetary issue)  </w:t>
      </w:r>
    </w:p>
    <w:p w14:paraId="61900437" w14:textId="1D002E7C" w:rsidR="00285D93" w:rsidRDefault="00285D93" w:rsidP="0014401A">
      <w:pPr>
        <w:rPr>
          <w:lang w:val="en-US"/>
        </w:rPr>
      </w:pPr>
      <w:r w:rsidRPr="00285D93">
        <w:rPr>
          <w:lang w:val="en-US"/>
        </w:rPr>
        <w:lastRenderedPageBreak/>
        <w:t>SC53-37</w:t>
      </w:r>
      <w:r>
        <w:rPr>
          <w:lang w:val="en-US"/>
        </w:rPr>
        <w:t xml:space="preserve"> (budgetary issue)  </w:t>
      </w:r>
    </w:p>
    <w:p w14:paraId="65400922" w14:textId="19962BC6" w:rsidR="00285D93" w:rsidRDefault="00285D93" w:rsidP="00285D93">
      <w:pPr>
        <w:rPr>
          <w:lang w:val="en-US"/>
        </w:rPr>
      </w:pPr>
      <w:r w:rsidRPr="00285D93">
        <w:rPr>
          <w:lang w:val="en-US"/>
        </w:rPr>
        <w:t>SC53-3</w:t>
      </w:r>
      <w:r>
        <w:rPr>
          <w:lang w:val="en-US"/>
        </w:rPr>
        <w:t xml:space="preserve">8 (budgetary issue)  </w:t>
      </w:r>
    </w:p>
    <w:p w14:paraId="2C6CEAD0" w14:textId="500EC45D" w:rsidR="00285D93" w:rsidRDefault="00285D93" w:rsidP="0014401A">
      <w:pPr>
        <w:rPr>
          <w:lang w:val="en-US"/>
        </w:rPr>
      </w:pPr>
      <w:r w:rsidRPr="00285D93">
        <w:rPr>
          <w:lang w:val="en-US"/>
        </w:rPr>
        <w:t>SC53-12</w:t>
      </w:r>
      <w:r>
        <w:rPr>
          <w:lang w:val="en-US"/>
        </w:rPr>
        <w:t xml:space="preserve"> (on future DR for the COP)</w:t>
      </w:r>
    </w:p>
    <w:p w14:paraId="2BA7EA11" w14:textId="7F0354E4" w:rsidR="00AF4497" w:rsidRDefault="00AF4497" w:rsidP="0014401A">
      <w:pPr>
        <w:rPr>
          <w:lang w:val="en-US"/>
        </w:rPr>
      </w:pPr>
      <w:r w:rsidRPr="00AF4497">
        <w:rPr>
          <w:lang w:val="en-US"/>
        </w:rPr>
        <w:t>SC53-09</w:t>
      </w:r>
      <w:r>
        <w:rPr>
          <w:lang w:val="en-US"/>
        </w:rPr>
        <w:t xml:space="preserve"> (budgetary issue)  </w:t>
      </w:r>
    </w:p>
    <w:p w14:paraId="56DE0F31" w14:textId="0AB3B809" w:rsidR="00881FFD" w:rsidRDefault="00AF4497" w:rsidP="0014401A">
      <w:pPr>
        <w:rPr>
          <w:lang w:val="en-US"/>
        </w:rPr>
      </w:pPr>
      <w:r w:rsidRPr="00AF4497">
        <w:rPr>
          <w:lang w:val="en-US"/>
        </w:rPr>
        <w:t>SC54-30</w:t>
      </w:r>
      <w:r>
        <w:rPr>
          <w:lang w:val="en-US"/>
        </w:rPr>
        <w:t xml:space="preserve"> (ordered study of legal status and forwarded DR to COP)</w:t>
      </w:r>
    </w:p>
    <w:p w14:paraId="45E3681F" w14:textId="37C52E3E" w:rsidR="00881FFD" w:rsidRDefault="00881FFD" w:rsidP="0014401A">
      <w:pPr>
        <w:rPr>
          <w:lang w:val="en-US"/>
        </w:rPr>
      </w:pPr>
      <w:r w:rsidRPr="00881FFD">
        <w:rPr>
          <w:lang w:val="en-US"/>
        </w:rPr>
        <w:t>SC55-11</w:t>
      </w:r>
      <w:r>
        <w:rPr>
          <w:lang w:val="en-US"/>
        </w:rPr>
        <w:t xml:space="preserve"> (took note of document </w:t>
      </w:r>
      <w:r w:rsidRPr="00881FFD">
        <w:rPr>
          <w:lang w:val="en-US"/>
        </w:rPr>
        <w:t>SC55 Doc.9</w:t>
      </w:r>
      <w:r>
        <w:rPr>
          <w:lang w:val="en-US"/>
        </w:rPr>
        <w:t>)</w:t>
      </w:r>
    </w:p>
    <w:p w14:paraId="32518490" w14:textId="1FF99C06" w:rsidR="0014401A" w:rsidRDefault="0014401A" w:rsidP="0014401A">
      <w:pPr>
        <w:rPr>
          <w:lang w:val="en-US"/>
        </w:rPr>
      </w:pPr>
      <w:r>
        <w:rPr>
          <w:lang w:val="en-US"/>
        </w:rPr>
        <w:t>SC56-</w:t>
      </w:r>
      <w:r w:rsidR="00881FFD">
        <w:rPr>
          <w:lang w:val="en-US"/>
        </w:rPr>
        <w:t>07</w:t>
      </w:r>
      <w:r>
        <w:rPr>
          <w:lang w:val="en-US"/>
        </w:rPr>
        <w:t xml:space="preserve"> (</w:t>
      </w:r>
      <w:r w:rsidR="00881FFD">
        <w:rPr>
          <w:lang w:val="en-US"/>
        </w:rPr>
        <w:t>about the</w:t>
      </w:r>
      <w:r>
        <w:rPr>
          <w:lang w:val="en-US"/>
        </w:rPr>
        <w:t xml:space="preserve"> Working Group and budget for </w:t>
      </w:r>
      <w:r w:rsidR="00881FFD">
        <w:rPr>
          <w:lang w:val="en-US"/>
        </w:rPr>
        <w:t>it</w:t>
      </w:r>
      <w:r>
        <w:rPr>
          <w:lang w:val="en-US"/>
        </w:rPr>
        <w:t>)</w:t>
      </w:r>
    </w:p>
    <w:p w14:paraId="675362D4" w14:textId="79B203BB" w:rsidR="0014401A" w:rsidRDefault="0014401A" w:rsidP="00651313">
      <w:pPr>
        <w:rPr>
          <w:lang w:val="en-US"/>
        </w:rPr>
      </w:pPr>
      <w:r>
        <w:rPr>
          <w:lang w:val="en-US"/>
        </w:rPr>
        <w:t>SC57-11 (reporting format)</w:t>
      </w:r>
    </w:p>
    <w:p w14:paraId="4D6F8C51" w14:textId="7131E863" w:rsidR="0014401A" w:rsidRDefault="0014401A" w:rsidP="0014401A">
      <w:pPr>
        <w:rPr>
          <w:lang w:val="en-US"/>
        </w:rPr>
      </w:pPr>
      <w:r>
        <w:rPr>
          <w:lang w:val="en-US"/>
        </w:rPr>
        <w:t xml:space="preserve">SC57-28 (establishment of Working Group and budget for </w:t>
      </w:r>
      <w:r w:rsidR="00881FFD">
        <w:rPr>
          <w:lang w:val="en-US"/>
        </w:rPr>
        <w:t>it</w:t>
      </w:r>
      <w:r>
        <w:rPr>
          <w:lang w:val="en-US"/>
        </w:rPr>
        <w:t>)</w:t>
      </w:r>
    </w:p>
    <w:p w14:paraId="7BAE551F" w14:textId="26162E08" w:rsidR="0014401A" w:rsidRDefault="0014401A" w:rsidP="0014401A">
      <w:pPr>
        <w:rPr>
          <w:lang w:val="en-US"/>
        </w:rPr>
      </w:pPr>
      <w:r>
        <w:rPr>
          <w:lang w:val="en-US"/>
        </w:rPr>
        <w:t>SC57-29 (about seeking advice on legal status for RRIs)</w:t>
      </w:r>
    </w:p>
    <w:p w14:paraId="0C8C0D72" w14:textId="53EC11D5" w:rsidR="0014401A" w:rsidRDefault="0014401A" w:rsidP="0014401A">
      <w:pPr>
        <w:rPr>
          <w:lang w:val="en-US"/>
        </w:rPr>
      </w:pPr>
      <w:r>
        <w:rPr>
          <w:lang w:val="en-US"/>
        </w:rPr>
        <w:t xml:space="preserve">SC58-48 (budgetary issue)  </w:t>
      </w:r>
    </w:p>
    <w:p w14:paraId="28CDEDFC" w14:textId="09A15F80" w:rsidR="0014401A" w:rsidRDefault="0014401A" w:rsidP="0014401A">
      <w:pPr>
        <w:rPr>
          <w:lang w:val="en-US"/>
        </w:rPr>
      </w:pPr>
      <w:r>
        <w:rPr>
          <w:lang w:val="en-US"/>
        </w:rPr>
        <w:t xml:space="preserve">SC58-48 (budgetary issue)  </w:t>
      </w:r>
    </w:p>
    <w:p w14:paraId="46DFB05F" w14:textId="70F0F77D" w:rsidR="00651313" w:rsidRDefault="00651313" w:rsidP="00651313">
      <w:pPr>
        <w:rPr>
          <w:lang w:val="en-US"/>
        </w:rPr>
      </w:pPr>
      <w:r>
        <w:rPr>
          <w:lang w:val="en-US"/>
        </w:rPr>
        <w:t xml:space="preserve">SC58-23 (open call for new RRIs)  </w:t>
      </w:r>
    </w:p>
    <w:p w14:paraId="15CAA487" w14:textId="7A4F4D97" w:rsidR="00651313" w:rsidRDefault="00651313" w:rsidP="004725FC">
      <w:pPr>
        <w:rPr>
          <w:lang w:val="en-US"/>
        </w:rPr>
      </w:pPr>
      <w:r>
        <w:rPr>
          <w:lang w:val="en-US"/>
        </w:rPr>
        <w:t xml:space="preserve">SC58-28 (budgetary issue)  </w:t>
      </w:r>
    </w:p>
    <w:p w14:paraId="74BF82E8" w14:textId="4BD1230E" w:rsidR="002E0F4C" w:rsidRDefault="004725FC" w:rsidP="004725FC">
      <w:pPr>
        <w:rPr>
          <w:lang w:val="en-US"/>
        </w:rPr>
      </w:pPr>
      <w:r>
        <w:rPr>
          <w:lang w:val="en-US"/>
        </w:rPr>
        <w:t>SC</w:t>
      </w:r>
      <w:r w:rsidR="002E0F4C">
        <w:rPr>
          <w:lang w:val="en-US"/>
        </w:rPr>
        <w:t>59-21 (postponing addressing the report</w:t>
      </w:r>
      <w:r w:rsidR="00651313">
        <w:rPr>
          <w:lang w:val="en-US"/>
        </w:rPr>
        <w:t xml:space="preserve"> to next meeting</w:t>
      </w:r>
      <w:r w:rsidR="002E0F4C">
        <w:rPr>
          <w:lang w:val="en-US"/>
        </w:rPr>
        <w:t>)</w:t>
      </w:r>
    </w:p>
    <w:p w14:paraId="54D24F8E" w14:textId="455418DF" w:rsidR="004725FC" w:rsidRPr="00681AC9" w:rsidRDefault="002E0F4C" w:rsidP="004725FC">
      <w:pPr>
        <w:rPr>
          <w:lang w:val="en-US"/>
        </w:rPr>
      </w:pPr>
      <w:r w:rsidRPr="00681AC9">
        <w:rPr>
          <w:lang w:val="en-US"/>
        </w:rPr>
        <w:t>SC59-33 (budgetary issue)</w:t>
      </w:r>
      <w:r w:rsidR="004725FC" w:rsidRPr="00681AC9">
        <w:rPr>
          <w:lang w:val="en-US"/>
        </w:rPr>
        <w:t xml:space="preserve">  </w:t>
      </w:r>
    </w:p>
    <w:p w14:paraId="5488FA87" w14:textId="5CB3CA48" w:rsidR="004725FC" w:rsidRDefault="002E0F4C" w:rsidP="004725FC">
      <w:pPr>
        <w:rPr>
          <w:lang w:val="en-US"/>
        </w:rPr>
      </w:pPr>
      <w:r w:rsidRPr="00681AC9">
        <w:rPr>
          <w:lang w:val="en-US"/>
        </w:rPr>
        <w:t>SC59-34 (</w:t>
      </w:r>
      <w:r w:rsidR="00681AC9">
        <w:rPr>
          <w:lang w:val="en-US"/>
        </w:rPr>
        <w:t xml:space="preserve">how to request fund, </w:t>
      </w:r>
      <w:r w:rsidRPr="00681AC9">
        <w:rPr>
          <w:lang w:val="en-US"/>
        </w:rPr>
        <w:t>i</w:t>
      </w:r>
      <w:r w:rsidR="00681AC9" w:rsidRPr="00681AC9">
        <w:rPr>
          <w:lang w:val="en-US"/>
        </w:rPr>
        <w:t>ntegrated into</w:t>
      </w:r>
      <w:r w:rsidRPr="00681AC9">
        <w:rPr>
          <w:lang w:val="en-US"/>
        </w:rPr>
        <w:t xml:space="preserve"> the resolution XIV.¤¤ </w:t>
      </w:r>
      <w:r w:rsidR="00681AC9">
        <w:rPr>
          <w:lang w:val="en-US"/>
        </w:rPr>
        <w:t>RRI</w:t>
      </w:r>
      <w:r w:rsidRPr="00681AC9">
        <w:rPr>
          <w:i/>
          <w:iCs/>
          <w:lang w:val="en-US"/>
        </w:rPr>
        <w:t xml:space="preserve"> - the basics</w:t>
      </w:r>
      <w:r w:rsidRPr="00681AC9">
        <w:rPr>
          <w:lang w:val="en-US"/>
        </w:rPr>
        <w:t>)</w:t>
      </w:r>
    </w:p>
    <w:p w14:paraId="3DE9D399" w14:textId="45B64A29" w:rsidR="002E0F4C" w:rsidRDefault="002E0F4C" w:rsidP="004725FC">
      <w:pPr>
        <w:rPr>
          <w:lang w:val="en-US"/>
        </w:rPr>
      </w:pPr>
      <w:r>
        <w:rPr>
          <w:lang w:val="en-US"/>
        </w:rPr>
        <w:t>SC59-35 (budgetary issue)</w:t>
      </w:r>
    </w:p>
    <w:p w14:paraId="691A91CD" w14:textId="518B2E39" w:rsidR="004725FC" w:rsidRPr="00651313" w:rsidRDefault="00651313" w:rsidP="004725FC">
      <w:pPr>
        <w:rPr>
          <w:i/>
          <w:iCs/>
          <w:lang w:val="en-US"/>
        </w:rPr>
      </w:pPr>
      <w:r w:rsidRPr="00651313">
        <w:rPr>
          <w:i/>
          <w:iCs/>
          <w:lang w:val="en-US"/>
        </w:rPr>
        <w:t>SC59/2002-XX</w:t>
      </w:r>
      <w:r>
        <w:rPr>
          <w:i/>
          <w:iCs/>
          <w:lang w:val="en-US"/>
        </w:rPr>
        <w:t xml:space="preserve"> (not addressed by the draft resolution, but might be added at the COP14)</w:t>
      </w:r>
    </w:p>
    <w:p w14:paraId="462DD2F4" w14:textId="6702C4A9" w:rsidR="004725FC" w:rsidRDefault="004725FC" w:rsidP="004725FC">
      <w:pPr>
        <w:rPr>
          <w:lang w:val="en-US"/>
        </w:rPr>
      </w:pPr>
    </w:p>
    <w:p w14:paraId="703F886B" w14:textId="506168D5" w:rsidR="004725FC" w:rsidRDefault="004725FC" w:rsidP="004725FC">
      <w:pPr>
        <w:rPr>
          <w:lang w:val="en-US"/>
        </w:rPr>
      </w:pPr>
    </w:p>
    <w:p w14:paraId="2ABD06C2" w14:textId="18FF722B" w:rsidR="00651313" w:rsidRPr="006B211D" w:rsidRDefault="00651313" w:rsidP="00651313">
      <w:pPr>
        <w:ind w:left="0" w:firstLine="0"/>
        <w:rPr>
          <w:bCs/>
          <w:i/>
          <w:lang w:val="en-US"/>
        </w:rPr>
      </w:pPr>
      <w:r w:rsidRPr="006B211D">
        <w:rPr>
          <w:bCs/>
          <w:i/>
          <w:lang w:val="en-US"/>
        </w:rPr>
        <w:t xml:space="preserve">SC-decisions </w:t>
      </w:r>
      <w:r w:rsidR="009577A1">
        <w:rPr>
          <w:bCs/>
          <w:i/>
          <w:lang w:val="en-US"/>
        </w:rPr>
        <w:t xml:space="preserve">whose </w:t>
      </w:r>
      <w:r w:rsidR="009577A1" w:rsidRPr="009577A1">
        <w:rPr>
          <w:bCs/>
          <w:i/>
          <w:u w:val="single"/>
          <w:lang w:val="en-US"/>
        </w:rPr>
        <w:t>parts on RRI</w:t>
      </w:r>
      <w:r w:rsidR="009577A1">
        <w:rPr>
          <w:bCs/>
          <w:i/>
          <w:lang w:val="en-US"/>
        </w:rPr>
        <w:t xml:space="preserve"> </w:t>
      </w:r>
      <w:r w:rsidRPr="006B211D">
        <w:rPr>
          <w:bCs/>
          <w:i/>
          <w:lang w:val="en-US"/>
        </w:rPr>
        <w:t>are history and repealed by this resolution:</w:t>
      </w:r>
    </w:p>
    <w:p w14:paraId="30B909C2" w14:textId="77777777" w:rsidR="00651313" w:rsidRPr="0012489A" w:rsidRDefault="00651313" w:rsidP="00651313">
      <w:pPr>
        <w:jc w:val="center"/>
        <w:rPr>
          <w:lang w:val="en-US"/>
        </w:rPr>
      </w:pPr>
    </w:p>
    <w:p w14:paraId="48FAA60E" w14:textId="6CC637CC" w:rsidR="00A75223" w:rsidRDefault="00A75223" w:rsidP="00E03A98">
      <w:pPr>
        <w:ind w:left="0" w:firstLine="0"/>
        <w:rPr>
          <w:lang w:val="en-US"/>
        </w:rPr>
      </w:pPr>
      <w:r w:rsidRPr="00A75223">
        <w:rPr>
          <w:lang w:val="en-US"/>
        </w:rPr>
        <w:t>SC42-15</w:t>
      </w:r>
      <w:r>
        <w:rPr>
          <w:lang w:val="en-US"/>
        </w:rPr>
        <w:t xml:space="preserve"> (budgetary issue for RRIs)  </w:t>
      </w:r>
    </w:p>
    <w:p w14:paraId="7DCD52FB" w14:textId="404C44DD" w:rsidR="00CD3067" w:rsidRDefault="00CD3067" w:rsidP="00E03A98">
      <w:pPr>
        <w:ind w:left="0" w:firstLine="0"/>
        <w:rPr>
          <w:lang w:val="en-US"/>
        </w:rPr>
      </w:pPr>
      <w:r w:rsidRPr="00CD3067">
        <w:rPr>
          <w:lang w:val="en-US"/>
        </w:rPr>
        <w:t>SC43-16</w:t>
      </w:r>
      <w:r>
        <w:rPr>
          <w:lang w:val="en-US"/>
        </w:rPr>
        <w:t xml:space="preserve"> (budgetary issue for RRIs)  </w:t>
      </w:r>
    </w:p>
    <w:p w14:paraId="3F025991" w14:textId="21FD6439" w:rsidR="00CD3067" w:rsidRDefault="00CD3067" w:rsidP="00CD3067">
      <w:pPr>
        <w:ind w:left="0" w:firstLine="0"/>
        <w:rPr>
          <w:lang w:val="en-US"/>
        </w:rPr>
      </w:pPr>
      <w:r w:rsidRPr="00CD3067">
        <w:rPr>
          <w:lang w:val="en-US"/>
        </w:rPr>
        <w:t>SC43-1</w:t>
      </w:r>
      <w:r>
        <w:rPr>
          <w:lang w:val="en-US"/>
        </w:rPr>
        <w:t xml:space="preserve">7 (budgetary issue for RRIs)  </w:t>
      </w:r>
    </w:p>
    <w:p w14:paraId="10FAA8F7" w14:textId="4B463AED" w:rsidR="00CD3067" w:rsidRDefault="00CD3067" w:rsidP="00CD3067">
      <w:pPr>
        <w:ind w:left="0" w:firstLine="0"/>
        <w:rPr>
          <w:lang w:val="en-US"/>
        </w:rPr>
      </w:pPr>
      <w:r w:rsidRPr="00CD3067">
        <w:rPr>
          <w:lang w:val="en-US"/>
        </w:rPr>
        <w:t>SC43-21</w:t>
      </w:r>
      <w:r>
        <w:rPr>
          <w:lang w:val="en-US"/>
        </w:rPr>
        <w:t xml:space="preserve"> (budgetary issue, potential cost savings about RRIs)  </w:t>
      </w:r>
    </w:p>
    <w:p w14:paraId="6C3FBE1E" w14:textId="39A4EBD3" w:rsidR="003841D5" w:rsidRDefault="003841D5" w:rsidP="00E03A98">
      <w:pPr>
        <w:ind w:left="0" w:firstLine="0"/>
        <w:rPr>
          <w:lang w:val="en-US"/>
        </w:rPr>
      </w:pPr>
      <w:r w:rsidRPr="003841D5">
        <w:rPr>
          <w:lang w:val="en-US"/>
        </w:rPr>
        <w:t>SC46-13 (i, endorsing list of RRIs)</w:t>
      </w:r>
    </w:p>
    <w:p w14:paraId="57484C6A" w14:textId="34598D90" w:rsidR="003841D5" w:rsidRDefault="003841D5" w:rsidP="003841D5">
      <w:pPr>
        <w:ind w:left="0" w:firstLine="0"/>
        <w:rPr>
          <w:lang w:val="en-US"/>
        </w:rPr>
      </w:pPr>
      <w:r w:rsidRPr="003841D5">
        <w:rPr>
          <w:lang w:val="en-US"/>
        </w:rPr>
        <w:t>SC46-</w:t>
      </w:r>
      <w:r>
        <w:rPr>
          <w:lang w:val="en-US"/>
        </w:rPr>
        <w:t>2</w:t>
      </w:r>
      <w:r w:rsidRPr="003841D5">
        <w:rPr>
          <w:lang w:val="en-US"/>
        </w:rPr>
        <w:t>3</w:t>
      </w:r>
      <w:r>
        <w:rPr>
          <w:lang w:val="en-US"/>
        </w:rPr>
        <w:t xml:space="preserve"> (v, budgetary issues for RRI)</w:t>
      </w:r>
    </w:p>
    <w:p w14:paraId="1D365D95" w14:textId="0BA861F1" w:rsidR="00E03A98" w:rsidRPr="0012489A" w:rsidRDefault="00E03A98" w:rsidP="00E03A98">
      <w:pPr>
        <w:ind w:left="0" w:firstLine="0"/>
        <w:rPr>
          <w:lang w:val="en-US"/>
        </w:rPr>
      </w:pPr>
      <w:r w:rsidRPr="00E03A98">
        <w:rPr>
          <w:lang w:val="en-US"/>
        </w:rPr>
        <w:t>SC47‐26</w:t>
      </w:r>
      <w:r>
        <w:rPr>
          <w:lang w:val="en-US"/>
        </w:rPr>
        <w:t xml:space="preserve"> (acceptance of annual reports and list of RRIs)</w:t>
      </w:r>
    </w:p>
    <w:p w14:paraId="45B823AE" w14:textId="386036EA" w:rsidR="00651313" w:rsidRDefault="00651313" w:rsidP="00651313">
      <w:pPr>
        <w:rPr>
          <w:lang w:val="en-US"/>
        </w:rPr>
      </w:pPr>
      <w:r>
        <w:rPr>
          <w:lang w:val="en-US"/>
        </w:rPr>
        <w:t>SC58-16 (budgetary issue</w:t>
      </w:r>
      <w:r w:rsidR="00CD3067">
        <w:rPr>
          <w:lang w:val="en-US"/>
        </w:rPr>
        <w:t xml:space="preserve"> for RRIs</w:t>
      </w:r>
      <w:r>
        <w:rPr>
          <w:lang w:val="en-US"/>
        </w:rPr>
        <w:t xml:space="preserve">)  </w:t>
      </w:r>
    </w:p>
    <w:p w14:paraId="4D360D0B" w14:textId="77777777" w:rsidR="00651313" w:rsidRPr="00651313" w:rsidRDefault="00651313" w:rsidP="00651313">
      <w:pPr>
        <w:rPr>
          <w:i/>
          <w:iCs/>
          <w:lang w:val="en-US"/>
        </w:rPr>
      </w:pPr>
      <w:r w:rsidRPr="00651313">
        <w:rPr>
          <w:i/>
          <w:iCs/>
          <w:lang w:val="en-US"/>
        </w:rPr>
        <w:t>SC59/2002-XX</w:t>
      </w:r>
      <w:r>
        <w:rPr>
          <w:i/>
          <w:iCs/>
          <w:lang w:val="en-US"/>
        </w:rPr>
        <w:t xml:space="preserve"> (not addressed by the draft resolution, but might be added at the COP14)</w:t>
      </w:r>
    </w:p>
    <w:p w14:paraId="2D9F480C" w14:textId="77777777" w:rsidR="00651313" w:rsidRDefault="00651313" w:rsidP="00651313">
      <w:pPr>
        <w:rPr>
          <w:lang w:val="en-US"/>
        </w:rPr>
      </w:pPr>
    </w:p>
    <w:p w14:paraId="529BC129" w14:textId="350BD3DA" w:rsidR="00651313" w:rsidRDefault="00651313" w:rsidP="00651313">
      <w:pPr>
        <w:rPr>
          <w:lang w:val="en-US"/>
        </w:rPr>
      </w:pPr>
    </w:p>
    <w:p w14:paraId="068E132D" w14:textId="72D7F5B0" w:rsidR="00651313" w:rsidRPr="006B211D" w:rsidRDefault="00651313" w:rsidP="00651313">
      <w:pPr>
        <w:ind w:left="0" w:firstLine="0"/>
        <w:rPr>
          <w:bCs/>
          <w:i/>
          <w:lang w:val="en-US"/>
        </w:rPr>
      </w:pPr>
      <w:r w:rsidRPr="006B211D">
        <w:rPr>
          <w:bCs/>
          <w:i/>
          <w:lang w:val="en-US"/>
        </w:rPr>
        <w:t xml:space="preserve">SC-decisions </w:t>
      </w:r>
      <w:r w:rsidR="009577A1">
        <w:rPr>
          <w:bCs/>
          <w:i/>
          <w:lang w:val="en-US"/>
        </w:rPr>
        <w:t>where implementation is uncertain,</w:t>
      </w:r>
      <w:r w:rsidRPr="006B211D">
        <w:rPr>
          <w:bCs/>
          <w:i/>
          <w:lang w:val="en-US"/>
        </w:rPr>
        <w:t xml:space="preserve"> </w:t>
      </w:r>
      <w:r w:rsidR="00A63BC4" w:rsidRPr="006B211D">
        <w:rPr>
          <w:bCs/>
          <w:i/>
          <w:lang w:val="en-US"/>
        </w:rPr>
        <w:t xml:space="preserve">but </w:t>
      </w:r>
      <w:r w:rsidR="006B211D" w:rsidRPr="006B211D">
        <w:rPr>
          <w:bCs/>
          <w:i/>
          <w:lang w:val="en-US"/>
        </w:rPr>
        <w:t xml:space="preserve">can be </w:t>
      </w:r>
      <w:r w:rsidR="00A63BC4" w:rsidRPr="006B211D">
        <w:rPr>
          <w:bCs/>
          <w:i/>
          <w:lang w:val="en-US"/>
        </w:rPr>
        <w:t>retired</w:t>
      </w:r>
      <w:r w:rsidRPr="006B211D">
        <w:rPr>
          <w:bCs/>
          <w:i/>
          <w:lang w:val="en-US"/>
        </w:rPr>
        <w:t>:</w:t>
      </w:r>
    </w:p>
    <w:p w14:paraId="21CB1269" w14:textId="5567ACEB" w:rsidR="00651313" w:rsidRDefault="00651313" w:rsidP="00651313">
      <w:pPr>
        <w:rPr>
          <w:lang w:val="en-US"/>
        </w:rPr>
      </w:pPr>
    </w:p>
    <w:p w14:paraId="26ADA62C" w14:textId="3C813D63" w:rsidR="009577A1" w:rsidRDefault="009577A1" w:rsidP="003841D5">
      <w:pPr>
        <w:ind w:left="0" w:firstLine="0"/>
        <w:rPr>
          <w:lang w:val="en-US"/>
        </w:rPr>
      </w:pPr>
      <w:r>
        <w:rPr>
          <w:lang w:val="en-US"/>
        </w:rPr>
        <w:t>S</w:t>
      </w:r>
      <w:r w:rsidRPr="009577A1">
        <w:rPr>
          <w:lang w:val="en-US"/>
        </w:rPr>
        <w:t>C43-11</w:t>
      </w:r>
      <w:r>
        <w:rPr>
          <w:lang w:val="en-US"/>
        </w:rPr>
        <w:t xml:space="preserve"> (assessment of </w:t>
      </w:r>
      <w:r w:rsidR="00CD3067">
        <w:rPr>
          <w:lang w:val="en-US"/>
        </w:rPr>
        <w:t>regional centres in Africa and Asia)</w:t>
      </w:r>
    </w:p>
    <w:p w14:paraId="0E58956B" w14:textId="7F66D2B0" w:rsidR="003841D5" w:rsidRDefault="003841D5" w:rsidP="003841D5">
      <w:pPr>
        <w:ind w:left="0" w:firstLine="0"/>
        <w:rPr>
          <w:lang w:val="en-US"/>
        </w:rPr>
      </w:pPr>
      <w:r w:rsidRPr="003841D5">
        <w:rPr>
          <w:lang w:val="en-US"/>
        </w:rPr>
        <w:t>SC46-13 (</w:t>
      </w:r>
      <w:r>
        <w:rPr>
          <w:lang w:val="en-US"/>
        </w:rPr>
        <w:t>i</w:t>
      </w:r>
      <w:r w:rsidRPr="003841D5">
        <w:rPr>
          <w:lang w:val="en-US"/>
        </w:rPr>
        <w:t xml:space="preserve">i, </w:t>
      </w:r>
      <w:r>
        <w:rPr>
          <w:lang w:val="en-US"/>
        </w:rPr>
        <w:t>asking RRIs to report on steps taken necessary to address shortcomings)</w:t>
      </w:r>
    </w:p>
    <w:p w14:paraId="49BC94AC" w14:textId="19E61B97" w:rsidR="00E03A98" w:rsidRPr="0012489A" w:rsidRDefault="00E03A98" w:rsidP="00E03A98">
      <w:pPr>
        <w:ind w:left="0" w:firstLine="0"/>
        <w:rPr>
          <w:lang w:val="en-US"/>
        </w:rPr>
      </w:pPr>
      <w:r w:rsidRPr="00E03A98">
        <w:rPr>
          <w:lang w:val="en-US"/>
        </w:rPr>
        <w:t>SC47‐26</w:t>
      </w:r>
      <w:r>
        <w:rPr>
          <w:lang w:val="en-US"/>
        </w:rPr>
        <w:t xml:space="preserve"> (a, linking RRI virtually, b, Secretariat to strengthen RRIs regional co-operation)</w:t>
      </w:r>
    </w:p>
    <w:p w14:paraId="5F888C95" w14:textId="59C62F56" w:rsidR="00651313" w:rsidRDefault="00651313" w:rsidP="00651313">
      <w:pPr>
        <w:rPr>
          <w:lang w:val="en-US"/>
        </w:rPr>
      </w:pPr>
      <w:r>
        <w:rPr>
          <w:lang w:val="en-US"/>
        </w:rPr>
        <w:t>SC59-28 (budgetary issue and study for better understanding RRI)</w:t>
      </w:r>
    </w:p>
    <w:p w14:paraId="3A4596D4" w14:textId="50A625E8" w:rsidR="004725FC" w:rsidRDefault="004725FC" w:rsidP="006A00E5">
      <w:pPr>
        <w:rPr>
          <w:lang w:val="en-US"/>
        </w:rPr>
      </w:pPr>
    </w:p>
    <w:p w14:paraId="74AF8D8C" w14:textId="510D17E8" w:rsidR="004725FC" w:rsidRDefault="004725FC" w:rsidP="004725FC">
      <w:pPr>
        <w:sectPr w:rsidR="004725FC" w:rsidSect="00245572">
          <w:footerReference w:type="default" r:id="rId13"/>
          <w:pgSz w:w="11906" w:h="16838"/>
          <w:pgMar w:top="1440" w:right="1440" w:bottom="1440" w:left="1440" w:header="708" w:footer="708" w:gutter="0"/>
          <w:cols w:space="708"/>
          <w:titlePg/>
          <w:docGrid w:linePitch="360"/>
        </w:sectPr>
      </w:pPr>
      <w:bookmarkStart w:id="5" w:name="_Hlk74044597"/>
    </w:p>
    <w:p w14:paraId="0391A31F" w14:textId="736CB4DF" w:rsidR="00146A8B" w:rsidRPr="00146A8B" w:rsidRDefault="00146A8B" w:rsidP="00146A8B">
      <w:pPr>
        <w:rPr>
          <w:b/>
          <w:i/>
        </w:rPr>
      </w:pPr>
      <w:r w:rsidRPr="00146A8B">
        <w:rPr>
          <w:b/>
          <w:i/>
          <w:lang w:val="en-US"/>
        </w:rPr>
        <w:lastRenderedPageBreak/>
        <w:t>Annex I</w:t>
      </w:r>
      <w:r>
        <w:rPr>
          <w:b/>
          <w:i/>
          <w:lang w:val="en-US"/>
        </w:rPr>
        <w:t>I</w:t>
      </w:r>
      <w:r w:rsidRPr="00146A8B">
        <w:rPr>
          <w:b/>
          <w:i/>
          <w:lang w:val="en-US"/>
        </w:rPr>
        <w:t xml:space="preserve"> to the </w:t>
      </w:r>
      <w:r w:rsidRPr="00146A8B">
        <w:rPr>
          <w:b/>
          <w:i/>
        </w:rPr>
        <w:t>Draft Resolution</w:t>
      </w:r>
    </w:p>
    <w:p w14:paraId="32D661F8" w14:textId="3021AC41" w:rsidR="007B7631" w:rsidRDefault="007B7631" w:rsidP="00146A8B">
      <w:pPr>
        <w:rPr>
          <w:b/>
          <w:lang w:val="en-US"/>
        </w:rPr>
      </w:pPr>
      <w:r w:rsidRPr="008F4F64">
        <w:rPr>
          <w:b/>
          <w:lang w:val="en-US"/>
        </w:rPr>
        <w:t>Resolutions that include paragraphs concerning RRIs</w:t>
      </w:r>
      <w:r w:rsidR="00A85DAB">
        <w:rPr>
          <w:b/>
          <w:lang w:val="en-US"/>
        </w:rPr>
        <w:t>,</w:t>
      </w:r>
      <w:r w:rsidRPr="008F4F64">
        <w:rPr>
          <w:b/>
          <w:lang w:val="en-US"/>
        </w:rPr>
        <w:t xml:space="preserve"> that are still in force</w:t>
      </w:r>
      <w:r>
        <w:rPr>
          <w:b/>
          <w:lang w:val="en-US"/>
        </w:rPr>
        <w:t xml:space="preserve"> </w:t>
      </w:r>
      <w:r w:rsidR="00A85DAB">
        <w:rPr>
          <w:b/>
          <w:lang w:val="en-US"/>
        </w:rPr>
        <w:t>at the time for COP14, and where text can be re-phrased when consolidated</w:t>
      </w:r>
    </w:p>
    <w:p w14:paraId="16DA0212" w14:textId="448E38D1" w:rsidR="00E55F63" w:rsidRDefault="00E55F63" w:rsidP="00146A8B">
      <w:pPr>
        <w:rPr>
          <w:b/>
          <w:lang w:val="en-US"/>
        </w:rPr>
      </w:pPr>
    </w:p>
    <w:tbl>
      <w:tblPr>
        <w:tblStyle w:val="TableGrid"/>
        <w:tblW w:w="0" w:type="auto"/>
        <w:tblInd w:w="-5" w:type="dxa"/>
        <w:tblLook w:val="04A0" w:firstRow="1" w:lastRow="0" w:firstColumn="1" w:lastColumn="0" w:noHBand="0" w:noVBand="1"/>
      </w:tblPr>
      <w:tblGrid>
        <w:gridCol w:w="1985"/>
        <w:gridCol w:w="9355"/>
        <w:gridCol w:w="2835"/>
      </w:tblGrid>
      <w:tr w:rsidR="00E55F63" w14:paraId="71317F73" w14:textId="77777777" w:rsidTr="00456299">
        <w:tc>
          <w:tcPr>
            <w:tcW w:w="1985" w:type="dxa"/>
          </w:tcPr>
          <w:p w14:paraId="205ED5F0" w14:textId="3E4CB824" w:rsidR="00E55F63" w:rsidRDefault="00E55F63" w:rsidP="00146A8B">
            <w:pPr>
              <w:ind w:left="0" w:firstLine="0"/>
              <w:rPr>
                <w:b/>
                <w:lang w:val="en-US"/>
              </w:rPr>
            </w:pPr>
            <w:r>
              <w:rPr>
                <w:b/>
                <w:lang w:val="en-US"/>
              </w:rPr>
              <w:t>Resolution</w:t>
            </w:r>
          </w:p>
        </w:tc>
        <w:tc>
          <w:tcPr>
            <w:tcW w:w="9355" w:type="dxa"/>
          </w:tcPr>
          <w:p w14:paraId="7142194C" w14:textId="5E9DCB4C" w:rsidR="00E55F63" w:rsidRDefault="00E55F63" w:rsidP="00146A8B">
            <w:pPr>
              <w:ind w:left="0" w:firstLine="0"/>
              <w:rPr>
                <w:b/>
                <w:lang w:val="en-US"/>
              </w:rPr>
            </w:pPr>
            <w:r>
              <w:rPr>
                <w:b/>
                <w:lang w:val="en-US"/>
              </w:rPr>
              <w:t>Content on RRI</w:t>
            </w:r>
          </w:p>
        </w:tc>
        <w:tc>
          <w:tcPr>
            <w:tcW w:w="2835" w:type="dxa"/>
          </w:tcPr>
          <w:p w14:paraId="0FD172E5" w14:textId="3BF421CE" w:rsidR="00E55F63" w:rsidRDefault="00E55F63" w:rsidP="00146A8B">
            <w:pPr>
              <w:ind w:left="0" w:firstLine="0"/>
              <w:rPr>
                <w:b/>
                <w:lang w:val="en-US"/>
              </w:rPr>
            </w:pPr>
            <w:r>
              <w:rPr>
                <w:b/>
                <w:lang w:val="en-US"/>
              </w:rPr>
              <w:t>Will be addressed in the following way</w:t>
            </w:r>
          </w:p>
        </w:tc>
      </w:tr>
      <w:tr w:rsidR="00E55F63" w14:paraId="495FBBBD" w14:textId="77777777" w:rsidTr="00456299">
        <w:tc>
          <w:tcPr>
            <w:tcW w:w="1985" w:type="dxa"/>
          </w:tcPr>
          <w:p w14:paraId="46DEC97B" w14:textId="1CD189A7" w:rsidR="00E55F63" w:rsidRPr="00586889" w:rsidRDefault="00E55F63" w:rsidP="00146A8B">
            <w:pPr>
              <w:ind w:left="0" w:firstLine="0"/>
              <w:rPr>
                <w:b/>
                <w:lang w:val="en-US"/>
              </w:rPr>
            </w:pPr>
            <w:r w:rsidRPr="00586889">
              <w:rPr>
                <w:b/>
                <w:lang w:val="en-US"/>
              </w:rPr>
              <w:t>XIII.2</w:t>
            </w:r>
          </w:p>
          <w:p w14:paraId="12F34AD4" w14:textId="29A555F1" w:rsidR="00E55F63" w:rsidRDefault="00E55F63" w:rsidP="00146A8B">
            <w:pPr>
              <w:ind w:left="0" w:firstLine="0"/>
              <w:rPr>
                <w:b/>
                <w:lang w:val="en-US"/>
              </w:rPr>
            </w:pPr>
            <w:r w:rsidRPr="00E55F63">
              <w:rPr>
                <w:bCs/>
                <w:lang w:val="en-US"/>
              </w:rPr>
              <w:t>Financial and budgetary matters</w:t>
            </w:r>
          </w:p>
        </w:tc>
        <w:tc>
          <w:tcPr>
            <w:tcW w:w="9355" w:type="dxa"/>
          </w:tcPr>
          <w:p w14:paraId="0A06218E" w14:textId="77777777" w:rsidR="00E55F63" w:rsidRDefault="00E55F63" w:rsidP="00E55F63">
            <w:pPr>
              <w:pStyle w:val="NormalWeb"/>
              <w:rPr>
                <w:rFonts w:ascii="Calibri" w:hAnsi="Calibri"/>
                <w:sz w:val="22"/>
                <w:szCs w:val="22"/>
                <w:lang w:val="en-US"/>
              </w:rPr>
            </w:pPr>
            <w:r>
              <w:rPr>
                <w:rFonts w:ascii="Calibri" w:hAnsi="Calibri"/>
                <w:sz w:val="22"/>
                <w:szCs w:val="22"/>
                <w:lang w:val="en-US"/>
              </w:rPr>
              <w:t xml:space="preserve">4 </w:t>
            </w:r>
            <w:r w:rsidRPr="002B1743">
              <w:rPr>
                <w:rFonts w:ascii="Calibri" w:hAnsi="Calibri"/>
                <w:sz w:val="22"/>
                <w:szCs w:val="22"/>
                <w:lang w:val="en-US"/>
              </w:rPr>
              <w:t xml:space="preserve">NOTING WITH GRATITUDE the additional voluntary financial contributions made by many Contracting Parties, including those from Contracting Parties of Africa specifically earmarked for African Regional Initiatives (in accordance with paragraph 23 of Resolution X.2 on </w:t>
            </w:r>
            <w:r w:rsidRPr="002B1743">
              <w:rPr>
                <w:rFonts w:ascii="Calibri" w:hAnsi="Calibri"/>
                <w:i/>
                <w:iCs/>
                <w:sz w:val="22"/>
                <w:szCs w:val="22"/>
                <w:lang w:val="en-US"/>
              </w:rPr>
              <w:t>Financial and budgetary matters</w:t>
            </w:r>
            <w:r w:rsidRPr="002B1743">
              <w:rPr>
                <w:rFonts w:ascii="Calibri" w:hAnsi="Calibri"/>
                <w:sz w:val="22"/>
                <w:szCs w:val="22"/>
                <w:lang w:val="en-US"/>
              </w:rPr>
              <w:t xml:space="preserve">), and also the contributions made by non-governmental organizations and private companies for activities undertaken by the Secretariat; </w:t>
            </w:r>
          </w:p>
          <w:p w14:paraId="2841FB23" w14:textId="77777777" w:rsidR="00E55F63" w:rsidRDefault="00E55F63" w:rsidP="00E55F63">
            <w:pPr>
              <w:pStyle w:val="NormalWeb"/>
              <w:rPr>
                <w:rFonts w:ascii="Calibri" w:hAnsi="Calibri"/>
                <w:sz w:val="22"/>
                <w:szCs w:val="22"/>
                <w:lang w:val="en-US"/>
              </w:rPr>
            </w:pPr>
            <w:r>
              <w:rPr>
                <w:rFonts w:ascii="Calibri" w:hAnsi="Calibri"/>
                <w:sz w:val="22"/>
                <w:szCs w:val="22"/>
                <w:lang w:val="en-US"/>
              </w:rPr>
              <w:t xml:space="preserve">24 </w:t>
            </w:r>
            <w:r w:rsidRPr="002A2A09">
              <w:rPr>
                <w:rFonts w:ascii="Calibri" w:hAnsi="Calibri"/>
                <w:sz w:val="22"/>
                <w:szCs w:val="22"/>
                <w:lang w:val="en-US"/>
              </w:rPr>
              <w:t xml:space="preserve">REQUESTS the Secretariat to provide to the Ramsar Regional Initiatives (RRIs) in Africa, on an annual basis, the available balance of the African voluntary contribution fund; and INVITES those RRIs to submit requests to the Secretariat as part of the reports to access available funds in accordance with the provisions of Resolution XIII.9 on </w:t>
            </w:r>
            <w:r w:rsidRPr="002A2A09">
              <w:rPr>
                <w:rFonts w:ascii="Calibri" w:hAnsi="Calibri"/>
                <w:i/>
                <w:iCs/>
                <w:sz w:val="22"/>
                <w:szCs w:val="22"/>
                <w:lang w:val="en-US"/>
              </w:rPr>
              <w:t>Ramsar Regional Initiatives 2019-2021</w:t>
            </w:r>
            <w:r w:rsidRPr="002A2A09">
              <w:rPr>
                <w:rFonts w:ascii="Calibri" w:hAnsi="Calibri"/>
                <w:sz w:val="22"/>
                <w:szCs w:val="22"/>
                <w:lang w:val="en-US"/>
              </w:rPr>
              <w:t xml:space="preserve">; </w:t>
            </w:r>
          </w:p>
          <w:p w14:paraId="1A8A57CC" w14:textId="064C2A30" w:rsidR="00E55F63" w:rsidRDefault="00E55F63" w:rsidP="00E55F63">
            <w:pPr>
              <w:ind w:left="0" w:firstLine="0"/>
              <w:rPr>
                <w:b/>
                <w:lang w:val="en-US"/>
              </w:rPr>
            </w:pPr>
            <w:r>
              <w:rPr>
                <w:color w:val="232323"/>
                <w:lang w:val="en-US"/>
              </w:rPr>
              <w:t xml:space="preserve">26 </w:t>
            </w:r>
            <w:r w:rsidRPr="002A2A09">
              <w:rPr>
                <w:color w:val="232323"/>
                <w:lang w:val="en-US"/>
              </w:rPr>
              <w:t>REQUESTS the Secretariat within its existing legal framework and mandate, to assist, as appropriate, Contracting Parties in the administration of non-core funded projects, including, but not limited to successful fund-raising for Regional Initiatives; and FURTHER INSTRUCTS Secretariat staff, identified in Annex 4, supported with core funds, not to be involved in the day- to-day administration of non-core funded projects as this role would be the responsibility of any Secretariat staff supported with non-core funds for that specific purpose.</w:t>
            </w:r>
          </w:p>
        </w:tc>
        <w:tc>
          <w:tcPr>
            <w:tcW w:w="2835" w:type="dxa"/>
          </w:tcPr>
          <w:p w14:paraId="4856EA1A" w14:textId="380A2340" w:rsidR="00E55F63" w:rsidRPr="00E55F63" w:rsidRDefault="00E55F63" w:rsidP="00146A8B">
            <w:pPr>
              <w:ind w:left="0" w:firstLine="0"/>
              <w:rPr>
                <w:bCs/>
                <w:lang w:val="en-US"/>
              </w:rPr>
            </w:pPr>
            <w:r w:rsidRPr="00E55F63">
              <w:rPr>
                <w:bCs/>
                <w:lang w:val="en-US"/>
              </w:rPr>
              <w:t xml:space="preserve">The resolution will be replaced at COP14, the new resolution may include content like the one in para 4 and 24, but content in para 26 need to be re-phrased to be in line with </w:t>
            </w:r>
            <w:r w:rsidR="00275302">
              <w:rPr>
                <w:bCs/>
                <w:lang w:val="en-US"/>
              </w:rPr>
              <w:t>resolution XIV.XX</w:t>
            </w:r>
            <w:r w:rsidRPr="00E55F63">
              <w:rPr>
                <w:bCs/>
                <w:lang w:val="en-US"/>
              </w:rPr>
              <w:t xml:space="preserve"> </w:t>
            </w:r>
            <w:r w:rsidR="00275302" w:rsidRPr="00275302">
              <w:rPr>
                <w:bCs/>
                <w:i/>
                <w:iCs/>
                <w:lang w:val="en-US"/>
              </w:rPr>
              <w:t>Ramsar Regional Initiatives – the basics</w:t>
            </w:r>
            <w:r w:rsidR="00275302">
              <w:rPr>
                <w:bCs/>
                <w:i/>
                <w:iCs/>
                <w:lang w:val="en-US"/>
              </w:rPr>
              <w:t>.</w:t>
            </w:r>
          </w:p>
        </w:tc>
      </w:tr>
      <w:tr w:rsidR="00275302" w14:paraId="496A18DC" w14:textId="77777777" w:rsidTr="00456299">
        <w:tc>
          <w:tcPr>
            <w:tcW w:w="1985" w:type="dxa"/>
          </w:tcPr>
          <w:p w14:paraId="088A3D57" w14:textId="77777777" w:rsidR="00275302" w:rsidRPr="00586889" w:rsidRDefault="00275302" w:rsidP="00275302">
            <w:pPr>
              <w:ind w:left="0" w:firstLine="0"/>
              <w:rPr>
                <w:b/>
                <w:bCs/>
                <w:lang w:val="en-US"/>
              </w:rPr>
            </w:pPr>
            <w:r w:rsidRPr="00586889">
              <w:rPr>
                <w:b/>
                <w:bCs/>
                <w:lang w:val="en-US"/>
              </w:rPr>
              <w:t xml:space="preserve">XIII.5 </w:t>
            </w:r>
          </w:p>
          <w:p w14:paraId="78B228C2" w14:textId="51D236B9" w:rsidR="00275302" w:rsidRDefault="00275302" w:rsidP="00275302">
            <w:pPr>
              <w:ind w:left="0" w:firstLine="0"/>
              <w:rPr>
                <w:b/>
                <w:lang w:val="en-US"/>
              </w:rPr>
            </w:pPr>
            <w:r w:rsidRPr="00AB2ACC">
              <w:rPr>
                <w:lang w:val="en-US"/>
              </w:rPr>
              <w:t>Review of the fourth Strategic Plan of the Ramsar Convention</w:t>
            </w:r>
          </w:p>
        </w:tc>
        <w:tc>
          <w:tcPr>
            <w:tcW w:w="9355" w:type="dxa"/>
          </w:tcPr>
          <w:p w14:paraId="65D29847" w14:textId="1F075710" w:rsidR="00275302" w:rsidRDefault="00275302" w:rsidP="00275302">
            <w:pPr>
              <w:ind w:left="0" w:firstLine="0"/>
              <w:rPr>
                <w:b/>
                <w:lang w:val="en-US"/>
              </w:rPr>
            </w:pPr>
            <w:r>
              <w:rPr>
                <w:lang w:val="en-US"/>
              </w:rPr>
              <w:t xml:space="preserve">11 </w:t>
            </w:r>
            <w:r w:rsidRPr="00AB2ACC">
              <w:rPr>
                <w:lang w:val="en-US"/>
              </w:rPr>
              <w:t>EXPRESSING APPRECIATION for the support provided to Contracting Parties to implement the Strategic Plan by the Ramsar Regional Initiatives, intergovernmental organizations, International Organization Partners and non-governmental organizations; and</w:t>
            </w:r>
          </w:p>
        </w:tc>
        <w:tc>
          <w:tcPr>
            <w:tcW w:w="2835" w:type="dxa"/>
          </w:tcPr>
          <w:p w14:paraId="5B28DB18" w14:textId="0DAD479C" w:rsidR="00275302" w:rsidRDefault="00275302" w:rsidP="00275302">
            <w:pPr>
              <w:ind w:left="0" w:firstLine="0"/>
              <w:rPr>
                <w:b/>
                <w:lang w:val="en-US"/>
              </w:rPr>
            </w:pPr>
            <w:r w:rsidRPr="00E55F63">
              <w:rPr>
                <w:bCs/>
                <w:lang w:val="en-US"/>
              </w:rPr>
              <w:t xml:space="preserve">The resolution will be replaced at COP14, the new resolution may include </w:t>
            </w:r>
            <w:r>
              <w:rPr>
                <w:bCs/>
                <w:lang w:val="en-US"/>
              </w:rPr>
              <w:t xml:space="preserve">similar </w:t>
            </w:r>
            <w:r w:rsidR="009F25B7" w:rsidRPr="00E55F63">
              <w:rPr>
                <w:bCs/>
                <w:lang w:val="en-US"/>
              </w:rPr>
              <w:t>content,</w:t>
            </w:r>
            <w:r w:rsidRPr="00E55F63">
              <w:rPr>
                <w:bCs/>
                <w:lang w:val="en-US"/>
              </w:rPr>
              <w:t xml:space="preserve"> </w:t>
            </w:r>
            <w:r>
              <w:rPr>
                <w:bCs/>
                <w:lang w:val="en-US"/>
              </w:rPr>
              <w:t>but it has</w:t>
            </w:r>
            <w:r w:rsidRPr="00E55F63">
              <w:rPr>
                <w:bCs/>
                <w:lang w:val="en-US"/>
              </w:rPr>
              <w:t xml:space="preserve"> to be re-phrased to be in line with </w:t>
            </w:r>
            <w:r>
              <w:rPr>
                <w:bCs/>
                <w:lang w:val="en-US"/>
              </w:rPr>
              <w:t>resolution XIV.XX</w:t>
            </w:r>
            <w:r w:rsidRPr="00E55F63">
              <w:rPr>
                <w:bCs/>
                <w:lang w:val="en-US"/>
              </w:rPr>
              <w:t xml:space="preserve"> </w:t>
            </w:r>
            <w:r w:rsidRPr="00275302">
              <w:rPr>
                <w:bCs/>
                <w:i/>
                <w:iCs/>
                <w:lang w:val="en-US"/>
              </w:rPr>
              <w:t>Ramsar Regional Initiatives – the basics</w:t>
            </w:r>
            <w:r>
              <w:rPr>
                <w:bCs/>
                <w:i/>
                <w:iCs/>
                <w:lang w:val="en-US"/>
              </w:rPr>
              <w:t xml:space="preserve"> </w:t>
            </w:r>
            <w:r w:rsidRPr="00275302">
              <w:rPr>
                <w:bCs/>
                <w:lang w:val="en-US"/>
              </w:rPr>
              <w:t>paragraph 7.</w:t>
            </w:r>
          </w:p>
        </w:tc>
      </w:tr>
      <w:tr w:rsidR="00275302" w14:paraId="2545C134" w14:textId="77777777" w:rsidTr="00456299">
        <w:tc>
          <w:tcPr>
            <w:tcW w:w="1985" w:type="dxa"/>
          </w:tcPr>
          <w:p w14:paraId="74B9FA01" w14:textId="77777777" w:rsidR="00275302" w:rsidRPr="00586889" w:rsidRDefault="00275302" w:rsidP="00275302">
            <w:pPr>
              <w:ind w:left="0" w:firstLine="0"/>
              <w:rPr>
                <w:b/>
                <w:bCs/>
                <w:lang w:val="en-US"/>
              </w:rPr>
            </w:pPr>
            <w:r w:rsidRPr="00586889">
              <w:rPr>
                <w:b/>
                <w:bCs/>
                <w:lang w:val="en-US"/>
              </w:rPr>
              <w:t xml:space="preserve">XIII.7 </w:t>
            </w:r>
          </w:p>
          <w:p w14:paraId="06489468" w14:textId="15082682" w:rsidR="00275302" w:rsidRDefault="00275302" w:rsidP="00275302">
            <w:pPr>
              <w:ind w:left="0" w:firstLine="0"/>
              <w:rPr>
                <w:b/>
                <w:lang w:val="en-US"/>
              </w:rPr>
            </w:pPr>
            <w:r w:rsidRPr="00AF67A0">
              <w:rPr>
                <w:lang w:val="en-US"/>
              </w:rPr>
              <w:t xml:space="preserve">Enhancing the Convention’s </w:t>
            </w:r>
            <w:r w:rsidRPr="00AF67A0">
              <w:rPr>
                <w:lang w:val="en-US"/>
              </w:rPr>
              <w:lastRenderedPageBreak/>
              <w:t>visibility and synergies with other multilateral environmental agreements and other international institutions</w:t>
            </w:r>
            <w:r>
              <w:rPr>
                <w:lang w:val="en-US"/>
              </w:rPr>
              <w:t xml:space="preserve"> </w:t>
            </w:r>
          </w:p>
        </w:tc>
        <w:tc>
          <w:tcPr>
            <w:tcW w:w="9355" w:type="dxa"/>
          </w:tcPr>
          <w:p w14:paraId="2971FD26" w14:textId="61700836" w:rsidR="00275302" w:rsidRDefault="00275302" w:rsidP="00275302">
            <w:pPr>
              <w:ind w:left="0" w:firstLine="0"/>
              <w:rPr>
                <w:b/>
                <w:lang w:val="en-US"/>
              </w:rPr>
            </w:pPr>
            <w:r>
              <w:rPr>
                <w:lang w:val="en-US"/>
              </w:rPr>
              <w:lastRenderedPageBreak/>
              <w:t xml:space="preserve">1 </w:t>
            </w:r>
            <w:r w:rsidRPr="00AF67A0">
              <w:rPr>
                <w:lang w:val="en-US"/>
              </w:rPr>
              <w:t xml:space="preserve">RECALLING that Resolution XI.1, on </w:t>
            </w:r>
            <w:r w:rsidRPr="00AF67A0">
              <w:rPr>
                <w:i/>
                <w:iCs/>
                <w:lang w:val="en-US"/>
              </w:rPr>
              <w:t>Institutional hosting of the Ramsar Secretariat</w:t>
            </w:r>
            <w:r w:rsidRPr="00AF67A0">
              <w:rPr>
                <w:lang w:val="en-US"/>
              </w:rPr>
              <w:t xml:space="preserve">, in paragraphs 17 and 18, instructs the Standing Committee and Contracting Parties to develop strategies that explore the accommodation of UN languages into the Convention, the elevation of the Convention’s visibility </w:t>
            </w:r>
            <w:r w:rsidRPr="00AF67A0">
              <w:rPr>
                <w:lang w:val="en-US"/>
              </w:rPr>
              <w:lastRenderedPageBreak/>
              <w:t xml:space="preserve">and stature, including </w:t>
            </w:r>
            <w:r w:rsidRPr="00AF67A0">
              <w:rPr>
                <w:i/>
                <w:iCs/>
                <w:lang w:val="en-US"/>
              </w:rPr>
              <w:t xml:space="preserve">inter alia </w:t>
            </w:r>
            <w:r w:rsidRPr="00AF67A0">
              <w:rPr>
                <w:lang w:val="en-US"/>
              </w:rPr>
              <w:t xml:space="preserve">through enhancing high-level political engagement in its work at national, regional, and global levels, the enhancement of synergies with multilateral environmental agreements (MEAs) and other international entities </w:t>
            </w:r>
            <w:r w:rsidRPr="00BF55AD">
              <w:rPr>
                <w:b/>
                <w:bCs/>
                <w:lang w:val="en-US"/>
              </w:rPr>
              <w:t>including through regional initiatives</w:t>
            </w:r>
            <w:r w:rsidRPr="00AF67A0">
              <w:rPr>
                <w:lang w:val="en-US"/>
              </w:rPr>
              <w:t xml:space="preserve">, and the increased involvement in the initiatives of the United Nations Environment Programme (UNEP); </w:t>
            </w:r>
          </w:p>
        </w:tc>
        <w:tc>
          <w:tcPr>
            <w:tcW w:w="2835" w:type="dxa"/>
          </w:tcPr>
          <w:p w14:paraId="15096A75" w14:textId="0E164742" w:rsidR="00275302" w:rsidRPr="00275302" w:rsidRDefault="00BF55AD" w:rsidP="00275302">
            <w:pPr>
              <w:ind w:left="0" w:firstLine="0"/>
              <w:rPr>
                <w:bCs/>
                <w:lang w:val="en-US"/>
              </w:rPr>
            </w:pPr>
            <w:r>
              <w:rPr>
                <w:bCs/>
                <w:lang w:val="en-US"/>
              </w:rPr>
              <w:lastRenderedPageBreak/>
              <w:t>The text marked with bold in the para c</w:t>
            </w:r>
            <w:r w:rsidRPr="00BF55AD">
              <w:rPr>
                <w:bCs/>
                <w:lang w:val="en-US"/>
              </w:rPr>
              <w:t xml:space="preserve">an be deleted </w:t>
            </w:r>
            <w:r w:rsidR="009F25B7">
              <w:rPr>
                <w:bCs/>
                <w:lang w:val="en-US"/>
              </w:rPr>
              <w:lastRenderedPageBreak/>
              <w:t>when the resolution in the consolidation process</w:t>
            </w:r>
            <w:r>
              <w:rPr>
                <w:bCs/>
                <w:lang w:val="en-US"/>
              </w:rPr>
              <w:t>.</w:t>
            </w:r>
          </w:p>
        </w:tc>
      </w:tr>
      <w:tr w:rsidR="00275302" w14:paraId="7F98A01E" w14:textId="77777777" w:rsidTr="00456299">
        <w:tc>
          <w:tcPr>
            <w:tcW w:w="1985" w:type="dxa"/>
          </w:tcPr>
          <w:p w14:paraId="57D1F649" w14:textId="77777777" w:rsidR="00275302" w:rsidRPr="00586889" w:rsidRDefault="00275302" w:rsidP="00275302">
            <w:pPr>
              <w:ind w:left="0" w:firstLine="0"/>
              <w:rPr>
                <w:b/>
                <w:bCs/>
                <w:lang w:val="en-US"/>
              </w:rPr>
            </w:pPr>
            <w:r w:rsidRPr="00586889">
              <w:rPr>
                <w:b/>
                <w:bCs/>
                <w:lang w:val="en-US"/>
              </w:rPr>
              <w:lastRenderedPageBreak/>
              <w:t xml:space="preserve">XIII.15 </w:t>
            </w:r>
          </w:p>
          <w:p w14:paraId="0011B24C" w14:textId="1DB8DBB8" w:rsidR="00275302" w:rsidRDefault="00275302" w:rsidP="00275302">
            <w:pPr>
              <w:ind w:left="0" w:firstLine="0"/>
              <w:rPr>
                <w:b/>
                <w:lang w:val="en-US"/>
              </w:rPr>
            </w:pPr>
            <w:r w:rsidRPr="00A022AA">
              <w:rPr>
                <w:lang w:val="en-US"/>
              </w:rPr>
              <w:t>Cultural values and practices of indigenous peoples and local communities and their contribution to climate-change mitigation and adaptation in wetlands</w:t>
            </w:r>
          </w:p>
        </w:tc>
        <w:tc>
          <w:tcPr>
            <w:tcW w:w="9355" w:type="dxa"/>
          </w:tcPr>
          <w:p w14:paraId="40FE79E5" w14:textId="77777777" w:rsidR="00275302" w:rsidRDefault="00275302" w:rsidP="00275302">
            <w:pPr>
              <w:pStyle w:val="NormalWeb"/>
              <w:rPr>
                <w:rFonts w:ascii="Calibri" w:hAnsi="Calibri"/>
                <w:sz w:val="22"/>
                <w:szCs w:val="22"/>
                <w:lang w:val="en-US"/>
              </w:rPr>
            </w:pPr>
            <w:r>
              <w:rPr>
                <w:rFonts w:ascii="Calibri" w:hAnsi="Calibri"/>
                <w:sz w:val="22"/>
                <w:szCs w:val="22"/>
                <w:lang w:val="en-US"/>
              </w:rPr>
              <w:t xml:space="preserve">16 </w:t>
            </w:r>
            <w:r w:rsidRPr="00A022AA">
              <w:rPr>
                <w:rFonts w:ascii="Calibri" w:hAnsi="Calibri"/>
                <w:sz w:val="22"/>
                <w:szCs w:val="22"/>
                <w:lang w:val="en-US"/>
              </w:rPr>
              <w:t xml:space="preserve">ENCOURAGES Contracting Parties, the Ramsar Convention Secretariat </w:t>
            </w:r>
            <w:r w:rsidRPr="00BF55AD">
              <w:rPr>
                <w:rFonts w:ascii="Calibri" w:hAnsi="Calibri"/>
                <w:b/>
                <w:bCs/>
                <w:sz w:val="22"/>
                <w:szCs w:val="22"/>
                <w:lang w:val="en-US"/>
              </w:rPr>
              <w:t>and Ramsar Regional Initiatives,</w:t>
            </w:r>
            <w:r w:rsidRPr="00A022AA">
              <w:rPr>
                <w:rFonts w:ascii="Calibri" w:hAnsi="Calibri"/>
                <w:sz w:val="22"/>
                <w:szCs w:val="22"/>
                <w:lang w:val="en-US"/>
              </w:rPr>
              <w:t xml:space="preserve"> and INVITES interested organizations and networks, to protect, support and promote the use of cultural values, traditional knowledge, innovations and practices of indigenous peoples and local communities in adapting to the increasing negative impacts of climate change, taking into consideration vulnerable groups, communities and ecosystems; </w:t>
            </w:r>
          </w:p>
          <w:p w14:paraId="41F1CF3F" w14:textId="7D9715B0" w:rsidR="00275302" w:rsidRDefault="00275302" w:rsidP="00275302">
            <w:pPr>
              <w:ind w:left="0" w:firstLine="0"/>
              <w:rPr>
                <w:b/>
                <w:lang w:val="en-US"/>
              </w:rPr>
            </w:pPr>
            <w:r>
              <w:rPr>
                <w:lang w:val="en-US"/>
              </w:rPr>
              <w:t xml:space="preserve">22 </w:t>
            </w:r>
            <w:r w:rsidRPr="00A022AA">
              <w:rPr>
                <w:lang w:val="en-US"/>
              </w:rPr>
              <w:t xml:space="preserve">REQUESTS the Secretariat, subject to the availability of resources, and INVITES Contracting Parties, </w:t>
            </w:r>
            <w:r w:rsidRPr="00BF55AD">
              <w:rPr>
                <w:b/>
                <w:bCs/>
                <w:lang w:val="en-US"/>
              </w:rPr>
              <w:t>Ramsar Regional Initiatives,</w:t>
            </w:r>
            <w:r w:rsidRPr="00A022AA">
              <w:rPr>
                <w:lang w:val="en-US"/>
              </w:rPr>
              <w:t xml:space="preserve"> interested organizations and networks, to continue to undertake enabling activities for the effective consideration of the cultural values of wetlands within wetland protection and management; </w:t>
            </w:r>
          </w:p>
        </w:tc>
        <w:tc>
          <w:tcPr>
            <w:tcW w:w="2835" w:type="dxa"/>
          </w:tcPr>
          <w:p w14:paraId="74A88238" w14:textId="46557CF2" w:rsidR="00275302" w:rsidRPr="00275302" w:rsidRDefault="00BF55AD" w:rsidP="00275302">
            <w:pPr>
              <w:ind w:left="0" w:firstLine="0"/>
              <w:rPr>
                <w:bCs/>
                <w:lang w:val="en-US"/>
              </w:rPr>
            </w:pPr>
            <w:r>
              <w:rPr>
                <w:bCs/>
                <w:lang w:val="en-US"/>
              </w:rPr>
              <w:t>The text marked with bold in the para c</w:t>
            </w:r>
            <w:r w:rsidRPr="00BF55AD">
              <w:rPr>
                <w:bCs/>
                <w:lang w:val="en-US"/>
              </w:rPr>
              <w:t xml:space="preserve">an be deleted </w:t>
            </w:r>
            <w:r w:rsidR="009F25B7">
              <w:rPr>
                <w:bCs/>
                <w:lang w:val="en-US"/>
              </w:rPr>
              <w:t>when the resolution in the consolidation process</w:t>
            </w:r>
            <w:r>
              <w:rPr>
                <w:bCs/>
                <w:lang w:val="en-US"/>
              </w:rPr>
              <w:t>.</w:t>
            </w:r>
          </w:p>
        </w:tc>
      </w:tr>
      <w:tr w:rsidR="00275302" w14:paraId="64B027A2" w14:textId="77777777" w:rsidTr="00456299">
        <w:tc>
          <w:tcPr>
            <w:tcW w:w="1985" w:type="dxa"/>
          </w:tcPr>
          <w:p w14:paraId="63553BA2" w14:textId="36343854" w:rsidR="00275302" w:rsidRPr="00586889" w:rsidRDefault="00275302" w:rsidP="00275302">
            <w:pPr>
              <w:ind w:left="0" w:firstLine="0"/>
              <w:rPr>
                <w:b/>
                <w:lang w:val="en-US"/>
              </w:rPr>
            </w:pPr>
            <w:r w:rsidRPr="00586889">
              <w:rPr>
                <w:b/>
                <w:lang w:val="en-US"/>
              </w:rPr>
              <w:t>XIII.8</w:t>
            </w:r>
          </w:p>
          <w:p w14:paraId="57DDB022" w14:textId="77777777" w:rsidR="00275302" w:rsidRPr="00275302" w:rsidRDefault="00275302" w:rsidP="00275302">
            <w:pPr>
              <w:ind w:left="0" w:firstLine="0"/>
              <w:rPr>
                <w:bCs/>
                <w:lang w:val="en-US"/>
              </w:rPr>
            </w:pPr>
            <w:r w:rsidRPr="00275302">
              <w:rPr>
                <w:bCs/>
                <w:lang w:val="en-US"/>
              </w:rPr>
              <w:t>Future implementation of scientific and technical aspects</w:t>
            </w:r>
          </w:p>
          <w:p w14:paraId="1D438FD1" w14:textId="6EBAF2F9" w:rsidR="00275302" w:rsidRDefault="00275302" w:rsidP="00275302">
            <w:pPr>
              <w:ind w:left="0" w:firstLine="0"/>
              <w:rPr>
                <w:b/>
                <w:lang w:val="en-US"/>
              </w:rPr>
            </w:pPr>
            <w:r w:rsidRPr="00275302">
              <w:rPr>
                <w:bCs/>
                <w:lang w:val="en-US"/>
              </w:rPr>
              <w:t>of the Convention for 2019-2021</w:t>
            </w:r>
          </w:p>
        </w:tc>
        <w:tc>
          <w:tcPr>
            <w:tcW w:w="9355" w:type="dxa"/>
          </w:tcPr>
          <w:p w14:paraId="7B2FF5B7" w14:textId="3C1A17E4" w:rsidR="00275302" w:rsidRPr="00275302" w:rsidRDefault="00275302" w:rsidP="00275302">
            <w:pPr>
              <w:pStyle w:val="NormalWeb"/>
              <w:rPr>
                <w:rFonts w:asciiTheme="minorHAnsi" w:hAnsiTheme="minorHAnsi"/>
                <w:sz w:val="22"/>
                <w:szCs w:val="22"/>
                <w:lang w:val="en-US"/>
              </w:rPr>
            </w:pPr>
            <w:r w:rsidRPr="000A092A">
              <w:rPr>
                <w:rFonts w:asciiTheme="minorHAnsi" w:hAnsiTheme="minorHAnsi"/>
                <w:bCs/>
                <w:sz w:val="22"/>
                <w:szCs w:val="22"/>
                <w:lang w:val="en-US"/>
              </w:rPr>
              <w:t>Annex 3</w:t>
            </w:r>
            <w:r>
              <w:rPr>
                <w:rFonts w:asciiTheme="minorHAnsi" w:hAnsiTheme="minorHAnsi"/>
                <w:bCs/>
                <w:sz w:val="22"/>
                <w:szCs w:val="22"/>
                <w:lang w:val="en-US"/>
              </w:rPr>
              <w:t xml:space="preserve">: </w:t>
            </w:r>
            <w:r w:rsidRPr="000A092A">
              <w:rPr>
                <w:rFonts w:asciiTheme="minorHAnsi" w:hAnsiTheme="minorHAnsi"/>
                <w:bCs/>
                <w:sz w:val="22"/>
                <w:szCs w:val="22"/>
                <w:lang w:val="en-US"/>
              </w:rPr>
              <w:t>Bodies and organizations invited to participate as observers in the meetings and processes of the Scientific and Technical Review Panel for the 2019-2021 triennium</w:t>
            </w:r>
          </w:p>
          <w:p w14:paraId="79F27AA5" w14:textId="77777777" w:rsidR="00275302" w:rsidRPr="000A092A" w:rsidRDefault="00275302" w:rsidP="00275302">
            <w:pPr>
              <w:pStyle w:val="NormalWeb"/>
              <w:numPr>
                <w:ilvl w:val="0"/>
                <w:numId w:val="10"/>
              </w:numPr>
              <w:rPr>
                <w:rFonts w:asciiTheme="minorHAnsi" w:hAnsiTheme="minorHAnsi"/>
                <w:bCs/>
                <w:sz w:val="22"/>
                <w:szCs w:val="22"/>
                <w:lang w:val="en-US"/>
              </w:rPr>
            </w:pPr>
            <w:r w:rsidRPr="000A092A">
              <w:rPr>
                <w:rFonts w:asciiTheme="minorHAnsi" w:hAnsiTheme="minorHAnsi"/>
                <w:sz w:val="22"/>
                <w:szCs w:val="22"/>
                <w:lang w:val="en-US"/>
              </w:rPr>
              <w:t xml:space="preserve">Scientific and Technical Network of the </w:t>
            </w:r>
            <w:r w:rsidRPr="00BF55AD">
              <w:rPr>
                <w:rFonts w:asciiTheme="minorHAnsi" w:hAnsiTheme="minorHAnsi"/>
                <w:b/>
                <w:bCs/>
                <w:sz w:val="22"/>
                <w:szCs w:val="22"/>
                <w:lang w:val="en-US"/>
              </w:rPr>
              <w:t>Mediterranean Wetlands Ramsar Regional Initiative</w:t>
            </w:r>
            <w:r w:rsidRPr="000A092A">
              <w:rPr>
                <w:rFonts w:asciiTheme="minorHAnsi" w:hAnsiTheme="minorHAnsi"/>
                <w:sz w:val="22"/>
                <w:szCs w:val="22"/>
                <w:lang w:val="en-US"/>
              </w:rPr>
              <w:t xml:space="preserve"> </w:t>
            </w:r>
            <w:r w:rsidRPr="00BF55AD">
              <w:rPr>
                <w:rFonts w:asciiTheme="minorHAnsi" w:hAnsiTheme="minorHAnsi"/>
                <w:b/>
                <w:bCs/>
                <w:sz w:val="22"/>
                <w:szCs w:val="22"/>
                <w:lang w:val="en-US"/>
              </w:rPr>
              <w:t>(</w:t>
            </w:r>
            <w:r w:rsidRPr="000A092A">
              <w:rPr>
                <w:rFonts w:asciiTheme="minorHAnsi" w:hAnsiTheme="minorHAnsi"/>
                <w:sz w:val="22"/>
                <w:szCs w:val="22"/>
                <w:lang w:val="en-US"/>
              </w:rPr>
              <w:t>MedWet</w:t>
            </w:r>
            <w:r w:rsidRPr="00BF55AD">
              <w:rPr>
                <w:rFonts w:asciiTheme="minorHAnsi" w:hAnsiTheme="minorHAnsi"/>
                <w:b/>
                <w:bCs/>
                <w:sz w:val="22"/>
                <w:szCs w:val="22"/>
                <w:lang w:val="en-US"/>
              </w:rPr>
              <w:t xml:space="preserve">) </w:t>
            </w:r>
          </w:p>
          <w:p w14:paraId="49C7DE21" w14:textId="7AEDEC82" w:rsidR="00275302" w:rsidRPr="00275302" w:rsidRDefault="00275302" w:rsidP="00275302">
            <w:pPr>
              <w:pStyle w:val="NormalWeb"/>
              <w:rPr>
                <w:rFonts w:asciiTheme="minorHAnsi" w:hAnsiTheme="minorHAnsi"/>
                <w:sz w:val="22"/>
                <w:szCs w:val="22"/>
                <w:lang w:val="en-US"/>
              </w:rPr>
            </w:pPr>
            <w:r w:rsidRPr="000A092A">
              <w:rPr>
                <w:rFonts w:asciiTheme="minorHAnsi" w:hAnsiTheme="minorHAnsi"/>
                <w:bCs/>
                <w:sz w:val="22"/>
                <w:szCs w:val="22"/>
                <w:lang w:val="en-US"/>
              </w:rPr>
              <w:t>Annex 4</w:t>
            </w:r>
            <w:r>
              <w:rPr>
                <w:rFonts w:asciiTheme="minorHAnsi" w:hAnsiTheme="minorHAnsi"/>
                <w:bCs/>
                <w:sz w:val="22"/>
                <w:szCs w:val="22"/>
                <w:lang w:val="en-US"/>
              </w:rPr>
              <w:t xml:space="preserve">: </w:t>
            </w:r>
            <w:r w:rsidRPr="000A092A">
              <w:rPr>
                <w:rFonts w:asciiTheme="minorHAnsi" w:hAnsiTheme="minorHAnsi"/>
                <w:bCs/>
                <w:sz w:val="22"/>
                <w:szCs w:val="22"/>
                <w:lang w:val="en-US"/>
              </w:rPr>
              <w:t xml:space="preserve">Guidelines for developing requests to the Intergovernmental Platform on Biodiversity and Ecosystem Services (IPBES) for its future work programmes </w:t>
            </w:r>
          </w:p>
          <w:p w14:paraId="43F11493" w14:textId="13A17786" w:rsidR="00275302" w:rsidRDefault="00275302" w:rsidP="00275302">
            <w:pPr>
              <w:ind w:left="0" w:firstLine="0"/>
              <w:rPr>
                <w:b/>
                <w:lang w:val="en-US"/>
              </w:rPr>
            </w:pPr>
            <w:r w:rsidRPr="000A092A">
              <w:rPr>
                <w:rFonts w:asciiTheme="minorHAnsi" w:hAnsiTheme="minorHAnsi"/>
                <w:lang w:val="en-US"/>
              </w:rPr>
              <w:t xml:space="preserve">2 Any Contracting Party, </w:t>
            </w:r>
            <w:r w:rsidRPr="00BF55AD">
              <w:rPr>
                <w:rFonts w:asciiTheme="minorHAnsi" w:hAnsiTheme="minorHAnsi"/>
                <w:b/>
                <w:bCs/>
                <w:lang w:val="en-US"/>
              </w:rPr>
              <w:t>Ramsar Regional Initiative,</w:t>
            </w:r>
            <w:r w:rsidRPr="000A092A">
              <w:rPr>
                <w:rFonts w:asciiTheme="minorHAnsi" w:hAnsiTheme="minorHAnsi"/>
                <w:lang w:val="en-US"/>
              </w:rPr>
              <w:t xml:space="preserve"> the STRP, and multilateral environmental agreements (MEAs) that are proposing a joint submission may develop a proposal for consideration. </w:t>
            </w:r>
          </w:p>
        </w:tc>
        <w:tc>
          <w:tcPr>
            <w:tcW w:w="2835" w:type="dxa"/>
          </w:tcPr>
          <w:p w14:paraId="12AF2877" w14:textId="1D6D2025" w:rsidR="00275302" w:rsidRPr="00275302" w:rsidRDefault="00BF55AD" w:rsidP="00275302">
            <w:pPr>
              <w:ind w:left="0" w:firstLine="0"/>
              <w:rPr>
                <w:bCs/>
                <w:lang w:val="en-US"/>
              </w:rPr>
            </w:pPr>
            <w:r>
              <w:rPr>
                <w:bCs/>
                <w:lang w:val="en-US"/>
              </w:rPr>
              <w:t>The text marked with bold in the annexes and para c</w:t>
            </w:r>
            <w:r w:rsidRPr="00BF55AD">
              <w:rPr>
                <w:bCs/>
                <w:lang w:val="en-US"/>
              </w:rPr>
              <w:t xml:space="preserve">an be deleted </w:t>
            </w:r>
            <w:r w:rsidR="009F25B7">
              <w:rPr>
                <w:bCs/>
                <w:lang w:val="en-US"/>
              </w:rPr>
              <w:t>when the resolution in the consolidation process</w:t>
            </w:r>
            <w:r>
              <w:rPr>
                <w:bCs/>
                <w:lang w:val="en-US"/>
              </w:rPr>
              <w:t xml:space="preserve"> or being replaced by new resolution on the STRP.</w:t>
            </w:r>
          </w:p>
        </w:tc>
      </w:tr>
      <w:tr w:rsidR="00275302" w14:paraId="00264988" w14:textId="77777777" w:rsidTr="00456299">
        <w:tc>
          <w:tcPr>
            <w:tcW w:w="1985" w:type="dxa"/>
          </w:tcPr>
          <w:p w14:paraId="1D13EAF5" w14:textId="77777777" w:rsidR="00586889" w:rsidRPr="00586889" w:rsidRDefault="00275302" w:rsidP="00275302">
            <w:pPr>
              <w:ind w:left="0" w:firstLine="0"/>
              <w:rPr>
                <w:b/>
                <w:lang w:val="en-US"/>
              </w:rPr>
            </w:pPr>
            <w:r w:rsidRPr="00586889">
              <w:rPr>
                <w:b/>
                <w:lang w:val="en-US"/>
              </w:rPr>
              <w:t xml:space="preserve">XIII.22 </w:t>
            </w:r>
          </w:p>
          <w:p w14:paraId="36D8FE3C" w14:textId="0C61C01E" w:rsidR="00275302" w:rsidRPr="00275302" w:rsidRDefault="00275302" w:rsidP="00275302">
            <w:pPr>
              <w:ind w:left="0" w:firstLine="0"/>
              <w:rPr>
                <w:bCs/>
                <w:lang w:val="en-US"/>
              </w:rPr>
            </w:pPr>
            <w:r w:rsidRPr="00275302">
              <w:rPr>
                <w:bCs/>
                <w:lang w:val="en-US"/>
              </w:rPr>
              <w:t>Wetlands in West Asia</w:t>
            </w:r>
          </w:p>
        </w:tc>
        <w:tc>
          <w:tcPr>
            <w:tcW w:w="9355" w:type="dxa"/>
          </w:tcPr>
          <w:p w14:paraId="347319DC" w14:textId="77777777" w:rsidR="00275302" w:rsidRDefault="00275302" w:rsidP="00275302">
            <w:pPr>
              <w:pStyle w:val="NormalWeb"/>
              <w:rPr>
                <w:rFonts w:ascii="Calibri" w:hAnsi="Calibri"/>
                <w:sz w:val="22"/>
                <w:szCs w:val="22"/>
                <w:lang w:val="en-US"/>
              </w:rPr>
            </w:pPr>
            <w:r>
              <w:rPr>
                <w:rFonts w:ascii="Calibri" w:hAnsi="Calibri"/>
                <w:sz w:val="22"/>
                <w:szCs w:val="22"/>
                <w:lang w:val="en-US"/>
              </w:rPr>
              <w:t xml:space="preserve">11 </w:t>
            </w:r>
            <w:r w:rsidRPr="00ED4FC0">
              <w:rPr>
                <w:rFonts w:ascii="Calibri" w:hAnsi="Calibri"/>
                <w:sz w:val="22"/>
                <w:szCs w:val="22"/>
                <w:lang w:val="en-US"/>
              </w:rPr>
              <w:t xml:space="preserve">ENCOURAGES Contracting Parties in the West Asia region to consider leveraging existing collaboration </w:t>
            </w:r>
            <w:r w:rsidRPr="00BF55AD">
              <w:rPr>
                <w:rFonts w:ascii="Calibri" w:hAnsi="Calibri"/>
                <w:b/>
                <w:bCs/>
                <w:sz w:val="22"/>
                <w:szCs w:val="22"/>
                <w:lang w:val="en-US"/>
              </w:rPr>
              <w:t>and regional initiatives</w:t>
            </w:r>
            <w:r w:rsidRPr="00ED4FC0">
              <w:rPr>
                <w:rFonts w:ascii="Calibri" w:hAnsi="Calibri"/>
                <w:sz w:val="22"/>
                <w:szCs w:val="22"/>
                <w:lang w:val="en-US"/>
              </w:rPr>
              <w:t xml:space="preserve"> within the context of sustainable development; </w:t>
            </w:r>
          </w:p>
          <w:p w14:paraId="3D9E01C3" w14:textId="3EB3E005" w:rsidR="00275302" w:rsidRDefault="00275302" w:rsidP="00275302">
            <w:pPr>
              <w:ind w:left="0" w:firstLine="0"/>
              <w:rPr>
                <w:b/>
                <w:lang w:val="en-US"/>
              </w:rPr>
            </w:pPr>
            <w:r>
              <w:rPr>
                <w:lang w:val="en-US"/>
              </w:rPr>
              <w:lastRenderedPageBreak/>
              <w:t xml:space="preserve">14 </w:t>
            </w:r>
            <w:r w:rsidRPr="00ED4FC0">
              <w:rPr>
                <w:lang w:val="en-US"/>
              </w:rPr>
              <w:t xml:space="preserve">REQUESTS the Ramsar Regional Centre – Central and West Asia to follow up the provisions of the present Resolution, within the framework of its mandate, and report to the Conference of the Contracting Parties. </w:t>
            </w:r>
          </w:p>
        </w:tc>
        <w:tc>
          <w:tcPr>
            <w:tcW w:w="2835" w:type="dxa"/>
          </w:tcPr>
          <w:p w14:paraId="71B677FE" w14:textId="3377B658" w:rsidR="00275302" w:rsidRPr="00275302" w:rsidRDefault="009F25B7" w:rsidP="00275302">
            <w:pPr>
              <w:ind w:left="0" w:firstLine="0"/>
              <w:rPr>
                <w:bCs/>
                <w:lang w:val="en-US"/>
              </w:rPr>
            </w:pPr>
            <w:r>
              <w:rPr>
                <w:bCs/>
                <w:lang w:val="en-US"/>
              </w:rPr>
              <w:lastRenderedPageBreak/>
              <w:t>The text marked with bold in the para c</w:t>
            </w:r>
            <w:r w:rsidRPr="00BF55AD">
              <w:rPr>
                <w:bCs/>
                <w:lang w:val="en-US"/>
              </w:rPr>
              <w:t xml:space="preserve">an be deleted </w:t>
            </w:r>
            <w:r>
              <w:rPr>
                <w:bCs/>
                <w:lang w:val="en-US"/>
              </w:rPr>
              <w:t>when the resolution in the consolidation process.</w:t>
            </w:r>
          </w:p>
        </w:tc>
      </w:tr>
      <w:tr w:rsidR="00275302" w14:paraId="20AC3C12" w14:textId="77777777" w:rsidTr="00456299">
        <w:tc>
          <w:tcPr>
            <w:tcW w:w="1985" w:type="dxa"/>
          </w:tcPr>
          <w:p w14:paraId="74D3C712" w14:textId="77777777" w:rsidR="00586889" w:rsidRPr="00586889" w:rsidRDefault="00275302" w:rsidP="00275302">
            <w:pPr>
              <w:ind w:left="0" w:firstLine="0"/>
              <w:rPr>
                <w:b/>
                <w:lang w:val="en-US"/>
              </w:rPr>
            </w:pPr>
            <w:r w:rsidRPr="00586889">
              <w:rPr>
                <w:b/>
                <w:lang w:val="en-US"/>
              </w:rPr>
              <w:t xml:space="preserve">XIII.24 </w:t>
            </w:r>
          </w:p>
          <w:p w14:paraId="232F526F" w14:textId="20298B5A" w:rsidR="00275302" w:rsidRPr="00275302" w:rsidRDefault="00275302" w:rsidP="00275302">
            <w:pPr>
              <w:ind w:left="0" w:firstLine="0"/>
              <w:rPr>
                <w:bCs/>
                <w:lang w:val="en-US"/>
              </w:rPr>
            </w:pPr>
            <w:r w:rsidRPr="00E4794D">
              <w:rPr>
                <w:bCs/>
                <w:lang w:val="en-US"/>
              </w:rPr>
              <w:t>The enhanced conservation of coastal marine turtle habitats and the designation of key areas as Ramsar Sites</w:t>
            </w:r>
          </w:p>
        </w:tc>
        <w:tc>
          <w:tcPr>
            <w:tcW w:w="9355" w:type="dxa"/>
          </w:tcPr>
          <w:p w14:paraId="697A251E" w14:textId="15A5E427" w:rsidR="00275302" w:rsidRDefault="00275302" w:rsidP="00275302">
            <w:pPr>
              <w:ind w:left="0" w:firstLine="0"/>
              <w:rPr>
                <w:b/>
                <w:lang w:val="en-US"/>
              </w:rPr>
            </w:pPr>
            <w:r>
              <w:rPr>
                <w:lang w:val="en-US"/>
              </w:rPr>
              <w:t xml:space="preserve">22 </w:t>
            </w:r>
            <w:r w:rsidRPr="00E4794D">
              <w:rPr>
                <w:lang w:val="en-US"/>
              </w:rPr>
              <w:t xml:space="preserve">ENCOURAGES Contracting Parties to review their Ramsar Site management plans to seek to ensure they include marine turtle conservation actions, as appropriate; and RECOMMENDS enhancement of synergies and better coordination with </w:t>
            </w:r>
            <w:r w:rsidRPr="009F25B7">
              <w:rPr>
                <w:b/>
                <w:bCs/>
                <w:lang w:val="en-US"/>
              </w:rPr>
              <w:t xml:space="preserve">Ramsar Regional Initiatives and </w:t>
            </w:r>
            <w:r w:rsidRPr="00E4794D">
              <w:rPr>
                <w:lang w:val="en-US"/>
              </w:rPr>
              <w:t xml:space="preserve">existing networks rather than establishment of new arrangements; </w:t>
            </w:r>
          </w:p>
        </w:tc>
        <w:tc>
          <w:tcPr>
            <w:tcW w:w="2835" w:type="dxa"/>
          </w:tcPr>
          <w:p w14:paraId="0DEEE3F7" w14:textId="624AE4CA" w:rsidR="00275302" w:rsidRPr="00275302" w:rsidRDefault="009F25B7" w:rsidP="00275302">
            <w:pPr>
              <w:ind w:left="0" w:firstLine="0"/>
              <w:rPr>
                <w:bCs/>
                <w:lang w:val="en-US"/>
              </w:rPr>
            </w:pPr>
            <w:r>
              <w:rPr>
                <w:bCs/>
                <w:lang w:val="en-US"/>
              </w:rPr>
              <w:t>The text marked with bold in the para c</w:t>
            </w:r>
            <w:r w:rsidRPr="00BF55AD">
              <w:rPr>
                <w:bCs/>
                <w:lang w:val="en-US"/>
              </w:rPr>
              <w:t xml:space="preserve">an be deleted </w:t>
            </w:r>
            <w:r>
              <w:rPr>
                <w:bCs/>
                <w:lang w:val="en-US"/>
              </w:rPr>
              <w:t>when the resolution in the consolidation process.</w:t>
            </w:r>
          </w:p>
        </w:tc>
      </w:tr>
      <w:tr w:rsidR="00275302" w14:paraId="1ECC8A64" w14:textId="77777777" w:rsidTr="00456299">
        <w:tc>
          <w:tcPr>
            <w:tcW w:w="1985" w:type="dxa"/>
          </w:tcPr>
          <w:p w14:paraId="27C72FC7" w14:textId="77777777" w:rsidR="00275302" w:rsidRPr="00586889" w:rsidRDefault="00275302" w:rsidP="00275302">
            <w:pPr>
              <w:ind w:left="0" w:firstLine="0"/>
              <w:rPr>
                <w:b/>
                <w:lang w:val="en-US"/>
              </w:rPr>
            </w:pPr>
            <w:r w:rsidRPr="00586889">
              <w:rPr>
                <w:b/>
                <w:lang w:val="en-US"/>
              </w:rPr>
              <w:t xml:space="preserve">XII.2 </w:t>
            </w:r>
          </w:p>
          <w:p w14:paraId="278A0339" w14:textId="642CDA7F" w:rsidR="00275302" w:rsidRPr="00275302" w:rsidRDefault="00275302" w:rsidP="00275302">
            <w:pPr>
              <w:ind w:left="0" w:firstLine="0"/>
              <w:rPr>
                <w:bCs/>
                <w:lang w:val="en-US"/>
              </w:rPr>
            </w:pPr>
            <w:r w:rsidRPr="00275302">
              <w:rPr>
                <w:bCs/>
                <w:lang w:val="en-US"/>
              </w:rPr>
              <w:t>The Ramsar Strategic Plan</w:t>
            </w:r>
          </w:p>
        </w:tc>
        <w:tc>
          <w:tcPr>
            <w:tcW w:w="9355" w:type="dxa"/>
          </w:tcPr>
          <w:p w14:paraId="74AA7865" w14:textId="087A8713" w:rsidR="00275302" w:rsidRPr="00275302" w:rsidRDefault="00275302" w:rsidP="00275302">
            <w:pPr>
              <w:ind w:left="0" w:firstLine="0"/>
              <w:rPr>
                <w:bCs/>
                <w:lang w:val="en-US"/>
              </w:rPr>
            </w:pPr>
            <w:r>
              <w:rPr>
                <w:lang w:val="en-US"/>
              </w:rPr>
              <w:t xml:space="preserve">Multiple references throughout  </w:t>
            </w:r>
            <w:r w:rsidRPr="000D2FEB">
              <w:rPr>
                <w:lang w:val="en-US"/>
              </w:rPr>
              <w:t xml:space="preserve"> </w:t>
            </w:r>
          </w:p>
        </w:tc>
        <w:tc>
          <w:tcPr>
            <w:tcW w:w="2835" w:type="dxa"/>
          </w:tcPr>
          <w:p w14:paraId="4AD9C0F6" w14:textId="06F08954" w:rsidR="00275302" w:rsidRPr="00275302" w:rsidRDefault="009F25B7" w:rsidP="00275302">
            <w:pPr>
              <w:ind w:left="0" w:firstLine="0"/>
              <w:rPr>
                <w:bCs/>
                <w:lang w:val="en-US"/>
              </w:rPr>
            </w:pPr>
            <w:r>
              <w:rPr>
                <w:bCs/>
                <w:lang w:val="en-US"/>
              </w:rPr>
              <w:t>When the plan is updated it would be better to refer to different kinds of regional co-operations or similar instead of mentioning the Ramsar Regional Initiatives ex</w:t>
            </w:r>
            <w:r w:rsidR="0033601A">
              <w:rPr>
                <w:bCs/>
                <w:lang w:val="en-US"/>
              </w:rPr>
              <w:t>p</w:t>
            </w:r>
            <w:r>
              <w:rPr>
                <w:bCs/>
                <w:lang w:val="en-US"/>
              </w:rPr>
              <w:t xml:space="preserve">licit, depending on context it can be OK with RRIs.  </w:t>
            </w:r>
          </w:p>
        </w:tc>
      </w:tr>
      <w:tr w:rsidR="00275302" w14:paraId="1EC060D4" w14:textId="77777777" w:rsidTr="00456299">
        <w:tc>
          <w:tcPr>
            <w:tcW w:w="1985" w:type="dxa"/>
          </w:tcPr>
          <w:p w14:paraId="2474439A" w14:textId="77777777" w:rsidR="00275302" w:rsidRPr="00586889" w:rsidRDefault="00275302" w:rsidP="00275302">
            <w:pPr>
              <w:ind w:left="0" w:firstLine="0"/>
              <w:rPr>
                <w:b/>
                <w:lang w:val="en-US"/>
              </w:rPr>
            </w:pPr>
            <w:r w:rsidRPr="00586889">
              <w:rPr>
                <w:b/>
                <w:lang w:val="en-US"/>
              </w:rPr>
              <w:t xml:space="preserve">XII.5 </w:t>
            </w:r>
          </w:p>
          <w:p w14:paraId="4DA7CC86" w14:textId="1F809F84" w:rsidR="00275302" w:rsidRPr="00275302" w:rsidRDefault="00275302" w:rsidP="00275302">
            <w:pPr>
              <w:ind w:left="0" w:firstLine="0"/>
              <w:rPr>
                <w:bCs/>
                <w:lang w:val="en-US"/>
              </w:rPr>
            </w:pPr>
            <w:r w:rsidRPr="00275302">
              <w:rPr>
                <w:bCs/>
                <w:lang w:val="en-US"/>
              </w:rPr>
              <w:t>New framework for delivery of scientific and technical advice and guidance on the Convention</w:t>
            </w:r>
          </w:p>
        </w:tc>
        <w:tc>
          <w:tcPr>
            <w:tcW w:w="9355" w:type="dxa"/>
          </w:tcPr>
          <w:p w14:paraId="3BCB402D" w14:textId="77777777" w:rsidR="00275302" w:rsidRPr="009F25B7" w:rsidRDefault="00275302" w:rsidP="00275302">
            <w:pPr>
              <w:rPr>
                <w:rFonts w:cstheme="minorHAnsi"/>
                <w:lang w:val="en-US"/>
              </w:rPr>
            </w:pPr>
            <w:r w:rsidRPr="009F25B7">
              <w:rPr>
                <w:rFonts w:cstheme="minorHAnsi"/>
                <w:lang w:val="en-US"/>
              </w:rPr>
              <w:t>Role and responsibilities of the STRP members</w:t>
            </w:r>
          </w:p>
          <w:p w14:paraId="1B60B20F" w14:textId="77777777" w:rsidR="00275302" w:rsidRDefault="00275302" w:rsidP="00275302">
            <w:pPr>
              <w:rPr>
                <w:rFonts w:cstheme="minorHAnsi"/>
                <w:bCs/>
                <w:lang w:val="en-US"/>
              </w:rPr>
            </w:pPr>
            <w:r w:rsidRPr="000D2FEB">
              <w:rPr>
                <w:rFonts w:cstheme="minorHAnsi"/>
                <w:bCs/>
                <w:lang w:val="en-US"/>
              </w:rPr>
              <w:t>12 The main collective responsibilities of the Panel members are to:</w:t>
            </w:r>
          </w:p>
          <w:p w14:paraId="395E1BFA" w14:textId="7F192D28" w:rsidR="00275302" w:rsidRPr="00275302" w:rsidRDefault="00275302" w:rsidP="00275302">
            <w:pPr>
              <w:ind w:left="0" w:firstLine="0"/>
              <w:rPr>
                <w:bCs/>
                <w:lang w:val="en-US"/>
              </w:rPr>
            </w:pPr>
            <w:r>
              <w:rPr>
                <w:rFonts w:cstheme="minorHAnsi"/>
                <w:lang w:val="en-US"/>
              </w:rPr>
              <w:t xml:space="preserve">i, </w:t>
            </w:r>
            <w:r w:rsidRPr="00356A48">
              <w:rPr>
                <w:rFonts w:cstheme="minorHAnsi"/>
                <w:lang w:val="en-US"/>
              </w:rPr>
              <w:t>establish the scope, deliverables and approach to delivery for each assigned task, including through scoping workshops as appropriate, and in so doing ensure input from the network of STRP National Focal Points</w:t>
            </w:r>
            <w:r w:rsidRPr="009F25B7">
              <w:rPr>
                <w:rFonts w:cstheme="minorHAnsi"/>
                <w:b/>
                <w:bCs/>
                <w:lang w:val="en-US"/>
              </w:rPr>
              <w:t>, Ramsar Regional Initiatives,</w:t>
            </w:r>
            <w:r w:rsidRPr="00356A48">
              <w:rPr>
                <w:rFonts w:cstheme="minorHAnsi"/>
                <w:lang w:val="en-US"/>
              </w:rPr>
              <w:t xml:space="preserve"> and any other relevant organizations;</w:t>
            </w:r>
          </w:p>
        </w:tc>
        <w:tc>
          <w:tcPr>
            <w:tcW w:w="2835" w:type="dxa"/>
          </w:tcPr>
          <w:p w14:paraId="6A6423DA" w14:textId="22838366" w:rsidR="00275302" w:rsidRPr="00275302" w:rsidRDefault="009F25B7" w:rsidP="00275302">
            <w:pPr>
              <w:ind w:left="0" w:firstLine="0"/>
              <w:rPr>
                <w:bCs/>
                <w:lang w:val="en-US"/>
              </w:rPr>
            </w:pPr>
            <w:r>
              <w:rPr>
                <w:bCs/>
                <w:lang w:val="en-US"/>
              </w:rPr>
              <w:t>The text marked with bold in the para c</w:t>
            </w:r>
            <w:r w:rsidRPr="00BF55AD">
              <w:rPr>
                <w:bCs/>
                <w:lang w:val="en-US"/>
              </w:rPr>
              <w:t xml:space="preserve">an be deleted </w:t>
            </w:r>
            <w:r>
              <w:rPr>
                <w:bCs/>
                <w:lang w:val="en-US"/>
              </w:rPr>
              <w:t>when the resolution in the consolidation process.</w:t>
            </w:r>
          </w:p>
        </w:tc>
      </w:tr>
      <w:tr w:rsidR="009F25B7" w14:paraId="0E178DAD" w14:textId="77777777" w:rsidTr="00456299">
        <w:tc>
          <w:tcPr>
            <w:tcW w:w="1985" w:type="dxa"/>
          </w:tcPr>
          <w:p w14:paraId="3A3D51B3" w14:textId="77777777" w:rsidR="009F25B7" w:rsidRPr="00586889" w:rsidRDefault="009F25B7" w:rsidP="009F25B7">
            <w:pPr>
              <w:ind w:left="0" w:firstLine="0"/>
              <w:rPr>
                <w:b/>
                <w:lang w:val="en-US"/>
              </w:rPr>
            </w:pPr>
            <w:r w:rsidRPr="00586889">
              <w:rPr>
                <w:b/>
                <w:lang w:val="en-US"/>
              </w:rPr>
              <w:t xml:space="preserve">XII.9 </w:t>
            </w:r>
          </w:p>
          <w:p w14:paraId="5463E80C" w14:textId="1B522AB6" w:rsidR="009F25B7" w:rsidRPr="00275302" w:rsidRDefault="009F25B7" w:rsidP="009F25B7">
            <w:pPr>
              <w:ind w:left="0" w:firstLine="0"/>
              <w:rPr>
                <w:bCs/>
                <w:lang w:val="en-US"/>
              </w:rPr>
            </w:pPr>
            <w:r w:rsidRPr="00275302">
              <w:rPr>
                <w:bCs/>
                <w:lang w:val="en-US"/>
              </w:rPr>
              <w:t xml:space="preserve">The Ramsar Convention’s Programme on communication, capacity building, </w:t>
            </w:r>
            <w:r w:rsidRPr="00275302">
              <w:rPr>
                <w:bCs/>
                <w:lang w:val="en-US"/>
              </w:rPr>
              <w:lastRenderedPageBreak/>
              <w:t>education, participation and awareness (CEPA) 2016‐2024</w:t>
            </w:r>
          </w:p>
        </w:tc>
        <w:tc>
          <w:tcPr>
            <w:tcW w:w="9355" w:type="dxa"/>
          </w:tcPr>
          <w:p w14:paraId="68839E57" w14:textId="77777777" w:rsidR="009F25B7" w:rsidRPr="000D2FEB" w:rsidRDefault="009F25B7" w:rsidP="009F25B7">
            <w:pPr>
              <w:pStyle w:val="NormalWeb"/>
              <w:rPr>
                <w:rFonts w:asciiTheme="minorHAnsi" w:hAnsiTheme="minorHAnsi"/>
                <w:sz w:val="22"/>
                <w:szCs w:val="22"/>
                <w:lang w:val="en-US"/>
              </w:rPr>
            </w:pPr>
            <w:r w:rsidRPr="000D2FEB">
              <w:rPr>
                <w:rFonts w:asciiTheme="minorHAnsi" w:hAnsiTheme="minorHAnsi"/>
                <w:sz w:val="22"/>
                <w:szCs w:val="22"/>
                <w:lang w:val="en-US"/>
              </w:rPr>
              <w:lastRenderedPageBreak/>
              <w:t xml:space="preserve">13 INVITES all Contracting Parties, as suggested in Resolutions VII.9, VIII.31, X.8 and in the CEPA Programme 2016‐2024, to formulate their Wetland CEPA Action Plans (at national, subnational, catchment, or local levels) for priority activities that address international, regional, national, and local needs, and as appropriate to provide copies of these to the Ramsar Secretariat as a part of their national reporting, in order for these to be shared as examples of good practice, and INSTRUCTS the </w:t>
            </w:r>
            <w:r w:rsidRPr="000D2FEB">
              <w:rPr>
                <w:rFonts w:asciiTheme="minorHAnsi" w:hAnsiTheme="minorHAnsi"/>
                <w:sz w:val="22"/>
                <w:szCs w:val="22"/>
                <w:lang w:val="en-US"/>
              </w:rPr>
              <w:lastRenderedPageBreak/>
              <w:t xml:space="preserve">Secretariat to provide relevant information to the Regional Initiatives on priorities and activities, to support delivery of the CEPA Programme; </w:t>
            </w:r>
          </w:p>
          <w:p w14:paraId="1C5E6C5D" w14:textId="77777777" w:rsidR="009F25B7" w:rsidRPr="000D2FEB" w:rsidRDefault="009F25B7" w:rsidP="009F25B7">
            <w:pPr>
              <w:pStyle w:val="NormalWeb"/>
              <w:rPr>
                <w:rFonts w:asciiTheme="minorHAnsi" w:hAnsiTheme="minorHAnsi"/>
                <w:sz w:val="22"/>
                <w:szCs w:val="22"/>
                <w:lang w:val="en-US"/>
              </w:rPr>
            </w:pPr>
            <w:r w:rsidRPr="000D2FEB">
              <w:rPr>
                <w:rFonts w:asciiTheme="minorHAnsi" w:hAnsiTheme="minorHAnsi"/>
                <w:sz w:val="22"/>
                <w:szCs w:val="22"/>
                <w:lang w:val="en-US"/>
              </w:rPr>
              <w:t xml:space="preserve">23 INVITES the </w:t>
            </w:r>
            <w:r w:rsidRPr="0033601A">
              <w:rPr>
                <w:rFonts w:asciiTheme="minorHAnsi" w:hAnsiTheme="minorHAnsi"/>
                <w:sz w:val="22"/>
                <w:szCs w:val="22"/>
                <w:lang w:val="en-US"/>
              </w:rPr>
              <w:t>IOPs, Ramsar Regional Initiatives and other</w:t>
            </w:r>
            <w:r w:rsidRPr="000D2FEB">
              <w:rPr>
                <w:rFonts w:asciiTheme="minorHAnsi" w:hAnsiTheme="minorHAnsi"/>
                <w:sz w:val="22"/>
                <w:szCs w:val="22"/>
                <w:lang w:val="en-US"/>
              </w:rPr>
              <w:t xml:space="preserve"> organizations with which the Ramsar Secretariat has collaborative agreements to support the implementation of the CEPA Programme at the global, regional, national or local levels, as appropriate, with the expertise, networks, skills and resources they have at their disposal; </w:t>
            </w:r>
          </w:p>
          <w:p w14:paraId="17C9F698" w14:textId="443EEBFF" w:rsidR="009F25B7" w:rsidRPr="0033601A" w:rsidRDefault="009F25B7" w:rsidP="0033601A">
            <w:pPr>
              <w:pStyle w:val="BodyText"/>
              <w:kinsoku w:val="0"/>
              <w:overflowPunct w:val="0"/>
              <w:ind w:left="0" w:firstLine="0"/>
              <w:rPr>
                <w:rFonts w:asciiTheme="minorHAnsi" w:hAnsiTheme="minorHAnsi"/>
                <w:b/>
                <w:bCs/>
              </w:rPr>
            </w:pPr>
            <w:r w:rsidRPr="004B23CB">
              <w:rPr>
                <w:rFonts w:asciiTheme="minorHAnsi" w:hAnsiTheme="minorHAnsi"/>
                <w:spacing w:val="-1"/>
              </w:rPr>
              <w:t>Annex</w:t>
            </w:r>
            <w:r w:rsidRPr="004B23CB">
              <w:rPr>
                <w:rFonts w:asciiTheme="minorHAnsi" w:hAnsiTheme="minorHAnsi"/>
                <w:spacing w:val="-9"/>
              </w:rPr>
              <w:t xml:space="preserve"> </w:t>
            </w:r>
            <w:r w:rsidRPr="004B23CB">
              <w:rPr>
                <w:rFonts w:asciiTheme="minorHAnsi" w:hAnsiTheme="minorHAnsi"/>
              </w:rPr>
              <w:t>1</w:t>
            </w:r>
            <w:r w:rsidR="0033601A">
              <w:rPr>
                <w:rFonts w:asciiTheme="minorHAnsi" w:hAnsiTheme="minorHAnsi"/>
              </w:rPr>
              <w:t xml:space="preserve">:  </w:t>
            </w:r>
            <w:r w:rsidRPr="004B23CB">
              <w:rPr>
                <w:rFonts w:asciiTheme="minorHAnsi" w:hAnsiTheme="minorHAnsi"/>
                <w:bCs/>
              </w:rPr>
              <w:t>The Ramsar Convention’s Programme on communication, capacity building, education, participation</w:t>
            </w:r>
            <w:r>
              <w:rPr>
                <w:rFonts w:asciiTheme="minorHAnsi" w:hAnsiTheme="minorHAnsi"/>
                <w:bCs/>
              </w:rPr>
              <w:t xml:space="preserve"> and awareness (CEPA) 2016‐2024</w:t>
            </w:r>
          </w:p>
        </w:tc>
        <w:tc>
          <w:tcPr>
            <w:tcW w:w="2835" w:type="dxa"/>
          </w:tcPr>
          <w:p w14:paraId="3A05DDB7" w14:textId="342B2773" w:rsidR="009F25B7" w:rsidRPr="00275302" w:rsidRDefault="0033601A" w:rsidP="009F25B7">
            <w:pPr>
              <w:ind w:left="0" w:firstLine="0"/>
              <w:rPr>
                <w:bCs/>
                <w:lang w:val="en-US"/>
              </w:rPr>
            </w:pPr>
            <w:r>
              <w:rPr>
                <w:bCs/>
                <w:lang w:val="en-US"/>
              </w:rPr>
              <w:lastRenderedPageBreak/>
              <w:t xml:space="preserve">The resolution will be retired at COP 14 and replaced by the new CEPA approach, the CPEA annex on the overview  for the Strategic Plan.  </w:t>
            </w:r>
          </w:p>
        </w:tc>
      </w:tr>
      <w:tr w:rsidR="009F25B7" w14:paraId="34655E62" w14:textId="77777777" w:rsidTr="00456299">
        <w:tc>
          <w:tcPr>
            <w:tcW w:w="1985" w:type="dxa"/>
          </w:tcPr>
          <w:p w14:paraId="4FEE859E" w14:textId="77777777" w:rsidR="009F25B7" w:rsidRPr="00586889" w:rsidRDefault="009F25B7" w:rsidP="009F25B7">
            <w:pPr>
              <w:ind w:left="0" w:firstLine="0"/>
              <w:rPr>
                <w:b/>
                <w:lang w:val="en-US"/>
              </w:rPr>
            </w:pPr>
            <w:r w:rsidRPr="00586889">
              <w:rPr>
                <w:b/>
                <w:lang w:val="en-US"/>
              </w:rPr>
              <w:t xml:space="preserve">XII.11 </w:t>
            </w:r>
          </w:p>
          <w:p w14:paraId="4018E837" w14:textId="7B88F366" w:rsidR="009F25B7" w:rsidRPr="00275302" w:rsidRDefault="009F25B7" w:rsidP="009F25B7">
            <w:pPr>
              <w:ind w:left="0" w:firstLine="0"/>
              <w:rPr>
                <w:bCs/>
                <w:lang w:val="en-US"/>
              </w:rPr>
            </w:pPr>
            <w:r w:rsidRPr="00275302">
              <w:rPr>
                <w:bCs/>
                <w:lang w:val="en-US"/>
              </w:rPr>
              <w:t>Peatlands, climate change and wise use: Implications for the Ramsar Convention</w:t>
            </w:r>
          </w:p>
        </w:tc>
        <w:tc>
          <w:tcPr>
            <w:tcW w:w="9355" w:type="dxa"/>
          </w:tcPr>
          <w:p w14:paraId="169162D2" w14:textId="730EFC35" w:rsidR="009F25B7" w:rsidRPr="00275302" w:rsidRDefault="009F25B7" w:rsidP="009F25B7">
            <w:pPr>
              <w:ind w:left="0" w:firstLine="0"/>
              <w:rPr>
                <w:bCs/>
                <w:lang w:val="en-US"/>
              </w:rPr>
            </w:pPr>
            <w:r w:rsidRPr="000D2FEB">
              <w:rPr>
                <w:rFonts w:asciiTheme="minorHAnsi" w:hAnsiTheme="minorHAnsi"/>
                <w:lang w:val="en-US"/>
              </w:rPr>
              <w:t xml:space="preserve">20 NOTING the Policy Brief on </w:t>
            </w:r>
            <w:r w:rsidRPr="000D2FEB">
              <w:rPr>
                <w:rFonts w:asciiTheme="minorHAnsi" w:hAnsiTheme="minorHAnsi"/>
                <w:i/>
                <w:lang w:val="en-US"/>
              </w:rPr>
              <w:t>Peatlands, climate change mitigation and biodiversity conservation</w:t>
            </w:r>
            <w:r w:rsidRPr="000D2FEB">
              <w:rPr>
                <w:rFonts w:asciiTheme="minorHAnsi" w:hAnsiTheme="minorHAnsi"/>
                <w:lang w:val="en-US"/>
              </w:rPr>
              <w:t xml:space="preserve"> and the report </w:t>
            </w:r>
            <w:r w:rsidRPr="000D2FEB">
              <w:rPr>
                <w:rFonts w:asciiTheme="minorHAnsi" w:hAnsiTheme="minorHAnsi"/>
                <w:i/>
                <w:lang w:val="en-US"/>
              </w:rPr>
              <w:t>Peatlands and Climate Change in a Ramsar context – a Nordic Baltic Perspective</w:t>
            </w:r>
            <w:r w:rsidRPr="000D2FEB">
              <w:rPr>
                <w:rFonts w:asciiTheme="minorHAnsi" w:hAnsiTheme="minorHAnsi"/>
                <w:lang w:val="en-US"/>
              </w:rPr>
              <w:t xml:space="preserve"> developed under the Ramsar regional initiative NorBalWet </w:t>
            </w:r>
            <w:r w:rsidRPr="0033601A">
              <w:rPr>
                <w:rFonts w:asciiTheme="minorHAnsi" w:hAnsiTheme="minorHAnsi"/>
                <w:b/>
                <w:bCs/>
                <w:lang w:val="en-US"/>
              </w:rPr>
              <w:t>as inspiration for other Ramsar regional initiatives and Parties, as appropriate</w:t>
            </w:r>
            <w:r>
              <w:rPr>
                <w:rFonts w:asciiTheme="minorHAnsi" w:hAnsiTheme="minorHAnsi"/>
                <w:lang w:val="en-US"/>
              </w:rPr>
              <w:t>;</w:t>
            </w:r>
          </w:p>
        </w:tc>
        <w:tc>
          <w:tcPr>
            <w:tcW w:w="2835" w:type="dxa"/>
          </w:tcPr>
          <w:p w14:paraId="6288C7C9" w14:textId="6C2E4CCE" w:rsidR="009F25B7" w:rsidRPr="00275302" w:rsidRDefault="0033601A" w:rsidP="009F25B7">
            <w:pPr>
              <w:ind w:left="0" w:firstLine="0"/>
              <w:rPr>
                <w:bCs/>
                <w:lang w:val="en-US"/>
              </w:rPr>
            </w:pPr>
            <w:r>
              <w:rPr>
                <w:bCs/>
                <w:lang w:val="en-US"/>
              </w:rPr>
              <w:t>The text marked with bold in the para c</w:t>
            </w:r>
            <w:r w:rsidRPr="00BF55AD">
              <w:rPr>
                <w:bCs/>
                <w:lang w:val="en-US"/>
              </w:rPr>
              <w:t xml:space="preserve">an be deleted </w:t>
            </w:r>
            <w:r>
              <w:rPr>
                <w:bCs/>
                <w:lang w:val="en-US"/>
              </w:rPr>
              <w:t>when the resolution in the consolidation process.</w:t>
            </w:r>
          </w:p>
        </w:tc>
      </w:tr>
      <w:tr w:rsidR="009F25B7" w14:paraId="0C4378E8" w14:textId="77777777" w:rsidTr="00456299">
        <w:tc>
          <w:tcPr>
            <w:tcW w:w="1985" w:type="dxa"/>
          </w:tcPr>
          <w:p w14:paraId="2B2ACE7C" w14:textId="77777777" w:rsidR="009F25B7" w:rsidRPr="00586889" w:rsidRDefault="009F25B7" w:rsidP="009F25B7">
            <w:pPr>
              <w:ind w:left="0" w:firstLine="0"/>
              <w:rPr>
                <w:b/>
                <w:lang w:val="en-US"/>
              </w:rPr>
            </w:pPr>
            <w:r w:rsidRPr="00586889">
              <w:rPr>
                <w:b/>
                <w:lang w:val="en-US"/>
              </w:rPr>
              <w:t>XII.12</w:t>
            </w:r>
          </w:p>
          <w:p w14:paraId="4873A154" w14:textId="24402C3D" w:rsidR="009F25B7" w:rsidRPr="00275302" w:rsidRDefault="009F25B7" w:rsidP="009F25B7">
            <w:pPr>
              <w:ind w:left="0" w:firstLine="0"/>
              <w:rPr>
                <w:bCs/>
                <w:lang w:val="en-US"/>
              </w:rPr>
            </w:pPr>
            <w:r w:rsidRPr="00275302">
              <w:rPr>
                <w:bCs/>
                <w:lang w:val="en-US"/>
              </w:rPr>
              <w:t>Call to action to ensure and protect the water requirements of wetlands for the present and the future</w:t>
            </w:r>
          </w:p>
        </w:tc>
        <w:tc>
          <w:tcPr>
            <w:tcW w:w="9355" w:type="dxa"/>
          </w:tcPr>
          <w:p w14:paraId="5C8D0CE9" w14:textId="77777777" w:rsidR="009F25B7" w:rsidRPr="00275302" w:rsidRDefault="009F25B7" w:rsidP="009F25B7">
            <w:pPr>
              <w:ind w:left="0" w:firstLine="0"/>
              <w:rPr>
                <w:bCs/>
                <w:lang w:val="en-US"/>
              </w:rPr>
            </w:pPr>
            <w:r w:rsidRPr="00275302">
              <w:rPr>
                <w:bCs/>
                <w:lang w:val="en-US"/>
              </w:rPr>
              <w:t xml:space="preserve">21 WELCOMES the process carried out in Mexico for the creation of water reserves for wetlands, described in the Annex to this Resolution; </w:t>
            </w:r>
          </w:p>
          <w:p w14:paraId="2A352235" w14:textId="77777777" w:rsidR="009F25B7" w:rsidRPr="00275302" w:rsidRDefault="009F25B7" w:rsidP="009F25B7">
            <w:pPr>
              <w:ind w:left="0" w:firstLine="0"/>
              <w:rPr>
                <w:bCs/>
                <w:lang w:val="en-US"/>
              </w:rPr>
            </w:pPr>
          </w:p>
          <w:p w14:paraId="1700EE55" w14:textId="536E23BE" w:rsidR="009F25B7" w:rsidRPr="00275302" w:rsidRDefault="009F25B7" w:rsidP="009F25B7">
            <w:pPr>
              <w:ind w:left="0" w:firstLine="0"/>
              <w:rPr>
                <w:bCs/>
                <w:lang w:val="en-US"/>
              </w:rPr>
            </w:pPr>
            <w:r w:rsidRPr="00275302">
              <w:rPr>
                <w:bCs/>
                <w:lang w:val="en-US"/>
              </w:rPr>
              <w:t xml:space="preserve">22 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w:t>
            </w:r>
            <w:r w:rsidRPr="0033601A">
              <w:rPr>
                <w:b/>
                <w:lang w:val="en-US"/>
              </w:rPr>
              <w:t>regional initiatives and commitments</w:t>
            </w:r>
            <w:r w:rsidRPr="00275302">
              <w:rPr>
                <w:bCs/>
                <w:lang w:val="en-US"/>
              </w:rPr>
              <w:t xml:space="preserve"> and within the context of sustainable development;</w:t>
            </w:r>
          </w:p>
        </w:tc>
        <w:tc>
          <w:tcPr>
            <w:tcW w:w="2835" w:type="dxa"/>
          </w:tcPr>
          <w:p w14:paraId="19C3EC0D" w14:textId="4B8F2648" w:rsidR="009F25B7" w:rsidRPr="00275302" w:rsidRDefault="0033601A"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429D8C74" w14:textId="77777777" w:rsidTr="00456299">
        <w:tc>
          <w:tcPr>
            <w:tcW w:w="1985" w:type="dxa"/>
          </w:tcPr>
          <w:p w14:paraId="78D6AE16" w14:textId="77777777" w:rsidR="009F25B7" w:rsidRPr="00586889" w:rsidRDefault="009F25B7" w:rsidP="009F25B7">
            <w:pPr>
              <w:ind w:left="0" w:firstLine="0"/>
              <w:rPr>
                <w:b/>
                <w:lang w:val="en-US"/>
              </w:rPr>
            </w:pPr>
            <w:r w:rsidRPr="00586889">
              <w:rPr>
                <w:b/>
                <w:lang w:val="en-US"/>
              </w:rPr>
              <w:t xml:space="preserve">XI.6 </w:t>
            </w:r>
          </w:p>
          <w:p w14:paraId="5EA8F3FF" w14:textId="0C88D817" w:rsidR="009F25B7" w:rsidRPr="00275302" w:rsidRDefault="009F25B7" w:rsidP="009F25B7">
            <w:pPr>
              <w:ind w:left="0" w:firstLine="0"/>
              <w:rPr>
                <w:bCs/>
                <w:lang w:val="en-US"/>
              </w:rPr>
            </w:pPr>
            <w:r w:rsidRPr="00275302">
              <w:rPr>
                <w:bCs/>
                <w:lang w:val="en-US"/>
              </w:rPr>
              <w:t>Partnerships and synergies with Multilateral Environmental Agreements and other institutions</w:t>
            </w:r>
          </w:p>
        </w:tc>
        <w:tc>
          <w:tcPr>
            <w:tcW w:w="9355" w:type="dxa"/>
          </w:tcPr>
          <w:p w14:paraId="12A56604" w14:textId="0C7968FD" w:rsidR="009F25B7" w:rsidRPr="00275302" w:rsidRDefault="009F25B7" w:rsidP="009F25B7">
            <w:pPr>
              <w:ind w:left="0" w:firstLine="0"/>
              <w:rPr>
                <w:bCs/>
                <w:lang w:val="en-US"/>
              </w:rPr>
            </w:pPr>
            <w:r w:rsidRPr="00456299">
              <w:rPr>
                <w:bCs/>
                <w:lang w:val="en-US"/>
              </w:rPr>
              <w:t xml:space="preserve">35 REQUESTS the Secretariat to continue to review its memoranda of cooperation with other global and regional environment agreements and other organizations with a view to reinvigorating those most likely to be beneficial to the work of the Convention and its international profile within the time and resources available, taking into account the approach and priorities established in the “Strategic Framework for Partnerships for the Ramsar Convention”, and FURTHER ENCOURAGES the Secretariat to continue to establish and strengthen partnerships and closer working relations with intergovernmental regional and subregional groups, notably with regional and subregional organizations </w:t>
            </w:r>
            <w:r w:rsidRPr="0033601A">
              <w:rPr>
                <w:b/>
                <w:lang w:val="en-US"/>
              </w:rPr>
              <w:t>and especially with Regional Initiatives</w:t>
            </w:r>
            <w:r w:rsidRPr="00456299">
              <w:rPr>
                <w:bCs/>
                <w:lang w:val="en-US"/>
              </w:rPr>
              <w:t>, with a view to enhancing the role and visibility of the Convention in those regions;</w:t>
            </w:r>
          </w:p>
        </w:tc>
        <w:tc>
          <w:tcPr>
            <w:tcW w:w="2835" w:type="dxa"/>
          </w:tcPr>
          <w:p w14:paraId="6E475BE7" w14:textId="3506D310" w:rsidR="009F25B7" w:rsidRPr="00275302" w:rsidRDefault="0033601A" w:rsidP="009F25B7">
            <w:pPr>
              <w:ind w:left="0" w:firstLine="0"/>
              <w:rPr>
                <w:bCs/>
                <w:lang w:val="en-US"/>
              </w:rPr>
            </w:pPr>
            <w:r>
              <w:rPr>
                <w:bCs/>
                <w:lang w:val="en-US"/>
              </w:rPr>
              <w:t>The text marked with bold in the para c</w:t>
            </w:r>
            <w:r w:rsidRPr="00BF55AD">
              <w:rPr>
                <w:bCs/>
                <w:lang w:val="en-US"/>
              </w:rPr>
              <w:t xml:space="preserve">an be deleted </w:t>
            </w:r>
            <w:r>
              <w:rPr>
                <w:bCs/>
                <w:lang w:val="en-US"/>
              </w:rPr>
              <w:t>when the resolution in the consolidation process.</w:t>
            </w:r>
          </w:p>
        </w:tc>
      </w:tr>
      <w:tr w:rsidR="009F25B7" w14:paraId="14A4A426" w14:textId="77777777" w:rsidTr="00456299">
        <w:tc>
          <w:tcPr>
            <w:tcW w:w="1985" w:type="dxa"/>
          </w:tcPr>
          <w:p w14:paraId="3FE59BA8" w14:textId="77777777" w:rsidR="009F25B7" w:rsidRPr="00586889" w:rsidRDefault="009F25B7" w:rsidP="009F25B7">
            <w:pPr>
              <w:ind w:left="0" w:firstLine="0"/>
              <w:rPr>
                <w:b/>
                <w:lang w:val="en-US"/>
              </w:rPr>
            </w:pPr>
            <w:r w:rsidRPr="00586889">
              <w:rPr>
                <w:b/>
                <w:lang w:val="en-US"/>
              </w:rPr>
              <w:lastRenderedPageBreak/>
              <w:t xml:space="preserve">XI.10 </w:t>
            </w:r>
          </w:p>
          <w:p w14:paraId="78B31591" w14:textId="274FEA8B" w:rsidR="009F25B7" w:rsidRPr="00275302" w:rsidRDefault="009F25B7" w:rsidP="009F25B7">
            <w:pPr>
              <w:ind w:left="0" w:firstLine="0"/>
              <w:rPr>
                <w:bCs/>
                <w:lang w:val="en-US"/>
              </w:rPr>
            </w:pPr>
            <w:r w:rsidRPr="00456299">
              <w:rPr>
                <w:bCs/>
                <w:lang w:val="en-US"/>
              </w:rPr>
              <w:t>Wetlands and energy issues</w:t>
            </w:r>
          </w:p>
        </w:tc>
        <w:tc>
          <w:tcPr>
            <w:tcW w:w="9355" w:type="dxa"/>
          </w:tcPr>
          <w:p w14:paraId="54B33A71" w14:textId="77777777" w:rsidR="009F25B7" w:rsidRDefault="009F25B7" w:rsidP="009F25B7">
            <w:pPr>
              <w:ind w:left="34" w:hanging="34"/>
              <w:rPr>
                <w:lang w:val="en-US"/>
              </w:rPr>
            </w:pPr>
            <w:r w:rsidRPr="00540011">
              <w:rPr>
                <w:lang w:val="en-US"/>
              </w:rPr>
              <w:t xml:space="preserve">14 WELCOMES the Guidance for addressing the implications for wetlands of policies, plans and activities in the energy sector annexed to this Resolution, and INVITES Contracting Parties to make use of this guidance, adapting it as necessary to suit national conditions and circumstances, within the frameworks of existing </w:t>
            </w:r>
            <w:r w:rsidRPr="0033601A">
              <w:rPr>
                <w:b/>
                <w:bCs/>
                <w:lang w:val="en-US"/>
              </w:rPr>
              <w:t>regional initiatives and commitments</w:t>
            </w:r>
            <w:r w:rsidRPr="00540011">
              <w:rPr>
                <w:lang w:val="en-US"/>
              </w:rPr>
              <w:t xml:space="preserve">; </w:t>
            </w:r>
          </w:p>
          <w:p w14:paraId="7AD5F603" w14:textId="77777777" w:rsidR="009F25B7" w:rsidRPr="00540011" w:rsidRDefault="009F25B7" w:rsidP="009F25B7">
            <w:pPr>
              <w:ind w:left="34" w:hanging="34"/>
              <w:rPr>
                <w:lang w:val="en-US"/>
              </w:rPr>
            </w:pPr>
          </w:p>
          <w:p w14:paraId="094F4C4C" w14:textId="7D4BBFAE" w:rsidR="009F25B7" w:rsidRPr="00275302" w:rsidRDefault="009F25B7" w:rsidP="009F25B7">
            <w:pPr>
              <w:ind w:left="0" w:firstLine="0"/>
              <w:rPr>
                <w:bCs/>
                <w:lang w:val="en-US"/>
              </w:rPr>
            </w:pPr>
            <w:r w:rsidRPr="00540011">
              <w:rPr>
                <w:lang w:val="en-US"/>
              </w:rPr>
              <w:t>15…… and REQUESTS the Secretariat, in collaboration with the Scientific and Technical Review Panel (STRP), the CEPA Oversight Panel</w:t>
            </w:r>
            <w:r w:rsidRPr="0033601A">
              <w:rPr>
                <w:b/>
                <w:bCs/>
                <w:lang w:val="en-US"/>
              </w:rPr>
              <w:t>, the Regional Initiatives</w:t>
            </w:r>
            <w:r w:rsidRPr="00540011">
              <w:rPr>
                <w:lang w:val="en-US"/>
              </w:rPr>
              <w:t xml:space="preserve"> and Contracting Parties to support, resources permitting</w:t>
            </w:r>
            <w:r>
              <w:rPr>
                <w:lang w:val="en-US"/>
              </w:rPr>
              <w:t>, Contracting Parties</w:t>
            </w:r>
            <w:r w:rsidRPr="00540011">
              <w:rPr>
                <w:lang w:val="en-US"/>
              </w:rPr>
              <w:t xml:space="preserve"> training </w:t>
            </w:r>
            <w:r>
              <w:rPr>
                <w:lang w:val="en-US"/>
              </w:rPr>
              <w:t>and capacity building efforts;</w:t>
            </w:r>
          </w:p>
        </w:tc>
        <w:tc>
          <w:tcPr>
            <w:tcW w:w="2835" w:type="dxa"/>
          </w:tcPr>
          <w:p w14:paraId="422EB363" w14:textId="19DBF10D" w:rsidR="009F25B7" w:rsidRPr="00275302" w:rsidRDefault="0033601A"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5B21F989" w14:textId="77777777" w:rsidTr="00456299">
        <w:tc>
          <w:tcPr>
            <w:tcW w:w="1985" w:type="dxa"/>
          </w:tcPr>
          <w:p w14:paraId="27594CC3" w14:textId="77777777" w:rsidR="009F25B7" w:rsidRPr="00586889" w:rsidRDefault="009F25B7" w:rsidP="009F25B7">
            <w:pPr>
              <w:ind w:left="0" w:firstLine="0"/>
              <w:rPr>
                <w:b/>
                <w:lang w:val="en-US"/>
              </w:rPr>
            </w:pPr>
            <w:r w:rsidRPr="00586889">
              <w:rPr>
                <w:b/>
                <w:lang w:val="en-US"/>
              </w:rPr>
              <w:t xml:space="preserve">XI.11 </w:t>
            </w:r>
          </w:p>
          <w:p w14:paraId="16E3E190" w14:textId="27E2A6D0" w:rsidR="009F25B7" w:rsidRPr="00275302" w:rsidRDefault="009F25B7" w:rsidP="009F25B7">
            <w:pPr>
              <w:ind w:left="0" w:firstLine="0"/>
              <w:rPr>
                <w:bCs/>
                <w:lang w:val="en-US"/>
              </w:rPr>
            </w:pPr>
            <w:r w:rsidRPr="00456299">
              <w:rPr>
                <w:bCs/>
                <w:lang w:val="en-US"/>
              </w:rPr>
              <w:t>Principles for the planning and management of urban and peri- urban wetlands</w:t>
            </w:r>
          </w:p>
        </w:tc>
        <w:tc>
          <w:tcPr>
            <w:tcW w:w="9355" w:type="dxa"/>
          </w:tcPr>
          <w:p w14:paraId="3F511ECA" w14:textId="25A67454" w:rsidR="009F25B7" w:rsidRPr="00275302" w:rsidRDefault="009F25B7" w:rsidP="009F25B7">
            <w:pPr>
              <w:ind w:left="0" w:firstLine="0"/>
              <w:rPr>
                <w:bCs/>
                <w:lang w:val="en-US"/>
              </w:rPr>
            </w:pPr>
            <w:r w:rsidRPr="000D2FEB">
              <w:rPr>
                <w:rFonts w:asciiTheme="minorHAnsi" w:hAnsiTheme="minorHAnsi"/>
                <w:lang w:val="en-US"/>
              </w:rPr>
              <w:t xml:space="preserve">27 REQUESTS the Ramsar Secretariat and the Scientific and Technical Review Panel (STRP) to strengthen collaborative initiatives with UN-Habitat and continue to develop collaboration with </w:t>
            </w:r>
            <w:r w:rsidRPr="0033601A">
              <w:rPr>
                <w:rFonts w:asciiTheme="minorHAnsi" w:hAnsiTheme="minorHAnsi"/>
                <w:b/>
                <w:bCs/>
                <w:lang w:val="en-US"/>
              </w:rPr>
              <w:t>Ramsar Regional Initiatives,</w:t>
            </w:r>
            <w:r w:rsidRPr="000D2FEB">
              <w:rPr>
                <w:rFonts w:asciiTheme="minorHAnsi" w:hAnsiTheme="minorHAnsi"/>
                <w:lang w:val="en-US"/>
              </w:rPr>
              <w:t xml:space="preserve"> the CBD, Ramsar</w:t>
            </w:r>
            <w:r>
              <w:rPr>
                <w:rFonts w:asciiTheme="minorHAnsi" w:hAnsiTheme="minorHAnsi" w:cs="Calibri"/>
                <w:lang w:val="en-US"/>
              </w:rPr>
              <w:t>’s</w:t>
            </w:r>
            <w:r w:rsidRPr="000D2FEB">
              <w:rPr>
                <w:rFonts w:asciiTheme="minorHAnsi" w:hAnsiTheme="minorHAnsi"/>
                <w:lang w:val="en-US"/>
              </w:rPr>
              <w:t xml:space="preserve"> IOPs, ICLEI and other appropriate urban stakeholders, including individual cities, in order to foster projects that develop demonstration sites which both benefit urban local communities and promote the wise use of wetlands;</w:t>
            </w:r>
          </w:p>
        </w:tc>
        <w:tc>
          <w:tcPr>
            <w:tcW w:w="2835" w:type="dxa"/>
          </w:tcPr>
          <w:p w14:paraId="2616FE2E" w14:textId="0ACCF4F2" w:rsidR="009F25B7" w:rsidRPr="00275302" w:rsidRDefault="0033601A"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2E942A79" w14:textId="77777777" w:rsidTr="00456299">
        <w:tc>
          <w:tcPr>
            <w:tcW w:w="1985" w:type="dxa"/>
          </w:tcPr>
          <w:p w14:paraId="64FAC0C2" w14:textId="77777777" w:rsidR="009F25B7" w:rsidRPr="00586889" w:rsidRDefault="009F25B7" w:rsidP="009F25B7">
            <w:pPr>
              <w:ind w:left="0" w:firstLine="0"/>
              <w:rPr>
                <w:b/>
                <w:lang w:val="en-US"/>
              </w:rPr>
            </w:pPr>
            <w:r w:rsidRPr="00586889">
              <w:rPr>
                <w:b/>
                <w:lang w:val="en-US"/>
              </w:rPr>
              <w:t xml:space="preserve">XI.14 </w:t>
            </w:r>
          </w:p>
          <w:p w14:paraId="1B7D8387" w14:textId="02C1B3D0" w:rsidR="009F25B7" w:rsidRPr="00275302" w:rsidRDefault="009F25B7" w:rsidP="009F25B7">
            <w:pPr>
              <w:ind w:left="0" w:firstLine="0"/>
              <w:rPr>
                <w:bCs/>
                <w:lang w:val="en-US"/>
              </w:rPr>
            </w:pPr>
            <w:r w:rsidRPr="00456299">
              <w:rPr>
                <w:bCs/>
                <w:lang w:val="en-US"/>
              </w:rPr>
              <w:t>Climate change and wetlands: implications for the Ramsar Convention on Wetlands</w:t>
            </w:r>
          </w:p>
        </w:tc>
        <w:tc>
          <w:tcPr>
            <w:tcW w:w="9355" w:type="dxa"/>
          </w:tcPr>
          <w:p w14:paraId="0637808A" w14:textId="77777777" w:rsidR="009F25B7" w:rsidRPr="000D2FEB" w:rsidRDefault="009F25B7" w:rsidP="009F25B7">
            <w:pPr>
              <w:pStyle w:val="NormalWeb"/>
              <w:rPr>
                <w:rFonts w:asciiTheme="minorHAnsi" w:hAnsiTheme="minorHAnsi"/>
                <w:sz w:val="22"/>
                <w:szCs w:val="22"/>
                <w:lang w:val="en-US"/>
              </w:rPr>
            </w:pPr>
            <w:r w:rsidRPr="000D2FEB">
              <w:rPr>
                <w:rFonts w:asciiTheme="minorHAnsi" w:hAnsiTheme="minorHAnsi"/>
                <w:sz w:val="22"/>
                <w:szCs w:val="22"/>
                <w:lang w:val="en-US"/>
              </w:rPr>
              <w:t xml:space="preserve">32 ENCOURAGES Contracting Parties and relevant organizations to undertake studies of the role of the conservation and/or restoration of both forested and non-forested wetlands in relation to: i) climate change mitigation, including the role of wetlands in carbon storage and sequestration, greenhouse gas emissions from degrading wetlands, avoidance of greenhouse gas emissions through removals of wetland carbon sinks, and ii) adaptation to climate change, including water regulation at local and regional scales, such as flood risk reduction, water supply and storage, and reducing the impacts of sea level rise and extreme weather events, including extreme rainfall situations; </w:t>
            </w:r>
            <w:r w:rsidRPr="007E10DF">
              <w:rPr>
                <w:rFonts w:asciiTheme="minorHAnsi" w:hAnsiTheme="minorHAnsi"/>
                <w:sz w:val="22"/>
                <w:szCs w:val="22"/>
                <w:lang w:val="en-US"/>
              </w:rPr>
              <w:t xml:space="preserve">and to cooperate, within </w:t>
            </w:r>
            <w:r w:rsidRPr="0033601A">
              <w:rPr>
                <w:rFonts w:asciiTheme="minorHAnsi" w:hAnsiTheme="minorHAnsi"/>
                <w:b/>
                <w:bCs/>
                <w:sz w:val="22"/>
                <w:szCs w:val="22"/>
                <w:lang w:val="en-US"/>
              </w:rPr>
              <w:t>Regional Initiatives or other</w:t>
            </w:r>
            <w:r w:rsidRPr="007E10DF">
              <w:rPr>
                <w:rFonts w:asciiTheme="minorHAnsi" w:hAnsiTheme="minorHAnsi"/>
                <w:sz w:val="22"/>
                <w:szCs w:val="22"/>
                <w:lang w:val="en-US"/>
              </w:rPr>
              <w:t xml:space="preserve"> regional cooperation fora, in developing and disseminating knowledge about the results,</w:t>
            </w:r>
            <w:r w:rsidRPr="000D2FEB">
              <w:rPr>
                <w:rFonts w:asciiTheme="minorHAnsi" w:hAnsiTheme="minorHAnsi"/>
                <w:sz w:val="22"/>
                <w:szCs w:val="22"/>
                <w:lang w:val="en-US"/>
              </w:rPr>
              <w:t xml:space="preserve"> and INVITES Contracting Parties and other organizations to make their findings available to the Ramsar Secretariat, the Secretariat of the UNFCCC, and other relevant bodies through existing reporting processes; </w:t>
            </w:r>
          </w:p>
          <w:p w14:paraId="1A4AD686" w14:textId="77777777" w:rsidR="009F25B7" w:rsidRPr="000D2FEB" w:rsidRDefault="009F25B7" w:rsidP="009F25B7">
            <w:pPr>
              <w:pStyle w:val="NormalWeb"/>
              <w:rPr>
                <w:rFonts w:asciiTheme="minorHAnsi" w:hAnsiTheme="minorHAnsi"/>
                <w:sz w:val="22"/>
                <w:szCs w:val="22"/>
                <w:lang w:val="en-US"/>
              </w:rPr>
            </w:pPr>
            <w:r w:rsidRPr="000D2FEB">
              <w:rPr>
                <w:rFonts w:asciiTheme="minorHAnsi" w:hAnsiTheme="minorHAnsi"/>
                <w:sz w:val="22"/>
                <w:szCs w:val="22"/>
                <w:lang w:val="en-US"/>
              </w:rPr>
              <w:t xml:space="preserve">35 REQUESTS the Scientific and Technical Review Panel (STRP): </w:t>
            </w:r>
          </w:p>
          <w:p w14:paraId="61DEA48A" w14:textId="1EB7F857" w:rsidR="009F25B7" w:rsidRDefault="009F25B7" w:rsidP="009F25B7">
            <w:pPr>
              <w:pStyle w:val="NormalWeb"/>
              <w:rPr>
                <w:rFonts w:asciiTheme="minorHAnsi" w:hAnsiTheme="minorHAnsi"/>
                <w:sz w:val="22"/>
                <w:szCs w:val="22"/>
                <w:lang w:val="en-US"/>
              </w:rPr>
            </w:pPr>
            <w:r w:rsidRPr="000D2FEB">
              <w:rPr>
                <w:rFonts w:asciiTheme="minorHAnsi" w:hAnsiTheme="minorHAnsi"/>
                <w:sz w:val="22"/>
                <w:szCs w:val="22"/>
                <w:lang w:val="en-US"/>
              </w:rPr>
              <w:t xml:space="preserve">v) in conjunction with the Secretariat and </w:t>
            </w:r>
            <w:r w:rsidRPr="0033601A">
              <w:rPr>
                <w:rFonts w:asciiTheme="minorHAnsi" w:hAnsiTheme="minorHAnsi"/>
                <w:b/>
                <w:bCs/>
                <w:sz w:val="22"/>
                <w:szCs w:val="22"/>
                <w:lang w:val="en-US"/>
              </w:rPr>
              <w:t>Ramsar Regional Initiative Networks and Centres</w:t>
            </w:r>
            <w:r w:rsidRPr="000D2FEB">
              <w:rPr>
                <w:rFonts w:asciiTheme="minorHAnsi" w:hAnsiTheme="minorHAnsi"/>
                <w:sz w:val="22"/>
                <w:szCs w:val="22"/>
                <w:lang w:val="en-US"/>
              </w:rPr>
              <w:t xml:space="preserve">, to collaborate with relevant international organizations and conventions, within their respective mandates, to further investigate the potential contribution of wetland ecosystems to climate change mitigation and adaptation through: </w:t>
            </w:r>
          </w:p>
          <w:p w14:paraId="355B25A3" w14:textId="77777777" w:rsidR="009F25B7" w:rsidRPr="00E86014" w:rsidRDefault="009F25B7" w:rsidP="009F25B7">
            <w:pPr>
              <w:pStyle w:val="NormalWeb"/>
              <w:numPr>
                <w:ilvl w:val="0"/>
                <w:numId w:val="11"/>
              </w:numPr>
              <w:rPr>
                <w:rFonts w:asciiTheme="minorHAnsi" w:hAnsiTheme="minorHAnsi"/>
                <w:sz w:val="22"/>
                <w:szCs w:val="22"/>
                <w:lang w:val="en-US"/>
              </w:rPr>
            </w:pPr>
            <w:r w:rsidRPr="009E4069">
              <w:rPr>
                <w:rFonts w:asciiTheme="minorHAnsi" w:hAnsiTheme="minorHAnsi"/>
                <w:sz w:val="22"/>
                <w:szCs w:val="22"/>
                <w:lang w:val="en-US"/>
              </w:rPr>
              <w:lastRenderedPageBreak/>
              <w:t xml:space="preserve">preparing advice on assessing social resilience and vulnerability of wetlands to climate change, to complement the existing advice on assessing the biophysical vulnerability of a wetlands to climate change (Ramsar Technical Report No. 5/CBD Technical Series No. 57); </w:t>
            </w:r>
          </w:p>
          <w:p w14:paraId="04BFC073" w14:textId="77777777" w:rsidR="009F25B7" w:rsidRPr="00E86014" w:rsidRDefault="009F25B7" w:rsidP="009F25B7">
            <w:pPr>
              <w:pStyle w:val="NormalWeb"/>
              <w:numPr>
                <w:ilvl w:val="0"/>
                <w:numId w:val="11"/>
              </w:numPr>
              <w:rPr>
                <w:rFonts w:asciiTheme="minorHAnsi" w:hAnsiTheme="minorHAnsi"/>
                <w:sz w:val="22"/>
                <w:szCs w:val="22"/>
                <w:lang w:val="en-US"/>
              </w:rPr>
            </w:pPr>
            <w:r w:rsidRPr="009E4069">
              <w:rPr>
                <w:rFonts w:asciiTheme="minorHAnsi" w:hAnsiTheme="minorHAnsi"/>
                <w:sz w:val="22"/>
                <w:szCs w:val="22"/>
                <w:lang w:val="en-US"/>
              </w:rPr>
              <w:t xml:space="preserve">preparing advice on ecosystem-based adaptation to climate change for coastal and inland wetlands; and </w:t>
            </w:r>
          </w:p>
          <w:p w14:paraId="4B46B446" w14:textId="77777777" w:rsidR="009F25B7" w:rsidRPr="00E86014" w:rsidRDefault="009F25B7" w:rsidP="009F25B7">
            <w:pPr>
              <w:pStyle w:val="NormalWeb"/>
              <w:numPr>
                <w:ilvl w:val="0"/>
                <w:numId w:val="11"/>
              </w:numPr>
              <w:rPr>
                <w:rFonts w:asciiTheme="minorHAnsi" w:hAnsiTheme="minorHAnsi"/>
                <w:sz w:val="22"/>
                <w:szCs w:val="22"/>
                <w:lang w:val="en-US"/>
              </w:rPr>
            </w:pPr>
            <w:r w:rsidRPr="009E4069">
              <w:rPr>
                <w:rFonts w:asciiTheme="minorHAnsi" w:hAnsiTheme="minorHAnsi"/>
                <w:sz w:val="22"/>
                <w:szCs w:val="22"/>
                <w:lang w:val="en-US"/>
              </w:rPr>
              <w:t xml:space="preserve">reviewing any relevant advice provide by other MEAs, in particular the outcomes of CBD COP-11; </w:t>
            </w:r>
          </w:p>
          <w:p w14:paraId="392BA43D" w14:textId="727EB99E" w:rsidR="009F25B7" w:rsidRPr="00275302" w:rsidRDefault="009F25B7" w:rsidP="009F25B7">
            <w:pPr>
              <w:ind w:left="0" w:firstLine="0"/>
              <w:rPr>
                <w:bCs/>
                <w:lang w:val="en-US"/>
              </w:rPr>
            </w:pPr>
            <w:r w:rsidRPr="000D2FEB">
              <w:rPr>
                <w:rFonts w:asciiTheme="minorHAnsi" w:hAnsiTheme="minorHAnsi"/>
                <w:lang w:val="en-US"/>
              </w:rPr>
              <w:t>without pre-empting any future decisions of the UNFCCC;</w:t>
            </w:r>
          </w:p>
        </w:tc>
        <w:tc>
          <w:tcPr>
            <w:tcW w:w="2835" w:type="dxa"/>
          </w:tcPr>
          <w:p w14:paraId="0D1A0F5D" w14:textId="30BAF197" w:rsidR="009F25B7" w:rsidRDefault="0033601A" w:rsidP="009F25B7">
            <w:pPr>
              <w:ind w:left="0" w:firstLine="0"/>
              <w:rPr>
                <w:bCs/>
                <w:lang w:val="en-US"/>
              </w:rPr>
            </w:pPr>
            <w:r>
              <w:rPr>
                <w:bCs/>
                <w:lang w:val="en-US"/>
              </w:rPr>
              <w:lastRenderedPageBreak/>
              <w:t>The first text marked with bold in the para c</w:t>
            </w:r>
            <w:r w:rsidRPr="00BF55AD">
              <w:rPr>
                <w:bCs/>
                <w:lang w:val="en-US"/>
              </w:rPr>
              <w:t xml:space="preserve">an be deleted </w:t>
            </w:r>
            <w:r>
              <w:rPr>
                <w:bCs/>
                <w:lang w:val="en-US"/>
              </w:rPr>
              <w:t>when the resolution in the consolidation process.</w:t>
            </w:r>
          </w:p>
          <w:p w14:paraId="1E53E777" w14:textId="77777777" w:rsidR="0033601A" w:rsidRDefault="0033601A" w:rsidP="009F25B7">
            <w:pPr>
              <w:ind w:left="0" w:firstLine="0"/>
              <w:rPr>
                <w:bCs/>
                <w:lang w:val="en-US"/>
              </w:rPr>
            </w:pPr>
          </w:p>
          <w:p w14:paraId="5A489BF7" w14:textId="7B41D532" w:rsidR="0033601A" w:rsidRPr="00275302" w:rsidRDefault="0033601A" w:rsidP="009F25B7">
            <w:pPr>
              <w:ind w:left="0" w:firstLine="0"/>
              <w:rPr>
                <w:bCs/>
                <w:lang w:val="en-US"/>
              </w:rPr>
            </w:pPr>
            <w:r>
              <w:rPr>
                <w:bCs/>
                <w:lang w:val="en-US"/>
              </w:rPr>
              <w:t>The second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68118020" w14:textId="77777777" w:rsidTr="00456299">
        <w:tc>
          <w:tcPr>
            <w:tcW w:w="1985" w:type="dxa"/>
          </w:tcPr>
          <w:p w14:paraId="616C3740" w14:textId="77777777" w:rsidR="009F25B7" w:rsidRPr="00586889" w:rsidRDefault="009F25B7" w:rsidP="009F25B7">
            <w:pPr>
              <w:ind w:left="0" w:firstLine="0"/>
              <w:rPr>
                <w:b/>
                <w:lang w:val="en-US"/>
              </w:rPr>
            </w:pPr>
            <w:r w:rsidRPr="00586889">
              <w:rPr>
                <w:b/>
                <w:lang w:val="en-US"/>
              </w:rPr>
              <w:t>X.3</w:t>
            </w:r>
          </w:p>
          <w:p w14:paraId="427E1647" w14:textId="0F908D10" w:rsidR="009F25B7" w:rsidRPr="00275302" w:rsidRDefault="009F25B7" w:rsidP="009F25B7">
            <w:pPr>
              <w:ind w:left="0" w:firstLine="0"/>
              <w:rPr>
                <w:bCs/>
                <w:lang w:val="en-US"/>
              </w:rPr>
            </w:pPr>
            <w:r w:rsidRPr="00456299">
              <w:rPr>
                <w:bCs/>
                <w:lang w:val="en-US"/>
              </w:rPr>
              <w:t>The Changwon Declaration on human well-being and wetlands</w:t>
            </w:r>
          </w:p>
        </w:tc>
        <w:tc>
          <w:tcPr>
            <w:tcW w:w="9355" w:type="dxa"/>
          </w:tcPr>
          <w:p w14:paraId="7A297AF4" w14:textId="5D8ACF0E" w:rsidR="009F25B7" w:rsidRPr="00275302" w:rsidRDefault="009F25B7" w:rsidP="009F25B7">
            <w:pPr>
              <w:ind w:left="0" w:firstLine="0"/>
              <w:rPr>
                <w:bCs/>
                <w:lang w:val="en-US"/>
              </w:rPr>
            </w:pPr>
            <w:r w:rsidRPr="000D2FEB">
              <w:rPr>
                <w:rFonts w:asciiTheme="minorHAnsi" w:hAnsiTheme="minorHAnsi"/>
                <w:lang w:val="en-US"/>
              </w:rPr>
              <w:t xml:space="preserve">14 FURTHER STRONGLY URGES the Standing Committee, the STRP, the Ramsar Secretariat, CEPA National Focal Points, </w:t>
            </w:r>
            <w:r w:rsidRPr="001D710F">
              <w:rPr>
                <w:rFonts w:asciiTheme="minorHAnsi" w:hAnsiTheme="minorHAnsi"/>
                <w:b/>
                <w:bCs/>
                <w:lang w:val="en-US"/>
              </w:rPr>
              <w:t>regional initiatives operating under the framework of the Convention,</w:t>
            </w:r>
            <w:r w:rsidRPr="000D2FEB">
              <w:rPr>
                <w:rFonts w:asciiTheme="minorHAnsi" w:hAnsiTheme="minorHAnsi"/>
                <w:lang w:val="en-US"/>
              </w:rPr>
              <w:t xml:space="preserve"> the International Organization Partners (IOPs) and others to </w:t>
            </w:r>
            <w:r w:rsidR="001D710F" w:rsidRPr="000D2FEB">
              <w:rPr>
                <w:rFonts w:asciiTheme="minorHAnsi" w:hAnsiTheme="minorHAnsi"/>
                <w:lang w:val="en-US"/>
              </w:rPr>
              <w:t>utilize</w:t>
            </w:r>
            <w:r w:rsidRPr="000D2FEB">
              <w:rPr>
                <w:rFonts w:asciiTheme="minorHAnsi" w:hAnsiTheme="minorHAnsi"/>
                <w:lang w:val="en-US"/>
              </w:rPr>
              <w:t xml:space="preserve"> the “Changwon Declaration” in their future work and establishment of priorities, and also to use their own means and all other relevant opportunities actively to promote the Declaration;</w:t>
            </w:r>
          </w:p>
        </w:tc>
        <w:tc>
          <w:tcPr>
            <w:tcW w:w="2835" w:type="dxa"/>
          </w:tcPr>
          <w:p w14:paraId="245EE8B0" w14:textId="5DA847BE" w:rsidR="009F25B7" w:rsidRPr="00275302" w:rsidRDefault="001D710F"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474C0A5A" w14:textId="77777777" w:rsidTr="00456299">
        <w:tc>
          <w:tcPr>
            <w:tcW w:w="1985" w:type="dxa"/>
          </w:tcPr>
          <w:p w14:paraId="0D777C77" w14:textId="77777777" w:rsidR="009F25B7" w:rsidRDefault="009F25B7" w:rsidP="009F25B7">
            <w:pPr>
              <w:ind w:left="0" w:firstLine="0"/>
              <w:rPr>
                <w:bCs/>
                <w:lang w:val="en-US"/>
              </w:rPr>
            </w:pPr>
            <w:r w:rsidRPr="00586889">
              <w:rPr>
                <w:b/>
                <w:lang w:val="en-US"/>
              </w:rPr>
              <w:t>X.15</w:t>
            </w:r>
            <w:r w:rsidRPr="00456299">
              <w:rPr>
                <w:bCs/>
                <w:lang w:val="en-US"/>
              </w:rPr>
              <w:t xml:space="preserve"> </w:t>
            </w:r>
          </w:p>
          <w:p w14:paraId="3159DE5F" w14:textId="5EE189FC" w:rsidR="009F25B7" w:rsidRPr="00275302" w:rsidRDefault="009F25B7" w:rsidP="009F25B7">
            <w:pPr>
              <w:ind w:left="0" w:firstLine="0"/>
              <w:rPr>
                <w:bCs/>
                <w:lang w:val="en-US"/>
              </w:rPr>
            </w:pPr>
            <w:r w:rsidRPr="00456299">
              <w:rPr>
                <w:bCs/>
                <w:lang w:val="en-US"/>
              </w:rPr>
              <w:t>Describing the ecological character of wetlands, and data needs and formats for core inventory: harmonized scientific and technical guidance</w:t>
            </w:r>
          </w:p>
        </w:tc>
        <w:tc>
          <w:tcPr>
            <w:tcW w:w="9355" w:type="dxa"/>
          </w:tcPr>
          <w:p w14:paraId="5FB4A1C0" w14:textId="0964E8A1" w:rsidR="009F25B7" w:rsidRPr="00275302" w:rsidRDefault="009F25B7" w:rsidP="009F25B7">
            <w:pPr>
              <w:ind w:left="0" w:firstLine="0"/>
              <w:rPr>
                <w:bCs/>
                <w:lang w:val="en-US"/>
              </w:rPr>
            </w:pPr>
            <w:r>
              <w:rPr>
                <w:rFonts w:asciiTheme="minorHAnsi" w:hAnsiTheme="minorHAnsi"/>
                <w:lang w:val="en-US"/>
              </w:rPr>
              <w:t xml:space="preserve">4 </w:t>
            </w:r>
            <w:r w:rsidRPr="000D2FEB">
              <w:rPr>
                <w:rFonts w:asciiTheme="minorHAnsi" w:hAnsiTheme="minorHAnsi"/>
                <w:lang w:val="en-US"/>
              </w:rPr>
              <w:t xml:space="preserve">WELCOMES the guidance on “Describing the ecological character of wetlands, and harmonized data formats for core inventory” provided in the annex to this Resolution, and URGES Contracting Parties to make good use of it as appropriate, adapting it as necessary to suit national conditions and circumstances, within the </w:t>
            </w:r>
            <w:r w:rsidRPr="001D710F">
              <w:rPr>
                <w:rFonts w:asciiTheme="minorHAnsi" w:hAnsiTheme="minorHAnsi"/>
                <w:lang w:val="en-US"/>
              </w:rPr>
              <w:t>frameworks of existing</w:t>
            </w:r>
            <w:r w:rsidRPr="001D710F">
              <w:rPr>
                <w:rFonts w:asciiTheme="minorHAnsi" w:hAnsiTheme="minorHAnsi"/>
                <w:b/>
                <w:bCs/>
                <w:lang w:val="en-US"/>
              </w:rPr>
              <w:t xml:space="preserve"> regional initiatives and commitments</w:t>
            </w:r>
            <w:r w:rsidRPr="000D2FEB">
              <w:rPr>
                <w:rFonts w:asciiTheme="minorHAnsi" w:hAnsiTheme="minorHAnsi"/>
                <w:lang w:val="en-US"/>
              </w:rPr>
              <w:t xml:space="preserve"> and in the context of sustainable development;</w:t>
            </w:r>
          </w:p>
        </w:tc>
        <w:tc>
          <w:tcPr>
            <w:tcW w:w="2835" w:type="dxa"/>
          </w:tcPr>
          <w:p w14:paraId="2FAE2847" w14:textId="5E062EAD" w:rsidR="009F25B7" w:rsidRPr="00275302" w:rsidRDefault="001D710F"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5445B114" w14:textId="77777777" w:rsidTr="00456299">
        <w:tc>
          <w:tcPr>
            <w:tcW w:w="1985" w:type="dxa"/>
          </w:tcPr>
          <w:p w14:paraId="4AC8D58E" w14:textId="77777777" w:rsidR="009F25B7" w:rsidRPr="00586889" w:rsidRDefault="009F25B7" w:rsidP="009F25B7">
            <w:pPr>
              <w:ind w:left="0" w:firstLine="0"/>
              <w:rPr>
                <w:b/>
                <w:lang w:val="en-US"/>
              </w:rPr>
            </w:pPr>
            <w:r w:rsidRPr="00586889">
              <w:rPr>
                <w:b/>
                <w:lang w:val="en-US"/>
              </w:rPr>
              <w:t xml:space="preserve">X.17 </w:t>
            </w:r>
          </w:p>
          <w:p w14:paraId="5E315605" w14:textId="3BEE94A2" w:rsidR="009F25B7" w:rsidRPr="00275302" w:rsidRDefault="009F25B7" w:rsidP="009F25B7">
            <w:pPr>
              <w:ind w:left="0" w:firstLine="0"/>
              <w:rPr>
                <w:bCs/>
                <w:lang w:val="en-US"/>
              </w:rPr>
            </w:pPr>
            <w:r w:rsidRPr="00456299">
              <w:rPr>
                <w:bCs/>
                <w:lang w:val="en-US"/>
              </w:rPr>
              <w:t>Environmental Impact Assessment and Strategic Environmental Assessment: updated scientific and technical guidance</w:t>
            </w:r>
          </w:p>
        </w:tc>
        <w:tc>
          <w:tcPr>
            <w:tcW w:w="9355" w:type="dxa"/>
          </w:tcPr>
          <w:p w14:paraId="25BDDAE1" w14:textId="0EEBE951" w:rsidR="009F25B7" w:rsidRPr="00275302" w:rsidRDefault="009F25B7" w:rsidP="009F25B7">
            <w:pPr>
              <w:ind w:left="0" w:firstLine="0"/>
              <w:rPr>
                <w:bCs/>
                <w:lang w:val="en-US"/>
              </w:rPr>
            </w:pPr>
            <w:r w:rsidRPr="00456299">
              <w:rPr>
                <w:bCs/>
                <w:lang w:val="en-US"/>
              </w:rPr>
              <w:t xml:space="preserve">8 WELCOMES the guidelines on Biodiversity-Inclusive Environmental Impact Assessment and Strategic Impact Assessment provided in the annex to this Resolution, and INVITES Contracting Parties to make good use of them as appropriate, including within </w:t>
            </w:r>
            <w:r w:rsidRPr="001D710F">
              <w:rPr>
                <w:b/>
                <w:lang w:val="en-US"/>
              </w:rPr>
              <w:t>the frameworks of existing regional initiatives and commitments</w:t>
            </w:r>
            <w:r w:rsidRPr="00456299">
              <w:rPr>
                <w:bCs/>
                <w:lang w:val="en-US"/>
              </w:rPr>
              <w:t xml:space="preserve"> and in the context of sustainable development, without prejudice to the practices already established by the Parties;</w:t>
            </w:r>
          </w:p>
        </w:tc>
        <w:tc>
          <w:tcPr>
            <w:tcW w:w="2835" w:type="dxa"/>
          </w:tcPr>
          <w:p w14:paraId="7F82B423" w14:textId="5EB7A616" w:rsidR="009F25B7" w:rsidRPr="00275302" w:rsidRDefault="001D710F"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5108D2D9" w14:textId="77777777" w:rsidTr="00456299">
        <w:tc>
          <w:tcPr>
            <w:tcW w:w="1985" w:type="dxa"/>
          </w:tcPr>
          <w:p w14:paraId="1A930B76" w14:textId="77777777" w:rsidR="009F25B7" w:rsidRPr="00586889" w:rsidRDefault="009F25B7" w:rsidP="009F25B7">
            <w:pPr>
              <w:ind w:left="0" w:firstLine="0"/>
              <w:rPr>
                <w:b/>
                <w:lang w:val="en-US"/>
              </w:rPr>
            </w:pPr>
            <w:r w:rsidRPr="00586889">
              <w:rPr>
                <w:b/>
                <w:lang w:val="en-US"/>
              </w:rPr>
              <w:lastRenderedPageBreak/>
              <w:t xml:space="preserve">X.19 </w:t>
            </w:r>
          </w:p>
          <w:p w14:paraId="03CD72C2" w14:textId="2780FDBD" w:rsidR="009F25B7" w:rsidRPr="00275302" w:rsidRDefault="009F25B7" w:rsidP="009F25B7">
            <w:pPr>
              <w:ind w:left="0" w:firstLine="0"/>
              <w:rPr>
                <w:bCs/>
                <w:lang w:val="en-US"/>
              </w:rPr>
            </w:pPr>
            <w:r w:rsidRPr="00456299">
              <w:rPr>
                <w:bCs/>
                <w:lang w:val="en-US"/>
              </w:rPr>
              <w:t>Wetlands and river basin management: consolidated scientific and technical guidance</w:t>
            </w:r>
          </w:p>
        </w:tc>
        <w:tc>
          <w:tcPr>
            <w:tcW w:w="9355" w:type="dxa"/>
          </w:tcPr>
          <w:p w14:paraId="7BB81FEA" w14:textId="4266ABEE" w:rsidR="009F25B7" w:rsidRPr="00275302" w:rsidRDefault="009F25B7" w:rsidP="009F25B7">
            <w:pPr>
              <w:ind w:left="0" w:firstLine="0"/>
              <w:rPr>
                <w:bCs/>
                <w:lang w:val="en-US"/>
              </w:rPr>
            </w:pPr>
            <w:r w:rsidRPr="000D2FEB">
              <w:rPr>
                <w:rFonts w:asciiTheme="minorHAnsi" w:hAnsiTheme="minorHAnsi"/>
                <w:lang w:val="en-US"/>
              </w:rPr>
              <w:t>5 NOTES the “Consolidated Guidance for integrating wetland conservation and wise use into river basin management” provided in the annex to this Resolution, and INVITES Contracting Parties to make good use of it as appropriate, adapting it as necessary to suit national conditions and circumstances, within the frameworks of existing regional initiatives and commitments, in the context of sustainable development and in accordance with national institutions and legal frameworks;</w:t>
            </w:r>
          </w:p>
        </w:tc>
        <w:tc>
          <w:tcPr>
            <w:tcW w:w="2835" w:type="dxa"/>
          </w:tcPr>
          <w:p w14:paraId="61AD50FD" w14:textId="34D6154A" w:rsidR="009F25B7" w:rsidRPr="00275302" w:rsidRDefault="001D710F"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2FADE343" w14:textId="77777777" w:rsidTr="00456299">
        <w:tc>
          <w:tcPr>
            <w:tcW w:w="1985" w:type="dxa"/>
          </w:tcPr>
          <w:p w14:paraId="6FE63AEE" w14:textId="77777777" w:rsidR="009F25B7" w:rsidRPr="00586889" w:rsidRDefault="009F25B7" w:rsidP="009F25B7">
            <w:pPr>
              <w:ind w:left="0" w:firstLine="0"/>
              <w:rPr>
                <w:b/>
                <w:lang w:val="en-US"/>
              </w:rPr>
            </w:pPr>
            <w:r w:rsidRPr="00586889">
              <w:rPr>
                <w:b/>
                <w:lang w:val="en-US"/>
              </w:rPr>
              <w:t xml:space="preserve">IX.1 </w:t>
            </w:r>
          </w:p>
          <w:p w14:paraId="05A21D6B" w14:textId="15B58619" w:rsidR="009F25B7" w:rsidRPr="00275302" w:rsidRDefault="009F25B7" w:rsidP="009F25B7">
            <w:pPr>
              <w:ind w:left="0" w:firstLine="0"/>
              <w:rPr>
                <w:bCs/>
                <w:lang w:val="en-US"/>
              </w:rPr>
            </w:pPr>
            <w:r w:rsidRPr="00456299">
              <w:rPr>
                <w:bCs/>
                <w:lang w:val="en-US"/>
              </w:rPr>
              <w:t>Additional scientific and technical guidance for implementing the Ramsar wise use concept</w:t>
            </w:r>
          </w:p>
        </w:tc>
        <w:tc>
          <w:tcPr>
            <w:tcW w:w="9355" w:type="dxa"/>
          </w:tcPr>
          <w:p w14:paraId="33F3702E" w14:textId="77777777" w:rsidR="009F25B7" w:rsidRPr="000D2FEB" w:rsidRDefault="009F25B7" w:rsidP="009F25B7">
            <w:pPr>
              <w:pStyle w:val="NormalWeb"/>
              <w:rPr>
                <w:rFonts w:asciiTheme="minorHAnsi" w:hAnsiTheme="minorHAnsi"/>
                <w:sz w:val="22"/>
                <w:szCs w:val="22"/>
                <w:lang w:val="en-US"/>
              </w:rPr>
            </w:pPr>
            <w:r>
              <w:rPr>
                <w:rFonts w:asciiTheme="minorHAnsi" w:hAnsiTheme="minorHAnsi"/>
                <w:sz w:val="22"/>
                <w:szCs w:val="22"/>
                <w:lang w:val="en-US"/>
              </w:rPr>
              <w:t xml:space="preserve">7 </w:t>
            </w:r>
            <w:r w:rsidRPr="000D2FEB">
              <w:rPr>
                <w:rFonts w:asciiTheme="minorHAnsi" w:hAnsiTheme="minorHAnsi"/>
                <w:sz w:val="22"/>
                <w:szCs w:val="22"/>
                <w:lang w:val="en-US"/>
              </w:rPr>
              <w:t xml:space="preserve">WELCOMES the frameworks, guidelines and other advice provided as annexes C, D, and E to this Resolution and URGES Contracting Parties to make good use of them as appropriate, adapting them as necessary to suit national conditions and circumstances and within the frameworks of existing </w:t>
            </w:r>
            <w:r w:rsidRPr="001D710F">
              <w:rPr>
                <w:rFonts w:asciiTheme="minorHAnsi" w:hAnsiTheme="minorHAnsi"/>
                <w:i/>
                <w:iCs/>
                <w:sz w:val="22"/>
                <w:szCs w:val="22"/>
                <w:lang w:val="en-US"/>
              </w:rPr>
              <w:t>regional initiatives and commitments</w:t>
            </w:r>
            <w:r w:rsidRPr="000D2FEB">
              <w:rPr>
                <w:rFonts w:asciiTheme="minorHAnsi" w:hAnsiTheme="minorHAnsi"/>
                <w:sz w:val="22"/>
                <w:szCs w:val="22"/>
                <w:lang w:val="en-US"/>
              </w:rPr>
              <w:t xml:space="preserve"> and in the context of sustainable development; </w:t>
            </w:r>
          </w:p>
          <w:p w14:paraId="374F5156" w14:textId="77777777" w:rsidR="009F25B7" w:rsidRPr="00275302" w:rsidRDefault="009F25B7" w:rsidP="009F25B7">
            <w:pPr>
              <w:ind w:left="0" w:firstLine="0"/>
              <w:rPr>
                <w:bCs/>
                <w:lang w:val="en-US"/>
              </w:rPr>
            </w:pPr>
          </w:p>
        </w:tc>
        <w:tc>
          <w:tcPr>
            <w:tcW w:w="2835" w:type="dxa"/>
          </w:tcPr>
          <w:p w14:paraId="78F0244F" w14:textId="4FF11695" w:rsidR="009F25B7" w:rsidRPr="00275302" w:rsidRDefault="001D710F"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tr w:rsidR="009F25B7" w14:paraId="5EA0343C" w14:textId="77777777" w:rsidTr="00456299">
        <w:tc>
          <w:tcPr>
            <w:tcW w:w="1985" w:type="dxa"/>
          </w:tcPr>
          <w:p w14:paraId="4E1049D0" w14:textId="77777777" w:rsidR="009F25B7" w:rsidRPr="00586889" w:rsidRDefault="009F25B7" w:rsidP="009F25B7">
            <w:pPr>
              <w:ind w:left="0" w:firstLine="0"/>
              <w:rPr>
                <w:b/>
                <w:lang w:val="en-US"/>
              </w:rPr>
            </w:pPr>
            <w:r w:rsidRPr="00586889">
              <w:rPr>
                <w:b/>
                <w:lang w:val="en-US"/>
              </w:rPr>
              <w:t xml:space="preserve">IX.19 </w:t>
            </w:r>
          </w:p>
          <w:p w14:paraId="5B8B51F3" w14:textId="6E6FB219" w:rsidR="009F25B7" w:rsidRPr="00275302" w:rsidRDefault="009F25B7" w:rsidP="009F25B7">
            <w:pPr>
              <w:ind w:left="0" w:firstLine="0"/>
              <w:rPr>
                <w:bCs/>
                <w:lang w:val="en-US"/>
              </w:rPr>
            </w:pPr>
            <w:r w:rsidRPr="00456299">
              <w:rPr>
                <w:bCs/>
                <w:lang w:val="en-US"/>
              </w:rPr>
              <w:t>The importance of regional wetland symposia in effectively implementing the Ramsar Convention</w:t>
            </w:r>
          </w:p>
        </w:tc>
        <w:tc>
          <w:tcPr>
            <w:tcW w:w="9355" w:type="dxa"/>
          </w:tcPr>
          <w:p w14:paraId="0AD3C520" w14:textId="2538211E" w:rsidR="009F25B7" w:rsidRPr="00275302" w:rsidRDefault="009F25B7" w:rsidP="009F25B7">
            <w:pPr>
              <w:ind w:left="0" w:firstLine="0"/>
              <w:rPr>
                <w:bCs/>
                <w:lang w:val="en-US"/>
              </w:rPr>
            </w:pPr>
            <w:r w:rsidRPr="000D2FEB">
              <w:rPr>
                <w:rFonts w:asciiTheme="minorHAnsi" w:hAnsiTheme="minorHAnsi"/>
                <w:lang w:val="en-US"/>
              </w:rPr>
              <w:t>15 RECOMMENDS that Contracting Parties, international NGOs, and other relevant scientific and technical organizations consider the usefulness of establishing similar periodic regional scientific and technical fora where they do not already exist, drawing on the experiences of the Asian Wetland Symposia, as a means of increasing scientific and technical support for the implementation of the Convention including</w:t>
            </w:r>
            <w:r w:rsidRPr="001D710F">
              <w:rPr>
                <w:rFonts w:asciiTheme="minorHAnsi" w:hAnsiTheme="minorHAnsi"/>
                <w:b/>
                <w:bCs/>
                <w:lang w:val="en-US"/>
              </w:rPr>
              <w:t xml:space="preserve">, </w:t>
            </w:r>
            <w:r w:rsidRPr="001D710F">
              <w:rPr>
                <w:rFonts w:asciiTheme="minorHAnsi" w:hAnsiTheme="minorHAnsi"/>
                <w:b/>
                <w:bCs/>
                <w:i/>
                <w:iCs/>
                <w:lang w:val="en-US"/>
              </w:rPr>
              <w:t>inter alia</w:t>
            </w:r>
            <w:r w:rsidRPr="001D710F">
              <w:rPr>
                <w:rFonts w:asciiTheme="minorHAnsi" w:hAnsiTheme="minorHAnsi"/>
                <w:b/>
                <w:bCs/>
                <w:lang w:val="en-US"/>
              </w:rPr>
              <w:t>, any regional initiatives established under the Convention</w:t>
            </w:r>
            <w:r w:rsidRPr="000D2FEB">
              <w:rPr>
                <w:rFonts w:asciiTheme="minorHAnsi" w:hAnsiTheme="minorHAnsi"/>
                <w:lang w:val="en-US"/>
              </w:rPr>
              <w:t>.</w:t>
            </w:r>
          </w:p>
        </w:tc>
        <w:tc>
          <w:tcPr>
            <w:tcW w:w="2835" w:type="dxa"/>
          </w:tcPr>
          <w:p w14:paraId="793E1B09" w14:textId="2493C1D2" w:rsidR="009F25B7" w:rsidRPr="00275302" w:rsidRDefault="001D710F" w:rsidP="009F25B7">
            <w:pPr>
              <w:ind w:left="0" w:firstLine="0"/>
              <w:rPr>
                <w:bCs/>
                <w:lang w:val="en-US"/>
              </w:rPr>
            </w:pPr>
            <w:r>
              <w:rPr>
                <w:bCs/>
                <w:lang w:val="en-US"/>
              </w:rPr>
              <w:t>The text marked with bold in the para c</w:t>
            </w:r>
            <w:r w:rsidRPr="00BF55AD">
              <w:rPr>
                <w:bCs/>
                <w:lang w:val="en-US"/>
              </w:rPr>
              <w:t xml:space="preserve">an be </w:t>
            </w:r>
            <w:r>
              <w:rPr>
                <w:bCs/>
                <w:lang w:val="en-US"/>
              </w:rPr>
              <w:t>exchanged to something more general on regional co-operations</w:t>
            </w:r>
            <w:r w:rsidRPr="00BF55AD">
              <w:rPr>
                <w:bCs/>
                <w:lang w:val="en-US"/>
              </w:rPr>
              <w:t xml:space="preserve"> </w:t>
            </w:r>
            <w:r>
              <w:rPr>
                <w:bCs/>
                <w:lang w:val="en-US"/>
              </w:rPr>
              <w:t>when the resolution in the consolidation process.</w:t>
            </w:r>
          </w:p>
        </w:tc>
      </w:tr>
      <w:bookmarkEnd w:id="5"/>
    </w:tbl>
    <w:p w14:paraId="02836B98" w14:textId="0D999760" w:rsidR="002F7454" w:rsidRPr="0012489A" w:rsidRDefault="002F7454" w:rsidP="00627A4A">
      <w:pPr>
        <w:ind w:left="0" w:firstLine="0"/>
        <w:rPr>
          <w:rFonts w:eastAsia="Times New Roman" w:cs="Calibri"/>
          <w:sz w:val="24"/>
          <w:szCs w:val="24"/>
          <w:lang w:eastAsia="en-GB"/>
        </w:rPr>
      </w:pPr>
    </w:p>
    <w:sectPr w:rsidR="002F7454" w:rsidRPr="0012489A" w:rsidSect="00627A4A">
      <w:headerReference w:type="default" r:id="rId14"/>
      <w:footerReference w:type="default" r:id="rId15"/>
      <w:footerReference w:type="first" r:id="rId16"/>
      <w:pgSz w:w="16838" w:h="11906" w:orient="landscape"/>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774AE" w14:textId="77777777" w:rsidR="004A039A" w:rsidRDefault="004A039A" w:rsidP="00DF2386">
      <w:r>
        <w:separator/>
      </w:r>
    </w:p>
  </w:endnote>
  <w:endnote w:type="continuationSeparator" w:id="0">
    <w:p w14:paraId="774E0930" w14:textId="77777777" w:rsidR="004A039A" w:rsidRDefault="004A039A" w:rsidP="00DF2386">
      <w:r>
        <w:continuationSeparator/>
      </w:r>
    </w:p>
  </w:endnote>
  <w:endnote w:type="continuationNotice" w:id="1">
    <w:p w14:paraId="6F41139E" w14:textId="77777777" w:rsidR="004A039A" w:rsidRDefault="004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4E9F" w14:textId="4331F3C7" w:rsidR="00A90003" w:rsidRPr="00A77D00" w:rsidRDefault="00A90003" w:rsidP="00A77D00">
    <w:pPr>
      <w:pStyle w:val="Header"/>
      <w:rPr>
        <w:noProof/>
        <w:sz w:val="20"/>
        <w:szCs w:val="20"/>
      </w:rPr>
    </w:pPr>
    <w:r w:rsidRPr="00A77D00">
      <w:rPr>
        <w:sz w:val="20"/>
        <w:szCs w:val="20"/>
      </w:rPr>
      <w:t>SC</w:t>
    </w:r>
    <w:r w:rsidR="000A3E87">
      <w:rPr>
        <w:sz w:val="20"/>
        <w:szCs w:val="20"/>
      </w:rPr>
      <w:t>59</w:t>
    </w:r>
    <w:r w:rsidR="00245572">
      <w:rPr>
        <w:sz w:val="20"/>
        <w:szCs w:val="20"/>
      </w:rPr>
      <w:t>/2022</w:t>
    </w:r>
    <w:r w:rsidRPr="00A77D00">
      <w:rPr>
        <w:sz w:val="20"/>
        <w:szCs w:val="20"/>
      </w:rPr>
      <w:t xml:space="preserve"> Doc.</w:t>
    </w:r>
    <w:r w:rsidR="00245572">
      <w:rPr>
        <w:sz w:val="20"/>
        <w:szCs w:val="20"/>
      </w:rPr>
      <w:t>24.11</w:t>
    </w:r>
    <w:r w:rsidRPr="00A77D00">
      <w:rPr>
        <w:sz w:val="20"/>
        <w:szCs w:val="20"/>
      </w:rPr>
      <w:tab/>
    </w:r>
    <w:r w:rsidRPr="00A77D00">
      <w:rPr>
        <w:sz w:val="20"/>
        <w:szCs w:val="20"/>
      </w:rPr>
      <w:tab/>
    </w:r>
    <w:sdt>
      <w:sdtPr>
        <w:rPr>
          <w:sz w:val="20"/>
          <w:szCs w:val="20"/>
        </w:rPr>
        <w:id w:val="-1515519963"/>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9634C1">
          <w:rPr>
            <w:noProof/>
            <w:sz w:val="20"/>
            <w:szCs w:val="20"/>
          </w:rPr>
          <w:t>5</w:t>
        </w:r>
        <w:r w:rsidRPr="00A77D00">
          <w:rPr>
            <w:noProof/>
            <w:sz w:val="20"/>
            <w:szCs w:val="20"/>
          </w:rPr>
          <w:fldChar w:fldCharType="end"/>
        </w:r>
      </w:sdtContent>
    </w:sdt>
  </w:p>
  <w:p w14:paraId="2539D883" w14:textId="77777777" w:rsidR="00A90003" w:rsidRDefault="00A90003" w:rsidP="00A77D00">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73111326" w:rsidR="00A90003" w:rsidRPr="00A77D00" w:rsidRDefault="00A90003" w:rsidP="00245572">
    <w:pPr>
      <w:pStyle w:val="Header"/>
      <w:tabs>
        <w:tab w:val="clear" w:pos="4513"/>
        <w:tab w:val="clear" w:pos="9026"/>
        <w:tab w:val="left" w:pos="13608"/>
      </w:tabs>
      <w:rPr>
        <w:noProof/>
        <w:sz w:val="20"/>
        <w:szCs w:val="20"/>
      </w:rPr>
    </w:pPr>
    <w:r w:rsidRPr="00A77D00">
      <w:rPr>
        <w:sz w:val="20"/>
        <w:szCs w:val="20"/>
      </w:rPr>
      <w:t>SC59</w:t>
    </w:r>
    <w:r w:rsidR="00245572">
      <w:rPr>
        <w:sz w:val="20"/>
        <w:szCs w:val="20"/>
      </w:rPr>
      <w:t>/2022</w:t>
    </w:r>
    <w:r w:rsidRPr="00A77D00">
      <w:rPr>
        <w:sz w:val="20"/>
        <w:szCs w:val="20"/>
      </w:rPr>
      <w:t xml:space="preserve"> Doc.</w:t>
    </w:r>
    <w:r w:rsidR="00245572">
      <w:rPr>
        <w:sz w:val="20"/>
        <w:szCs w:val="20"/>
      </w:rPr>
      <w:t>24.11</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9634C1">
          <w:rPr>
            <w:noProof/>
            <w:sz w:val="20"/>
            <w:szCs w:val="20"/>
          </w:rPr>
          <w:t>12</w:t>
        </w:r>
        <w:r w:rsidRPr="00A77D0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352B" w14:textId="76A448EF" w:rsidR="00A90003" w:rsidRPr="00A77D00" w:rsidRDefault="00A90003" w:rsidP="00A77D00">
    <w:pPr>
      <w:pStyle w:val="Header"/>
      <w:rPr>
        <w:noProof/>
        <w:sz w:val="20"/>
        <w:szCs w:val="20"/>
      </w:rPr>
    </w:pPr>
    <w:r w:rsidRPr="00A77D00">
      <w:rPr>
        <w:sz w:val="20"/>
        <w:szCs w:val="20"/>
      </w:rPr>
      <w:t>SC59 Doc.21.1</w:t>
    </w:r>
    <w:r w:rsidRPr="00A77D00">
      <w:rPr>
        <w:sz w:val="20"/>
        <w:szCs w:val="20"/>
      </w:rPr>
      <w:tab/>
    </w:r>
    <w:r w:rsidRPr="00A77D00">
      <w:rPr>
        <w:sz w:val="20"/>
        <w:szCs w:val="20"/>
      </w:rPr>
      <w:tab/>
    </w:r>
    <w:sdt>
      <w:sdtPr>
        <w:rPr>
          <w:sz w:val="20"/>
          <w:szCs w:val="20"/>
        </w:rPr>
        <w:id w:val="2111695882"/>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Pr>
            <w:noProof/>
            <w:sz w:val="20"/>
            <w:szCs w:val="20"/>
          </w:rPr>
          <w:t>23</w:t>
        </w:r>
        <w:r w:rsidRPr="00A77D0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FDF2F" w14:textId="77777777" w:rsidR="004A039A" w:rsidRDefault="004A039A" w:rsidP="00DF2386">
      <w:r>
        <w:separator/>
      </w:r>
    </w:p>
  </w:footnote>
  <w:footnote w:type="continuationSeparator" w:id="0">
    <w:p w14:paraId="14DCA43E" w14:textId="77777777" w:rsidR="004A039A" w:rsidRDefault="004A039A" w:rsidP="00DF2386">
      <w:r>
        <w:continuationSeparator/>
      </w:r>
    </w:p>
  </w:footnote>
  <w:footnote w:type="continuationNotice" w:id="1">
    <w:p w14:paraId="58E671F9" w14:textId="77777777" w:rsidR="004A039A" w:rsidRDefault="004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A90003" w:rsidRDefault="00A90003">
    <w:pPr>
      <w:pStyle w:val="Header"/>
    </w:pPr>
  </w:p>
  <w:p w14:paraId="2AE5869B" w14:textId="77777777" w:rsidR="00A90003" w:rsidRDefault="00A9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4"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8"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9"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29442F"/>
    <w:multiLevelType w:val="hybridMultilevel"/>
    <w:tmpl w:val="9A7AD1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12"/>
  </w:num>
  <w:num w:numId="6">
    <w:abstractNumId w:val="8"/>
  </w:num>
  <w:num w:numId="7">
    <w:abstractNumId w:val="0"/>
  </w:num>
  <w:num w:numId="8">
    <w:abstractNumId w:val="2"/>
  </w:num>
  <w:num w:numId="9">
    <w:abstractNumId w:val="9"/>
  </w:num>
  <w:num w:numId="10">
    <w:abstractNumId w:val="4"/>
  </w:num>
  <w:num w:numId="11">
    <w:abstractNumId w:val="11"/>
  </w:num>
  <w:num w:numId="12">
    <w:abstractNumId w:val="1"/>
  </w:num>
  <w:num w:numId="13">
    <w:abstractNumId w:val="10"/>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E7A"/>
    <w:rsid w:val="00014168"/>
    <w:rsid w:val="00017A16"/>
    <w:rsid w:val="00017FEA"/>
    <w:rsid w:val="00026E09"/>
    <w:rsid w:val="00027A80"/>
    <w:rsid w:val="00030371"/>
    <w:rsid w:val="00032C4D"/>
    <w:rsid w:val="000354DD"/>
    <w:rsid w:val="00036889"/>
    <w:rsid w:val="00037CE0"/>
    <w:rsid w:val="00042B63"/>
    <w:rsid w:val="00053929"/>
    <w:rsid w:val="00057D70"/>
    <w:rsid w:val="000749F6"/>
    <w:rsid w:val="00074DE8"/>
    <w:rsid w:val="00077504"/>
    <w:rsid w:val="00081070"/>
    <w:rsid w:val="000A3E3E"/>
    <w:rsid w:val="000A3E87"/>
    <w:rsid w:val="000A61DD"/>
    <w:rsid w:val="000C2489"/>
    <w:rsid w:val="000C4A48"/>
    <w:rsid w:val="000C5EEF"/>
    <w:rsid w:val="000C7365"/>
    <w:rsid w:val="000D5C76"/>
    <w:rsid w:val="000E161E"/>
    <w:rsid w:val="000E2FA0"/>
    <w:rsid w:val="000E32EE"/>
    <w:rsid w:val="000E3816"/>
    <w:rsid w:val="000E47E9"/>
    <w:rsid w:val="000F310B"/>
    <w:rsid w:val="001006E9"/>
    <w:rsid w:val="00114138"/>
    <w:rsid w:val="0012005C"/>
    <w:rsid w:val="0012096C"/>
    <w:rsid w:val="00123AFC"/>
    <w:rsid w:val="0012489A"/>
    <w:rsid w:val="00127828"/>
    <w:rsid w:val="0014401A"/>
    <w:rsid w:val="00146A8B"/>
    <w:rsid w:val="001516A8"/>
    <w:rsid w:val="00161BDA"/>
    <w:rsid w:val="0017027E"/>
    <w:rsid w:val="00171618"/>
    <w:rsid w:val="00174DF2"/>
    <w:rsid w:val="001819B1"/>
    <w:rsid w:val="0018300F"/>
    <w:rsid w:val="001A1578"/>
    <w:rsid w:val="001A2D10"/>
    <w:rsid w:val="001A4C3A"/>
    <w:rsid w:val="001B06BF"/>
    <w:rsid w:val="001C5E41"/>
    <w:rsid w:val="001C77BC"/>
    <w:rsid w:val="001D48BB"/>
    <w:rsid w:val="001D710F"/>
    <w:rsid w:val="001E00E3"/>
    <w:rsid w:val="001F0233"/>
    <w:rsid w:val="001F2349"/>
    <w:rsid w:val="001F4532"/>
    <w:rsid w:val="001F502D"/>
    <w:rsid w:val="001F5ECA"/>
    <w:rsid w:val="002002B4"/>
    <w:rsid w:val="002005D2"/>
    <w:rsid w:val="0020298B"/>
    <w:rsid w:val="00206111"/>
    <w:rsid w:val="002137E0"/>
    <w:rsid w:val="0021566A"/>
    <w:rsid w:val="002347F6"/>
    <w:rsid w:val="00245572"/>
    <w:rsid w:val="00247AE7"/>
    <w:rsid w:val="002741AC"/>
    <w:rsid w:val="00275302"/>
    <w:rsid w:val="00275F13"/>
    <w:rsid w:val="00280714"/>
    <w:rsid w:val="002819C0"/>
    <w:rsid w:val="00284D23"/>
    <w:rsid w:val="00285D93"/>
    <w:rsid w:val="0029079B"/>
    <w:rsid w:val="00291F0A"/>
    <w:rsid w:val="00292637"/>
    <w:rsid w:val="00293919"/>
    <w:rsid w:val="002942F9"/>
    <w:rsid w:val="00295556"/>
    <w:rsid w:val="00295BB5"/>
    <w:rsid w:val="002978F0"/>
    <w:rsid w:val="002A5A4D"/>
    <w:rsid w:val="002B106E"/>
    <w:rsid w:val="002B4262"/>
    <w:rsid w:val="002B6506"/>
    <w:rsid w:val="002C261A"/>
    <w:rsid w:val="002C7689"/>
    <w:rsid w:val="002D0F2E"/>
    <w:rsid w:val="002D211D"/>
    <w:rsid w:val="002D5A4D"/>
    <w:rsid w:val="002E0F4C"/>
    <w:rsid w:val="002E22AF"/>
    <w:rsid w:val="002E6A2F"/>
    <w:rsid w:val="002F12D4"/>
    <w:rsid w:val="002F6155"/>
    <w:rsid w:val="002F7454"/>
    <w:rsid w:val="003022C6"/>
    <w:rsid w:val="003038C4"/>
    <w:rsid w:val="00304664"/>
    <w:rsid w:val="00320338"/>
    <w:rsid w:val="00324398"/>
    <w:rsid w:val="00331449"/>
    <w:rsid w:val="0033280D"/>
    <w:rsid w:val="00335864"/>
    <w:rsid w:val="0033601A"/>
    <w:rsid w:val="003370D3"/>
    <w:rsid w:val="0035473A"/>
    <w:rsid w:val="003565B3"/>
    <w:rsid w:val="00380D31"/>
    <w:rsid w:val="003841D5"/>
    <w:rsid w:val="00384FC3"/>
    <w:rsid w:val="003914D9"/>
    <w:rsid w:val="003A3804"/>
    <w:rsid w:val="003A40E2"/>
    <w:rsid w:val="003A52BE"/>
    <w:rsid w:val="003A5866"/>
    <w:rsid w:val="003A6E9F"/>
    <w:rsid w:val="003B7E13"/>
    <w:rsid w:val="003C2D9F"/>
    <w:rsid w:val="003D4CD6"/>
    <w:rsid w:val="003E1FCF"/>
    <w:rsid w:val="003F4793"/>
    <w:rsid w:val="00400B9A"/>
    <w:rsid w:val="00400F34"/>
    <w:rsid w:val="00402393"/>
    <w:rsid w:val="0040748D"/>
    <w:rsid w:val="00415C75"/>
    <w:rsid w:val="004228C7"/>
    <w:rsid w:val="00424D50"/>
    <w:rsid w:val="0042798B"/>
    <w:rsid w:val="0043222D"/>
    <w:rsid w:val="00434913"/>
    <w:rsid w:val="00441F1C"/>
    <w:rsid w:val="004474F8"/>
    <w:rsid w:val="00456299"/>
    <w:rsid w:val="00460388"/>
    <w:rsid w:val="00463E9C"/>
    <w:rsid w:val="004725FC"/>
    <w:rsid w:val="00477550"/>
    <w:rsid w:val="0048026F"/>
    <w:rsid w:val="004824BB"/>
    <w:rsid w:val="004844A8"/>
    <w:rsid w:val="00485492"/>
    <w:rsid w:val="00491BEF"/>
    <w:rsid w:val="00496803"/>
    <w:rsid w:val="004A039A"/>
    <w:rsid w:val="004A67D2"/>
    <w:rsid w:val="004B6688"/>
    <w:rsid w:val="004B74FA"/>
    <w:rsid w:val="004B7FA1"/>
    <w:rsid w:val="004C2E2B"/>
    <w:rsid w:val="004D1625"/>
    <w:rsid w:val="00506E6E"/>
    <w:rsid w:val="00511D20"/>
    <w:rsid w:val="00522BC7"/>
    <w:rsid w:val="005244A4"/>
    <w:rsid w:val="00527783"/>
    <w:rsid w:val="00535B5E"/>
    <w:rsid w:val="0054257B"/>
    <w:rsid w:val="005469A0"/>
    <w:rsid w:val="0057405B"/>
    <w:rsid w:val="0058138D"/>
    <w:rsid w:val="005814B5"/>
    <w:rsid w:val="00581EDA"/>
    <w:rsid w:val="00586442"/>
    <w:rsid w:val="00586889"/>
    <w:rsid w:val="00591F70"/>
    <w:rsid w:val="005A291A"/>
    <w:rsid w:val="005C4ED0"/>
    <w:rsid w:val="005D3E9D"/>
    <w:rsid w:val="005D5D95"/>
    <w:rsid w:val="005E0D93"/>
    <w:rsid w:val="005E29EA"/>
    <w:rsid w:val="005E4C99"/>
    <w:rsid w:val="00603322"/>
    <w:rsid w:val="00603A46"/>
    <w:rsid w:val="00603AF0"/>
    <w:rsid w:val="00607547"/>
    <w:rsid w:val="00616B4C"/>
    <w:rsid w:val="006256D3"/>
    <w:rsid w:val="00627A4A"/>
    <w:rsid w:val="00627BB7"/>
    <w:rsid w:val="0063739A"/>
    <w:rsid w:val="00642C9E"/>
    <w:rsid w:val="00644A13"/>
    <w:rsid w:val="006471FA"/>
    <w:rsid w:val="00651313"/>
    <w:rsid w:val="0065136E"/>
    <w:rsid w:val="0066479C"/>
    <w:rsid w:val="00665315"/>
    <w:rsid w:val="00670D71"/>
    <w:rsid w:val="006811BF"/>
    <w:rsid w:val="00681AC9"/>
    <w:rsid w:val="00695D91"/>
    <w:rsid w:val="00695F3C"/>
    <w:rsid w:val="00697C1D"/>
    <w:rsid w:val="006A00E5"/>
    <w:rsid w:val="006B211D"/>
    <w:rsid w:val="006E7836"/>
    <w:rsid w:val="006E7DCE"/>
    <w:rsid w:val="006F1793"/>
    <w:rsid w:val="007050FF"/>
    <w:rsid w:val="0070596A"/>
    <w:rsid w:val="007133F1"/>
    <w:rsid w:val="00714005"/>
    <w:rsid w:val="00717CCD"/>
    <w:rsid w:val="00723EB5"/>
    <w:rsid w:val="0072595F"/>
    <w:rsid w:val="00726751"/>
    <w:rsid w:val="00745B79"/>
    <w:rsid w:val="00746EC1"/>
    <w:rsid w:val="007472B2"/>
    <w:rsid w:val="00752764"/>
    <w:rsid w:val="00762430"/>
    <w:rsid w:val="00762F77"/>
    <w:rsid w:val="0076682C"/>
    <w:rsid w:val="00766962"/>
    <w:rsid w:val="00774643"/>
    <w:rsid w:val="00775287"/>
    <w:rsid w:val="00776612"/>
    <w:rsid w:val="00781C79"/>
    <w:rsid w:val="007843C4"/>
    <w:rsid w:val="007A372E"/>
    <w:rsid w:val="007B3A5C"/>
    <w:rsid w:val="007B7631"/>
    <w:rsid w:val="007B7FDF"/>
    <w:rsid w:val="007D33F4"/>
    <w:rsid w:val="007E133B"/>
    <w:rsid w:val="007E25B1"/>
    <w:rsid w:val="007F3ABE"/>
    <w:rsid w:val="007F53B6"/>
    <w:rsid w:val="007F7C00"/>
    <w:rsid w:val="007F7FB2"/>
    <w:rsid w:val="00806991"/>
    <w:rsid w:val="0081553D"/>
    <w:rsid w:val="00816E0C"/>
    <w:rsid w:val="008249D1"/>
    <w:rsid w:val="00825E19"/>
    <w:rsid w:val="00826BB1"/>
    <w:rsid w:val="00831A2F"/>
    <w:rsid w:val="008328E9"/>
    <w:rsid w:val="00835BCB"/>
    <w:rsid w:val="00835CDC"/>
    <w:rsid w:val="008465FE"/>
    <w:rsid w:val="00850B09"/>
    <w:rsid w:val="00857746"/>
    <w:rsid w:val="00863B9D"/>
    <w:rsid w:val="00863BE6"/>
    <w:rsid w:val="00875462"/>
    <w:rsid w:val="008775BC"/>
    <w:rsid w:val="00881917"/>
    <w:rsid w:val="00881FFD"/>
    <w:rsid w:val="00882661"/>
    <w:rsid w:val="00882F1B"/>
    <w:rsid w:val="00883A54"/>
    <w:rsid w:val="008977E5"/>
    <w:rsid w:val="008A70CE"/>
    <w:rsid w:val="008B659C"/>
    <w:rsid w:val="008C25E4"/>
    <w:rsid w:val="008C2DAE"/>
    <w:rsid w:val="008C59EB"/>
    <w:rsid w:val="008F6687"/>
    <w:rsid w:val="008F6A50"/>
    <w:rsid w:val="009059A9"/>
    <w:rsid w:val="00913505"/>
    <w:rsid w:val="009138DA"/>
    <w:rsid w:val="009226AC"/>
    <w:rsid w:val="0092515E"/>
    <w:rsid w:val="00933122"/>
    <w:rsid w:val="00941723"/>
    <w:rsid w:val="00942FBD"/>
    <w:rsid w:val="0094770B"/>
    <w:rsid w:val="0095590A"/>
    <w:rsid w:val="009577A1"/>
    <w:rsid w:val="009626BE"/>
    <w:rsid w:val="009627B2"/>
    <w:rsid w:val="009634C1"/>
    <w:rsid w:val="00963DA4"/>
    <w:rsid w:val="0096430E"/>
    <w:rsid w:val="00973739"/>
    <w:rsid w:val="00974097"/>
    <w:rsid w:val="00975E44"/>
    <w:rsid w:val="0097758C"/>
    <w:rsid w:val="00977B6A"/>
    <w:rsid w:val="009837E7"/>
    <w:rsid w:val="00986AE6"/>
    <w:rsid w:val="00995BE2"/>
    <w:rsid w:val="009A1374"/>
    <w:rsid w:val="009B2267"/>
    <w:rsid w:val="009C315E"/>
    <w:rsid w:val="009C460A"/>
    <w:rsid w:val="009C721C"/>
    <w:rsid w:val="009C79BE"/>
    <w:rsid w:val="009E0AE8"/>
    <w:rsid w:val="009E5374"/>
    <w:rsid w:val="009F0C3D"/>
    <w:rsid w:val="009F22AD"/>
    <w:rsid w:val="009F25B7"/>
    <w:rsid w:val="009F345D"/>
    <w:rsid w:val="009F6240"/>
    <w:rsid w:val="00A038A0"/>
    <w:rsid w:val="00A103F9"/>
    <w:rsid w:val="00A13218"/>
    <w:rsid w:val="00A162BC"/>
    <w:rsid w:val="00A16ADD"/>
    <w:rsid w:val="00A17151"/>
    <w:rsid w:val="00A22339"/>
    <w:rsid w:val="00A227A3"/>
    <w:rsid w:val="00A22ED9"/>
    <w:rsid w:val="00A2595B"/>
    <w:rsid w:val="00A268B2"/>
    <w:rsid w:val="00A31448"/>
    <w:rsid w:val="00A35666"/>
    <w:rsid w:val="00A35BDA"/>
    <w:rsid w:val="00A37D4F"/>
    <w:rsid w:val="00A44886"/>
    <w:rsid w:val="00A46D6F"/>
    <w:rsid w:val="00A603F3"/>
    <w:rsid w:val="00A60B73"/>
    <w:rsid w:val="00A62B3E"/>
    <w:rsid w:val="00A637B6"/>
    <w:rsid w:val="00A63BC4"/>
    <w:rsid w:val="00A75223"/>
    <w:rsid w:val="00A76B2F"/>
    <w:rsid w:val="00A77D00"/>
    <w:rsid w:val="00A80080"/>
    <w:rsid w:val="00A85614"/>
    <w:rsid w:val="00A85DAB"/>
    <w:rsid w:val="00A90003"/>
    <w:rsid w:val="00A92432"/>
    <w:rsid w:val="00AA02D4"/>
    <w:rsid w:val="00AA03C2"/>
    <w:rsid w:val="00AB1BEF"/>
    <w:rsid w:val="00AB24A9"/>
    <w:rsid w:val="00AB28F1"/>
    <w:rsid w:val="00AB3A75"/>
    <w:rsid w:val="00AB4951"/>
    <w:rsid w:val="00AC2554"/>
    <w:rsid w:val="00AD01AD"/>
    <w:rsid w:val="00AD4069"/>
    <w:rsid w:val="00AD42F0"/>
    <w:rsid w:val="00AE4FF2"/>
    <w:rsid w:val="00AE7CFF"/>
    <w:rsid w:val="00AF0BBB"/>
    <w:rsid w:val="00AF4497"/>
    <w:rsid w:val="00B059E2"/>
    <w:rsid w:val="00B156F6"/>
    <w:rsid w:val="00B17EFC"/>
    <w:rsid w:val="00B20C36"/>
    <w:rsid w:val="00B27CB5"/>
    <w:rsid w:val="00B27D23"/>
    <w:rsid w:val="00B315A0"/>
    <w:rsid w:val="00B34A18"/>
    <w:rsid w:val="00B34AF2"/>
    <w:rsid w:val="00B43841"/>
    <w:rsid w:val="00B468CE"/>
    <w:rsid w:val="00B50FE1"/>
    <w:rsid w:val="00B52CE4"/>
    <w:rsid w:val="00B541F5"/>
    <w:rsid w:val="00B579CB"/>
    <w:rsid w:val="00B626CD"/>
    <w:rsid w:val="00B6398B"/>
    <w:rsid w:val="00B67FE1"/>
    <w:rsid w:val="00B70083"/>
    <w:rsid w:val="00B7121F"/>
    <w:rsid w:val="00B73554"/>
    <w:rsid w:val="00B73B3A"/>
    <w:rsid w:val="00B773E1"/>
    <w:rsid w:val="00B83EF9"/>
    <w:rsid w:val="00B925AB"/>
    <w:rsid w:val="00B947D5"/>
    <w:rsid w:val="00BA66E2"/>
    <w:rsid w:val="00BB28F6"/>
    <w:rsid w:val="00BB31F3"/>
    <w:rsid w:val="00BB6F8F"/>
    <w:rsid w:val="00BC2609"/>
    <w:rsid w:val="00BD4486"/>
    <w:rsid w:val="00BD4DA4"/>
    <w:rsid w:val="00BD565E"/>
    <w:rsid w:val="00BE204E"/>
    <w:rsid w:val="00BE49B0"/>
    <w:rsid w:val="00BF55AD"/>
    <w:rsid w:val="00C0528F"/>
    <w:rsid w:val="00C1184B"/>
    <w:rsid w:val="00C1292B"/>
    <w:rsid w:val="00C13145"/>
    <w:rsid w:val="00C20858"/>
    <w:rsid w:val="00C24F6B"/>
    <w:rsid w:val="00C26AC6"/>
    <w:rsid w:val="00C3561B"/>
    <w:rsid w:val="00C53FB8"/>
    <w:rsid w:val="00C54833"/>
    <w:rsid w:val="00C54848"/>
    <w:rsid w:val="00C65A25"/>
    <w:rsid w:val="00C817CB"/>
    <w:rsid w:val="00C81BA2"/>
    <w:rsid w:val="00C8780E"/>
    <w:rsid w:val="00CA32AC"/>
    <w:rsid w:val="00CA7384"/>
    <w:rsid w:val="00CB5D33"/>
    <w:rsid w:val="00CC359E"/>
    <w:rsid w:val="00CD002B"/>
    <w:rsid w:val="00CD3067"/>
    <w:rsid w:val="00CE1E10"/>
    <w:rsid w:val="00CE6745"/>
    <w:rsid w:val="00CE750F"/>
    <w:rsid w:val="00CF06B6"/>
    <w:rsid w:val="00CF15EA"/>
    <w:rsid w:val="00CF4496"/>
    <w:rsid w:val="00D03679"/>
    <w:rsid w:val="00D05019"/>
    <w:rsid w:val="00D058F6"/>
    <w:rsid w:val="00D122F6"/>
    <w:rsid w:val="00D154CC"/>
    <w:rsid w:val="00D160CB"/>
    <w:rsid w:val="00D245A1"/>
    <w:rsid w:val="00D31F04"/>
    <w:rsid w:val="00D3734D"/>
    <w:rsid w:val="00D412FB"/>
    <w:rsid w:val="00D415E2"/>
    <w:rsid w:val="00D42055"/>
    <w:rsid w:val="00D61885"/>
    <w:rsid w:val="00D64255"/>
    <w:rsid w:val="00D647C3"/>
    <w:rsid w:val="00D72CA1"/>
    <w:rsid w:val="00D93258"/>
    <w:rsid w:val="00D9633A"/>
    <w:rsid w:val="00D965BC"/>
    <w:rsid w:val="00DA4E72"/>
    <w:rsid w:val="00DA7C20"/>
    <w:rsid w:val="00DA7E51"/>
    <w:rsid w:val="00DC6424"/>
    <w:rsid w:val="00DD206E"/>
    <w:rsid w:val="00DD4889"/>
    <w:rsid w:val="00DE0776"/>
    <w:rsid w:val="00DE3825"/>
    <w:rsid w:val="00DF02FE"/>
    <w:rsid w:val="00DF0924"/>
    <w:rsid w:val="00DF2386"/>
    <w:rsid w:val="00DF7FE7"/>
    <w:rsid w:val="00E03A98"/>
    <w:rsid w:val="00E11742"/>
    <w:rsid w:val="00E21FBB"/>
    <w:rsid w:val="00E30CBA"/>
    <w:rsid w:val="00E46367"/>
    <w:rsid w:val="00E5511F"/>
    <w:rsid w:val="00E55F63"/>
    <w:rsid w:val="00E63F0B"/>
    <w:rsid w:val="00E70E88"/>
    <w:rsid w:val="00E75F82"/>
    <w:rsid w:val="00E800F9"/>
    <w:rsid w:val="00E81D16"/>
    <w:rsid w:val="00E82D0D"/>
    <w:rsid w:val="00E92301"/>
    <w:rsid w:val="00E94620"/>
    <w:rsid w:val="00E96D3E"/>
    <w:rsid w:val="00E9702A"/>
    <w:rsid w:val="00EA3A7F"/>
    <w:rsid w:val="00EA5DAF"/>
    <w:rsid w:val="00EB2684"/>
    <w:rsid w:val="00EB462B"/>
    <w:rsid w:val="00ED1FA0"/>
    <w:rsid w:val="00EE71D8"/>
    <w:rsid w:val="00EF2B22"/>
    <w:rsid w:val="00F00320"/>
    <w:rsid w:val="00F0280E"/>
    <w:rsid w:val="00F0299D"/>
    <w:rsid w:val="00F078F1"/>
    <w:rsid w:val="00F214B4"/>
    <w:rsid w:val="00F25B8F"/>
    <w:rsid w:val="00F26400"/>
    <w:rsid w:val="00F32D03"/>
    <w:rsid w:val="00F344DE"/>
    <w:rsid w:val="00F36CA5"/>
    <w:rsid w:val="00F45DD5"/>
    <w:rsid w:val="00F478F9"/>
    <w:rsid w:val="00F63609"/>
    <w:rsid w:val="00F73E71"/>
    <w:rsid w:val="00F91FB8"/>
    <w:rsid w:val="00F95970"/>
    <w:rsid w:val="00FA7462"/>
    <w:rsid w:val="00FB3CAC"/>
    <w:rsid w:val="00FC6300"/>
    <w:rsid w:val="00FD3D90"/>
    <w:rsid w:val="00FD7329"/>
    <w:rsid w:val="00FE5C59"/>
    <w:rsid w:val="00FF19D7"/>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F73C8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3.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4.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5.xml><?xml version="1.0" encoding="utf-8"?>
<ds:datastoreItem xmlns:ds="http://schemas.openxmlformats.org/officeDocument/2006/customXml" ds:itemID="{F09DE30D-9469-4031-ACF5-3BEB5D720E26}">
  <ds:schemaRefs>
    <ds:schemaRef ds:uri="http://schemas.microsoft.com/office/2006/documentManagement/types"/>
    <ds:schemaRef ds:uri="http://www.w3.org/XML/1998/namespace"/>
    <ds:schemaRef ds:uri="http://purl.org/dc/dcmitype/"/>
    <ds:schemaRef ds:uri="5af92df4-ae3d-4772-abff-92e7cba13994"/>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sharepoint/v4"/>
    <ds:schemaRef ds:uri="http://purl.org/dc/terms/"/>
  </ds:schemaRefs>
</ds:datastoreItem>
</file>

<file path=customXml/itemProps6.xml><?xml version="1.0" encoding="utf-8"?>
<ds:datastoreItem xmlns:ds="http://schemas.openxmlformats.org/officeDocument/2006/customXml" ds:itemID="{F1366313-418C-4F39-A3AD-77B1BCBA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4213</Words>
  <Characters>24020</Characters>
  <Application>Microsoft Office Word</Application>
  <DocSecurity>0</DocSecurity>
  <Lines>200</Lines>
  <Paragraphs>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IUCN</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3</cp:revision>
  <cp:lastPrinted>2020-04-06T13:42:00Z</cp:lastPrinted>
  <dcterms:created xsi:type="dcterms:W3CDTF">2022-03-24T18:14:00Z</dcterms:created>
  <dcterms:modified xsi:type="dcterms:W3CDTF">2022-03-29T11:27:00Z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