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E4A4" w14:textId="7CFBC266" w:rsidR="00275F13" w:rsidRPr="00DC56B3" w:rsidRDefault="00691AB6"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DC56B3">
        <w:rPr>
          <w:bCs/>
          <w:sz w:val="24"/>
          <w:szCs w:val="24"/>
          <w:lang w:val="es-ES"/>
        </w:rPr>
        <w:t>LA CONVENCIÓN SOBRE LOS HUMEDALES</w:t>
      </w:r>
    </w:p>
    <w:p w14:paraId="29243701" w14:textId="6B4F4CDF" w:rsidR="00DF2386" w:rsidRPr="00DC56B3" w:rsidRDefault="004A3964"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DC56B3">
        <w:rPr>
          <w:bCs/>
          <w:sz w:val="24"/>
          <w:szCs w:val="24"/>
          <w:lang w:val="es-ES"/>
        </w:rPr>
        <w:t>59</w:t>
      </w:r>
      <w:r w:rsidR="00691AB6" w:rsidRPr="00DC56B3">
        <w:rPr>
          <w:bCs/>
          <w:sz w:val="24"/>
          <w:szCs w:val="24"/>
          <w:lang w:val="es-ES"/>
        </w:rPr>
        <w:t>ª Reunión del Comité Permanente</w:t>
      </w:r>
    </w:p>
    <w:p w14:paraId="2A0FA061" w14:textId="1BD823BB" w:rsidR="00AB1AB2" w:rsidRPr="00DC56B3" w:rsidRDefault="00AB1AB2"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DC56B3">
        <w:rPr>
          <w:bCs/>
          <w:sz w:val="24"/>
          <w:szCs w:val="24"/>
          <w:lang w:val="es-ES"/>
        </w:rPr>
        <w:t>R</w:t>
      </w:r>
      <w:r w:rsidR="00691AB6" w:rsidRPr="00DC56B3">
        <w:rPr>
          <w:bCs/>
          <w:sz w:val="24"/>
          <w:szCs w:val="24"/>
          <w:lang w:val="es-ES"/>
        </w:rPr>
        <w:t>eanudación de la reunión</w:t>
      </w:r>
    </w:p>
    <w:p w14:paraId="6D5EE984" w14:textId="6462EF86" w:rsidR="00DF2386" w:rsidRPr="00DC56B3" w:rsidRDefault="00DF2386"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lang w:val="es-ES"/>
        </w:rPr>
      </w:pPr>
      <w:r w:rsidRPr="00DC56B3">
        <w:rPr>
          <w:bCs/>
          <w:sz w:val="24"/>
          <w:szCs w:val="24"/>
          <w:lang w:val="es-ES"/>
        </w:rPr>
        <w:t>Gland, S</w:t>
      </w:r>
      <w:r w:rsidR="00691AB6" w:rsidRPr="00DC56B3">
        <w:rPr>
          <w:bCs/>
          <w:sz w:val="24"/>
          <w:szCs w:val="24"/>
          <w:lang w:val="es-ES"/>
        </w:rPr>
        <w:t>uiza, 23 a 27 de mayo de 2022</w:t>
      </w:r>
    </w:p>
    <w:p w14:paraId="6D316A15" w14:textId="77777777" w:rsidR="00DF2386" w:rsidRPr="00DC56B3" w:rsidRDefault="00DF2386" w:rsidP="00D3734D">
      <w:pPr>
        <w:outlineLvl w:val="0"/>
        <w:rPr>
          <w:b/>
          <w:sz w:val="28"/>
          <w:szCs w:val="28"/>
          <w:lang w:val="es-ES"/>
        </w:rPr>
      </w:pPr>
    </w:p>
    <w:p w14:paraId="1BBF8EA8" w14:textId="51CDEB7E" w:rsidR="00DF2386" w:rsidRPr="00DC56B3" w:rsidRDefault="00B83EF9" w:rsidP="00D3734D">
      <w:pPr>
        <w:jc w:val="right"/>
        <w:rPr>
          <w:rFonts w:cs="Arial"/>
          <w:sz w:val="28"/>
          <w:szCs w:val="28"/>
          <w:lang w:val="es-ES"/>
        </w:rPr>
      </w:pPr>
      <w:r w:rsidRPr="00DC56B3">
        <w:rPr>
          <w:rFonts w:cs="Arial"/>
          <w:b/>
          <w:sz w:val="28"/>
          <w:szCs w:val="28"/>
          <w:lang w:val="es-ES"/>
        </w:rPr>
        <w:t>SC</w:t>
      </w:r>
      <w:r w:rsidR="00347DB0" w:rsidRPr="00DC56B3">
        <w:rPr>
          <w:rFonts w:cs="Arial"/>
          <w:b/>
          <w:sz w:val="28"/>
          <w:szCs w:val="28"/>
          <w:lang w:val="es-ES"/>
        </w:rPr>
        <w:t>59</w:t>
      </w:r>
      <w:r w:rsidR="00AB1AB2" w:rsidRPr="00DC56B3">
        <w:rPr>
          <w:rFonts w:cs="Arial"/>
          <w:b/>
          <w:sz w:val="28"/>
          <w:szCs w:val="28"/>
          <w:lang w:val="es-ES"/>
        </w:rPr>
        <w:t>/2022</w:t>
      </w:r>
      <w:r w:rsidR="00506E6E" w:rsidRPr="00DC56B3">
        <w:rPr>
          <w:rFonts w:cs="Arial"/>
          <w:b/>
          <w:sz w:val="28"/>
          <w:szCs w:val="28"/>
          <w:lang w:val="es-ES"/>
        </w:rPr>
        <w:t xml:space="preserve"> </w:t>
      </w:r>
      <w:r w:rsidR="00746EC1" w:rsidRPr="00DC56B3">
        <w:rPr>
          <w:rFonts w:cs="Arial"/>
          <w:b/>
          <w:sz w:val="28"/>
          <w:szCs w:val="28"/>
          <w:lang w:val="es-ES"/>
        </w:rPr>
        <w:t>Doc.</w:t>
      </w:r>
      <w:r w:rsidR="00AB1AB2" w:rsidRPr="00DC56B3">
        <w:rPr>
          <w:rFonts w:cs="Arial"/>
          <w:b/>
          <w:sz w:val="28"/>
          <w:szCs w:val="28"/>
          <w:lang w:val="es-ES"/>
        </w:rPr>
        <w:t>24.</w:t>
      </w:r>
      <w:r w:rsidR="00EF716E">
        <w:rPr>
          <w:rFonts w:cs="Arial"/>
          <w:b/>
          <w:sz w:val="28"/>
          <w:szCs w:val="28"/>
          <w:lang w:val="es-ES"/>
        </w:rPr>
        <w:t>10</w:t>
      </w:r>
    </w:p>
    <w:p w14:paraId="1ED09395" w14:textId="77777777" w:rsidR="00DF2386" w:rsidRPr="00DC56B3" w:rsidRDefault="00DF2386" w:rsidP="00D3734D">
      <w:pPr>
        <w:ind w:left="0" w:firstLine="0"/>
        <w:jc w:val="center"/>
        <w:rPr>
          <w:rFonts w:cs="Arial"/>
          <w:b/>
          <w:sz w:val="28"/>
          <w:szCs w:val="28"/>
          <w:lang w:val="es-ES"/>
        </w:rPr>
      </w:pPr>
    </w:p>
    <w:p w14:paraId="6412A1AF" w14:textId="5EEAC450" w:rsidR="00EB462B" w:rsidRPr="00DC56B3" w:rsidRDefault="00EB462B" w:rsidP="00D3734D">
      <w:pPr>
        <w:ind w:left="0" w:firstLine="0"/>
        <w:jc w:val="center"/>
        <w:rPr>
          <w:rFonts w:cs="Arial"/>
          <w:b/>
          <w:sz w:val="28"/>
          <w:szCs w:val="28"/>
          <w:lang w:val="es-ES"/>
        </w:rPr>
      </w:pPr>
      <w:bookmarkStart w:id="0" w:name="_Hlk92796366"/>
      <w:r w:rsidRPr="00DC56B3">
        <w:rPr>
          <w:rFonts w:cs="Arial"/>
          <w:b/>
          <w:sz w:val="28"/>
          <w:szCs w:val="28"/>
          <w:lang w:val="es-ES"/>
        </w:rPr>
        <w:t>Pro</w:t>
      </w:r>
      <w:r w:rsidR="00691AB6" w:rsidRPr="00DC56B3">
        <w:rPr>
          <w:rFonts w:cs="Arial"/>
          <w:b/>
          <w:sz w:val="28"/>
          <w:szCs w:val="28"/>
          <w:lang w:val="es-ES"/>
        </w:rPr>
        <w:t>yecto de resolución propuesto</w:t>
      </w:r>
    </w:p>
    <w:p w14:paraId="06B61086" w14:textId="6EB83142" w:rsidR="00DF2386" w:rsidRPr="00DC56B3" w:rsidRDefault="00034654" w:rsidP="00D3734D">
      <w:pPr>
        <w:ind w:left="0" w:firstLine="0"/>
        <w:jc w:val="center"/>
        <w:rPr>
          <w:rFonts w:cs="Arial"/>
          <w:b/>
          <w:sz w:val="28"/>
          <w:szCs w:val="28"/>
          <w:lang w:val="es-ES"/>
        </w:rPr>
      </w:pPr>
      <w:r w:rsidRPr="00DC56B3">
        <w:rPr>
          <w:rFonts w:cs="Arial"/>
          <w:b/>
          <w:sz w:val="28"/>
          <w:szCs w:val="28"/>
          <w:lang w:val="es-ES"/>
        </w:rPr>
        <w:t>Iniciativas regionales de Ramsar</w:t>
      </w:r>
      <w:r w:rsidR="00A46D6F" w:rsidRPr="00DC56B3">
        <w:rPr>
          <w:rFonts w:cs="Arial"/>
          <w:b/>
          <w:sz w:val="28"/>
          <w:szCs w:val="28"/>
          <w:lang w:val="es-ES"/>
        </w:rPr>
        <w:t xml:space="preserve"> </w:t>
      </w:r>
      <w:r w:rsidR="00506E6E" w:rsidRPr="00DC56B3">
        <w:rPr>
          <w:rFonts w:cs="Arial"/>
          <w:b/>
          <w:sz w:val="28"/>
          <w:szCs w:val="28"/>
          <w:lang w:val="es-ES"/>
        </w:rPr>
        <w:t xml:space="preserve">– </w:t>
      </w:r>
      <w:r w:rsidR="00015C8E" w:rsidRPr="00DC56B3">
        <w:rPr>
          <w:rFonts w:cs="Arial"/>
          <w:b/>
          <w:sz w:val="28"/>
          <w:szCs w:val="28"/>
          <w:lang w:val="es-ES"/>
        </w:rPr>
        <w:t>COP14-COP15</w:t>
      </w:r>
    </w:p>
    <w:bookmarkEnd w:id="0"/>
    <w:p w14:paraId="70DEADEC" w14:textId="41199B72" w:rsidR="007B7FDF" w:rsidRPr="00DC56B3" w:rsidRDefault="007B7FDF" w:rsidP="00D3734D">
      <w:pPr>
        <w:rPr>
          <w:rFonts w:ascii="Garamond" w:hAnsi="Garamond" w:cs="Arial"/>
          <w:sz w:val="28"/>
          <w:szCs w:val="28"/>
          <w:lang w:val="es-ES"/>
        </w:rPr>
      </w:pPr>
    </w:p>
    <w:p w14:paraId="0E6D2EAC" w14:textId="0CACFF1B" w:rsidR="00AD01AD" w:rsidRDefault="00034654" w:rsidP="00D3734D">
      <w:pPr>
        <w:rPr>
          <w:rFonts w:asciiTheme="minorHAnsi" w:eastAsia="Times New Roman" w:hAnsiTheme="minorHAnsi"/>
          <w:i/>
          <w:lang w:val="es-ES"/>
        </w:rPr>
      </w:pPr>
      <w:r w:rsidRPr="00DC56B3">
        <w:rPr>
          <w:rFonts w:asciiTheme="minorHAnsi" w:eastAsia="Times New Roman" w:hAnsiTheme="minorHAnsi"/>
          <w:i/>
          <w:lang w:val="es-ES"/>
        </w:rPr>
        <w:t>Presentado por Suecia</w:t>
      </w:r>
    </w:p>
    <w:p w14:paraId="330B2C1F" w14:textId="77777777" w:rsidR="00A702B7" w:rsidRDefault="00A702B7" w:rsidP="00A702B7">
      <w:pPr>
        <w:ind w:left="0" w:firstLine="0"/>
        <w:rPr>
          <w:lang w:val="es-ES"/>
        </w:rPr>
      </w:pPr>
    </w:p>
    <w:p w14:paraId="14372233" w14:textId="068B9545" w:rsidR="00A702B7" w:rsidRPr="00A702B7" w:rsidRDefault="00A702B7" w:rsidP="00A702B7">
      <w:pPr>
        <w:ind w:left="0" w:firstLine="0"/>
        <w:rPr>
          <w:i/>
          <w:lang w:val="es-ES"/>
        </w:rPr>
      </w:pPr>
      <w:r w:rsidRPr="00A702B7">
        <w:rPr>
          <w:i/>
          <w:lang w:val="es-ES"/>
        </w:rPr>
        <w:t xml:space="preserve">Nota introductoria de la Secretaría: </w:t>
      </w:r>
    </w:p>
    <w:p w14:paraId="63C37889" w14:textId="72DC2C7A" w:rsidR="00A702B7" w:rsidRDefault="00A702B7" w:rsidP="00A702B7">
      <w:pPr>
        <w:ind w:left="0" w:firstLine="1"/>
        <w:rPr>
          <w:rFonts w:asciiTheme="minorHAnsi" w:eastAsia="Times New Roman" w:hAnsiTheme="minorHAnsi"/>
          <w:i/>
          <w:lang w:val="es-ES"/>
        </w:rPr>
      </w:pPr>
      <w:r w:rsidRPr="00BA55AA">
        <w:rPr>
          <w:lang w:val="es-ES"/>
        </w:rPr>
        <w:t>E</w:t>
      </w:r>
      <w:r>
        <w:rPr>
          <w:lang w:val="es-ES"/>
        </w:rPr>
        <w:t>l</w:t>
      </w:r>
      <w:r w:rsidRPr="00BA55AA">
        <w:rPr>
          <w:lang w:val="es-ES"/>
        </w:rPr>
        <w:t xml:space="preserve"> proyecto de resolución hace referencia a la Resolución XIII.9, Iniciativas regionales de Ramsar para 2019-2021. Suecia ha presentado </w:t>
      </w:r>
      <w:r w:rsidRPr="00A702B7">
        <w:rPr>
          <w:lang w:val="es-ES"/>
        </w:rPr>
        <w:t xml:space="preserve">dos proyectos de resolución más sobre las iniciativas regionales de Ramsar, a saber, los documentos </w:t>
      </w:r>
      <w:bookmarkStart w:id="1" w:name="_Hlk99038187"/>
      <w:r w:rsidRPr="00A702B7">
        <w:rPr>
          <w:lang w:val="es-ES"/>
        </w:rPr>
        <w:t xml:space="preserve">SC59/2022 Doc.24.9 </w:t>
      </w:r>
      <w:bookmarkEnd w:id="1"/>
      <w:r w:rsidRPr="00A702B7">
        <w:rPr>
          <w:lang w:val="es-ES"/>
        </w:rPr>
        <w:t>y SC59/2022 Doc.24.11. El</w:t>
      </w:r>
      <w:r w:rsidRPr="00BA55AA">
        <w:rPr>
          <w:lang w:val="es-ES"/>
        </w:rPr>
        <w:t xml:space="preserve"> tema también se trata en el Proyecto de resolución sobre las </w:t>
      </w:r>
      <w:r>
        <w:rPr>
          <w:lang w:val="es-ES"/>
        </w:rPr>
        <w:t>i</w:t>
      </w:r>
      <w:r w:rsidRPr="00BA55AA">
        <w:rPr>
          <w:lang w:val="es-ES"/>
        </w:rPr>
        <w:t xml:space="preserve">niciativas regionales de Ramsar 2022-2024 anexo al documento SC59 Doc.21.1, Informe del </w:t>
      </w:r>
      <w:r w:rsidRPr="00BA55AA">
        <w:rPr>
          <w:i/>
          <w:iCs/>
          <w:lang w:val="es-ES"/>
        </w:rPr>
        <w:t>Grupo de Trabajo sobre las Iniciativas Regionales de Ramsar acerca de la aplicación de la Resolución XIII.</w:t>
      </w:r>
      <w:r w:rsidRPr="00BA55AA">
        <w:rPr>
          <w:i/>
          <w:lang w:val="es-ES"/>
        </w:rPr>
        <w:t>9</w:t>
      </w:r>
      <w:r w:rsidRPr="00BA55AA">
        <w:rPr>
          <w:lang w:val="es-ES"/>
        </w:rPr>
        <w:t>. Este proyecto de resolución no aborda cuestiones de índole científic</w:t>
      </w:r>
      <w:r w:rsidR="00456AAD">
        <w:rPr>
          <w:lang w:val="es-ES"/>
        </w:rPr>
        <w:t>a</w:t>
      </w:r>
      <w:r w:rsidRPr="00BA55AA">
        <w:rPr>
          <w:lang w:val="es-ES"/>
        </w:rPr>
        <w:t xml:space="preserve"> o técnic</w:t>
      </w:r>
      <w:r w:rsidR="00456AAD">
        <w:rPr>
          <w:lang w:val="es-ES"/>
        </w:rPr>
        <w:t>a</w:t>
      </w:r>
      <w:r w:rsidRPr="00BA55AA">
        <w:rPr>
          <w:lang w:val="es-ES"/>
        </w:rPr>
        <w:t xml:space="preserve"> que deban ser examinadas por el GECT.</w:t>
      </w:r>
    </w:p>
    <w:p w14:paraId="267FE5EF" w14:textId="77777777" w:rsidR="003B4B27" w:rsidRDefault="003B4B27">
      <w:pPr>
        <w:rPr>
          <w:rFonts w:ascii="Garamond" w:hAnsi="Garamond" w:cs="Arial"/>
          <w:sz w:val="28"/>
          <w:szCs w:val="28"/>
          <w:lang w:val="es-ES"/>
        </w:rPr>
      </w:pPr>
      <w:r>
        <w:rPr>
          <w:rFonts w:ascii="Garamond" w:hAnsi="Garamond" w:cs="Arial"/>
          <w:sz w:val="28"/>
          <w:szCs w:val="28"/>
          <w:lang w:val="es-ES"/>
        </w:rPr>
        <w:br w:type="page"/>
      </w:r>
    </w:p>
    <w:p w14:paraId="11A4AAD1" w14:textId="2016D1EB" w:rsidR="000C2489" w:rsidRPr="00DC56B3" w:rsidRDefault="000C2489" w:rsidP="00D3734D">
      <w:pPr>
        <w:autoSpaceDE w:val="0"/>
        <w:autoSpaceDN w:val="0"/>
        <w:adjustRightInd w:val="0"/>
        <w:rPr>
          <w:rFonts w:asciiTheme="minorHAnsi" w:eastAsiaTheme="minorHAnsi" w:hAnsiTheme="minorHAnsi" w:cs="Calibri-Bold"/>
          <w:b/>
          <w:bCs/>
          <w:lang w:val="es-ES"/>
        </w:rPr>
      </w:pPr>
      <w:r w:rsidRPr="00DC56B3">
        <w:rPr>
          <w:noProof/>
          <w:lang w:eastAsia="en-GB"/>
        </w:rPr>
        <w:lastRenderedPageBreak/>
        <mc:AlternateContent>
          <mc:Choice Requires="wps">
            <w:drawing>
              <wp:inline distT="0" distB="0" distL="0" distR="0" wp14:anchorId="78C670CB" wp14:editId="10DDEB80">
                <wp:extent cx="5731510" cy="11906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90625"/>
                        </a:xfrm>
                        <a:prstGeom prst="rect">
                          <a:avLst/>
                        </a:prstGeom>
                        <a:solidFill>
                          <a:srgbClr val="FFFFFF"/>
                        </a:solidFill>
                        <a:ln w="9525">
                          <a:solidFill>
                            <a:srgbClr val="000000"/>
                          </a:solidFill>
                          <a:miter lim="800000"/>
                          <a:headEnd/>
                          <a:tailEnd/>
                        </a:ln>
                      </wps:spPr>
                      <wps:txbx>
                        <w:txbxContent>
                          <w:p w14:paraId="25C6ED61" w14:textId="4D75D89C" w:rsidR="00A90003" w:rsidRPr="00DC56B3" w:rsidRDefault="00A90003" w:rsidP="000C2489">
                            <w:pPr>
                              <w:rPr>
                                <w:b/>
                                <w:bCs/>
                                <w:lang w:val="es-ES"/>
                              </w:rPr>
                            </w:pPr>
                            <w:r w:rsidRPr="00DC56B3">
                              <w:rPr>
                                <w:b/>
                                <w:bCs/>
                                <w:lang w:val="es-ES"/>
                              </w:rPr>
                              <w:t>Ac</w:t>
                            </w:r>
                            <w:r w:rsidR="00034654" w:rsidRPr="00DC56B3">
                              <w:rPr>
                                <w:b/>
                                <w:bCs/>
                                <w:lang w:val="es-ES"/>
                              </w:rPr>
                              <w:t>ciones solicitadas:</w:t>
                            </w:r>
                          </w:p>
                          <w:p w14:paraId="5B8D72C9" w14:textId="77777777" w:rsidR="00A90003" w:rsidRPr="00EF716E" w:rsidRDefault="00A90003" w:rsidP="000C2489">
                            <w:pPr>
                              <w:pStyle w:val="ColorfulList-Accent11"/>
                              <w:ind w:left="0"/>
                              <w:rPr>
                                <w:lang w:val="fr-FR"/>
                              </w:rPr>
                            </w:pPr>
                          </w:p>
                          <w:p w14:paraId="5C796CF9" w14:textId="199FF8E2" w:rsidR="00A90003" w:rsidRPr="00DC56B3" w:rsidRDefault="00034654" w:rsidP="00275F13">
                            <w:pPr>
                              <w:pStyle w:val="ColorfulList-Accent11"/>
                              <w:ind w:left="0" w:firstLine="0"/>
                              <w:rPr>
                                <w:rFonts w:cs="Calibri"/>
                                <w:lang w:val="es-ES"/>
                              </w:rPr>
                            </w:pPr>
                            <w:r w:rsidRPr="00DC56B3">
                              <w:rPr>
                                <w:lang w:val="es-ES"/>
                              </w:rPr>
                              <w:t>Se invita al Comité Permanente a hacer lo siguiente:</w:t>
                            </w:r>
                          </w:p>
                          <w:p w14:paraId="025A5546" w14:textId="77777777" w:rsidR="00A90003" w:rsidRPr="00DC56B3" w:rsidRDefault="00A90003" w:rsidP="002C261A">
                            <w:pPr>
                              <w:pStyle w:val="ColorfulList-Accent11"/>
                              <w:ind w:left="709" w:hanging="283"/>
                              <w:rPr>
                                <w:lang w:val="es-ES"/>
                              </w:rPr>
                            </w:pPr>
                          </w:p>
                          <w:p w14:paraId="639AE441" w14:textId="4DBDD634" w:rsidR="00933122" w:rsidRPr="00DC56B3" w:rsidRDefault="00034654" w:rsidP="00FC2C7A">
                            <w:pPr>
                              <w:pStyle w:val="ColorfulList-Accent11"/>
                              <w:numPr>
                                <w:ilvl w:val="0"/>
                                <w:numId w:val="12"/>
                              </w:numPr>
                              <w:rPr>
                                <w:rFonts w:cs="Calibri"/>
                                <w:lang w:val="es-ES"/>
                              </w:rPr>
                            </w:pPr>
                            <w:r w:rsidRPr="00DC56B3">
                              <w:rPr>
                                <w:rFonts w:cs="Calibri"/>
                                <w:lang w:val="es-ES"/>
                              </w:rPr>
                              <w:t xml:space="preserve">Examinar, aprobar y </w:t>
                            </w:r>
                            <w:r w:rsidR="00D83DC2">
                              <w:rPr>
                                <w:rFonts w:cs="Calibri"/>
                                <w:lang w:val="es-ES"/>
                              </w:rPr>
                              <w:t>seguidamente</w:t>
                            </w:r>
                            <w:r w:rsidRPr="00DC56B3">
                              <w:rPr>
                                <w:rFonts w:cs="Calibri"/>
                                <w:lang w:val="es-ES"/>
                              </w:rPr>
                              <w:t xml:space="preserve"> presentar el proyecto de resolución adjunto “Iniciativas regionales de Ramsar </w:t>
                            </w:r>
                            <w:r w:rsidR="00882661" w:rsidRPr="00DC56B3">
                              <w:rPr>
                                <w:rFonts w:cs="Calibri"/>
                                <w:lang w:val="es-ES"/>
                              </w:rPr>
                              <w:t xml:space="preserve">– </w:t>
                            </w:r>
                            <w:r w:rsidR="00015C8E" w:rsidRPr="00DC56B3">
                              <w:rPr>
                                <w:rFonts w:cs="Calibri"/>
                                <w:lang w:val="es-ES"/>
                              </w:rPr>
                              <w:t>COP14-COP15</w:t>
                            </w:r>
                            <w:r w:rsidR="00882661" w:rsidRPr="00DC56B3">
                              <w:rPr>
                                <w:rFonts w:cs="Calibri"/>
                                <w:lang w:val="es-ES"/>
                              </w:rPr>
                              <w:t xml:space="preserve">”. </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C670CB" id="_x0000_t202" coordsize="21600,21600" o:spt="202" path="m,l,21600r21600,l21600,xe">
                <v:stroke joinstyle="miter"/>
                <v:path gradientshapeok="t" o:connecttype="rect"/>
              </v:shapetype>
              <v:shape id="Text Box 1" o:spid="_x0000_s1026" type="#_x0000_t202" style="width:451.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">
                <v:textbox>
                  <w:txbxContent>
                    <w:p w14:paraId="25C6ED61" w14:textId="4D75D89C" w:rsidR="00A90003" w:rsidRPr="00DC56B3" w:rsidRDefault="00A90003" w:rsidP="000C2489">
                      <w:pPr>
                        <w:rPr>
                          <w:b/>
                          <w:bCs/>
                          <w:lang w:val="es-ES"/>
                        </w:rPr>
                      </w:pPr>
                      <w:r w:rsidRPr="00DC56B3">
                        <w:rPr>
                          <w:b/>
                          <w:bCs/>
                          <w:lang w:val="es-ES"/>
                        </w:rPr>
                        <w:t>Ac</w:t>
                      </w:r>
                      <w:r w:rsidR="00034654" w:rsidRPr="00DC56B3">
                        <w:rPr>
                          <w:b/>
                          <w:bCs/>
                          <w:lang w:val="es-ES"/>
                        </w:rPr>
                        <w:t>ciones solicitadas:</w:t>
                      </w:r>
                    </w:p>
                    <w:p w14:paraId="5B8D72C9" w14:textId="77777777" w:rsidR="00A90003" w:rsidRDefault="00A90003" w:rsidP="000C2489">
                      <w:pPr>
                        <w:pStyle w:val="ColorfulList-Accent11"/>
                        <w:ind w:left="0"/>
                      </w:pPr>
                    </w:p>
                    <w:p w14:paraId="5C796CF9" w14:textId="199FF8E2" w:rsidR="00A90003" w:rsidRPr="00DC56B3" w:rsidRDefault="00034654" w:rsidP="00275F13">
                      <w:pPr>
                        <w:pStyle w:val="ColorfulList-Accent11"/>
                        <w:ind w:left="0" w:firstLine="0"/>
                        <w:rPr>
                          <w:rFonts w:cs="Calibri"/>
                          <w:lang w:val="es-ES"/>
                        </w:rPr>
                      </w:pPr>
                      <w:r w:rsidRPr="00DC56B3">
                        <w:rPr>
                          <w:lang w:val="es-ES"/>
                        </w:rPr>
                        <w:t>Se invita al Comité Permanente a hacer lo siguiente:</w:t>
                      </w:r>
                    </w:p>
                    <w:p w14:paraId="025A5546" w14:textId="77777777" w:rsidR="00A90003" w:rsidRPr="00DC56B3" w:rsidRDefault="00A90003" w:rsidP="002C261A">
                      <w:pPr>
                        <w:pStyle w:val="ColorfulList-Accent11"/>
                        <w:ind w:left="709" w:hanging="283"/>
                        <w:rPr>
                          <w:lang w:val="es-ES"/>
                        </w:rPr>
                      </w:pPr>
                    </w:p>
                    <w:p w14:paraId="639AE441" w14:textId="4DBDD634" w:rsidR="00933122" w:rsidRPr="00DC56B3" w:rsidRDefault="00034654" w:rsidP="00FC2C7A">
                      <w:pPr>
                        <w:pStyle w:val="ColorfulList-Accent11"/>
                        <w:numPr>
                          <w:ilvl w:val="0"/>
                          <w:numId w:val="12"/>
                        </w:numPr>
                        <w:rPr>
                          <w:rFonts w:cs="Calibri"/>
                          <w:lang w:val="es-ES"/>
                        </w:rPr>
                      </w:pPr>
                      <w:r w:rsidRPr="00DC56B3">
                        <w:rPr>
                          <w:rFonts w:cs="Calibri"/>
                          <w:lang w:val="es-ES"/>
                        </w:rPr>
                        <w:t xml:space="preserve">Examinar, aprobar y </w:t>
                      </w:r>
                      <w:r w:rsidR="00D83DC2">
                        <w:rPr>
                          <w:rFonts w:cs="Calibri"/>
                          <w:lang w:val="es-ES"/>
                        </w:rPr>
                        <w:t>seguidamente</w:t>
                      </w:r>
                      <w:r w:rsidRPr="00DC56B3">
                        <w:rPr>
                          <w:rFonts w:cs="Calibri"/>
                          <w:lang w:val="es-ES"/>
                        </w:rPr>
                        <w:t xml:space="preserve"> presentar el proyecto de resolución adjunto “Iniciativas regionales de Ramsar </w:t>
                      </w:r>
                      <w:r w:rsidR="00882661" w:rsidRPr="00DC56B3">
                        <w:rPr>
                          <w:rFonts w:cs="Calibri"/>
                          <w:lang w:val="es-ES"/>
                        </w:rPr>
                        <w:t xml:space="preserve">– </w:t>
                      </w:r>
                      <w:r w:rsidR="00015C8E" w:rsidRPr="00DC56B3">
                        <w:rPr>
                          <w:rFonts w:cs="Calibri"/>
                          <w:lang w:val="es-ES"/>
                        </w:rPr>
                        <w:t>COP14-COP15</w:t>
                      </w:r>
                      <w:r w:rsidR="00882661" w:rsidRPr="00DC56B3">
                        <w:rPr>
                          <w:rFonts w:cs="Calibri"/>
                          <w:lang w:val="es-ES"/>
                        </w:rPr>
                        <w:t xml:space="preserve">”. </w:t>
                      </w:r>
                    </w:p>
                  </w:txbxContent>
                </v:textbox>
                <w10:anchorlock/>
              </v:shape>
            </w:pict>
          </mc:Fallback>
        </mc:AlternateContent>
      </w:r>
    </w:p>
    <w:p w14:paraId="0D09C557" w14:textId="77777777" w:rsidR="008B659C" w:rsidRPr="00DC56B3" w:rsidRDefault="008B659C" w:rsidP="00D3734D">
      <w:pPr>
        <w:rPr>
          <w:rFonts w:asciiTheme="minorHAnsi" w:hAnsiTheme="minorHAnsi" w:cstheme="minorHAnsi"/>
          <w:b/>
          <w:lang w:val="es-ES"/>
        </w:rPr>
      </w:pPr>
    </w:p>
    <w:p w14:paraId="7089F019" w14:textId="77777777" w:rsidR="008B659C" w:rsidRPr="00DC56B3" w:rsidRDefault="008B659C" w:rsidP="00D3734D">
      <w:pPr>
        <w:rPr>
          <w:rFonts w:asciiTheme="minorHAnsi" w:hAnsiTheme="minorHAnsi" w:cstheme="minorHAnsi"/>
          <w:b/>
          <w:lang w:val="es-ES"/>
        </w:rPr>
      </w:pPr>
    </w:p>
    <w:p w14:paraId="0C63D9FB" w14:textId="00247159" w:rsidR="000C2489" w:rsidRPr="00DC56B3" w:rsidRDefault="00EB462B" w:rsidP="00D3734D">
      <w:pPr>
        <w:rPr>
          <w:rFonts w:asciiTheme="minorHAnsi" w:hAnsiTheme="minorHAnsi" w:cstheme="minorHAnsi"/>
          <w:b/>
          <w:lang w:val="es-ES"/>
        </w:rPr>
      </w:pPr>
      <w:r w:rsidRPr="00DC56B3">
        <w:rPr>
          <w:rFonts w:asciiTheme="minorHAnsi" w:hAnsiTheme="minorHAnsi" w:cstheme="minorHAnsi"/>
          <w:b/>
          <w:lang w:val="es-ES"/>
        </w:rPr>
        <w:t>Introduc</w:t>
      </w:r>
      <w:r w:rsidR="00034654" w:rsidRPr="00DC56B3">
        <w:rPr>
          <w:rFonts w:asciiTheme="minorHAnsi" w:hAnsiTheme="minorHAnsi" w:cstheme="minorHAnsi"/>
          <w:b/>
          <w:lang w:val="es-ES"/>
        </w:rPr>
        <w:t>ción</w:t>
      </w:r>
    </w:p>
    <w:p w14:paraId="5C53B403" w14:textId="122DC490" w:rsidR="00AD01AD" w:rsidRPr="00DC56B3" w:rsidRDefault="00AD01AD" w:rsidP="00D3734D">
      <w:pPr>
        <w:rPr>
          <w:rFonts w:asciiTheme="minorHAnsi" w:hAnsiTheme="minorHAnsi" w:cstheme="minorHAnsi"/>
          <w:b/>
          <w:lang w:val="es-ES"/>
        </w:rPr>
      </w:pPr>
    </w:p>
    <w:p w14:paraId="00DA8A41" w14:textId="3461C81A" w:rsidR="00AD01AD" w:rsidRPr="00DC56B3" w:rsidRDefault="00AD01AD" w:rsidP="00D3734D">
      <w:pPr>
        <w:rPr>
          <w:rFonts w:asciiTheme="minorHAnsi" w:hAnsiTheme="minorHAnsi" w:cstheme="minorHAnsi"/>
          <w:bCs/>
          <w:i/>
          <w:iCs/>
          <w:lang w:val="es-ES"/>
        </w:rPr>
      </w:pPr>
      <w:r w:rsidRPr="00DC56B3">
        <w:rPr>
          <w:rFonts w:asciiTheme="minorHAnsi" w:hAnsiTheme="minorHAnsi" w:cstheme="minorHAnsi"/>
          <w:bCs/>
          <w:i/>
          <w:iCs/>
          <w:lang w:val="es-ES"/>
        </w:rPr>
        <w:t>Informa</w:t>
      </w:r>
      <w:r w:rsidR="00034654" w:rsidRPr="00DC56B3">
        <w:rPr>
          <w:rFonts w:asciiTheme="minorHAnsi" w:hAnsiTheme="minorHAnsi" w:cstheme="minorHAnsi"/>
          <w:bCs/>
          <w:i/>
          <w:iCs/>
          <w:lang w:val="es-ES"/>
        </w:rPr>
        <w:t>ción para el Comité Permanente</w:t>
      </w:r>
    </w:p>
    <w:p w14:paraId="3B416055" w14:textId="77777777" w:rsidR="008B659C" w:rsidRPr="00DC56B3" w:rsidRDefault="008B659C" w:rsidP="00D3734D">
      <w:pPr>
        <w:rPr>
          <w:rFonts w:asciiTheme="minorHAnsi" w:hAnsiTheme="minorHAnsi" w:cstheme="minorHAnsi"/>
          <w:b/>
          <w:lang w:val="es-ES"/>
        </w:rPr>
      </w:pPr>
    </w:p>
    <w:p w14:paraId="7DDE3D3B" w14:textId="06CF66A1" w:rsidR="00C1292B" w:rsidRPr="00DC56B3" w:rsidRDefault="00034654" w:rsidP="007F7FB2">
      <w:pPr>
        <w:pStyle w:val="ListParagraph"/>
        <w:numPr>
          <w:ilvl w:val="0"/>
          <w:numId w:val="1"/>
        </w:numPr>
        <w:ind w:left="426" w:hanging="426"/>
        <w:rPr>
          <w:rFonts w:asciiTheme="minorHAnsi" w:hAnsiTheme="minorHAnsi" w:cstheme="minorHAnsi"/>
          <w:lang w:val="es-ES"/>
        </w:rPr>
      </w:pPr>
      <w:bookmarkStart w:id="2" w:name="_Hlk66787368"/>
      <w:r w:rsidRPr="00DC56B3">
        <w:rPr>
          <w:rFonts w:asciiTheme="minorHAnsi" w:hAnsiTheme="minorHAnsi" w:cstheme="minorHAnsi"/>
          <w:lang w:val="es-ES"/>
        </w:rPr>
        <w:t xml:space="preserve">La Resolución </w:t>
      </w:r>
      <w:r w:rsidR="00B773E1" w:rsidRPr="00DC56B3">
        <w:rPr>
          <w:rFonts w:asciiTheme="minorHAnsi" w:hAnsiTheme="minorHAnsi" w:cstheme="minorHAnsi"/>
          <w:lang w:val="es-ES"/>
        </w:rPr>
        <w:t>XIII.9</w:t>
      </w:r>
      <w:bookmarkEnd w:id="2"/>
      <w:r w:rsidR="00B773E1" w:rsidRPr="00DC56B3">
        <w:rPr>
          <w:rFonts w:asciiTheme="minorHAnsi" w:hAnsiTheme="minorHAnsi" w:cstheme="minorHAnsi"/>
          <w:lang w:val="es-ES"/>
        </w:rPr>
        <w:t xml:space="preserve"> </w:t>
      </w:r>
      <w:r w:rsidRPr="00DC56B3">
        <w:rPr>
          <w:rFonts w:asciiTheme="minorHAnsi" w:hAnsiTheme="minorHAnsi" w:cstheme="minorHAnsi"/>
          <w:lang w:val="es-ES"/>
        </w:rPr>
        <w:t xml:space="preserve">restableció el Grupo de trabajo (de composición abierta) sobre las iniciativas regionales de Ramsar con arreglo al artículo 25 del reglamento </w:t>
      </w:r>
      <w:r w:rsidR="00516785">
        <w:rPr>
          <w:rFonts w:asciiTheme="minorHAnsi" w:hAnsiTheme="minorHAnsi" w:cstheme="minorHAnsi"/>
          <w:lang w:val="es-ES"/>
        </w:rPr>
        <w:t>a fin de</w:t>
      </w:r>
      <w:r w:rsidRPr="00DC56B3">
        <w:rPr>
          <w:rFonts w:asciiTheme="minorHAnsi" w:hAnsiTheme="minorHAnsi" w:cstheme="minorHAnsi"/>
          <w:lang w:val="es-ES"/>
        </w:rPr>
        <w:t xml:space="preserve"> redactar nuevos lineamientos operativos para las iniciativas regionales de Ramsar </w:t>
      </w:r>
      <w:r w:rsidR="00402393" w:rsidRPr="00DC56B3">
        <w:rPr>
          <w:rFonts w:asciiTheme="minorHAnsi" w:hAnsiTheme="minorHAnsi" w:cstheme="minorHAnsi"/>
          <w:lang w:val="es-ES"/>
        </w:rPr>
        <w:t>(</w:t>
      </w:r>
      <w:r w:rsidRPr="00DC56B3">
        <w:rPr>
          <w:rFonts w:asciiTheme="minorHAnsi" w:hAnsiTheme="minorHAnsi" w:cstheme="minorHAnsi"/>
          <w:lang w:val="es-ES"/>
        </w:rPr>
        <w:t xml:space="preserve">IRR). Los </w:t>
      </w:r>
      <w:r w:rsidR="00DC56B3" w:rsidRPr="00DC56B3">
        <w:rPr>
          <w:rFonts w:asciiTheme="minorHAnsi" w:hAnsiTheme="minorHAnsi" w:cstheme="minorHAnsi"/>
          <w:lang w:val="es-ES"/>
        </w:rPr>
        <w:t>resultados</w:t>
      </w:r>
      <w:r w:rsidRPr="00DC56B3">
        <w:rPr>
          <w:rFonts w:asciiTheme="minorHAnsi" w:hAnsiTheme="minorHAnsi" w:cstheme="minorHAnsi"/>
          <w:lang w:val="es-ES"/>
        </w:rPr>
        <w:t xml:space="preserve"> del grupo de trabajo </w:t>
      </w:r>
      <w:r w:rsidR="0006056F" w:rsidRPr="00DC56B3">
        <w:rPr>
          <w:rFonts w:asciiTheme="minorHAnsi" w:hAnsiTheme="minorHAnsi" w:cstheme="minorHAnsi"/>
          <w:lang w:val="es-ES"/>
        </w:rPr>
        <w:t xml:space="preserve">se presentan en el documento </w:t>
      </w:r>
      <w:r w:rsidR="0058138D" w:rsidRPr="00DC56B3">
        <w:rPr>
          <w:rFonts w:asciiTheme="minorHAnsi" w:hAnsiTheme="minorHAnsi" w:cstheme="minorHAnsi"/>
          <w:lang w:val="es-ES"/>
        </w:rPr>
        <w:t>SC59-21.1</w:t>
      </w:r>
      <w:r w:rsidR="0006056F" w:rsidRPr="00DC56B3">
        <w:rPr>
          <w:rFonts w:asciiTheme="minorHAnsi" w:hAnsiTheme="minorHAnsi" w:cstheme="minorHAnsi"/>
          <w:lang w:val="es-ES"/>
        </w:rPr>
        <w:t xml:space="preserve"> y contienen un nuevo proyecto de resolución que incluye los nuevos lineamientos operativos propuestos y una recopilación de decisiones obsoletas que habría que retirar.</w:t>
      </w:r>
    </w:p>
    <w:p w14:paraId="77277548" w14:textId="77777777" w:rsidR="0006056F" w:rsidRPr="00DC56B3" w:rsidRDefault="0006056F" w:rsidP="0006056F">
      <w:pPr>
        <w:pStyle w:val="ListParagraph"/>
        <w:ind w:left="426" w:firstLine="0"/>
        <w:rPr>
          <w:rFonts w:asciiTheme="minorHAnsi" w:hAnsiTheme="minorHAnsi" w:cstheme="minorHAnsi"/>
          <w:lang w:val="es-ES"/>
        </w:rPr>
      </w:pPr>
    </w:p>
    <w:p w14:paraId="76272453" w14:textId="217D96D0" w:rsidR="00491E9D" w:rsidRPr="00DC56B3" w:rsidRDefault="0006056F" w:rsidP="00A90003">
      <w:pPr>
        <w:pStyle w:val="ListParagraph"/>
        <w:numPr>
          <w:ilvl w:val="0"/>
          <w:numId w:val="1"/>
        </w:numPr>
        <w:ind w:left="426" w:hanging="426"/>
        <w:rPr>
          <w:rFonts w:cs="Calibri"/>
          <w:lang w:val="es-ES"/>
        </w:rPr>
      </w:pPr>
      <w:r w:rsidRPr="00DC56B3">
        <w:rPr>
          <w:rFonts w:asciiTheme="minorHAnsi" w:hAnsiTheme="minorHAnsi" w:cstheme="minorHAnsi"/>
          <w:lang w:val="es-ES"/>
        </w:rPr>
        <w:t xml:space="preserve">Algunas partes del documento </w:t>
      </w:r>
      <w:r w:rsidR="00A90003" w:rsidRPr="00DC56B3">
        <w:rPr>
          <w:rFonts w:asciiTheme="minorHAnsi" w:hAnsiTheme="minorHAnsi" w:cstheme="minorHAnsi"/>
          <w:lang w:val="es-ES"/>
        </w:rPr>
        <w:t xml:space="preserve">SC59-21.1 </w:t>
      </w:r>
      <w:r w:rsidRPr="00DC56B3">
        <w:rPr>
          <w:rFonts w:asciiTheme="minorHAnsi" w:hAnsiTheme="minorHAnsi" w:cstheme="minorHAnsi"/>
          <w:lang w:val="es-ES"/>
        </w:rPr>
        <w:t xml:space="preserve">fueron escritas con premura por </w:t>
      </w:r>
      <w:r w:rsidR="00FA3D29">
        <w:rPr>
          <w:rFonts w:asciiTheme="minorHAnsi" w:hAnsiTheme="minorHAnsi" w:cstheme="minorHAnsi"/>
          <w:lang w:val="es-ES"/>
        </w:rPr>
        <w:t>unos cuantos</w:t>
      </w:r>
      <w:r w:rsidRPr="00DC56B3">
        <w:rPr>
          <w:rFonts w:asciiTheme="minorHAnsi" w:hAnsiTheme="minorHAnsi" w:cstheme="minorHAnsi"/>
          <w:lang w:val="es-ES"/>
        </w:rPr>
        <w:t xml:space="preserve"> países </w:t>
      </w:r>
      <w:r w:rsidR="00D83DC2">
        <w:rPr>
          <w:rFonts w:asciiTheme="minorHAnsi" w:hAnsiTheme="minorHAnsi" w:cstheme="minorHAnsi"/>
          <w:lang w:val="es-ES"/>
        </w:rPr>
        <w:t xml:space="preserve">y no se incluyeron </w:t>
      </w:r>
      <w:r w:rsidR="00FA3D29">
        <w:rPr>
          <w:rFonts w:asciiTheme="minorHAnsi" w:hAnsiTheme="minorHAnsi" w:cstheme="minorHAnsi"/>
          <w:lang w:val="es-ES"/>
        </w:rPr>
        <w:t>las a</w:t>
      </w:r>
      <w:r w:rsidR="00DC56B3" w:rsidRPr="00DC56B3">
        <w:rPr>
          <w:rFonts w:asciiTheme="minorHAnsi" w:hAnsiTheme="minorHAnsi" w:cstheme="minorHAnsi"/>
          <w:lang w:val="es-ES"/>
        </w:rPr>
        <w:t>portaciones</w:t>
      </w:r>
      <w:r w:rsidRPr="00DC56B3">
        <w:rPr>
          <w:rFonts w:asciiTheme="minorHAnsi" w:hAnsiTheme="minorHAnsi" w:cstheme="minorHAnsi"/>
          <w:lang w:val="es-ES"/>
        </w:rPr>
        <w:t xml:space="preserve"> de otros países</w:t>
      </w:r>
      <w:r w:rsidR="0034418A" w:rsidRPr="00DC56B3">
        <w:rPr>
          <w:rFonts w:asciiTheme="minorHAnsi" w:hAnsiTheme="minorHAnsi" w:cstheme="minorHAnsi"/>
          <w:lang w:val="es-ES"/>
        </w:rPr>
        <w:t xml:space="preserve">. </w:t>
      </w:r>
      <w:r w:rsidR="00882661" w:rsidRPr="00DC56B3">
        <w:rPr>
          <w:rFonts w:asciiTheme="minorHAnsi" w:hAnsiTheme="minorHAnsi" w:cstheme="minorHAnsi"/>
          <w:lang w:val="es-ES"/>
        </w:rPr>
        <w:t xml:space="preserve"> </w:t>
      </w:r>
    </w:p>
    <w:p w14:paraId="45121D76" w14:textId="77777777" w:rsidR="00491E9D" w:rsidRPr="00DC56B3" w:rsidRDefault="00491E9D" w:rsidP="00491E9D">
      <w:pPr>
        <w:ind w:left="0" w:firstLine="0"/>
        <w:rPr>
          <w:rFonts w:cs="Calibri"/>
          <w:lang w:val="es-ES"/>
        </w:rPr>
      </w:pPr>
    </w:p>
    <w:p w14:paraId="56A976DE" w14:textId="3B34DA90" w:rsidR="00491E9D" w:rsidRPr="00DC56B3" w:rsidRDefault="00491E9D" w:rsidP="00491E9D">
      <w:pPr>
        <w:pStyle w:val="ListParagraph"/>
        <w:numPr>
          <w:ilvl w:val="0"/>
          <w:numId w:val="1"/>
        </w:numPr>
        <w:ind w:left="426" w:hanging="426"/>
        <w:rPr>
          <w:rFonts w:cs="Calibri"/>
          <w:lang w:val="es-ES"/>
        </w:rPr>
      </w:pPr>
      <w:r w:rsidRPr="00DC56B3">
        <w:rPr>
          <w:rFonts w:cs="Calibri"/>
          <w:lang w:val="es-ES"/>
        </w:rPr>
        <w:t>Dur</w:t>
      </w:r>
      <w:r w:rsidR="0006056F" w:rsidRPr="00DC56B3">
        <w:rPr>
          <w:rFonts w:cs="Calibri"/>
          <w:lang w:val="es-ES"/>
        </w:rPr>
        <w:t>ante la</w:t>
      </w:r>
      <w:r w:rsidR="00FA3D29">
        <w:rPr>
          <w:rFonts w:cs="Calibri"/>
          <w:lang w:val="es-ES"/>
        </w:rPr>
        <w:t xml:space="preserve"> 59ª</w:t>
      </w:r>
      <w:r w:rsidR="0006056F" w:rsidRPr="00DC56B3">
        <w:rPr>
          <w:rFonts w:cs="Calibri"/>
          <w:lang w:val="es-ES"/>
        </w:rPr>
        <w:t xml:space="preserve"> reunión </w:t>
      </w:r>
      <w:r w:rsidR="00FA3D29">
        <w:rPr>
          <w:rFonts w:cs="Calibri"/>
          <w:lang w:val="es-ES"/>
        </w:rPr>
        <w:t>del Comité Permanente (</w:t>
      </w:r>
      <w:r w:rsidRPr="00DC56B3">
        <w:rPr>
          <w:rFonts w:cs="Calibri"/>
          <w:lang w:val="es-ES"/>
        </w:rPr>
        <w:t>SC59</w:t>
      </w:r>
      <w:r w:rsidR="00FA3D29">
        <w:rPr>
          <w:rFonts w:cs="Calibri"/>
          <w:lang w:val="es-ES"/>
        </w:rPr>
        <w:t xml:space="preserve">), </w:t>
      </w:r>
      <w:r w:rsidR="0006056F" w:rsidRPr="00DC56B3">
        <w:rPr>
          <w:rFonts w:cs="Calibri"/>
          <w:lang w:val="es-ES"/>
        </w:rPr>
        <w:t>Suecia alentó al grupo de trabajo a proseguir su labor</w:t>
      </w:r>
      <w:r w:rsidR="00FA3D29">
        <w:rPr>
          <w:rFonts w:cs="Calibri"/>
          <w:lang w:val="es-ES"/>
        </w:rPr>
        <w:t>,</w:t>
      </w:r>
      <w:r w:rsidR="0006056F" w:rsidRPr="00DC56B3">
        <w:rPr>
          <w:rFonts w:cs="Calibri"/>
          <w:lang w:val="es-ES"/>
        </w:rPr>
        <w:t xml:space="preserve"> intentar resolver las diferencias restantes y presentar un documento actualizado a la reanudación de la reunión </w:t>
      </w:r>
      <w:r w:rsidRPr="00DC56B3">
        <w:rPr>
          <w:rFonts w:cs="Calibri"/>
          <w:lang w:val="es-ES"/>
        </w:rPr>
        <w:t>SC</w:t>
      </w:r>
      <w:r w:rsidR="00347DB0" w:rsidRPr="00DC56B3">
        <w:rPr>
          <w:rFonts w:cs="Calibri"/>
          <w:lang w:val="es-ES"/>
        </w:rPr>
        <w:t xml:space="preserve">59 </w:t>
      </w:r>
      <w:r w:rsidR="0006056F" w:rsidRPr="00DC56B3">
        <w:rPr>
          <w:rFonts w:cs="Calibri"/>
          <w:lang w:val="es-ES"/>
        </w:rPr>
        <w:t xml:space="preserve">en mayo de </w:t>
      </w:r>
      <w:r w:rsidR="00347DB0" w:rsidRPr="00DC56B3">
        <w:rPr>
          <w:rFonts w:cs="Calibri"/>
          <w:lang w:val="es-ES"/>
        </w:rPr>
        <w:t>2022.</w:t>
      </w:r>
      <w:r w:rsidRPr="00DC56B3">
        <w:rPr>
          <w:rFonts w:cs="Calibri"/>
          <w:lang w:val="es-ES"/>
        </w:rPr>
        <w:t xml:space="preserve"> </w:t>
      </w:r>
      <w:r w:rsidR="0006056F" w:rsidRPr="00DC56B3">
        <w:rPr>
          <w:rFonts w:cs="Calibri"/>
          <w:lang w:val="es-ES"/>
        </w:rPr>
        <w:t>Desgraciadamente, esto no se ha hecho; no se ha previsto actualizar el documento S</w:t>
      </w:r>
      <w:r w:rsidRPr="00DC56B3">
        <w:rPr>
          <w:rFonts w:cs="Calibri"/>
          <w:lang w:val="es-ES"/>
        </w:rPr>
        <w:t xml:space="preserve">C59 </w:t>
      </w:r>
      <w:r w:rsidRPr="00FA3D29">
        <w:rPr>
          <w:rFonts w:cs="Calibri"/>
          <w:lang w:val="es-ES"/>
        </w:rPr>
        <w:t>Doc</w:t>
      </w:r>
      <w:r w:rsidR="00FA3D29">
        <w:rPr>
          <w:rFonts w:cs="Calibri"/>
          <w:lang w:val="es-ES"/>
        </w:rPr>
        <w:t>.</w:t>
      </w:r>
      <w:r w:rsidRPr="00DC56B3">
        <w:rPr>
          <w:rFonts w:cs="Calibri"/>
          <w:lang w:val="es-ES"/>
        </w:rPr>
        <w:t xml:space="preserve"> 21.1</w:t>
      </w:r>
      <w:r w:rsidR="0006056F" w:rsidRPr="00DC56B3">
        <w:rPr>
          <w:rFonts w:cs="Calibri"/>
          <w:lang w:val="es-ES"/>
        </w:rPr>
        <w:t xml:space="preserve">. En consecuencia, Suecia ha redactado proyectos de </w:t>
      </w:r>
      <w:r w:rsidR="00DC56B3" w:rsidRPr="00DC56B3">
        <w:rPr>
          <w:rFonts w:cs="Calibri"/>
          <w:lang w:val="es-ES"/>
        </w:rPr>
        <w:t>resolución</w:t>
      </w:r>
      <w:r w:rsidR="0006056F" w:rsidRPr="00DC56B3">
        <w:rPr>
          <w:rFonts w:cs="Calibri"/>
          <w:lang w:val="es-ES"/>
        </w:rPr>
        <w:t xml:space="preserve"> alternativos que tratan sobre es</w:t>
      </w:r>
      <w:bookmarkStart w:id="3" w:name="_Hlk95148360"/>
      <w:r w:rsidR="0006056F" w:rsidRPr="00DC56B3">
        <w:rPr>
          <w:rFonts w:cs="Calibri"/>
          <w:lang w:val="es-ES"/>
        </w:rPr>
        <w:t>a cuestión.</w:t>
      </w:r>
    </w:p>
    <w:p w14:paraId="43F6165B" w14:textId="77777777" w:rsidR="0006056F" w:rsidRPr="00DC56B3" w:rsidRDefault="0006056F" w:rsidP="0006056F">
      <w:pPr>
        <w:ind w:left="0" w:firstLine="0"/>
        <w:rPr>
          <w:rFonts w:cs="Calibri"/>
          <w:lang w:val="es-ES"/>
        </w:rPr>
      </w:pPr>
    </w:p>
    <w:p w14:paraId="3F95E79D" w14:textId="6640E2FF" w:rsidR="005E4C99" w:rsidRPr="00DC56B3" w:rsidRDefault="00D83DC2" w:rsidP="00491E9D">
      <w:pPr>
        <w:pStyle w:val="ListParagraph"/>
        <w:numPr>
          <w:ilvl w:val="0"/>
          <w:numId w:val="1"/>
        </w:numPr>
        <w:ind w:left="426" w:hanging="426"/>
        <w:rPr>
          <w:rFonts w:cs="Calibri"/>
          <w:lang w:val="es-ES"/>
        </w:rPr>
      </w:pPr>
      <w:bookmarkStart w:id="4" w:name="_Hlk94784253"/>
      <w:r>
        <w:rPr>
          <w:rFonts w:cs="Calibri"/>
          <w:lang w:val="es-ES"/>
        </w:rPr>
        <w:t>D</w:t>
      </w:r>
      <w:r w:rsidRPr="009A055D">
        <w:rPr>
          <w:rFonts w:cs="Calibri"/>
          <w:lang w:val="es-ES"/>
        </w:rPr>
        <w:t xml:space="preserve">isponer de tres proyectos de resolución cuyo contenido esté repartido en función de una duración previsible </w:t>
      </w:r>
      <w:r>
        <w:rPr>
          <w:rFonts w:cs="Calibri"/>
          <w:lang w:val="es-ES"/>
        </w:rPr>
        <w:t>p</w:t>
      </w:r>
      <w:r w:rsidRPr="009A055D">
        <w:rPr>
          <w:rFonts w:cs="Calibri"/>
          <w:lang w:val="es-ES"/>
        </w:rPr>
        <w:t>robablemente sería mejor que abarcar en una única resolución todas las cuestiones relativas a las IRR que deben tratarse en la COP</w:t>
      </w:r>
      <w:r>
        <w:rPr>
          <w:rFonts w:cs="Calibri"/>
          <w:lang w:val="es-ES"/>
        </w:rPr>
        <w:t>14</w:t>
      </w:r>
      <w:r w:rsidRPr="009A055D">
        <w:rPr>
          <w:rFonts w:cs="Calibri"/>
          <w:lang w:val="es-ES"/>
        </w:rPr>
        <w:t>. Una resolución tratará sobre las cuestiones básicas y duraderas relativas a las IRR, la segunda abarcará las cuestiones que pueden ser de interés hasta la próxima COP, y la tercera tratará sobre las decisiones antiguas que se pueden retirar</w:t>
      </w:r>
      <w:r w:rsidR="002435E6" w:rsidRPr="00DC56B3">
        <w:rPr>
          <w:rFonts w:cs="Calibri"/>
          <w:lang w:val="es-ES"/>
        </w:rPr>
        <w:t>.</w:t>
      </w:r>
    </w:p>
    <w:p w14:paraId="20FCCCEB" w14:textId="7E20C7CC" w:rsidR="00491E9D" w:rsidRPr="00DC56B3" w:rsidRDefault="00D83DC2" w:rsidP="00EB462B">
      <w:pPr>
        <w:pStyle w:val="ListParagraph"/>
        <w:numPr>
          <w:ilvl w:val="0"/>
          <w:numId w:val="1"/>
        </w:numPr>
        <w:ind w:left="426" w:hanging="426"/>
        <w:rPr>
          <w:rFonts w:cs="Calibri"/>
          <w:lang w:val="es-ES"/>
        </w:rPr>
      </w:pPr>
      <w:r w:rsidRPr="009A055D">
        <w:rPr>
          <w:rFonts w:cs="Calibri"/>
          <w:lang w:val="es-ES"/>
        </w:rPr>
        <w:t>Esta manera de adaptar las resoluciones en función de su duración probablemente sea más eficiente y reduzca la necesidad de procesos de consolidación. Reducirá la carga de trabajo y los costos para la Secretaría de Ramsar, los traductores y todo tipo de delegados en las reuniones de la Convención</w:t>
      </w:r>
      <w:r w:rsidR="00491E9D" w:rsidRPr="00DC56B3">
        <w:rPr>
          <w:rFonts w:cs="Calibri"/>
          <w:lang w:val="es-ES"/>
        </w:rPr>
        <w:t>.</w:t>
      </w:r>
      <w:bookmarkEnd w:id="4"/>
      <w:r w:rsidR="00491E9D" w:rsidRPr="00DC56B3">
        <w:rPr>
          <w:rFonts w:cs="Calibri"/>
          <w:lang w:val="es-ES"/>
        </w:rPr>
        <w:br/>
      </w:r>
    </w:p>
    <w:bookmarkEnd w:id="3"/>
    <w:p w14:paraId="5FB4E93A" w14:textId="1B796A09" w:rsidR="00491E9D" w:rsidRPr="00DC56B3" w:rsidRDefault="002435E6" w:rsidP="00EB462B">
      <w:pPr>
        <w:pStyle w:val="ListParagraph"/>
        <w:numPr>
          <w:ilvl w:val="0"/>
          <w:numId w:val="1"/>
        </w:numPr>
        <w:ind w:left="426" w:hanging="426"/>
        <w:rPr>
          <w:rFonts w:cs="Calibri"/>
          <w:lang w:val="es-ES"/>
        </w:rPr>
      </w:pPr>
      <w:r w:rsidRPr="00DC56B3">
        <w:rPr>
          <w:rFonts w:cs="Calibri"/>
          <w:lang w:val="es-ES"/>
        </w:rPr>
        <w:t xml:space="preserve">Este documento para el Comité Permanente contiene el </w:t>
      </w:r>
      <w:r w:rsidR="008723DA" w:rsidRPr="00DC56B3">
        <w:rPr>
          <w:rFonts w:cs="Calibri"/>
          <w:lang w:val="es-ES"/>
        </w:rPr>
        <w:t>proyecto</w:t>
      </w:r>
      <w:r w:rsidRPr="00DC56B3">
        <w:rPr>
          <w:rFonts w:cs="Calibri"/>
          <w:lang w:val="es-ES"/>
        </w:rPr>
        <w:t xml:space="preserve"> de resolución </w:t>
      </w:r>
      <w:r w:rsidR="00D83DC2">
        <w:rPr>
          <w:rFonts w:cs="Calibri"/>
          <w:lang w:val="es-ES"/>
        </w:rPr>
        <w:t>sobre</w:t>
      </w:r>
      <w:r w:rsidRPr="00DC56B3">
        <w:rPr>
          <w:rFonts w:cs="Calibri"/>
          <w:lang w:val="es-ES"/>
        </w:rPr>
        <w:t xml:space="preserve"> las cuestiones que son específicas a los años futuros y será retirado una vez que haya sido reemplazado por uno nuevo en la </w:t>
      </w:r>
      <w:r w:rsidR="00491E9D" w:rsidRPr="00DC56B3">
        <w:rPr>
          <w:rFonts w:cs="Calibri"/>
          <w:lang w:val="es-ES"/>
        </w:rPr>
        <w:t>COP15</w:t>
      </w:r>
      <w:r w:rsidR="005E4C99" w:rsidRPr="00DC56B3">
        <w:rPr>
          <w:rFonts w:cs="Calibri"/>
          <w:lang w:val="es-ES"/>
        </w:rPr>
        <w:t>.</w:t>
      </w:r>
    </w:p>
    <w:p w14:paraId="60C0B15B" w14:textId="025465C8" w:rsidR="00A90003" w:rsidRPr="00DC56B3" w:rsidRDefault="005E4C99" w:rsidP="00491E9D">
      <w:pPr>
        <w:ind w:left="0" w:firstLine="0"/>
        <w:rPr>
          <w:rFonts w:cs="Calibri"/>
          <w:lang w:val="es-ES"/>
        </w:rPr>
      </w:pPr>
      <w:r w:rsidRPr="00DC56B3">
        <w:rPr>
          <w:rFonts w:cs="Calibri"/>
          <w:lang w:val="es-ES"/>
        </w:rPr>
        <w:br/>
      </w:r>
    </w:p>
    <w:p w14:paraId="5224C873" w14:textId="77777777" w:rsidR="00AD01AD" w:rsidRPr="00DC56B3" w:rsidRDefault="00AD01AD" w:rsidP="00AD01AD">
      <w:pPr>
        <w:tabs>
          <w:tab w:val="left" w:pos="426"/>
        </w:tabs>
        <w:textAlignment w:val="center"/>
        <w:rPr>
          <w:rFonts w:eastAsia="Times New Roman" w:cs="Calibri"/>
          <w:lang w:val="es-ES" w:eastAsia="es-NI"/>
        </w:rPr>
      </w:pPr>
    </w:p>
    <w:p w14:paraId="0F4813C2" w14:textId="77777777" w:rsidR="003B4B27" w:rsidRDefault="003B4B27">
      <w:pPr>
        <w:rPr>
          <w:rFonts w:cs="Arial"/>
          <w:i/>
          <w:lang w:val="es-ES"/>
        </w:rPr>
      </w:pPr>
      <w:r>
        <w:rPr>
          <w:rFonts w:cs="Arial"/>
          <w:i/>
          <w:lang w:val="es-ES"/>
        </w:rPr>
        <w:br w:type="page"/>
      </w:r>
    </w:p>
    <w:p w14:paraId="06E95D9D" w14:textId="2FFCC616" w:rsidR="00AD01AD" w:rsidRPr="00DC56B3" w:rsidRDefault="002435E6" w:rsidP="00AD01AD">
      <w:pPr>
        <w:rPr>
          <w:rFonts w:cs="Arial"/>
          <w:i/>
          <w:lang w:val="es-ES"/>
        </w:rPr>
      </w:pPr>
      <w:bookmarkStart w:id="5" w:name="_GoBack"/>
      <w:bookmarkEnd w:id="5"/>
      <w:r w:rsidRPr="00DC56B3">
        <w:rPr>
          <w:rFonts w:cs="Arial"/>
          <w:i/>
          <w:lang w:val="es-ES"/>
        </w:rPr>
        <w:lastRenderedPageBreak/>
        <w:t>Repercusiones financieras de la aplicación</w:t>
      </w:r>
    </w:p>
    <w:p w14:paraId="4AA15BE6" w14:textId="77777777" w:rsidR="00F333AE" w:rsidRPr="00DC56B3" w:rsidRDefault="00F333AE" w:rsidP="00F333AE">
      <w:pPr>
        <w:rPr>
          <w:rFonts w:cs="Arial"/>
          <w:i/>
          <w:lang w:val="es-ES"/>
        </w:rPr>
      </w:pPr>
    </w:p>
    <w:tbl>
      <w:tblPr>
        <w:tblStyle w:val="TableGrid"/>
        <w:tblW w:w="0" w:type="auto"/>
        <w:tblInd w:w="-5" w:type="dxa"/>
        <w:tblLook w:val="04A0" w:firstRow="1" w:lastRow="0" w:firstColumn="1" w:lastColumn="0" w:noHBand="0" w:noVBand="1"/>
      </w:tblPr>
      <w:tblGrid>
        <w:gridCol w:w="2410"/>
        <w:gridCol w:w="4394"/>
        <w:gridCol w:w="2217"/>
      </w:tblGrid>
      <w:tr w:rsidR="00F333AE" w:rsidRPr="00DC56B3" w14:paraId="65FFFE41" w14:textId="77777777" w:rsidTr="006941D9">
        <w:tc>
          <w:tcPr>
            <w:tcW w:w="2410" w:type="dxa"/>
          </w:tcPr>
          <w:p w14:paraId="2B4F57C7" w14:textId="5270777B" w:rsidR="00F333AE" w:rsidRPr="00DC56B3" w:rsidRDefault="002435E6" w:rsidP="006941D9">
            <w:pPr>
              <w:ind w:left="0" w:firstLine="0"/>
              <w:rPr>
                <w:rFonts w:cs="Arial"/>
                <w:b/>
                <w:bCs/>
                <w:iCs/>
                <w:lang w:val="es-ES"/>
              </w:rPr>
            </w:pPr>
            <w:r w:rsidRPr="00DC56B3">
              <w:rPr>
                <w:rFonts w:cs="Arial"/>
                <w:b/>
                <w:bCs/>
                <w:iCs/>
                <w:lang w:val="es-ES"/>
              </w:rPr>
              <w:t>Párrafo</w:t>
            </w:r>
            <w:r w:rsidR="00F333AE" w:rsidRPr="00DC56B3">
              <w:rPr>
                <w:rFonts w:cs="Arial"/>
                <w:b/>
                <w:bCs/>
                <w:iCs/>
                <w:lang w:val="es-ES"/>
              </w:rPr>
              <w:t xml:space="preserve"> (</w:t>
            </w:r>
            <w:r w:rsidR="00D944DD" w:rsidRPr="00DC56B3">
              <w:rPr>
                <w:rFonts w:cs="Arial"/>
                <w:b/>
                <w:bCs/>
                <w:iCs/>
                <w:lang w:val="es-ES"/>
              </w:rPr>
              <w:t>número(s), parte clave del texto)</w:t>
            </w:r>
          </w:p>
        </w:tc>
        <w:tc>
          <w:tcPr>
            <w:tcW w:w="4394" w:type="dxa"/>
          </w:tcPr>
          <w:p w14:paraId="1DE7433D" w14:textId="331490E6" w:rsidR="00F333AE" w:rsidRPr="00DC56B3" w:rsidRDefault="00F333AE" w:rsidP="006941D9">
            <w:pPr>
              <w:ind w:left="0" w:firstLine="0"/>
              <w:rPr>
                <w:rFonts w:cs="Arial"/>
                <w:b/>
                <w:bCs/>
                <w:iCs/>
                <w:lang w:val="es-ES"/>
              </w:rPr>
            </w:pPr>
            <w:r w:rsidRPr="00DC56B3">
              <w:rPr>
                <w:rFonts w:cs="Arial"/>
                <w:b/>
                <w:bCs/>
                <w:iCs/>
                <w:lang w:val="es-ES"/>
              </w:rPr>
              <w:t>Ac</w:t>
            </w:r>
            <w:r w:rsidR="00D944DD" w:rsidRPr="00DC56B3">
              <w:rPr>
                <w:rFonts w:cs="Arial"/>
                <w:b/>
                <w:bCs/>
                <w:iCs/>
                <w:lang w:val="es-ES"/>
              </w:rPr>
              <w:t>ción o falta de acción</w:t>
            </w:r>
          </w:p>
        </w:tc>
        <w:tc>
          <w:tcPr>
            <w:tcW w:w="2217" w:type="dxa"/>
          </w:tcPr>
          <w:p w14:paraId="4C0B3BBF" w14:textId="6BB03A55" w:rsidR="00F333AE" w:rsidRPr="00DC56B3" w:rsidRDefault="00F333AE" w:rsidP="006941D9">
            <w:pPr>
              <w:ind w:left="0" w:firstLine="0"/>
              <w:rPr>
                <w:rFonts w:cs="Arial"/>
                <w:b/>
                <w:bCs/>
                <w:iCs/>
                <w:lang w:val="es-ES"/>
              </w:rPr>
            </w:pPr>
            <w:r w:rsidRPr="00DC56B3">
              <w:rPr>
                <w:rFonts w:cs="Arial"/>
                <w:b/>
                <w:bCs/>
                <w:iCs/>
                <w:lang w:val="es-ES"/>
              </w:rPr>
              <w:t>Cost</w:t>
            </w:r>
            <w:r w:rsidR="00D944DD" w:rsidRPr="00DC56B3">
              <w:rPr>
                <w:rFonts w:cs="Arial"/>
                <w:b/>
                <w:bCs/>
                <w:iCs/>
                <w:lang w:val="es-ES"/>
              </w:rPr>
              <w:t>o (</w:t>
            </w:r>
            <w:r w:rsidR="00AD0270">
              <w:rPr>
                <w:rFonts w:cs="Arial"/>
                <w:b/>
                <w:bCs/>
                <w:iCs/>
                <w:lang w:val="es-ES"/>
              </w:rPr>
              <w:t>francos suizos</w:t>
            </w:r>
            <w:r w:rsidRPr="00DC56B3">
              <w:rPr>
                <w:rFonts w:cs="Arial"/>
                <w:b/>
                <w:bCs/>
                <w:iCs/>
                <w:lang w:val="es-ES"/>
              </w:rPr>
              <w:t xml:space="preserve">) </w:t>
            </w:r>
            <w:r w:rsidR="00D944DD" w:rsidRPr="00DC56B3">
              <w:rPr>
                <w:rFonts w:cs="Arial"/>
                <w:b/>
                <w:bCs/>
                <w:iCs/>
                <w:lang w:val="es-ES"/>
              </w:rPr>
              <w:t xml:space="preserve">y posibles beneficios </w:t>
            </w:r>
          </w:p>
        </w:tc>
      </w:tr>
      <w:tr w:rsidR="00F333AE" w:rsidRPr="00DC56B3" w14:paraId="0DA7928A" w14:textId="77777777" w:rsidTr="006941D9">
        <w:tc>
          <w:tcPr>
            <w:tcW w:w="2410" w:type="dxa"/>
          </w:tcPr>
          <w:p w14:paraId="28C9E4B9" w14:textId="1757662E" w:rsidR="00F333AE" w:rsidRPr="00DC56B3" w:rsidRDefault="00F333AE" w:rsidP="006941D9">
            <w:pPr>
              <w:ind w:left="0" w:firstLine="0"/>
              <w:rPr>
                <w:rFonts w:cs="Arial"/>
                <w:iCs/>
                <w:highlight w:val="yellow"/>
                <w:lang w:val="es-ES"/>
              </w:rPr>
            </w:pPr>
            <w:r w:rsidRPr="00DC56B3">
              <w:rPr>
                <w:rFonts w:cs="Arial"/>
                <w:iCs/>
                <w:lang w:val="es-ES"/>
              </w:rPr>
              <w:t>1. Retir</w:t>
            </w:r>
            <w:r w:rsidR="00D944DD" w:rsidRPr="00DC56B3">
              <w:rPr>
                <w:rFonts w:cs="Arial"/>
                <w:iCs/>
                <w:lang w:val="es-ES"/>
              </w:rPr>
              <w:t>ar decisiones antiguas tras el procedimiento enunciado en otra resolución</w:t>
            </w:r>
          </w:p>
        </w:tc>
        <w:tc>
          <w:tcPr>
            <w:tcW w:w="4394" w:type="dxa"/>
          </w:tcPr>
          <w:p w14:paraId="64585044" w14:textId="37B6B4AC" w:rsidR="00F333AE" w:rsidRPr="00DC56B3" w:rsidRDefault="00D944DD" w:rsidP="006941D9">
            <w:pPr>
              <w:ind w:left="0" w:firstLine="0"/>
              <w:rPr>
                <w:rFonts w:cs="Arial"/>
                <w:iCs/>
                <w:lang w:val="es-ES"/>
              </w:rPr>
            </w:pPr>
            <w:r w:rsidRPr="00DC56B3">
              <w:rPr>
                <w:rFonts w:cs="Arial"/>
                <w:lang w:val="es-ES"/>
              </w:rPr>
              <w:t xml:space="preserve">Actualizar la lista consolidada de resoluciones retiradas una vez que esta haya sido retirada y marcar el documento como retirado en el sitio web o cualquier otro </w:t>
            </w:r>
            <w:r w:rsidR="008723DA" w:rsidRPr="00DC56B3">
              <w:rPr>
                <w:rFonts w:cs="Arial"/>
                <w:lang w:val="es-ES"/>
              </w:rPr>
              <w:t>procedimiento</w:t>
            </w:r>
            <w:r w:rsidRPr="00DC56B3">
              <w:rPr>
                <w:rFonts w:cs="Arial"/>
                <w:lang w:val="es-ES"/>
              </w:rPr>
              <w:t xml:space="preserve"> decidido en otra </w:t>
            </w:r>
            <w:r w:rsidR="008723DA" w:rsidRPr="00DC56B3">
              <w:rPr>
                <w:rFonts w:cs="Arial"/>
                <w:lang w:val="es-ES"/>
              </w:rPr>
              <w:t>resolución</w:t>
            </w:r>
            <w:r w:rsidRPr="00DC56B3">
              <w:rPr>
                <w:rFonts w:cs="Arial"/>
                <w:lang w:val="es-ES"/>
              </w:rPr>
              <w:t xml:space="preserve"> en</w:t>
            </w:r>
            <w:r w:rsidR="008723DA">
              <w:rPr>
                <w:rFonts w:cs="Arial"/>
                <w:lang w:val="es-ES"/>
              </w:rPr>
              <w:t xml:space="preserve"> </w:t>
            </w:r>
            <w:r w:rsidRPr="00DC56B3">
              <w:rPr>
                <w:rFonts w:cs="Arial"/>
                <w:lang w:val="es-ES"/>
              </w:rPr>
              <w:t>la</w:t>
            </w:r>
            <w:r w:rsidR="00F333AE" w:rsidRPr="00DC56B3">
              <w:rPr>
                <w:rFonts w:cs="Arial"/>
                <w:lang w:val="es-ES"/>
              </w:rPr>
              <w:t xml:space="preserve"> COP14.</w:t>
            </w:r>
          </w:p>
        </w:tc>
        <w:tc>
          <w:tcPr>
            <w:tcW w:w="2217" w:type="dxa"/>
          </w:tcPr>
          <w:p w14:paraId="2B0C3059" w14:textId="48EDE51D" w:rsidR="00F333AE" w:rsidRPr="00DC56B3" w:rsidRDefault="00D944DD" w:rsidP="006941D9">
            <w:pPr>
              <w:ind w:left="0" w:firstLine="0"/>
              <w:rPr>
                <w:rFonts w:cs="Arial"/>
                <w:iCs/>
                <w:lang w:val="es-ES"/>
              </w:rPr>
            </w:pPr>
            <w:r w:rsidRPr="00DC56B3">
              <w:rPr>
                <w:rFonts w:cs="Arial"/>
                <w:lang w:val="es-ES"/>
              </w:rPr>
              <w:t>Menos de</w:t>
            </w:r>
            <w:r w:rsidR="00F333AE" w:rsidRPr="00DC56B3">
              <w:rPr>
                <w:rFonts w:cs="Arial"/>
                <w:lang w:val="es-ES"/>
              </w:rPr>
              <w:t xml:space="preserve"> 20 CHF</w:t>
            </w:r>
          </w:p>
        </w:tc>
      </w:tr>
      <w:tr w:rsidR="00F333AE" w:rsidRPr="00DC56B3" w14:paraId="3CC98955" w14:textId="77777777" w:rsidTr="006941D9">
        <w:tc>
          <w:tcPr>
            <w:tcW w:w="2410" w:type="dxa"/>
          </w:tcPr>
          <w:p w14:paraId="70AD6131" w14:textId="6519097E" w:rsidR="00F333AE" w:rsidRPr="00DC56B3" w:rsidRDefault="00F333AE" w:rsidP="006941D9">
            <w:pPr>
              <w:ind w:left="0" w:firstLine="0"/>
              <w:rPr>
                <w:rFonts w:cs="Arial"/>
                <w:iCs/>
                <w:lang w:val="es-ES"/>
              </w:rPr>
            </w:pPr>
            <w:r w:rsidRPr="00DC56B3">
              <w:rPr>
                <w:rFonts w:cs="Arial"/>
                <w:iCs/>
                <w:lang w:val="es-ES"/>
              </w:rPr>
              <w:t>8. Instruc</w:t>
            </w:r>
            <w:r w:rsidR="00D944DD" w:rsidRPr="00DC56B3">
              <w:rPr>
                <w:rFonts w:cs="Arial"/>
                <w:iCs/>
                <w:lang w:val="es-ES"/>
              </w:rPr>
              <w:t>ción</w:t>
            </w:r>
            <w:r w:rsidR="00AD0270">
              <w:rPr>
                <w:rFonts w:cs="Arial"/>
                <w:iCs/>
                <w:lang w:val="es-ES"/>
              </w:rPr>
              <w:t xml:space="preserve"> </w:t>
            </w:r>
            <w:r w:rsidR="00D944DD" w:rsidRPr="00DC56B3">
              <w:rPr>
                <w:rFonts w:cs="Arial"/>
                <w:iCs/>
                <w:lang w:val="es-ES"/>
              </w:rPr>
              <w:t>para que la Secretaría finalice su participación en el proyecto IKI.</w:t>
            </w:r>
          </w:p>
        </w:tc>
        <w:tc>
          <w:tcPr>
            <w:tcW w:w="4394" w:type="dxa"/>
          </w:tcPr>
          <w:p w14:paraId="46768352" w14:textId="6FB35711" w:rsidR="00F333AE" w:rsidRPr="00DC56B3" w:rsidRDefault="00F333AE" w:rsidP="006941D9">
            <w:pPr>
              <w:ind w:left="0" w:firstLine="0"/>
              <w:rPr>
                <w:rFonts w:cs="Arial"/>
                <w:iCs/>
                <w:lang w:val="es-ES"/>
              </w:rPr>
            </w:pPr>
            <w:r w:rsidRPr="00DC56B3">
              <w:rPr>
                <w:rFonts w:cs="Arial"/>
                <w:iCs/>
                <w:lang w:val="es-ES"/>
              </w:rPr>
              <w:t>Activ</w:t>
            </w:r>
            <w:r w:rsidR="00D944DD" w:rsidRPr="00DC56B3">
              <w:rPr>
                <w:rFonts w:cs="Arial"/>
                <w:iCs/>
                <w:lang w:val="es-ES"/>
              </w:rPr>
              <w:t xml:space="preserve">idades para finalizar la participación de la Secretaría en el </w:t>
            </w:r>
            <w:r w:rsidR="008723DA" w:rsidRPr="00DC56B3">
              <w:rPr>
                <w:rFonts w:cs="Arial"/>
                <w:iCs/>
                <w:lang w:val="es-ES"/>
              </w:rPr>
              <w:t>proyecto</w:t>
            </w:r>
            <w:r w:rsidR="00D944DD" w:rsidRPr="00DC56B3">
              <w:rPr>
                <w:rFonts w:cs="Arial"/>
                <w:iCs/>
                <w:lang w:val="es-ES"/>
              </w:rPr>
              <w:t xml:space="preserve"> IKI.</w:t>
            </w:r>
          </w:p>
        </w:tc>
        <w:tc>
          <w:tcPr>
            <w:tcW w:w="2217" w:type="dxa"/>
          </w:tcPr>
          <w:p w14:paraId="4B98B7A1" w14:textId="76D8D0DC" w:rsidR="00F333AE" w:rsidRPr="00DC56B3" w:rsidRDefault="00202F2F" w:rsidP="006941D9">
            <w:pPr>
              <w:ind w:left="0" w:firstLine="0"/>
              <w:rPr>
                <w:rFonts w:cs="Arial"/>
                <w:iCs/>
                <w:lang w:val="es-ES"/>
              </w:rPr>
            </w:pPr>
            <w:r w:rsidRPr="00DC56B3">
              <w:rPr>
                <w:rFonts w:cs="Arial"/>
                <w:lang w:val="es-ES"/>
              </w:rPr>
              <w:t>Desconocidos.</w:t>
            </w:r>
          </w:p>
        </w:tc>
      </w:tr>
    </w:tbl>
    <w:p w14:paraId="1AA666A9" w14:textId="77777777" w:rsidR="00F333AE" w:rsidRPr="00DC56B3" w:rsidRDefault="00F333AE" w:rsidP="00F333AE">
      <w:pPr>
        <w:rPr>
          <w:rFonts w:cs="Arial"/>
          <w:i/>
          <w:lang w:val="es-ES"/>
        </w:rPr>
      </w:pPr>
    </w:p>
    <w:p w14:paraId="169AC5C2" w14:textId="77777777" w:rsidR="00F333AE" w:rsidRPr="00DC56B3" w:rsidRDefault="00F333AE" w:rsidP="00AD01AD">
      <w:pPr>
        <w:rPr>
          <w:rFonts w:cs="Arial"/>
          <w:i/>
          <w:lang w:val="es-ES"/>
        </w:rPr>
      </w:pPr>
    </w:p>
    <w:p w14:paraId="479B1B14" w14:textId="77777777" w:rsidR="00535B5E" w:rsidRPr="00DC56B3" w:rsidRDefault="00535B5E" w:rsidP="00535B5E">
      <w:pPr>
        <w:rPr>
          <w:rFonts w:cs="Arial"/>
          <w:lang w:val="es-ES"/>
        </w:rPr>
      </w:pPr>
    </w:p>
    <w:p w14:paraId="66E82AD4" w14:textId="0858758F" w:rsidR="00535B5E" w:rsidRPr="00DC56B3" w:rsidRDefault="00BC1B16" w:rsidP="00535B5E">
      <w:pPr>
        <w:ind w:right="16"/>
        <w:rPr>
          <w:rFonts w:asciiTheme="minorHAnsi" w:eastAsia="Times New Roman" w:hAnsiTheme="minorHAnsi"/>
          <w:b/>
          <w:bCs/>
          <w:lang w:val="es-ES"/>
        </w:rPr>
      </w:pPr>
      <w:r w:rsidRPr="00DC56B3">
        <w:rPr>
          <w:rFonts w:asciiTheme="minorHAnsi" w:eastAsia="Times New Roman" w:hAnsiTheme="minorHAnsi"/>
          <w:b/>
          <w:bCs/>
          <w:lang w:val="es-ES"/>
        </w:rPr>
        <w:t>An</w:t>
      </w:r>
      <w:r w:rsidR="00202F2F" w:rsidRPr="00DC56B3">
        <w:rPr>
          <w:rFonts w:asciiTheme="minorHAnsi" w:eastAsia="Times New Roman" w:hAnsiTheme="minorHAnsi"/>
          <w:b/>
          <w:bCs/>
          <w:lang w:val="es-ES"/>
        </w:rPr>
        <w:t>exo</w:t>
      </w:r>
      <w:r w:rsidRPr="00DC56B3">
        <w:rPr>
          <w:rFonts w:asciiTheme="minorHAnsi" w:eastAsia="Times New Roman" w:hAnsiTheme="minorHAnsi"/>
          <w:b/>
          <w:bCs/>
          <w:lang w:val="es-ES"/>
        </w:rPr>
        <w:t xml:space="preserve"> 1. </w:t>
      </w:r>
      <w:r w:rsidR="00202F2F" w:rsidRPr="00DC56B3">
        <w:rPr>
          <w:rFonts w:asciiTheme="minorHAnsi" w:eastAsia="Times New Roman" w:hAnsiTheme="minorHAnsi"/>
          <w:b/>
          <w:bCs/>
          <w:lang w:val="es-ES"/>
        </w:rPr>
        <w:t xml:space="preserve">Proyecto de resolución </w:t>
      </w:r>
      <w:r w:rsidR="00535B5E" w:rsidRPr="00DC56B3">
        <w:rPr>
          <w:rFonts w:asciiTheme="minorHAnsi" w:eastAsia="Times New Roman" w:hAnsiTheme="minorHAnsi"/>
          <w:b/>
          <w:bCs/>
          <w:highlight w:val="yellow"/>
          <w:lang w:val="es-ES"/>
        </w:rPr>
        <w:t>XIV.xx</w:t>
      </w:r>
    </w:p>
    <w:p w14:paraId="73BFFBFA" w14:textId="77777777" w:rsidR="00535B5E" w:rsidRPr="00DC56B3" w:rsidRDefault="00535B5E" w:rsidP="00535B5E">
      <w:pPr>
        <w:ind w:right="16"/>
        <w:rPr>
          <w:rFonts w:asciiTheme="minorHAnsi" w:eastAsia="Times New Roman" w:hAnsiTheme="minorHAnsi"/>
          <w:b/>
          <w:bCs/>
          <w:lang w:val="es-ES"/>
        </w:rPr>
      </w:pPr>
    </w:p>
    <w:p w14:paraId="2732946B" w14:textId="2D9D0883" w:rsidR="00535B5E" w:rsidRPr="00DC56B3" w:rsidRDefault="00202F2F" w:rsidP="00535B5E">
      <w:pPr>
        <w:ind w:right="16"/>
        <w:rPr>
          <w:rFonts w:asciiTheme="minorHAnsi" w:eastAsia="Times New Roman" w:hAnsiTheme="minorHAnsi"/>
          <w:b/>
          <w:bCs/>
          <w:sz w:val="24"/>
          <w:szCs w:val="24"/>
          <w:lang w:val="es-ES"/>
        </w:rPr>
      </w:pPr>
      <w:r w:rsidRPr="00DC56B3">
        <w:rPr>
          <w:rFonts w:asciiTheme="minorHAnsi" w:eastAsia="Times New Roman" w:hAnsiTheme="minorHAnsi"/>
          <w:b/>
          <w:bCs/>
          <w:sz w:val="24"/>
          <w:szCs w:val="24"/>
          <w:lang w:val="es-ES"/>
        </w:rPr>
        <w:t>I</w:t>
      </w:r>
      <w:r w:rsidR="00034654" w:rsidRPr="00DC56B3">
        <w:rPr>
          <w:rFonts w:asciiTheme="minorHAnsi" w:eastAsia="Times New Roman" w:hAnsiTheme="minorHAnsi"/>
          <w:b/>
          <w:bCs/>
          <w:sz w:val="24"/>
          <w:szCs w:val="24"/>
          <w:lang w:val="es-ES"/>
        </w:rPr>
        <w:t xml:space="preserve">niciativas regionales de Ramsar </w:t>
      </w:r>
      <w:r w:rsidR="00015C8E" w:rsidRPr="00DC56B3">
        <w:rPr>
          <w:rFonts w:asciiTheme="minorHAnsi" w:eastAsia="Times New Roman" w:hAnsiTheme="minorHAnsi"/>
          <w:b/>
          <w:bCs/>
          <w:sz w:val="24"/>
          <w:szCs w:val="24"/>
          <w:lang w:val="es-ES"/>
        </w:rPr>
        <w:t>–</w:t>
      </w:r>
      <w:r w:rsidR="00535B5E" w:rsidRPr="00DC56B3">
        <w:rPr>
          <w:rFonts w:asciiTheme="minorHAnsi" w:eastAsia="Times New Roman" w:hAnsiTheme="minorHAnsi"/>
          <w:b/>
          <w:bCs/>
          <w:sz w:val="24"/>
          <w:szCs w:val="24"/>
          <w:lang w:val="es-ES"/>
        </w:rPr>
        <w:t xml:space="preserve"> </w:t>
      </w:r>
      <w:r w:rsidR="00015C8E" w:rsidRPr="00DC56B3">
        <w:rPr>
          <w:rFonts w:asciiTheme="minorHAnsi" w:eastAsia="Times New Roman" w:hAnsiTheme="minorHAnsi"/>
          <w:b/>
          <w:bCs/>
          <w:sz w:val="24"/>
          <w:szCs w:val="24"/>
          <w:lang w:val="es-ES"/>
        </w:rPr>
        <w:t>COP14-COP15</w:t>
      </w:r>
    </w:p>
    <w:p w14:paraId="07BDB8C6" w14:textId="77777777" w:rsidR="00015C8E" w:rsidRPr="00DC56B3" w:rsidRDefault="00015C8E" w:rsidP="00015C8E">
      <w:pPr>
        <w:rPr>
          <w:lang w:val="es-ES"/>
        </w:rPr>
      </w:pPr>
    </w:p>
    <w:p w14:paraId="14663250" w14:textId="36A999BA" w:rsidR="00015C8E" w:rsidRPr="00DC56B3" w:rsidRDefault="00015C8E" w:rsidP="00015C8E">
      <w:pPr>
        <w:rPr>
          <w:lang w:val="es-ES"/>
        </w:rPr>
      </w:pPr>
      <w:r w:rsidRPr="00DC56B3">
        <w:rPr>
          <w:lang w:val="es-ES"/>
        </w:rPr>
        <w:t>1.</w:t>
      </w:r>
      <w:r w:rsidRPr="00DC56B3">
        <w:rPr>
          <w:lang w:val="es-ES"/>
        </w:rPr>
        <w:tab/>
        <w:t>RECO</w:t>
      </w:r>
      <w:r w:rsidR="00202F2F" w:rsidRPr="00DC56B3">
        <w:rPr>
          <w:lang w:val="es-ES"/>
        </w:rPr>
        <w:t xml:space="preserve">NOCIENDO la necesidad de una </w:t>
      </w:r>
      <w:r w:rsidR="008723DA" w:rsidRPr="00DC56B3">
        <w:rPr>
          <w:lang w:val="es-ES"/>
        </w:rPr>
        <w:t>resolución</w:t>
      </w:r>
      <w:r w:rsidR="00202F2F" w:rsidRPr="00DC56B3">
        <w:rPr>
          <w:lang w:val="es-ES"/>
        </w:rPr>
        <w:t xml:space="preserve"> </w:t>
      </w:r>
      <w:r w:rsidR="00AD0270">
        <w:rPr>
          <w:lang w:val="es-ES"/>
        </w:rPr>
        <w:t>separada que contenga</w:t>
      </w:r>
      <w:r w:rsidR="00202F2F" w:rsidRPr="00DC56B3">
        <w:rPr>
          <w:lang w:val="es-ES"/>
        </w:rPr>
        <w:t xml:space="preserve"> decisiones </w:t>
      </w:r>
      <w:r w:rsidR="00AD0270">
        <w:rPr>
          <w:lang w:val="es-ES"/>
        </w:rPr>
        <w:t xml:space="preserve">de corta duración </w:t>
      </w:r>
      <w:r w:rsidR="00202F2F" w:rsidRPr="00DC56B3">
        <w:rPr>
          <w:lang w:val="es-ES"/>
        </w:rPr>
        <w:t xml:space="preserve">sobre las IRR hasta la COP15 </w:t>
      </w:r>
      <w:r w:rsidR="00AD0270">
        <w:rPr>
          <w:lang w:val="es-ES"/>
        </w:rPr>
        <w:t>y</w:t>
      </w:r>
      <w:r w:rsidR="00202F2F" w:rsidRPr="00DC56B3">
        <w:rPr>
          <w:lang w:val="es-ES"/>
        </w:rPr>
        <w:t xml:space="preserve"> complemente a la resolución </w:t>
      </w:r>
      <w:r w:rsidR="00BC1B16" w:rsidRPr="00DC56B3">
        <w:rPr>
          <w:lang w:val="es-ES"/>
        </w:rPr>
        <w:t>XIV.XX</w:t>
      </w:r>
      <w:r w:rsidR="00202F2F" w:rsidRPr="00DC56B3">
        <w:rPr>
          <w:lang w:val="es-ES"/>
        </w:rPr>
        <w:t xml:space="preserve">, </w:t>
      </w:r>
      <w:r w:rsidR="00202F2F" w:rsidRPr="00DC56B3">
        <w:rPr>
          <w:i/>
          <w:iCs/>
          <w:lang w:val="es-ES"/>
        </w:rPr>
        <w:t>I</w:t>
      </w:r>
      <w:r w:rsidR="00034654" w:rsidRPr="00DC56B3">
        <w:rPr>
          <w:i/>
          <w:iCs/>
          <w:lang w:val="es-ES"/>
        </w:rPr>
        <w:t xml:space="preserve">niciativas regionales de Ramsar </w:t>
      </w:r>
      <w:r w:rsidR="00E968EF" w:rsidRPr="00DC56B3">
        <w:rPr>
          <w:i/>
          <w:iCs/>
          <w:lang w:val="es-ES"/>
        </w:rPr>
        <w:t>–</w:t>
      </w:r>
      <w:r w:rsidR="00BC1B16" w:rsidRPr="00DC56B3">
        <w:rPr>
          <w:i/>
          <w:iCs/>
          <w:lang w:val="es-ES"/>
        </w:rPr>
        <w:t xml:space="preserve"> </w:t>
      </w:r>
      <w:r w:rsidR="00AD0270">
        <w:rPr>
          <w:i/>
          <w:iCs/>
          <w:lang w:val="es-ES"/>
        </w:rPr>
        <w:t>cuestiones</w:t>
      </w:r>
      <w:r w:rsidR="00E968EF" w:rsidRPr="00DC56B3">
        <w:rPr>
          <w:i/>
          <w:iCs/>
          <w:lang w:val="es-ES"/>
        </w:rPr>
        <w:t xml:space="preserve"> bási</w:t>
      </w:r>
      <w:r w:rsidR="00AD0270">
        <w:rPr>
          <w:i/>
          <w:iCs/>
          <w:lang w:val="es-ES"/>
        </w:rPr>
        <w:t>cas</w:t>
      </w:r>
      <w:r w:rsidR="00E968EF" w:rsidRPr="00DC56B3">
        <w:rPr>
          <w:lang w:val="es-ES"/>
        </w:rPr>
        <w:t xml:space="preserve">, que </w:t>
      </w:r>
      <w:r w:rsidR="008723DA" w:rsidRPr="00DC56B3">
        <w:rPr>
          <w:lang w:val="es-ES"/>
        </w:rPr>
        <w:t>contiene</w:t>
      </w:r>
      <w:r w:rsidR="00E968EF" w:rsidRPr="00DC56B3">
        <w:rPr>
          <w:lang w:val="es-ES"/>
        </w:rPr>
        <w:t xml:space="preserve"> las decisiones </w:t>
      </w:r>
      <w:r w:rsidR="00AD0270">
        <w:rPr>
          <w:lang w:val="es-ES"/>
        </w:rPr>
        <w:t>duraderas</w:t>
      </w:r>
      <w:r w:rsidR="00E968EF" w:rsidRPr="00DC56B3">
        <w:rPr>
          <w:lang w:val="es-ES"/>
        </w:rPr>
        <w:t xml:space="preserve">, RECONOCIENDO </w:t>
      </w:r>
      <w:r w:rsidR="00AD0270">
        <w:rPr>
          <w:lang w:val="es-ES"/>
        </w:rPr>
        <w:t>TAMBIÉN</w:t>
      </w:r>
      <w:r w:rsidR="00E968EF" w:rsidRPr="00DC56B3">
        <w:rPr>
          <w:lang w:val="es-ES"/>
        </w:rPr>
        <w:t xml:space="preserve"> que esta manera de estructurar las </w:t>
      </w:r>
      <w:r w:rsidR="008723DA" w:rsidRPr="00DC56B3">
        <w:rPr>
          <w:lang w:val="es-ES"/>
        </w:rPr>
        <w:t>resoluciones</w:t>
      </w:r>
      <w:r w:rsidR="00E968EF" w:rsidRPr="00DC56B3">
        <w:rPr>
          <w:lang w:val="es-ES"/>
        </w:rPr>
        <w:t xml:space="preserve"> reducirá la necesitad de procesos de consolidación y que el </w:t>
      </w:r>
      <w:r w:rsidR="008723DA" w:rsidRPr="00DC56B3">
        <w:rPr>
          <w:lang w:val="es-ES"/>
        </w:rPr>
        <w:t>proceso</w:t>
      </w:r>
      <w:r w:rsidR="00E968EF" w:rsidRPr="00DC56B3">
        <w:rPr>
          <w:lang w:val="es-ES"/>
        </w:rPr>
        <w:t xml:space="preserve"> de retirada de esta resolución </w:t>
      </w:r>
      <w:r w:rsidR="00AD0270">
        <w:rPr>
          <w:lang w:val="es-ES"/>
        </w:rPr>
        <w:t xml:space="preserve">de corta duración </w:t>
      </w:r>
      <w:r w:rsidR="00E968EF" w:rsidRPr="00DC56B3">
        <w:rPr>
          <w:lang w:val="es-ES"/>
        </w:rPr>
        <w:t xml:space="preserve">será rápido, ya que </w:t>
      </w:r>
      <w:r w:rsidR="00AD0270">
        <w:rPr>
          <w:lang w:val="es-ES"/>
        </w:rPr>
        <w:t xml:space="preserve">se ha </w:t>
      </w:r>
      <w:r w:rsidR="00E968EF" w:rsidRPr="00DC56B3">
        <w:rPr>
          <w:lang w:val="es-ES"/>
        </w:rPr>
        <w:t xml:space="preserve">tratado en la </w:t>
      </w:r>
      <w:r w:rsidR="008723DA" w:rsidRPr="00DC56B3">
        <w:rPr>
          <w:lang w:val="es-ES"/>
        </w:rPr>
        <w:t>resolución</w:t>
      </w:r>
      <w:r w:rsidR="00D07680" w:rsidRPr="00DC56B3">
        <w:rPr>
          <w:lang w:val="es-ES"/>
        </w:rPr>
        <w:t>;</w:t>
      </w:r>
      <w:r w:rsidR="009129A3" w:rsidRPr="00DC56B3">
        <w:rPr>
          <w:lang w:val="es-ES"/>
        </w:rPr>
        <w:t xml:space="preserve">  </w:t>
      </w:r>
      <w:r w:rsidRPr="00DC56B3">
        <w:rPr>
          <w:lang w:val="es-ES"/>
        </w:rPr>
        <w:t xml:space="preserve"> </w:t>
      </w:r>
    </w:p>
    <w:p w14:paraId="2FA4EB40" w14:textId="77777777" w:rsidR="00015C8E" w:rsidRPr="00DC56B3" w:rsidRDefault="00015C8E" w:rsidP="00015C8E">
      <w:pPr>
        <w:rPr>
          <w:lang w:val="es-ES"/>
        </w:rPr>
      </w:pPr>
    </w:p>
    <w:p w14:paraId="64E1B4F7" w14:textId="38D11F7C" w:rsidR="00015C8E" w:rsidRPr="00DC56B3" w:rsidRDefault="00015C8E" w:rsidP="00015C8E">
      <w:pPr>
        <w:rPr>
          <w:lang w:val="es-ES"/>
        </w:rPr>
      </w:pPr>
      <w:r w:rsidRPr="00DC56B3">
        <w:rPr>
          <w:lang w:val="es-ES"/>
        </w:rPr>
        <w:t>2.</w:t>
      </w:r>
      <w:r w:rsidRPr="00DC56B3">
        <w:rPr>
          <w:lang w:val="es-ES"/>
        </w:rPr>
        <w:tab/>
      </w:r>
      <w:r w:rsidR="00E968EF" w:rsidRPr="00DC56B3">
        <w:rPr>
          <w:lang w:val="es-ES"/>
        </w:rPr>
        <w:t>RECONOCIENDO ASIMISMO que la participación de la Secretaría en el proyecto IKI no está en consonancia con ninguna resolución sobre las tareas de trabajo de</w:t>
      </w:r>
      <w:r w:rsidR="00AD0270">
        <w:rPr>
          <w:lang w:val="es-ES"/>
        </w:rPr>
        <w:t xml:space="preserve"> </w:t>
      </w:r>
      <w:r w:rsidR="00E968EF" w:rsidRPr="00DC56B3">
        <w:rPr>
          <w:lang w:val="es-ES"/>
        </w:rPr>
        <w:t xml:space="preserve">la Secretaría sobre las IRR y no es el tipo de labor que se supone que debe realizar </w:t>
      </w:r>
      <w:r w:rsidR="00CE38FE">
        <w:rPr>
          <w:lang w:val="es-ES"/>
        </w:rPr>
        <w:t>la</w:t>
      </w:r>
      <w:r w:rsidR="00E968EF" w:rsidRPr="00DC56B3">
        <w:rPr>
          <w:lang w:val="es-ES"/>
        </w:rPr>
        <w:t xml:space="preserve"> Secretaría de una </w:t>
      </w:r>
      <w:r w:rsidR="008723DA" w:rsidRPr="00DC56B3">
        <w:rPr>
          <w:lang w:val="es-ES"/>
        </w:rPr>
        <w:t>convención</w:t>
      </w:r>
      <w:r w:rsidR="00E968EF" w:rsidRPr="00DC56B3">
        <w:rPr>
          <w:lang w:val="es-ES"/>
        </w:rPr>
        <w:t xml:space="preserve"> mundial, y RECONOCIENDO </w:t>
      </w:r>
      <w:r w:rsidR="00CE38FE">
        <w:rPr>
          <w:lang w:val="es-ES"/>
        </w:rPr>
        <w:t xml:space="preserve">ADEMÁS </w:t>
      </w:r>
      <w:r w:rsidR="00E968EF" w:rsidRPr="00DC56B3">
        <w:rPr>
          <w:lang w:val="es-ES"/>
        </w:rPr>
        <w:t xml:space="preserve">que no ha habido ninguna iniciativa de </w:t>
      </w:r>
      <w:r w:rsidR="00CE38FE">
        <w:rPr>
          <w:lang w:val="es-ES"/>
        </w:rPr>
        <w:t xml:space="preserve">una </w:t>
      </w:r>
      <w:r w:rsidR="00E968EF" w:rsidRPr="00DC56B3">
        <w:rPr>
          <w:lang w:val="es-ES"/>
        </w:rPr>
        <w:t xml:space="preserve">COP </w:t>
      </w:r>
      <w:r w:rsidR="00CE38FE">
        <w:rPr>
          <w:lang w:val="es-ES"/>
        </w:rPr>
        <w:t xml:space="preserve">o </w:t>
      </w:r>
      <w:r w:rsidR="00E968EF" w:rsidRPr="00DC56B3">
        <w:rPr>
          <w:lang w:val="es-ES"/>
        </w:rPr>
        <w:t>de una reunión del Comité Permanente para que el proyecto IKI sea administra</w:t>
      </w:r>
      <w:r w:rsidR="008723DA">
        <w:rPr>
          <w:lang w:val="es-ES"/>
        </w:rPr>
        <w:t>do</w:t>
      </w:r>
      <w:r w:rsidR="00E968EF" w:rsidRPr="00DC56B3">
        <w:rPr>
          <w:lang w:val="es-ES"/>
        </w:rPr>
        <w:t xml:space="preserve"> por la Convención</w:t>
      </w:r>
      <w:r w:rsidR="006B3FB7">
        <w:rPr>
          <w:lang w:val="es-ES"/>
        </w:rPr>
        <w:t xml:space="preserve">, </w:t>
      </w:r>
      <w:r w:rsidR="00E968EF" w:rsidRPr="00DC56B3">
        <w:rPr>
          <w:lang w:val="es-ES"/>
        </w:rPr>
        <w:t xml:space="preserve">que la situación actual </w:t>
      </w:r>
      <w:r w:rsidR="00CE38FE">
        <w:rPr>
          <w:lang w:val="es-ES"/>
        </w:rPr>
        <w:t xml:space="preserve">contradice a </w:t>
      </w:r>
      <w:r w:rsidR="00E968EF" w:rsidRPr="00DC56B3">
        <w:rPr>
          <w:lang w:val="es-ES"/>
        </w:rPr>
        <w:t xml:space="preserve">la Resolución </w:t>
      </w:r>
      <w:r w:rsidRPr="00DC56B3">
        <w:rPr>
          <w:lang w:val="es-ES"/>
        </w:rPr>
        <w:t xml:space="preserve">XIII.9 </w:t>
      </w:r>
      <w:r w:rsidR="00E968EF" w:rsidRPr="00DC56B3">
        <w:rPr>
          <w:lang w:val="es-ES"/>
        </w:rPr>
        <w:t xml:space="preserve">y que </w:t>
      </w:r>
      <w:r w:rsidR="00C0113A" w:rsidRPr="00DC56B3">
        <w:rPr>
          <w:lang w:val="es-ES"/>
        </w:rPr>
        <w:t xml:space="preserve">una decisión </w:t>
      </w:r>
      <w:r w:rsidR="008723DA" w:rsidRPr="00DC56B3">
        <w:rPr>
          <w:lang w:val="es-ES"/>
        </w:rPr>
        <w:t>anterior</w:t>
      </w:r>
      <w:r w:rsidR="00C0113A" w:rsidRPr="00DC56B3">
        <w:rPr>
          <w:lang w:val="es-ES"/>
        </w:rPr>
        <w:t xml:space="preserve"> del C</w:t>
      </w:r>
      <w:r w:rsidR="00CE38FE">
        <w:rPr>
          <w:lang w:val="es-ES"/>
        </w:rPr>
        <w:t xml:space="preserve">omité </w:t>
      </w:r>
      <w:r w:rsidR="00C0113A" w:rsidRPr="00DC56B3">
        <w:rPr>
          <w:lang w:val="es-ES"/>
        </w:rPr>
        <w:t>P</w:t>
      </w:r>
      <w:r w:rsidR="00CE38FE">
        <w:rPr>
          <w:lang w:val="es-ES"/>
        </w:rPr>
        <w:t>ermanente</w:t>
      </w:r>
      <w:r w:rsidR="00C0113A" w:rsidRPr="00DC56B3">
        <w:rPr>
          <w:lang w:val="es-ES"/>
        </w:rPr>
        <w:t xml:space="preserve"> de someter la </w:t>
      </w:r>
      <w:r w:rsidR="008723DA" w:rsidRPr="00DC56B3">
        <w:rPr>
          <w:lang w:val="es-ES"/>
        </w:rPr>
        <w:t>cuestión</w:t>
      </w:r>
      <w:r w:rsidR="00C0113A" w:rsidRPr="00DC56B3">
        <w:rPr>
          <w:lang w:val="es-ES"/>
        </w:rPr>
        <w:t xml:space="preserve"> a la COP13 fue ignorada por los responsables</w:t>
      </w:r>
      <w:r w:rsidRPr="00DC56B3">
        <w:rPr>
          <w:lang w:val="es-ES"/>
        </w:rPr>
        <w:t xml:space="preserve">.  </w:t>
      </w:r>
    </w:p>
    <w:p w14:paraId="06592D84" w14:textId="09529C3B" w:rsidR="00015C8E" w:rsidRPr="00DC56B3" w:rsidRDefault="00015C8E" w:rsidP="00015C8E">
      <w:pPr>
        <w:rPr>
          <w:lang w:val="es-ES"/>
        </w:rPr>
      </w:pPr>
    </w:p>
    <w:p w14:paraId="414035A3" w14:textId="77777777" w:rsidR="0035701C" w:rsidRPr="00DC56B3" w:rsidRDefault="0035701C" w:rsidP="00015C8E">
      <w:pPr>
        <w:rPr>
          <w:lang w:val="es-ES"/>
        </w:rPr>
      </w:pPr>
    </w:p>
    <w:p w14:paraId="2633DAA6" w14:textId="5D45C0FA" w:rsidR="00015C8E" w:rsidRPr="00DC56B3" w:rsidRDefault="00C0113A" w:rsidP="00015C8E">
      <w:pPr>
        <w:pStyle w:val="BodyText"/>
        <w:keepNext/>
        <w:widowControl/>
        <w:ind w:left="425" w:hanging="425"/>
        <w:jc w:val="center"/>
        <w:rPr>
          <w:lang w:val="es-ES"/>
        </w:rPr>
      </w:pPr>
      <w:r w:rsidRPr="00DC56B3">
        <w:rPr>
          <w:lang w:val="es-ES"/>
        </w:rPr>
        <w:t>LA CONFERENCIA DE LAS PARTES CONTRATANTES</w:t>
      </w:r>
    </w:p>
    <w:p w14:paraId="2E57E6E6" w14:textId="77777777" w:rsidR="00015C8E" w:rsidRPr="00DC56B3" w:rsidRDefault="00015C8E" w:rsidP="00015C8E">
      <w:pPr>
        <w:pStyle w:val="BodyText"/>
        <w:keepNext/>
        <w:widowControl/>
        <w:ind w:left="425" w:hanging="425"/>
        <w:rPr>
          <w:lang w:val="es-ES"/>
        </w:rPr>
      </w:pPr>
    </w:p>
    <w:p w14:paraId="7D41E22A" w14:textId="1404AB59" w:rsidR="00015C8E" w:rsidRPr="00DC56B3" w:rsidRDefault="00C0113A" w:rsidP="00015C8E">
      <w:pPr>
        <w:pStyle w:val="BodyText"/>
        <w:keepNext/>
        <w:widowControl/>
        <w:ind w:left="425" w:hanging="425"/>
        <w:rPr>
          <w:b/>
          <w:bCs/>
          <w:lang w:val="es-ES"/>
        </w:rPr>
      </w:pPr>
      <w:bookmarkStart w:id="6" w:name="_Hlk89960554"/>
      <w:r w:rsidRPr="00DC56B3">
        <w:rPr>
          <w:i/>
          <w:iCs/>
          <w:lang w:val="es-ES"/>
        </w:rPr>
        <w:t>Información básica sobre la res</w:t>
      </w:r>
      <w:bookmarkStart w:id="7" w:name="_Hlk95150273"/>
      <w:r w:rsidRPr="00DC56B3">
        <w:rPr>
          <w:i/>
          <w:iCs/>
          <w:lang w:val="es-ES"/>
        </w:rPr>
        <w:t>olución y otras resoluciones relacionadas con ella</w:t>
      </w:r>
    </w:p>
    <w:p w14:paraId="638E5294" w14:textId="77777777" w:rsidR="00015C8E" w:rsidRPr="00DC56B3" w:rsidRDefault="00015C8E" w:rsidP="00015C8E">
      <w:pPr>
        <w:pStyle w:val="BodyText"/>
        <w:keepNext/>
        <w:widowControl/>
        <w:ind w:left="425" w:hanging="425"/>
        <w:jc w:val="center"/>
        <w:rPr>
          <w:lang w:val="es-ES"/>
        </w:rPr>
      </w:pPr>
      <w:bookmarkStart w:id="8" w:name="_Hlk89960247"/>
      <w:bookmarkEnd w:id="6"/>
      <w:bookmarkEnd w:id="7"/>
    </w:p>
    <w:p w14:paraId="6602D234" w14:textId="12CD47E3" w:rsidR="00015C8E" w:rsidRPr="00DC56B3" w:rsidRDefault="00D07680" w:rsidP="00015C8E">
      <w:pPr>
        <w:rPr>
          <w:lang w:val="es-ES"/>
        </w:rPr>
      </w:pPr>
      <w:r w:rsidRPr="00DC56B3">
        <w:rPr>
          <w:lang w:val="es-ES"/>
        </w:rPr>
        <w:t>3</w:t>
      </w:r>
      <w:r w:rsidR="00015C8E" w:rsidRPr="00DC56B3">
        <w:rPr>
          <w:lang w:val="es-ES"/>
        </w:rPr>
        <w:t>.</w:t>
      </w:r>
      <w:r w:rsidR="00015C8E" w:rsidRPr="00DC56B3">
        <w:rPr>
          <w:lang w:val="es-ES"/>
        </w:rPr>
        <w:tab/>
      </w:r>
      <w:r w:rsidR="00C0113A" w:rsidRPr="00DC56B3">
        <w:rPr>
          <w:lang w:val="es-ES"/>
        </w:rPr>
        <w:t xml:space="preserve">AFIRMA que </w:t>
      </w:r>
      <w:r w:rsidR="006B3FB7">
        <w:rPr>
          <w:lang w:val="es-ES"/>
        </w:rPr>
        <w:t>la presente</w:t>
      </w:r>
      <w:r w:rsidR="00C0113A" w:rsidRPr="00DC56B3">
        <w:rPr>
          <w:lang w:val="es-ES"/>
        </w:rPr>
        <w:t xml:space="preserve"> resolución sobre las IRR solo contiene </w:t>
      </w:r>
      <w:r w:rsidR="008723DA" w:rsidRPr="00DC56B3">
        <w:rPr>
          <w:lang w:val="es-ES"/>
        </w:rPr>
        <w:t>información</w:t>
      </w:r>
      <w:r w:rsidR="00C0113A" w:rsidRPr="00DC56B3">
        <w:rPr>
          <w:lang w:val="es-ES"/>
        </w:rPr>
        <w:t xml:space="preserve"> sobre </w:t>
      </w:r>
      <w:r w:rsidR="0018104D">
        <w:rPr>
          <w:lang w:val="es-ES"/>
        </w:rPr>
        <w:t xml:space="preserve">las </w:t>
      </w:r>
      <w:r w:rsidR="00C0113A" w:rsidRPr="00DC56B3">
        <w:rPr>
          <w:lang w:val="es-ES"/>
        </w:rPr>
        <w:t xml:space="preserve">cuestiones </w:t>
      </w:r>
      <w:r w:rsidR="008723DA" w:rsidRPr="00DC56B3">
        <w:rPr>
          <w:lang w:val="es-ES"/>
        </w:rPr>
        <w:t>específicas</w:t>
      </w:r>
      <w:r w:rsidR="00C0113A" w:rsidRPr="00DC56B3">
        <w:rPr>
          <w:lang w:val="es-ES"/>
        </w:rPr>
        <w:t xml:space="preserve"> </w:t>
      </w:r>
      <w:r w:rsidR="006B3FB7">
        <w:rPr>
          <w:lang w:val="es-ES"/>
        </w:rPr>
        <w:t>relativas a</w:t>
      </w:r>
      <w:r w:rsidR="00C0113A" w:rsidRPr="00DC56B3">
        <w:rPr>
          <w:lang w:val="es-ES"/>
        </w:rPr>
        <w:t xml:space="preserve">l período entre la </w:t>
      </w:r>
      <w:r w:rsidR="00015C8E" w:rsidRPr="00DC56B3">
        <w:rPr>
          <w:lang w:val="es-ES"/>
        </w:rPr>
        <w:t>COP14</w:t>
      </w:r>
      <w:r w:rsidR="00C0113A" w:rsidRPr="00DC56B3">
        <w:rPr>
          <w:lang w:val="es-ES"/>
        </w:rPr>
        <w:t xml:space="preserve"> y la CO</w:t>
      </w:r>
      <w:r w:rsidR="00015C8E" w:rsidRPr="00DC56B3">
        <w:rPr>
          <w:lang w:val="es-ES"/>
        </w:rPr>
        <w:t xml:space="preserve">P15 </w:t>
      </w:r>
      <w:r w:rsidR="00C0113A" w:rsidRPr="00DC56B3">
        <w:rPr>
          <w:lang w:val="es-ES"/>
        </w:rPr>
        <w:t>y que las decisiones</w:t>
      </w:r>
      <w:r w:rsidR="0018104D">
        <w:rPr>
          <w:lang w:val="es-ES"/>
        </w:rPr>
        <w:t xml:space="preserve"> de </w:t>
      </w:r>
      <w:r w:rsidR="00C0113A" w:rsidRPr="00DC56B3">
        <w:rPr>
          <w:lang w:val="es-ES"/>
        </w:rPr>
        <w:t xml:space="preserve">carácter </w:t>
      </w:r>
      <w:r w:rsidR="0018104D">
        <w:rPr>
          <w:lang w:val="es-ES"/>
        </w:rPr>
        <w:t xml:space="preserve">duradero </w:t>
      </w:r>
      <w:r w:rsidR="00C0113A" w:rsidRPr="00DC56B3">
        <w:rPr>
          <w:lang w:val="es-ES"/>
        </w:rPr>
        <w:t xml:space="preserve">forman parte de la Resolución </w:t>
      </w:r>
      <w:r w:rsidR="00015C8E" w:rsidRPr="00DC56B3">
        <w:rPr>
          <w:highlight w:val="yellow"/>
          <w:lang w:val="es-ES"/>
        </w:rPr>
        <w:t xml:space="preserve">XIV,¤¤ </w:t>
      </w:r>
      <w:r w:rsidR="00C0113A" w:rsidRPr="00DC56B3">
        <w:rPr>
          <w:i/>
          <w:iCs/>
          <w:highlight w:val="yellow"/>
          <w:lang w:val="es-ES"/>
        </w:rPr>
        <w:t>In</w:t>
      </w:r>
      <w:r w:rsidR="00034654" w:rsidRPr="00DC56B3">
        <w:rPr>
          <w:i/>
          <w:iCs/>
          <w:highlight w:val="yellow"/>
          <w:lang w:val="es-ES"/>
        </w:rPr>
        <w:t xml:space="preserve">iciativas regionales de Ramsar </w:t>
      </w:r>
      <w:r w:rsidR="00BC1B16" w:rsidRPr="00DC56B3">
        <w:rPr>
          <w:i/>
          <w:iCs/>
          <w:highlight w:val="yellow"/>
          <w:lang w:val="es-ES"/>
        </w:rPr>
        <w:t xml:space="preserve">– </w:t>
      </w:r>
      <w:r w:rsidR="0018104D" w:rsidRPr="0018104D">
        <w:rPr>
          <w:i/>
          <w:iCs/>
          <w:highlight w:val="yellow"/>
          <w:lang w:val="es-ES"/>
        </w:rPr>
        <w:t>cuestiones básicas</w:t>
      </w:r>
      <w:r w:rsidR="00BC1B16" w:rsidRPr="00DC56B3">
        <w:rPr>
          <w:i/>
          <w:iCs/>
          <w:highlight w:val="yellow"/>
          <w:lang w:val="es-ES"/>
        </w:rPr>
        <w:t>,</w:t>
      </w:r>
      <w:r w:rsidR="00BC1B16" w:rsidRPr="00DC56B3">
        <w:rPr>
          <w:lang w:val="es-ES"/>
        </w:rPr>
        <w:t xml:space="preserve"> </w:t>
      </w:r>
      <w:r w:rsidR="00C0113A" w:rsidRPr="00DC56B3">
        <w:rPr>
          <w:lang w:val="es-ES"/>
        </w:rPr>
        <w:t xml:space="preserve">que </w:t>
      </w:r>
      <w:r w:rsidR="0018104D">
        <w:rPr>
          <w:lang w:val="es-ES"/>
        </w:rPr>
        <w:t xml:space="preserve">también </w:t>
      </w:r>
      <w:r w:rsidR="00C0113A" w:rsidRPr="00DC56B3">
        <w:rPr>
          <w:lang w:val="es-ES"/>
        </w:rPr>
        <w:t>debe aplicarse</w:t>
      </w:r>
      <w:r w:rsidR="00015C8E" w:rsidRPr="00DC56B3">
        <w:rPr>
          <w:lang w:val="es-ES"/>
        </w:rPr>
        <w:t xml:space="preserve">.    </w:t>
      </w:r>
    </w:p>
    <w:p w14:paraId="3B01B6C0" w14:textId="48917F57" w:rsidR="00DA5D84" w:rsidRPr="00DC56B3" w:rsidRDefault="00DA5D84" w:rsidP="00015C8E">
      <w:pPr>
        <w:rPr>
          <w:lang w:val="es-ES"/>
        </w:rPr>
      </w:pPr>
    </w:p>
    <w:p w14:paraId="10CF168F" w14:textId="684B8B55" w:rsidR="00DA5D84" w:rsidRPr="00DC56B3" w:rsidRDefault="00DA5D84" w:rsidP="00015C8E">
      <w:pPr>
        <w:rPr>
          <w:lang w:val="es-ES"/>
        </w:rPr>
      </w:pPr>
      <w:r w:rsidRPr="00DC56B3">
        <w:rPr>
          <w:lang w:val="es-ES"/>
        </w:rPr>
        <w:t>4.</w:t>
      </w:r>
      <w:r w:rsidRPr="00DC56B3">
        <w:rPr>
          <w:lang w:val="es-ES"/>
        </w:rPr>
        <w:tab/>
        <w:t>DECIDE</w:t>
      </w:r>
      <w:r w:rsidR="00C0113A" w:rsidRPr="00DC56B3">
        <w:rPr>
          <w:lang w:val="es-ES"/>
        </w:rPr>
        <w:t xml:space="preserve"> que esta </w:t>
      </w:r>
      <w:r w:rsidR="008723DA" w:rsidRPr="00DC56B3">
        <w:rPr>
          <w:lang w:val="es-ES"/>
        </w:rPr>
        <w:t>resolución</w:t>
      </w:r>
      <w:r w:rsidR="00C0113A" w:rsidRPr="00DC56B3">
        <w:rPr>
          <w:lang w:val="es-ES"/>
        </w:rPr>
        <w:t xml:space="preserve"> será válida hasta que sea </w:t>
      </w:r>
      <w:r w:rsidR="008723DA" w:rsidRPr="00DC56B3">
        <w:rPr>
          <w:lang w:val="es-ES"/>
        </w:rPr>
        <w:t>reemplazada</w:t>
      </w:r>
      <w:r w:rsidR="00C0113A" w:rsidRPr="00DC56B3">
        <w:rPr>
          <w:lang w:val="es-ES"/>
        </w:rPr>
        <w:t xml:space="preserve"> por una nueva para el período </w:t>
      </w:r>
      <w:r w:rsidR="005278C7" w:rsidRPr="00DC56B3">
        <w:rPr>
          <w:lang w:val="es-ES"/>
        </w:rPr>
        <w:t xml:space="preserve">COP15-COP16 </w:t>
      </w:r>
      <w:r w:rsidR="00C0113A" w:rsidRPr="00DC56B3">
        <w:rPr>
          <w:lang w:val="es-ES"/>
        </w:rPr>
        <w:t xml:space="preserve">en la </w:t>
      </w:r>
      <w:r w:rsidR="005278C7" w:rsidRPr="00DC56B3">
        <w:rPr>
          <w:lang w:val="es-ES"/>
        </w:rPr>
        <w:t>COP15.</w:t>
      </w:r>
    </w:p>
    <w:p w14:paraId="1546F7F3" w14:textId="77777777" w:rsidR="00015C8E" w:rsidRPr="00DC56B3" w:rsidRDefault="00015C8E" w:rsidP="00015C8E">
      <w:pPr>
        <w:rPr>
          <w:lang w:val="es-ES"/>
        </w:rPr>
      </w:pPr>
    </w:p>
    <w:bookmarkEnd w:id="8"/>
    <w:p w14:paraId="5EA2DDB2" w14:textId="77777777" w:rsidR="00015C8E" w:rsidRPr="00DC56B3" w:rsidRDefault="00015C8E" w:rsidP="00015C8E">
      <w:pPr>
        <w:rPr>
          <w:lang w:val="es-ES"/>
        </w:rPr>
      </w:pPr>
    </w:p>
    <w:p w14:paraId="291FED40" w14:textId="3E093DF2" w:rsidR="00015C8E" w:rsidRPr="00DC56B3" w:rsidRDefault="00C0113A" w:rsidP="00015C8E">
      <w:pPr>
        <w:pStyle w:val="BodyText"/>
        <w:keepNext/>
        <w:widowControl/>
        <w:ind w:left="425" w:hanging="425"/>
        <w:rPr>
          <w:i/>
          <w:iCs/>
          <w:lang w:val="es-ES"/>
        </w:rPr>
      </w:pPr>
      <w:r w:rsidRPr="00DC56B3">
        <w:rPr>
          <w:i/>
          <w:iCs/>
          <w:lang w:val="es-ES"/>
        </w:rPr>
        <w:t>Las IRR para el período C</w:t>
      </w:r>
      <w:r w:rsidR="00015C8E" w:rsidRPr="00DC56B3">
        <w:rPr>
          <w:i/>
          <w:iCs/>
          <w:lang w:val="es-ES"/>
        </w:rPr>
        <w:t>OP14-COP15</w:t>
      </w:r>
    </w:p>
    <w:p w14:paraId="48DD8631" w14:textId="77777777" w:rsidR="00015C8E" w:rsidRPr="00DC56B3" w:rsidRDefault="00015C8E" w:rsidP="00015C8E">
      <w:pPr>
        <w:rPr>
          <w:lang w:val="es-ES"/>
        </w:rPr>
      </w:pPr>
    </w:p>
    <w:p w14:paraId="7571ECC0" w14:textId="1E679CDA" w:rsidR="00015C8E" w:rsidRPr="00DC56B3" w:rsidRDefault="00D07680" w:rsidP="00015C8E">
      <w:pPr>
        <w:rPr>
          <w:lang w:val="es-ES"/>
        </w:rPr>
      </w:pPr>
      <w:r w:rsidRPr="00DC56B3">
        <w:rPr>
          <w:lang w:val="es-ES"/>
        </w:rPr>
        <w:lastRenderedPageBreak/>
        <w:t>4</w:t>
      </w:r>
      <w:r w:rsidR="00015C8E" w:rsidRPr="00DC56B3">
        <w:rPr>
          <w:lang w:val="es-ES"/>
        </w:rPr>
        <w:t>.</w:t>
      </w:r>
      <w:r w:rsidR="00015C8E" w:rsidRPr="00DC56B3">
        <w:rPr>
          <w:lang w:val="es-ES"/>
        </w:rPr>
        <w:tab/>
      </w:r>
      <w:r w:rsidR="00C0113A" w:rsidRPr="00DC56B3">
        <w:rPr>
          <w:lang w:val="es-ES"/>
        </w:rPr>
        <w:t xml:space="preserve">APRUEBA las IRR existentes que se enumeran a continuación (que ya existían antes de la </w:t>
      </w:r>
      <w:r w:rsidR="00015C8E" w:rsidRPr="00DC56B3">
        <w:rPr>
          <w:lang w:val="es-ES"/>
        </w:rPr>
        <w:t xml:space="preserve">COP14) </w:t>
      </w:r>
      <w:r w:rsidR="00C0113A" w:rsidRPr="00DC56B3">
        <w:rPr>
          <w:lang w:val="es-ES"/>
        </w:rPr>
        <w:t>considerando que realizan su actividad en el marco de la Convención sobre los humedales hasta la COP15:</w:t>
      </w:r>
    </w:p>
    <w:p w14:paraId="2E94719F" w14:textId="77777777" w:rsidR="00015C8E" w:rsidRPr="00DC56B3" w:rsidRDefault="00015C8E" w:rsidP="00015C8E">
      <w:pPr>
        <w:pStyle w:val="BodyText"/>
        <w:widowControl/>
        <w:ind w:left="425" w:firstLine="0"/>
        <w:rPr>
          <w:lang w:val="es-ES"/>
        </w:rPr>
      </w:pPr>
    </w:p>
    <w:p w14:paraId="0FD79B95" w14:textId="04B8D944" w:rsidR="00015C8E" w:rsidRPr="00DC56B3" w:rsidRDefault="00C0113A" w:rsidP="00015C8E">
      <w:pPr>
        <w:pStyle w:val="BodyText"/>
        <w:widowControl/>
        <w:ind w:left="425" w:firstLine="0"/>
        <w:rPr>
          <w:lang w:val="es-ES"/>
        </w:rPr>
      </w:pPr>
      <w:r w:rsidRPr="00DC56B3">
        <w:rPr>
          <w:lang w:val="es-ES"/>
        </w:rPr>
        <w:t>Cuatro centros regionales de Ramsar para la formación y creación de capacidad</w:t>
      </w:r>
      <w:r w:rsidR="00015C8E" w:rsidRPr="00DC56B3">
        <w:rPr>
          <w:lang w:val="es-ES"/>
        </w:rPr>
        <w:t>:</w:t>
      </w:r>
    </w:p>
    <w:p w14:paraId="007EDAFE" w14:textId="77777777" w:rsidR="005D395D" w:rsidRPr="00DC56B3" w:rsidRDefault="005D395D" w:rsidP="005D395D">
      <w:pPr>
        <w:pStyle w:val="BodyText"/>
        <w:widowControl/>
        <w:numPr>
          <w:ilvl w:val="1"/>
          <w:numId w:val="4"/>
        </w:numPr>
        <w:ind w:left="850" w:hanging="425"/>
        <w:rPr>
          <w:lang w:val="es-ES"/>
        </w:rPr>
      </w:pPr>
      <w:r w:rsidRPr="00DC56B3">
        <w:rPr>
          <w:lang w:val="es-ES"/>
        </w:rPr>
        <w:t>Centro Ramsar para África Oriental (RAMCEA)</w:t>
      </w:r>
    </w:p>
    <w:p w14:paraId="1DA3F41A" w14:textId="77777777" w:rsidR="005D395D" w:rsidRPr="00DC56B3" w:rsidRDefault="005D395D" w:rsidP="005D395D">
      <w:pPr>
        <w:pStyle w:val="BodyText"/>
        <w:widowControl/>
        <w:numPr>
          <w:ilvl w:val="1"/>
          <w:numId w:val="4"/>
        </w:numPr>
        <w:ind w:left="850" w:hanging="425"/>
        <w:rPr>
          <w:lang w:val="es-ES"/>
        </w:rPr>
      </w:pPr>
      <w:r w:rsidRPr="00DC56B3">
        <w:rPr>
          <w:lang w:val="es-ES"/>
        </w:rPr>
        <w:t>Centro Regional Ramsar para la Capacitación e Investigación sobre Humedales en el Hemisferio Occidental (CREHO)</w:t>
      </w:r>
    </w:p>
    <w:p w14:paraId="35D85B45" w14:textId="77777777" w:rsidR="005D395D" w:rsidRPr="00DC56B3" w:rsidRDefault="005D395D" w:rsidP="005D395D">
      <w:pPr>
        <w:pStyle w:val="BodyText"/>
        <w:widowControl/>
        <w:numPr>
          <w:ilvl w:val="1"/>
          <w:numId w:val="4"/>
        </w:numPr>
        <w:ind w:left="850" w:hanging="425"/>
        <w:rPr>
          <w:lang w:val="es-ES"/>
        </w:rPr>
      </w:pPr>
      <w:r w:rsidRPr="00DC56B3">
        <w:rPr>
          <w:lang w:val="es-ES"/>
        </w:rPr>
        <w:t>Centro Regional Ramsar para Asia Central y Occidental (RRC-CWA)</w:t>
      </w:r>
    </w:p>
    <w:p w14:paraId="48323288" w14:textId="77777777" w:rsidR="005D395D" w:rsidRPr="00DC56B3" w:rsidRDefault="005D395D" w:rsidP="005D395D">
      <w:pPr>
        <w:pStyle w:val="BodyText"/>
        <w:widowControl/>
        <w:numPr>
          <w:ilvl w:val="1"/>
          <w:numId w:val="4"/>
        </w:numPr>
        <w:ind w:left="850" w:hanging="425"/>
        <w:rPr>
          <w:lang w:val="es-ES"/>
        </w:rPr>
      </w:pPr>
      <w:r w:rsidRPr="00DC56B3">
        <w:rPr>
          <w:lang w:val="es-ES"/>
        </w:rPr>
        <w:t>Centro Regional Ramsar para Asia Oriental (RRC-EA); y</w:t>
      </w:r>
    </w:p>
    <w:p w14:paraId="4E6E5A0D" w14:textId="77777777" w:rsidR="00015C8E" w:rsidRPr="00DC56B3" w:rsidRDefault="00015C8E" w:rsidP="00015C8E">
      <w:pPr>
        <w:pStyle w:val="BodyText"/>
        <w:widowControl/>
        <w:ind w:left="425" w:firstLine="0"/>
        <w:rPr>
          <w:lang w:val="es-ES"/>
        </w:rPr>
      </w:pPr>
    </w:p>
    <w:p w14:paraId="05851B86" w14:textId="77777777" w:rsidR="005D395D" w:rsidRPr="00DC56B3" w:rsidRDefault="005D395D" w:rsidP="005D395D">
      <w:pPr>
        <w:pStyle w:val="BodyText"/>
        <w:keepNext/>
        <w:widowControl/>
        <w:ind w:left="425" w:firstLine="0"/>
        <w:rPr>
          <w:lang w:val="es-ES"/>
        </w:rPr>
      </w:pPr>
      <w:r w:rsidRPr="00DC56B3">
        <w:rPr>
          <w:lang w:val="es-ES"/>
        </w:rPr>
        <w:t>Quince redes de Ramsar para la cooperación regional:</w:t>
      </w:r>
    </w:p>
    <w:p w14:paraId="5E7DA205"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los humedales costeros de África Occidental (WaCoWet)</w:t>
      </w:r>
    </w:p>
    <w:p w14:paraId="14BD7874"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la cuenca del río Níger (NigerWet)</w:t>
      </w:r>
    </w:p>
    <w:p w14:paraId="43C2BD6D"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la cuenca del río Senegal</w:t>
      </w:r>
    </w:p>
    <w:p w14:paraId="20E9DCC9"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sobre Conservación y el Uso Sostenible de los Humedales Altoandinos</w:t>
      </w:r>
    </w:p>
    <w:p w14:paraId="46C7CADC"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sobre Conservación y Uso Sustentable de la Cuenca del Plata</w:t>
      </w:r>
    </w:p>
    <w:p w14:paraId="79BE2A77"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los Humedales del Caribe (CariWet)</w:t>
      </w:r>
    </w:p>
    <w:p w14:paraId="0F70218D"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la Conservación y el Uso Racional de Manglares y Corales</w:t>
      </w:r>
    </w:p>
    <w:p w14:paraId="5BC3DDB0"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la cuenca del río Amazonas</w:t>
      </w:r>
    </w:p>
    <w:p w14:paraId="041C7D03" w14:textId="77777777" w:rsidR="005D395D" w:rsidRPr="00DC56B3" w:rsidRDefault="005D395D" w:rsidP="005D395D">
      <w:pPr>
        <w:pStyle w:val="BodyText"/>
        <w:widowControl/>
        <w:numPr>
          <w:ilvl w:val="1"/>
          <w:numId w:val="4"/>
        </w:numPr>
        <w:ind w:left="850" w:hanging="425"/>
        <w:rPr>
          <w:lang w:val="es-ES"/>
        </w:rPr>
      </w:pPr>
      <w:r w:rsidRPr="00DC56B3">
        <w:rPr>
          <w:lang w:val="es-ES"/>
        </w:rPr>
        <w:t>Alianza de la Vía Migratoria Asia Oriental-Australasia</w:t>
      </w:r>
    </w:p>
    <w:p w14:paraId="53F487EC"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Asia Central</w:t>
      </w:r>
    </w:p>
    <w:p w14:paraId="670F4C89"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Indo-Birmana</w:t>
      </w:r>
    </w:p>
    <w:p w14:paraId="50F821E0"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los Humedales del Mediterráneo (MedWet)</w:t>
      </w:r>
    </w:p>
    <w:p w14:paraId="5A385CC0"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los humedales de los Cárpatos (CWI)</w:t>
      </w:r>
    </w:p>
    <w:p w14:paraId="3F4B0B71"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los humedales nórdico-bálticos (NorBalWet)</w:t>
      </w:r>
    </w:p>
    <w:p w14:paraId="3D02B1C9" w14:textId="77777777" w:rsidR="005D395D" w:rsidRPr="00DC56B3" w:rsidRDefault="005D395D" w:rsidP="005D395D">
      <w:pPr>
        <w:pStyle w:val="BodyText"/>
        <w:widowControl/>
        <w:numPr>
          <w:ilvl w:val="1"/>
          <w:numId w:val="4"/>
        </w:numPr>
        <w:ind w:left="850" w:hanging="425"/>
        <w:rPr>
          <w:lang w:val="es-ES"/>
        </w:rPr>
      </w:pPr>
      <w:r w:rsidRPr="00DC56B3">
        <w:rPr>
          <w:lang w:val="es-ES"/>
        </w:rPr>
        <w:t>Iniciativa regional de Ramsar para los humedales costeros del mar Negro y el mar de Azov (BlackSeaWet);</w:t>
      </w:r>
    </w:p>
    <w:p w14:paraId="2B6B4DA7" w14:textId="77777777" w:rsidR="005D395D" w:rsidRPr="00DC56B3" w:rsidRDefault="005D395D" w:rsidP="005D395D">
      <w:pPr>
        <w:tabs>
          <w:tab w:val="left" w:pos="3546"/>
        </w:tabs>
        <w:rPr>
          <w:lang w:val="es-ES"/>
        </w:rPr>
      </w:pPr>
    </w:p>
    <w:p w14:paraId="21909D2A" w14:textId="77777777" w:rsidR="00015C8E" w:rsidRPr="00DC56B3" w:rsidRDefault="00015C8E" w:rsidP="00015C8E">
      <w:pPr>
        <w:pStyle w:val="BodyText"/>
        <w:widowControl/>
        <w:jc w:val="right"/>
        <w:rPr>
          <w:lang w:val="es-ES"/>
        </w:rPr>
      </w:pPr>
    </w:p>
    <w:p w14:paraId="43EA0B2E" w14:textId="18B69DFF" w:rsidR="00015C8E" w:rsidRPr="00DC56B3" w:rsidRDefault="00D07680" w:rsidP="00015C8E">
      <w:pPr>
        <w:rPr>
          <w:lang w:val="es-ES"/>
        </w:rPr>
      </w:pPr>
      <w:r w:rsidRPr="00DC56B3">
        <w:rPr>
          <w:lang w:val="es-ES"/>
        </w:rPr>
        <w:t>5</w:t>
      </w:r>
      <w:r w:rsidR="00015C8E" w:rsidRPr="00DC56B3">
        <w:rPr>
          <w:lang w:val="es-ES"/>
        </w:rPr>
        <w:t>.</w:t>
      </w:r>
      <w:r w:rsidR="00015C8E" w:rsidRPr="00DC56B3">
        <w:rPr>
          <w:lang w:val="es-ES"/>
        </w:rPr>
        <w:tab/>
      </w:r>
      <w:r w:rsidR="005D395D" w:rsidRPr="00DC56B3">
        <w:rPr>
          <w:lang w:val="es-ES"/>
        </w:rPr>
        <w:t>APRUEBA las nuevas IRR aprobada</w:t>
      </w:r>
      <w:r w:rsidR="001E3E6A">
        <w:rPr>
          <w:lang w:val="es-ES"/>
        </w:rPr>
        <w:t>s</w:t>
      </w:r>
      <w:r w:rsidR="005D395D" w:rsidRPr="00DC56B3">
        <w:rPr>
          <w:lang w:val="es-ES"/>
        </w:rPr>
        <w:t xml:space="preserve"> por el </w:t>
      </w:r>
      <w:r w:rsidR="00082C69" w:rsidRPr="00DC56B3">
        <w:rPr>
          <w:lang w:val="es-ES"/>
        </w:rPr>
        <w:t>Comité</w:t>
      </w:r>
      <w:r w:rsidR="005D395D" w:rsidRPr="00DC56B3">
        <w:rPr>
          <w:lang w:val="es-ES"/>
        </w:rPr>
        <w:t xml:space="preserve"> Permanente desde la </w:t>
      </w:r>
      <w:r w:rsidR="00CB0157" w:rsidRPr="00DC56B3">
        <w:rPr>
          <w:lang w:val="es-ES"/>
        </w:rPr>
        <w:t xml:space="preserve">COP13, </w:t>
      </w:r>
      <w:r w:rsidR="005D395D" w:rsidRPr="00DC56B3">
        <w:rPr>
          <w:lang w:val="es-ES"/>
        </w:rPr>
        <w:t xml:space="preserve">enumeradas a continuación </w:t>
      </w:r>
      <w:r w:rsidR="001E3E6A">
        <w:rPr>
          <w:lang w:val="es-ES"/>
        </w:rPr>
        <w:t xml:space="preserve">al considerarse </w:t>
      </w:r>
      <w:r w:rsidR="005D395D" w:rsidRPr="00DC56B3">
        <w:rPr>
          <w:lang w:val="es-ES"/>
        </w:rPr>
        <w:t xml:space="preserve">que realizan su actividad en el </w:t>
      </w:r>
      <w:r w:rsidR="00082C69" w:rsidRPr="00DC56B3">
        <w:rPr>
          <w:lang w:val="es-ES"/>
        </w:rPr>
        <w:t>marco</w:t>
      </w:r>
      <w:r w:rsidR="005D395D" w:rsidRPr="00DC56B3">
        <w:rPr>
          <w:lang w:val="es-ES"/>
        </w:rPr>
        <w:t xml:space="preserve"> de la Convención sobre los Humedales hasta la</w:t>
      </w:r>
      <w:r w:rsidR="00015C8E" w:rsidRPr="00DC56B3">
        <w:rPr>
          <w:lang w:val="es-ES"/>
        </w:rPr>
        <w:t xml:space="preserve"> COP15:</w:t>
      </w:r>
    </w:p>
    <w:p w14:paraId="04BBC306" w14:textId="018FE36B" w:rsidR="00015C8E" w:rsidRPr="00DC56B3" w:rsidRDefault="00015C8E" w:rsidP="00015C8E">
      <w:pPr>
        <w:pStyle w:val="BodyText"/>
        <w:widowControl/>
        <w:numPr>
          <w:ilvl w:val="1"/>
          <w:numId w:val="4"/>
        </w:numPr>
        <w:ind w:left="850" w:hanging="425"/>
        <w:rPr>
          <w:highlight w:val="yellow"/>
          <w:lang w:val="es-ES"/>
        </w:rPr>
      </w:pPr>
      <w:r w:rsidRPr="00DC56B3">
        <w:rPr>
          <w:i/>
          <w:iCs/>
          <w:highlight w:val="yellow"/>
          <w:lang w:val="es-ES"/>
        </w:rPr>
        <w:t xml:space="preserve">(¤ </w:t>
      </w:r>
      <w:r w:rsidR="005D395D" w:rsidRPr="00DC56B3">
        <w:rPr>
          <w:i/>
          <w:iCs/>
          <w:highlight w:val="yellow"/>
          <w:lang w:val="es-ES"/>
        </w:rPr>
        <w:t>la Secretaría podrá añadir algunas IRR nuevas o suprimir este párrafo);</w:t>
      </w:r>
    </w:p>
    <w:p w14:paraId="32357274" w14:textId="77777777" w:rsidR="00015C8E" w:rsidRPr="00DC56B3" w:rsidRDefault="00015C8E" w:rsidP="00015C8E">
      <w:pPr>
        <w:pStyle w:val="BodyText"/>
        <w:widowControl/>
        <w:rPr>
          <w:lang w:val="es-ES"/>
        </w:rPr>
      </w:pPr>
    </w:p>
    <w:p w14:paraId="4774AB99" w14:textId="77777777" w:rsidR="00015C8E" w:rsidRPr="00DC56B3" w:rsidRDefault="00015C8E" w:rsidP="00015C8E">
      <w:pPr>
        <w:rPr>
          <w:spacing w:val="-2"/>
          <w:lang w:val="es-ES"/>
        </w:rPr>
      </w:pPr>
    </w:p>
    <w:p w14:paraId="61E7F627" w14:textId="723B2D32" w:rsidR="00015C8E" w:rsidRPr="00DC56B3" w:rsidRDefault="005D395D" w:rsidP="00015C8E">
      <w:pPr>
        <w:pStyle w:val="BodyText"/>
        <w:keepNext/>
        <w:widowControl/>
        <w:ind w:left="425" w:hanging="425"/>
        <w:rPr>
          <w:i/>
          <w:iCs/>
          <w:lang w:val="es-ES"/>
        </w:rPr>
      </w:pPr>
      <w:r w:rsidRPr="00DC56B3">
        <w:rPr>
          <w:i/>
          <w:iCs/>
          <w:lang w:val="es-ES"/>
        </w:rPr>
        <w:t xml:space="preserve">Cuestiones financieras únicamente </w:t>
      </w:r>
      <w:r w:rsidR="006C233B">
        <w:rPr>
          <w:i/>
          <w:iCs/>
          <w:lang w:val="es-ES"/>
        </w:rPr>
        <w:t>relativas a</w:t>
      </w:r>
      <w:r w:rsidRPr="00DC56B3">
        <w:rPr>
          <w:i/>
          <w:iCs/>
          <w:lang w:val="es-ES"/>
        </w:rPr>
        <w:t xml:space="preserve">l período </w:t>
      </w:r>
      <w:r w:rsidR="00015C8E" w:rsidRPr="00DC56B3">
        <w:rPr>
          <w:i/>
          <w:iCs/>
          <w:lang w:val="es-ES"/>
        </w:rPr>
        <w:t>COP14-COP15</w:t>
      </w:r>
    </w:p>
    <w:p w14:paraId="1ADB33C0" w14:textId="77777777" w:rsidR="00015C8E" w:rsidRPr="00DC56B3" w:rsidRDefault="00015C8E" w:rsidP="00015C8E">
      <w:pPr>
        <w:rPr>
          <w:spacing w:val="-2"/>
          <w:lang w:val="es-ES"/>
        </w:rPr>
      </w:pPr>
    </w:p>
    <w:p w14:paraId="665D10B5" w14:textId="1BF2471C" w:rsidR="00015C8E" w:rsidRPr="00DC56B3" w:rsidRDefault="00DB7CAF" w:rsidP="00015C8E">
      <w:pPr>
        <w:rPr>
          <w:lang w:val="es-ES"/>
        </w:rPr>
      </w:pPr>
      <w:r w:rsidRPr="00DC56B3">
        <w:rPr>
          <w:lang w:val="es-ES"/>
        </w:rPr>
        <w:t>6</w:t>
      </w:r>
      <w:r w:rsidR="00015C8E" w:rsidRPr="00DC56B3">
        <w:rPr>
          <w:lang w:val="es-ES"/>
        </w:rPr>
        <w:t>.</w:t>
      </w:r>
      <w:r w:rsidR="00015C8E" w:rsidRPr="00DC56B3">
        <w:rPr>
          <w:lang w:val="es-ES"/>
        </w:rPr>
        <w:tab/>
      </w:r>
      <w:r w:rsidR="005D395D" w:rsidRPr="00DC56B3">
        <w:rPr>
          <w:lang w:val="es-ES"/>
        </w:rPr>
        <w:t xml:space="preserve">OBSERVANDO que la </w:t>
      </w:r>
      <w:r w:rsidR="006C233B" w:rsidRPr="006C233B">
        <w:rPr>
          <w:lang w:val="es-ES"/>
        </w:rPr>
        <w:t>R</w:t>
      </w:r>
      <w:r w:rsidR="00082C69" w:rsidRPr="006C233B">
        <w:rPr>
          <w:lang w:val="es-ES"/>
        </w:rPr>
        <w:t>esolución</w:t>
      </w:r>
      <w:r w:rsidR="005D395D" w:rsidRPr="00DC56B3">
        <w:rPr>
          <w:lang w:val="es-ES"/>
        </w:rPr>
        <w:t xml:space="preserve"> </w:t>
      </w:r>
      <w:r w:rsidR="00015C8E" w:rsidRPr="00DC56B3">
        <w:rPr>
          <w:lang w:val="es-ES"/>
        </w:rPr>
        <w:t>XIV.</w:t>
      </w:r>
      <w:r w:rsidR="00015C8E" w:rsidRPr="00DC56B3">
        <w:rPr>
          <w:highlight w:val="yellow"/>
          <w:lang w:val="es-ES"/>
        </w:rPr>
        <w:t>xx</w:t>
      </w:r>
      <w:r w:rsidR="007D1681">
        <w:rPr>
          <w:lang w:val="es-ES"/>
        </w:rPr>
        <w:t>,</w:t>
      </w:r>
      <w:r w:rsidR="005D395D" w:rsidRPr="00DC56B3">
        <w:rPr>
          <w:lang w:val="es-ES"/>
        </w:rPr>
        <w:t xml:space="preserve"> </w:t>
      </w:r>
      <w:r w:rsidR="005D395D" w:rsidRPr="00DC56B3">
        <w:rPr>
          <w:i/>
          <w:lang w:val="es-ES"/>
        </w:rPr>
        <w:t>Asuntos financieros y presupuestarios</w:t>
      </w:r>
      <w:r w:rsidR="007D1681" w:rsidRPr="007D1681">
        <w:rPr>
          <w:iCs/>
          <w:lang w:val="es-ES"/>
        </w:rPr>
        <w:t>,</w:t>
      </w:r>
      <w:r w:rsidR="005D395D" w:rsidRPr="00DC56B3">
        <w:rPr>
          <w:i/>
          <w:lang w:val="es-ES"/>
        </w:rPr>
        <w:t xml:space="preserve"> </w:t>
      </w:r>
      <w:r w:rsidR="00015C8E" w:rsidRPr="00DC56B3">
        <w:rPr>
          <w:rFonts w:cs="Calibri"/>
          <w:lang w:val="es-ES"/>
        </w:rPr>
        <w:t>inclu</w:t>
      </w:r>
      <w:r w:rsidR="005D395D" w:rsidRPr="00DC56B3">
        <w:rPr>
          <w:rFonts w:cs="Calibri"/>
          <w:lang w:val="es-ES"/>
        </w:rPr>
        <w:t xml:space="preserve">ye en el presupuesto básico de la Convención para </w:t>
      </w:r>
      <w:r w:rsidR="00015C8E" w:rsidRPr="00DC56B3">
        <w:rPr>
          <w:rFonts w:cs="Calibri"/>
          <w:lang w:val="es-ES"/>
        </w:rPr>
        <w:t>2022-2024</w:t>
      </w:r>
      <w:r w:rsidR="005D395D" w:rsidRPr="00DC56B3">
        <w:rPr>
          <w:rFonts w:cs="Calibri"/>
          <w:lang w:val="es-ES"/>
        </w:rPr>
        <w:t xml:space="preserve"> una partida presupuestaria “Apoyo a las iniciativas regionales de Ramsar”, para brindar </w:t>
      </w:r>
      <w:r w:rsidR="00581F37" w:rsidRPr="00DC56B3">
        <w:rPr>
          <w:rFonts w:cs="Calibri"/>
          <w:lang w:val="es-ES"/>
        </w:rPr>
        <w:t xml:space="preserve">apoyo </w:t>
      </w:r>
      <w:r w:rsidR="0039791D">
        <w:rPr>
          <w:rFonts w:cs="Calibri"/>
          <w:lang w:val="es-ES"/>
        </w:rPr>
        <w:t>destinado a</w:t>
      </w:r>
      <w:r w:rsidR="00581F37" w:rsidRPr="00DC56B3">
        <w:rPr>
          <w:rFonts w:cs="Calibri"/>
          <w:lang w:val="es-ES"/>
        </w:rPr>
        <w:t xml:space="preserve"> sufragar los </w:t>
      </w:r>
      <w:r w:rsidR="00581F37" w:rsidRPr="00DC56B3">
        <w:rPr>
          <w:lang w:val="es-ES"/>
        </w:rPr>
        <w:t>gastos de funcionamiento durante las etapas iniciales de las IRR establecidas con menos de seis años de anterioridad</w:t>
      </w:r>
      <w:r w:rsidR="00015C8E" w:rsidRPr="00DC56B3">
        <w:rPr>
          <w:lang w:val="es-ES"/>
        </w:rPr>
        <w:t>;</w:t>
      </w:r>
    </w:p>
    <w:p w14:paraId="1B56E64B" w14:textId="77777777" w:rsidR="00015C8E" w:rsidRPr="00DC56B3" w:rsidRDefault="00015C8E" w:rsidP="00015C8E">
      <w:pPr>
        <w:rPr>
          <w:lang w:val="es-ES"/>
        </w:rPr>
      </w:pPr>
    </w:p>
    <w:p w14:paraId="6FCD8C5B" w14:textId="3F5DEEC4" w:rsidR="00015C8E" w:rsidRPr="00DC56B3" w:rsidRDefault="00DB7CAF" w:rsidP="00015C8E">
      <w:pPr>
        <w:rPr>
          <w:spacing w:val="-4"/>
          <w:lang w:val="es-ES"/>
        </w:rPr>
      </w:pPr>
      <w:r w:rsidRPr="00DC56B3">
        <w:rPr>
          <w:spacing w:val="-4"/>
          <w:lang w:val="es-ES"/>
        </w:rPr>
        <w:t>7</w:t>
      </w:r>
      <w:r w:rsidR="00015C8E" w:rsidRPr="00DC56B3">
        <w:rPr>
          <w:spacing w:val="-4"/>
          <w:lang w:val="es-ES"/>
        </w:rPr>
        <w:t xml:space="preserve">. </w:t>
      </w:r>
      <w:r w:rsidR="00015C8E" w:rsidRPr="00DC56B3">
        <w:rPr>
          <w:spacing w:val="-4"/>
          <w:lang w:val="es-ES"/>
        </w:rPr>
        <w:tab/>
      </w:r>
      <w:r w:rsidR="00581F37" w:rsidRPr="00DC56B3">
        <w:rPr>
          <w:lang w:val="es-ES"/>
        </w:rPr>
        <w:t>RECONOCE que MedWet es independiente de la Convención desde el punto de vista financiero y tiene su propio presupuesto provisional para el próximo trienio</w:t>
      </w:r>
      <w:r w:rsidR="00015C8E" w:rsidRPr="00DC56B3">
        <w:rPr>
          <w:spacing w:val="-4"/>
          <w:lang w:val="es-ES"/>
        </w:rPr>
        <w:t xml:space="preserve">, </w:t>
      </w:r>
      <w:r w:rsidR="00581F37" w:rsidRPr="00DC56B3">
        <w:rPr>
          <w:spacing w:val="-4"/>
          <w:lang w:val="es-ES"/>
        </w:rPr>
        <w:t xml:space="preserve">que se presenta en el Anexo 1 </w:t>
      </w:r>
      <w:r w:rsidR="00581F37" w:rsidRPr="00DC56B3">
        <w:rPr>
          <w:lang w:val="es-ES"/>
        </w:rPr>
        <w:t>para fines informativos en respuesta a una petición de MedWet, sin que se establezca un precedente para las IRR en general;</w:t>
      </w:r>
    </w:p>
    <w:p w14:paraId="3B8E7958" w14:textId="77777777" w:rsidR="00015C8E" w:rsidRPr="00DC56B3" w:rsidRDefault="00015C8E" w:rsidP="00015C8E">
      <w:pPr>
        <w:rPr>
          <w:lang w:val="es-ES"/>
        </w:rPr>
      </w:pPr>
    </w:p>
    <w:p w14:paraId="63D1E93A" w14:textId="77777777" w:rsidR="00015C8E" w:rsidRPr="00DC56B3" w:rsidRDefault="00015C8E" w:rsidP="00015C8E">
      <w:pPr>
        <w:rPr>
          <w:lang w:val="es-ES"/>
        </w:rPr>
      </w:pPr>
    </w:p>
    <w:p w14:paraId="06ED421F" w14:textId="153065C6" w:rsidR="00015C8E" w:rsidRPr="00DC56B3" w:rsidRDefault="00DF6AA2" w:rsidP="00015C8E">
      <w:pPr>
        <w:pStyle w:val="BodyText"/>
        <w:keepNext/>
        <w:widowControl/>
        <w:ind w:left="425" w:hanging="425"/>
        <w:rPr>
          <w:i/>
          <w:iCs/>
          <w:lang w:val="es-ES"/>
        </w:rPr>
      </w:pPr>
      <w:r w:rsidRPr="00DC56B3">
        <w:rPr>
          <w:i/>
          <w:iCs/>
          <w:lang w:val="es-ES"/>
        </w:rPr>
        <w:lastRenderedPageBreak/>
        <w:t xml:space="preserve">Tareas de trabajo únicamente para el período </w:t>
      </w:r>
      <w:r w:rsidR="00015C8E" w:rsidRPr="00DC56B3">
        <w:rPr>
          <w:i/>
          <w:iCs/>
          <w:lang w:val="es-ES"/>
        </w:rPr>
        <w:t>COP14-COP15</w:t>
      </w:r>
    </w:p>
    <w:p w14:paraId="570E4FE4" w14:textId="77777777" w:rsidR="00015C8E" w:rsidRPr="00DC56B3" w:rsidRDefault="00015C8E" w:rsidP="00015C8E">
      <w:pPr>
        <w:rPr>
          <w:lang w:val="es-ES"/>
        </w:rPr>
      </w:pPr>
    </w:p>
    <w:p w14:paraId="5B1BB33F" w14:textId="07AB6BDF" w:rsidR="00015C8E" w:rsidRPr="00DC56B3" w:rsidRDefault="00DB7CAF" w:rsidP="00015C8E">
      <w:pPr>
        <w:rPr>
          <w:lang w:val="es-ES"/>
        </w:rPr>
      </w:pPr>
      <w:r w:rsidRPr="00DC56B3">
        <w:rPr>
          <w:lang w:val="es-ES"/>
        </w:rPr>
        <w:t>8</w:t>
      </w:r>
      <w:r w:rsidR="00015C8E" w:rsidRPr="00DC56B3">
        <w:rPr>
          <w:lang w:val="es-ES"/>
        </w:rPr>
        <w:t>.</w:t>
      </w:r>
      <w:r w:rsidR="00015C8E" w:rsidRPr="00DC56B3">
        <w:rPr>
          <w:rFonts w:cs="Calibri"/>
          <w:lang w:val="es-ES"/>
        </w:rPr>
        <w:tab/>
      </w:r>
      <w:r w:rsidR="00DF6AA2" w:rsidRPr="00DC56B3">
        <w:rPr>
          <w:rFonts w:cs="Calibri"/>
          <w:lang w:val="es-ES"/>
        </w:rPr>
        <w:t xml:space="preserve">ENCARGA a la Secretaría que encuentre una manera de finalizar su </w:t>
      </w:r>
      <w:r w:rsidR="00082C69" w:rsidRPr="00DC56B3">
        <w:rPr>
          <w:rFonts w:cs="Calibri"/>
          <w:lang w:val="es-ES"/>
        </w:rPr>
        <w:t>participación</w:t>
      </w:r>
      <w:r w:rsidR="00DF6AA2" w:rsidRPr="00DC56B3">
        <w:rPr>
          <w:rFonts w:cs="Calibri"/>
          <w:lang w:val="es-ES"/>
        </w:rPr>
        <w:t xml:space="preserve"> en el proyecto IKI a la mayor brevedad y comience las actividades para llevar</w:t>
      </w:r>
      <w:r w:rsidR="0039791D">
        <w:rPr>
          <w:rFonts w:cs="Calibri"/>
          <w:lang w:val="es-ES"/>
        </w:rPr>
        <w:t>lo</w:t>
      </w:r>
      <w:r w:rsidR="00DF6AA2" w:rsidRPr="00DC56B3">
        <w:rPr>
          <w:rFonts w:cs="Calibri"/>
          <w:lang w:val="es-ES"/>
        </w:rPr>
        <w:t xml:space="preserve"> a cabo en un plazo de tres meses desde la finalización de la </w:t>
      </w:r>
      <w:r w:rsidRPr="00DC56B3">
        <w:rPr>
          <w:lang w:val="es-ES"/>
        </w:rPr>
        <w:t xml:space="preserve">COP14. </w:t>
      </w:r>
      <w:r w:rsidR="00DF6AA2" w:rsidRPr="00DC56B3">
        <w:rPr>
          <w:lang w:val="es-ES"/>
        </w:rPr>
        <w:t xml:space="preserve">La Secretaría deberá presentar los resultados a la primera reunión del Comité Permanente después </w:t>
      </w:r>
      <w:r w:rsidR="00462F75" w:rsidRPr="00DC56B3">
        <w:rPr>
          <w:lang w:val="es-ES"/>
        </w:rPr>
        <w:t xml:space="preserve">de la finalización del plazo para </w:t>
      </w:r>
      <w:r w:rsidR="0039791D">
        <w:rPr>
          <w:lang w:val="es-ES"/>
        </w:rPr>
        <w:t>comenzar</w:t>
      </w:r>
      <w:r w:rsidR="00462F75" w:rsidRPr="00DC56B3">
        <w:rPr>
          <w:lang w:val="es-ES"/>
        </w:rPr>
        <w:t xml:space="preserve"> las actividades.</w:t>
      </w:r>
    </w:p>
    <w:p w14:paraId="50B8546C" w14:textId="77777777" w:rsidR="00015C8E" w:rsidRPr="00DC56B3" w:rsidRDefault="00015C8E" w:rsidP="00015C8E">
      <w:pPr>
        <w:rPr>
          <w:lang w:val="es-ES"/>
        </w:rPr>
      </w:pPr>
    </w:p>
    <w:p w14:paraId="4BD8CEE7" w14:textId="78D13B7F" w:rsidR="009248C9" w:rsidRPr="00DC56B3" w:rsidRDefault="009248C9" w:rsidP="00015C8E">
      <w:pPr>
        <w:rPr>
          <w:lang w:val="es-ES"/>
        </w:rPr>
      </w:pPr>
      <w:r w:rsidRPr="00DC56B3">
        <w:rPr>
          <w:lang w:val="es-ES"/>
        </w:rPr>
        <w:t>9.</w:t>
      </w:r>
      <w:r w:rsidRPr="00DC56B3">
        <w:rPr>
          <w:rFonts w:cs="Calibri"/>
          <w:lang w:val="es-ES"/>
        </w:rPr>
        <w:tab/>
      </w:r>
      <w:r w:rsidR="00462F75" w:rsidRPr="00DC56B3">
        <w:rPr>
          <w:rFonts w:cs="Calibri"/>
          <w:lang w:val="es-ES"/>
        </w:rPr>
        <w:t xml:space="preserve">PROPONE que la participación de la Secretaría en el </w:t>
      </w:r>
      <w:r w:rsidR="00082C69" w:rsidRPr="00DC56B3">
        <w:rPr>
          <w:rFonts w:cs="Calibri"/>
          <w:lang w:val="es-ES"/>
        </w:rPr>
        <w:t>proyecto</w:t>
      </w:r>
      <w:r w:rsidR="00462F75" w:rsidRPr="00DC56B3">
        <w:rPr>
          <w:rFonts w:cs="Calibri"/>
          <w:lang w:val="es-ES"/>
        </w:rPr>
        <w:t xml:space="preserve"> IKI podría finalizarse o bien acabando el </w:t>
      </w:r>
      <w:r w:rsidR="00082C69" w:rsidRPr="00DC56B3">
        <w:rPr>
          <w:rFonts w:cs="Calibri"/>
          <w:lang w:val="es-ES"/>
        </w:rPr>
        <w:t>proyecto</w:t>
      </w:r>
      <w:r w:rsidR="00462F75" w:rsidRPr="00DC56B3">
        <w:rPr>
          <w:rFonts w:cs="Calibri"/>
          <w:lang w:val="es-ES"/>
        </w:rPr>
        <w:t xml:space="preserve"> de forma </w:t>
      </w:r>
      <w:r w:rsidR="00082C69" w:rsidRPr="00DC56B3">
        <w:rPr>
          <w:rFonts w:cs="Calibri"/>
          <w:lang w:val="es-ES"/>
        </w:rPr>
        <w:t>prematura</w:t>
      </w:r>
      <w:r w:rsidR="00462F75" w:rsidRPr="00DC56B3">
        <w:rPr>
          <w:rFonts w:cs="Calibri"/>
          <w:lang w:val="es-ES"/>
        </w:rPr>
        <w:t xml:space="preserve">, dejando que otra organización o el país donante </w:t>
      </w:r>
      <w:r w:rsidR="0039791D">
        <w:rPr>
          <w:rFonts w:cs="Calibri"/>
          <w:lang w:val="es-ES"/>
        </w:rPr>
        <w:t xml:space="preserve">asuma </w:t>
      </w:r>
      <w:r w:rsidR="00462F75" w:rsidRPr="00DC56B3">
        <w:rPr>
          <w:rFonts w:cs="Calibri"/>
          <w:lang w:val="es-ES"/>
        </w:rPr>
        <w:t xml:space="preserve">las responsabilidades que actualmente ostenta la Secretaría de Ramsar, o bien que las Partes Contratantes que </w:t>
      </w:r>
      <w:r w:rsidR="0039791D" w:rsidRPr="00DC56B3">
        <w:rPr>
          <w:rFonts w:cs="Calibri"/>
          <w:lang w:val="es-ES"/>
        </w:rPr>
        <w:t>particip</w:t>
      </w:r>
      <w:r w:rsidR="0097176A">
        <w:rPr>
          <w:rFonts w:cs="Calibri"/>
          <w:lang w:val="es-ES"/>
        </w:rPr>
        <w:t>a</w:t>
      </w:r>
      <w:r w:rsidR="0039791D">
        <w:rPr>
          <w:rFonts w:cs="Calibri"/>
          <w:lang w:val="es-ES"/>
        </w:rPr>
        <w:t>n</w:t>
      </w:r>
      <w:r w:rsidR="00462F75" w:rsidRPr="00DC56B3">
        <w:rPr>
          <w:rFonts w:cs="Calibri"/>
          <w:lang w:val="es-ES"/>
        </w:rPr>
        <w:t xml:space="preserve"> en el proyecto IKI o CARIWET </w:t>
      </w:r>
      <w:r w:rsidR="0039791D">
        <w:rPr>
          <w:rFonts w:cs="Calibri"/>
          <w:lang w:val="es-ES"/>
        </w:rPr>
        <w:t>asuman la responsabilidad total del proyecto</w:t>
      </w:r>
      <w:r w:rsidRPr="00DC56B3">
        <w:rPr>
          <w:lang w:val="es-ES"/>
        </w:rPr>
        <w:t xml:space="preserve">, </w:t>
      </w:r>
      <w:r w:rsidR="00462F75" w:rsidRPr="00DC56B3">
        <w:rPr>
          <w:lang w:val="es-ES"/>
        </w:rPr>
        <w:t xml:space="preserve">CONSCIENTE de que otras soluciones adecuadas se pueden considerar aceptables siempre y cuando la </w:t>
      </w:r>
      <w:r w:rsidR="00082C69" w:rsidRPr="00DC56B3">
        <w:rPr>
          <w:lang w:val="es-ES"/>
        </w:rPr>
        <w:t>Secretaría</w:t>
      </w:r>
      <w:r w:rsidR="00462F75" w:rsidRPr="00DC56B3">
        <w:rPr>
          <w:lang w:val="es-ES"/>
        </w:rPr>
        <w:t xml:space="preserve"> no administre el proyecto ni realice otras actividades que no le corresponden;</w:t>
      </w:r>
    </w:p>
    <w:p w14:paraId="54DAEEBC" w14:textId="77777777" w:rsidR="009248C9" w:rsidRPr="00DC56B3" w:rsidRDefault="009248C9" w:rsidP="00015C8E">
      <w:pPr>
        <w:rPr>
          <w:lang w:val="es-ES"/>
        </w:rPr>
      </w:pPr>
    </w:p>
    <w:p w14:paraId="4A8B9996" w14:textId="5C443C12" w:rsidR="00015C8E" w:rsidRPr="00DC56B3" w:rsidRDefault="009248C9" w:rsidP="00015C8E">
      <w:pPr>
        <w:rPr>
          <w:lang w:val="es-ES"/>
        </w:rPr>
      </w:pPr>
      <w:r w:rsidRPr="00DC56B3">
        <w:rPr>
          <w:lang w:val="es-ES"/>
        </w:rPr>
        <w:t>10</w:t>
      </w:r>
      <w:r w:rsidR="00015C8E" w:rsidRPr="00DC56B3">
        <w:rPr>
          <w:lang w:val="es-ES"/>
        </w:rPr>
        <w:t>.</w:t>
      </w:r>
      <w:r w:rsidR="00015C8E" w:rsidRPr="00DC56B3">
        <w:rPr>
          <w:rFonts w:cs="Calibri"/>
          <w:lang w:val="es-ES"/>
        </w:rPr>
        <w:tab/>
      </w:r>
      <w:r w:rsidR="00B052E2" w:rsidRPr="00DC56B3">
        <w:rPr>
          <w:rFonts w:cs="Calibri"/>
          <w:lang w:val="es-ES"/>
        </w:rPr>
        <w:t>PIDE que todas las Partes Contratantes que particip</w:t>
      </w:r>
      <w:r w:rsidR="0097176A">
        <w:rPr>
          <w:rFonts w:cs="Calibri"/>
          <w:lang w:val="es-ES"/>
        </w:rPr>
        <w:t>a</w:t>
      </w:r>
      <w:r w:rsidR="0039791D">
        <w:rPr>
          <w:rFonts w:cs="Calibri"/>
          <w:lang w:val="es-ES"/>
        </w:rPr>
        <w:t xml:space="preserve">n </w:t>
      </w:r>
      <w:r w:rsidR="00B052E2" w:rsidRPr="00DC56B3">
        <w:rPr>
          <w:rFonts w:cs="Calibri"/>
          <w:lang w:val="es-ES"/>
        </w:rPr>
        <w:t xml:space="preserve">en el </w:t>
      </w:r>
      <w:r w:rsidR="00082C69">
        <w:rPr>
          <w:rFonts w:cs="Calibri"/>
          <w:lang w:val="es-ES"/>
        </w:rPr>
        <w:t>proyecto</w:t>
      </w:r>
      <w:r w:rsidR="00B052E2" w:rsidRPr="00DC56B3">
        <w:rPr>
          <w:rFonts w:cs="Calibri"/>
          <w:lang w:val="es-ES"/>
        </w:rPr>
        <w:t xml:space="preserve"> IKI, tanto el país donante como los países que se benefici</w:t>
      </w:r>
      <w:r w:rsidR="0097176A">
        <w:rPr>
          <w:rFonts w:cs="Calibri"/>
          <w:lang w:val="es-ES"/>
        </w:rPr>
        <w:t>an</w:t>
      </w:r>
      <w:r w:rsidR="00B052E2" w:rsidRPr="00DC56B3">
        <w:rPr>
          <w:rFonts w:cs="Calibri"/>
          <w:lang w:val="es-ES"/>
        </w:rPr>
        <w:t xml:space="preserve"> del proyecto, encuentren una manera de finalizar la participación de la Secretaría de </w:t>
      </w:r>
      <w:r w:rsidR="00082C69" w:rsidRPr="00DC56B3">
        <w:rPr>
          <w:rFonts w:cs="Calibri"/>
          <w:lang w:val="es-ES"/>
        </w:rPr>
        <w:t>Ramsar</w:t>
      </w:r>
      <w:r w:rsidR="00B052E2" w:rsidRPr="00DC56B3">
        <w:rPr>
          <w:rFonts w:cs="Calibri"/>
          <w:lang w:val="es-ES"/>
        </w:rPr>
        <w:t xml:space="preserve"> en el </w:t>
      </w:r>
      <w:r w:rsidR="00082C69">
        <w:rPr>
          <w:rFonts w:cs="Calibri"/>
          <w:lang w:val="es-ES"/>
        </w:rPr>
        <w:t>proyecto</w:t>
      </w:r>
      <w:r w:rsidR="00B052E2" w:rsidRPr="00DC56B3">
        <w:rPr>
          <w:rFonts w:cs="Calibri"/>
          <w:lang w:val="es-ES"/>
        </w:rPr>
        <w:t xml:space="preserve">. PIDE ADEMÁS a los demás países que participan en </w:t>
      </w:r>
      <w:r w:rsidR="00015C8E" w:rsidRPr="00DC56B3">
        <w:rPr>
          <w:lang w:val="es-ES"/>
        </w:rPr>
        <w:t xml:space="preserve">CARIWET </w:t>
      </w:r>
      <w:r w:rsidR="00B052E2" w:rsidRPr="00DC56B3">
        <w:rPr>
          <w:lang w:val="es-ES"/>
        </w:rPr>
        <w:t xml:space="preserve">pero no forman parte del proyecto IKI </w:t>
      </w:r>
      <w:r w:rsidR="0097176A">
        <w:rPr>
          <w:lang w:val="es-ES"/>
        </w:rPr>
        <w:t xml:space="preserve">que </w:t>
      </w:r>
      <w:r w:rsidR="00B052E2" w:rsidRPr="00DC56B3">
        <w:rPr>
          <w:lang w:val="es-ES"/>
        </w:rPr>
        <w:t>se aseguren de que la IRR en la que particip</w:t>
      </w:r>
      <w:r w:rsidR="0097176A">
        <w:rPr>
          <w:lang w:val="es-ES"/>
        </w:rPr>
        <w:t>an</w:t>
      </w:r>
      <w:r w:rsidR="00B052E2" w:rsidRPr="00DC56B3">
        <w:rPr>
          <w:lang w:val="es-ES"/>
        </w:rPr>
        <w:t xml:space="preserve"> aplique las resoluciones </w:t>
      </w:r>
      <w:r w:rsidR="0097176A">
        <w:rPr>
          <w:lang w:val="es-ES"/>
        </w:rPr>
        <w:t>actuales en vigor</w:t>
      </w:r>
      <w:r w:rsidR="00B052E2" w:rsidRPr="00DC56B3">
        <w:rPr>
          <w:lang w:val="es-ES"/>
        </w:rPr>
        <w:t>. Véase el párrafo 9</w:t>
      </w:r>
      <w:r w:rsidR="00621326" w:rsidRPr="00DC56B3">
        <w:rPr>
          <w:lang w:val="es-ES"/>
        </w:rPr>
        <w:t xml:space="preserve"> anterior sobre maneras alternativas de abordar la cuestión.</w:t>
      </w:r>
    </w:p>
    <w:p w14:paraId="4CA500CF" w14:textId="6FBF5DD1" w:rsidR="00015C8E" w:rsidRPr="00DC56B3" w:rsidRDefault="00015C8E" w:rsidP="00015C8E">
      <w:pPr>
        <w:rPr>
          <w:b/>
          <w:sz w:val="24"/>
          <w:szCs w:val="24"/>
          <w:lang w:val="es-ES"/>
        </w:rPr>
      </w:pPr>
      <w:bookmarkStart w:id="9" w:name="_Hlk528138363"/>
      <w:r w:rsidRPr="00DC56B3">
        <w:rPr>
          <w:rFonts w:cs="Calibri"/>
          <w:b/>
          <w:bCs/>
          <w:lang w:val="es-ES"/>
        </w:rPr>
        <w:br w:type="page"/>
      </w:r>
      <w:r w:rsidRPr="0097176A">
        <w:rPr>
          <w:b/>
          <w:sz w:val="24"/>
          <w:szCs w:val="24"/>
          <w:highlight w:val="yellow"/>
          <w:lang w:val="es-ES"/>
        </w:rPr>
        <w:lastRenderedPageBreak/>
        <w:t>An</w:t>
      </w:r>
      <w:r w:rsidR="00621326" w:rsidRPr="0097176A">
        <w:rPr>
          <w:b/>
          <w:sz w:val="24"/>
          <w:szCs w:val="24"/>
          <w:highlight w:val="yellow"/>
          <w:lang w:val="es-ES"/>
        </w:rPr>
        <w:t xml:space="preserve">exo 1 (para que lo actualice MedWet en caso </w:t>
      </w:r>
      <w:r w:rsidR="00082C69" w:rsidRPr="0097176A">
        <w:rPr>
          <w:b/>
          <w:sz w:val="24"/>
          <w:szCs w:val="24"/>
          <w:highlight w:val="yellow"/>
          <w:lang w:val="es-ES"/>
        </w:rPr>
        <w:t>necesario</w:t>
      </w:r>
      <w:r w:rsidR="0097176A" w:rsidRPr="0097176A">
        <w:rPr>
          <w:b/>
          <w:sz w:val="24"/>
          <w:szCs w:val="24"/>
          <w:highlight w:val="yellow"/>
          <w:lang w:val="es-ES"/>
        </w:rPr>
        <w:t xml:space="preserve"> o se suprima en caso contrario)</w:t>
      </w:r>
    </w:p>
    <w:p w14:paraId="7D23A31A" w14:textId="1B7F0FF7" w:rsidR="00015C8E" w:rsidRPr="00DC56B3" w:rsidRDefault="00621326" w:rsidP="00BC1B16">
      <w:pPr>
        <w:ind w:left="0" w:firstLine="0"/>
        <w:rPr>
          <w:b/>
          <w:sz w:val="24"/>
          <w:szCs w:val="24"/>
          <w:highlight w:val="yellow"/>
          <w:lang w:val="es-ES"/>
        </w:rPr>
      </w:pPr>
      <w:r w:rsidRPr="00DC56B3">
        <w:rPr>
          <w:b/>
          <w:sz w:val="24"/>
          <w:szCs w:val="24"/>
          <w:highlight w:val="yellow"/>
          <w:lang w:val="es-ES"/>
        </w:rPr>
        <w:t xml:space="preserve">Presupuesto de MedWet para el trienio </w:t>
      </w:r>
      <w:r w:rsidR="00015C8E" w:rsidRPr="00DC56B3">
        <w:rPr>
          <w:b/>
          <w:sz w:val="24"/>
          <w:szCs w:val="24"/>
          <w:highlight w:val="yellow"/>
          <w:lang w:val="es-ES"/>
        </w:rPr>
        <w:t>2019-2021</w:t>
      </w:r>
    </w:p>
    <w:p w14:paraId="5B351142" w14:textId="77777777" w:rsidR="00015C8E" w:rsidRPr="0097176A" w:rsidRDefault="00015C8E" w:rsidP="00015C8E">
      <w:pPr>
        <w:pStyle w:val="p1"/>
        <w:rPr>
          <w:rFonts w:ascii="Calibri" w:hAnsi="Calibri"/>
          <w:i/>
          <w:sz w:val="22"/>
          <w:highlight w:val="yellow"/>
          <w:lang w:val="es-ES"/>
        </w:rPr>
      </w:pPr>
    </w:p>
    <w:p w14:paraId="5670413F" w14:textId="77777777" w:rsidR="00621326" w:rsidRPr="0097176A" w:rsidRDefault="00621326" w:rsidP="00621326">
      <w:pPr>
        <w:pStyle w:val="p1"/>
        <w:rPr>
          <w:rFonts w:ascii="Calibri" w:hAnsi="Calibri"/>
          <w:i/>
          <w:sz w:val="22"/>
          <w:highlight w:val="yellow"/>
          <w:lang w:val="es-ES"/>
        </w:rPr>
      </w:pPr>
      <w:r w:rsidRPr="0097176A">
        <w:rPr>
          <w:rFonts w:ascii="Calibri" w:hAnsi="Calibri"/>
          <w:i/>
          <w:sz w:val="22"/>
          <w:highlight w:val="yellow"/>
          <w:lang w:val="es-ES"/>
        </w:rPr>
        <w:t>Cuadro 1. Presupuesto para el funcionamiento de la Iniciativa MedWet para 2019-2021</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2"/>
        <w:gridCol w:w="1417"/>
        <w:gridCol w:w="1417"/>
        <w:gridCol w:w="1417"/>
      </w:tblGrid>
      <w:tr w:rsidR="00621326" w:rsidRPr="0097176A" w14:paraId="416DB591" w14:textId="77777777" w:rsidTr="007624EB">
        <w:trPr>
          <w:trHeight w:val="480"/>
        </w:trPr>
        <w:tc>
          <w:tcPr>
            <w:tcW w:w="4762" w:type="dxa"/>
            <w:shd w:val="clear" w:color="auto" w:fill="EAF1DD" w:themeFill="accent3" w:themeFillTint="33"/>
            <w:vAlign w:val="center"/>
            <w:hideMark/>
          </w:tcPr>
          <w:p w14:paraId="2B83E2B5" w14:textId="77777777" w:rsidR="00621326" w:rsidRPr="0097176A" w:rsidRDefault="00621326" w:rsidP="007624EB">
            <w:pPr>
              <w:rPr>
                <w:b/>
                <w:color w:val="000000"/>
                <w:highlight w:val="yellow"/>
                <w:lang w:val="es-ES"/>
              </w:rPr>
            </w:pPr>
            <w:r w:rsidRPr="0097176A">
              <w:rPr>
                <w:b/>
                <w:color w:val="000000"/>
                <w:highlight w:val="yellow"/>
                <w:lang w:val="es-ES"/>
              </w:rPr>
              <w:t>PARTIDA PRESUPUESTARIA</w:t>
            </w:r>
          </w:p>
        </w:tc>
        <w:tc>
          <w:tcPr>
            <w:tcW w:w="1417" w:type="dxa"/>
            <w:shd w:val="clear" w:color="auto" w:fill="EAF1DD" w:themeFill="accent3" w:themeFillTint="33"/>
            <w:vAlign w:val="center"/>
            <w:hideMark/>
          </w:tcPr>
          <w:p w14:paraId="7D9D04E7" w14:textId="77777777" w:rsidR="00621326" w:rsidRPr="0097176A" w:rsidRDefault="00621326" w:rsidP="007624EB">
            <w:pPr>
              <w:jc w:val="center"/>
              <w:rPr>
                <w:b/>
                <w:color w:val="000000"/>
                <w:highlight w:val="yellow"/>
                <w:lang w:val="es-ES"/>
              </w:rPr>
            </w:pPr>
            <w:r w:rsidRPr="0097176A">
              <w:rPr>
                <w:b/>
                <w:color w:val="000000"/>
                <w:highlight w:val="yellow"/>
                <w:lang w:val="es-ES"/>
              </w:rPr>
              <w:t>2019</w:t>
            </w:r>
          </w:p>
        </w:tc>
        <w:tc>
          <w:tcPr>
            <w:tcW w:w="1417" w:type="dxa"/>
            <w:shd w:val="clear" w:color="auto" w:fill="EAF1DD" w:themeFill="accent3" w:themeFillTint="33"/>
            <w:vAlign w:val="center"/>
            <w:hideMark/>
          </w:tcPr>
          <w:p w14:paraId="0BD2193E" w14:textId="77777777" w:rsidR="00621326" w:rsidRPr="0097176A" w:rsidRDefault="00621326" w:rsidP="007624EB">
            <w:pPr>
              <w:jc w:val="center"/>
              <w:rPr>
                <w:b/>
                <w:color w:val="000000"/>
                <w:highlight w:val="yellow"/>
                <w:lang w:val="es-ES"/>
              </w:rPr>
            </w:pPr>
            <w:r w:rsidRPr="0097176A">
              <w:rPr>
                <w:b/>
                <w:color w:val="000000"/>
                <w:highlight w:val="yellow"/>
                <w:lang w:val="es-ES"/>
              </w:rPr>
              <w:t>2020</w:t>
            </w:r>
          </w:p>
        </w:tc>
        <w:tc>
          <w:tcPr>
            <w:tcW w:w="1417" w:type="dxa"/>
            <w:shd w:val="clear" w:color="auto" w:fill="EAF1DD" w:themeFill="accent3" w:themeFillTint="33"/>
            <w:vAlign w:val="center"/>
            <w:hideMark/>
          </w:tcPr>
          <w:p w14:paraId="161F14CD" w14:textId="77777777" w:rsidR="00621326" w:rsidRPr="0097176A" w:rsidRDefault="00621326" w:rsidP="007624EB">
            <w:pPr>
              <w:jc w:val="center"/>
              <w:rPr>
                <w:b/>
                <w:color w:val="000000"/>
                <w:highlight w:val="yellow"/>
                <w:lang w:val="es-ES"/>
              </w:rPr>
            </w:pPr>
            <w:r w:rsidRPr="0097176A">
              <w:rPr>
                <w:b/>
                <w:color w:val="000000"/>
                <w:highlight w:val="yellow"/>
                <w:lang w:val="es-ES"/>
              </w:rPr>
              <w:t>2021</w:t>
            </w:r>
          </w:p>
        </w:tc>
      </w:tr>
      <w:tr w:rsidR="00621326" w:rsidRPr="0097176A" w14:paraId="7D3DE6F3" w14:textId="77777777" w:rsidTr="007624EB">
        <w:trPr>
          <w:trHeight w:val="300"/>
        </w:trPr>
        <w:tc>
          <w:tcPr>
            <w:tcW w:w="4762" w:type="dxa"/>
            <w:shd w:val="clear" w:color="auto" w:fill="auto"/>
            <w:vAlign w:val="center"/>
          </w:tcPr>
          <w:p w14:paraId="28DB6540" w14:textId="77777777" w:rsidR="00621326" w:rsidRPr="0097176A" w:rsidRDefault="00621326" w:rsidP="007624EB">
            <w:pPr>
              <w:rPr>
                <w:b/>
                <w:color w:val="000000" w:themeColor="text1"/>
                <w:highlight w:val="yellow"/>
                <w:lang w:val="es-ES"/>
              </w:rPr>
            </w:pPr>
          </w:p>
        </w:tc>
        <w:tc>
          <w:tcPr>
            <w:tcW w:w="1417" w:type="dxa"/>
            <w:shd w:val="clear" w:color="auto" w:fill="auto"/>
            <w:vAlign w:val="center"/>
          </w:tcPr>
          <w:p w14:paraId="03C81F78" w14:textId="77777777" w:rsidR="00621326" w:rsidRPr="0097176A" w:rsidRDefault="00621326" w:rsidP="007624EB">
            <w:pPr>
              <w:rPr>
                <w:b/>
                <w:color w:val="000000" w:themeColor="text1"/>
                <w:highlight w:val="yellow"/>
                <w:lang w:val="es-ES"/>
              </w:rPr>
            </w:pPr>
          </w:p>
        </w:tc>
        <w:tc>
          <w:tcPr>
            <w:tcW w:w="1417" w:type="dxa"/>
            <w:shd w:val="clear" w:color="auto" w:fill="auto"/>
            <w:vAlign w:val="center"/>
          </w:tcPr>
          <w:p w14:paraId="2F6C028E" w14:textId="77777777" w:rsidR="00621326" w:rsidRPr="0097176A" w:rsidRDefault="00621326" w:rsidP="007624EB">
            <w:pPr>
              <w:rPr>
                <w:b/>
                <w:color w:val="000000" w:themeColor="text1"/>
                <w:highlight w:val="yellow"/>
                <w:lang w:val="es-ES"/>
              </w:rPr>
            </w:pPr>
          </w:p>
        </w:tc>
        <w:tc>
          <w:tcPr>
            <w:tcW w:w="1417" w:type="dxa"/>
            <w:shd w:val="clear" w:color="auto" w:fill="auto"/>
            <w:vAlign w:val="center"/>
          </w:tcPr>
          <w:p w14:paraId="5DAAD1C2" w14:textId="77777777" w:rsidR="00621326" w:rsidRPr="0097176A" w:rsidRDefault="00621326" w:rsidP="007624EB">
            <w:pPr>
              <w:rPr>
                <w:b/>
                <w:color w:val="000000" w:themeColor="text1"/>
                <w:highlight w:val="yellow"/>
                <w:lang w:val="es-ES"/>
              </w:rPr>
            </w:pPr>
          </w:p>
        </w:tc>
      </w:tr>
      <w:tr w:rsidR="00621326" w:rsidRPr="0097176A" w14:paraId="79FCF1B4" w14:textId="77777777" w:rsidTr="007624EB">
        <w:trPr>
          <w:trHeight w:val="300"/>
        </w:trPr>
        <w:tc>
          <w:tcPr>
            <w:tcW w:w="4762" w:type="dxa"/>
            <w:shd w:val="clear" w:color="auto" w:fill="FBD4B4" w:themeFill="accent6" w:themeFillTint="66"/>
            <w:vAlign w:val="center"/>
            <w:hideMark/>
          </w:tcPr>
          <w:p w14:paraId="4AD1F28F" w14:textId="77777777" w:rsidR="00621326" w:rsidRPr="0097176A" w:rsidRDefault="00621326" w:rsidP="007624EB">
            <w:pPr>
              <w:rPr>
                <w:b/>
                <w:color w:val="000000" w:themeColor="text1"/>
                <w:highlight w:val="yellow"/>
                <w:lang w:val="es-ES"/>
              </w:rPr>
            </w:pPr>
            <w:r w:rsidRPr="0097176A">
              <w:rPr>
                <w:b/>
                <w:color w:val="000000" w:themeColor="text1"/>
                <w:highlight w:val="yellow"/>
                <w:lang w:val="es-ES"/>
              </w:rPr>
              <w:t>GASTOS</w:t>
            </w:r>
          </w:p>
        </w:tc>
        <w:tc>
          <w:tcPr>
            <w:tcW w:w="1417" w:type="dxa"/>
            <w:shd w:val="clear" w:color="auto" w:fill="FBD4B4" w:themeFill="accent6" w:themeFillTint="66"/>
            <w:vAlign w:val="center"/>
            <w:hideMark/>
          </w:tcPr>
          <w:p w14:paraId="73534292" w14:textId="77777777" w:rsidR="00621326" w:rsidRPr="0097176A" w:rsidRDefault="00621326" w:rsidP="007624EB">
            <w:pPr>
              <w:rPr>
                <w:b/>
                <w:color w:val="000000" w:themeColor="text1"/>
                <w:highlight w:val="yellow"/>
                <w:lang w:val="es-ES"/>
              </w:rPr>
            </w:pPr>
            <w:r w:rsidRPr="0097176A">
              <w:rPr>
                <w:b/>
                <w:color w:val="000000" w:themeColor="text1"/>
                <w:highlight w:val="yellow"/>
                <w:lang w:val="es-ES"/>
              </w:rPr>
              <w:t> </w:t>
            </w:r>
          </w:p>
        </w:tc>
        <w:tc>
          <w:tcPr>
            <w:tcW w:w="1417" w:type="dxa"/>
            <w:shd w:val="clear" w:color="auto" w:fill="FBD4B4" w:themeFill="accent6" w:themeFillTint="66"/>
            <w:vAlign w:val="center"/>
            <w:hideMark/>
          </w:tcPr>
          <w:p w14:paraId="5C2DC716" w14:textId="77777777" w:rsidR="00621326" w:rsidRPr="0097176A" w:rsidRDefault="00621326" w:rsidP="007624EB">
            <w:pPr>
              <w:rPr>
                <w:b/>
                <w:color w:val="000000" w:themeColor="text1"/>
                <w:highlight w:val="yellow"/>
                <w:lang w:val="es-ES"/>
              </w:rPr>
            </w:pPr>
            <w:r w:rsidRPr="0097176A">
              <w:rPr>
                <w:b/>
                <w:color w:val="000000" w:themeColor="text1"/>
                <w:highlight w:val="yellow"/>
                <w:lang w:val="es-ES"/>
              </w:rPr>
              <w:t> </w:t>
            </w:r>
          </w:p>
        </w:tc>
        <w:tc>
          <w:tcPr>
            <w:tcW w:w="1417" w:type="dxa"/>
            <w:shd w:val="clear" w:color="auto" w:fill="FBD4B4" w:themeFill="accent6" w:themeFillTint="66"/>
            <w:vAlign w:val="center"/>
            <w:hideMark/>
          </w:tcPr>
          <w:p w14:paraId="633B6E22" w14:textId="77777777" w:rsidR="00621326" w:rsidRPr="0097176A" w:rsidRDefault="00621326" w:rsidP="007624EB">
            <w:pPr>
              <w:rPr>
                <w:b/>
                <w:color w:val="000000" w:themeColor="text1"/>
                <w:highlight w:val="yellow"/>
                <w:lang w:val="es-ES"/>
              </w:rPr>
            </w:pPr>
            <w:r w:rsidRPr="0097176A">
              <w:rPr>
                <w:b/>
                <w:color w:val="000000" w:themeColor="text1"/>
                <w:highlight w:val="yellow"/>
                <w:lang w:val="es-ES"/>
              </w:rPr>
              <w:t> </w:t>
            </w:r>
          </w:p>
        </w:tc>
      </w:tr>
      <w:tr w:rsidR="00621326" w:rsidRPr="0097176A" w14:paraId="259ED195" w14:textId="77777777" w:rsidTr="007624EB">
        <w:trPr>
          <w:trHeight w:val="511"/>
        </w:trPr>
        <w:tc>
          <w:tcPr>
            <w:tcW w:w="4762" w:type="dxa"/>
            <w:shd w:val="clear" w:color="auto" w:fill="FDE9D9" w:themeFill="accent6" w:themeFillTint="33"/>
            <w:vAlign w:val="center"/>
            <w:hideMark/>
          </w:tcPr>
          <w:p w14:paraId="77D1810C" w14:textId="77777777" w:rsidR="00621326" w:rsidRPr="0097176A" w:rsidRDefault="00621326" w:rsidP="007624EB">
            <w:pPr>
              <w:rPr>
                <w:b/>
                <w:color w:val="000000"/>
                <w:highlight w:val="yellow"/>
                <w:lang w:val="es-ES"/>
              </w:rPr>
            </w:pPr>
            <w:r w:rsidRPr="0097176A">
              <w:rPr>
                <w:b/>
                <w:color w:val="000000"/>
                <w:highlight w:val="yellow"/>
                <w:lang w:val="es-ES"/>
              </w:rPr>
              <w:t>COORDINADOR</w:t>
            </w:r>
          </w:p>
        </w:tc>
        <w:tc>
          <w:tcPr>
            <w:tcW w:w="1417" w:type="dxa"/>
            <w:shd w:val="clear" w:color="auto" w:fill="FDE9D9" w:themeFill="accent6" w:themeFillTint="33"/>
            <w:vAlign w:val="center"/>
            <w:hideMark/>
          </w:tcPr>
          <w:p w14:paraId="3B509089" w14:textId="77777777" w:rsidR="00621326" w:rsidRPr="0097176A" w:rsidRDefault="00621326" w:rsidP="007624EB">
            <w:pPr>
              <w:rPr>
                <w:b/>
                <w:color w:val="000000"/>
                <w:highlight w:val="yellow"/>
                <w:lang w:val="es-ES"/>
              </w:rPr>
            </w:pPr>
          </w:p>
        </w:tc>
        <w:tc>
          <w:tcPr>
            <w:tcW w:w="1417" w:type="dxa"/>
            <w:shd w:val="clear" w:color="auto" w:fill="FDE9D9" w:themeFill="accent6" w:themeFillTint="33"/>
            <w:vAlign w:val="center"/>
            <w:hideMark/>
          </w:tcPr>
          <w:p w14:paraId="1CC5B642" w14:textId="77777777" w:rsidR="00621326" w:rsidRPr="0097176A" w:rsidRDefault="00621326" w:rsidP="007624EB">
            <w:pPr>
              <w:rPr>
                <w:b/>
                <w:color w:val="000000"/>
                <w:highlight w:val="yellow"/>
                <w:lang w:val="es-ES"/>
              </w:rPr>
            </w:pPr>
          </w:p>
        </w:tc>
        <w:tc>
          <w:tcPr>
            <w:tcW w:w="1417" w:type="dxa"/>
            <w:shd w:val="clear" w:color="auto" w:fill="FDE9D9" w:themeFill="accent6" w:themeFillTint="33"/>
            <w:vAlign w:val="center"/>
            <w:hideMark/>
          </w:tcPr>
          <w:p w14:paraId="67EDB753" w14:textId="77777777" w:rsidR="00621326" w:rsidRPr="0097176A" w:rsidRDefault="00621326" w:rsidP="007624EB">
            <w:pPr>
              <w:rPr>
                <w:b/>
                <w:color w:val="000000"/>
                <w:highlight w:val="yellow"/>
                <w:lang w:val="es-ES"/>
              </w:rPr>
            </w:pPr>
          </w:p>
        </w:tc>
      </w:tr>
      <w:tr w:rsidR="00621326" w:rsidRPr="0097176A" w14:paraId="2FC2C470" w14:textId="77777777" w:rsidTr="007624EB">
        <w:trPr>
          <w:trHeight w:val="353"/>
        </w:trPr>
        <w:tc>
          <w:tcPr>
            <w:tcW w:w="4762" w:type="dxa"/>
            <w:shd w:val="clear" w:color="auto" w:fill="auto"/>
            <w:vAlign w:val="center"/>
            <w:hideMark/>
          </w:tcPr>
          <w:p w14:paraId="58DB0038" w14:textId="77777777" w:rsidR="00621326" w:rsidRPr="0097176A" w:rsidRDefault="00621326" w:rsidP="007624EB">
            <w:pPr>
              <w:rPr>
                <w:color w:val="000000"/>
                <w:highlight w:val="yellow"/>
                <w:lang w:val="es-ES"/>
              </w:rPr>
            </w:pPr>
            <w:r w:rsidRPr="0097176A">
              <w:rPr>
                <w:color w:val="000000"/>
                <w:highlight w:val="yellow"/>
                <w:lang w:val="es-ES"/>
              </w:rPr>
              <w:t>Coordinador a tiempo parcial</w:t>
            </w:r>
          </w:p>
        </w:tc>
        <w:tc>
          <w:tcPr>
            <w:tcW w:w="1417" w:type="dxa"/>
            <w:shd w:val="clear" w:color="auto" w:fill="auto"/>
            <w:vAlign w:val="center"/>
            <w:hideMark/>
          </w:tcPr>
          <w:p w14:paraId="64A43BEF" w14:textId="77777777" w:rsidR="00621326" w:rsidRPr="0097176A" w:rsidRDefault="00621326" w:rsidP="007624EB">
            <w:pPr>
              <w:jc w:val="right"/>
              <w:rPr>
                <w:color w:val="000000"/>
                <w:highlight w:val="yellow"/>
                <w:lang w:val="es-ES"/>
              </w:rPr>
            </w:pPr>
            <w:r w:rsidRPr="0097176A">
              <w:rPr>
                <w:color w:val="000000"/>
                <w:highlight w:val="yellow"/>
                <w:lang w:val="es-ES"/>
              </w:rPr>
              <w:t>48.000</w:t>
            </w:r>
          </w:p>
        </w:tc>
        <w:tc>
          <w:tcPr>
            <w:tcW w:w="1417" w:type="dxa"/>
            <w:shd w:val="clear" w:color="auto" w:fill="auto"/>
            <w:vAlign w:val="center"/>
            <w:hideMark/>
          </w:tcPr>
          <w:p w14:paraId="0B9C26A1" w14:textId="77777777" w:rsidR="00621326" w:rsidRPr="0097176A" w:rsidRDefault="00621326" w:rsidP="007624EB">
            <w:pPr>
              <w:jc w:val="right"/>
              <w:rPr>
                <w:color w:val="000000"/>
                <w:highlight w:val="yellow"/>
                <w:lang w:val="es-ES"/>
              </w:rPr>
            </w:pPr>
            <w:r w:rsidRPr="0097176A">
              <w:rPr>
                <w:color w:val="000000"/>
                <w:highlight w:val="yellow"/>
                <w:lang w:val="es-ES"/>
              </w:rPr>
              <w:t>48.000</w:t>
            </w:r>
          </w:p>
        </w:tc>
        <w:tc>
          <w:tcPr>
            <w:tcW w:w="1417" w:type="dxa"/>
            <w:shd w:val="clear" w:color="auto" w:fill="auto"/>
            <w:vAlign w:val="center"/>
            <w:hideMark/>
          </w:tcPr>
          <w:p w14:paraId="0082AA0F" w14:textId="77777777" w:rsidR="00621326" w:rsidRPr="0097176A" w:rsidRDefault="00621326" w:rsidP="007624EB">
            <w:pPr>
              <w:jc w:val="right"/>
              <w:rPr>
                <w:color w:val="000000"/>
                <w:highlight w:val="yellow"/>
                <w:lang w:val="es-ES"/>
              </w:rPr>
            </w:pPr>
            <w:r w:rsidRPr="0097176A">
              <w:rPr>
                <w:color w:val="000000"/>
                <w:highlight w:val="yellow"/>
                <w:lang w:val="es-ES"/>
              </w:rPr>
              <w:t>48.000</w:t>
            </w:r>
          </w:p>
        </w:tc>
      </w:tr>
      <w:tr w:rsidR="00621326" w:rsidRPr="0097176A" w14:paraId="45607C3A" w14:textId="77777777" w:rsidTr="007624EB">
        <w:trPr>
          <w:trHeight w:val="315"/>
        </w:trPr>
        <w:tc>
          <w:tcPr>
            <w:tcW w:w="4762" w:type="dxa"/>
            <w:shd w:val="clear" w:color="000000" w:fill="FDE9D9" w:themeFill="accent6" w:themeFillTint="33"/>
            <w:vAlign w:val="center"/>
            <w:hideMark/>
          </w:tcPr>
          <w:p w14:paraId="5DF6BF00" w14:textId="77777777" w:rsidR="00621326" w:rsidRPr="0097176A" w:rsidRDefault="00621326" w:rsidP="007624EB">
            <w:pPr>
              <w:rPr>
                <w:b/>
                <w:color w:val="000000"/>
                <w:highlight w:val="yellow"/>
                <w:lang w:val="es-ES"/>
              </w:rPr>
            </w:pPr>
            <w:r w:rsidRPr="0097176A">
              <w:rPr>
                <w:b/>
                <w:color w:val="000000"/>
                <w:highlight w:val="yellow"/>
                <w:lang w:val="es-ES"/>
              </w:rPr>
              <w:t>GASTOS DE PERSONAL</w:t>
            </w:r>
          </w:p>
        </w:tc>
        <w:tc>
          <w:tcPr>
            <w:tcW w:w="1417" w:type="dxa"/>
            <w:shd w:val="clear" w:color="000000" w:fill="FDE9D9" w:themeFill="accent6" w:themeFillTint="33"/>
            <w:vAlign w:val="center"/>
            <w:hideMark/>
          </w:tcPr>
          <w:p w14:paraId="5E0A3ED3" w14:textId="77777777" w:rsidR="00621326" w:rsidRPr="0097176A" w:rsidRDefault="00621326" w:rsidP="007624EB">
            <w:pPr>
              <w:rPr>
                <w:b/>
                <w:color w:val="000000"/>
                <w:highlight w:val="yellow"/>
                <w:lang w:val="es-ES"/>
              </w:rPr>
            </w:pPr>
            <w:r w:rsidRPr="0097176A">
              <w:rPr>
                <w:color w:val="000000"/>
                <w:highlight w:val="yellow"/>
                <w:lang w:val="es-ES"/>
              </w:rPr>
              <w:t> </w:t>
            </w:r>
          </w:p>
        </w:tc>
        <w:tc>
          <w:tcPr>
            <w:tcW w:w="1417" w:type="dxa"/>
            <w:shd w:val="clear" w:color="000000" w:fill="FDE9D9" w:themeFill="accent6" w:themeFillTint="33"/>
            <w:vAlign w:val="center"/>
            <w:hideMark/>
          </w:tcPr>
          <w:p w14:paraId="4A190250" w14:textId="77777777" w:rsidR="00621326" w:rsidRPr="0097176A" w:rsidRDefault="00621326" w:rsidP="007624EB">
            <w:pPr>
              <w:rPr>
                <w:b/>
                <w:color w:val="000000"/>
                <w:highlight w:val="yellow"/>
                <w:lang w:val="es-ES"/>
              </w:rPr>
            </w:pPr>
            <w:r w:rsidRPr="0097176A">
              <w:rPr>
                <w:color w:val="000000"/>
                <w:highlight w:val="yellow"/>
                <w:lang w:val="es-ES"/>
              </w:rPr>
              <w:t> </w:t>
            </w:r>
          </w:p>
        </w:tc>
        <w:tc>
          <w:tcPr>
            <w:tcW w:w="1417" w:type="dxa"/>
            <w:shd w:val="clear" w:color="000000" w:fill="FDE9D9" w:themeFill="accent6" w:themeFillTint="33"/>
            <w:vAlign w:val="center"/>
            <w:hideMark/>
          </w:tcPr>
          <w:p w14:paraId="3C7A92DA" w14:textId="77777777" w:rsidR="00621326" w:rsidRPr="0097176A" w:rsidRDefault="00621326" w:rsidP="007624EB">
            <w:pPr>
              <w:rPr>
                <w:b/>
                <w:color w:val="000000"/>
                <w:highlight w:val="yellow"/>
                <w:lang w:val="es-ES"/>
              </w:rPr>
            </w:pPr>
            <w:r w:rsidRPr="0097176A">
              <w:rPr>
                <w:color w:val="000000"/>
                <w:highlight w:val="yellow"/>
                <w:lang w:val="es-ES"/>
              </w:rPr>
              <w:t> </w:t>
            </w:r>
          </w:p>
        </w:tc>
      </w:tr>
      <w:tr w:rsidR="00621326" w:rsidRPr="0097176A" w14:paraId="05A562D3" w14:textId="77777777" w:rsidTr="007624EB">
        <w:trPr>
          <w:trHeight w:val="396"/>
        </w:trPr>
        <w:tc>
          <w:tcPr>
            <w:tcW w:w="4762" w:type="dxa"/>
            <w:shd w:val="clear" w:color="auto" w:fill="auto"/>
            <w:vAlign w:val="center"/>
            <w:hideMark/>
          </w:tcPr>
          <w:p w14:paraId="218A9E68" w14:textId="77777777" w:rsidR="00621326" w:rsidRPr="0097176A" w:rsidRDefault="00621326" w:rsidP="0097176A">
            <w:pPr>
              <w:ind w:left="0" w:firstLine="0"/>
              <w:rPr>
                <w:color w:val="000000"/>
                <w:highlight w:val="yellow"/>
                <w:lang w:val="es-ES"/>
              </w:rPr>
            </w:pPr>
            <w:r w:rsidRPr="0097176A">
              <w:rPr>
                <w:color w:val="000000"/>
                <w:highlight w:val="yellow"/>
                <w:lang w:val="es-ES"/>
              </w:rPr>
              <w:t>Todos los sueldos, incluidos impuestos y cargas sociales</w:t>
            </w:r>
          </w:p>
        </w:tc>
        <w:tc>
          <w:tcPr>
            <w:tcW w:w="1417" w:type="dxa"/>
            <w:shd w:val="clear" w:color="auto" w:fill="auto"/>
            <w:vAlign w:val="center"/>
            <w:hideMark/>
          </w:tcPr>
          <w:p w14:paraId="5DEBAD62" w14:textId="77777777" w:rsidR="00621326" w:rsidRPr="0097176A" w:rsidRDefault="00621326" w:rsidP="007624EB">
            <w:pPr>
              <w:jc w:val="right"/>
              <w:rPr>
                <w:color w:val="000000"/>
                <w:highlight w:val="yellow"/>
                <w:lang w:val="es-ES"/>
              </w:rPr>
            </w:pPr>
            <w:r w:rsidRPr="0097176A">
              <w:rPr>
                <w:color w:val="000000"/>
                <w:highlight w:val="yellow"/>
                <w:lang w:val="es-ES"/>
              </w:rPr>
              <w:t>90.000</w:t>
            </w:r>
          </w:p>
        </w:tc>
        <w:tc>
          <w:tcPr>
            <w:tcW w:w="1417" w:type="dxa"/>
            <w:shd w:val="clear" w:color="auto" w:fill="auto"/>
            <w:vAlign w:val="center"/>
            <w:hideMark/>
          </w:tcPr>
          <w:p w14:paraId="35676BE2" w14:textId="77777777" w:rsidR="00621326" w:rsidRPr="0097176A" w:rsidRDefault="00621326" w:rsidP="007624EB">
            <w:pPr>
              <w:jc w:val="right"/>
              <w:rPr>
                <w:color w:val="000000"/>
                <w:highlight w:val="yellow"/>
                <w:lang w:val="es-ES"/>
              </w:rPr>
            </w:pPr>
            <w:r w:rsidRPr="0097176A">
              <w:rPr>
                <w:color w:val="000000"/>
                <w:highlight w:val="yellow"/>
                <w:lang w:val="es-ES"/>
              </w:rPr>
              <w:t>90.000</w:t>
            </w:r>
          </w:p>
        </w:tc>
        <w:tc>
          <w:tcPr>
            <w:tcW w:w="1417" w:type="dxa"/>
            <w:shd w:val="clear" w:color="auto" w:fill="auto"/>
            <w:vAlign w:val="center"/>
            <w:hideMark/>
          </w:tcPr>
          <w:p w14:paraId="5BA28A6D" w14:textId="77777777" w:rsidR="00621326" w:rsidRPr="0097176A" w:rsidRDefault="00621326" w:rsidP="007624EB">
            <w:pPr>
              <w:jc w:val="right"/>
              <w:rPr>
                <w:color w:val="000000"/>
                <w:highlight w:val="yellow"/>
                <w:lang w:val="es-ES"/>
              </w:rPr>
            </w:pPr>
            <w:r w:rsidRPr="0097176A">
              <w:rPr>
                <w:color w:val="000000"/>
                <w:highlight w:val="yellow"/>
                <w:lang w:val="es-ES"/>
              </w:rPr>
              <w:t>90.000</w:t>
            </w:r>
          </w:p>
        </w:tc>
      </w:tr>
      <w:tr w:rsidR="00621326" w:rsidRPr="0097176A" w14:paraId="66033C0F" w14:textId="77777777" w:rsidTr="007624EB">
        <w:trPr>
          <w:trHeight w:val="315"/>
        </w:trPr>
        <w:tc>
          <w:tcPr>
            <w:tcW w:w="4762" w:type="dxa"/>
            <w:shd w:val="clear" w:color="000000" w:fill="FDE9D9" w:themeFill="accent6" w:themeFillTint="33"/>
            <w:vAlign w:val="center"/>
            <w:hideMark/>
          </w:tcPr>
          <w:p w14:paraId="34CCE95B" w14:textId="77777777" w:rsidR="00621326" w:rsidRPr="0097176A" w:rsidRDefault="00621326" w:rsidP="007624EB">
            <w:pPr>
              <w:rPr>
                <w:b/>
                <w:color w:val="000000"/>
                <w:highlight w:val="yellow"/>
                <w:lang w:val="es-ES"/>
              </w:rPr>
            </w:pPr>
            <w:r w:rsidRPr="0097176A">
              <w:rPr>
                <w:b/>
                <w:color w:val="000000"/>
                <w:highlight w:val="yellow"/>
                <w:lang w:val="es-ES"/>
              </w:rPr>
              <w:t>EXPERTOS Y CONSULTORES</w:t>
            </w:r>
          </w:p>
        </w:tc>
        <w:tc>
          <w:tcPr>
            <w:tcW w:w="1417" w:type="dxa"/>
            <w:shd w:val="clear" w:color="000000" w:fill="FDE9D9" w:themeFill="accent6" w:themeFillTint="33"/>
            <w:vAlign w:val="center"/>
            <w:hideMark/>
          </w:tcPr>
          <w:p w14:paraId="34212472"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768001D4"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27D308BE" w14:textId="77777777" w:rsidR="00621326" w:rsidRPr="0097176A" w:rsidRDefault="00621326" w:rsidP="007624EB">
            <w:pPr>
              <w:jc w:val="right"/>
              <w:rPr>
                <w:color w:val="000000"/>
                <w:highlight w:val="yellow"/>
                <w:lang w:val="es-ES"/>
              </w:rPr>
            </w:pPr>
          </w:p>
        </w:tc>
      </w:tr>
      <w:tr w:rsidR="00621326" w:rsidRPr="0097176A" w14:paraId="532DEE2E" w14:textId="77777777" w:rsidTr="007624EB">
        <w:trPr>
          <w:trHeight w:val="420"/>
        </w:trPr>
        <w:tc>
          <w:tcPr>
            <w:tcW w:w="4762" w:type="dxa"/>
            <w:shd w:val="clear" w:color="auto" w:fill="auto"/>
            <w:vAlign w:val="center"/>
            <w:hideMark/>
          </w:tcPr>
          <w:p w14:paraId="2523FFE4" w14:textId="77777777" w:rsidR="00621326" w:rsidRPr="0097176A" w:rsidRDefault="00621326" w:rsidP="007624EB">
            <w:pPr>
              <w:rPr>
                <w:color w:val="000000"/>
                <w:highlight w:val="yellow"/>
                <w:lang w:val="es-ES"/>
              </w:rPr>
            </w:pPr>
            <w:r w:rsidRPr="0097176A">
              <w:rPr>
                <w:color w:val="000000"/>
                <w:highlight w:val="yellow"/>
                <w:lang w:val="es-ES"/>
              </w:rPr>
              <w:t>Necesidades ordinarias (STN, MeRSiM-Net y Com)</w:t>
            </w:r>
          </w:p>
        </w:tc>
        <w:tc>
          <w:tcPr>
            <w:tcW w:w="1417" w:type="dxa"/>
            <w:shd w:val="clear" w:color="auto" w:fill="auto"/>
            <w:vAlign w:val="center"/>
            <w:hideMark/>
          </w:tcPr>
          <w:p w14:paraId="711C8BA4" w14:textId="77777777" w:rsidR="00621326" w:rsidRPr="0097176A" w:rsidRDefault="00621326" w:rsidP="007624EB">
            <w:pPr>
              <w:jc w:val="right"/>
              <w:rPr>
                <w:color w:val="000000"/>
                <w:highlight w:val="yellow"/>
                <w:lang w:val="es-ES"/>
              </w:rPr>
            </w:pPr>
            <w:r w:rsidRPr="0097176A">
              <w:rPr>
                <w:color w:val="000000"/>
                <w:highlight w:val="yellow"/>
                <w:lang w:val="es-ES"/>
              </w:rPr>
              <w:t>29.000</w:t>
            </w:r>
          </w:p>
        </w:tc>
        <w:tc>
          <w:tcPr>
            <w:tcW w:w="1417" w:type="dxa"/>
            <w:shd w:val="clear" w:color="auto" w:fill="auto"/>
            <w:vAlign w:val="center"/>
            <w:hideMark/>
          </w:tcPr>
          <w:p w14:paraId="6F260D29" w14:textId="77777777" w:rsidR="00621326" w:rsidRPr="0097176A" w:rsidRDefault="00621326" w:rsidP="007624EB">
            <w:pPr>
              <w:jc w:val="right"/>
              <w:rPr>
                <w:color w:val="000000"/>
                <w:highlight w:val="yellow"/>
                <w:lang w:val="es-ES"/>
              </w:rPr>
            </w:pPr>
            <w:r w:rsidRPr="0097176A">
              <w:rPr>
                <w:color w:val="000000"/>
                <w:highlight w:val="yellow"/>
                <w:lang w:val="es-ES"/>
              </w:rPr>
              <w:t>29.000</w:t>
            </w:r>
          </w:p>
        </w:tc>
        <w:tc>
          <w:tcPr>
            <w:tcW w:w="1417" w:type="dxa"/>
            <w:shd w:val="clear" w:color="auto" w:fill="auto"/>
            <w:vAlign w:val="center"/>
            <w:hideMark/>
          </w:tcPr>
          <w:p w14:paraId="21D3BE08" w14:textId="77777777" w:rsidR="00621326" w:rsidRPr="0097176A" w:rsidRDefault="00621326" w:rsidP="007624EB">
            <w:pPr>
              <w:jc w:val="right"/>
              <w:rPr>
                <w:color w:val="000000"/>
                <w:highlight w:val="yellow"/>
                <w:lang w:val="es-ES"/>
              </w:rPr>
            </w:pPr>
            <w:r w:rsidRPr="0097176A">
              <w:rPr>
                <w:color w:val="000000"/>
                <w:highlight w:val="yellow"/>
                <w:lang w:val="es-ES"/>
              </w:rPr>
              <w:t>29.000</w:t>
            </w:r>
          </w:p>
        </w:tc>
      </w:tr>
      <w:tr w:rsidR="00621326" w:rsidRPr="0097176A" w14:paraId="6EAA097C" w14:textId="77777777" w:rsidTr="007624EB">
        <w:trPr>
          <w:trHeight w:val="405"/>
        </w:trPr>
        <w:tc>
          <w:tcPr>
            <w:tcW w:w="4762" w:type="dxa"/>
            <w:shd w:val="clear" w:color="auto" w:fill="auto"/>
            <w:vAlign w:val="center"/>
            <w:hideMark/>
          </w:tcPr>
          <w:p w14:paraId="24173A2C" w14:textId="77777777" w:rsidR="00621326" w:rsidRPr="0097176A" w:rsidRDefault="00621326" w:rsidP="007624EB">
            <w:pPr>
              <w:rPr>
                <w:color w:val="000000"/>
                <w:highlight w:val="yellow"/>
                <w:lang w:val="es-ES"/>
              </w:rPr>
            </w:pPr>
            <w:r w:rsidRPr="0097176A">
              <w:rPr>
                <w:color w:val="000000"/>
                <w:highlight w:val="yellow"/>
                <w:lang w:val="es-ES"/>
              </w:rPr>
              <w:t>Otros expertos</w:t>
            </w:r>
          </w:p>
        </w:tc>
        <w:tc>
          <w:tcPr>
            <w:tcW w:w="1417" w:type="dxa"/>
            <w:shd w:val="clear" w:color="auto" w:fill="auto"/>
            <w:vAlign w:val="center"/>
            <w:hideMark/>
          </w:tcPr>
          <w:p w14:paraId="2A1F6D32" w14:textId="77777777" w:rsidR="00621326" w:rsidRPr="0097176A" w:rsidRDefault="00621326" w:rsidP="007624EB">
            <w:pPr>
              <w:jc w:val="right"/>
              <w:rPr>
                <w:color w:val="000000"/>
                <w:highlight w:val="yellow"/>
                <w:lang w:val="es-ES"/>
              </w:rPr>
            </w:pPr>
            <w:r w:rsidRPr="0097176A">
              <w:rPr>
                <w:color w:val="000000"/>
                <w:highlight w:val="yellow"/>
                <w:lang w:val="es-ES"/>
              </w:rPr>
              <w:t>3.000</w:t>
            </w:r>
          </w:p>
        </w:tc>
        <w:tc>
          <w:tcPr>
            <w:tcW w:w="1417" w:type="dxa"/>
            <w:shd w:val="clear" w:color="auto" w:fill="auto"/>
            <w:vAlign w:val="center"/>
            <w:hideMark/>
          </w:tcPr>
          <w:p w14:paraId="12ACEE62" w14:textId="77777777" w:rsidR="00621326" w:rsidRPr="0097176A" w:rsidRDefault="00621326" w:rsidP="007624EB">
            <w:pPr>
              <w:jc w:val="right"/>
              <w:rPr>
                <w:color w:val="000000"/>
                <w:highlight w:val="yellow"/>
                <w:lang w:val="es-ES"/>
              </w:rPr>
            </w:pPr>
            <w:r w:rsidRPr="0097176A">
              <w:rPr>
                <w:color w:val="000000"/>
                <w:highlight w:val="yellow"/>
                <w:lang w:val="es-ES"/>
              </w:rPr>
              <w:t>3.000</w:t>
            </w:r>
          </w:p>
        </w:tc>
        <w:tc>
          <w:tcPr>
            <w:tcW w:w="1417" w:type="dxa"/>
            <w:shd w:val="clear" w:color="auto" w:fill="auto"/>
            <w:vAlign w:val="center"/>
            <w:hideMark/>
          </w:tcPr>
          <w:p w14:paraId="0F41E991" w14:textId="77777777" w:rsidR="00621326" w:rsidRPr="0097176A" w:rsidRDefault="00621326" w:rsidP="007624EB">
            <w:pPr>
              <w:jc w:val="right"/>
              <w:rPr>
                <w:color w:val="000000"/>
                <w:highlight w:val="yellow"/>
                <w:lang w:val="es-ES"/>
              </w:rPr>
            </w:pPr>
            <w:r w:rsidRPr="0097176A">
              <w:rPr>
                <w:color w:val="000000"/>
                <w:highlight w:val="yellow"/>
                <w:lang w:val="es-ES"/>
              </w:rPr>
              <w:t>3.000</w:t>
            </w:r>
          </w:p>
        </w:tc>
      </w:tr>
      <w:tr w:rsidR="00621326" w:rsidRPr="0097176A" w14:paraId="2A26ED62" w14:textId="77777777" w:rsidTr="007624EB">
        <w:trPr>
          <w:trHeight w:val="315"/>
        </w:trPr>
        <w:tc>
          <w:tcPr>
            <w:tcW w:w="4762" w:type="dxa"/>
            <w:shd w:val="clear" w:color="000000" w:fill="FDE9D9" w:themeFill="accent6" w:themeFillTint="33"/>
            <w:vAlign w:val="center"/>
            <w:hideMark/>
          </w:tcPr>
          <w:p w14:paraId="0C3AC187" w14:textId="77777777" w:rsidR="00621326" w:rsidRPr="0097176A" w:rsidRDefault="00621326" w:rsidP="007624EB">
            <w:pPr>
              <w:rPr>
                <w:b/>
                <w:color w:val="000000"/>
                <w:highlight w:val="yellow"/>
                <w:lang w:val="es-ES"/>
              </w:rPr>
            </w:pPr>
            <w:r w:rsidRPr="0097176A">
              <w:rPr>
                <w:b/>
                <w:color w:val="000000"/>
                <w:highlight w:val="yellow"/>
                <w:lang w:val="es-ES"/>
              </w:rPr>
              <w:t xml:space="preserve">VIAJES OFICIALES </w:t>
            </w:r>
          </w:p>
        </w:tc>
        <w:tc>
          <w:tcPr>
            <w:tcW w:w="1417" w:type="dxa"/>
            <w:shd w:val="clear" w:color="000000" w:fill="FDE9D9" w:themeFill="accent6" w:themeFillTint="33"/>
            <w:vAlign w:val="center"/>
            <w:hideMark/>
          </w:tcPr>
          <w:p w14:paraId="451F05AD"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52298913"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1E7C85D5" w14:textId="77777777" w:rsidR="00621326" w:rsidRPr="0097176A" w:rsidRDefault="00621326" w:rsidP="007624EB">
            <w:pPr>
              <w:jc w:val="right"/>
              <w:rPr>
                <w:color w:val="000000"/>
                <w:highlight w:val="yellow"/>
                <w:lang w:val="es-ES"/>
              </w:rPr>
            </w:pPr>
          </w:p>
        </w:tc>
      </w:tr>
      <w:tr w:rsidR="00621326" w:rsidRPr="0097176A" w14:paraId="483836D7" w14:textId="77777777" w:rsidTr="007624EB">
        <w:trPr>
          <w:trHeight w:val="315"/>
        </w:trPr>
        <w:tc>
          <w:tcPr>
            <w:tcW w:w="4762" w:type="dxa"/>
            <w:shd w:val="clear" w:color="auto" w:fill="auto"/>
            <w:vAlign w:val="center"/>
            <w:hideMark/>
          </w:tcPr>
          <w:p w14:paraId="326D9A80" w14:textId="77777777" w:rsidR="00621326" w:rsidRPr="0097176A" w:rsidRDefault="00621326" w:rsidP="007624EB">
            <w:pPr>
              <w:rPr>
                <w:color w:val="000000"/>
                <w:highlight w:val="yellow"/>
                <w:lang w:val="es-ES"/>
              </w:rPr>
            </w:pPr>
            <w:r w:rsidRPr="0097176A">
              <w:rPr>
                <w:color w:val="000000"/>
                <w:highlight w:val="yellow"/>
                <w:lang w:val="es-ES"/>
              </w:rPr>
              <w:t>Coordinador de MedWet</w:t>
            </w:r>
          </w:p>
        </w:tc>
        <w:tc>
          <w:tcPr>
            <w:tcW w:w="1417" w:type="dxa"/>
            <w:shd w:val="clear" w:color="auto" w:fill="auto"/>
            <w:vAlign w:val="center"/>
            <w:hideMark/>
          </w:tcPr>
          <w:p w14:paraId="31CCE86F" w14:textId="77777777" w:rsidR="00621326" w:rsidRPr="0097176A" w:rsidRDefault="00621326" w:rsidP="007624EB">
            <w:pPr>
              <w:jc w:val="right"/>
              <w:rPr>
                <w:color w:val="000000"/>
                <w:highlight w:val="yellow"/>
                <w:lang w:val="es-ES"/>
              </w:rPr>
            </w:pPr>
            <w:r w:rsidRPr="0097176A">
              <w:rPr>
                <w:color w:val="000000"/>
                <w:highlight w:val="yellow"/>
                <w:lang w:val="es-ES"/>
              </w:rPr>
              <w:t>6.000</w:t>
            </w:r>
          </w:p>
        </w:tc>
        <w:tc>
          <w:tcPr>
            <w:tcW w:w="1417" w:type="dxa"/>
            <w:shd w:val="clear" w:color="auto" w:fill="auto"/>
            <w:vAlign w:val="center"/>
            <w:hideMark/>
          </w:tcPr>
          <w:p w14:paraId="1CFDAC30" w14:textId="77777777" w:rsidR="00621326" w:rsidRPr="0097176A" w:rsidRDefault="00621326" w:rsidP="007624EB">
            <w:pPr>
              <w:jc w:val="right"/>
              <w:rPr>
                <w:color w:val="000000"/>
                <w:highlight w:val="yellow"/>
                <w:lang w:val="es-ES"/>
              </w:rPr>
            </w:pPr>
            <w:r w:rsidRPr="0097176A">
              <w:rPr>
                <w:color w:val="000000"/>
                <w:highlight w:val="yellow"/>
                <w:lang w:val="es-ES"/>
              </w:rPr>
              <w:t>6.000</w:t>
            </w:r>
          </w:p>
        </w:tc>
        <w:tc>
          <w:tcPr>
            <w:tcW w:w="1417" w:type="dxa"/>
            <w:shd w:val="clear" w:color="auto" w:fill="auto"/>
            <w:vAlign w:val="center"/>
            <w:hideMark/>
          </w:tcPr>
          <w:p w14:paraId="4AC37A50" w14:textId="77777777" w:rsidR="00621326" w:rsidRPr="0097176A" w:rsidRDefault="00621326" w:rsidP="007624EB">
            <w:pPr>
              <w:jc w:val="right"/>
              <w:rPr>
                <w:color w:val="000000"/>
                <w:highlight w:val="yellow"/>
                <w:lang w:val="es-ES"/>
              </w:rPr>
            </w:pPr>
            <w:r w:rsidRPr="0097176A">
              <w:rPr>
                <w:color w:val="000000"/>
                <w:highlight w:val="yellow"/>
                <w:lang w:val="es-ES"/>
              </w:rPr>
              <w:t>6.000</w:t>
            </w:r>
          </w:p>
        </w:tc>
      </w:tr>
      <w:tr w:rsidR="00621326" w:rsidRPr="0097176A" w14:paraId="05B21376" w14:textId="77777777" w:rsidTr="007624EB">
        <w:trPr>
          <w:trHeight w:val="315"/>
        </w:trPr>
        <w:tc>
          <w:tcPr>
            <w:tcW w:w="4762" w:type="dxa"/>
            <w:shd w:val="clear" w:color="auto" w:fill="auto"/>
            <w:vAlign w:val="center"/>
            <w:hideMark/>
          </w:tcPr>
          <w:p w14:paraId="2F9C9F89" w14:textId="77777777" w:rsidR="00621326" w:rsidRPr="0097176A" w:rsidRDefault="00621326" w:rsidP="007624EB">
            <w:pPr>
              <w:rPr>
                <w:color w:val="000000"/>
                <w:highlight w:val="yellow"/>
                <w:lang w:val="es-ES"/>
              </w:rPr>
            </w:pPr>
            <w:r w:rsidRPr="0097176A">
              <w:rPr>
                <w:color w:val="000000"/>
                <w:highlight w:val="yellow"/>
                <w:lang w:val="es-ES"/>
              </w:rPr>
              <w:t>Personal de la Secretaría de MedWet</w:t>
            </w:r>
          </w:p>
        </w:tc>
        <w:tc>
          <w:tcPr>
            <w:tcW w:w="1417" w:type="dxa"/>
            <w:shd w:val="clear" w:color="auto" w:fill="auto"/>
            <w:vAlign w:val="center"/>
            <w:hideMark/>
          </w:tcPr>
          <w:p w14:paraId="26A124E9" w14:textId="77777777" w:rsidR="00621326" w:rsidRPr="0097176A" w:rsidRDefault="00621326" w:rsidP="007624EB">
            <w:pPr>
              <w:jc w:val="right"/>
              <w:rPr>
                <w:color w:val="000000"/>
                <w:highlight w:val="yellow"/>
                <w:lang w:val="es-ES"/>
              </w:rPr>
            </w:pPr>
            <w:r w:rsidRPr="0097176A">
              <w:rPr>
                <w:color w:val="000000"/>
                <w:highlight w:val="yellow"/>
                <w:lang w:val="es-ES"/>
              </w:rPr>
              <w:t>4.000</w:t>
            </w:r>
          </w:p>
        </w:tc>
        <w:tc>
          <w:tcPr>
            <w:tcW w:w="1417" w:type="dxa"/>
            <w:shd w:val="clear" w:color="auto" w:fill="auto"/>
            <w:vAlign w:val="center"/>
            <w:hideMark/>
          </w:tcPr>
          <w:p w14:paraId="0F11C5D4" w14:textId="77777777" w:rsidR="00621326" w:rsidRPr="0097176A" w:rsidRDefault="00621326" w:rsidP="007624EB">
            <w:pPr>
              <w:jc w:val="right"/>
              <w:rPr>
                <w:color w:val="000000"/>
                <w:highlight w:val="yellow"/>
                <w:lang w:val="es-ES"/>
              </w:rPr>
            </w:pPr>
            <w:r w:rsidRPr="0097176A">
              <w:rPr>
                <w:color w:val="000000"/>
                <w:highlight w:val="yellow"/>
                <w:lang w:val="es-ES"/>
              </w:rPr>
              <w:t>4.000</w:t>
            </w:r>
          </w:p>
        </w:tc>
        <w:tc>
          <w:tcPr>
            <w:tcW w:w="1417" w:type="dxa"/>
            <w:shd w:val="clear" w:color="auto" w:fill="auto"/>
            <w:vAlign w:val="center"/>
            <w:hideMark/>
          </w:tcPr>
          <w:p w14:paraId="37DF1EEC" w14:textId="77777777" w:rsidR="00621326" w:rsidRPr="0097176A" w:rsidRDefault="00621326" w:rsidP="007624EB">
            <w:pPr>
              <w:jc w:val="right"/>
              <w:rPr>
                <w:color w:val="000000"/>
                <w:highlight w:val="yellow"/>
                <w:lang w:val="es-ES"/>
              </w:rPr>
            </w:pPr>
            <w:r w:rsidRPr="0097176A">
              <w:rPr>
                <w:color w:val="000000"/>
                <w:highlight w:val="yellow"/>
                <w:lang w:val="es-ES"/>
              </w:rPr>
              <w:t>4.000</w:t>
            </w:r>
          </w:p>
        </w:tc>
      </w:tr>
      <w:tr w:rsidR="00621326" w:rsidRPr="0097176A" w14:paraId="2FF601BA" w14:textId="77777777" w:rsidTr="007624EB">
        <w:trPr>
          <w:trHeight w:val="315"/>
        </w:trPr>
        <w:tc>
          <w:tcPr>
            <w:tcW w:w="4762" w:type="dxa"/>
            <w:shd w:val="clear" w:color="auto" w:fill="auto"/>
            <w:vAlign w:val="center"/>
            <w:hideMark/>
          </w:tcPr>
          <w:p w14:paraId="1BA15389" w14:textId="77777777" w:rsidR="00621326" w:rsidRPr="0097176A" w:rsidRDefault="00621326" w:rsidP="007624EB">
            <w:pPr>
              <w:rPr>
                <w:color w:val="000000"/>
                <w:highlight w:val="yellow"/>
                <w:lang w:val="es-ES"/>
              </w:rPr>
            </w:pPr>
            <w:r w:rsidRPr="0097176A">
              <w:rPr>
                <w:color w:val="000000"/>
                <w:highlight w:val="yellow"/>
                <w:lang w:val="es-ES"/>
              </w:rPr>
              <w:t>MedWet/Com y MedWet/SG</w:t>
            </w:r>
          </w:p>
        </w:tc>
        <w:tc>
          <w:tcPr>
            <w:tcW w:w="1417" w:type="dxa"/>
            <w:shd w:val="clear" w:color="auto" w:fill="auto"/>
            <w:vAlign w:val="center"/>
            <w:hideMark/>
          </w:tcPr>
          <w:p w14:paraId="170E750E" w14:textId="77777777" w:rsidR="00621326" w:rsidRPr="0097176A" w:rsidRDefault="00621326" w:rsidP="007624EB">
            <w:pPr>
              <w:jc w:val="right"/>
              <w:rPr>
                <w:color w:val="000000"/>
                <w:highlight w:val="yellow"/>
                <w:lang w:val="es-ES"/>
              </w:rPr>
            </w:pPr>
            <w:r w:rsidRPr="0097176A">
              <w:rPr>
                <w:color w:val="000000"/>
                <w:highlight w:val="yellow"/>
                <w:lang w:val="es-ES"/>
              </w:rPr>
              <w:t>3.000</w:t>
            </w:r>
          </w:p>
        </w:tc>
        <w:tc>
          <w:tcPr>
            <w:tcW w:w="1417" w:type="dxa"/>
            <w:shd w:val="clear" w:color="auto" w:fill="auto"/>
            <w:vAlign w:val="center"/>
            <w:hideMark/>
          </w:tcPr>
          <w:p w14:paraId="20AD5C1A" w14:textId="77777777" w:rsidR="00621326" w:rsidRPr="0097176A" w:rsidRDefault="00621326" w:rsidP="007624EB">
            <w:pPr>
              <w:jc w:val="right"/>
              <w:rPr>
                <w:color w:val="000000"/>
                <w:highlight w:val="yellow"/>
                <w:lang w:val="es-ES"/>
              </w:rPr>
            </w:pPr>
            <w:r w:rsidRPr="0097176A">
              <w:rPr>
                <w:color w:val="000000"/>
                <w:highlight w:val="yellow"/>
                <w:lang w:val="es-ES"/>
              </w:rPr>
              <w:t>3.000</w:t>
            </w:r>
          </w:p>
        </w:tc>
        <w:tc>
          <w:tcPr>
            <w:tcW w:w="1417" w:type="dxa"/>
            <w:shd w:val="clear" w:color="auto" w:fill="auto"/>
            <w:vAlign w:val="center"/>
            <w:hideMark/>
          </w:tcPr>
          <w:p w14:paraId="35B305E5" w14:textId="77777777" w:rsidR="00621326" w:rsidRPr="0097176A" w:rsidRDefault="00621326" w:rsidP="007624EB">
            <w:pPr>
              <w:jc w:val="right"/>
              <w:rPr>
                <w:color w:val="000000"/>
                <w:highlight w:val="yellow"/>
                <w:lang w:val="es-ES"/>
              </w:rPr>
            </w:pPr>
            <w:r w:rsidRPr="0097176A">
              <w:rPr>
                <w:color w:val="000000"/>
                <w:highlight w:val="yellow"/>
                <w:lang w:val="es-ES"/>
              </w:rPr>
              <w:t>15.000</w:t>
            </w:r>
          </w:p>
        </w:tc>
      </w:tr>
      <w:tr w:rsidR="00621326" w:rsidRPr="0097176A" w14:paraId="3CF8054D" w14:textId="77777777" w:rsidTr="007624EB">
        <w:trPr>
          <w:trHeight w:val="315"/>
        </w:trPr>
        <w:tc>
          <w:tcPr>
            <w:tcW w:w="4762" w:type="dxa"/>
            <w:shd w:val="clear" w:color="000000" w:fill="FDE9D9" w:themeFill="accent6" w:themeFillTint="33"/>
            <w:vAlign w:val="center"/>
            <w:hideMark/>
          </w:tcPr>
          <w:p w14:paraId="0BAD06C1" w14:textId="77777777" w:rsidR="00621326" w:rsidRPr="0097176A" w:rsidRDefault="00621326" w:rsidP="007624EB">
            <w:pPr>
              <w:rPr>
                <w:b/>
                <w:color w:val="000000"/>
                <w:highlight w:val="yellow"/>
                <w:lang w:val="es-ES"/>
              </w:rPr>
            </w:pPr>
            <w:r w:rsidRPr="0097176A">
              <w:rPr>
                <w:b/>
                <w:color w:val="000000"/>
                <w:highlight w:val="yellow"/>
                <w:lang w:val="es-ES"/>
              </w:rPr>
              <w:t>GASTOS DE OFICINA</w:t>
            </w:r>
          </w:p>
        </w:tc>
        <w:tc>
          <w:tcPr>
            <w:tcW w:w="1417" w:type="dxa"/>
            <w:shd w:val="clear" w:color="000000" w:fill="FDE9D9" w:themeFill="accent6" w:themeFillTint="33"/>
            <w:vAlign w:val="center"/>
            <w:hideMark/>
          </w:tcPr>
          <w:p w14:paraId="07E8C6D9"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0821372C"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7D4E3945" w14:textId="77777777" w:rsidR="00621326" w:rsidRPr="0097176A" w:rsidRDefault="00621326" w:rsidP="007624EB">
            <w:pPr>
              <w:jc w:val="right"/>
              <w:rPr>
                <w:color w:val="000000"/>
                <w:highlight w:val="yellow"/>
                <w:lang w:val="es-ES"/>
              </w:rPr>
            </w:pPr>
          </w:p>
        </w:tc>
      </w:tr>
      <w:tr w:rsidR="00621326" w:rsidRPr="0097176A" w14:paraId="14035D53" w14:textId="77777777" w:rsidTr="007624EB">
        <w:trPr>
          <w:trHeight w:val="315"/>
        </w:trPr>
        <w:tc>
          <w:tcPr>
            <w:tcW w:w="4762" w:type="dxa"/>
            <w:shd w:val="clear" w:color="auto" w:fill="auto"/>
            <w:vAlign w:val="center"/>
            <w:hideMark/>
          </w:tcPr>
          <w:p w14:paraId="11F030EB" w14:textId="77777777" w:rsidR="00621326" w:rsidRPr="0097176A" w:rsidRDefault="00621326" w:rsidP="007624EB">
            <w:pPr>
              <w:rPr>
                <w:color w:val="000000"/>
                <w:highlight w:val="yellow"/>
                <w:lang w:val="es-ES"/>
              </w:rPr>
            </w:pPr>
            <w:r w:rsidRPr="0097176A">
              <w:rPr>
                <w:color w:val="000000"/>
                <w:highlight w:val="yellow"/>
                <w:lang w:val="es-ES"/>
              </w:rPr>
              <w:t>Administración de oficina</w:t>
            </w:r>
          </w:p>
        </w:tc>
        <w:tc>
          <w:tcPr>
            <w:tcW w:w="1417" w:type="dxa"/>
            <w:shd w:val="clear" w:color="auto" w:fill="auto"/>
            <w:vAlign w:val="center"/>
            <w:hideMark/>
          </w:tcPr>
          <w:p w14:paraId="469167F6" w14:textId="77777777" w:rsidR="00621326" w:rsidRPr="0097176A" w:rsidRDefault="00621326" w:rsidP="007624EB">
            <w:pPr>
              <w:jc w:val="right"/>
              <w:rPr>
                <w:color w:val="000000"/>
                <w:highlight w:val="yellow"/>
                <w:lang w:val="es-ES"/>
              </w:rPr>
            </w:pPr>
            <w:r w:rsidRPr="0097176A">
              <w:rPr>
                <w:color w:val="000000"/>
                <w:highlight w:val="yellow"/>
                <w:lang w:val="es-ES"/>
              </w:rPr>
              <w:t>18.000</w:t>
            </w:r>
          </w:p>
        </w:tc>
        <w:tc>
          <w:tcPr>
            <w:tcW w:w="1417" w:type="dxa"/>
            <w:shd w:val="clear" w:color="auto" w:fill="auto"/>
            <w:vAlign w:val="center"/>
            <w:hideMark/>
          </w:tcPr>
          <w:p w14:paraId="534E11DF" w14:textId="77777777" w:rsidR="00621326" w:rsidRPr="0097176A" w:rsidRDefault="00621326" w:rsidP="007624EB">
            <w:pPr>
              <w:jc w:val="right"/>
              <w:rPr>
                <w:color w:val="000000"/>
                <w:highlight w:val="yellow"/>
                <w:lang w:val="es-ES"/>
              </w:rPr>
            </w:pPr>
            <w:r w:rsidRPr="0097176A">
              <w:rPr>
                <w:color w:val="000000"/>
                <w:highlight w:val="yellow"/>
                <w:lang w:val="es-ES"/>
              </w:rPr>
              <w:t>18.000</w:t>
            </w:r>
          </w:p>
        </w:tc>
        <w:tc>
          <w:tcPr>
            <w:tcW w:w="1417" w:type="dxa"/>
            <w:shd w:val="clear" w:color="auto" w:fill="auto"/>
            <w:vAlign w:val="center"/>
            <w:hideMark/>
          </w:tcPr>
          <w:p w14:paraId="7510791E" w14:textId="77777777" w:rsidR="00621326" w:rsidRPr="0097176A" w:rsidRDefault="00621326" w:rsidP="007624EB">
            <w:pPr>
              <w:jc w:val="right"/>
              <w:rPr>
                <w:color w:val="000000"/>
                <w:highlight w:val="yellow"/>
                <w:lang w:val="es-ES"/>
              </w:rPr>
            </w:pPr>
            <w:r w:rsidRPr="0097176A">
              <w:rPr>
                <w:color w:val="000000"/>
                <w:highlight w:val="yellow"/>
                <w:lang w:val="es-ES"/>
              </w:rPr>
              <w:t>18.000</w:t>
            </w:r>
          </w:p>
        </w:tc>
      </w:tr>
      <w:tr w:rsidR="00621326" w:rsidRPr="0097176A" w14:paraId="7EAEECE2" w14:textId="77777777" w:rsidTr="007624EB">
        <w:trPr>
          <w:trHeight w:val="315"/>
        </w:trPr>
        <w:tc>
          <w:tcPr>
            <w:tcW w:w="4762" w:type="dxa"/>
            <w:shd w:val="clear" w:color="000000" w:fill="FDE9D9" w:themeFill="accent6" w:themeFillTint="33"/>
            <w:vAlign w:val="center"/>
            <w:hideMark/>
          </w:tcPr>
          <w:p w14:paraId="60200281" w14:textId="77777777" w:rsidR="00621326" w:rsidRPr="0097176A" w:rsidRDefault="00621326" w:rsidP="007624EB">
            <w:pPr>
              <w:rPr>
                <w:b/>
                <w:color w:val="000000"/>
                <w:highlight w:val="yellow"/>
                <w:lang w:val="es-ES"/>
              </w:rPr>
            </w:pPr>
            <w:r w:rsidRPr="0097176A">
              <w:rPr>
                <w:b/>
                <w:color w:val="000000"/>
                <w:highlight w:val="yellow"/>
                <w:lang w:val="es-ES"/>
              </w:rPr>
              <w:t>SERVICIOS DE COMUNICACIONES</w:t>
            </w:r>
          </w:p>
        </w:tc>
        <w:tc>
          <w:tcPr>
            <w:tcW w:w="1417" w:type="dxa"/>
            <w:shd w:val="clear" w:color="000000" w:fill="FDE9D9" w:themeFill="accent6" w:themeFillTint="33"/>
            <w:vAlign w:val="center"/>
            <w:hideMark/>
          </w:tcPr>
          <w:p w14:paraId="470D0866"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5A07FC5B"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7F691DF3" w14:textId="77777777" w:rsidR="00621326" w:rsidRPr="0097176A" w:rsidRDefault="00621326" w:rsidP="007624EB">
            <w:pPr>
              <w:jc w:val="right"/>
              <w:rPr>
                <w:color w:val="000000"/>
                <w:highlight w:val="yellow"/>
                <w:lang w:val="es-ES"/>
              </w:rPr>
            </w:pPr>
          </w:p>
        </w:tc>
      </w:tr>
      <w:tr w:rsidR="00621326" w:rsidRPr="0097176A" w14:paraId="7F81D9AD" w14:textId="77777777" w:rsidTr="007624EB">
        <w:trPr>
          <w:trHeight w:val="315"/>
        </w:trPr>
        <w:tc>
          <w:tcPr>
            <w:tcW w:w="4762" w:type="dxa"/>
            <w:shd w:val="clear" w:color="auto" w:fill="auto"/>
            <w:vAlign w:val="center"/>
            <w:hideMark/>
          </w:tcPr>
          <w:p w14:paraId="17C292D0" w14:textId="77777777" w:rsidR="00621326" w:rsidRPr="0097176A" w:rsidRDefault="00621326" w:rsidP="007624EB">
            <w:pPr>
              <w:rPr>
                <w:color w:val="000000"/>
                <w:highlight w:val="yellow"/>
                <w:lang w:val="es-ES"/>
              </w:rPr>
            </w:pPr>
            <w:r w:rsidRPr="0097176A">
              <w:rPr>
                <w:color w:val="000000"/>
                <w:highlight w:val="yellow"/>
                <w:lang w:val="es-ES"/>
              </w:rPr>
              <w:t>Sitio web y difusión</w:t>
            </w:r>
          </w:p>
        </w:tc>
        <w:tc>
          <w:tcPr>
            <w:tcW w:w="1417" w:type="dxa"/>
            <w:shd w:val="clear" w:color="auto" w:fill="auto"/>
            <w:vAlign w:val="center"/>
            <w:hideMark/>
          </w:tcPr>
          <w:p w14:paraId="1E870105" w14:textId="77777777" w:rsidR="00621326" w:rsidRPr="0097176A" w:rsidRDefault="00621326" w:rsidP="007624EB">
            <w:pPr>
              <w:jc w:val="right"/>
              <w:rPr>
                <w:color w:val="000000"/>
                <w:highlight w:val="yellow"/>
                <w:lang w:val="es-ES"/>
              </w:rPr>
            </w:pPr>
            <w:r w:rsidRPr="0097176A">
              <w:rPr>
                <w:color w:val="000000"/>
                <w:highlight w:val="yellow"/>
                <w:lang w:val="es-ES"/>
              </w:rPr>
              <w:t>1.500</w:t>
            </w:r>
          </w:p>
        </w:tc>
        <w:tc>
          <w:tcPr>
            <w:tcW w:w="1417" w:type="dxa"/>
            <w:shd w:val="clear" w:color="auto" w:fill="auto"/>
            <w:vAlign w:val="center"/>
            <w:hideMark/>
          </w:tcPr>
          <w:p w14:paraId="3C3ECCEC" w14:textId="77777777" w:rsidR="00621326" w:rsidRPr="0097176A" w:rsidRDefault="00621326" w:rsidP="007624EB">
            <w:pPr>
              <w:jc w:val="right"/>
              <w:rPr>
                <w:color w:val="000000"/>
                <w:highlight w:val="yellow"/>
                <w:lang w:val="es-ES"/>
              </w:rPr>
            </w:pPr>
            <w:r w:rsidRPr="0097176A">
              <w:rPr>
                <w:color w:val="000000"/>
                <w:highlight w:val="yellow"/>
                <w:lang w:val="es-ES"/>
              </w:rPr>
              <w:t>1.500</w:t>
            </w:r>
          </w:p>
        </w:tc>
        <w:tc>
          <w:tcPr>
            <w:tcW w:w="1417" w:type="dxa"/>
            <w:shd w:val="clear" w:color="auto" w:fill="auto"/>
            <w:vAlign w:val="center"/>
            <w:hideMark/>
          </w:tcPr>
          <w:p w14:paraId="504844BD" w14:textId="77777777" w:rsidR="00621326" w:rsidRPr="0097176A" w:rsidRDefault="00621326" w:rsidP="007624EB">
            <w:pPr>
              <w:jc w:val="right"/>
              <w:rPr>
                <w:color w:val="000000"/>
                <w:highlight w:val="yellow"/>
                <w:lang w:val="es-ES"/>
              </w:rPr>
            </w:pPr>
            <w:r w:rsidRPr="0097176A">
              <w:rPr>
                <w:color w:val="000000"/>
                <w:highlight w:val="yellow"/>
                <w:lang w:val="es-ES"/>
              </w:rPr>
              <w:t>1.500</w:t>
            </w:r>
          </w:p>
        </w:tc>
      </w:tr>
      <w:tr w:rsidR="00621326" w:rsidRPr="0097176A" w14:paraId="27695339" w14:textId="77777777" w:rsidTr="007624EB">
        <w:trPr>
          <w:trHeight w:val="315"/>
        </w:trPr>
        <w:tc>
          <w:tcPr>
            <w:tcW w:w="4762" w:type="dxa"/>
            <w:shd w:val="clear" w:color="auto" w:fill="auto"/>
            <w:vAlign w:val="center"/>
            <w:hideMark/>
          </w:tcPr>
          <w:p w14:paraId="3388CBF1" w14:textId="77777777" w:rsidR="00621326" w:rsidRPr="0097176A" w:rsidRDefault="00621326" w:rsidP="007624EB">
            <w:pPr>
              <w:rPr>
                <w:color w:val="000000"/>
                <w:highlight w:val="yellow"/>
                <w:lang w:val="es-ES"/>
              </w:rPr>
            </w:pPr>
            <w:r w:rsidRPr="0097176A">
              <w:rPr>
                <w:color w:val="000000"/>
                <w:highlight w:val="yellow"/>
                <w:lang w:val="es-ES"/>
              </w:rPr>
              <w:t>Herramientas de comunicación</w:t>
            </w:r>
          </w:p>
        </w:tc>
        <w:tc>
          <w:tcPr>
            <w:tcW w:w="1417" w:type="dxa"/>
            <w:shd w:val="clear" w:color="auto" w:fill="auto"/>
            <w:vAlign w:val="center"/>
            <w:hideMark/>
          </w:tcPr>
          <w:p w14:paraId="2204AD67" w14:textId="77777777" w:rsidR="00621326" w:rsidRPr="0097176A" w:rsidRDefault="00621326" w:rsidP="007624EB">
            <w:pPr>
              <w:jc w:val="right"/>
              <w:rPr>
                <w:color w:val="000000"/>
                <w:highlight w:val="yellow"/>
                <w:lang w:val="es-ES"/>
              </w:rPr>
            </w:pPr>
            <w:r w:rsidRPr="0097176A">
              <w:rPr>
                <w:color w:val="000000"/>
                <w:highlight w:val="yellow"/>
                <w:lang w:val="es-ES"/>
              </w:rPr>
              <w:t>3.500</w:t>
            </w:r>
          </w:p>
        </w:tc>
        <w:tc>
          <w:tcPr>
            <w:tcW w:w="1417" w:type="dxa"/>
            <w:shd w:val="clear" w:color="auto" w:fill="auto"/>
            <w:vAlign w:val="center"/>
            <w:hideMark/>
          </w:tcPr>
          <w:p w14:paraId="287CFB85" w14:textId="77777777" w:rsidR="00621326" w:rsidRPr="0097176A" w:rsidRDefault="00621326" w:rsidP="007624EB">
            <w:pPr>
              <w:jc w:val="right"/>
              <w:rPr>
                <w:color w:val="000000"/>
                <w:highlight w:val="yellow"/>
                <w:lang w:val="es-ES"/>
              </w:rPr>
            </w:pPr>
            <w:r w:rsidRPr="0097176A">
              <w:rPr>
                <w:color w:val="000000"/>
                <w:highlight w:val="yellow"/>
                <w:lang w:val="es-ES"/>
              </w:rPr>
              <w:t>3.500</w:t>
            </w:r>
          </w:p>
        </w:tc>
        <w:tc>
          <w:tcPr>
            <w:tcW w:w="1417" w:type="dxa"/>
            <w:shd w:val="clear" w:color="auto" w:fill="auto"/>
            <w:vAlign w:val="center"/>
            <w:hideMark/>
          </w:tcPr>
          <w:p w14:paraId="5DC9F282" w14:textId="77777777" w:rsidR="00621326" w:rsidRPr="0097176A" w:rsidRDefault="00621326" w:rsidP="007624EB">
            <w:pPr>
              <w:jc w:val="right"/>
              <w:rPr>
                <w:color w:val="000000"/>
                <w:highlight w:val="yellow"/>
                <w:lang w:val="es-ES"/>
              </w:rPr>
            </w:pPr>
            <w:r w:rsidRPr="0097176A">
              <w:rPr>
                <w:color w:val="000000"/>
                <w:highlight w:val="yellow"/>
                <w:lang w:val="es-ES"/>
              </w:rPr>
              <w:t>3.500</w:t>
            </w:r>
          </w:p>
        </w:tc>
      </w:tr>
      <w:tr w:rsidR="00621326" w:rsidRPr="0097176A" w14:paraId="661E2193" w14:textId="77777777" w:rsidTr="007624EB">
        <w:trPr>
          <w:trHeight w:val="315"/>
        </w:trPr>
        <w:tc>
          <w:tcPr>
            <w:tcW w:w="4762" w:type="dxa"/>
            <w:shd w:val="clear" w:color="000000" w:fill="FDE9D9" w:themeFill="accent6" w:themeFillTint="33"/>
            <w:vAlign w:val="center"/>
            <w:hideMark/>
          </w:tcPr>
          <w:p w14:paraId="0EAA7E10" w14:textId="77777777" w:rsidR="00621326" w:rsidRPr="0097176A" w:rsidRDefault="00621326" w:rsidP="007624EB">
            <w:pPr>
              <w:rPr>
                <w:b/>
                <w:color w:val="000000"/>
                <w:highlight w:val="yellow"/>
                <w:lang w:val="es-ES"/>
              </w:rPr>
            </w:pPr>
            <w:r w:rsidRPr="0097176A">
              <w:rPr>
                <w:b/>
                <w:color w:val="000000"/>
                <w:highlight w:val="yellow"/>
                <w:lang w:val="es-ES"/>
              </w:rPr>
              <w:t>VARIOS</w:t>
            </w:r>
          </w:p>
        </w:tc>
        <w:tc>
          <w:tcPr>
            <w:tcW w:w="1417" w:type="dxa"/>
            <w:shd w:val="clear" w:color="000000" w:fill="FDE9D9" w:themeFill="accent6" w:themeFillTint="33"/>
            <w:vAlign w:val="center"/>
            <w:hideMark/>
          </w:tcPr>
          <w:p w14:paraId="3DB2E2CF"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12B4057B" w14:textId="77777777" w:rsidR="00621326" w:rsidRPr="0097176A" w:rsidRDefault="00621326" w:rsidP="007624EB">
            <w:pPr>
              <w:jc w:val="right"/>
              <w:rPr>
                <w:color w:val="000000"/>
                <w:highlight w:val="yellow"/>
                <w:lang w:val="es-ES"/>
              </w:rPr>
            </w:pPr>
          </w:p>
        </w:tc>
        <w:tc>
          <w:tcPr>
            <w:tcW w:w="1417" w:type="dxa"/>
            <w:shd w:val="clear" w:color="000000" w:fill="FDE9D9" w:themeFill="accent6" w:themeFillTint="33"/>
            <w:vAlign w:val="center"/>
            <w:hideMark/>
          </w:tcPr>
          <w:p w14:paraId="1F42F0D7" w14:textId="77777777" w:rsidR="00621326" w:rsidRPr="0097176A" w:rsidRDefault="00621326" w:rsidP="007624EB">
            <w:pPr>
              <w:jc w:val="right"/>
              <w:rPr>
                <w:color w:val="000000"/>
                <w:highlight w:val="yellow"/>
                <w:lang w:val="es-ES"/>
              </w:rPr>
            </w:pPr>
          </w:p>
        </w:tc>
      </w:tr>
      <w:tr w:rsidR="00621326" w:rsidRPr="0097176A" w14:paraId="37B7D276" w14:textId="77777777" w:rsidTr="007624EB">
        <w:trPr>
          <w:trHeight w:val="315"/>
        </w:trPr>
        <w:tc>
          <w:tcPr>
            <w:tcW w:w="4762" w:type="dxa"/>
            <w:shd w:val="clear" w:color="auto" w:fill="auto"/>
            <w:vAlign w:val="center"/>
            <w:hideMark/>
          </w:tcPr>
          <w:p w14:paraId="2CFAEA75" w14:textId="77777777" w:rsidR="00621326" w:rsidRPr="0097176A" w:rsidRDefault="00621326" w:rsidP="007624EB">
            <w:pPr>
              <w:rPr>
                <w:color w:val="000000"/>
                <w:highlight w:val="yellow"/>
                <w:lang w:val="es-ES"/>
              </w:rPr>
            </w:pPr>
            <w:r w:rsidRPr="0097176A">
              <w:rPr>
                <w:color w:val="000000"/>
                <w:highlight w:val="yellow"/>
                <w:lang w:val="es-ES"/>
              </w:rPr>
              <w:t>Gastos varios</w:t>
            </w:r>
          </w:p>
        </w:tc>
        <w:tc>
          <w:tcPr>
            <w:tcW w:w="1417" w:type="dxa"/>
            <w:shd w:val="clear" w:color="auto" w:fill="auto"/>
            <w:vAlign w:val="center"/>
            <w:hideMark/>
          </w:tcPr>
          <w:p w14:paraId="31014D1E" w14:textId="77777777" w:rsidR="00621326" w:rsidRPr="0097176A" w:rsidRDefault="00621326" w:rsidP="007624EB">
            <w:pPr>
              <w:jc w:val="right"/>
              <w:rPr>
                <w:color w:val="000000"/>
                <w:highlight w:val="yellow"/>
                <w:lang w:val="es-ES"/>
              </w:rPr>
            </w:pPr>
            <w:r w:rsidRPr="0097176A">
              <w:rPr>
                <w:color w:val="000000"/>
                <w:highlight w:val="yellow"/>
                <w:lang w:val="es-ES"/>
              </w:rPr>
              <w:t>2.000</w:t>
            </w:r>
          </w:p>
        </w:tc>
        <w:tc>
          <w:tcPr>
            <w:tcW w:w="1417" w:type="dxa"/>
            <w:shd w:val="clear" w:color="auto" w:fill="auto"/>
            <w:vAlign w:val="center"/>
            <w:hideMark/>
          </w:tcPr>
          <w:p w14:paraId="19F83DBC" w14:textId="77777777" w:rsidR="00621326" w:rsidRPr="0097176A" w:rsidRDefault="00621326" w:rsidP="007624EB">
            <w:pPr>
              <w:jc w:val="right"/>
              <w:rPr>
                <w:color w:val="000000"/>
                <w:highlight w:val="yellow"/>
                <w:lang w:val="es-ES"/>
              </w:rPr>
            </w:pPr>
            <w:r w:rsidRPr="0097176A">
              <w:rPr>
                <w:color w:val="000000"/>
                <w:highlight w:val="yellow"/>
                <w:lang w:val="es-ES"/>
              </w:rPr>
              <w:t>2.500</w:t>
            </w:r>
          </w:p>
        </w:tc>
        <w:tc>
          <w:tcPr>
            <w:tcW w:w="1417" w:type="dxa"/>
            <w:shd w:val="clear" w:color="auto" w:fill="auto"/>
            <w:vAlign w:val="center"/>
            <w:hideMark/>
          </w:tcPr>
          <w:p w14:paraId="636513DC" w14:textId="77777777" w:rsidR="00621326" w:rsidRPr="0097176A" w:rsidRDefault="00621326" w:rsidP="007624EB">
            <w:pPr>
              <w:jc w:val="right"/>
              <w:rPr>
                <w:color w:val="000000"/>
                <w:highlight w:val="yellow"/>
                <w:lang w:val="es-ES"/>
              </w:rPr>
            </w:pPr>
            <w:r w:rsidRPr="0097176A">
              <w:rPr>
                <w:color w:val="000000"/>
                <w:highlight w:val="yellow"/>
                <w:lang w:val="es-ES"/>
              </w:rPr>
              <w:t>2.000</w:t>
            </w:r>
          </w:p>
        </w:tc>
      </w:tr>
      <w:tr w:rsidR="00621326" w:rsidRPr="0097176A" w14:paraId="76AEDA70" w14:textId="77777777" w:rsidTr="007624EB">
        <w:trPr>
          <w:trHeight w:val="555"/>
        </w:trPr>
        <w:tc>
          <w:tcPr>
            <w:tcW w:w="4762" w:type="dxa"/>
            <w:shd w:val="clear" w:color="000000" w:fill="FBD4B4" w:themeFill="accent6" w:themeFillTint="66"/>
            <w:vAlign w:val="center"/>
            <w:hideMark/>
          </w:tcPr>
          <w:p w14:paraId="2211D628" w14:textId="77777777" w:rsidR="00621326" w:rsidRPr="0097176A" w:rsidRDefault="00621326" w:rsidP="007624EB">
            <w:pPr>
              <w:rPr>
                <w:b/>
                <w:color w:val="000000" w:themeColor="text1"/>
                <w:highlight w:val="yellow"/>
                <w:lang w:val="es-ES"/>
              </w:rPr>
            </w:pPr>
            <w:r w:rsidRPr="0097176A">
              <w:rPr>
                <w:b/>
                <w:color w:val="000000" w:themeColor="text1"/>
                <w:highlight w:val="yellow"/>
                <w:lang w:val="es-ES"/>
              </w:rPr>
              <w:t xml:space="preserve">TOTAL DE GASTOS </w:t>
            </w:r>
          </w:p>
        </w:tc>
        <w:tc>
          <w:tcPr>
            <w:tcW w:w="1417" w:type="dxa"/>
            <w:shd w:val="clear" w:color="000000" w:fill="FBD4B4" w:themeFill="accent6" w:themeFillTint="66"/>
            <w:vAlign w:val="center"/>
            <w:hideMark/>
          </w:tcPr>
          <w:p w14:paraId="2151757B" w14:textId="77777777" w:rsidR="00621326" w:rsidRPr="0097176A" w:rsidRDefault="00621326" w:rsidP="007624EB">
            <w:pPr>
              <w:jc w:val="right"/>
              <w:rPr>
                <w:b/>
                <w:color w:val="000000" w:themeColor="text1"/>
                <w:highlight w:val="yellow"/>
                <w:lang w:val="es-ES"/>
              </w:rPr>
            </w:pPr>
            <w:r w:rsidRPr="0097176A">
              <w:rPr>
                <w:b/>
                <w:color w:val="000000" w:themeColor="text1"/>
                <w:highlight w:val="yellow"/>
                <w:lang w:val="es-ES"/>
              </w:rPr>
              <w:t xml:space="preserve">208.000   </w:t>
            </w:r>
          </w:p>
        </w:tc>
        <w:tc>
          <w:tcPr>
            <w:tcW w:w="1417" w:type="dxa"/>
            <w:shd w:val="clear" w:color="000000" w:fill="FBD4B4" w:themeFill="accent6" w:themeFillTint="66"/>
            <w:vAlign w:val="center"/>
            <w:hideMark/>
          </w:tcPr>
          <w:p w14:paraId="4D14A4F5" w14:textId="77777777" w:rsidR="00621326" w:rsidRPr="0097176A" w:rsidRDefault="00621326" w:rsidP="007624EB">
            <w:pPr>
              <w:jc w:val="right"/>
              <w:rPr>
                <w:b/>
                <w:color w:val="000000" w:themeColor="text1"/>
                <w:highlight w:val="yellow"/>
                <w:lang w:val="es-ES"/>
              </w:rPr>
            </w:pPr>
            <w:r w:rsidRPr="0097176A">
              <w:rPr>
                <w:b/>
                <w:color w:val="000000" w:themeColor="text1"/>
                <w:highlight w:val="yellow"/>
                <w:lang w:val="es-ES"/>
              </w:rPr>
              <w:t xml:space="preserve">211.500   </w:t>
            </w:r>
          </w:p>
        </w:tc>
        <w:tc>
          <w:tcPr>
            <w:tcW w:w="1417" w:type="dxa"/>
            <w:shd w:val="clear" w:color="000000" w:fill="FBD4B4" w:themeFill="accent6" w:themeFillTint="66"/>
            <w:vAlign w:val="center"/>
            <w:hideMark/>
          </w:tcPr>
          <w:p w14:paraId="2C092A77" w14:textId="77777777" w:rsidR="00621326" w:rsidRPr="0097176A" w:rsidRDefault="00621326" w:rsidP="007624EB">
            <w:pPr>
              <w:jc w:val="right"/>
              <w:rPr>
                <w:b/>
                <w:color w:val="000000" w:themeColor="text1"/>
                <w:highlight w:val="yellow"/>
                <w:lang w:val="es-ES"/>
              </w:rPr>
            </w:pPr>
            <w:r w:rsidRPr="0097176A">
              <w:rPr>
                <w:b/>
                <w:color w:val="000000" w:themeColor="text1"/>
                <w:highlight w:val="yellow"/>
                <w:lang w:val="es-ES"/>
              </w:rPr>
              <w:t xml:space="preserve">220.000   </w:t>
            </w:r>
          </w:p>
        </w:tc>
      </w:tr>
      <w:tr w:rsidR="00621326" w:rsidRPr="0097176A" w14:paraId="39F36D00" w14:textId="77777777" w:rsidTr="007624EB">
        <w:trPr>
          <w:trHeight w:val="349"/>
        </w:trPr>
        <w:tc>
          <w:tcPr>
            <w:tcW w:w="4762" w:type="dxa"/>
            <w:shd w:val="clear" w:color="000000" w:fill="B6DDE8" w:themeFill="accent5" w:themeFillTint="66"/>
            <w:vAlign w:val="center"/>
            <w:hideMark/>
          </w:tcPr>
          <w:p w14:paraId="2CFEF845" w14:textId="77777777" w:rsidR="00621326" w:rsidRPr="0097176A" w:rsidRDefault="00621326" w:rsidP="007624EB">
            <w:pPr>
              <w:rPr>
                <w:b/>
                <w:color w:val="000000" w:themeColor="text1"/>
                <w:highlight w:val="yellow"/>
                <w:lang w:val="es-ES"/>
              </w:rPr>
            </w:pPr>
            <w:r w:rsidRPr="0097176A">
              <w:rPr>
                <w:b/>
                <w:color w:val="000000" w:themeColor="text1"/>
                <w:highlight w:val="yellow"/>
                <w:lang w:val="es-ES"/>
              </w:rPr>
              <w:t>INGRESOS</w:t>
            </w:r>
          </w:p>
        </w:tc>
        <w:tc>
          <w:tcPr>
            <w:tcW w:w="1417" w:type="dxa"/>
            <w:shd w:val="clear" w:color="000000" w:fill="B6DDE8" w:themeFill="accent5" w:themeFillTint="66"/>
            <w:vAlign w:val="center"/>
            <w:hideMark/>
          </w:tcPr>
          <w:p w14:paraId="4C873307" w14:textId="77777777" w:rsidR="00621326" w:rsidRPr="0097176A" w:rsidRDefault="00621326" w:rsidP="007624EB">
            <w:pPr>
              <w:jc w:val="right"/>
              <w:rPr>
                <w:color w:val="000000" w:themeColor="text1"/>
                <w:highlight w:val="yellow"/>
                <w:lang w:val="es-ES"/>
              </w:rPr>
            </w:pPr>
          </w:p>
        </w:tc>
        <w:tc>
          <w:tcPr>
            <w:tcW w:w="1417" w:type="dxa"/>
            <w:shd w:val="clear" w:color="000000" w:fill="B6DDE8" w:themeFill="accent5" w:themeFillTint="66"/>
            <w:vAlign w:val="center"/>
            <w:hideMark/>
          </w:tcPr>
          <w:p w14:paraId="79BD63B7" w14:textId="77777777" w:rsidR="00621326" w:rsidRPr="0097176A" w:rsidRDefault="00621326" w:rsidP="007624EB">
            <w:pPr>
              <w:jc w:val="right"/>
              <w:rPr>
                <w:color w:val="000000" w:themeColor="text1"/>
                <w:highlight w:val="yellow"/>
                <w:lang w:val="es-ES"/>
              </w:rPr>
            </w:pPr>
          </w:p>
        </w:tc>
        <w:tc>
          <w:tcPr>
            <w:tcW w:w="1417" w:type="dxa"/>
            <w:shd w:val="clear" w:color="000000" w:fill="B6DDE8" w:themeFill="accent5" w:themeFillTint="66"/>
            <w:vAlign w:val="center"/>
            <w:hideMark/>
          </w:tcPr>
          <w:p w14:paraId="71A74AF4" w14:textId="77777777" w:rsidR="00621326" w:rsidRPr="0097176A" w:rsidRDefault="00621326" w:rsidP="007624EB">
            <w:pPr>
              <w:jc w:val="right"/>
              <w:rPr>
                <w:color w:val="000000" w:themeColor="text1"/>
                <w:highlight w:val="yellow"/>
                <w:lang w:val="es-ES"/>
              </w:rPr>
            </w:pPr>
          </w:p>
        </w:tc>
      </w:tr>
      <w:tr w:rsidR="00621326" w:rsidRPr="0097176A" w14:paraId="2A5C5BA4" w14:textId="77777777" w:rsidTr="007624EB">
        <w:trPr>
          <w:trHeight w:val="343"/>
        </w:trPr>
        <w:tc>
          <w:tcPr>
            <w:tcW w:w="4762" w:type="dxa"/>
            <w:shd w:val="clear" w:color="auto" w:fill="auto"/>
            <w:vAlign w:val="center"/>
            <w:hideMark/>
          </w:tcPr>
          <w:p w14:paraId="4AA9644D" w14:textId="77777777" w:rsidR="00621326" w:rsidRPr="0097176A" w:rsidRDefault="00621326" w:rsidP="007624EB">
            <w:pPr>
              <w:rPr>
                <w:color w:val="000000"/>
                <w:highlight w:val="yellow"/>
                <w:lang w:val="es-ES"/>
              </w:rPr>
            </w:pPr>
            <w:r w:rsidRPr="0097176A">
              <w:rPr>
                <w:color w:val="000000"/>
                <w:highlight w:val="yellow"/>
                <w:lang w:val="es-ES"/>
              </w:rPr>
              <w:t>Contribución de los países de MedWet</w:t>
            </w:r>
          </w:p>
        </w:tc>
        <w:tc>
          <w:tcPr>
            <w:tcW w:w="1417" w:type="dxa"/>
            <w:shd w:val="clear" w:color="auto" w:fill="auto"/>
            <w:vAlign w:val="center"/>
            <w:hideMark/>
          </w:tcPr>
          <w:p w14:paraId="5F79CCDD" w14:textId="77777777" w:rsidR="00621326" w:rsidRPr="0097176A" w:rsidRDefault="00621326" w:rsidP="007624EB">
            <w:pPr>
              <w:jc w:val="right"/>
              <w:rPr>
                <w:color w:val="000000"/>
                <w:highlight w:val="yellow"/>
                <w:lang w:val="es-ES"/>
              </w:rPr>
            </w:pPr>
            <w:r w:rsidRPr="0097176A">
              <w:rPr>
                <w:color w:val="000000"/>
                <w:highlight w:val="yellow"/>
                <w:lang w:val="es-ES"/>
              </w:rPr>
              <w:t>129.378</w:t>
            </w:r>
          </w:p>
        </w:tc>
        <w:tc>
          <w:tcPr>
            <w:tcW w:w="1417" w:type="dxa"/>
            <w:shd w:val="clear" w:color="auto" w:fill="auto"/>
            <w:vAlign w:val="center"/>
            <w:hideMark/>
          </w:tcPr>
          <w:p w14:paraId="5EB533E4" w14:textId="77777777" w:rsidR="00621326" w:rsidRPr="0097176A" w:rsidRDefault="00621326" w:rsidP="007624EB">
            <w:pPr>
              <w:jc w:val="right"/>
              <w:rPr>
                <w:color w:val="000000"/>
                <w:highlight w:val="yellow"/>
                <w:lang w:val="es-ES"/>
              </w:rPr>
            </w:pPr>
            <w:r w:rsidRPr="0097176A">
              <w:rPr>
                <w:color w:val="000000"/>
                <w:highlight w:val="yellow"/>
                <w:lang w:val="es-ES"/>
              </w:rPr>
              <w:t>129.378</w:t>
            </w:r>
          </w:p>
        </w:tc>
        <w:tc>
          <w:tcPr>
            <w:tcW w:w="1417" w:type="dxa"/>
            <w:shd w:val="clear" w:color="auto" w:fill="auto"/>
            <w:vAlign w:val="center"/>
            <w:hideMark/>
          </w:tcPr>
          <w:p w14:paraId="6894AA76" w14:textId="77777777" w:rsidR="00621326" w:rsidRPr="0097176A" w:rsidRDefault="00621326" w:rsidP="007624EB">
            <w:pPr>
              <w:jc w:val="right"/>
              <w:rPr>
                <w:color w:val="000000"/>
                <w:highlight w:val="yellow"/>
                <w:lang w:val="es-ES"/>
              </w:rPr>
            </w:pPr>
            <w:r w:rsidRPr="0097176A">
              <w:rPr>
                <w:color w:val="000000"/>
                <w:highlight w:val="yellow"/>
                <w:lang w:val="es-ES"/>
              </w:rPr>
              <w:t>129.378</w:t>
            </w:r>
          </w:p>
        </w:tc>
      </w:tr>
      <w:tr w:rsidR="00621326" w:rsidRPr="0097176A" w14:paraId="01F71B6E" w14:textId="77777777" w:rsidTr="007624EB">
        <w:trPr>
          <w:trHeight w:val="315"/>
        </w:trPr>
        <w:tc>
          <w:tcPr>
            <w:tcW w:w="4762" w:type="dxa"/>
            <w:shd w:val="clear" w:color="auto" w:fill="auto"/>
            <w:vAlign w:val="center"/>
            <w:hideMark/>
          </w:tcPr>
          <w:p w14:paraId="34347633" w14:textId="77777777" w:rsidR="00621326" w:rsidRPr="0097176A" w:rsidRDefault="00621326" w:rsidP="007624EB">
            <w:pPr>
              <w:rPr>
                <w:color w:val="000000"/>
                <w:highlight w:val="yellow"/>
                <w:lang w:val="es-ES"/>
              </w:rPr>
            </w:pPr>
            <w:r w:rsidRPr="0097176A">
              <w:rPr>
                <w:color w:val="000000"/>
                <w:highlight w:val="yellow"/>
                <w:lang w:val="es-ES"/>
              </w:rPr>
              <w:t>Agence de l'Eau</w:t>
            </w:r>
          </w:p>
        </w:tc>
        <w:tc>
          <w:tcPr>
            <w:tcW w:w="1417" w:type="dxa"/>
            <w:shd w:val="clear" w:color="auto" w:fill="auto"/>
            <w:vAlign w:val="center"/>
            <w:hideMark/>
          </w:tcPr>
          <w:p w14:paraId="5BA75147" w14:textId="77777777" w:rsidR="00621326" w:rsidRPr="0097176A" w:rsidRDefault="00621326" w:rsidP="007624EB">
            <w:pPr>
              <w:jc w:val="right"/>
              <w:rPr>
                <w:color w:val="000000"/>
                <w:highlight w:val="yellow"/>
                <w:lang w:val="es-ES"/>
              </w:rPr>
            </w:pPr>
            <w:r w:rsidRPr="0097176A">
              <w:rPr>
                <w:color w:val="000000"/>
                <w:highlight w:val="yellow"/>
                <w:lang w:val="es-ES"/>
              </w:rPr>
              <w:t>15.000</w:t>
            </w:r>
          </w:p>
        </w:tc>
        <w:tc>
          <w:tcPr>
            <w:tcW w:w="1417" w:type="dxa"/>
            <w:shd w:val="clear" w:color="auto" w:fill="auto"/>
            <w:vAlign w:val="center"/>
            <w:hideMark/>
          </w:tcPr>
          <w:p w14:paraId="3CE5E6F6" w14:textId="77777777" w:rsidR="00621326" w:rsidRPr="0097176A" w:rsidRDefault="00621326" w:rsidP="007624EB">
            <w:pPr>
              <w:jc w:val="right"/>
              <w:rPr>
                <w:color w:val="000000"/>
                <w:highlight w:val="yellow"/>
                <w:lang w:val="es-ES"/>
              </w:rPr>
            </w:pPr>
          </w:p>
        </w:tc>
        <w:tc>
          <w:tcPr>
            <w:tcW w:w="1417" w:type="dxa"/>
            <w:shd w:val="clear" w:color="auto" w:fill="auto"/>
            <w:vAlign w:val="center"/>
            <w:hideMark/>
          </w:tcPr>
          <w:p w14:paraId="5ADA40DC" w14:textId="77777777" w:rsidR="00621326" w:rsidRPr="0097176A" w:rsidRDefault="00621326" w:rsidP="007624EB">
            <w:pPr>
              <w:jc w:val="right"/>
              <w:rPr>
                <w:color w:val="000000"/>
                <w:highlight w:val="yellow"/>
                <w:lang w:val="es-ES"/>
              </w:rPr>
            </w:pPr>
          </w:p>
        </w:tc>
      </w:tr>
      <w:tr w:rsidR="00621326" w:rsidRPr="0097176A" w14:paraId="5DEBB7C9" w14:textId="77777777" w:rsidTr="007624EB">
        <w:trPr>
          <w:trHeight w:val="315"/>
        </w:trPr>
        <w:tc>
          <w:tcPr>
            <w:tcW w:w="4762" w:type="dxa"/>
            <w:shd w:val="clear" w:color="auto" w:fill="auto"/>
            <w:vAlign w:val="center"/>
            <w:hideMark/>
          </w:tcPr>
          <w:p w14:paraId="7FE406D3" w14:textId="77777777" w:rsidR="00621326" w:rsidRPr="0097176A" w:rsidRDefault="00621326" w:rsidP="007624EB">
            <w:pPr>
              <w:jc w:val="both"/>
              <w:rPr>
                <w:color w:val="000000"/>
                <w:highlight w:val="yellow"/>
                <w:lang w:val="es-ES"/>
              </w:rPr>
            </w:pPr>
            <w:r w:rsidRPr="0097176A">
              <w:rPr>
                <w:color w:val="000000"/>
                <w:highlight w:val="yellow"/>
                <w:lang w:val="es-ES"/>
              </w:rPr>
              <w:t>Por conseguir de otros donantes</w:t>
            </w:r>
          </w:p>
        </w:tc>
        <w:tc>
          <w:tcPr>
            <w:tcW w:w="1417" w:type="dxa"/>
            <w:shd w:val="clear" w:color="auto" w:fill="auto"/>
            <w:vAlign w:val="center"/>
            <w:hideMark/>
          </w:tcPr>
          <w:p w14:paraId="69E6D1E0"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89.122,00   </w:t>
            </w:r>
          </w:p>
        </w:tc>
        <w:tc>
          <w:tcPr>
            <w:tcW w:w="1417" w:type="dxa"/>
            <w:shd w:val="clear" w:color="auto" w:fill="auto"/>
            <w:vAlign w:val="center"/>
            <w:hideMark/>
          </w:tcPr>
          <w:p w14:paraId="570E6DA4"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107.622,00   </w:t>
            </w:r>
          </w:p>
        </w:tc>
        <w:tc>
          <w:tcPr>
            <w:tcW w:w="1417" w:type="dxa"/>
            <w:shd w:val="clear" w:color="auto" w:fill="auto"/>
            <w:vAlign w:val="center"/>
            <w:hideMark/>
          </w:tcPr>
          <w:p w14:paraId="5F9122AA"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116.122,00   </w:t>
            </w:r>
          </w:p>
        </w:tc>
      </w:tr>
      <w:tr w:rsidR="00621326" w:rsidRPr="0097176A" w14:paraId="315992ED" w14:textId="77777777" w:rsidTr="007624EB">
        <w:trPr>
          <w:trHeight w:val="413"/>
        </w:trPr>
        <w:tc>
          <w:tcPr>
            <w:tcW w:w="4762" w:type="dxa"/>
            <w:shd w:val="clear" w:color="000000" w:fill="B6DDE8" w:themeFill="accent5" w:themeFillTint="66"/>
            <w:vAlign w:val="center"/>
            <w:hideMark/>
          </w:tcPr>
          <w:p w14:paraId="36F686AB" w14:textId="77777777" w:rsidR="00621326" w:rsidRPr="0097176A" w:rsidRDefault="00621326" w:rsidP="007624EB">
            <w:pPr>
              <w:rPr>
                <w:b/>
                <w:color w:val="000000" w:themeColor="text1"/>
                <w:highlight w:val="yellow"/>
                <w:lang w:val="es-ES"/>
              </w:rPr>
            </w:pPr>
            <w:r w:rsidRPr="0097176A">
              <w:rPr>
                <w:b/>
                <w:color w:val="000000" w:themeColor="text1"/>
                <w:highlight w:val="yellow"/>
                <w:lang w:val="es-ES"/>
              </w:rPr>
              <w:t>TOTAL DE INGRESOS</w:t>
            </w:r>
          </w:p>
        </w:tc>
        <w:tc>
          <w:tcPr>
            <w:tcW w:w="1417" w:type="dxa"/>
            <w:shd w:val="clear" w:color="000000" w:fill="B6DDE8" w:themeFill="accent5" w:themeFillTint="66"/>
            <w:vAlign w:val="center"/>
            <w:hideMark/>
          </w:tcPr>
          <w:p w14:paraId="2A991022" w14:textId="77777777" w:rsidR="00621326" w:rsidRPr="0097176A" w:rsidRDefault="00621326" w:rsidP="007624EB">
            <w:pPr>
              <w:jc w:val="right"/>
              <w:rPr>
                <w:b/>
                <w:color w:val="000000" w:themeColor="text1"/>
                <w:highlight w:val="yellow"/>
                <w:lang w:val="es-ES"/>
              </w:rPr>
            </w:pPr>
            <w:r w:rsidRPr="0097176A">
              <w:rPr>
                <w:b/>
                <w:color w:val="000000" w:themeColor="text1"/>
                <w:highlight w:val="yellow"/>
                <w:lang w:val="es-ES"/>
              </w:rPr>
              <w:t>208.000</w:t>
            </w:r>
          </w:p>
        </w:tc>
        <w:tc>
          <w:tcPr>
            <w:tcW w:w="1417" w:type="dxa"/>
            <w:shd w:val="clear" w:color="000000" w:fill="B6DDE8" w:themeFill="accent5" w:themeFillTint="66"/>
            <w:vAlign w:val="center"/>
            <w:hideMark/>
          </w:tcPr>
          <w:p w14:paraId="4D0CC32A" w14:textId="77777777" w:rsidR="00621326" w:rsidRPr="0097176A" w:rsidRDefault="00621326" w:rsidP="007624EB">
            <w:pPr>
              <w:jc w:val="right"/>
              <w:rPr>
                <w:b/>
                <w:color w:val="000000" w:themeColor="text1"/>
                <w:highlight w:val="yellow"/>
                <w:lang w:val="es-ES"/>
              </w:rPr>
            </w:pPr>
            <w:r w:rsidRPr="0097176A">
              <w:rPr>
                <w:b/>
                <w:color w:val="000000" w:themeColor="text1"/>
                <w:highlight w:val="yellow"/>
                <w:lang w:val="es-ES"/>
              </w:rPr>
              <w:t>211.500</w:t>
            </w:r>
          </w:p>
        </w:tc>
        <w:tc>
          <w:tcPr>
            <w:tcW w:w="1417" w:type="dxa"/>
            <w:shd w:val="clear" w:color="000000" w:fill="B6DDE8" w:themeFill="accent5" w:themeFillTint="66"/>
            <w:vAlign w:val="center"/>
            <w:hideMark/>
          </w:tcPr>
          <w:p w14:paraId="7DA801CA" w14:textId="77777777" w:rsidR="00621326" w:rsidRPr="0097176A" w:rsidRDefault="00621326" w:rsidP="007624EB">
            <w:pPr>
              <w:jc w:val="right"/>
              <w:rPr>
                <w:b/>
                <w:color w:val="000000" w:themeColor="text1"/>
                <w:highlight w:val="yellow"/>
                <w:lang w:val="es-ES"/>
              </w:rPr>
            </w:pPr>
            <w:r w:rsidRPr="0097176A">
              <w:rPr>
                <w:b/>
                <w:color w:val="000000" w:themeColor="text1"/>
                <w:highlight w:val="yellow"/>
                <w:lang w:val="es-ES"/>
              </w:rPr>
              <w:t>220.000</w:t>
            </w:r>
          </w:p>
        </w:tc>
      </w:tr>
    </w:tbl>
    <w:p w14:paraId="54666158" w14:textId="77777777" w:rsidR="00621326" w:rsidRPr="0097176A" w:rsidRDefault="00621326" w:rsidP="00621326">
      <w:pPr>
        <w:rPr>
          <w:b/>
          <w:highlight w:val="yellow"/>
          <w:lang w:val="es-ES"/>
        </w:rPr>
      </w:pPr>
    </w:p>
    <w:p w14:paraId="76B13F3D" w14:textId="77777777" w:rsidR="00621326" w:rsidRPr="0097176A" w:rsidRDefault="00621326" w:rsidP="00621326">
      <w:pPr>
        <w:rPr>
          <w:rFonts w:cs="Calibri"/>
          <w:b/>
          <w:highlight w:val="yellow"/>
          <w:lang w:val="es-ES"/>
        </w:rPr>
      </w:pPr>
      <w:r w:rsidRPr="0097176A">
        <w:rPr>
          <w:highlight w:val="yellow"/>
          <w:lang w:val="es-ES"/>
        </w:rPr>
        <w:br w:type="page"/>
      </w:r>
    </w:p>
    <w:p w14:paraId="08D3F1F0" w14:textId="77777777" w:rsidR="00621326" w:rsidRPr="0097176A" w:rsidRDefault="00621326" w:rsidP="0097176A">
      <w:pPr>
        <w:ind w:left="0" w:firstLine="0"/>
        <w:rPr>
          <w:rFonts w:cs="Calibri"/>
          <w:i/>
          <w:highlight w:val="yellow"/>
          <w:lang w:val="es-ES"/>
        </w:rPr>
      </w:pPr>
      <w:r w:rsidRPr="0097176A">
        <w:rPr>
          <w:i/>
          <w:highlight w:val="yellow"/>
          <w:lang w:val="es-ES"/>
        </w:rPr>
        <w:lastRenderedPageBreak/>
        <w:t>Cuadro 2. Contribución de los Estados con arreglo a la Escala de cuotas de las Naciones Unidas para 2016-2018 (en euros)</w:t>
      </w:r>
    </w:p>
    <w:tbl>
      <w:tblPr>
        <w:tblW w:w="8977" w:type="dxa"/>
        <w:tblCellMar>
          <w:left w:w="70" w:type="dxa"/>
          <w:right w:w="70" w:type="dxa"/>
        </w:tblCellMar>
        <w:tblLook w:val="04A0" w:firstRow="1" w:lastRow="0" w:firstColumn="1" w:lastColumn="0" w:noHBand="0" w:noVBand="1"/>
      </w:tblPr>
      <w:tblGrid>
        <w:gridCol w:w="2500"/>
        <w:gridCol w:w="1748"/>
        <w:gridCol w:w="1843"/>
        <w:gridCol w:w="1469"/>
        <w:gridCol w:w="1417"/>
      </w:tblGrid>
      <w:tr w:rsidR="00621326" w:rsidRPr="0097176A" w14:paraId="34AC0B2F" w14:textId="77777777" w:rsidTr="0097176A">
        <w:trPr>
          <w:trHeight w:val="600"/>
        </w:trPr>
        <w:tc>
          <w:tcPr>
            <w:tcW w:w="25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5F53185" w14:textId="77777777" w:rsidR="00621326" w:rsidRPr="0097176A" w:rsidRDefault="00621326" w:rsidP="007624EB">
            <w:pPr>
              <w:rPr>
                <w:b/>
                <w:color w:val="000000"/>
                <w:highlight w:val="yellow"/>
                <w:lang w:val="es-ES"/>
              </w:rPr>
            </w:pPr>
            <w:r w:rsidRPr="0097176A">
              <w:rPr>
                <w:b/>
                <w:color w:val="000000"/>
                <w:highlight w:val="yellow"/>
                <w:lang w:val="es-ES"/>
              </w:rPr>
              <w:t>Estado</w:t>
            </w:r>
          </w:p>
        </w:tc>
        <w:tc>
          <w:tcPr>
            <w:tcW w:w="1748" w:type="dxa"/>
            <w:tcBorders>
              <w:top w:val="single" w:sz="4" w:space="0" w:color="auto"/>
              <w:left w:val="nil"/>
              <w:bottom w:val="single" w:sz="4" w:space="0" w:color="auto"/>
              <w:right w:val="single" w:sz="4" w:space="0" w:color="auto"/>
            </w:tcBorders>
            <w:shd w:val="clear" w:color="000000" w:fill="DDEBF7"/>
            <w:vAlign w:val="center"/>
            <w:hideMark/>
          </w:tcPr>
          <w:p w14:paraId="6A799108" w14:textId="775154D0" w:rsidR="00621326" w:rsidRPr="0097176A" w:rsidRDefault="00621326" w:rsidP="0097176A">
            <w:pPr>
              <w:ind w:left="0" w:firstLine="0"/>
              <w:rPr>
                <w:b/>
                <w:color w:val="000000"/>
                <w:highlight w:val="yellow"/>
                <w:lang w:val="es-ES"/>
              </w:rPr>
            </w:pPr>
            <w:r w:rsidRPr="0097176A">
              <w:rPr>
                <w:b/>
                <w:color w:val="000000"/>
                <w:highlight w:val="yellow"/>
                <w:lang w:val="es-ES"/>
              </w:rPr>
              <w:t xml:space="preserve">Naciones </w:t>
            </w:r>
            <w:r w:rsidR="0097176A" w:rsidRPr="0097176A">
              <w:rPr>
                <w:b/>
                <w:color w:val="000000"/>
                <w:highlight w:val="yellow"/>
                <w:lang w:val="es-ES"/>
              </w:rPr>
              <w:t>U</w:t>
            </w:r>
            <w:r w:rsidRPr="0097176A">
              <w:rPr>
                <w:b/>
                <w:color w:val="000000"/>
                <w:highlight w:val="yellow"/>
                <w:lang w:val="es-ES"/>
              </w:rPr>
              <w:t>nidas 2018, todos los Estados</w:t>
            </w:r>
          </w:p>
        </w:tc>
        <w:tc>
          <w:tcPr>
            <w:tcW w:w="1843" w:type="dxa"/>
            <w:tcBorders>
              <w:top w:val="single" w:sz="4" w:space="0" w:color="auto"/>
              <w:left w:val="nil"/>
              <w:bottom w:val="single" w:sz="4" w:space="0" w:color="auto"/>
              <w:right w:val="single" w:sz="4" w:space="0" w:color="auto"/>
            </w:tcBorders>
            <w:shd w:val="clear" w:color="000000" w:fill="DDEBF7"/>
            <w:vAlign w:val="center"/>
            <w:hideMark/>
          </w:tcPr>
          <w:p w14:paraId="1220714C" w14:textId="2912A9D9" w:rsidR="00621326" w:rsidRPr="0097176A" w:rsidRDefault="00621326" w:rsidP="000B099A">
            <w:pPr>
              <w:ind w:left="0" w:firstLine="0"/>
              <w:rPr>
                <w:b/>
                <w:color w:val="000000"/>
                <w:highlight w:val="yellow"/>
                <w:lang w:val="es-ES"/>
              </w:rPr>
            </w:pPr>
            <w:r w:rsidRPr="0097176A">
              <w:rPr>
                <w:b/>
                <w:color w:val="000000"/>
                <w:highlight w:val="yellow"/>
                <w:lang w:val="es-ES"/>
              </w:rPr>
              <w:t>Naciones Unidas, 2018</w:t>
            </w:r>
            <w:r w:rsidR="000B099A">
              <w:rPr>
                <w:b/>
                <w:color w:val="000000"/>
                <w:highlight w:val="yellow"/>
                <w:lang w:val="es-ES"/>
              </w:rPr>
              <w:t xml:space="preserve">, </w:t>
            </w:r>
            <w:r w:rsidRPr="0097176A">
              <w:rPr>
                <w:b/>
                <w:color w:val="000000"/>
                <w:highlight w:val="yellow"/>
                <w:lang w:val="es-ES"/>
              </w:rPr>
              <w:t>Estados del Med</w:t>
            </w:r>
            <w:r w:rsidR="00A83F03">
              <w:rPr>
                <w:b/>
                <w:color w:val="000000"/>
                <w:highlight w:val="yellow"/>
                <w:lang w:val="es-ES"/>
              </w:rPr>
              <w:t>iterráneo</w:t>
            </w:r>
          </w:p>
        </w:tc>
        <w:tc>
          <w:tcPr>
            <w:tcW w:w="1469" w:type="dxa"/>
            <w:tcBorders>
              <w:top w:val="single" w:sz="4" w:space="0" w:color="auto"/>
              <w:left w:val="nil"/>
              <w:bottom w:val="single" w:sz="4" w:space="0" w:color="auto"/>
              <w:right w:val="single" w:sz="4" w:space="0" w:color="auto"/>
            </w:tcBorders>
            <w:shd w:val="clear" w:color="000000" w:fill="DDEBF7"/>
            <w:noWrap/>
            <w:vAlign w:val="bottom"/>
            <w:hideMark/>
          </w:tcPr>
          <w:p w14:paraId="01A72A3C" w14:textId="38EB9EAE" w:rsidR="00621326" w:rsidRPr="0097176A" w:rsidRDefault="00621326" w:rsidP="007624EB">
            <w:pPr>
              <w:rPr>
                <w:b/>
                <w:color w:val="000000"/>
                <w:highlight w:val="yellow"/>
                <w:lang w:val="es-ES"/>
              </w:rPr>
            </w:pPr>
            <w:r w:rsidRPr="0097176A">
              <w:rPr>
                <w:b/>
                <w:color w:val="000000"/>
                <w:highlight w:val="yellow"/>
                <w:lang w:val="es-ES"/>
              </w:rPr>
              <w:t xml:space="preserve"> Euro</w:t>
            </w:r>
            <w:r w:rsidR="000B099A">
              <w:rPr>
                <w:b/>
                <w:color w:val="000000"/>
                <w:highlight w:val="yellow"/>
                <w:lang w:val="es-ES"/>
              </w:rPr>
              <w:t>s</w:t>
            </w:r>
          </w:p>
        </w:tc>
        <w:tc>
          <w:tcPr>
            <w:tcW w:w="1417" w:type="dxa"/>
            <w:tcBorders>
              <w:top w:val="single" w:sz="4" w:space="0" w:color="auto"/>
              <w:left w:val="nil"/>
              <w:bottom w:val="single" w:sz="4" w:space="0" w:color="auto"/>
              <w:right w:val="single" w:sz="4" w:space="0" w:color="auto"/>
            </w:tcBorders>
            <w:shd w:val="clear" w:color="000000" w:fill="DDEBF7"/>
            <w:noWrap/>
            <w:vAlign w:val="bottom"/>
            <w:hideMark/>
          </w:tcPr>
          <w:p w14:paraId="050BE710" w14:textId="77777777" w:rsidR="00621326" w:rsidRPr="0097176A" w:rsidRDefault="00621326" w:rsidP="007624EB">
            <w:pPr>
              <w:rPr>
                <w:b/>
                <w:color w:val="000000"/>
                <w:highlight w:val="yellow"/>
                <w:lang w:val="es-ES"/>
              </w:rPr>
            </w:pPr>
            <w:r w:rsidRPr="0097176A">
              <w:rPr>
                <w:b/>
                <w:color w:val="000000"/>
                <w:highlight w:val="yellow"/>
                <w:lang w:val="es-ES"/>
              </w:rPr>
              <w:t>Porcentaje</w:t>
            </w:r>
          </w:p>
        </w:tc>
      </w:tr>
      <w:tr w:rsidR="00621326" w:rsidRPr="0097176A" w14:paraId="47355B5C"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735DC27" w14:textId="77777777" w:rsidR="00621326" w:rsidRPr="0097176A" w:rsidRDefault="00621326" w:rsidP="007624EB">
            <w:pPr>
              <w:rPr>
                <w:color w:val="000000"/>
                <w:highlight w:val="yellow"/>
                <w:lang w:val="es-ES"/>
              </w:rPr>
            </w:pPr>
            <w:r w:rsidRPr="0097176A">
              <w:rPr>
                <w:color w:val="000000"/>
                <w:highlight w:val="yellow"/>
                <w:lang w:val="es-ES"/>
              </w:rPr>
              <w:t>Albania</w:t>
            </w:r>
          </w:p>
        </w:tc>
        <w:tc>
          <w:tcPr>
            <w:tcW w:w="1748" w:type="dxa"/>
            <w:tcBorders>
              <w:top w:val="nil"/>
              <w:left w:val="nil"/>
              <w:bottom w:val="single" w:sz="4" w:space="0" w:color="auto"/>
              <w:right w:val="single" w:sz="4" w:space="0" w:color="auto"/>
            </w:tcBorders>
            <w:shd w:val="clear" w:color="auto" w:fill="auto"/>
            <w:noWrap/>
            <w:vAlign w:val="bottom"/>
            <w:hideMark/>
          </w:tcPr>
          <w:p w14:paraId="784BA90E" w14:textId="77777777" w:rsidR="00621326" w:rsidRPr="0097176A" w:rsidRDefault="00621326" w:rsidP="007624EB">
            <w:pPr>
              <w:jc w:val="right"/>
              <w:rPr>
                <w:color w:val="000000"/>
                <w:highlight w:val="yellow"/>
                <w:lang w:val="es-ES"/>
              </w:rPr>
            </w:pPr>
            <w:r w:rsidRPr="0097176A">
              <w:rPr>
                <w:color w:val="000000"/>
                <w:highlight w:val="yellow"/>
                <w:lang w:val="es-ES"/>
              </w:rPr>
              <w:t>0,008</w:t>
            </w:r>
          </w:p>
        </w:tc>
        <w:tc>
          <w:tcPr>
            <w:tcW w:w="1843" w:type="dxa"/>
            <w:tcBorders>
              <w:top w:val="nil"/>
              <w:left w:val="nil"/>
              <w:bottom w:val="single" w:sz="4" w:space="0" w:color="auto"/>
              <w:right w:val="single" w:sz="4" w:space="0" w:color="auto"/>
            </w:tcBorders>
            <w:shd w:val="clear" w:color="auto" w:fill="auto"/>
            <w:noWrap/>
            <w:vAlign w:val="bottom"/>
            <w:hideMark/>
          </w:tcPr>
          <w:p w14:paraId="09A1815D" w14:textId="77777777" w:rsidR="00621326" w:rsidRPr="0097176A" w:rsidRDefault="00621326" w:rsidP="007624EB">
            <w:pPr>
              <w:jc w:val="right"/>
              <w:rPr>
                <w:color w:val="000000"/>
                <w:highlight w:val="yellow"/>
                <w:lang w:val="es-ES"/>
              </w:rPr>
            </w:pPr>
            <w:r w:rsidRPr="0097176A">
              <w:rPr>
                <w:color w:val="000000"/>
                <w:highlight w:val="yellow"/>
                <w:lang w:val="es-ES"/>
              </w:rPr>
              <w:t>0,056</w:t>
            </w:r>
          </w:p>
        </w:tc>
        <w:tc>
          <w:tcPr>
            <w:tcW w:w="1469" w:type="dxa"/>
            <w:tcBorders>
              <w:top w:val="nil"/>
              <w:left w:val="nil"/>
              <w:bottom w:val="single" w:sz="4" w:space="0" w:color="auto"/>
              <w:right w:val="single" w:sz="4" w:space="0" w:color="auto"/>
            </w:tcBorders>
            <w:shd w:val="clear" w:color="auto" w:fill="auto"/>
            <w:noWrap/>
            <w:vAlign w:val="bottom"/>
            <w:hideMark/>
          </w:tcPr>
          <w:p w14:paraId="13EC8941"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514   </w:t>
            </w:r>
          </w:p>
        </w:tc>
        <w:tc>
          <w:tcPr>
            <w:tcW w:w="1417" w:type="dxa"/>
            <w:tcBorders>
              <w:top w:val="nil"/>
              <w:left w:val="nil"/>
              <w:bottom w:val="single" w:sz="4" w:space="0" w:color="auto"/>
              <w:right w:val="single" w:sz="4" w:space="0" w:color="auto"/>
            </w:tcBorders>
            <w:shd w:val="clear" w:color="auto" w:fill="auto"/>
            <w:noWrap/>
            <w:vAlign w:val="bottom"/>
            <w:hideMark/>
          </w:tcPr>
          <w:p w14:paraId="745A4C7D"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6A3CF135"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4FEAD50" w14:textId="77777777" w:rsidR="00621326" w:rsidRPr="0097176A" w:rsidRDefault="00621326" w:rsidP="007624EB">
            <w:pPr>
              <w:rPr>
                <w:color w:val="000000"/>
                <w:highlight w:val="yellow"/>
                <w:lang w:val="es-ES"/>
              </w:rPr>
            </w:pPr>
            <w:r w:rsidRPr="0097176A">
              <w:rPr>
                <w:color w:val="000000"/>
                <w:highlight w:val="yellow"/>
                <w:lang w:val="es-ES"/>
              </w:rPr>
              <w:t>Andorra</w:t>
            </w:r>
          </w:p>
        </w:tc>
        <w:tc>
          <w:tcPr>
            <w:tcW w:w="1748" w:type="dxa"/>
            <w:tcBorders>
              <w:top w:val="nil"/>
              <w:left w:val="nil"/>
              <w:bottom w:val="single" w:sz="4" w:space="0" w:color="auto"/>
              <w:right w:val="single" w:sz="4" w:space="0" w:color="auto"/>
            </w:tcBorders>
            <w:shd w:val="clear" w:color="auto" w:fill="auto"/>
            <w:noWrap/>
            <w:vAlign w:val="bottom"/>
            <w:hideMark/>
          </w:tcPr>
          <w:p w14:paraId="194BCE8D" w14:textId="77777777" w:rsidR="00621326" w:rsidRPr="0097176A" w:rsidRDefault="00621326" w:rsidP="007624EB">
            <w:pPr>
              <w:jc w:val="right"/>
              <w:rPr>
                <w:color w:val="000000"/>
                <w:highlight w:val="yellow"/>
                <w:lang w:val="es-ES"/>
              </w:rPr>
            </w:pPr>
            <w:r w:rsidRPr="0097176A">
              <w:rPr>
                <w:color w:val="000000"/>
                <w:highlight w:val="yellow"/>
                <w:lang w:val="es-ES"/>
              </w:rPr>
              <w:t>0,006</w:t>
            </w:r>
          </w:p>
        </w:tc>
        <w:tc>
          <w:tcPr>
            <w:tcW w:w="1843" w:type="dxa"/>
            <w:tcBorders>
              <w:top w:val="nil"/>
              <w:left w:val="nil"/>
              <w:bottom w:val="single" w:sz="4" w:space="0" w:color="auto"/>
              <w:right w:val="single" w:sz="4" w:space="0" w:color="auto"/>
            </w:tcBorders>
            <w:shd w:val="clear" w:color="auto" w:fill="auto"/>
            <w:noWrap/>
            <w:vAlign w:val="bottom"/>
            <w:hideMark/>
          </w:tcPr>
          <w:p w14:paraId="0C3FADB3" w14:textId="77777777" w:rsidR="00621326" w:rsidRPr="0097176A" w:rsidRDefault="00621326" w:rsidP="007624EB">
            <w:pPr>
              <w:jc w:val="right"/>
              <w:rPr>
                <w:color w:val="000000"/>
                <w:highlight w:val="yellow"/>
                <w:lang w:val="es-ES"/>
              </w:rPr>
            </w:pPr>
            <w:r w:rsidRPr="0097176A">
              <w:rPr>
                <w:color w:val="000000"/>
                <w:highlight w:val="yellow"/>
                <w:lang w:val="es-ES"/>
              </w:rPr>
              <w:t>0,042</w:t>
            </w:r>
          </w:p>
        </w:tc>
        <w:tc>
          <w:tcPr>
            <w:tcW w:w="1469" w:type="dxa"/>
            <w:tcBorders>
              <w:top w:val="nil"/>
              <w:left w:val="nil"/>
              <w:bottom w:val="single" w:sz="4" w:space="0" w:color="auto"/>
              <w:right w:val="single" w:sz="4" w:space="0" w:color="auto"/>
            </w:tcBorders>
            <w:shd w:val="clear" w:color="auto" w:fill="auto"/>
            <w:noWrap/>
            <w:vAlign w:val="bottom"/>
            <w:hideMark/>
          </w:tcPr>
          <w:p w14:paraId="01F76188"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514   </w:t>
            </w:r>
          </w:p>
        </w:tc>
        <w:tc>
          <w:tcPr>
            <w:tcW w:w="1417" w:type="dxa"/>
            <w:tcBorders>
              <w:top w:val="nil"/>
              <w:left w:val="nil"/>
              <w:bottom w:val="single" w:sz="4" w:space="0" w:color="auto"/>
              <w:right w:val="single" w:sz="4" w:space="0" w:color="auto"/>
            </w:tcBorders>
            <w:shd w:val="clear" w:color="auto" w:fill="auto"/>
            <w:noWrap/>
            <w:vAlign w:val="bottom"/>
            <w:hideMark/>
          </w:tcPr>
          <w:p w14:paraId="0A65460C"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4EF10C3F"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EFE6D97" w14:textId="77777777" w:rsidR="00621326" w:rsidRPr="0097176A" w:rsidRDefault="00621326" w:rsidP="007624EB">
            <w:pPr>
              <w:rPr>
                <w:color w:val="000000"/>
                <w:highlight w:val="yellow"/>
                <w:lang w:val="es-ES"/>
              </w:rPr>
            </w:pPr>
            <w:r w:rsidRPr="0097176A">
              <w:rPr>
                <w:color w:val="000000"/>
                <w:highlight w:val="yellow"/>
                <w:lang w:val="es-ES"/>
              </w:rPr>
              <w:t>Argelia</w:t>
            </w:r>
          </w:p>
        </w:tc>
        <w:tc>
          <w:tcPr>
            <w:tcW w:w="1748" w:type="dxa"/>
            <w:tcBorders>
              <w:top w:val="nil"/>
              <w:left w:val="nil"/>
              <w:bottom w:val="single" w:sz="4" w:space="0" w:color="auto"/>
              <w:right w:val="single" w:sz="4" w:space="0" w:color="auto"/>
            </w:tcBorders>
            <w:shd w:val="clear" w:color="auto" w:fill="auto"/>
            <w:noWrap/>
            <w:vAlign w:val="bottom"/>
            <w:hideMark/>
          </w:tcPr>
          <w:p w14:paraId="41BF0143" w14:textId="77777777" w:rsidR="00621326" w:rsidRPr="0097176A" w:rsidRDefault="00621326" w:rsidP="007624EB">
            <w:pPr>
              <w:jc w:val="right"/>
              <w:rPr>
                <w:color w:val="000000"/>
                <w:highlight w:val="yellow"/>
                <w:lang w:val="es-ES"/>
              </w:rPr>
            </w:pPr>
            <w:r w:rsidRPr="0097176A">
              <w:rPr>
                <w:color w:val="000000"/>
                <w:highlight w:val="yellow"/>
                <w:lang w:val="es-ES"/>
              </w:rPr>
              <w:t>0,161</w:t>
            </w:r>
          </w:p>
        </w:tc>
        <w:tc>
          <w:tcPr>
            <w:tcW w:w="1843" w:type="dxa"/>
            <w:tcBorders>
              <w:top w:val="nil"/>
              <w:left w:val="nil"/>
              <w:bottom w:val="single" w:sz="4" w:space="0" w:color="auto"/>
              <w:right w:val="single" w:sz="4" w:space="0" w:color="auto"/>
            </w:tcBorders>
            <w:shd w:val="clear" w:color="auto" w:fill="auto"/>
            <w:noWrap/>
            <w:vAlign w:val="bottom"/>
            <w:hideMark/>
          </w:tcPr>
          <w:p w14:paraId="57A04526" w14:textId="77777777" w:rsidR="00621326" w:rsidRPr="0097176A" w:rsidRDefault="00621326" w:rsidP="007624EB">
            <w:pPr>
              <w:jc w:val="right"/>
              <w:rPr>
                <w:color w:val="000000"/>
                <w:highlight w:val="yellow"/>
                <w:lang w:val="es-ES"/>
              </w:rPr>
            </w:pPr>
            <w:r w:rsidRPr="0097176A">
              <w:rPr>
                <w:color w:val="000000"/>
                <w:highlight w:val="yellow"/>
                <w:lang w:val="es-ES"/>
              </w:rPr>
              <w:t>1,123</w:t>
            </w:r>
          </w:p>
        </w:tc>
        <w:tc>
          <w:tcPr>
            <w:tcW w:w="1469" w:type="dxa"/>
            <w:tcBorders>
              <w:top w:val="nil"/>
              <w:left w:val="nil"/>
              <w:bottom w:val="single" w:sz="4" w:space="0" w:color="auto"/>
              <w:right w:val="single" w:sz="4" w:space="0" w:color="auto"/>
            </w:tcBorders>
            <w:shd w:val="clear" w:color="auto" w:fill="auto"/>
            <w:noWrap/>
            <w:vAlign w:val="bottom"/>
            <w:hideMark/>
          </w:tcPr>
          <w:p w14:paraId="3A89AC87"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1.466   </w:t>
            </w:r>
          </w:p>
        </w:tc>
        <w:tc>
          <w:tcPr>
            <w:tcW w:w="1417" w:type="dxa"/>
            <w:tcBorders>
              <w:top w:val="nil"/>
              <w:left w:val="nil"/>
              <w:bottom w:val="single" w:sz="4" w:space="0" w:color="auto"/>
              <w:right w:val="single" w:sz="4" w:space="0" w:color="auto"/>
            </w:tcBorders>
            <w:shd w:val="clear" w:color="auto" w:fill="auto"/>
            <w:noWrap/>
            <w:vAlign w:val="bottom"/>
            <w:hideMark/>
          </w:tcPr>
          <w:p w14:paraId="4EAC9C32" w14:textId="77777777" w:rsidR="00621326" w:rsidRPr="0097176A" w:rsidRDefault="00621326" w:rsidP="007624EB">
            <w:pPr>
              <w:jc w:val="right"/>
              <w:rPr>
                <w:color w:val="000000"/>
                <w:highlight w:val="yellow"/>
                <w:lang w:val="es-ES"/>
              </w:rPr>
            </w:pPr>
            <w:r w:rsidRPr="0097176A">
              <w:rPr>
                <w:color w:val="000000"/>
                <w:highlight w:val="yellow"/>
                <w:lang w:val="es-ES"/>
              </w:rPr>
              <w:t>1,1 %</w:t>
            </w:r>
          </w:p>
        </w:tc>
      </w:tr>
      <w:tr w:rsidR="00621326" w:rsidRPr="0097176A" w14:paraId="780FAD47"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06F9DD0" w14:textId="77777777" w:rsidR="00621326" w:rsidRPr="0097176A" w:rsidRDefault="00621326" w:rsidP="007624EB">
            <w:pPr>
              <w:rPr>
                <w:color w:val="000000"/>
                <w:highlight w:val="yellow"/>
                <w:lang w:val="es-ES"/>
              </w:rPr>
            </w:pPr>
            <w:r w:rsidRPr="0097176A">
              <w:rPr>
                <w:color w:val="000000"/>
                <w:highlight w:val="yellow"/>
                <w:lang w:val="es-ES"/>
              </w:rPr>
              <w:t>Bosnia y Herzegovina</w:t>
            </w:r>
          </w:p>
        </w:tc>
        <w:tc>
          <w:tcPr>
            <w:tcW w:w="1748" w:type="dxa"/>
            <w:tcBorders>
              <w:top w:val="nil"/>
              <w:left w:val="nil"/>
              <w:bottom w:val="single" w:sz="4" w:space="0" w:color="auto"/>
              <w:right w:val="single" w:sz="4" w:space="0" w:color="auto"/>
            </w:tcBorders>
            <w:shd w:val="clear" w:color="auto" w:fill="auto"/>
            <w:noWrap/>
            <w:vAlign w:val="bottom"/>
            <w:hideMark/>
          </w:tcPr>
          <w:p w14:paraId="2505EEA2" w14:textId="77777777" w:rsidR="00621326" w:rsidRPr="0097176A" w:rsidRDefault="00621326" w:rsidP="007624EB">
            <w:pPr>
              <w:jc w:val="right"/>
              <w:rPr>
                <w:color w:val="000000"/>
                <w:highlight w:val="yellow"/>
                <w:lang w:val="es-ES"/>
              </w:rPr>
            </w:pPr>
            <w:r w:rsidRPr="0097176A">
              <w:rPr>
                <w:color w:val="000000"/>
                <w:highlight w:val="yellow"/>
                <w:lang w:val="es-ES"/>
              </w:rPr>
              <w:t>0,013</w:t>
            </w:r>
          </w:p>
        </w:tc>
        <w:tc>
          <w:tcPr>
            <w:tcW w:w="1843" w:type="dxa"/>
            <w:tcBorders>
              <w:top w:val="nil"/>
              <w:left w:val="nil"/>
              <w:bottom w:val="single" w:sz="4" w:space="0" w:color="auto"/>
              <w:right w:val="single" w:sz="4" w:space="0" w:color="auto"/>
            </w:tcBorders>
            <w:shd w:val="clear" w:color="auto" w:fill="auto"/>
            <w:noWrap/>
            <w:vAlign w:val="bottom"/>
            <w:hideMark/>
          </w:tcPr>
          <w:p w14:paraId="6FA08DEC" w14:textId="77777777" w:rsidR="00621326" w:rsidRPr="0097176A" w:rsidRDefault="00621326" w:rsidP="007624EB">
            <w:pPr>
              <w:jc w:val="right"/>
              <w:rPr>
                <w:color w:val="000000"/>
                <w:highlight w:val="yellow"/>
                <w:lang w:val="es-ES"/>
              </w:rPr>
            </w:pPr>
            <w:r w:rsidRPr="0097176A">
              <w:rPr>
                <w:color w:val="000000"/>
                <w:highlight w:val="yellow"/>
                <w:lang w:val="es-ES"/>
              </w:rPr>
              <w:t>0,091</w:t>
            </w:r>
          </w:p>
        </w:tc>
        <w:tc>
          <w:tcPr>
            <w:tcW w:w="1469" w:type="dxa"/>
            <w:tcBorders>
              <w:top w:val="nil"/>
              <w:left w:val="nil"/>
              <w:bottom w:val="single" w:sz="4" w:space="0" w:color="auto"/>
              <w:right w:val="single" w:sz="4" w:space="0" w:color="auto"/>
            </w:tcBorders>
            <w:shd w:val="clear" w:color="auto" w:fill="auto"/>
            <w:noWrap/>
            <w:vAlign w:val="bottom"/>
            <w:hideMark/>
          </w:tcPr>
          <w:p w14:paraId="7D71851A"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514   </w:t>
            </w:r>
          </w:p>
        </w:tc>
        <w:tc>
          <w:tcPr>
            <w:tcW w:w="1417" w:type="dxa"/>
            <w:tcBorders>
              <w:top w:val="nil"/>
              <w:left w:val="nil"/>
              <w:bottom w:val="single" w:sz="4" w:space="0" w:color="auto"/>
              <w:right w:val="single" w:sz="4" w:space="0" w:color="auto"/>
            </w:tcBorders>
            <w:shd w:val="clear" w:color="auto" w:fill="auto"/>
            <w:noWrap/>
            <w:vAlign w:val="bottom"/>
            <w:hideMark/>
          </w:tcPr>
          <w:p w14:paraId="070C25B8"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530BFA8E"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C7767CB" w14:textId="77777777" w:rsidR="00621326" w:rsidRPr="0097176A" w:rsidRDefault="00621326" w:rsidP="007624EB">
            <w:pPr>
              <w:rPr>
                <w:color w:val="000000"/>
                <w:highlight w:val="yellow"/>
                <w:lang w:val="es-ES"/>
              </w:rPr>
            </w:pPr>
            <w:r w:rsidRPr="0097176A">
              <w:rPr>
                <w:color w:val="000000"/>
                <w:highlight w:val="yellow"/>
                <w:lang w:val="es-ES"/>
              </w:rPr>
              <w:t>Bulgaria</w:t>
            </w:r>
          </w:p>
        </w:tc>
        <w:tc>
          <w:tcPr>
            <w:tcW w:w="1748" w:type="dxa"/>
            <w:tcBorders>
              <w:top w:val="nil"/>
              <w:left w:val="nil"/>
              <w:bottom w:val="single" w:sz="4" w:space="0" w:color="auto"/>
              <w:right w:val="single" w:sz="4" w:space="0" w:color="auto"/>
            </w:tcBorders>
            <w:shd w:val="clear" w:color="auto" w:fill="auto"/>
            <w:noWrap/>
            <w:vAlign w:val="bottom"/>
            <w:hideMark/>
          </w:tcPr>
          <w:p w14:paraId="5BD598E8" w14:textId="77777777" w:rsidR="00621326" w:rsidRPr="0097176A" w:rsidRDefault="00621326" w:rsidP="007624EB">
            <w:pPr>
              <w:jc w:val="right"/>
              <w:rPr>
                <w:color w:val="000000"/>
                <w:highlight w:val="yellow"/>
                <w:lang w:val="es-ES"/>
              </w:rPr>
            </w:pPr>
            <w:r w:rsidRPr="0097176A">
              <w:rPr>
                <w:color w:val="000000"/>
                <w:highlight w:val="yellow"/>
                <w:lang w:val="es-ES"/>
              </w:rPr>
              <w:t>0,045</w:t>
            </w:r>
          </w:p>
        </w:tc>
        <w:tc>
          <w:tcPr>
            <w:tcW w:w="1843" w:type="dxa"/>
            <w:tcBorders>
              <w:top w:val="nil"/>
              <w:left w:val="nil"/>
              <w:bottom w:val="single" w:sz="4" w:space="0" w:color="auto"/>
              <w:right w:val="single" w:sz="4" w:space="0" w:color="auto"/>
            </w:tcBorders>
            <w:shd w:val="clear" w:color="auto" w:fill="auto"/>
            <w:noWrap/>
            <w:vAlign w:val="bottom"/>
            <w:hideMark/>
          </w:tcPr>
          <w:p w14:paraId="2C57E508" w14:textId="77777777" w:rsidR="00621326" w:rsidRPr="0097176A" w:rsidRDefault="00621326" w:rsidP="007624EB">
            <w:pPr>
              <w:jc w:val="right"/>
              <w:rPr>
                <w:color w:val="000000"/>
                <w:highlight w:val="yellow"/>
                <w:lang w:val="es-ES"/>
              </w:rPr>
            </w:pPr>
            <w:r w:rsidRPr="0097176A">
              <w:rPr>
                <w:color w:val="000000"/>
                <w:highlight w:val="yellow"/>
                <w:lang w:val="es-ES"/>
              </w:rPr>
              <w:t>0,314</w:t>
            </w:r>
          </w:p>
        </w:tc>
        <w:tc>
          <w:tcPr>
            <w:tcW w:w="1469" w:type="dxa"/>
            <w:tcBorders>
              <w:top w:val="nil"/>
              <w:left w:val="nil"/>
              <w:bottom w:val="single" w:sz="4" w:space="0" w:color="auto"/>
              <w:right w:val="single" w:sz="4" w:space="0" w:color="auto"/>
            </w:tcBorders>
            <w:shd w:val="clear" w:color="auto" w:fill="auto"/>
            <w:noWrap/>
            <w:vAlign w:val="bottom"/>
            <w:hideMark/>
          </w:tcPr>
          <w:p w14:paraId="42FA3B33"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4BDDE75"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0D981C5E"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D980171" w14:textId="77777777" w:rsidR="00621326" w:rsidRPr="0097176A" w:rsidRDefault="00621326" w:rsidP="007624EB">
            <w:pPr>
              <w:rPr>
                <w:color w:val="000000"/>
                <w:highlight w:val="yellow"/>
                <w:lang w:val="es-ES"/>
              </w:rPr>
            </w:pPr>
            <w:r w:rsidRPr="0097176A">
              <w:rPr>
                <w:color w:val="000000"/>
                <w:highlight w:val="yellow"/>
                <w:lang w:val="es-ES"/>
              </w:rPr>
              <w:t>Chipre</w:t>
            </w:r>
          </w:p>
        </w:tc>
        <w:tc>
          <w:tcPr>
            <w:tcW w:w="1748" w:type="dxa"/>
            <w:tcBorders>
              <w:top w:val="nil"/>
              <w:left w:val="nil"/>
              <w:bottom w:val="single" w:sz="4" w:space="0" w:color="auto"/>
              <w:right w:val="single" w:sz="4" w:space="0" w:color="auto"/>
            </w:tcBorders>
            <w:shd w:val="clear" w:color="auto" w:fill="auto"/>
            <w:noWrap/>
            <w:vAlign w:val="bottom"/>
            <w:hideMark/>
          </w:tcPr>
          <w:p w14:paraId="1B7BF617" w14:textId="77777777" w:rsidR="00621326" w:rsidRPr="0097176A" w:rsidRDefault="00621326" w:rsidP="007624EB">
            <w:pPr>
              <w:jc w:val="right"/>
              <w:rPr>
                <w:color w:val="000000"/>
                <w:highlight w:val="yellow"/>
                <w:lang w:val="es-ES"/>
              </w:rPr>
            </w:pPr>
            <w:r w:rsidRPr="0097176A">
              <w:rPr>
                <w:color w:val="000000"/>
                <w:highlight w:val="yellow"/>
                <w:lang w:val="es-ES"/>
              </w:rPr>
              <w:t>0,043</w:t>
            </w:r>
          </w:p>
        </w:tc>
        <w:tc>
          <w:tcPr>
            <w:tcW w:w="1843" w:type="dxa"/>
            <w:tcBorders>
              <w:top w:val="nil"/>
              <w:left w:val="nil"/>
              <w:bottom w:val="single" w:sz="4" w:space="0" w:color="auto"/>
              <w:right w:val="single" w:sz="4" w:space="0" w:color="auto"/>
            </w:tcBorders>
            <w:shd w:val="clear" w:color="auto" w:fill="auto"/>
            <w:noWrap/>
            <w:vAlign w:val="bottom"/>
            <w:hideMark/>
          </w:tcPr>
          <w:p w14:paraId="7D9C8002" w14:textId="77777777" w:rsidR="00621326" w:rsidRPr="0097176A" w:rsidRDefault="00621326" w:rsidP="007624EB">
            <w:pPr>
              <w:jc w:val="right"/>
              <w:rPr>
                <w:color w:val="000000"/>
                <w:highlight w:val="yellow"/>
                <w:lang w:val="es-ES"/>
              </w:rPr>
            </w:pPr>
            <w:r w:rsidRPr="0097176A">
              <w:rPr>
                <w:color w:val="000000"/>
                <w:highlight w:val="yellow"/>
                <w:lang w:val="es-ES"/>
              </w:rPr>
              <w:t>0,300</w:t>
            </w:r>
          </w:p>
        </w:tc>
        <w:tc>
          <w:tcPr>
            <w:tcW w:w="1469" w:type="dxa"/>
            <w:tcBorders>
              <w:top w:val="nil"/>
              <w:left w:val="nil"/>
              <w:bottom w:val="single" w:sz="4" w:space="0" w:color="auto"/>
              <w:right w:val="single" w:sz="4" w:space="0" w:color="auto"/>
            </w:tcBorders>
            <w:shd w:val="clear" w:color="auto" w:fill="auto"/>
            <w:noWrap/>
            <w:vAlign w:val="bottom"/>
            <w:hideMark/>
          </w:tcPr>
          <w:p w14:paraId="77E7BAA5"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FF037C4"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0A12DC84"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F85048A" w14:textId="77777777" w:rsidR="00621326" w:rsidRPr="0097176A" w:rsidRDefault="00621326" w:rsidP="007624EB">
            <w:pPr>
              <w:rPr>
                <w:color w:val="000000"/>
                <w:highlight w:val="yellow"/>
                <w:lang w:val="es-ES"/>
              </w:rPr>
            </w:pPr>
            <w:r w:rsidRPr="0097176A">
              <w:rPr>
                <w:color w:val="000000"/>
                <w:highlight w:val="yellow"/>
                <w:lang w:val="es-ES"/>
              </w:rPr>
              <w:t>Croacia</w:t>
            </w:r>
          </w:p>
        </w:tc>
        <w:tc>
          <w:tcPr>
            <w:tcW w:w="1748" w:type="dxa"/>
            <w:tcBorders>
              <w:top w:val="nil"/>
              <w:left w:val="nil"/>
              <w:bottom w:val="single" w:sz="4" w:space="0" w:color="auto"/>
              <w:right w:val="single" w:sz="4" w:space="0" w:color="auto"/>
            </w:tcBorders>
            <w:shd w:val="clear" w:color="auto" w:fill="auto"/>
            <w:noWrap/>
            <w:vAlign w:val="bottom"/>
            <w:hideMark/>
          </w:tcPr>
          <w:p w14:paraId="4D0BD30F" w14:textId="77777777" w:rsidR="00621326" w:rsidRPr="0097176A" w:rsidRDefault="00621326" w:rsidP="007624EB">
            <w:pPr>
              <w:jc w:val="right"/>
              <w:rPr>
                <w:color w:val="000000"/>
                <w:highlight w:val="yellow"/>
                <w:lang w:val="es-ES"/>
              </w:rPr>
            </w:pPr>
            <w:r w:rsidRPr="0097176A">
              <w:rPr>
                <w:color w:val="000000"/>
                <w:highlight w:val="yellow"/>
                <w:lang w:val="es-ES"/>
              </w:rPr>
              <w:t>0,099</w:t>
            </w:r>
          </w:p>
        </w:tc>
        <w:tc>
          <w:tcPr>
            <w:tcW w:w="1843" w:type="dxa"/>
            <w:tcBorders>
              <w:top w:val="nil"/>
              <w:left w:val="nil"/>
              <w:bottom w:val="single" w:sz="4" w:space="0" w:color="auto"/>
              <w:right w:val="single" w:sz="4" w:space="0" w:color="auto"/>
            </w:tcBorders>
            <w:shd w:val="clear" w:color="auto" w:fill="auto"/>
            <w:noWrap/>
            <w:vAlign w:val="bottom"/>
            <w:hideMark/>
          </w:tcPr>
          <w:p w14:paraId="59ACD7BD" w14:textId="77777777" w:rsidR="00621326" w:rsidRPr="0097176A" w:rsidRDefault="00621326" w:rsidP="007624EB">
            <w:pPr>
              <w:jc w:val="right"/>
              <w:rPr>
                <w:color w:val="000000"/>
                <w:highlight w:val="yellow"/>
                <w:lang w:val="es-ES"/>
              </w:rPr>
            </w:pPr>
            <w:r w:rsidRPr="0097176A">
              <w:rPr>
                <w:color w:val="000000"/>
                <w:highlight w:val="yellow"/>
                <w:lang w:val="es-ES"/>
              </w:rPr>
              <w:t>0,690</w:t>
            </w:r>
          </w:p>
        </w:tc>
        <w:tc>
          <w:tcPr>
            <w:tcW w:w="1469" w:type="dxa"/>
            <w:tcBorders>
              <w:top w:val="nil"/>
              <w:left w:val="nil"/>
              <w:bottom w:val="single" w:sz="4" w:space="0" w:color="auto"/>
              <w:right w:val="single" w:sz="4" w:space="0" w:color="auto"/>
            </w:tcBorders>
            <w:shd w:val="clear" w:color="auto" w:fill="auto"/>
            <w:noWrap/>
            <w:vAlign w:val="bottom"/>
            <w:hideMark/>
          </w:tcPr>
          <w:p w14:paraId="56DD6013"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901   </w:t>
            </w:r>
          </w:p>
        </w:tc>
        <w:tc>
          <w:tcPr>
            <w:tcW w:w="1417" w:type="dxa"/>
            <w:tcBorders>
              <w:top w:val="nil"/>
              <w:left w:val="nil"/>
              <w:bottom w:val="single" w:sz="4" w:space="0" w:color="auto"/>
              <w:right w:val="single" w:sz="4" w:space="0" w:color="auto"/>
            </w:tcBorders>
            <w:shd w:val="clear" w:color="auto" w:fill="auto"/>
            <w:noWrap/>
            <w:vAlign w:val="bottom"/>
            <w:hideMark/>
          </w:tcPr>
          <w:p w14:paraId="05BBA0C2" w14:textId="77777777" w:rsidR="00621326" w:rsidRPr="0097176A" w:rsidRDefault="00621326" w:rsidP="007624EB">
            <w:pPr>
              <w:jc w:val="right"/>
              <w:rPr>
                <w:color w:val="000000"/>
                <w:highlight w:val="yellow"/>
                <w:lang w:val="es-ES"/>
              </w:rPr>
            </w:pPr>
            <w:r w:rsidRPr="0097176A">
              <w:rPr>
                <w:color w:val="000000"/>
                <w:highlight w:val="yellow"/>
                <w:lang w:val="es-ES"/>
              </w:rPr>
              <w:t>0,7 %</w:t>
            </w:r>
          </w:p>
        </w:tc>
      </w:tr>
      <w:tr w:rsidR="00621326" w:rsidRPr="0097176A" w14:paraId="560F299C"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0A2639C" w14:textId="77777777" w:rsidR="00621326" w:rsidRPr="0097176A" w:rsidRDefault="00621326" w:rsidP="007624EB">
            <w:pPr>
              <w:rPr>
                <w:color w:val="000000"/>
                <w:highlight w:val="yellow"/>
                <w:lang w:val="es-ES"/>
              </w:rPr>
            </w:pPr>
            <w:r w:rsidRPr="0097176A">
              <w:rPr>
                <w:color w:val="000000"/>
                <w:highlight w:val="yellow"/>
                <w:lang w:val="es-ES"/>
              </w:rPr>
              <w:t>Egipto</w:t>
            </w:r>
          </w:p>
        </w:tc>
        <w:tc>
          <w:tcPr>
            <w:tcW w:w="1748" w:type="dxa"/>
            <w:tcBorders>
              <w:top w:val="nil"/>
              <w:left w:val="nil"/>
              <w:bottom w:val="single" w:sz="4" w:space="0" w:color="auto"/>
              <w:right w:val="single" w:sz="4" w:space="0" w:color="auto"/>
            </w:tcBorders>
            <w:shd w:val="clear" w:color="auto" w:fill="auto"/>
            <w:noWrap/>
            <w:vAlign w:val="bottom"/>
            <w:hideMark/>
          </w:tcPr>
          <w:p w14:paraId="40D41F3B" w14:textId="77777777" w:rsidR="00621326" w:rsidRPr="0097176A" w:rsidRDefault="00621326" w:rsidP="007624EB">
            <w:pPr>
              <w:jc w:val="right"/>
              <w:rPr>
                <w:color w:val="000000"/>
                <w:highlight w:val="yellow"/>
                <w:lang w:val="es-ES"/>
              </w:rPr>
            </w:pPr>
            <w:r w:rsidRPr="0097176A">
              <w:rPr>
                <w:color w:val="000000"/>
                <w:highlight w:val="yellow"/>
                <w:lang w:val="es-ES"/>
              </w:rPr>
              <w:t>0,152</w:t>
            </w:r>
          </w:p>
        </w:tc>
        <w:tc>
          <w:tcPr>
            <w:tcW w:w="1843" w:type="dxa"/>
            <w:tcBorders>
              <w:top w:val="nil"/>
              <w:left w:val="nil"/>
              <w:bottom w:val="single" w:sz="4" w:space="0" w:color="auto"/>
              <w:right w:val="single" w:sz="4" w:space="0" w:color="auto"/>
            </w:tcBorders>
            <w:shd w:val="clear" w:color="auto" w:fill="auto"/>
            <w:noWrap/>
            <w:vAlign w:val="bottom"/>
            <w:hideMark/>
          </w:tcPr>
          <w:p w14:paraId="24BEDFD2" w14:textId="77777777" w:rsidR="00621326" w:rsidRPr="0097176A" w:rsidRDefault="00621326" w:rsidP="007624EB">
            <w:pPr>
              <w:jc w:val="right"/>
              <w:rPr>
                <w:color w:val="000000"/>
                <w:highlight w:val="yellow"/>
                <w:lang w:val="es-ES"/>
              </w:rPr>
            </w:pPr>
            <w:r w:rsidRPr="0097176A">
              <w:rPr>
                <w:color w:val="000000"/>
                <w:highlight w:val="yellow"/>
                <w:lang w:val="es-ES"/>
              </w:rPr>
              <w:t>1,060</w:t>
            </w:r>
          </w:p>
        </w:tc>
        <w:tc>
          <w:tcPr>
            <w:tcW w:w="1469" w:type="dxa"/>
            <w:tcBorders>
              <w:top w:val="nil"/>
              <w:left w:val="nil"/>
              <w:bottom w:val="single" w:sz="4" w:space="0" w:color="auto"/>
              <w:right w:val="single" w:sz="4" w:space="0" w:color="auto"/>
            </w:tcBorders>
            <w:shd w:val="clear" w:color="auto" w:fill="auto"/>
            <w:noWrap/>
            <w:vAlign w:val="bottom"/>
            <w:hideMark/>
          </w:tcPr>
          <w:p w14:paraId="499D3668"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1.384   </w:t>
            </w:r>
          </w:p>
        </w:tc>
        <w:tc>
          <w:tcPr>
            <w:tcW w:w="1417" w:type="dxa"/>
            <w:tcBorders>
              <w:top w:val="nil"/>
              <w:left w:val="nil"/>
              <w:bottom w:val="single" w:sz="4" w:space="0" w:color="auto"/>
              <w:right w:val="single" w:sz="4" w:space="0" w:color="auto"/>
            </w:tcBorders>
            <w:shd w:val="clear" w:color="auto" w:fill="auto"/>
            <w:noWrap/>
            <w:vAlign w:val="bottom"/>
            <w:hideMark/>
          </w:tcPr>
          <w:p w14:paraId="2F3D19AF" w14:textId="77777777" w:rsidR="00621326" w:rsidRPr="0097176A" w:rsidRDefault="00621326" w:rsidP="007624EB">
            <w:pPr>
              <w:jc w:val="right"/>
              <w:rPr>
                <w:color w:val="000000"/>
                <w:highlight w:val="yellow"/>
                <w:lang w:val="es-ES"/>
              </w:rPr>
            </w:pPr>
            <w:r w:rsidRPr="0097176A">
              <w:rPr>
                <w:color w:val="000000"/>
                <w:highlight w:val="yellow"/>
                <w:lang w:val="es-ES"/>
              </w:rPr>
              <w:t>1,1 %</w:t>
            </w:r>
          </w:p>
        </w:tc>
      </w:tr>
      <w:tr w:rsidR="00621326" w:rsidRPr="0097176A" w14:paraId="0C821D12"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EBC3A1D" w14:textId="77777777" w:rsidR="00621326" w:rsidRPr="0097176A" w:rsidRDefault="00621326" w:rsidP="007624EB">
            <w:pPr>
              <w:rPr>
                <w:color w:val="000000"/>
                <w:highlight w:val="yellow"/>
                <w:lang w:val="es-ES"/>
              </w:rPr>
            </w:pPr>
            <w:r w:rsidRPr="0097176A">
              <w:rPr>
                <w:color w:val="000000"/>
                <w:highlight w:val="yellow"/>
                <w:lang w:val="es-ES"/>
              </w:rPr>
              <w:t>Eslovenia</w:t>
            </w:r>
          </w:p>
        </w:tc>
        <w:tc>
          <w:tcPr>
            <w:tcW w:w="1748" w:type="dxa"/>
            <w:tcBorders>
              <w:top w:val="nil"/>
              <w:left w:val="nil"/>
              <w:bottom w:val="single" w:sz="4" w:space="0" w:color="auto"/>
              <w:right w:val="single" w:sz="4" w:space="0" w:color="auto"/>
            </w:tcBorders>
            <w:shd w:val="clear" w:color="auto" w:fill="auto"/>
            <w:noWrap/>
            <w:vAlign w:val="bottom"/>
            <w:hideMark/>
          </w:tcPr>
          <w:p w14:paraId="360E285A" w14:textId="77777777" w:rsidR="00621326" w:rsidRPr="0097176A" w:rsidRDefault="00621326" w:rsidP="007624EB">
            <w:pPr>
              <w:jc w:val="right"/>
              <w:rPr>
                <w:color w:val="000000"/>
                <w:highlight w:val="yellow"/>
                <w:lang w:val="es-ES"/>
              </w:rPr>
            </w:pPr>
            <w:r w:rsidRPr="0097176A">
              <w:rPr>
                <w:color w:val="000000"/>
                <w:highlight w:val="yellow"/>
                <w:lang w:val="es-ES"/>
              </w:rPr>
              <w:t>0,084</w:t>
            </w:r>
          </w:p>
        </w:tc>
        <w:tc>
          <w:tcPr>
            <w:tcW w:w="1843" w:type="dxa"/>
            <w:tcBorders>
              <w:top w:val="nil"/>
              <w:left w:val="nil"/>
              <w:bottom w:val="single" w:sz="4" w:space="0" w:color="auto"/>
              <w:right w:val="single" w:sz="4" w:space="0" w:color="auto"/>
            </w:tcBorders>
            <w:shd w:val="clear" w:color="auto" w:fill="auto"/>
            <w:noWrap/>
            <w:vAlign w:val="bottom"/>
            <w:hideMark/>
          </w:tcPr>
          <w:p w14:paraId="582ED8EA" w14:textId="77777777" w:rsidR="00621326" w:rsidRPr="0097176A" w:rsidRDefault="00621326" w:rsidP="007624EB">
            <w:pPr>
              <w:jc w:val="right"/>
              <w:rPr>
                <w:color w:val="000000"/>
                <w:highlight w:val="yellow"/>
                <w:lang w:val="es-ES"/>
              </w:rPr>
            </w:pPr>
            <w:r w:rsidRPr="0097176A">
              <w:rPr>
                <w:color w:val="000000"/>
                <w:highlight w:val="yellow"/>
                <w:lang w:val="es-ES"/>
              </w:rPr>
              <w:t>0,586</w:t>
            </w:r>
          </w:p>
        </w:tc>
        <w:tc>
          <w:tcPr>
            <w:tcW w:w="1469" w:type="dxa"/>
            <w:tcBorders>
              <w:top w:val="nil"/>
              <w:left w:val="nil"/>
              <w:bottom w:val="single" w:sz="4" w:space="0" w:color="auto"/>
              <w:right w:val="single" w:sz="4" w:space="0" w:color="auto"/>
            </w:tcBorders>
            <w:shd w:val="clear" w:color="auto" w:fill="auto"/>
            <w:noWrap/>
            <w:vAlign w:val="bottom"/>
            <w:hideMark/>
          </w:tcPr>
          <w:p w14:paraId="18446925"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765   </w:t>
            </w:r>
          </w:p>
        </w:tc>
        <w:tc>
          <w:tcPr>
            <w:tcW w:w="1417" w:type="dxa"/>
            <w:tcBorders>
              <w:top w:val="nil"/>
              <w:left w:val="nil"/>
              <w:bottom w:val="single" w:sz="4" w:space="0" w:color="auto"/>
              <w:right w:val="single" w:sz="4" w:space="0" w:color="auto"/>
            </w:tcBorders>
            <w:shd w:val="clear" w:color="auto" w:fill="auto"/>
            <w:noWrap/>
            <w:vAlign w:val="bottom"/>
            <w:hideMark/>
          </w:tcPr>
          <w:p w14:paraId="138265A5" w14:textId="77777777" w:rsidR="00621326" w:rsidRPr="0097176A" w:rsidRDefault="00621326" w:rsidP="007624EB">
            <w:pPr>
              <w:jc w:val="right"/>
              <w:rPr>
                <w:color w:val="000000"/>
                <w:highlight w:val="yellow"/>
                <w:lang w:val="es-ES"/>
              </w:rPr>
            </w:pPr>
            <w:r w:rsidRPr="0097176A">
              <w:rPr>
                <w:color w:val="000000"/>
                <w:highlight w:val="yellow"/>
                <w:lang w:val="es-ES"/>
              </w:rPr>
              <w:t>0,6 %</w:t>
            </w:r>
          </w:p>
        </w:tc>
      </w:tr>
      <w:tr w:rsidR="00621326" w:rsidRPr="0097176A" w14:paraId="0AACBE1F"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6A202DE" w14:textId="77777777" w:rsidR="00621326" w:rsidRPr="0097176A" w:rsidRDefault="00621326" w:rsidP="007624EB">
            <w:pPr>
              <w:rPr>
                <w:color w:val="000000"/>
                <w:highlight w:val="yellow"/>
                <w:lang w:val="es-ES"/>
              </w:rPr>
            </w:pPr>
            <w:r w:rsidRPr="0097176A">
              <w:rPr>
                <w:color w:val="000000"/>
                <w:highlight w:val="yellow"/>
                <w:lang w:val="es-ES"/>
              </w:rPr>
              <w:t>España</w:t>
            </w:r>
          </w:p>
        </w:tc>
        <w:tc>
          <w:tcPr>
            <w:tcW w:w="1748" w:type="dxa"/>
            <w:tcBorders>
              <w:top w:val="nil"/>
              <w:left w:val="nil"/>
              <w:bottom w:val="single" w:sz="4" w:space="0" w:color="auto"/>
              <w:right w:val="single" w:sz="4" w:space="0" w:color="auto"/>
            </w:tcBorders>
            <w:shd w:val="clear" w:color="auto" w:fill="auto"/>
            <w:noWrap/>
            <w:vAlign w:val="bottom"/>
            <w:hideMark/>
          </w:tcPr>
          <w:p w14:paraId="4054FBDB" w14:textId="77777777" w:rsidR="00621326" w:rsidRPr="0097176A" w:rsidRDefault="00621326" w:rsidP="007624EB">
            <w:pPr>
              <w:jc w:val="right"/>
              <w:rPr>
                <w:color w:val="000000"/>
                <w:highlight w:val="yellow"/>
                <w:lang w:val="es-ES"/>
              </w:rPr>
            </w:pPr>
            <w:r w:rsidRPr="0097176A">
              <w:rPr>
                <w:color w:val="000000"/>
                <w:highlight w:val="yellow"/>
                <w:lang w:val="es-ES"/>
              </w:rPr>
              <w:t>2,443</w:t>
            </w:r>
          </w:p>
        </w:tc>
        <w:tc>
          <w:tcPr>
            <w:tcW w:w="1843" w:type="dxa"/>
            <w:tcBorders>
              <w:top w:val="nil"/>
              <w:left w:val="nil"/>
              <w:bottom w:val="single" w:sz="4" w:space="0" w:color="auto"/>
              <w:right w:val="single" w:sz="4" w:space="0" w:color="auto"/>
            </w:tcBorders>
            <w:shd w:val="clear" w:color="auto" w:fill="auto"/>
            <w:noWrap/>
            <w:vAlign w:val="bottom"/>
            <w:hideMark/>
          </w:tcPr>
          <w:p w14:paraId="174EC81E" w14:textId="77777777" w:rsidR="00621326" w:rsidRPr="0097176A" w:rsidRDefault="00621326" w:rsidP="007624EB">
            <w:pPr>
              <w:jc w:val="right"/>
              <w:rPr>
                <w:color w:val="000000"/>
                <w:highlight w:val="yellow"/>
                <w:lang w:val="es-ES"/>
              </w:rPr>
            </w:pPr>
            <w:r w:rsidRPr="0097176A">
              <w:rPr>
                <w:color w:val="000000"/>
                <w:highlight w:val="yellow"/>
                <w:lang w:val="es-ES"/>
              </w:rPr>
              <w:t>17,039</w:t>
            </w:r>
          </w:p>
        </w:tc>
        <w:tc>
          <w:tcPr>
            <w:tcW w:w="1469" w:type="dxa"/>
            <w:tcBorders>
              <w:top w:val="nil"/>
              <w:left w:val="nil"/>
              <w:bottom w:val="single" w:sz="4" w:space="0" w:color="auto"/>
              <w:right w:val="single" w:sz="4" w:space="0" w:color="auto"/>
            </w:tcBorders>
            <w:shd w:val="clear" w:color="auto" w:fill="auto"/>
            <w:noWrap/>
            <w:vAlign w:val="bottom"/>
            <w:hideMark/>
          </w:tcPr>
          <w:p w14:paraId="445FEC48"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22.241   </w:t>
            </w:r>
          </w:p>
        </w:tc>
        <w:tc>
          <w:tcPr>
            <w:tcW w:w="1417" w:type="dxa"/>
            <w:tcBorders>
              <w:top w:val="nil"/>
              <w:left w:val="nil"/>
              <w:bottom w:val="single" w:sz="4" w:space="0" w:color="auto"/>
              <w:right w:val="single" w:sz="4" w:space="0" w:color="auto"/>
            </w:tcBorders>
            <w:shd w:val="clear" w:color="auto" w:fill="auto"/>
            <w:noWrap/>
            <w:vAlign w:val="bottom"/>
            <w:hideMark/>
          </w:tcPr>
          <w:p w14:paraId="2EF867A4" w14:textId="77777777" w:rsidR="00621326" w:rsidRPr="0097176A" w:rsidRDefault="00621326" w:rsidP="007624EB">
            <w:pPr>
              <w:jc w:val="right"/>
              <w:rPr>
                <w:color w:val="000000"/>
                <w:highlight w:val="yellow"/>
                <w:lang w:val="es-ES"/>
              </w:rPr>
            </w:pPr>
            <w:r w:rsidRPr="0097176A">
              <w:rPr>
                <w:color w:val="000000"/>
                <w:highlight w:val="yellow"/>
                <w:lang w:val="es-ES"/>
              </w:rPr>
              <w:t>17,2 %</w:t>
            </w:r>
          </w:p>
        </w:tc>
      </w:tr>
      <w:tr w:rsidR="00621326" w:rsidRPr="0097176A" w14:paraId="18AEA47C"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0065FF0" w14:textId="77777777" w:rsidR="00621326" w:rsidRPr="0097176A" w:rsidRDefault="00621326" w:rsidP="007624EB">
            <w:pPr>
              <w:rPr>
                <w:color w:val="000000"/>
                <w:highlight w:val="yellow"/>
                <w:lang w:val="es-ES"/>
              </w:rPr>
            </w:pPr>
            <w:r w:rsidRPr="0097176A">
              <w:rPr>
                <w:color w:val="000000"/>
                <w:highlight w:val="yellow"/>
                <w:lang w:val="es-ES"/>
              </w:rPr>
              <w:t>Francia</w:t>
            </w:r>
          </w:p>
        </w:tc>
        <w:tc>
          <w:tcPr>
            <w:tcW w:w="1748" w:type="dxa"/>
            <w:tcBorders>
              <w:top w:val="nil"/>
              <w:left w:val="nil"/>
              <w:bottom w:val="single" w:sz="4" w:space="0" w:color="auto"/>
              <w:right w:val="single" w:sz="4" w:space="0" w:color="auto"/>
            </w:tcBorders>
            <w:shd w:val="clear" w:color="auto" w:fill="auto"/>
            <w:noWrap/>
            <w:vAlign w:val="bottom"/>
            <w:hideMark/>
          </w:tcPr>
          <w:p w14:paraId="2F9B4844" w14:textId="77777777" w:rsidR="00621326" w:rsidRPr="0097176A" w:rsidRDefault="00621326" w:rsidP="007624EB">
            <w:pPr>
              <w:jc w:val="right"/>
              <w:rPr>
                <w:color w:val="000000"/>
                <w:highlight w:val="yellow"/>
                <w:lang w:val="es-ES"/>
              </w:rPr>
            </w:pPr>
            <w:r w:rsidRPr="0097176A">
              <w:rPr>
                <w:color w:val="000000"/>
                <w:highlight w:val="yellow"/>
                <w:lang w:val="es-ES"/>
              </w:rPr>
              <w:t>4,859</w:t>
            </w:r>
          </w:p>
        </w:tc>
        <w:tc>
          <w:tcPr>
            <w:tcW w:w="1843" w:type="dxa"/>
            <w:tcBorders>
              <w:top w:val="nil"/>
              <w:left w:val="nil"/>
              <w:bottom w:val="single" w:sz="4" w:space="0" w:color="auto"/>
              <w:right w:val="single" w:sz="4" w:space="0" w:color="auto"/>
            </w:tcBorders>
            <w:shd w:val="clear" w:color="auto" w:fill="auto"/>
            <w:noWrap/>
            <w:vAlign w:val="bottom"/>
            <w:hideMark/>
          </w:tcPr>
          <w:p w14:paraId="73301684" w14:textId="77777777" w:rsidR="00621326" w:rsidRPr="0097176A" w:rsidRDefault="00621326" w:rsidP="007624EB">
            <w:pPr>
              <w:jc w:val="right"/>
              <w:rPr>
                <w:color w:val="000000"/>
                <w:highlight w:val="yellow"/>
                <w:lang w:val="es-ES"/>
              </w:rPr>
            </w:pPr>
            <w:r w:rsidRPr="0097176A">
              <w:rPr>
                <w:color w:val="000000"/>
                <w:highlight w:val="yellow"/>
                <w:lang w:val="es-ES"/>
              </w:rPr>
              <w:t>33,889</w:t>
            </w:r>
          </w:p>
        </w:tc>
        <w:tc>
          <w:tcPr>
            <w:tcW w:w="1469" w:type="dxa"/>
            <w:tcBorders>
              <w:top w:val="nil"/>
              <w:left w:val="nil"/>
              <w:bottom w:val="single" w:sz="4" w:space="0" w:color="auto"/>
              <w:right w:val="single" w:sz="4" w:space="0" w:color="auto"/>
            </w:tcBorders>
            <w:shd w:val="clear" w:color="auto" w:fill="auto"/>
            <w:noWrap/>
            <w:vAlign w:val="bottom"/>
            <w:hideMark/>
          </w:tcPr>
          <w:p w14:paraId="16DCC08A"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44.235   </w:t>
            </w:r>
          </w:p>
        </w:tc>
        <w:tc>
          <w:tcPr>
            <w:tcW w:w="1417" w:type="dxa"/>
            <w:tcBorders>
              <w:top w:val="nil"/>
              <w:left w:val="nil"/>
              <w:bottom w:val="single" w:sz="4" w:space="0" w:color="auto"/>
              <w:right w:val="single" w:sz="4" w:space="0" w:color="auto"/>
            </w:tcBorders>
            <w:shd w:val="clear" w:color="auto" w:fill="auto"/>
            <w:noWrap/>
            <w:vAlign w:val="bottom"/>
            <w:hideMark/>
          </w:tcPr>
          <w:p w14:paraId="2DD327E7" w14:textId="77777777" w:rsidR="00621326" w:rsidRPr="0097176A" w:rsidRDefault="00621326" w:rsidP="007624EB">
            <w:pPr>
              <w:jc w:val="right"/>
              <w:rPr>
                <w:color w:val="000000"/>
                <w:highlight w:val="yellow"/>
                <w:lang w:val="es-ES"/>
              </w:rPr>
            </w:pPr>
            <w:r w:rsidRPr="0097176A">
              <w:rPr>
                <w:color w:val="000000"/>
                <w:highlight w:val="yellow"/>
                <w:lang w:val="es-ES"/>
              </w:rPr>
              <w:t>34,2 %</w:t>
            </w:r>
          </w:p>
        </w:tc>
      </w:tr>
      <w:tr w:rsidR="00621326" w:rsidRPr="0097176A" w14:paraId="2EC5D0BF"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EE8DB2C" w14:textId="77777777" w:rsidR="00621326" w:rsidRPr="0097176A" w:rsidRDefault="00621326" w:rsidP="007624EB">
            <w:pPr>
              <w:rPr>
                <w:color w:val="000000"/>
                <w:highlight w:val="yellow"/>
                <w:lang w:val="es-ES"/>
              </w:rPr>
            </w:pPr>
            <w:r w:rsidRPr="0097176A">
              <w:rPr>
                <w:color w:val="000000"/>
                <w:highlight w:val="yellow"/>
                <w:lang w:val="es-ES"/>
              </w:rPr>
              <w:t>Grecia</w:t>
            </w:r>
          </w:p>
        </w:tc>
        <w:tc>
          <w:tcPr>
            <w:tcW w:w="1748" w:type="dxa"/>
            <w:tcBorders>
              <w:top w:val="nil"/>
              <w:left w:val="nil"/>
              <w:bottom w:val="single" w:sz="4" w:space="0" w:color="auto"/>
              <w:right w:val="single" w:sz="4" w:space="0" w:color="auto"/>
            </w:tcBorders>
            <w:shd w:val="clear" w:color="auto" w:fill="auto"/>
            <w:noWrap/>
            <w:vAlign w:val="bottom"/>
            <w:hideMark/>
          </w:tcPr>
          <w:p w14:paraId="462D14AE" w14:textId="77777777" w:rsidR="00621326" w:rsidRPr="0097176A" w:rsidRDefault="00621326" w:rsidP="007624EB">
            <w:pPr>
              <w:jc w:val="right"/>
              <w:rPr>
                <w:color w:val="000000"/>
                <w:highlight w:val="yellow"/>
                <w:lang w:val="es-ES"/>
              </w:rPr>
            </w:pPr>
            <w:r w:rsidRPr="0097176A">
              <w:rPr>
                <w:color w:val="000000"/>
                <w:highlight w:val="yellow"/>
                <w:lang w:val="es-ES"/>
              </w:rPr>
              <w:t>0,471</w:t>
            </w:r>
          </w:p>
        </w:tc>
        <w:tc>
          <w:tcPr>
            <w:tcW w:w="1843" w:type="dxa"/>
            <w:tcBorders>
              <w:top w:val="nil"/>
              <w:left w:val="nil"/>
              <w:bottom w:val="single" w:sz="4" w:space="0" w:color="auto"/>
              <w:right w:val="single" w:sz="4" w:space="0" w:color="auto"/>
            </w:tcBorders>
            <w:shd w:val="clear" w:color="auto" w:fill="auto"/>
            <w:noWrap/>
            <w:vAlign w:val="bottom"/>
            <w:hideMark/>
          </w:tcPr>
          <w:p w14:paraId="4A7F2E0D" w14:textId="77777777" w:rsidR="00621326" w:rsidRPr="0097176A" w:rsidRDefault="00621326" w:rsidP="007624EB">
            <w:pPr>
              <w:jc w:val="right"/>
              <w:rPr>
                <w:color w:val="000000"/>
                <w:highlight w:val="yellow"/>
                <w:lang w:val="es-ES"/>
              </w:rPr>
            </w:pPr>
            <w:r w:rsidRPr="0097176A">
              <w:rPr>
                <w:color w:val="000000"/>
                <w:highlight w:val="yellow"/>
                <w:lang w:val="es-ES"/>
              </w:rPr>
              <w:t>3,285</w:t>
            </w:r>
          </w:p>
        </w:tc>
        <w:tc>
          <w:tcPr>
            <w:tcW w:w="1469" w:type="dxa"/>
            <w:tcBorders>
              <w:top w:val="nil"/>
              <w:left w:val="nil"/>
              <w:bottom w:val="single" w:sz="4" w:space="0" w:color="auto"/>
              <w:right w:val="single" w:sz="4" w:space="0" w:color="auto"/>
            </w:tcBorders>
            <w:shd w:val="clear" w:color="auto" w:fill="auto"/>
            <w:noWrap/>
            <w:vAlign w:val="bottom"/>
            <w:hideMark/>
          </w:tcPr>
          <w:p w14:paraId="0C169692"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4.288   </w:t>
            </w:r>
          </w:p>
        </w:tc>
        <w:tc>
          <w:tcPr>
            <w:tcW w:w="1417" w:type="dxa"/>
            <w:tcBorders>
              <w:top w:val="nil"/>
              <w:left w:val="nil"/>
              <w:bottom w:val="single" w:sz="4" w:space="0" w:color="auto"/>
              <w:right w:val="single" w:sz="4" w:space="0" w:color="auto"/>
            </w:tcBorders>
            <w:shd w:val="clear" w:color="auto" w:fill="auto"/>
            <w:noWrap/>
            <w:vAlign w:val="bottom"/>
            <w:hideMark/>
          </w:tcPr>
          <w:p w14:paraId="599B1D74" w14:textId="77777777" w:rsidR="00621326" w:rsidRPr="0097176A" w:rsidRDefault="00621326" w:rsidP="007624EB">
            <w:pPr>
              <w:jc w:val="right"/>
              <w:rPr>
                <w:color w:val="000000"/>
                <w:highlight w:val="yellow"/>
                <w:lang w:val="es-ES"/>
              </w:rPr>
            </w:pPr>
            <w:r w:rsidRPr="0097176A">
              <w:rPr>
                <w:color w:val="000000"/>
                <w:highlight w:val="yellow"/>
                <w:lang w:val="es-ES"/>
              </w:rPr>
              <w:t>3,3 %</w:t>
            </w:r>
          </w:p>
        </w:tc>
      </w:tr>
      <w:tr w:rsidR="00621326" w:rsidRPr="0097176A" w14:paraId="49E8AD6A"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5E5EE8C" w14:textId="77777777" w:rsidR="00621326" w:rsidRPr="0097176A" w:rsidRDefault="00621326" w:rsidP="007624EB">
            <w:pPr>
              <w:rPr>
                <w:color w:val="000000"/>
                <w:highlight w:val="yellow"/>
                <w:lang w:val="es-ES"/>
              </w:rPr>
            </w:pPr>
            <w:r w:rsidRPr="0097176A">
              <w:rPr>
                <w:color w:val="000000"/>
                <w:highlight w:val="yellow"/>
                <w:lang w:val="es-ES"/>
              </w:rPr>
              <w:t>Israel</w:t>
            </w:r>
          </w:p>
        </w:tc>
        <w:tc>
          <w:tcPr>
            <w:tcW w:w="1748" w:type="dxa"/>
            <w:tcBorders>
              <w:top w:val="nil"/>
              <w:left w:val="nil"/>
              <w:bottom w:val="single" w:sz="4" w:space="0" w:color="auto"/>
              <w:right w:val="single" w:sz="4" w:space="0" w:color="auto"/>
            </w:tcBorders>
            <w:shd w:val="clear" w:color="auto" w:fill="auto"/>
            <w:noWrap/>
            <w:vAlign w:val="bottom"/>
            <w:hideMark/>
          </w:tcPr>
          <w:p w14:paraId="10FD75C9" w14:textId="77777777" w:rsidR="00621326" w:rsidRPr="0097176A" w:rsidRDefault="00621326" w:rsidP="007624EB">
            <w:pPr>
              <w:jc w:val="right"/>
              <w:rPr>
                <w:color w:val="000000"/>
                <w:highlight w:val="yellow"/>
                <w:lang w:val="es-ES"/>
              </w:rPr>
            </w:pPr>
            <w:r w:rsidRPr="0097176A">
              <w:rPr>
                <w:color w:val="000000"/>
                <w:highlight w:val="yellow"/>
                <w:lang w:val="es-ES"/>
              </w:rPr>
              <w:t>0,43</w:t>
            </w:r>
          </w:p>
        </w:tc>
        <w:tc>
          <w:tcPr>
            <w:tcW w:w="1843" w:type="dxa"/>
            <w:tcBorders>
              <w:top w:val="nil"/>
              <w:left w:val="nil"/>
              <w:bottom w:val="single" w:sz="4" w:space="0" w:color="auto"/>
              <w:right w:val="single" w:sz="4" w:space="0" w:color="auto"/>
            </w:tcBorders>
            <w:shd w:val="clear" w:color="auto" w:fill="auto"/>
            <w:noWrap/>
            <w:vAlign w:val="bottom"/>
            <w:hideMark/>
          </w:tcPr>
          <w:p w14:paraId="669C5C7C" w14:textId="77777777" w:rsidR="00621326" w:rsidRPr="0097176A" w:rsidRDefault="00621326" w:rsidP="007624EB">
            <w:pPr>
              <w:jc w:val="right"/>
              <w:rPr>
                <w:color w:val="000000"/>
                <w:highlight w:val="yellow"/>
                <w:lang w:val="es-ES"/>
              </w:rPr>
            </w:pPr>
            <w:r w:rsidRPr="0097176A">
              <w:rPr>
                <w:color w:val="000000"/>
                <w:highlight w:val="yellow"/>
                <w:lang w:val="es-ES"/>
              </w:rPr>
              <w:t>2,999</w:t>
            </w:r>
          </w:p>
        </w:tc>
        <w:tc>
          <w:tcPr>
            <w:tcW w:w="1469" w:type="dxa"/>
            <w:tcBorders>
              <w:top w:val="nil"/>
              <w:left w:val="nil"/>
              <w:bottom w:val="single" w:sz="4" w:space="0" w:color="auto"/>
              <w:right w:val="single" w:sz="4" w:space="0" w:color="auto"/>
            </w:tcBorders>
            <w:shd w:val="clear" w:color="auto" w:fill="auto"/>
            <w:noWrap/>
            <w:vAlign w:val="bottom"/>
            <w:hideMark/>
          </w:tcPr>
          <w:p w14:paraId="1794F14B"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3.915   </w:t>
            </w:r>
          </w:p>
        </w:tc>
        <w:tc>
          <w:tcPr>
            <w:tcW w:w="1417" w:type="dxa"/>
            <w:tcBorders>
              <w:top w:val="nil"/>
              <w:left w:val="nil"/>
              <w:bottom w:val="single" w:sz="4" w:space="0" w:color="auto"/>
              <w:right w:val="single" w:sz="4" w:space="0" w:color="auto"/>
            </w:tcBorders>
            <w:shd w:val="clear" w:color="auto" w:fill="auto"/>
            <w:noWrap/>
            <w:vAlign w:val="bottom"/>
            <w:hideMark/>
          </w:tcPr>
          <w:p w14:paraId="47F98178" w14:textId="77777777" w:rsidR="00621326" w:rsidRPr="0097176A" w:rsidRDefault="00621326" w:rsidP="007624EB">
            <w:pPr>
              <w:jc w:val="right"/>
              <w:rPr>
                <w:color w:val="000000"/>
                <w:highlight w:val="yellow"/>
                <w:lang w:val="es-ES"/>
              </w:rPr>
            </w:pPr>
            <w:r w:rsidRPr="0097176A">
              <w:rPr>
                <w:color w:val="000000"/>
                <w:highlight w:val="yellow"/>
                <w:lang w:val="es-ES"/>
              </w:rPr>
              <w:t>3,0 %</w:t>
            </w:r>
          </w:p>
        </w:tc>
      </w:tr>
      <w:tr w:rsidR="00621326" w:rsidRPr="0097176A" w14:paraId="6C61BAE2" w14:textId="77777777" w:rsidTr="0097176A">
        <w:trPr>
          <w:trHeight w:val="354"/>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E5186A8" w14:textId="77777777" w:rsidR="00621326" w:rsidRPr="0097176A" w:rsidRDefault="00621326" w:rsidP="007624EB">
            <w:pPr>
              <w:rPr>
                <w:color w:val="000000"/>
                <w:highlight w:val="yellow"/>
                <w:lang w:val="es-ES"/>
              </w:rPr>
            </w:pPr>
            <w:r w:rsidRPr="0097176A">
              <w:rPr>
                <w:color w:val="000000"/>
                <w:highlight w:val="yellow"/>
                <w:lang w:val="es-ES"/>
              </w:rPr>
              <w:t>Italia*</w:t>
            </w:r>
          </w:p>
        </w:tc>
        <w:tc>
          <w:tcPr>
            <w:tcW w:w="1748" w:type="dxa"/>
            <w:tcBorders>
              <w:top w:val="nil"/>
              <w:left w:val="nil"/>
              <w:bottom w:val="single" w:sz="4" w:space="0" w:color="auto"/>
              <w:right w:val="single" w:sz="4" w:space="0" w:color="auto"/>
            </w:tcBorders>
            <w:shd w:val="clear" w:color="auto" w:fill="auto"/>
            <w:noWrap/>
            <w:vAlign w:val="bottom"/>
            <w:hideMark/>
          </w:tcPr>
          <w:p w14:paraId="18A7E25B" w14:textId="77777777" w:rsidR="00621326" w:rsidRPr="0097176A" w:rsidRDefault="00621326" w:rsidP="007624EB">
            <w:pPr>
              <w:jc w:val="right"/>
              <w:rPr>
                <w:color w:val="000000"/>
                <w:highlight w:val="yellow"/>
                <w:lang w:val="es-ES"/>
              </w:rPr>
            </w:pPr>
            <w:r w:rsidRPr="0097176A">
              <w:rPr>
                <w:color w:val="000000"/>
                <w:highlight w:val="yellow"/>
                <w:lang w:val="es-ES"/>
              </w:rPr>
              <w:t>3,748</w:t>
            </w:r>
          </w:p>
        </w:tc>
        <w:tc>
          <w:tcPr>
            <w:tcW w:w="1843" w:type="dxa"/>
            <w:tcBorders>
              <w:top w:val="nil"/>
              <w:left w:val="nil"/>
              <w:bottom w:val="single" w:sz="4" w:space="0" w:color="auto"/>
              <w:right w:val="single" w:sz="4" w:space="0" w:color="auto"/>
            </w:tcBorders>
            <w:shd w:val="clear" w:color="auto" w:fill="auto"/>
            <w:noWrap/>
            <w:vAlign w:val="bottom"/>
            <w:hideMark/>
          </w:tcPr>
          <w:p w14:paraId="7BA37254" w14:textId="77777777" w:rsidR="00621326" w:rsidRPr="0097176A" w:rsidRDefault="00621326" w:rsidP="007624EB">
            <w:pPr>
              <w:jc w:val="right"/>
              <w:rPr>
                <w:color w:val="000000"/>
                <w:highlight w:val="yellow"/>
                <w:lang w:val="es-ES"/>
              </w:rPr>
            </w:pPr>
            <w:r w:rsidRPr="0097176A">
              <w:rPr>
                <w:color w:val="000000"/>
                <w:highlight w:val="yellow"/>
                <w:lang w:val="es-ES"/>
              </w:rPr>
              <w:t>26,140</w:t>
            </w:r>
          </w:p>
        </w:tc>
        <w:tc>
          <w:tcPr>
            <w:tcW w:w="1469" w:type="dxa"/>
            <w:tcBorders>
              <w:top w:val="nil"/>
              <w:left w:val="nil"/>
              <w:bottom w:val="single" w:sz="4" w:space="0" w:color="auto"/>
              <w:right w:val="single" w:sz="4" w:space="0" w:color="auto"/>
            </w:tcBorders>
            <w:shd w:val="clear" w:color="auto" w:fill="auto"/>
            <w:noWrap/>
            <w:vAlign w:val="bottom"/>
            <w:hideMark/>
          </w:tcPr>
          <w:p w14:paraId="48660656"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28.500   </w:t>
            </w:r>
          </w:p>
        </w:tc>
        <w:tc>
          <w:tcPr>
            <w:tcW w:w="1417" w:type="dxa"/>
            <w:tcBorders>
              <w:top w:val="nil"/>
              <w:left w:val="nil"/>
              <w:bottom w:val="single" w:sz="4" w:space="0" w:color="auto"/>
              <w:right w:val="single" w:sz="4" w:space="0" w:color="auto"/>
            </w:tcBorders>
            <w:shd w:val="clear" w:color="auto" w:fill="auto"/>
            <w:noWrap/>
            <w:vAlign w:val="bottom"/>
            <w:hideMark/>
          </w:tcPr>
          <w:p w14:paraId="0D0DFAF8" w14:textId="77777777" w:rsidR="00621326" w:rsidRPr="0097176A" w:rsidRDefault="00621326" w:rsidP="007624EB">
            <w:pPr>
              <w:jc w:val="right"/>
              <w:rPr>
                <w:color w:val="000000"/>
                <w:highlight w:val="yellow"/>
                <w:lang w:val="es-ES"/>
              </w:rPr>
            </w:pPr>
            <w:r w:rsidRPr="0097176A">
              <w:rPr>
                <w:color w:val="000000"/>
                <w:highlight w:val="yellow"/>
                <w:lang w:val="es-ES"/>
              </w:rPr>
              <w:t>22,0 %</w:t>
            </w:r>
          </w:p>
        </w:tc>
      </w:tr>
      <w:tr w:rsidR="00621326" w:rsidRPr="0097176A" w14:paraId="404EB64A"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C4B522E" w14:textId="77777777" w:rsidR="00621326" w:rsidRPr="0097176A" w:rsidRDefault="00621326" w:rsidP="007624EB">
            <w:pPr>
              <w:rPr>
                <w:color w:val="000000"/>
                <w:highlight w:val="yellow"/>
                <w:lang w:val="es-ES"/>
              </w:rPr>
            </w:pPr>
            <w:r w:rsidRPr="0097176A">
              <w:rPr>
                <w:color w:val="000000"/>
                <w:highlight w:val="yellow"/>
                <w:lang w:val="es-ES"/>
              </w:rPr>
              <w:t>Jordania</w:t>
            </w:r>
          </w:p>
        </w:tc>
        <w:tc>
          <w:tcPr>
            <w:tcW w:w="1748" w:type="dxa"/>
            <w:tcBorders>
              <w:top w:val="nil"/>
              <w:left w:val="nil"/>
              <w:bottom w:val="single" w:sz="4" w:space="0" w:color="auto"/>
              <w:right w:val="single" w:sz="4" w:space="0" w:color="auto"/>
            </w:tcBorders>
            <w:shd w:val="clear" w:color="auto" w:fill="auto"/>
            <w:noWrap/>
            <w:vAlign w:val="bottom"/>
            <w:hideMark/>
          </w:tcPr>
          <w:p w14:paraId="709CA612" w14:textId="77777777" w:rsidR="00621326" w:rsidRPr="0097176A" w:rsidRDefault="00621326" w:rsidP="007624EB">
            <w:pPr>
              <w:jc w:val="right"/>
              <w:rPr>
                <w:color w:val="000000"/>
                <w:highlight w:val="yellow"/>
                <w:lang w:val="es-ES"/>
              </w:rPr>
            </w:pPr>
            <w:r w:rsidRPr="0097176A">
              <w:rPr>
                <w:color w:val="000000"/>
                <w:highlight w:val="yellow"/>
                <w:lang w:val="es-ES"/>
              </w:rPr>
              <w:t>0,02</w:t>
            </w:r>
          </w:p>
        </w:tc>
        <w:tc>
          <w:tcPr>
            <w:tcW w:w="1843" w:type="dxa"/>
            <w:tcBorders>
              <w:top w:val="nil"/>
              <w:left w:val="nil"/>
              <w:bottom w:val="single" w:sz="4" w:space="0" w:color="auto"/>
              <w:right w:val="single" w:sz="4" w:space="0" w:color="auto"/>
            </w:tcBorders>
            <w:shd w:val="clear" w:color="auto" w:fill="auto"/>
            <w:noWrap/>
            <w:vAlign w:val="bottom"/>
            <w:hideMark/>
          </w:tcPr>
          <w:p w14:paraId="449BE804" w14:textId="77777777" w:rsidR="00621326" w:rsidRPr="0097176A" w:rsidRDefault="00621326" w:rsidP="007624EB">
            <w:pPr>
              <w:jc w:val="right"/>
              <w:rPr>
                <w:color w:val="000000"/>
                <w:highlight w:val="yellow"/>
                <w:lang w:val="es-ES"/>
              </w:rPr>
            </w:pPr>
            <w:r w:rsidRPr="0097176A">
              <w:rPr>
                <w:color w:val="000000"/>
                <w:highlight w:val="yellow"/>
                <w:lang w:val="es-ES"/>
              </w:rPr>
              <w:t>0,139</w:t>
            </w:r>
          </w:p>
        </w:tc>
        <w:tc>
          <w:tcPr>
            <w:tcW w:w="1469" w:type="dxa"/>
            <w:tcBorders>
              <w:top w:val="nil"/>
              <w:left w:val="nil"/>
              <w:bottom w:val="single" w:sz="4" w:space="0" w:color="auto"/>
              <w:right w:val="single" w:sz="4" w:space="0" w:color="auto"/>
            </w:tcBorders>
            <w:shd w:val="clear" w:color="auto" w:fill="auto"/>
            <w:noWrap/>
            <w:vAlign w:val="bottom"/>
            <w:hideMark/>
          </w:tcPr>
          <w:p w14:paraId="2C20B573"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7DDDC800"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0A9CF4F1"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EE3C35E" w14:textId="77777777" w:rsidR="00621326" w:rsidRPr="0097176A" w:rsidRDefault="00621326" w:rsidP="007624EB">
            <w:pPr>
              <w:rPr>
                <w:color w:val="000000"/>
                <w:highlight w:val="yellow"/>
                <w:lang w:val="es-ES"/>
              </w:rPr>
            </w:pPr>
            <w:r w:rsidRPr="0097176A">
              <w:rPr>
                <w:color w:val="000000"/>
                <w:highlight w:val="yellow"/>
                <w:lang w:val="es-ES"/>
              </w:rPr>
              <w:t>Líbano</w:t>
            </w:r>
          </w:p>
        </w:tc>
        <w:tc>
          <w:tcPr>
            <w:tcW w:w="1748" w:type="dxa"/>
            <w:tcBorders>
              <w:top w:val="nil"/>
              <w:left w:val="nil"/>
              <w:bottom w:val="single" w:sz="4" w:space="0" w:color="auto"/>
              <w:right w:val="single" w:sz="4" w:space="0" w:color="auto"/>
            </w:tcBorders>
            <w:shd w:val="clear" w:color="auto" w:fill="auto"/>
            <w:noWrap/>
            <w:vAlign w:val="bottom"/>
            <w:hideMark/>
          </w:tcPr>
          <w:p w14:paraId="32CADC0B" w14:textId="77777777" w:rsidR="00621326" w:rsidRPr="0097176A" w:rsidRDefault="00621326" w:rsidP="007624EB">
            <w:pPr>
              <w:jc w:val="right"/>
              <w:rPr>
                <w:color w:val="000000"/>
                <w:highlight w:val="yellow"/>
                <w:lang w:val="es-ES"/>
              </w:rPr>
            </w:pPr>
            <w:r w:rsidRPr="0097176A">
              <w:rPr>
                <w:color w:val="000000"/>
                <w:highlight w:val="yellow"/>
                <w:lang w:val="es-ES"/>
              </w:rPr>
              <w:t>0,046</w:t>
            </w:r>
          </w:p>
        </w:tc>
        <w:tc>
          <w:tcPr>
            <w:tcW w:w="1843" w:type="dxa"/>
            <w:tcBorders>
              <w:top w:val="nil"/>
              <w:left w:val="nil"/>
              <w:bottom w:val="single" w:sz="4" w:space="0" w:color="auto"/>
              <w:right w:val="single" w:sz="4" w:space="0" w:color="auto"/>
            </w:tcBorders>
            <w:shd w:val="clear" w:color="auto" w:fill="auto"/>
            <w:noWrap/>
            <w:vAlign w:val="bottom"/>
            <w:hideMark/>
          </w:tcPr>
          <w:p w14:paraId="2B68653E" w14:textId="77777777" w:rsidR="00621326" w:rsidRPr="0097176A" w:rsidRDefault="00621326" w:rsidP="007624EB">
            <w:pPr>
              <w:jc w:val="right"/>
              <w:rPr>
                <w:color w:val="000000"/>
                <w:highlight w:val="yellow"/>
                <w:lang w:val="es-ES"/>
              </w:rPr>
            </w:pPr>
            <w:r w:rsidRPr="0097176A">
              <w:rPr>
                <w:color w:val="000000"/>
                <w:highlight w:val="yellow"/>
                <w:lang w:val="es-ES"/>
              </w:rPr>
              <w:t>0,321</w:t>
            </w:r>
          </w:p>
        </w:tc>
        <w:tc>
          <w:tcPr>
            <w:tcW w:w="1469" w:type="dxa"/>
            <w:tcBorders>
              <w:top w:val="nil"/>
              <w:left w:val="nil"/>
              <w:bottom w:val="single" w:sz="4" w:space="0" w:color="auto"/>
              <w:right w:val="single" w:sz="4" w:space="0" w:color="auto"/>
            </w:tcBorders>
            <w:shd w:val="clear" w:color="auto" w:fill="auto"/>
            <w:noWrap/>
            <w:vAlign w:val="bottom"/>
            <w:hideMark/>
          </w:tcPr>
          <w:p w14:paraId="5F00CDCB"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CE3CF85"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238F0C18"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26D69F0" w14:textId="77777777" w:rsidR="00621326" w:rsidRPr="0097176A" w:rsidRDefault="00621326" w:rsidP="007624EB">
            <w:pPr>
              <w:rPr>
                <w:color w:val="000000"/>
                <w:highlight w:val="yellow"/>
                <w:lang w:val="es-ES"/>
              </w:rPr>
            </w:pPr>
            <w:r w:rsidRPr="0097176A">
              <w:rPr>
                <w:color w:val="000000"/>
                <w:highlight w:val="yellow"/>
                <w:lang w:val="es-ES"/>
              </w:rPr>
              <w:t>Libia</w:t>
            </w:r>
          </w:p>
        </w:tc>
        <w:tc>
          <w:tcPr>
            <w:tcW w:w="1748" w:type="dxa"/>
            <w:tcBorders>
              <w:top w:val="nil"/>
              <w:left w:val="nil"/>
              <w:bottom w:val="single" w:sz="4" w:space="0" w:color="auto"/>
              <w:right w:val="single" w:sz="4" w:space="0" w:color="auto"/>
            </w:tcBorders>
            <w:shd w:val="clear" w:color="auto" w:fill="auto"/>
            <w:noWrap/>
            <w:vAlign w:val="bottom"/>
            <w:hideMark/>
          </w:tcPr>
          <w:p w14:paraId="7A85F25A" w14:textId="77777777" w:rsidR="00621326" w:rsidRPr="0097176A" w:rsidRDefault="00621326" w:rsidP="007624EB">
            <w:pPr>
              <w:jc w:val="right"/>
              <w:rPr>
                <w:color w:val="000000"/>
                <w:highlight w:val="yellow"/>
                <w:lang w:val="es-ES"/>
              </w:rPr>
            </w:pPr>
            <w:r w:rsidRPr="0097176A">
              <w:rPr>
                <w:color w:val="000000"/>
                <w:highlight w:val="yellow"/>
                <w:lang w:val="es-ES"/>
              </w:rPr>
              <w:t>0,125</w:t>
            </w:r>
          </w:p>
        </w:tc>
        <w:tc>
          <w:tcPr>
            <w:tcW w:w="1843" w:type="dxa"/>
            <w:tcBorders>
              <w:top w:val="nil"/>
              <w:left w:val="nil"/>
              <w:bottom w:val="single" w:sz="4" w:space="0" w:color="auto"/>
              <w:right w:val="single" w:sz="4" w:space="0" w:color="auto"/>
            </w:tcBorders>
            <w:shd w:val="clear" w:color="auto" w:fill="auto"/>
            <w:noWrap/>
            <w:vAlign w:val="bottom"/>
            <w:hideMark/>
          </w:tcPr>
          <w:p w14:paraId="7FAF628C" w14:textId="77777777" w:rsidR="00621326" w:rsidRPr="0097176A" w:rsidRDefault="00621326" w:rsidP="007624EB">
            <w:pPr>
              <w:jc w:val="right"/>
              <w:rPr>
                <w:color w:val="000000"/>
                <w:highlight w:val="yellow"/>
                <w:lang w:val="es-ES"/>
              </w:rPr>
            </w:pPr>
            <w:r w:rsidRPr="0097176A">
              <w:rPr>
                <w:color w:val="000000"/>
                <w:highlight w:val="yellow"/>
                <w:lang w:val="es-ES"/>
              </w:rPr>
              <w:t>0,872</w:t>
            </w:r>
          </w:p>
        </w:tc>
        <w:tc>
          <w:tcPr>
            <w:tcW w:w="1469" w:type="dxa"/>
            <w:tcBorders>
              <w:top w:val="nil"/>
              <w:left w:val="nil"/>
              <w:bottom w:val="single" w:sz="4" w:space="0" w:color="auto"/>
              <w:right w:val="single" w:sz="4" w:space="0" w:color="auto"/>
            </w:tcBorders>
            <w:shd w:val="clear" w:color="auto" w:fill="auto"/>
            <w:noWrap/>
            <w:vAlign w:val="bottom"/>
            <w:hideMark/>
          </w:tcPr>
          <w:p w14:paraId="06649ECE"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1.138   </w:t>
            </w:r>
          </w:p>
        </w:tc>
        <w:tc>
          <w:tcPr>
            <w:tcW w:w="1417" w:type="dxa"/>
            <w:tcBorders>
              <w:top w:val="nil"/>
              <w:left w:val="nil"/>
              <w:bottom w:val="single" w:sz="4" w:space="0" w:color="auto"/>
              <w:right w:val="single" w:sz="4" w:space="0" w:color="auto"/>
            </w:tcBorders>
            <w:shd w:val="clear" w:color="auto" w:fill="auto"/>
            <w:noWrap/>
            <w:vAlign w:val="bottom"/>
            <w:hideMark/>
          </w:tcPr>
          <w:p w14:paraId="5D2D07BF" w14:textId="77777777" w:rsidR="00621326" w:rsidRPr="0097176A" w:rsidRDefault="00621326" w:rsidP="007624EB">
            <w:pPr>
              <w:jc w:val="right"/>
              <w:rPr>
                <w:color w:val="000000"/>
                <w:highlight w:val="yellow"/>
                <w:lang w:val="es-ES"/>
              </w:rPr>
            </w:pPr>
            <w:r w:rsidRPr="0097176A">
              <w:rPr>
                <w:color w:val="000000"/>
                <w:highlight w:val="yellow"/>
                <w:lang w:val="es-ES"/>
              </w:rPr>
              <w:t>0,9 %</w:t>
            </w:r>
          </w:p>
        </w:tc>
      </w:tr>
      <w:tr w:rsidR="00621326" w:rsidRPr="0097176A" w14:paraId="3DDE6234"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1CFC92A" w14:textId="77777777" w:rsidR="00621326" w:rsidRPr="0097176A" w:rsidRDefault="00621326" w:rsidP="007624EB">
            <w:pPr>
              <w:rPr>
                <w:color w:val="000000"/>
                <w:highlight w:val="yellow"/>
                <w:lang w:val="es-ES"/>
              </w:rPr>
            </w:pPr>
            <w:r w:rsidRPr="0097176A">
              <w:rPr>
                <w:color w:val="000000"/>
                <w:highlight w:val="yellow"/>
                <w:lang w:val="es-ES"/>
              </w:rPr>
              <w:t>Malta</w:t>
            </w:r>
          </w:p>
        </w:tc>
        <w:tc>
          <w:tcPr>
            <w:tcW w:w="1748" w:type="dxa"/>
            <w:tcBorders>
              <w:top w:val="nil"/>
              <w:left w:val="nil"/>
              <w:bottom w:val="single" w:sz="4" w:space="0" w:color="auto"/>
              <w:right w:val="single" w:sz="4" w:space="0" w:color="auto"/>
            </w:tcBorders>
            <w:shd w:val="clear" w:color="auto" w:fill="auto"/>
            <w:noWrap/>
            <w:vAlign w:val="bottom"/>
            <w:hideMark/>
          </w:tcPr>
          <w:p w14:paraId="5B651EEE" w14:textId="77777777" w:rsidR="00621326" w:rsidRPr="0097176A" w:rsidRDefault="00621326" w:rsidP="007624EB">
            <w:pPr>
              <w:jc w:val="right"/>
              <w:rPr>
                <w:color w:val="000000"/>
                <w:highlight w:val="yellow"/>
                <w:lang w:val="es-ES"/>
              </w:rPr>
            </w:pPr>
            <w:r w:rsidRPr="0097176A">
              <w:rPr>
                <w:color w:val="000000"/>
                <w:highlight w:val="yellow"/>
                <w:lang w:val="es-ES"/>
              </w:rPr>
              <w:t>0,016</w:t>
            </w:r>
          </w:p>
        </w:tc>
        <w:tc>
          <w:tcPr>
            <w:tcW w:w="1843" w:type="dxa"/>
            <w:tcBorders>
              <w:top w:val="nil"/>
              <w:left w:val="nil"/>
              <w:bottom w:val="single" w:sz="4" w:space="0" w:color="auto"/>
              <w:right w:val="single" w:sz="4" w:space="0" w:color="auto"/>
            </w:tcBorders>
            <w:shd w:val="clear" w:color="auto" w:fill="auto"/>
            <w:noWrap/>
            <w:vAlign w:val="bottom"/>
            <w:hideMark/>
          </w:tcPr>
          <w:p w14:paraId="51608606" w14:textId="77777777" w:rsidR="00621326" w:rsidRPr="0097176A" w:rsidRDefault="00621326" w:rsidP="007624EB">
            <w:pPr>
              <w:jc w:val="right"/>
              <w:rPr>
                <w:color w:val="000000"/>
                <w:highlight w:val="yellow"/>
                <w:lang w:val="es-ES"/>
              </w:rPr>
            </w:pPr>
            <w:r w:rsidRPr="0097176A">
              <w:rPr>
                <w:color w:val="000000"/>
                <w:highlight w:val="yellow"/>
                <w:lang w:val="es-ES"/>
              </w:rPr>
              <w:t>0,112</w:t>
            </w:r>
          </w:p>
        </w:tc>
        <w:tc>
          <w:tcPr>
            <w:tcW w:w="1469" w:type="dxa"/>
            <w:tcBorders>
              <w:top w:val="nil"/>
              <w:left w:val="nil"/>
              <w:bottom w:val="single" w:sz="4" w:space="0" w:color="auto"/>
              <w:right w:val="single" w:sz="4" w:space="0" w:color="auto"/>
            </w:tcBorders>
            <w:shd w:val="clear" w:color="auto" w:fill="auto"/>
            <w:noWrap/>
            <w:vAlign w:val="bottom"/>
            <w:hideMark/>
          </w:tcPr>
          <w:p w14:paraId="7F026DCA"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B3AE7E1"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68241C33"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76A38F7" w14:textId="77777777" w:rsidR="00621326" w:rsidRPr="0097176A" w:rsidRDefault="00621326" w:rsidP="007624EB">
            <w:pPr>
              <w:rPr>
                <w:color w:val="000000"/>
                <w:highlight w:val="yellow"/>
                <w:lang w:val="es-ES"/>
              </w:rPr>
            </w:pPr>
            <w:r w:rsidRPr="0097176A">
              <w:rPr>
                <w:color w:val="000000"/>
                <w:highlight w:val="yellow"/>
                <w:lang w:val="es-ES"/>
              </w:rPr>
              <w:t>Marruecos</w:t>
            </w:r>
          </w:p>
        </w:tc>
        <w:tc>
          <w:tcPr>
            <w:tcW w:w="1748" w:type="dxa"/>
            <w:tcBorders>
              <w:top w:val="nil"/>
              <w:left w:val="nil"/>
              <w:bottom w:val="single" w:sz="4" w:space="0" w:color="auto"/>
              <w:right w:val="single" w:sz="4" w:space="0" w:color="auto"/>
            </w:tcBorders>
            <w:shd w:val="clear" w:color="auto" w:fill="auto"/>
            <w:noWrap/>
            <w:vAlign w:val="bottom"/>
            <w:hideMark/>
          </w:tcPr>
          <w:p w14:paraId="61180790" w14:textId="77777777" w:rsidR="00621326" w:rsidRPr="0097176A" w:rsidRDefault="00621326" w:rsidP="007624EB">
            <w:pPr>
              <w:jc w:val="right"/>
              <w:rPr>
                <w:color w:val="000000"/>
                <w:highlight w:val="yellow"/>
                <w:lang w:val="es-ES"/>
              </w:rPr>
            </w:pPr>
            <w:r w:rsidRPr="0097176A">
              <w:rPr>
                <w:color w:val="000000"/>
                <w:highlight w:val="yellow"/>
                <w:lang w:val="es-ES"/>
              </w:rPr>
              <w:t>0,054</w:t>
            </w:r>
          </w:p>
        </w:tc>
        <w:tc>
          <w:tcPr>
            <w:tcW w:w="1843" w:type="dxa"/>
            <w:tcBorders>
              <w:top w:val="nil"/>
              <w:left w:val="nil"/>
              <w:bottom w:val="single" w:sz="4" w:space="0" w:color="auto"/>
              <w:right w:val="single" w:sz="4" w:space="0" w:color="auto"/>
            </w:tcBorders>
            <w:shd w:val="clear" w:color="auto" w:fill="auto"/>
            <w:noWrap/>
            <w:vAlign w:val="bottom"/>
            <w:hideMark/>
          </w:tcPr>
          <w:p w14:paraId="71E7031D" w14:textId="77777777" w:rsidR="00621326" w:rsidRPr="0097176A" w:rsidRDefault="00621326" w:rsidP="007624EB">
            <w:pPr>
              <w:jc w:val="right"/>
              <w:rPr>
                <w:color w:val="000000"/>
                <w:highlight w:val="yellow"/>
                <w:lang w:val="es-ES"/>
              </w:rPr>
            </w:pPr>
            <w:r w:rsidRPr="0097176A">
              <w:rPr>
                <w:color w:val="000000"/>
                <w:highlight w:val="yellow"/>
                <w:lang w:val="es-ES"/>
              </w:rPr>
              <w:t>0,377</w:t>
            </w:r>
          </w:p>
        </w:tc>
        <w:tc>
          <w:tcPr>
            <w:tcW w:w="1469" w:type="dxa"/>
            <w:tcBorders>
              <w:top w:val="nil"/>
              <w:left w:val="nil"/>
              <w:bottom w:val="single" w:sz="4" w:space="0" w:color="auto"/>
              <w:right w:val="single" w:sz="4" w:space="0" w:color="auto"/>
            </w:tcBorders>
            <w:shd w:val="clear" w:color="auto" w:fill="auto"/>
            <w:noWrap/>
            <w:vAlign w:val="bottom"/>
            <w:hideMark/>
          </w:tcPr>
          <w:p w14:paraId="466F6DA4"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BCDFB07"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1D08CC9E"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C5AB681" w14:textId="77777777" w:rsidR="00621326" w:rsidRPr="0097176A" w:rsidRDefault="00621326" w:rsidP="007624EB">
            <w:pPr>
              <w:rPr>
                <w:color w:val="000000"/>
                <w:highlight w:val="yellow"/>
                <w:lang w:val="es-ES"/>
              </w:rPr>
            </w:pPr>
            <w:r w:rsidRPr="0097176A">
              <w:rPr>
                <w:color w:val="000000"/>
                <w:highlight w:val="yellow"/>
                <w:lang w:val="es-ES"/>
              </w:rPr>
              <w:t>Mónaco</w:t>
            </w:r>
          </w:p>
        </w:tc>
        <w:tc>
          <w:tcPr>
            <w:tcW w:w="1748" w:type="dxa"/>
            <w:tcBorders>
              <w:top w:val="nil"/>
              <w:left w:val="nil"/>
              <w:bottom w:val="single" w:sz="4" w:space="0" w:color="auto"/>
              <w:right w:val="single" w:sz="4" w:space="0" w:color="auto"/>
            </w:tcBorders>
            <w:shd w:val="clear" w:color="auto" w:fill="auto"/>
            <w:noWrap/>
            <w:vAlign w:val="bottom"/>
            <w:hideMark/>
          </w:tcPr>
          <w:p w14:paraId="4F1854DE" w14:textId="77777777" w:rsidR="00621326" w:rsidRPr="0097176A" w:rsidRDefault="00621326" w:rsidP="007624EB">
            <w:pPr>
              <w:jc w:val="right"/>
              <w:rPr>
                <w:color w:val="000000"/>
                <w:highlight w:val="yellow"/>
                <w:lang w:val="es-ES"/>
              </w:rPr>
            </w:pPr>
            <w:r w:rsidRPr="0097176A">
              <w:rPr>
                <w:color w:val="000000"/>
                <w:highlight w:val="yellow"/>
                <w:lang w:val="es-ES"/>
              </w:rPr>
              <w:t>0,01</w:t>
            </w:r>
          </w:p>
        </w:tc>
        <w:tc>
          <w:tcPr>
            <w:tcW w:w="1843" w:type="dxa"/>
            <w:tcBorders>
              <w:top w:val="nil"/>
              <w:left w:val="nil"/>
              <w:bottom w:val="single" w:sz="4" w:space="0" w:color="auto"/>
              <w:right w:val="single" w:sz="4" w:space="0" w:color="auto"/>
            </w:tcBorders>
            <w:shd w:val="clear" w:color="auto" w:fill="auto"/>
            <w:noWrap/>
            <w:vAlign w:val="bottom"/>
            <w:hideMark/>
          </w:tcPr>
          <w:p w14:paraId="737CB8F7" w14:textId="77777777" w:rsidR="00621326" w:rsidRPr="0097176A" w:rsidRDefault="00621326" w:rsidP="007624EB">
            <w:pPr>
              <w:jc w:val="right"/>
              <w:rPr>
                <w:color w:val="000000"/>
                <w:highlight w:val="yellow"/>
                <w:lang w:val="es-ES"/>
              </w:rPr>
            </w:pPr>
            <w:r w:rsidRPr="0097176A">
              <w:rPr>
                <w:color w:val="000000"/>
                <w:highlight w:val="yellow"/>
                <w:lang w:val="es-ES"/>
              </w:rPr>
              <w:t>0,070</w:t>
            </w:r>
          </w:p>
        </w:tc>
        <w:tc>
          <w:tcPr>
            <w:tcW w:w="1469" w:type="dxa"/>
            <w:tcBorders>
              <w:top w:val="nil"/>
              <w:left w:val="nil"/>
              <w:bottom w:val="single" w:sz="4" w:space="0" w:color="auto"/>
              <w:right w:val="single" w:sz="4" w:space="0" w:color="auto"/>
            </w:tcBorders>
            <w:shd w:val="clear" w:color="auto" w:fill="auto"/>
            <w:noWrap/>
            <w:vAlign w:val="bottom"/>
            <w:hideMark/>
          </w:tcPr>
          <w:p w14:paraId="12D0C04A"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D6D815D"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73AB0265"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59E7860" w14:textId="77777777" w:rsidR="00621326" w:rsidRPr="0097176A" w:rsidRDefault="00621326" w:rsidP="007624EB">
            <w:pPr>
              <w:rPr>
                <w:color w:val="000000"/>
                <w:highlight w:val="yellow"/>
                <w:lang w:val="es-ES"/>
              </w:rPr>
            </w:pPr>
            <w:r w:rsidRPr="0097176A">
              <w:rPr>
                <w:color w:val="000000"/>
                <w:highlight w:val="yellow"/>
                <w:lang w:val="es-ES"/>
              </w:rPr>
              <w:t>Montenegro</w:t>
            </w:r>
          </w:p>
        </w:tc>
        <w:tc>
          <w:tcPr>
            <w:tcW w:w="1748" w:type="dxa"/>
            <w:tcBorders>
              <w:top w:val="nil"/>
              <w:left w:val="nil"/>
              <w:bottom w:val="single" w:sz="4" w:space="0" w:color="auto"/>
              <w:right w:val="single" w:sz="4" w:space="0" w:color="auto"/>
            </w:tcBorders>
            <w:shd w:val="clear" w:color="auto" w:fill="auto"/>
            <w:noWrap/>
            <w:vAlign w:val="bottom"/>
            <w:hideMark/>
          </w:tcPr>
          <w:p w14:paraId="5B7CF6CE" w14:textId="77777777" w:rsidR="00621326" w:rsidRPr="0097176A" w:rsidRDefault="00621326" w:rsidP="007624EB">
            <w:pPr>
              <w:jc w:val="right"/>
              <w:rPr>
                <w:color w:val="000000"/>
                <w:highlight w:val="yellow"/>
                <w:lang w:val="es-ES"/>
              </w:rPr>
            </w:pPr>
            <w:r w:rsidRPr="0097176A">
              <w:rPr>
                <w:color w:val="000000"/>
                <w:highlight w:val="yellow"/>
                <w:lang w:val="es-ES"/>
              </w:rPr>
              <w:t>0,004</w:t>
            </w:r>
          </w:p>
        </w:tc>
        <w:tc>
          <w:tcPr>
            <w:tcW w:w="1843" w:type="dxa"/>
            <w:tcBorders>
              <w:top w:val="nil"/>
              <w:left w:val="nil"/>
              <w:bottom w:val="single" w:sz="4" w:space="0" w:color="auto"/>
              <w:right w:val="single" w:sz="4" w:space="0" w:color="auto"/>
            </w:tcBorders>
            <w:shd w:val="clear" w:color="auto" w:fill="auto"/>
            <w:noWrap/>
            <w:vAlign w:val="bottom"/>
            <w:hideMark/>
          </w:tcPr>
          <w:p w14:paraId="64152775" w14:textId="77777777" w:rsidR="00621326" w:rsidRPr="0097176A" w:rsidRDefault="00621326" w:rsidP="007624EB">
            <w:pPr>
              <w:jc w:val="right"/>
              <w:rPr>
                <w:color w:val="000000"/>
                <w:highlight w:val="yellow"/>
                <w:lang w:val="es-ES"/>
              </w:rPr>
            </w:pPr>
            <w:r w:rsidRPr="0097176A">
              <w:rPr>
                <w:color w:val="000000"/>
                <w:highlight w:val="yellow"/>
                <w:lang w:val="es-ES"/>
              </w:rPr>
              <w:t>0,028</w:t>
            </w:r>
          </w:p>
        </w:tc>
        <w:tc>
          <w:tcPr>
            <w:tcW w:w="1469" w:type="dxa"/>
            <w:tcBorders>
              <w:top w:val="nil"/>
              <w:left w:val="nil"/>
              <w:bottom w:val="single" w:sz="4" w:space="0" w:color="auto"/>
              <w:right w:val="single" w:sz="4" w:space="0" w:color="auto"/>
            </w:tcBorders>
            <w:shd w:val="clear" w:color="auto" w:fill="auto"/>
            <w:noWrap/>
            <w:vAlign w:val="bottom"/>
            <w:hideMark/>
          </w:tcPr>
          <w:p w14:paraId="1A979F8E"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5D0BB37"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3774DD72"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287DF98" w14:textId="77777777" w:rsidR="00621326" w:rsidRPr="0097176A" w:rsidRDefault="00621326" w:rsidP="007624EB">
            <w:pPr>
              <w:rPr>
                <w:color w:val="000000"/>
                <w:highlight w:val="yellow"/>
                <w:lang w:val="es-ES"/>
              </w:rPr>
            </w:pPr>
            <w:r w:rsidRPr="0097176A">
              <w:rPr>
                <w:color w:val="000000"/>
                <w:highlight w:val="yellow"/>
                <w:lang w:val="es-ES"/>
              </w:rPr>
              <w:t>Portugal</w:t>
            </w:r>
          </w:p>
        </w:tc>
        <w:tc>
          <w:tcPr>
            <w:tcW w:w="1748" w:type="dxa"/>
            <w:tcBorders>
              <w:top w:val="nil"/>
              <w:left w:val="nil"/>
              <w:bottom w:val="single" w:sz="4" w:space="0" w:color="auto"/>
              <w:right w:val="single" w:sz="4" w:space="0" w:color="auto"/>
            </w:tcBorders>
            <w:shd w:val="clear" w:color="auto" w:fill="auto"/>
            <w:noWrap/>
            <w:vAlign w:val="bottom"/>
            <w:hideMark/>
          </w:tcPr>
          <w:p w14:paraId="31998A49" w14:textId="77777777" w:rsidR="00621326" w:rsidRPr="0097176A" w:rsidRDefault="00621326" w:rsidP="007624EB">
            <w:pPr>
              <w:jc w:val="right"/>
              <w:rPr>
                <w:color w:val="000000"/>
                <w:highlight w:val="yellow"/>
                <w:lang w:val="es-ES"/>
              </w:rPr>
            </w:pPr>
            <w:r w:rsidRPr="0097176A">
              <w:rPr>
                <w:color w:val="000000"/>
                <w:highlight w:val="yellow"/>
                <w:lang w:val="es-ES"/>
              </w:rPr>
              <w:t>0,392</w:t>
            </w:r>
          </w:p>
        </w:tc>
        <w:tc>
          <w:tcPr>
            <w:tcW w:w="1843" w:type="dxa"/>
            <w:tcBorders>
              <w:top w:val="nil"/>
              <w:left w:val="nil"/>
              <w:bottom w:val="single" w:sz="4" w:space="0" w:color="auto"/>
              <w:right w:val="single" w:sz="4" w:space="0" w:color="auto"/>
            </w:tcBorders>
            <w:shd w:val="clear" w:color="auto" w:fill="auto"/>
            <w:noWrap/>
            <w:vAlign w:val="bottom"/>
            <w:hideMark/>
          </w:tcPr>
          <w:p w14:paraId="6A5AD19C" w14:textId="77777777" w:rsidR="00621326" w:rsidRPr="0097176A" w:rsidRDefault="00621326" w:rsidP="007624EB">
            <w:pPr>
              <w:jc w:val="right"/>
              <w:rPr>
                <w:color w:val="000000"/>
                <w:highlight w:val="yellow"/>
                <w:lang w:val="es-ES"/>
              </w:rPr>
            </w:pPr>
            <w:r w:rsidRPr="0097176A">
              <w:rPr>
                <w:color w:val="000000"/>
                <w:highlight w:val="yellow"/>
                <w:lang w:val="es-ES"/>
              </w:rPr>
              <w:t>2.734</w:t>
            </w:r>
          </w:p>
        </w:tc>
        <w:tc>
          <w:tcPr>
            <w:tcW w:w="1469" w:type="dxa"/>
            <w:tcBorders>
              <w:top w:val="nil"/>
              <w:left w:val="nil"/>
              <w:bottom w:val="single" w:sz="4" w:space="0" w:color="auto"/>
              <w:right w:val="single" w:sz="4" w:space="0" w:color="auto"/>
            </w:tcBorders>
            <w:shd w:val="clear" w:color="auto" w:fill="auto"/>
            <w:noWrap/>
            <w:vAlign w:val="bottom"/>
            <w:hideMark/>
          </w:tcPr>
          <w:p w14:paraId="39283C44"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3.569   </w:t>
            </w:r>
          </w:p>
        </w:tc>
        <w:tc>
          <w:tcPr>
            <w:tcW w:w="1417" w:type="dxa"/>
            <w:tcBorders>
              <w:top w:val="nil"/>
              <w:left w:val="nil"/>
              <w:bottom w:val="single" w:sz="4" w:space="0" w:color="auto"/>
              <w:right w:val="single" w:sz="4" w:space="0" w:color="auto"/>
            </w:tcBorders>
            <w:shd w:val="clear" w:color="auto" w:fill="auto"/>
            <w:noWrap/>
            <w:vAlign w:val="bottom"/>
            <w:hideMark/>
          </w:tcPr>
          <w:p w14:paraId="579CDA70" w14:textId="77777777" w:rsidR="00621326" w:rsidRPr="0097176A" w:rsidRDefault="00621326" w:rsidP="007624EB">
            <w:pPr>
              <w:jc w:val="right"/>
              <w:rPr>
                <w:color w:val="000000"/>
                <w:highlight w:val="yellow"/>
                <w:lang w:val="es-ES"/>
              </w:rPr>
            </w:pPr>
            <w:r w:rsidRPr="0097176A">
              <w:rPr>
                <w:color w:val="000000"/>
                <w:highlight w:val="yellow"/>
                <w:lang w:val="es-ES"/>
              </w:rPr>
              <w:t>2,8 %</w:t>
            </w:r>
          </w:p>
        </w:tc>
      </w:tr>
      <w:tr w:rsidR="00621326" w:rsidRPr="0097176A" w14:paraId="37B1CBE3"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9602154" w14:textId="77777777" w:rsidR="00621326" w:rsidRPr="0097176A" w:rsidRDefault="00621326" w:rsidP="007624EB">
            <w:pPr>
              <w:rPr>
                <w:color w:val="000000"/>
                <w:highlight w:val="yellow"/>
                <w:lang w:val="es-ES"/>
              </w:rPr>
            </w:pPr>
            <w:r w:rsidRPr="0097176A">
              <w:rPr>
                <w:color w:val="000000"/>
                <w:highlight w:val="yellow"/>
                <w:lang w:val="es-ES"/>
              </w:rPr>
              <w:t>República Árabe Siria</w:t>
            </w:r>
          </w:p>
        </w:tc>
        <w:tc>
          <w:tcPr>
            <w:tcW w:w="1748" w:type="dxa"/>
            <w:tcBorders>
              <w:top w:val="nil"/>
              <w:left w:val="nil"/>
              <w:bottom w:val="single" w:sz="4" w:space="0" w:color="auto"/>
              <w:right w:val="single" w:sz="4" w:space="0" w:color="auto"/>
            </w:tcBorders>
            <w:shd w:val="clear" w:color="auto" w:fill="auto"/>
            <w:noWrap/>
            <w:vAlign w:val="bottom"/>
            <w:hideMark/>
          </w:tcPr>
          <w:p w14:paraId="17EB4EDD" w14:textId="77777777" w:rsidR="00621326" w:rsidRPr="0097176A" w:rsidRDefault="00621326" w:rsidP="007624EB">
            <w:pPr>
              <w:jc w:val="right"/>
              <w:rPr>
                <w:color w:val="000000"/>
                <w:highlight w:val="yellow"/>
                <w:lang w:val="es-ES"/>
              </w:rPr>
            </w:pPr>
            <w:r w:rsidRPr="0097176A">
              <w:rPr>
                <w:color w:val="000000"/>
                <w:highlight w:val="yellow"/>
                <w:lang w:val="es-ES"/>
              </w:rPr>
              <w:t>0,024</w:t>
            </w:r>
          </w:p>
        </w:tc>
        <w:tc>
          <w:tcPr>
            <w:tcW w:w="1843" w:type="dxa"/>
            <w:tcBorders>
              <w:top w:val="nil"/>
              <w:left w:val="nil"/>
              <w:bottom w:val="single" w:sz="4" w:space="0" w:color="auto"/>
              <w:right w:val="single" w:sz="4" w:space="0" w:color="auto"/>
            </w:tcBorders>
            <w:shd w:val="clear" w:color="auto" w:fill="auto"/>
            <w:noWrap/>
            <w:vAlign w:val="bottom"/>
            <w:hideMark/>
          </w:tcPr>
          <w:p w14:paraId="393D225E" w14:textId="77777777" w:rsidR="00621326" w:rsidRPr="0097176A" w:rsidRDefault="00621326" w:rsidP="007624EB">
            <w:pPr>
              <w:jc w:val="right"/>
              <w:rPr>
                <w:color w:val="000000"/>
                <w:highlight w:val="yellow"/>
                <w:lang w:val="es-ES"/>
              </w:rPr>
            </w:pPr>
            <w:r w:rsidRPr="0097176A">
              <w:rPr>
                <w:color w:val="000000"/>
                <w:highlight w:val="yellow"/>
                <w:lang w:val="es-ES"/>
              </w:rPr>
              <w:t>0,167</w:t>
            </w:r>
          </w:p>
        </w:tc>
        <w:tc>
          <w:tcPr>
            <w:tcW w:w="1469" w:type="dxa"/>
            <w:tcBorders>
              <w:top w:val="nil"/>
              <w:left w:val="nil"/>
              <w:bottom w:val="single" w:sz="4" w:space="0" w:color="auto"/>
              <w:right w:val="single" w:sz="4" w:space="0" w:color="auto"/>
            </w:tcBorders>
            <w:shd w:val="clear" w:color="auto" w:fill="auto"/>
            <w:noWrap/>
            <w:vAlign w:val="bottom"/>
            <w:hideMark/>
          </w:tcPr>
          <w:p w14:paraId="795C3ED2"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2E2F3DA"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720DC8" w:rsidRPr="0097176A" w14:paraId="4E62BEB9"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145A7C0" w14:textId="57CEEB00" w:rsidR="00720DC8" w:rsidRPr="0097176A" w:rsidRDefault="00720DC8" w:rsidP="000B099A">
            <w:pPr>
              <w:ind w:left="0" w:firstLine="0"/>
              <w:rPr>
                <w:color w:val="000000"/>
                <w:highlight w:val="yellow"/>
                <w:lang w:val="es-ES"/>
              </w:rPr>
            </w:pPr>
            <w:r w:rsidRPr="0097176A">
              <w:rPr>
                <w:color w:val="000000"/>
                <w:highlight w:val="yellow"/>
                <w:lang w:val="es-ES"/>
              </w:rPr>
              <w:t>República de Macedonia del Norte</w:t>
            </w:r>
          </w:p>
        </w:tc>
        <w:tc>
          <w:tcPr>
            <w:tcW w:w="1748" w:type="dxa"/>
            <w:tcBorders>
              <w:top w:val="nil"/>
              <w:left w:val="nil"/>
              <w:bottom w:val="single" w:sz="4" w:space="0" w:color="auto"/>
              <w:right w:val="single" w:sz="4" w:space="0" w:color="auto"/>
            </w:tcBorders>
            <w:shd w:val="clear" w:color="auto" w:fill="auto"/>
            <w:noWrap/>
            <w:vAlign w:val="bottom"/>
            <w:hideMark/>
          </w:tcPr>
          <w:p w14:paraId="58412DE4" w14:textId="77777777" w:rsidR="00720DC8" w:rsidRPr="0097176A" w:rsidRDefault="00720DC8" w:rsidP="007624EB">
            <w:pPr>
              <w:jc w:val="right"/>
              <w:rPr>
                <w:color w:val="000000"/>
                <w:highlight w:val="yellow"/>
                <w:lang w:val="es-ES"/>
              </w:rPr>
            </w:pPr>
            <w:r w:rsidRPr="0097176A">
              <w:rPr>
                <w:color w:val="000000"/>
                <w:highlight w:val="yellow"/>
                <w:lang w:val="es-ES"/>
              </w:rPr>
              <w:t>0,007</w:t>
            </w:r>
          </w:p>
        </w:tc>
        <w:tc>
          <w:tcPr>
            <w:tcW w:w="1843" w:type="dxa"/>
            <w:tcBorders>
              <w:top w:val="nil"/>
              <w:left w:val="nil"/>
              <w:bottom w:val="single" w:sz="4" w:space="0" w:color="auto"/>
              <w:right w:val="single" w:sz="4" w:space="0" w:color="auto"/>
            </w:tcBorders>
            <w:shd w:val="clear" w:color="auto" w:fill="auto"/>
            <w:noWrap/>
            <w:vAlign w:val="bottom"/>
            <w:hideMark/>
          </w:tcPr>
          <w:p w14:paraId="578A660F" w14:textId="77777777" w:rsidR="00720DC8" w:rsidRPr="0097176A" w:rsidRDefault="00720DC8" w:rsidP="007624EB">
            <w:pPr>
              <w:jc w:val="right"/>
              <w:rPr>
                <w:color w:val="000000"/>
                <w:highlight w:val="yellow"/>
                <w:lang w:val="es-ES"/>
              </w:rPr>
            </w:pPr>
            <w:r w:rsidRPr="0097176A">
              <w:rPr>
                <w:color w:val="000000"/>
                <w:highlight w:val="yellow"/>
                <w:lang w:val="es-ES"/>
              </w:rPr>
              <w:t>0,049</w:t>
            </w:r>
          </w:p>
        </w:tc>
        <w:tc>
          <w:tcPr>
            <w:tcW w:w="1469" w:type="dxa"/>
            <w:tcBorders>
              <w:top w:val="nil"/>
              <w:left w:val="nil"/>
              <w:bottom w:val="single" w:sz="4" w:space="0" w:color="auto"/>
              <w:right w:val="single" w:sz="4" w:space="0" w:color="auto"/>
            </w:tcBorders>
            <w:shd w:val="clear" w:color="auto" w:fill="auto"/>
            <w:noWrap/>
            <w:vAlign w:val="bottom"/>
            <w:hideMark/>
          </w:tcPr>
          <w:p w14:paraId="737A2C4E" w14:textId="77777777" w:rsidR="00720DC8" w:rsidRPr="0097176A" w:rsidRDefault="00720DC8"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3102AAE4" w14:textId="77777777" w:rsidR="00720DC8" w:rsidRPr="0097176A" w:rsidRDefault="00720DC8" w:rsidP="007624EB">
            <w:pPr>
              <w:jc w:val="right"/>
              <w:rPr>
                <w:color w:val="000000"/>
                <w:highlight w:val="yellow"/>
                <w:lang w:val="es-ES"/>
              </w:rPr>
            </w:pPr>
            <w:r w:rsidRPr="0097176A">
              <w:rPr>
                <w:color w:val="000000"/>
                <w:highlight w:val="yellow"/>
                <w:lang w:val="es-ES"/>
              </w:rPr>
              <w:t>0,4 %</w:t>
            </w:r>
          </w:p>
        </w:tc>
      </w:tr>
      <w:tr w:rsidR="00621326" w:rsidRPr="0097176A" w14:paraId="487AC4D1"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AE78733" w14:textId="77777777" w:rsidR="00621326" w:rsidRPr="0097176A" w:rsidRDefault="00621326" w:rsidP="007624EB">
            <w:pPr>
              <w:rPr>
                <w:color w:val="000000"/>
                <w:highlight w:val="yellow"/>
                <w:lang w:val="es-ES"/>
              </w:rPr>
            </w:pPr>
            <w:r w:rsidRPr="0097176A">
              <w:rPr>
                <w:color w:val="000000"/>
                <w:highlight w:val="yellow"/>
                <w:lang w:val="es-ES"/>
              </w:rPr>
              <w:t>Serbia</w:t>
            </w:r>
          </w:p>
        </w:tc>
        <w:tc>
          <w:tcPr>
            <w:tcW w:w="1748" w:type="dxa"/>
            <w:tcBorders>
              <w:top w:val="nil"/>
              <w:left w:val="nil"/>
              <w:bottom w:val="single" w:sz="4" w:space="0" w:color="auto"/>
              <w:right w:val="single" w:sz="4" w:space="0" w:color="auto"/>
            </w:tcBorders>
            <w:shd w:val="clear" w:color="auto" w:fill="auto"/>
            <w:noWrap/>
            <w:vAlign w:val="bottom"/>
            <w:hideMark/>
          </w:tcPr>
          <w:p w14:paraId="5F3A9128" w14:textId="77777777" w:rsidR="00621326" w:rsidRPr="0097176A" w:rsidRDefault="00621326" w:rsidP="007624EB">
            <w:pPr>
              <w:jc w:val="right"/>
              <w:rPr>
                <w:color w:val="000000"/>
                <w:highlight w:val="yellow"/>
                <w:lang w:val="es-ES"/>
              </w:rPr>
            </w:pPr>
            <w:r w:rsidRPr="0097176A">
              <w:rPr>
                <w:color w:val="000000"/>
                <w:highlight w:val="yellow"/>
                <w:lang w:val="es-ES"/>
              </w:rPr>
              <w:t>0,032</w:t>
            </w:r>
          </w:p>
        </w:tc>
        <w:tc>
          <w:tcPr>
            <w:tcW w:w="1843" w:type="dxa"/>
            <w:tcBorders>
              <w:top w:val="nil"/>
              <w:left w:val="nil"/>
              <w:bottom w:val="single" w:sz="4" w:space="0" w:color="auto"/>
              <w:right w:val="single" w:sz="4" w:space="0" w:color="auto"/>
            </w:tcBorders>
            <w:shd w:val="clear" w:color="auto" w:fill="auto"/>
            <w:noWrap/>
            <w:vAlign w:val="bottom"/>
            <w:hideMark/>
          </w:tcPr>
          <w:p w14:paraId="64DF9F5E" w14:textId="77777777" w:rsidR="00621326" w:rsidRPr="0097176A" w:rsidRDefault="00621326" w:rsidP="007624EB">
            <w:pPr>
              <w:jc w:val="right"/>
              <w:rPr>
                <w:color w:val="000000"/>
                <w:highlight w:val="yellow"/>
                <w:lang w:val="es-ES"/>
              </w:rPr>
            </w:pPr>
            <w:r w:rsidRPr="0097176A">
              <w:rPr>
                <w:color w:val="000000"/>
                <w:highlight w:val="yellow"/>
                <w:lang w:val="es-ES"/>
              </w:rPr>
              <w:t>0,223</w:t>
            </w:r>
          </w:p>
        </w:tc>
        <w:tc>
          <w:tcPr>
            <w:tcW w:w="1469" w:type="dxa"/>
            <w:tcBorders>
              <w:top w:val="nil"/>
              <w:left w:val="nil"/>
              <w:bottom w:val="single" w:sz="4" w:space="0" w:color="auto"/>
              <w:right w:val="single" w:sz="4" w:space="0" w:color="auto"/>
            </w:tcBorders>
            <w:shd w:val="clear" w:color="auto" w:fill="auto"/>
            <w:noWrap/>
            <w:vAlign w:val="bottom"/>
            <w:hideMark/>
          </w:tcPr>
          <w:p w14:paraId="71F1D24E"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51DEF86"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2AB8E4E7"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8DD574D" w14:textId="77777777" w:rsidR="00621326" w:rsidRPr="0097176A" w:rsidRDefault="00621326" w:rsidP="007624EB">
            <w:pPr>
              <w:rPr>
                <w:color w:val="000000"/>
                <w:highlight w:val="yellow"/>
                <w:lang w:val="es-ES"/>
              </w:rPr>
            </w:pPr>
            <w:r w:rsidRPr="0097176A">
              <w:rPr>
                <w:color w:val="000000"/>
                <w:highlight w:val="yellow"/>
                <w:lang w:val="es-ES"/>
              </w:rPr>
              <w:t>Túnez</w:t>
            </w:r>
          </w:p>
        </w:tc>
        <w:tc>
          <w:tcPr>
            <w:tcW w:w="1748" w:type="dxa"/>
            <w:tcBorders>
              <w:top w:val="nil"/>
              <w:left w:val="nil"/>
              <w:bottom w:val="single" w:sz="4" w:space="0" w:color="auto"/>
              <w:right w:val="single" w:sz="4" w:space="0" w:color="auto"/>
            </w:tcBorders>
            <w:shd w:val="clear" w:color="auto" w:fill="auto"/>
            <w:noWrap/>
            <w:vAlign w:val="bottom"/>
            <w:hideMark/>
          </w:tcPr>
          <w:p w14:paraId="4E6AE27D" w14:textId="77777777" w:rsidR="00621326" w:rsidRPr="0097176A" w:rsidRDefault="00621326" w:rsidP="007624EB">
            <w:pPr>
              <w:jc w:val="right"/>
              <w:rPr>
                <w:color w:val="000000"/>
                <w:highlight w:val="yellow"/>
                <w:lang w:val="es-ES"/>
              </w:rPr>
            </w:pPr>
            <w:r w:rsidRPr="0097176A">
              <w:rPr>
                <w:color w:val="000000"/>
                <w:highlight w:val="yellow"/>
                <w:lang w:val="es-ES"/>
              </w:rPr>
              <w:t>0,028</w:t>
            </w:r>
          </w:p>
        </w:tc>
        <w:tc>
          <w:tcPr>
            <w:tcW w:w="1843" w:type="dxa"/>
            <w:tcBorders>
              <w:top w:val="nil"/>
              <w:left w:val="nil"/>
              <w:bottom w:val="single" w:sz="4" w:space="0" w:color="auto"/>
              <w:right w:val="single" w:sz="4" w:space="0" w:color="auto"/>
            </w:tcBorders>
            <w:shd w:val="clear" w:color="auto" w:fill="auto"/>
            <w:noWrap/>
            <w:vAlign w:val="bottom"/>
            <w:hideMark/>
          </w:tcPr>
          <w:p w14:paraId="757FB41E" w14:textId="77777777" w:rsidR="00621326" w:rsidRPr="0097176A" w:rsidRDefault="00621326" w:rsidP="007624EB">
            <w:pPr>
              <w:jc w:val="right"/>
              <w:rPr>
                <w:color w:val="000000"/>
                <w:highlight w:val="yellow"/>
                <w:lang w:val="es-ES"/>
              </w:rPr>
            </w:pPr>
            <w:r w:rsidRPr="0097176A">
              <w:rPr>
                <w:color w:val="000000"/>
                <w:highlight w:val="yellow"/>
                <w:lang w:val="es-ES"/>
              </w:rPr>
              <w:t>0,195</w:t>
            </w:r>
          </w:p>
        </w:tc>
        <w:tc>
          <w:tcPr>
            <w:tcW w:w="1469" w:type="dxa"/>
            <w:tcBorders>
              <w:top w:val="nil"/>
              <w:left w:val="nil"/>
              <w:bottom w:val="single" w:sz="4" w:space="0" w:color="auto"/>
              <w:right w:val="single" w:sz="4" w:space="0" w:color="auto"/>
            </w:tcBorders>
            <w:shd w:val="clear" w:color="auto" w:fill="auto"/>
            <w:noWrap/>
            <w:vAlign w:val="bottom"/>
            <w:hideMark/>
          </w:tcPr>
          <w:p w14:paraId="3F2DD384"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C184917" w14:textId="77777777" w:rsidR="00621326" w:rsidRPr="0097176A" w:rsidRDefault="00621326" w:rsidP="007624EB">
            <w:pPr>
              <w:jc w:val="right"/>
              <w:rPr>
                <w:color w:val="000000"/>
                <w:highlight w:val="yellow"/>
                <w:lang w:val="es-ES"/>
              </w:rPr>
            </w:pPr>
            <w:r w:rsidRPr="0097176A">
              <w:rPr>
                <w:color w:val="000000"/>
                <w:highlight w:val="yellow"/>
                <w:lang w:val="es-ES"/>
              </w:rPr>
              <w:t>0,4 %</w:t>
            </w:r>
          </w:p>
        </w:tc>
      </w:tr>
      <w:tr w:rsidR="00621326" w:rsidRPr="0097176A" w14:paraId="7B237EBF"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2323AD4" w14:textId="77777777" w:rsidR="00621326" w:rsidRPr="0097176A" w:rsidRDefault="00621326" w:rsidP="007624EB">
            <w:pPr>
              <w:rPr>
                <w:color w:val="000000"/>
                <w:highlight w:val="yellow"/>
                <w:lang w:val="es-ES"/>
              </w:rPr>
            </w:pPr>
            <w:r w:rsidRPr="0097176A">
              <w:rPr>
                <w:color w:val="000000"/>
                <w:highlight w:val="yellow"/>
                <w:lang w:val="es-ES"/>
              </w:rPr>
              <w:t>Turquía</w:t>
            </w:r>
          </w:p>
        </w:tc>
        <w:tc>
          <w:tcPr>
            <w:tcW w:w="1748" w:type="dxa"/>
            <w:tcBorders>
              <w:top w:val="nil"/>
              <w:left w:val="nil"/>
              <w:bottom w:val="single" w:sz="4" w:space="0" w:color="auto"/>
              <w:right w:val="single" w:sz="4" w:space="0" w:color="auto"/>
            </w:tcBorders>
            <w:shd w:val="clear" w:color="auto" w:fill="auto"/>
            <w:noWrap/>
            <w:vAlign w:val="bottom"/>
            <w:hideMark/>
          </w:tcPr>
          <w:p w14:paraId="2C078061" w14:textId="77777777" w:rsidR="00621326" w:rsidRPr="0097176A" w:rsidRDefault="00621326" w:rsidP="007624EB">
            <w:pPr>
              <w:jc w:val="right"/>
              <w:rPr>
                <w:color w:val="000000"/>
                <w:highlight w:val="yellow"/>
                <w:lang w:val="es-ES"/>
              </w:rPr>
            </w:pPr>
            <w:r w:rsidRPr="0097176A">
              <w:rPr>
                <w:color w:val="000000"/>
                <w:highlight w:val="yellow"/>
                <w:lang w:val="es-ES"/>
              </w:rPr>
              <w:t>1,018</w:t>
            </w:r>
          </w:p>
        </w:tc>
        <w:tc>
          <w:tcPr>
            <w:tcW w:w="1843" w:type="dxa"/>
            <w:tcBorders>
              <w:top w:val="nil"/>
              <w:left w:val="nil"/>
              <w:bottom w:val="single" w:sz="4" w:space="0" w:color="auto"/>
              <w:right w:val="single" w:sz="4" w:space="0" w:color="auto"/>
            </w:tcBorders>
            <w:shd w:val="clear" w:color="auto" w:fill="auto"/>
            <w:noWrap/>
            <w:vAlign w:val="bottom"/>
            <w:hideMark/>
          </w:tcPr>
          <w:p w14:paraId="36D4C6E8" w14:textId="77777777" w:rsidR="00621326" w:rsidRPr="0097176A" w:rsidRDefault="00621326" w:rsidP="007624EB">
            <w:pPr>
              <w:jc w:val="right"/>
              <w:rPr>
                <w:color w:val="000000"/>
                <w:highlight w:val="yellow"/>
                <w:lang w:val="es-ES"/>
              </w:rPr>
            </w:pPr>
            <w:r w:rsidRPr="0097176A">
              <w:rPr>
                <w:color w:val="000000"/>
                <w:highlight w:val="yellow"/>
                <w:lang w:val="es-ES"/>
              </w:rPr>
              <w:t>7,100</w:t>
            </w:r>
          </w:p>
        </w:tc>
        <w:tc>
          <w:tcPr>
            <w:tcW w:w="1469" w:type="dxa"/>
            <w:tcBorders>
              <w:top w:val="nil"/>
              <w:left w:val="nil"/>
              <w:bottom w:val="single" w:sz="4" w:space="0" w:color="auto"/>
              <w:right w:val="single" w:sz="4" w:space="0" w:color="auto"/>
            </w:tcBorders>
            <w:shd w:val="clear" w:color="auto" w:fill="auto"/>
            <w:noWrap/>
            <w:vAlign w:val="bottom"/>
            <w:hideMark/>
          </w:tcPr>
          <w:p w14:paraId="1BDF7891" w14:textId="77777777" w:rsidR="00621326" w:rsidRPr="0097176A" w:rsidRDefault="00621326" w:rsidP="007624EB">
            <w:pPr>
              <w:jc w:val="right"/>
              <w:rPr>
                <w:color w:val="000000"/>
                <w:highlight w:val="yellow"/>
                <w:lang w:val="es-ES"/>
              </w:rPr>
            </w:pPr>
            <w:r w:rsidRPr="0097176A">
              <w:rPr>
                <w:color w:val="000000"/>
                <w:highlight w:val="yellow"/>
                <w:lang w:val="es-ES"/>
              </w:rPr>
              <w:t xml:space="preserve">9.268   </w:t>
            </w:r>
          </w:p>
        </w:tc>
        <w:tc>
          <w:tcPr>
            <w:tcW w:w="1417" w:type="dxa"/>
            <w:tcBorders>
              <w:top w:val="nil"/>
              <w:left w:val="nil"/>
              <w:bottom w:val="single" w:sz="4" w:space="0" w:color="auto"/>
              <w:right w:val="single" w:sz="4" w:space="0" w:color="auto"/>
            </w:tcBorders>
            <w:shd w:val="clear" w:color="auto" w:fill="auto"/>
            <w:noWrap/>
            <w:vAlign w:val="bottom"/>
            <w:hideMark/>
          </w:tcPr>
          <w:p w14:paraId="672114AF" w14:textId="77777777" w:rsidR="00621326" w:rsidRPr="0097176A" w:rsidRDefault="00621326" w:rsidP="007624EB">
            <w:pPr>
              <w:jc w:val="right"/>
              <w:rPr>
                <w:color w:val="000000"/>
                <w:highlight w:val="yellow"/>
                <w:lang w:val="es-ES"/>
              </w:rPr>
            </w:pPr>
            <w:r w:rsidRPr="0097176A">
              <w:rPr>
                <w:color w:val="000000"/>
                <w:highlight w:val="yellow"/>
                <w:lang w:val="es-ES"/>
              </w:rPr>
              <w:t>7,2 %</w:t>
            </w:r>
          </w:p>
        </w:tc>
      </w:tr>
      <w:tr w:rsidR="00621326" w:rsidRPr="0097176A" w14:paraId="3B8D9A0F" w14:textId="77777777" w:rsidTr="0097176A">
        <w:trPr>
          <w:trHeight w:val="32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BC26B49" w14:textId="77777777" w:rsidR="00621326" w:rsidRPr="0097176A" w:rsidRDefault="00621326" w:rsidP="007624EB">
            <w:pPr>
              <w:rPr>
                <w:color w:val="000000"/>
                <w:highlight w:val="yellow"/>
                <w:lang w:val="es-ES"/>
              </w:rPr>
            </w:pPr>
          </w:p>
        </w:tc>
        <w:tc>
          <w:tcPr>
            <w:tcW w:w="1748" w:type="dxa"/>
            <w:tcBorders>
              <w:top w:val="nil"/>
              <w:left w:val="nil"/>
              <w:bottom w:val="single" w:sz="4" w:space="0" w:color="auto"/>
              <w:right w:val="single" w:sz="4" w:space="0" w:color="auto"/>
            </w:tcBorders>
            <w:shd w:val="clear" w:color="auto" w:fill="auto"/>
            <w:noWrap/>
            <w:vAlign w:val="bottom"/>
            <w:hideMark/>
          </w:tcPr>
          <w:p w14:paraId="0C9A99C7" w14:textId="77777777" w:rsidR="00621326" w:rsidRPr="0097176A" w:rsidRDefault="00621326" w:rsidP="007624EB">
            <w:pPr>
              <w:jc w:val="right"/>
              <w:rPr>
                <w:color w:val="000000"/>
                <w:highlight w:val="yellow"/>
                <w:lang w:val="es-ES"/>
              </w:rPr>
            </w:pPr>
            <w:r w:rsidRPr="0097176A">
              <w:rPr>
                <w:color w:val="000000"/>
                <w:highlight w:val="yellow"/>
                <w:lang w:val="es-ES"/>
              </w:rPr>
              <w:t>14,338</w:t>
            </w:r>
          </w:p>
        </w:tc>
        <w:tc>
          <w:tcPr>
            <w:tcW w:w="1843" w:type="dxa"/>
            <w:tcBorders>
              <w:top w:val="nil"/>
              <w:left w:val="nil"/>
              <w:bottom w:val="single" w:sz="4" w:space="0" w:color="auto"/>
              <w:right w:val="single" w:sz="4" w:space="0" w:color="auto"/>
            </w:tcBorders>
            <w:shd w:val="clear" w:color="auto" w:fill="auto"/>
            <w:noWrap/>
            <w:vAlign w:val="bottom"/>
            <w:hideMark/>
          </w:tcPr>
          <w:p w14:paraId="220A1AFF" w14:textId="77777777" w:rsidR="00621326" w:rsidRPr="0097176A" w:rsidRDefault="00621326" w:rsidP="007624EB">
            <w:pPr>
              <w:jc w:val="right"/>
              <w:rPr>
                <w:color w:val="000000"/>
                <w:highlight w:val="yellow"/>
                <w:lang w:val="es-ES"/>
              </w:rPr>
            </w:pPr>
            <w:r w:rsidRPr="0097176A">
              <w:rPr>
                <w:color w:val="000000"/>
                <w:highlight w:val="yellow"/>
                <w:lang w:val="es-ES"/>
              </w:rPr>
              <w:t>100</w:t>
            </w:r>
          </w:p>
        </w:tc>
        <w:tc>
          <w:tcPr>
            <w:tcW w:w="1469" w:type="dxa"/>
            <w:tcBorders>
              <w:top w:val="nil"/>
              <w:left w:val="nil"/>
              <w:bottom w:val="single" w:sz="4" w:space="0" w:color="auto"/>
              <w:right w:val="single" w:sz="4" w:space="0" w:color="auto"/>
            </w:tcBorders>
            <w:shd w:val="clear" w:color="auto" w:fill="auto"/>
            <w:noWrap/>
            <w:vAlign w:val="bottom"/>
            <w:hideMark/>
          </w:tcPr>
          <w:p w14:paraId="78BA68D9" w14:textId="77777777" w:rsidR="00621326" w:rsidRPr="0097176A" w:rsidRDefault="00621326" w:rsidP="007624EB">
            <w:pPr>
              <w:jc w:val="right"/>
              <w:rPr>
                <w:b/>
                <w:color w:val="000000"/>
                <w:highlight w:val="yellow"/>
                <w:lang w:val="es-ES"/>
              </w:rPr>
            </w:pPr>
            <w:r w:rsidRPr="0097176A">
              <w:rPr>
                <w:b/>
                <w:color w:val="000000"/>
                <w:highlight w:val="yellow"/>
                <w:lang w:val="es-ES"/>
              </w:rPr>
              <w:t xml:space="preserve">129.378   </w:t>
            </w:r>
          </w:p>
        </w:tc>
        <w:tc>
          <w:tcPr>
            <w:tcW w:w="1417" w:type="dxa"/>
            <w:tcBorders>
              <w:top w:val="nil"/>
              <w:left w:val="nil"/>
              <w:bottom w:val="single" w:sz="4" w:space="0" w:color="auto"/>
              <w:right w:val="single" w:sz="4" w:space="0" w:color="auto"/>
            </w:tcBorders>
            <w:shd w:val="clear" w:color="auto" w:fill="auto"/>
            <w:noWrap/>
            <w:vAlign w:val="bottom"/>
            <w:hideMark/>
          </w:tcPr>
          <w:p w14:paraId="22554039" w14:textId="77777777" w:rsidR="00621326" w:rsidRPr="0097176A" w:rsidRDefault="00621326" w:rsidP="007624EB">
            <w:pPr>
              <w:jc w:val="right"/>
              <w:rPr>
                <w:b/>
                <w:color w:val="000000"/>
                <w:highlight w:val="yellow"/>
                <w:lang w:val="es-ES"/>
              </w:rPr>
            </w:pPr>
            <w:r w:rsidRPr="0097176A">
              <w:rPr>
                <w:b/>
                <w:color w:val="000000"/>
                <w:highlight w:val="yellow"/>
                <w:lang w:val="es-ES"/>
              </w:rPr>
              <w:t>100 %</w:t>
            </w:r>
          </w:p>
        </w:tc>
      </w:tr>
    </w:tbl>
    <w:p w14:paraId="425BF2A3" w14:textId="77777777" w:rsidR="00621326" w:rsidRPr="0097176A" w:rsidRDefault="00621326" w:rsidP="00621326">
      <w:pPr>
        <w:rPr>
          <w:highlight w:val="yellow"/>
          <w:lang w:val="es-ES"/>
        </w:rPr>
      </w:pPr>
      <w:r w:rsidRPr="0097176A">
        <w:rPr>
          <w:highlight w:val="yellow"/>
          <w:lang w:val="es-ES"/>
        </w:rPr>
        <w:t>*Bajo la condición de aprobaciones anuales en cumplimiento de la legislación italiana, como contribución voluntaria. A pedido de Italia, se aplica el umbral del 22 % de las Naciones Unidas a la contribución de Italia.</w:t>
      </w:r>
    </w:p>
    <w:p w14:paraId="5C78321A" w14:textId="77777777" w:rsidR="00621326" w:rsidRPr="0097176A" w:rsidRDefault="00621326" w:rsidP="00621326">
      <w:pPr>
        <w:rPr>
          <w:highlight w:val="yellow"/>
          <w:lang w:val="es-ES"/>
        </w:rPr>
      </w:pPr>
    </w:p>
    <w:p w14:paraId="067E32B3" w14:textId="0D0D4527" w:rsidR="00015C8E" w:rsidRPr="0097176A" w:rsidRDefault="00621326" w:rsidP="00015C8E">
      <w:pPr>
        <w:rPr>
          <w:rFonts w:cs="Calibri"/>
          <w:b/>
          <w:highlight w:val="yellow"/>
          <w:lang w:val="es-ES"/>
        </w:rPr>
      </w:pPr>
      <w:r w:rsidRPr="0097176A">
        <w:rPr>
          <w:b/>
          <w:highlight w:val="yellow"/>
          <w:lang w:val="es-ES"/>
        </w:rPr>
        <w:t>Nota</w:t>
      </w:r>
      <w:r w:rsidRPr="0097176A">
        <w:rPr>
          <w:highlight w:val="yellow"/>
          <w:lang w:val="es-ES"/>
        </w:rPr>
        <w:t>. Las contribuciones anuales de los países que participan en la Iniciativa MedWet se calcularon sobre la base de las Escala de cuotas de las Naciones Unidas para 2018. Cuando la Escala de cuotas de las Naciones Unidas sea actualizada por medio de la aprobación de la Asamblea General de las Naciones Unidas, se modificarán las contribuciones de los países del modo consiguiente.</w:t>
      </w:r>
      <w:bookmarkEnd w:id="9"/>
    </w:p>
    <w:p w14:paraId="326BB214" w14:textId="5670C6D1" w:rsidR="00015C8E" w:rsidRPr="0097176A" w:rsidRDefault="00015C8E" w:rsidP="00015C8E">
      <w:pPr>
        <w:pStyle w:val="p1"/>
        <w:rPr>
          <w:rFonts w:ascii="Calibri" w:hAnsi="Calibri"/>
          <w:i/>
          <w:sz w:val="22"/>
          <w:highlight w:val="yellow"/>
          <w:lang w:val="es-ES"/>
        </w:rPr>
      </w:pPr>
    </w:p>
    <w:p w14:paraId="33AC51CC" w14:textId="77777777" w:rsidR="00015C8E" w:rsidRPr="00DC56B3" w:rsidRDefault="00015C8E" w:rsidP="00015C8E">
      <w:pPr>
        <w:pStyle w:val="Heading2"/>
        <w:spacing w:before="117"/>
        <w:ind w:left="0"/>
        <w:rPr>
          <w:b/>
          <w:sz w:val="22"/>
          <w:lang w:val="es-ES"/>
        </w:rPr>
      </w:pPr>
    </w:p>
    <w:sectPr w:rsidR="00015C8E" w:rsidRPr="00DC56B3" w:rsidSect="00E166C6">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B79A9" w14:textId="77777777" w:rsidR="00F47525" w:rsidRDefault="00F47525" w:rsidP="00DF2386">
      <w:r>
        <w:separator/>
      </w:r>
    </w:p>
  </w:endnote>
  <w:endnote w:type="continuationSeparator" w:id="0">
    <w:p w14:paraId="278B9D84" w14:textId="77777777" w:rsidR="00F47525" w:rsidRDefault="00F47525" w:rsidP="00DF2386">
      <w:r>
        <w:continuationSeparator/>
      </w:r>
    </w:p>
  </w:endnote>
  <w:endnote w:type="continuationNotice" w:id="1">
    <w:p w14:paraId="0E5F3759" w14:textId="77777777" w:rsidR="00F47525" w:rsidRDefault="00F4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E40" w14:textId="7233C68D" w:rsidR="00A90003" w:rsidRPr="00A77D00" w:rsidRDefault="00A90003" w:rsidP="002137E0">
    <w:pPr>
      <w:pStyle w:val="Header"/>
      <w:rPr>
        <w:noProof/>
        <w:sz w:val="20"/>
        <w:szCs w:val="20"/>
      </w:rPr>
    </w:pPr>
    <w:r w:rsidRPr="00A77D00">
      <w:rPr>
        <w:sz w:val="20"/>
        <w:szCs w:val="20"/>
      </w:rPr>
      <w:t>SC59</w:t>
    </w:r>
    <w:r w:rsidR="00AB1AB2">
      <w:rPr>
        <w:sz w:val="20"/>
        <w:szCs w:val="20"/>
      </w:rPr>
      <w:t>/2022</w:t>
    </w:r>
    <w:r w:rsidRPr="00A77D00">
      <w:rPr>
        <w:sz w:val="20"/>
        <w:szCs w:val="20"/>
      </w:rPr>
      <w:t xml:space="preserve"> Doc.2</w:t>
    </w:r>
    <w:r w:rsidR="00AB1AB2">
      <w:rPr>
        <w:sz w:val="20"/>
        <w:szCs w:val="20"/>
      </w:rPr>
      <w:t>4.</w:t>
    </w:r>
    <w:r w:rsidR="00EF716E">
      <w:rPr>
        <w:sz w:val="20"/>
        <w:szCs w:val="20"/>
      </w:rPr>
      <w:t>10</w:t>
    </w:r>
    <w:r w:rsidRPr="00A77D00">
      <w:rPr>
        <w:sz w:val="20"/>
        <w:szCs w:val="20"/>
      </w:rPr>
      <w:tab/>
    </w:r>
    <w:r w:rsidRPr="00A77D00">
      <w:rPr>
        <w:sz w:val="20"/>
        <w:szCs w:val="20"/>
      </w:rPr>
      <w:tab/>
    </w:r>
    <w:sdt>
      <w:sdtPr>
        <w:rPr>
          <w:sz w:val="20"/>
          <w:szCs w:val="20"/>
        </w:rPr>
        <w:id w:val="-1790969534"/>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3B4B27">
          <w:rPr>
            <w:noProof/>
            <w:sz w:val="20"/>
            <w:szCs w:val="20"/>
          </w:rPr>
          <w:t>6</w:t>
        </w:r>
        <w:r w:rsidRPr="00A77D0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5D8E" w14:textId="77777777" w:rsidR="00F47525" w:rsidRDefault="00F47525" w:rsidP="00DF2386">
      <w:r>
        <w:separator/>
      </w:r>
    </w:p>
  </w:footnote>
  <w:footnote w:type="continuationSeparator" w:id="0">
    <w:p w14:paraId="317A1FF6" w14:textId="77777777" w:rsidR="00F47525" w:rsidRDefault="00F47525" w:rsidP="00DF2386">
      <w:r>
        <w:continuationSeparator/>
      </w:r>
    </w:p>
  </w:footnote>
  <w:footnote w:type="continuationNotice" w:id="1">
    <w:p w14:paraId="7BCF4611" w14:textId="77777777" w:rsidR="00F47525" w:rsidRDefault="00F475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7BBB" w14:textId="77777777" w:rsidR="00A90003" w:rsidRDefault="00A90003">
    <w:pPr>
      <w:pStyle w:val="Header"/>
    </w:pPr>
  </w:p>
  <w:p w14:paraId="2AE5869B" w14:textId="77777777" w:rsidR="00A90003" w:rsidRDefault="00A9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99A"/>
    <w:multiLevelType w:val="multilevel"/>
    <w:tmpl w:val="AC90ACD0"/>
    <w:lvl w:ilvl="0">
      <w:start w:val="7"/>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77857"/>
    <w:multiLevelType w:val="hybridMultilevel"/>
    <w:tmpl w:val="EAE883D0"/>
    <w:lvl w:ilvl="0" w:tplc="874E532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E5F04AE"/>
    <w:multiLevelType w:val="hybridMultilevel"/>
    <w:tmpl w:val="7A0A3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4"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33FD2BFF"/>
    <w:multiLevelType w:val="hybridMultilevel"/>
    <w:tmpl w:val="D6CCDC32"/>
    <w:lvl w:ilvl="0" w:tplc="EDCE848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 w15:restartNumberingAfterBreak="0">
    <w:nsid w:val="410F2039"/>
    <w:multiLevelType w:val="hybridMultilevel"/>
    <w:tmpl w:val="589EFD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F13E21"/>
    <w:multiLevelType w:val="hybridMultilevel"/>
    <w:tmpl w:val="DA32290E"/>
    <w:lvl w:ilvl="0" w:tplc="040C0019">
      <w:start w:val="1"/>
      <w:numFmt w:val="lowerLetter"/>
      <w:lvlText w:val="%1."/>
      <w:lvlJc w:val="left"/>
      <w:pPr>
        <w:ind w:left="791" w:hanging="360"/>
      </w:pPr>
      <w:rPr>
        <w:rFonts w:hint="default"/>
      </w:rPr>
    </w:lvl>
    <w:lvl w:ilvl="1" w:tplc="39980504">
      <w:start w:val="1"/>
      <w:numFmt w:val="lowerRoman"/>
      <w:lvlText w:val="%2."/>
      <w:lvlJc w:val="left"/>
      <w:pPr>
        <w:ind w:left="1511" w:hanging="360"/>
      </w:pPr>
      <w:rPr>
        <w:rFonts w:hint="default"/>
      </w:rPr>
    </w:lvl>
    <w:lvl w:ilvl="2" w:tplc="041D0005" w:tentative="1">
      <w:start w:val="1"/>
      <w:numFmt w:val="bullet"/>
      <w:lvlText w:val=""/>
      <w:lvlJc w:val="left"/>
      <w:pPr>
        <w:ind w:left="2231" w:hanging="360"/>
      </w:pPr>
      <w:rPr>
        <w:rFonts w:ascii="Wingdings" w:hAnsi="Wingdings" w:hint="default"/>
      </w:rPr>
    </w:lvl>
    <w:lvl w:ilvl="3" w:tplc="041D0001" w:tentative="1">
      <w:start w:val="1"/>
      <w:numFmt w:val="bullet"/>
      <w:lvlText w:val=""/>
      <w:lvlJc w:val="left"/>
      <w:pPr>
        <w:ind w:left="2951" w:hanging="360"/>
      </w:pPr>
      <w:rPr>
        <w:rFonts w:ascii="Symbol" w:hAnsi="Symbol" w:hint="default"/>
      </w:rPr>
    </w:lvl>
    <w:lvl w:ilvl="4" w:tplc="041D0003" w:tentative="1">
      <w:start w:val="1"/>
      <w:numFmt w:val="bullet"/>
      <w:lvlText w:val="o"/>
      <w:lvlJc w:val="left"/>
      <w:pPr>
        <w:ind w:left="3671" w:hanging="360"/>
      </w:pPr>
      <w:rPr>
        <w:rFonts w:ascii="Courier New" w:hAnsi="Courier New" w:cs="Courier New" w:hint="default"/>
      </w:rPr>
    </w:lvl>
    <w:lvl w:ilvl="5" w:tplc="041D0005" w:tentative="1">
      <w:start w:val="1"/>
      <w:numFmt w:val="bullet"/>
      <w:lvlText w:val=""/>
      <w:lvlJc w:val="left"/>
      <w:pPr>
        <w:ind w:left="4391" w:hanging="360"/>
      </w:pPr>
      <w:rPr>
        <w:rFonts w:ascii="Wingdings" w:hAnsi="Wingdings" w:hint="default"/>
      </w:rPr>
    </w:lvl>
    <w:lvl w:ilvl="6" w:tplc="041D0001" w:tentative="1">
      <w:start w:val="1"/>
      <w:numFmt w:val="bullet"/>
      <w:lvlText w:val=""/>
      <w:lvlJc w:val="left"/>
      <w:pPr>
        <w:ind w:left="5111" w:hanging="360"/>
      </w:pPr>
      <w:rPr>
        <w:rFonts w:ascii="Symbol" w:hAnsi="Symbol" w:hint="default"/>
      </w:rPr>
    </w:lvl>
    <w:lvl w:ilvl="7" w:tplc="041D0003" w:tentative="1">
      <w:start w:val="1"/>
      <w:numFmt w:val="bullet"/>
      <w:lvlText w:val="o"/>
      <w:lvlJc w:val="left"/>
      <w:pPr>
        <w:ind w:left="5831" w:hanging="360"/>
      </w:pPr>
      <w:rPr>
        <w:rFonts w:ascii="Courier New" w:hAnsi="Courier New" w:cs="Courier New" w:hint="default"/>
      </w:rPr>
    </w:lvl>
    <w:lvl w:ilvl="8" w:tplc="041D0005" w:tentative="1">
      <w:start w:val="1"/>
      <w:numFmt w:val="bullet"/>
      <w:lvlText w:val=""/>
      <w:lvlJc w:val="left"/>
      <w:pPr>
        <w:ind w:left="6551" w:hanging="360"/>
      </w:pPr>
      <w:rPr>
        <w:rFonts w:ascii="Wingdings" w:hAnsi="Wingdings" w:hint="default"/>
      </w:rPr>
    </w:lvl>
  </w:abstractNum>
  <w:abstractNum w:abstractNumId="9" w15:restartNumberingAfterBreak="0">
    <w:nsid w:val="5D1957A4"/>
    <w:multiLevelType w:val="hybridMultilevel"/>
    <w:tmpl w:val="1AE64A00"/>
    <w:lvl w:ilvl="0" w:tplc="FC10B800">
      <w:start w:val="1"/>
      <w:numFmt w:val="decimal"/>
      <w:lvlText w:val="%1."/>
      <w:lvlJc w:val="left"/>
      <w:pPr>
        <w:ind w:left="502" w:hanging="360"/>
      </w:pPr>
      <w:rPr>
        <w:b w:val="0"/>
        <w:bCs w:val="0"/>
        <w:i w:val="0"/>
        <w:iCs w:val="0"/>
        <w:strike w:val="0"/>
      </w:rPr>
    </w:lvl>
    <w:lvl w:ilvl="1" w:tplc="0409000F">
      <w:start w:val="1"/>
      <w:numFmt w:val="decimal"/>
      <w:lvlText w:val="%2."/>
      <w:lvlJc w:val="left"/>
      <w:pPr>
        <w:ind w:left="928" w:hanging="360"/>
      </w:pPr>
    </w:lvl>
    <w:lvl w:ilvl="2" w:tplc="0409001B" w:tentative="1">
      <w:start w:val="1"/>
      <w:numFmt w:val="lowerRoman"/>
      <w:lvlText w:val="%3."/>
      <w:lvlJc w:val="right"/>
      <w:pPr>
        <w:ind w:left="1462" w:hanging="180"/>
      </w:pPr>
    </w:lvl>
    <w:lvl w:ilvl="3" w:tplc="0409000F">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10"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F0F4FB3"/>
    <w:multiLevelType w:val="hybridMultilevel"/>
    <w:tmpl w:val="2CAE7C5A"/>
    <w:lvl w:ilvl="0" w:tplc="517C8DAA">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CB6213A"/>
    <w:multiLevelType w:val="hybridMultilevel"/>
    <w:tmpl w:val="F09C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13"/>
  </w:num>
  <w:num w:numId="6">
    <w:abstractNumId w:val="9"/>
  </w:num>
  <w:num w:numId="7">
    <w:abstractNumId w:val="0"/>
  </w:num>
  <w:num w:numId="8">
    <w:abstractNumId w:val="2"/>
  </w:num>
  <w:num w:numId="9">
    <w:abstractNumId w:val="10"/>
  </w:num>
  <w:num w:numId="10">
    <w:abstractNumId w:val="4"/>
  </w:num>
  <w:num w:numId="11">
    <w:abstractNumId w:val="12"/>
  </w:num>
  <w:num w:numId="12">
    <w:abstractNumId w:val="1"/>
  </w:num>
  <w:num w:numId="13">
    <w:abstractNumId w:val="11"/>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 w:vendorID="64" w:dllVersion="4096" w:nlCheck="1" w:checkStyle="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NDEyMDI3MzY3MTRX0lEKTi0uzszPAykwrwUAkIbWZCwAAAA="/>
  </w:docVars>
  <w:rsids>
    <w:rsidRoot w:val="00DF2386"/>
    <w:rsid w:val="00006003"/>
    <w:rsid w:val="00011E7A"/>
    <w:rsid w:val="00014168"/>
    <w:rsid w:val="00015C8E"/>
    <w:rsid w:val="00017A16"/>
    <w:rsid w:val="00017FEA"/>
    <w:rsid w:val="00026E09"/>
    <w:rsid w:val="00027A80"/>
    <w:rsid w:val="00030371"/>
    <w:rsid w:val="00032C4D"/>
    <w:rsid w:val="00034654"/>
    <w:rsid w:val="00034A22"/>
    <w:rsid w:val="000354DD"/>
    <w:rsid w:val="00036889"/>
    <w:rsid w:val="00037CE0"/>
    <w:rsid w:val="00042B63"/>
    <w:rsid w:val="00053929"/>
    <w:rsid w:val="00057D70"/>
    <w:rsid w:val="0006056F"/>
    <w:rsid w:val="000749F6"/>
    <w:rsid w:val="00074DE8"/>
    <w:rsid w:val="00081070"/>
    <w:rsid w:val="00082C69"/>
    <w:rsid w:val="00092917"/>
    <w:rsid w:val="000A3E3E"/>
    <w:rsid w:val="000A61DD"/>
    <w:rsid w:val="000B099A"/>
    <w:rsid w:val="000C2489"/>
    <w:rsid w:val="000C4A48"/>
    <w:rsid w:val="000C5EEF"/>
    <w:rsid w:val="000C7365"/>
    <w:rsid w:val="000D5C76"/>
    <w:rsid w:val="000E161E"/>
    <w:rsid w:val="000E2FA0"/>
    <w:rsid w:val="000E32EE"/>
    <w:rsid w:val="000E3816"/>
    <w:rsid w:val="000E47E9"/>
    <w:rsid w:val="000F310B"/>
    <w:rsid w:val="001006E9"/>
    <w:rsid w:val="00114138"/>
    <w:rsid w:val="0012005C"/>
    <w:rsid w:val="0012096C"/>
    <w:rsid w:val="00123AFC"/>
    <w:rsid w:val="0012489A"/>
    <w:rsid w:val="00127828"/>
    <w:rsid w:val="00146A8B"/>
    <w:rsid w:val="001516A8"/>
    <w:rsid w:val="00161BDA"/>
    <w:rsid w:val="00171618"/>
    <w:rsid w:val="00174DF2"/>
    <w:rsid w:val="0018104D"/>
    <w:rsid w:val="001819B1"/>
    <w:rsid w:val="001A1578"/>
    <w:rsid w:val="001A2D10"/>
    <w:rsid w:val="001A4C3A"/>
    <w:rsid w:val="001B06BF"/>
    <w:rsid w:val="001B6439"/>
    <w:rsid w:val="001C5E41"/>
    <w:rsid w:val="001C77BC"/>
    <w:rsid w:val="001D48BB"/>
    <w:rsid w:val="001E00E3"/>
    <w:rsid w:val="001E3E6A"/>
    <w:rsid w:val="001F2349"/>
    <w:rsid w:val="001F4532"/>
    <w:rsid w:val="001F502D"/>
    <w:rsid w:val="001F5ECA"/>
    <w:rsid w:val="002005D2"/>
    <w:rsid w:val="0020298B"/>
    <w:rsid w:val="00202F2F"/>
    <w:rsid w:val="00206111"/>
    <w:rsid w:val="002137E0"/>
    <w:rsid w:val="0021566A"/>
    <w:rsid w:val="002347F6"/>
    <w:rsid w:val="00242C60"/>
    <w:rsid w:val="002435E6"/>
    <w:rsid w:val="00247AE7"/>
    <w:rsid w:val="00262065"/>
    <w:rsid w:val="00264900"/>
    <w:rsid w:val="002741AC"/>
    <w:rsid w:val="00275F13"/>
    <w:rsid w:val="00280714"/>
    <w:rsid w:val="002819C0"/>
    <w:rsid w:val="00284D23"/>
    <w:rsid w:val="0029079B"/>
    <w:rsid w:val="00291F0A"/>
    <w:rsid w:val="00292637"/>
    <w:rsid w:val="00293919"/>
    <w:rsid w:val="002942F9"/>
    <w:rsid w:val="00295556"/>
    <w:rsid w:val="00295BB5"/>
    <w:rsid w:val="002978F0"/>
    <w:rsid w:val="002A5A4D"/>
    <w:rsid w:val="002B106E"/>
    <w:rsid w:val="002B4262"/>
    <w:rsid w:val="002B6506"/>
    <w:rsid w:val="002C261A"/>
    <w:rsid w:val="002C7689"/>
    <w:rsid w:val="002D0F2E"/>
    <w:rsid w:val="002D211D"/>
    <w:rsid w:val="002D3E64"/>
    <w:rsid w:val="002D5A4D"/>
    <w:rsid w:val="002E22AF"/>
    <w:rsid w:val="002E6A2F"/>
    <w:rsid w:val="002F12D4"/>
    <w:rsid w:val="002F5D46"/>
    <w:rsid w:val="002F6155"/>
    <w:rsid w:val="002F7454"/>
    <w:rsid w:val="003022C6"/>
    <w:rsid w:val="00324398"/>
    <w:rsid w:val="00331449"/>
    <w:rsid w:val="0033280D"/>
    <w:rsid w:val="00335864"/>
    <w:rsid w:val="003370D3"/>
    <w:rsid w:val="0034418A"/>
    <w:rsid w:val="00347297"/>
    <w:rsid w:val="00347DB0"/>
    <w:rsid w:val="0035473A"/>
    <w:rsid w:val="003565B3"/>
    <w:rsid w:val="0035701C"/>
    <w:rsid w:val="00380D31"/>
    <w:rsid w:val="00384FC3"/>
    <w:rsid w:val="003914D9"/>
    <w:rsid w:val="0039791D"/>
    <w:rsid w:val="003A3804"/>
    <w:rsid w:val="003A40E2"/>
    <w:rsid w:val="003A52BE"/>
    <w:rsid w:val="003A5866"/>
    <w:rsid w:val="003A6E9F"/>
    <w:rsid w:val="003B4B27"/>
    <w:rsid w:val="003B7E13"/>
    <w:rsid w:val="003C2D9F"/>
    <w:rsid w:val="003D4CD6"/>
    <w:rsid w:val="003E1FCF"/>
    <w:rsid w:val="003F4793"/>
    <w:rsid w:val="00400B9A"/>
    <w:rsid w:val="00400F34"/>
    <w:rsid w:val="00402393"/>
    <w:rsid w:val="0040748D"/>
    <w:rsid w:val="00415C75"/>
    <w:rsid w:val="004228C7"/>
    <w:rsid w:val="00424D50"/>
    <w:rsid w:val="0042798B"/>
    <w:rsid w:val="0043222D"/>
    <w:rsid w:val="00434913"/>
    <w:rsid w:val="004474F8"/>
    <w:rsid w:val="00447C57"/>
    <w:rsid w:val="00456AAD"/>
    <w:rsid w:val="00460388"/>
    <w:rsid w:val="00462F75"/>
    <w:rsid w:val="00463E9C"/>
    <w:rsid w:val="004725FC"/>
    <w:rsid w:val="00476CA7"/>
    <w:rsid w:val="00477550"/>
    <w:rsid w:val="004824BB"/>
    <w:rsid w:val="004844A8"/>
    <w:rsid w:val="00491BEF"/>
    <w:rsid w:val="00491E9D"/>
    <w:rsid w:val="00496803"/>
    <w:rsid w:val="004A3964"/>
    <w:rsid w:val="004B0D13"/>
    <w:rsid w:val="004B6688"/>
    <w:rsid w:val="004B74FA"/>
    <w:rsid w:val="004B7FA1"/>
    <w:rsid w:val="004C2E2B"/>
    <w:rsid w:val="004D1625"/>
    <w:rsid w:val="00506E6E"/>
    <w:rsid w:val="00511D20"/>
    <w:rsid w:val="00516785"/>
    <w:rsid w:val="00522BC7"/>
    <w:rsid w:val="005244A4"/>
    <w:rsid w:val="00527783"/>
    <w:rsid w:val="005278C7"/>
    <w:rsid w:val="00535B5E"/>
    <w:rsid w:val="0054257B"/>
    <w:rsid w:val="0057405B"/>
    <w:rsid w:val="0058138D"/>
    <w:rsid w:val="005814B5"/>
    <w:rsid w:val="00581EDA"/>
    <w:rsid w:val="00581F37"/>
    <w:rsid w:val="00586442"/>
    <w:rsid w:val="00591F70"/>
    <w:rsid w:val="005A291A"/>
    <w:rsid w:val="005C4ED0"/>
    <w:rsid w:val="005D395D"/>
    <w:rsid w:val="005D3E9D"/>
    <w:rsid w:val="005D5D95"/>
    <w:rsid w:val="005E0D93"/>
    <w:rsid w:val="005E29EA"/>
    <w:rsid w:val="005E4C99"/>
    <w:rsid w:val="005E7D81"/>
    <w:rsid w:val="00603322"/>
    <w:rsid w:val="00603A46"/>
    <w:rsid w:val="00603AF0"/>
    <w:rsid w:val="00607547"/>
    <w:rsid w:val="00616B4C"/>
    <w:rsid w:val="00621326"/>
    <w:rsid w:val="00624D6E"/>
    <w:rsid w:val="006256D3"/>
    <w:rsid w:val="00627BB7"/>
    <w:rsid w:val="0063739A"/>
    <w:rsid w:val="00644A13"/>
    <w:rsid w:val="006471FA"/>
    <w:rsid w:val="0065136E"/>
    <w:rsid w:val="0066479C"/>
    <w:rsid w:val="00665315"/>
    <w:rsid w:val="00670D71"/>
    <w:rsid w:val="00691AB6"/>
    <w:rsid w:val="00695D91"/>
    <w:rsid w:val="00695F3C"/>
    <w:rsid w:val="00697C1D"/>
    <w:rsid w:val="006A00E5"/>
    <w:rsid w:val="006B3FB7"/>
    <w:rsid w:val="006C233B"/>
    <w:rsid w:val="006E1272"/>
    <w:rsid w:val="006E7DCE"/>
    <w:rsid w:val="006F1793"/>
    <w:rsid w:val="00700CB9"/>
    <w:rsid w:val="007050FF"/>
    <w:rsid w:val="0070596A"/>
    <w:rsid w:val="007133F1"/>
    <w:rsid w:val="00714005"/>
    <w:rsid w:val="00717CCD"/>
    <w:rsid w:val="00720DC8"/>
    <w:rsid w:val="00726751"/>
    <w:rsid w:val="00734D54"/>
    <w:rsid w:val="00745B79"/>
    <w:rsid w:val="00746EC1"/>
    <w:rsid w:val="007472B2"/>
    <w:rsid w:val="00752764"/>
    <w:rsid w:val="00762430"/>
    <w:rsid w:val="00762F77"/>
    <w:rsid w:val="0076682C"/>
    <w:rsid w:val="00766962"/>
    <w:rsid w:val="00774643"/>
    <w:rsid w:val="00775287"/>
    <w:rsid w:val="00776612"/>
    <w:rsid w:val="00781C79"/>
    <w:rsid w:val="007843C4"/>
    <w:rsid w:val="007B3A5C"/>
    <w:rsid w:val="007B7631"/>
    <w:rsid w:val="007B7FDF"/>
    <w:rsid w:val="007D1681"/>
    <w:rsid w:val="007D33F4"/>
    <w:rsid w:val="007E133B"/>
    <w:rsid w:val="007E25B1"/>
    <w:rsid w:val="007E3900"/>
    <w:rsid w:val="007F311D"/>
    <w:rsid w:val="007F3ABE"/>
    <w:rsid w:val="007F7C00"/>
    <w:rsid w:val="007F7FB2"/>
    <w:rsid w:val="00806991"/>
    <w:rsid w:val="0081553D"/>
    <w:rsid w:val="00816E0C"/>
    <w:rsid w:val="008249D1"/>
    <w:rsid w:val="00825E19"/>
    <w:rsid w:val="00831A2F"/>
    <w:rsid w:val="008328E9"/>
    <w:rsid w:val="00835BCB"/>
    <w:rsid w:val="00835CDC"/>
    <w:rsid w:val="008465FE"/>
    <w:rsid w:val="00850B09"/>
    <w:rsid w:val="00857746"/>
    <w:rsid w:val="00863B9D"/>
    <w:rsid w:val="00863BE6"/>
    <w:rsid w:val="008723DA"/>
    <w:rsid w:val="00875462"/>
    <w:rsid w:val="008775BC"/>
    <w:rsid w:val="00881917"/>
    <w:rsid w:val="00882661"/>
    <w:rsid w:val="00882F1B"/>
    <w:rsid w:val="00883A54"/>
    <w:rsid w:val="008977E5"/>
    <w:rsid w:val="008A70CE"/>
    <w:rsid w:val="008B659C"/>
    <w:rsid w:val="008C25E4"/>
    <w:rsid w:val="008C2DAE"/>
    <w:rsid w:val="008C59EB"/>
    <w:rsid w:val="008F6687"/>
    <w:rsid w:val="008F6A50"/>
    <w:rsid w:val="009059A9"/>
    <w:rsid w:val="009062C7"/>
    <w:rsid w:val="009129A3"/>
    <w:rsid w:val="00913505"/>
    <w:rsid w:val="009138DA"/>
    <w:rsid w:val="009226AC"/>
    <w:rsid w:val="009248C9"/>
    <w:rsid w:val="0092515E"/>
    <w:rsid w:val="00933122"/>
    <w:rsid w:val="00941723"/>
    <w:rsid w:val="00942FBD"/>
    <w:rsid w:val="0094770B"/>
    <w:rsid w:val="0095590A"/>
    <w:rsid w:val="009626BE"/>
    <w:rsid w:val="009627B2"/>
    <w:rsid w:val="00963DA4"/>
    <w:rsid w:val="0096430E"/>
    <w:rsid w:val="0097176A"/>
    <w:rsid w:val="00973739"/>
    <w:rsid w:val="00975E44"/>
    <w:rsid w:val="0097758C"/>
    <w:rsid w:val="00977B6A"/>
    <w:rsid w:val="009837E7"/>
    <w:rsid w:val="00986AE6"/>
    <w:rsid w:val="009A1374"/>
    <w:rsid w:val="009B2267"/>
    <w:rsid w:val="009C315E"/>
    <w:rsid w:val="009C460A"/>
    <w:rsid w:val="009C721C"/>
    <w:rsid w:val="009C79BE"/>
    <w:rsid w:val="009E0AE8"/>
    <w:rsid w:val="009E3FEE"/>
    <w:rsid w:val="009E5374"/>
    <w:rsid w:val="009F0C3D"/>
    <w:rsid w:val="009F22AD"/>
    <w:rsid w:val="009F345D"/>
    <w:rsid w:val="009F6240"/>
    <w:rsid w:val="00A038A0"/>
    <w:rsid w:val="00A103F9"/>
    <w:rsid w:val="00A13218"/>
    <w:rsid w:val="00A16ADD"/>
    <w:rsid w:val="00A17151"/>
    <w:rsid w:val="00A177EA"/>
    <w:rsid w:val="00A227A3"/>
    <w:rsid w:val="00A22ED9"/>
    <w:rsid w:val="00A2595B"/>
    <w:rsid w:val="00A268B2"/>
    <w:rsid w:val="00A26E80"/>
    <w:rsid w:val="00A31448"/>
    <w:rsid w:val="00A35666"/>
    <w:rsid w:val="00A35BDA"/>
    <w:rsid w:val="00A37D4F"/>
    <w:rsid w:val="00A44886"/>
    <w:rsid w:val="00A46D6F"/>
    <w:rsid w:val="00A55928"/>
    <w:rsid w:val="00A603F3"/>
    <w:rsid w:val="00A60B73"/>
    <w:rsid w:val="00A62B3E"/>
    <w:rsid w:val="00A637B6"/>
    <w:rsid w:val="00A702B7"/>
    <w:rsid w:val="00A77D00"/>
    <w:rsid w:val="00A80080"/>
    <w:rsid w:val="00A83F03"/>
    <w:rsid w:val="00A85614"/>
    <w:rsid w:val="00A90003"/>
    <w:rsid w:val="00A90321"/>
    <w:rsid w:val="00A92432"/>
    <w:rsid w:val="00AA02D4"/>
    <w:rsid w:val="00AA03C2"/>
    <w:rsid w:val="00AB1AB2"/>
    <w:rsid w:val="00AB24A9"/>
    <w:rsid w:val="00AB4951"/>
    <w:rsid w:val="00AB65EF"/>
    <w:rsid w:val="00AC2554"/>
    <w:rsid w:val="00AD01AD"/>
    <w:rsid w:val="00AD0270"/>
    <w:rsid w:val="00AD4069"/>
    <w:rsid w:val="00AD42F0"/>
    <w:rsid w:val="00AE4FF2"/>
    <w:rsid w:val="00AE7CFF"/>
    <w:rsid w:val="00B035E4"/>
    <w:rsid w:val="00B052E2"/>
    <w:rsid w:val="00B059E2"/>
    <w:rsid w:val="00B13548"/>
    <w:rsid w:val="00B156F6"/>
    <w:rsid w:val="00B17EFC"/>
    <w:rsid w:val="00B20C36"/>
    <w:rsid w:val="00B27CB5"/>
    <w:rsid w:val="00B315A0"/>
    <w:rsid w:val="00B34A18"/>
    <w:rsid w:val="00B34AF2"/>
    <w:rsid w:val="00B43841"/>
    <w:rsid w:val="00B468CE"/>
    <w:rsid w:val="00B52CE4"/>
    <w:rsid w:val="00B579CB"/>
    <w:rsid w:val="00B626CD"/>
    <w:rsid w:val="00B6398B"/>
    <w:rsid w:val="00B67FE1"/>
    <w:rsid w:val="00B70083"/>
    <w:rsid w:val="00B7121F"/>
    <w:rsid w:val="00B73554"/>
    <w:rsid w:val="00B73B3A"/>
    <w:rsid w:val="00B773E1"/>
    <w:rsid w:val="00B83EF9"/>
    <w:rsid w:val="00B947D5"/>
    <w:rsid w:val="00BA0174"/>
    <w:rsid w:val="00BA66E2"/>
    <w:rsid w:val="00BB28F6"/>
    <w:rsid w:val="00BB31F3"/>
    <w:rsid w:val="00BB6F8F"/>
    <w:rsid w:val="00BC1B16"/>
    <w:rsid w:val="00BC2609"/>
    <w:rsid w:val="00BC54A2"/>
    <w:rsid w:val="00BD4486"/>
    <w:rsid w:val="00BD4DA4"/>
    <w:rsid w:val="00BD565E"/>
    <w:rsid w:val="00BE49B0"/>
    <w:rsid w:val="00C0113A"/>
    <w:rsid w:val="00C0528F"/>
    <w:rsid w:val="00C1184B"/>
    <w:rsid w:val="00C1292B"/>
    <w:rsid w:val="00C13145"/>
    <w:rsid w:val="00C20858"/>
    <w:rsid w:val="00C26AC6"/>
    <w:rsid w:val="00C3561B"/>
    <w:rsid w:val="00C54833"/>
    <w:rsid w:val="00C54848"/>
    <w:rsid w:val="00C65A25"/>
    <w:rsid w:val="00C817CB"/>
    <w:rsid w:val="00C8780E"/>
    <w:rsid w:val="00CA32AC"/>
    <w:rsid w:val="00CA7384"/>
    <w:rsid w:val="00CB0157"/>
    <w:rsid w:val="00CC61ED"/>
    <w:rsid w:val="00CD002B"/>
    <w:rsid w:val="00CE1E10"/>
    <w:rsid w:val="00CE2084"/>
    <w:rsid w:val="00CE38FE"/>
    <w:rsid w:val="00CE750F"/>
    <w:rsid w:val="00CF06B6"/>
    <w:rsid w:val="00CF15EA"/>
    <w:rsid w:val="00CF4496"/>
    <w:rsid w:val="00D03679"/>
    <w:rsid w:val="00D05019"/>
    <w:rsid w:val="00D058F6"/>
    <w:rsid w:val="00D07680"/>
    <w:rsid w:val="00D122F6"/>
    <w:rsid w:val="00D154CC"/>
    <w:rsid w:val="00D160CB"/>
    <w:rsid w:val="00D245A1"/>
    <w:rsid w:val="00D31F04"/>
    <w:rsid w:val="00D3734D"/>
    <w:rsid w:val="00D412FB"/>
    <w:rsid w:val="00D415E2"/>
    <w:rsid w:val="00D42055"/>
    <w:rsid w:val="00D554E0"/>
    <w:rsid w:val="00D61885"/>
    <w:rsid w:val="00D647C3"/>
    <w:rsid w:val="00D83DC2"/>
    <w:rsid w:val="00D93258"/>
    <w:rsid w:val="00D944DD"/>
    <w:rsid w:val="00D9633A"/>
    <w:rsid w:val="00D965BC"/>
    <w:rsid w:val="00DA4E72"/>
    <w:rsid w:val="00DA5D84"/>
    <w:rsid w:val="00DA7E51"/>
    <w:rsid w:val="00DB7CAF"/>
    <w:rsid w:val="00DC56B3"/>
    <w:rsid w:val="00DC6424"/>
    <w:rsid w:val="00DD206E"/>
    <w:rsid w:val="00DD4889"/>
    <w:rsid w:val="00DE0776"/>
    <w:rsid w:val="00DE3825"/>
    <w:rsid w:val="00DF02FE"/>
    <w:rsid w:val="00DF0924"/>
    <w:rsid w:val="00DF2386"/>
    <w:rsid w:val="00DF2576"/>
    <w:rsid w:val="00DF6AA2"/>
    <w:rsid w:val="00DF7FE7"/>
    <w:rsid w:val="00E166C6"/>
    <w:rsid w:val="00E21FBB"/>
    <w:rsid w:val="00E30CBA"/>
    <w:rsid w:val="00E46367"/>
    <w:rsid w:val="00E51F31"/>
    <w:rsid w:val="00E5511F"/>
    <w:rsid w:val="00E60216"/>
    <w:rsid w:val="00E63F0B"/>
    <w:rsid w:val="00E70E88"/>
    <w:rsid w:val="00E75F82"/>
    <w:rsid w:val="00E81D16"/>
    <w:rsid w:val="00E82D0D"/>
    <w:rsid w:val="00E92301"/>
    <w:rsid w:val="00E94620"/>
    <w:rsid w:val="00E968EF"/>
    <w:rsid w:val="00E96D3E"/>
    <w:rsid w:val="00E9702A"/>
    <w:rsid w:val="00EA3A7F"/>
    <w:rsid w:val="00EA5DAF"/>
    <w:rsid w:val="00EB462B"/>
    <w:rsid w:val="00ED1FA0"/>
    <w:rsid w:val="00EE71D8"/>
    <w:rsid w:val="00EF7052"/>
    <w:rsid w:val="00EF716E"/>
    <w:rsid w:val="00F00320"/>
    <w:rsid w:val="00F0280E"/>
    <w:rsid w:val="00F078F1"/>
    <w:rsid w:val="00F32D03"/>
    <w:rsid w:val="00F333AE"/>
    <w:rsid w:val="00F344DE"/>
    <w:rsid w:val="00F36CA5"/>
    <w:rsid w:val="00F45DD5"/>
    <w:rsid w:val="00F47525"/>
    <w:rsid w:val="00F478F9"/>
    <w:rsid w:val="00F63609"/>
    <w:rsid w:val="00F73E71"/>
    <w:rsid w:val="00F91FB8"/>
    <w:rsid w:val="00F95970"/>
    <w:rsid w:val="00FA3D29"/>
    <w:rsid w:val="00FA7462"/>
    <w:rsid w:val="00FB3CAC"/>
    <w:rsid w:val="00FC6300"/>
    <w:rsid w:val="00FD3D90"/>
    <w:rsid w:val="00FF19D7"/>
    <w:rsid w:val="00FF3BD8"/>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73C8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DC64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5C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table" w:customStyle="1" w:styleId="TableGrid1">
    <w:name w:val="Table Grid1"/>
    <w:basedOn w:val="TableNormal"/>
    <w:next w:val="TableGrid"/>
    <w:uiPriority w:val="39"/>
    <w:rsid w:val="004D162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3C4"/>
    <w:pPr>
      <w:ind w:left="0" w:firstLine="0"/>
    </w:pPr>
    <w:rPr>
      <w:rFonts w:eastAsia="Yu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42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24"/>
    <w:rPr>
      <w:rFonts w:asciiTheme="majorHAnsi" w:eastAsiaTheme="majorEastAsia" w:hAnsiTheme="majorHAnsi" w:cstheme="majorBidi"/>
      <w:spacing w:val="-10"/>
      <w:kern w:val="28"/>
      <w:sz w:val="56"/>
      <w:szCs w:val="56"/>
    </w:rPr>
  </w:style>
  <w:style w:type="paragraph" w:customStyle="1" w:styleId="Default">
    <w:name w:val="Default"/>
    <w:rsid w:val="007B7631"/>
    <w:pPr>
      <w:autoSpaceDE w:val="0"/>
      <w:autoSpaceDN w:val="0"/>
      <w:adjustRightInd w:val="0"/>
      <w:ind w:left="0" w:firstLine="0"/>
    </w:pPr>
    <w:rPr>
      <w:rFonts w:ascii="Calibri" w:hAnsi="Calibri" w:cs="Calibri"/>
      <w:color w:val="000000"/>
      <w:sz w:val="24"/>
      <w:szCs w:val="24"/>
    </w:rPr>
  </w:style>
  <w:style w:type="paragraph" w:styleId="BodyText">
    <w:name w:val="Body Text"/>
    <w:basedOn w:val="Normal"/>
    <w:link w:val="BodyTextChar"/>
    <w:uiPriority w:val="1"/>
    <w:qFormat/>
    <w:rsid w:val="007B7631"/>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B7631"/>
    <w:rPr>
      <w:rFonts w:ascii="Calibri" w:eastAsia="Calibri" w:hAnsi="Calibri"/>
      <w:lang w:val="en-US"/>
    </w:rPr>
  </w:style>
  <w:style w:type="paragraph" w:styleId="NormalWeb">
    <w:name w:val="Normal (Web)"/>
    <w:basedOn w:val="Normal"/>
    <w:uiPriority w:val="99"/>
    <w:unhideWhenUsed/>
    <w:rsid w:val="007B7631"/>
    <w:pPr>
      <w:spacing w:before="100" w:beforeAutospacing="1" w:after="100" w:afterAutospacing="1"/>
      <w:ind w:left="0" w:firstLine="0"/>
    </w:pPr>
    <w:rPr>
      <w:rFonts w:ascii="Times New Roman" w:eastAsiaTheme="minorHAnsi" w:hAnsi="Times New Roman"/>
      <w:sz w:val="24"/>
      <w:szCs w:val="24"/>
      <w:lang w:val="fr-FR" w:eastAsia="fr-FR"/>
    </w:rPr>
  </w:style>
  <w:style w:type="character" w:customStyle="1" w:styleId="Heading2Char">
    <w:name w:val="Heading 2 Char"/>
    <w:basedOn w:val="DefaultParagraphFont"/>
    <w:link w:val="Heading2"/>
    <w:uiPriority w:val="9"/>
    <w:semiHidden/>
    <w:rsid w:val="00015C8E"/>
    <w:rPr>
      <w:rFonts w:asciiTheme="majorHAnsi" w:eastAsiaTheme="majorEastAsia" w:hAnsiTheme="majorHAnsi" w:cstheme="majorBidi"/>
      <w:color w:val="365F91" w:themeColor="accent1" w:themeShade="BF"/>
      <w:sz w:val="26"/>
      <w:szCs w:val="26"/>
    </w:rPr>
  </w:style>
  <w:style w:type="paragraph" w:customStyle="1" w:styleId="p1">
    <w:name w:val="p1"/>
    <w:basedOn w:val="Normal"/>
    <w:rsid w:val="00015C8E"/>
    <w:pPr>
      <w:ind w:left="0" w:firstLine="0"/>
    </w:pPr>
    <w:rPr>
      <w:rFonts w:ascii="Times" w:eastAsiaTheme="minorHAnsi" w:hAnsi="Times"/>
      <w:sz w:val="24"/>
      <w:szCs w:val="24"/>
      <w:lang w:val="it-IT" w:eastAsia="it-IT"/>
    </w:rPr>
  </w:style>
  <w:style w:type="character" w:styleId="FollowedHyperlink">
    <w:name w:val="FollowedHyperlink"/>
    <w:basedOn w:val="DefaultParagraphFont"/>
    <w:uiPriority w:val="99"/>
    <w:semiHidden/>
    <w:unhideWhenUsed/>
    <w:rsid w:val="00C01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4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69087218">
      <w:bodyDiv w:val="1"/>
      <w:marLeft w:val="0"/>
      <w:marRight w:val="0"/>
      <w:marTop w:val="0"/>
      <w:marBottom w:val="0"/>
      <w:divBdr>
        <w:top w:val="none" w:sz="0" w:space="0" w:color="auto"/>
        <w:left w:val="none" w:sz="0" w:space="0" w:color="auto"/>
        <w:bottom w:val="none" w:sz="0" w:space="0" w:color="auto"/>
        <w:right w:val="none" w:sz="0" w:space="0" w:color="auto"/>
      </w:divBdr>
    </w:div>
    <w:div w:id="955141471">
      <w:bodyDiv w:val="1"/>
      <w:marLeft w:val="0"/>
      <w:marRight w:val="0"/>
      <w:marTop w:val="0"/>
      <w:marBottom w:val="0"/>
      <w:divBdr>
        <w:top w:val="none" w:sz="0" w:space="0" w:color="auto"/>
        <w:left w:val="none" w:sz="0" w:space="0" w:color="auto"/>
        <w:bottom w:val="none" w:sz="0" w:space="0" w:color="auto"/>
        <w:right w:val="none" w:sz="0" w:space="0" w:color="auto"/>
      </w:divBdr>
      <w:divsChild>
        <w:div w:id="2116437081">
          <w:marLeft w:val="0"/>
          <w:marRight w:val="0"/>
          <w:marTop w:val="0"/>
          <w:marBottom w:val="0"/>
          <w:divBdr>
            <w:top w:val="none" w:sz="0" w:space="0" w:color="auto"/>
            <w:left w:val="none" w:sz="0" w:space="0" w:color="auto"/>
            <w:bottom w:val="none" w:sz="0" w:space="0" w:color="auto"/>
            <w:right w:val="none" w:sz="0" w:space="0" w:color="auto"/>
          </w:divBdr>
          <w:divsChild>
            <w:div w:id="877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D6A4-A5C7-49F5-822C-909B25E79499}">
  <ds:schemaRefs>
    <ds:schemaRef ds:uri="http://schemas.microsoft.com/office/2006/metadata/customXsn"/>
  </ds:schemaRefs>
</ds:datastoreItem>
</file>

<file path=customXml/itemProps2.xml><?xml version="1.0" encoding="utf-8"?>
<ds:datastoreItem xmlns:ds="http://schemas.openxmlformats.org/officeDocument/2006/customXml" ds:itemID="{D3B545D4-7A6D-4782-A897-B7531D604AB8}">
  <ds:schemaRefs>
    <ds:schemaRef ds:uri="http://schemas.microsoft.com/sharepoint/v3/contenttype/forms"/>
  </ds:schemaRefs>
</ds:datastoreItem>
</file>

<file path=customXml/itemProps3.xml><?xml version="1.0" encoding="utf-8"?>
<ds:datastoreItem xmlns:ds="http://schemas.openxmlformats.org/officeDocument/2006/customXml" ds:itemID="{F09DE30D-9469-4031-ACF5-3BEB5D720E26}">
  <ds:schemaRefs>
    <ds:schemaRef ds:uri="http://schemas.microsoft.com/office/2006/metadata/properties"/>
    <ds:schemaRef ds:uri="http://schemas.microsoft.com/office/2006/documentManagement/types"/>
    <ds:schemaRef ds:uri="http://schemas.microsoft.com/sharepoint/v4"/>
    <ds:schemaRef ds:uri="http://schemas.microsoft.com/office/infopath/2007/PartnerControls"/>
    <ds:schemaRef ds:uri="5af92df4-ae3d-4772-abff-92e7cba13994"/>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EB98732-12CD-4FDB-8294-CBBF475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A399B-199E-4E8E-B45E-437F95D59F06}">
  <ds:schemaRefs>
    <ds:schemaRef ds:uri="http://schemas.microsoft.com/sharepoint/events"/>
  </ds:schemaRefs>
</ds:datastoreItem>
</file>

<file path=customXml/itemProps6.xml><?xml version="1.0" encoding="utf-8"?>
<ds:datastoreItem xmlns:ds="http://schemas.openxmlformats.org/officeDocument/2006/customXml" ds:itemID="{C3B81D0D-7FED-4676-8564-7A9526C1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11081</Characters>
  <Application>Microsoft Office Word</Application>
  <DocSecurity>0</DocSecurity>
  <Lines>92</Lines>
  <Paragraphs>25</Paragraphs>
  <ScaleCrop>false</ScaleCrop>
  <HeadingPairs>
    <vt:vector size="8" baseType="variant">
      <vt:variant>
        <vt:lpstr>Title</vt:lpstr>
      </vt:variant>
      <vt:variant>
        <vt:i4>1</vt:i4>
      </vt:variant>
      <vt:variant>
        <vt:lpstr>Título</vt:lpstr>
      </vt:variant>
      <vt:variant>
        <vt:i4>1</vt:i4>
      </vt:variant>
      <vt:variant>
        <vt:lpstr>Rubrik</vt:lpstr>
      </vt:variant>
      <vt:variant>
        <vt:i4>1</vt:i4>
      </vt:variant>
      <vt:variant>
        <vt:lpstr>Rubriker</vt:lpstr>
      </vt:variant>
      <vt:variant>
        <vt:i4>3</vt:i4>
      </vt:variant>
    </vt:vector>
  </HeadingPairs>
  <TitlesOfParts>
    <vt:vector size="6" baseType="lpstr">
      <vt:lpstr/>
      <vt:lpstr/>
      <vt:lpstr/>
      <vt:lpstr/>
      <vt:lpstr>    </vt:lpstr>
      <vt:lpstr>    </vt:lpstr>
    </vt:vector>
  </TitlesOfParts>
  <Company>IUCN</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4</cp:revision>
  <cp:lastPrinted>2020-04-06T13:42:00Z</cp:lastPrinted>
  <dcterms:created xsi:type="dcterms:W3CDTF">2022-03-25T12:49:00Z</dcterms:created>
  <dcterms:modified xsi:type="dcterms:W3CDTF">2022-03-29T11:27:00Z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{086ae4ea-fc5f-4716-a749-55eafd89fd66}</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