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4E4A4" w14:textId="4924B035" w:rsidR="00275F13" w:rsidRPr="00F87914" w:rsidRDefault="00F87914" w:rsidP="00AB1AB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3639"/>
        <w:rPr>
          <w:bCs/>
          <w:sz w:val="24"/>
          <w:szCs w:val="24"/>
          <w:lang w:val="fr-CH"/>
        </w:rPr>
      </w:pPr>
      <w:r w:rsidRPr="00F87914">
        <w:rPr>
          <w:bCs/>
          <w:sz w:val="24"/>
          <w:szCs w:val="24"/>
          <w:lang w:val="fr-CH"/>
        </w:rPr>
        <w:t>CONVENTION SUR LES ZONES HUMIDES</w:t>
      </w:r>
      <w:r w:rsidR="00DF2386" w:rsidRPr="00F87914">
        <w:rPr>
          <w:bCs/>
          <w:sz w:val="24"/>
          <w:szCs w:val="24"/>
          <w:lang w:val="fr-CH"/>
        </w:rPr>
        <w:t xml:space="preserve"> </w:t>
      </w:r>
    </w:p>
    <w:p w14:paraId="29243701" w14:textId="3CF4D627" w:rsidR="00DF2386" w:rsidRPr="00F87914" w:rsidRDefault="004A3964" w:rsidP="00AB1AB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3639"/>
        <w:rPr>
          <w:bCs/>
          <w:sz w:val="24"/>
          <w:szCs w:val="24"/>
          <w:lang w:val="fr-CH"/>
        </w:rPr>
      </w:pPr>
      <w:r w:rsidRPr="00F87914">
        <w:rPr>
          <w:bCs/>
          <w:sz w:val="24"/>
          <w:szCs w:val="24"/>
          <w:lang w:val="fr-CH"/>
        </w:rPr>
        <w:t>59</w:t>
      </w:r>
      <w:r w:rsidR="00F87914" w:rsidRPr="00F87914">
        <w:rPr>
          <w:bCs/>
          <w:sz w:val="24"/>
          <w:szCs w:val="24"/>
          <w:vertAlign w:val="superscript"/>
          <w:lang w:val="fr-CH"/>
        </w:rPr>
        <w:t>e</w:t>
      </w:r>
      <w:r w:rsidR="00F87914" w:rsidRPr="00F87914">
        <w:rPr>
          <w:bCs/>
          <w:sz w:val="24"/>
          <w:szCs w:val="24"/>
          <w:lang w:val="fr-CH"/>
        </w:rPr>
        <w:t xml:space="preserve"> Réunion du Comité permanent</w:t>
      </w:r>
    </w:p>
    <w:p w14:paraId="2A0FA061" w14:textId="03521F0E" w:rsidR="00AB1AB2" w:rsidRPr="00F87914" w:rsidRDefault="00F87914" w:rsidP="00AB1AB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3639"/>
        <w:rPr>
          <w:bCs/>
          <w:sz w:val="24"/>
          <w:szCs w:val="24"/>
          <w:lang w:val="fr-CH"/>
        </w:rPr>
      </w:pPr>
      <w:r>
        <w:rPr>
          <w:bCs/>
          <w:sz w:val="24"/>
          <w:szCs w:val="24"/>
          <w:lang w:val="fr-CH"/>
        </w:rPr>
        <w:t>Reprise de séance</w:t>
      </w:r>
    </w:p>
    <w:p w14:paraId="6D5EE984" w14:textId="4ABD9739" w:rsidR="00DF2386" w:rsidRPr="00F87914" w:rsidRDefault="00DF2386" w:rsidP="00AB1AB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3639"/>
        <w:rPr>
          <w:bCs/>
          <w:sz w:val="24"/>
          <w:szCs w:val="24"/>
          <w:lang w:val="fr-CH"/>
        </w:rPr>
      </w:pPr>
      <w:r w:rsidRPr="00F87914">
        <w:rPr>
          <w:bCs/>
          <w:sz w:val="24"/>
          <w:szCs w:val="24"/>
          <w:lang w:val="fr-CH"/>
        </w:rPr>
        <w:t xml:space="preserve">Gland, </w:t>
      </w:r>
      <w:r w:rsidR="00F87914" w:rsidRPr="00F87914">
        <w:rPr>
          <w:bCs/>
          <w:sz w:val="24"/>
          <w:szCs w:val="24"/>
          <w:lang w:val="fr-CH"/>
        </w:rPr>
        <w:t>Suisse</w:t>
      </w:r>
      <w:r w:rsidRPr="00F87914">
        <w:rPr>
          <w:bCs/>
          <w:sz w:val="24"/>
          <w:szCs w:val="24"/>
          <w:lang w:val="fr-CH"/>
        </w:rPr>
        <w:t xml:space="preserve">, </w:t>
      </w:r>
      <w:r w:rsidR="00015C8E" w:rsidRPr="00F87914">
        <w:rPr>
          <w:bCs/>
          <w:sz w:val="24"/>
          <w:szCs w:val="24"/>
          <w:lang w:val="fr-CH"/>
        </w:rPr>
        <w:t>23</w:t>
      </w:r>
      <w:r w:rsidR="00F87914">
        <w:rPr>
          <w:bCs/>
          <w:sz w:val="24"/>
          <w:szCs w:val="24"/>
          <w:lang w:val="fr-CH"/>
        </w:rPr>
        <w:t xml:space="preserve"> au </w:t>
      </w:r>
      <w:r w:rsidR="00015C8E" w:rsidRPr="00F87914">
        <w:rPr>
          <w:bCs/>
          <w:sz w:val="24"/>
          <w:szCs w:val="24"/>
          <w:lang w:val="fr-CH"/>
        </w:rPr>
        <w:t>27</w:t>
      </w:r>
      <w:r w:rsidR="00616B4C" w:rsidRPr="00F87914">
        <w:rPr>
          <w:bCs/>
          <w:sz w:val="24"/>
          <w:szCs w:val="24"/>
          <w:lang w:val="fr-CH"/>
        </w:rPr>
        <w:t xml:space="preserve"> </w:t>
      </w:r>
      <w:r w:rsidR="00F87914" w:rsidRPr="00F87914">
        <w:rPr>
          <w:bCs/>
          <w:sz w:val="24"/>
          <w:szCs w:val="24"/>
          <w:lang w:val="fr-CH"/>
        </w:rPr>
        <w:t>mai</w:t>
      </w:r>
      <w:r w:rsidR="00616B4C" w:rsidRPr="00F87914">
        <w:rPr>
          <w:bCs/>
          <w:sz w:val="24"/>
          <w:szCs w:val="24"/>
          <w:lang w:val="fr-CH"/>
        </w:rPr>
        <w:t xml:space="preserve"> </w:t>
      </w:r>
      <w:r w:rsidR="00B83EF9" w:rsidRPr="00F87914">
        <w:rPr>
          <w:bCs/>
          <w:sz w:val="24"/>
          <w:szCs w:val="24"/>
          <w:lang w:val="fr-CH"/>
        </w:rPr>
        <w:t>202</w:t>
      </w:r>
      <w:r w:rsidR="00506E6E" w:rsidRPr="00F87914">
        <w:rPr>
          <w:bCs/>
          <w:sz w:val="24"/>
          <w:szCs w:val="24"/>
          <w:lang w:val="fr-CH"/>
        </w:rPr>
        <w:t>2</w:t>
      </w:r>
    </w:p>
    <w:p w14:paraId="6D316A15" w14:textId="77777777" w:rsidR="00DF2386" w:rsidRPr="00F87914" w:rsidRDefault="00DF2386" w:rsidP="00D3734D">
      <w:pPr>
        <w:outlineLvl w:val="0"/>
        <w:rPr>
          <w:b/>
          <w:sz w:val="28"/>
          <w:szCs w:val="28"/>
          <w:lang w:val="fr-CH"/>
        </w:rPr>
      </w:pPr>
    </w:p>
    <w:p w14:paraId="1BBF8EA8" w14:textId="30E6E6BB" w:rsidR="00DF2386" w:rsidRPr="00F87914" w:rsidRDefault="00B83EF9" w:rsidP="00D3734D">
      <w:pPr>
        <w:jc w:val="right"/>
        <w:rPr>
          <w:rFonts w:cs="Arial"/>
          <w:sz w:val="28"/>
          <w:szCs w:val="28"/>
          <w:lang w:val="fr-CH"/>
        </w:rPr>
      </w:pPr>
      <w:r w:rsidRPr="00F87914">
        <w:rPr>
          <w:rFonts w:cs="Arial"/>
          <w:b/>
          <w:sz w:val="28"/>
          <w:szCs w:val="28"/>
          <w:lang w:val="fr-CH"/>
        </w:rPr>
        <w:t>SC</w:t>
      </w:r>
      <w:r w:rsidR="00347DB0" w:rsidRPr="00F87914">
        <w:rPr>
          <w:rFonts w:cs="Arial"/>
          <w:b/>
          <w:sz w:val="28"/>
          <w:szCs w:val="28"/>
          <w:lang w:val="fr-CH"/>
        </w:rPr>
        <w:t>59</w:t>
      </w:r>
      <w:r w:rsidR="00AB1AB2" w:rsidRPr="00F87914">
        <w:rPr>
          <w:rFonts w:cs="Arial"/>
          <w:b/>
          <w:sz w:val="28"/>
          <w:szCs w:val="28"/>
          <w:lang w:val="fr-CH"/>
        </w:rPr>
        <w:t>/2022</w:t>
      </w:r>
      <w:r w:rsidR="00506E6E" w:rsidRPr="00F87914">
        <w:rPr>
          <w:rFonts w:cs="Arial"/>
          <w:b/>
          <w:sz w:val="28"/>
          <w:szCs w:val="28"/>
          <w:lang w:val="fr-CH"/>
        </w:rPr>
        <w:t xml:space="preserve"> </w:t>
      </w:r>
      <w:r w:rsidR="00746EC1" w:rsidRPr="00F87914">
        <w:rPr>
          <w:rFonts w:cs="Arial"/>
          <w:b/>
          <w:sz w:val="28"/>
          <w:szCs w:val="28"/>
          <w:lang w:val="fr-CH"/>
        </w:rPr>
        <w:t>Doc.</w:t>
      </w:r>
      <w:r w:rsidR="00AB1AB2" w:rsidRPr="00F87914">
        <w:rPr>
          <w:rFonts w:cs="Arial"/>
          <w:b/>
          <w:sz w:val="28"/>
          <w:szCs w:val="28"/>
          <w:lang w:val="fr-CH"/>
        </w:rPr>
        <w:t>24.</w:t>
      </w:r>
      <w:r w:rsidR="00D212A5">
        <w:rPr>
          <w:rFonts w:cs="Arial"/>
          <w:b/>
          <w:sz w:val="28"/>
          <w:szCs w:val="28"/>
          <w:lang w:val="fr-CH"/>
        </w:rPr>
        <w:t>10</w:t>
      </w:r>
    </w:p>
    <w:p w14:paraId="1ED09395" w14:textId="77777777" w:rsidR="00DF2386" w:rsidRPr="00F87914" w:rsidRDefault="00DF2386" w:rsidP="00D3734D">
      <w:pPr>
        <w:ind w:left="0" w:firstLine="0"/>
        <w:jc w:val="center"/>
        <w:rPr>
          <w:rFonts w:cs="Arial"/>
          <w:b/>
          <w:sz w:val="28"/>
          <w:szCs w:val="28"/>
          <w:lang w:val="fr-CH"/>
        </w:rPr>
      </w:pPr>
    </w:p>
    <w:p w14:paraId="6412A1AF" w14:textId="106259D7" w:rsidR="00EB462B" w:rsidRPr="00F87914" w:rsidRDefault="00EB462B" w:rsidP="00D3734D">
      <w:pPr>
        <w:ind w:left="0" w:firstLine="0"/>
        <w:jc w:val="center"/>
        <w:rPr>
          <w:rFonts w:cs="Arial"/>
          <w:b/>
          <w:sz w:val="28"/>
          <w:szCs w:val="28"/>
          <w:lang w:val="fr-CH"/>
        </w:rPr>
      </w:pPr>
      <w:bookmarkStart w:id="0" w:name="_Hlk92796366"/>
      <w:r w:rsidRPr="00F87914">
        <w:rPr>
          <w:rFonts w:cs="Arial"/>
          <w:b/>
          <w:sz w:val="28"/>
          <w:szCs w:val="28"/>
          <w:lang w:val="fr-CH"/>
        </w:rPr>
        <w:t>P</w:t>
      </w:r>
      <w:r w:rsidR="00F87914">
        <w:rPr>
          <w:rFonts w:cs="Arial"/>
          <w:b/>
          <w:sz w:val="28"/>
          <w:szCs w:val="28"/>
          <w:lang w:val="fr-CH"/>
        </w:rPr>
        <w:t xml:space="preserve">rojet de résolution proposé sur </w:t>
      </w:r>
    </w:p>
    <w:p w14:paraId="06B61086" w14:textId="09E0CE98" w:rsidR="00DF2386" w:rsidRPr="00F87914" w:rsidRDefault="00DB2172" w:rsidP="00D3734D">
      <w:pPr>
        <w:ind w:left="0" w:firstLine="0"/>
        <w:jc w:val="center"/>
        <w:rPr>
          <w:rFonts w:cs="Arial"/>
          <w:b/>
          <w:sz w:val="28"/>
          <w:szCs w:val="28"/>
          <w:lang w:val="fr-CH"/>
        </w:rPr>
      </w:pPr>
      <w:r>
        <w:rPr>
          <w:rFonts w:cs="Arial"/>
          <w:b/>
          <w:sz w:val="28"/>
          <w:szCs w:val="28"/>
          <w:lang w:val="fr-CH"/>
        </w:rPr>
        <w:t xml:space="preserve">Les </w:t>
      </w:r>
      <w:r w:rsidR="00F87914">
        <w:rPr>
          <w:rFonts w:cs="Arial"/>
          <w:b/>
          <w:sz w:val="28"/>
          <w:szCs w:val="28"/>
          <w:lang w:val="fr-CH"/>
        </w:rPr>
        <w:t>Initiatives régionales R</w:t>
      </w:r>
      <w:r w:rsidR="00A46D6F" w:rsidRPr="00F87914">
        <w:rPr>
          <w:rFonts w:cs="Arial"/>
          <w:b/>
          <w:sz w:val="28"/>
          <w:szCs w:val="28"/>
          <w:lang w:val="fr-CH"/>
        </w:rPr>
        <w:t>amsar</w:t>
      </w:r>
      <w:r w:rsidR="00F87914">
        <w:rPr>
          <w:rFonts w:cs="Arial"/>
          <w:b/>
          <w:sz w:val="28"/>
          <w:szCs w:val="28"/>
          <w:lang w:val="fr-CH"/>
        </w:rPr>
        <w:t xml:space="preserve"> </w:t>
      </w:r>
      <w:r w:rsidR="00506E6E" w:rsidRPr="00F87914">
        <w:rPr>
          <w:rFonts w:cs="Arial"/>
          <w:b/>
          <w:sz w:val="28"/>
          <w:szCs w:val="28"/>
          <w:lang w:val="fr-CH"/>
        </w:rPr>
        <w:t xml:space="preserve">– </w:t>
      </w:r>
      <w:r w:rsidR="00015C8E" w:rsidRPr="00F87914">
        <w:rPr>
          <w:rFonts w:cs="Arial"/>
          <w:b/>
          <w:sz w:val="28"/>
          <w:szCs w:val="28"/>
          <w:lang w:val="fr-CH"/>
        </w:rPr>
        <w:t>COP14-COP15</w:t>
      </w:r>
    </w:p>
    <w:bookmarkEnd w:id="0"/>
    <w:p w14:paraId="70DEADEC" w14:textId="41199B72" w:rsidR="007B7FDF" w:rsidRPr="00F87914" w:rsidRDefault="007B7FDF" w:rsidP="00D3734D">
      <w:pPr>
        <w:rPr>
          <w:rFonts w:ascii="Garamond" w:hAnsi="Garamond" w:cs="Arial"/>
          <w:sz w:val="28"/>
          <w:szCs w:val="28"/>
          <w:lang w:val="fr-CH"/>
        </w:rPr>
      </w:pPr>
    </w:p>
    <w:p w14:paraId="0E6D2EAC" w14:textId="41F477AF" w:rsidR="00AD01AD" w:rsidRDefault="00F87914" w:rsidP="00D3734D">
      <w:pPr>
        <w:rPr>
          <w:rFonts w:asciiTheme="minorHAnsi" w:eastAsia="Times New Roman" w:hAnsiTheme="minorHAnsi"/>
          <w:i/>
          <w:lang w:val="fr-CH"/>
        </w:rPr>
      </w:pPr>
      <w:r>
        <w:rPr>
          <w:rFonts w:asciiTheme="minorHAnsi" w:eastAsia="Times New Roman" w:hAnsiTheme="minorHAnsi"/>
          <w:i/>
          <w:lang w:val="fr-CH"/>
        </w:rPr>
        <w:t>Présenté par la Suède</w:t>
      </w:r>
    </w:p>
    <w:p w14:paraId="5AA0559B" w14:textId="2E8DA723" w:rsidR="00542A71" w:rsidRDefault="00542A71" w:rsidP="00D3734D">
      <w:pPr>
        <w:rPr>
          <w:rFonts w:asciiTheme="minorHAnsi" w:eastAsia="Times New Roman" w:hAnsiTheme="minorHAnsi"/>
          <w:i/>
          <w:lang w:val="fr-CH"/>
        </w:rPr>
      </w:pPr>
    </w:p>
    <w:p w14:paraId="0DC3A547" w14:textId="77777777" w:rsidR="00542A71" w:rsidRPr="00542A71" w:rsidRDefault="00542A71" w:rsidP="00542A71">
      <w:pPr>
        <w:ind w:left="0" w:firstLine="0"/>
        <w:rPr>
          <w:i/>
          <w:lang w:val="fr-FR"/>
        </w:rPr>
      </w:pPr>
      <w:r w:rsidRPr="00542A71">
        <w:rPr>
          <w:i/>
          <w:lang w:val="fr-FR"/>
        </w:rPr>
        <w:t xml:space="preserve">Note de couverture du Secrétariat : </w:t>
      </w:r>
    </w:p>
    <w:p w14:paraId="25A84DAA" w14:textId="1AAE5692" w:rsidR="00542A71" w:rsidRPr="00542A71" w:rsidRDefault="00542A71" w:rsidP="00542A71">
      <w:pPr>
        <w:ind w:left="0" w:firstLine="0"/>
        <w:rPr>
          <w:lang w:val="fr-FR"/>
        </w:rPr>
      </w:pPr>
      <w:r w:rsidRPr="00542A71">
        <w:rPr>
          <w:lang w:val="fr-FR"/>
        </w:rPr>
        <w:t xml:space="preserve">Le projet de résolution se réfère à la Résolution XIII.9 sur les Initiatives régionales Ramsar 2019-2021. </w:t>
      </w:r>
      <w:bookmarkStart w:id="1" w:name="_Hlk98419403"/>
      <w:r w:rsidRPr="00542A71">
        <w:rPr>
          <w:lang w:val="fr-FR"/>
        </w:rPr>
        <w:t xml:space="preserve">La Suède a soumis deux autres projets de résolution sur le thème des Initiatives régionales Ramsar : </w:t>
      </w:r>
      <w:bookmarkStart w:id="2" w:name="_Hlk99038187"/>
      <w:r w:rsidRPr="00542A71">
        <w:rPr>
          <w:lang w:val="fr-FR"/>
        </w:rPr>
        <w:t>SC59/2022 Doc.24.</w:t>
      </w:r>
      <w:bookmarkEnd w:id="2"/>
      <w:r w:rsidRPr="00542A71">
        <w:rPr>
          <w:lang w:val="fr-FR"/>
        </w:rPr>
        <w:t xml:space="preserve">9 et SC59/2022 Doc.24.11. Le thème est également abordé dans le projet de résolution sur les Initiatives régionales Ramsar 2022-2024 en annexe du document SC59 Doc.21.1 </w:t>
      </w:r>
      <w:r w:rsidRPr="00542A71">
        <w:rPr>
          <w:i/>
          <w:iCs/>
          <w:lang w:val="fr-FR"/>
        </w:rPr>
        <w:t>Rapport du Groupe de travail sur les Initiatives régionales Ramsar, relatif à la mise en œuvre de la Résolution XIII.9.</w:t>
      </w:r>
      <w:r w:rsidRPr="00542A71">
        <w:rPr>
          <w:lang w:val="fr-FR"/>
        </w:rPr>
        <w:t xml:space="preserve"> Le projet de résolution ne traite d’aucune question de nature scientifique ou technique nécessitant un examen par le GEST.</w:t>
      </w:r>
    </w:p>
    <w:bookmarkEnd w:id="1"/>
    <w:p w14:paraId="65D45F35" w14:textId="77777777" w:rsidR="000833B5" w:rsidRDefault="000833B5">
      <w:pPr>
        <w:rPr>
          <w:rFonts w:ascii="Garamond" w:hAnsi="Garamond" w:cs="Arial"/>
          <w:sz w:val="28"/>
          <w:szCs w:val="28"/>
          <w:lang w:val="fr-FR"/>
        </w:rPr>
      </w:pPr>
      <w:r>
        <w:rPr>
          <w:rFonts w:ascii="Garamond" w:hAnsi="Garamond" w:cs="Arial"/>
          <w:sz w:val="28"/>
          <w:szCs w:val="28"/>
          <w:lang w:val="fr-FR"/>
        </w:rPr>
        <w:br w:type="page"/>
      </w:r>
    </w:p>
    <w:p w14:paraId="11A4AAD1" w14:textId="303E6C7A" w:rsidR="000C2489" w:rsidRDefault="000C2489" w:rsidP="00D3734D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78C670CB" wp14:editId="10DDEB80">
                <wp:extent cx="5731510" cy="1190625"/>
                <wp:effectExtent l="0" t="0" r="21590" b="2857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6ED61" w14:textId="04F5C94C" w:rsidR="00A34AA7" w:rsidRPr="00F87914" w:rsidRDefault="00A34AA7" w:rsidP="000C2489">
                            <w:pPr>
                              <w:rPr>
                                <w:b/>
                                <w:bCs/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CH"/>
                              </w:rPr>
                              <w:t>Mesure requise </w:t>
                            </w:r>
                            <w:r w:rsidRPr="00F87914">
                              <w:rPr>
                                <w:b/>
                                <w:bCs/>
                                <w:lang w:val="fr-CH"/>
                              </w:rPr>
                              <w:t xml:space="preserve">: </w:t>
                            </w:r>
                          </w:p>
                          <w:p w14:paraId="5B8D72C9" w14:textId="77777777" w:rsidR="00A34AA7" w:rsidRPr="00F87914" w:rsidRDefault="00A34AA7" w:rsidP="000C2489">
                            <w:pPr>
                              <w:pStyle w:val="ColorfulList-Accent11"/>
                              <w:ind w:left="0"/>
                              <w:rPr>
                                <w:lang w:val="fr-CH"/>
                              </w:rPr>
                            </w:pPr>
                          </w:p>
                          <w:p w14:paraId="5C796CF9" w14:textId="3E190C3F" w:rsidR="00A34AA7" w:rsidRPr="00F87914" w:rsidRDefault="00A34AA7" w:rsidP="00275F13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Le Comité permanent est invité à :</w:t>
                            </w:r>
                          </w:p>
                          <w:p w14:paraId="025A5546" w14:textId="77777777" w:rsidR="00A34AA7" w:rsidRPr="00F87914" w:rsidRDefault="00A34AA7" w:rsidP="002C261A">
                            <w:pPr>
                              <w:pStyle w:val="ColorfulList-Accent11"/>
                              <w:ind w:left="709" w:hanging="283"/>
                              <w:rPr>
                                <w:lang w:val="fr-CH"/>
                              </w:rPr>
                            </w:pPr>
                          </w:p>
                          <w:p w14:paraId="639AE441" w14:textId="135B1C7A" w:rsidR="00A34AA7" w:rsidRPr="00F87914" w:rsidRDefault="00A34AA7" w:rsidP="00A34AA7">
                            <w:pPr>
                              <w:pStyle w:val="ColorfulList-Accent11"/>
                              <w:numPr>
                                <w:ilvl w:val="0"/>
                                <w:numId w:val="12"/>
                              </w:numPr>
                              <w:rPr>
                                <w:rFonts w:cs="Calibri"/>
                                <w:lang w:val="fr-CH"/>
                              </w:rPr>
                            </w:pPr>
                            <w:r>
                              <w:rPr>
                                <w:rFonts w:cs="Calibri"/>
                                <w:lang w:val="fr-CH"/>
                              </w:rPr>
                              <w:t>Examiner, approuver puis communiquer le projet de résolution ci</w:t>
                            </w:r>
                            <w:r>
                              <w:rPr>
                                <w:rFonts w:cs="Calibri"/>
                                <w:lang w:val="fr-CH"/>
                              </w:rPr>
                              <w:noBreakHyphen/>
                              <w:t>joint « </w:t>
                            </w:r>
                            <w:r w:rsidR="00DB2172">
                              <w:rPr>
                                <w:rFonts w:cs="Calibri"/>
                                <w:lang w:val="fr-CH"/>
                              </w:rPr>
                              <w:t xml:space="preserve">Les </w:t>
                            </w:r>
                            <w:r>
                              <w:rPr>
                                <w:rFonts w:cs="Calibri"/>
                                <w:lang w:val="fr-CH"/>
                              </w:rPr>
                              <w:t xml:space="preserve">Initiatives régionales Ramsar </w:t>
                            </w:r>
                            <w:r w:rsidRPr="00F87914">
                              <w:rPr>
                                <w:rFonts w:cs="Calibri"/>
                                <w:lang w:val="fr-CH"/>
                              </w:rPr>
                              <w:t>– COP14-COP15</w:t>
                            </w:r>
                            <w:r>
                              <w:rPr>
                                <w:rFonts w:cs="Calibri"/>
                                <w:lang w:val="fr-CH"/>
                              </w:rPr>
                              <w:t> »</w:t>
                            </w:r>
                            <w:r w:rsidRPr="00F87914">
                              <w:rPr>
                                <w:rFonts w:cs="Calibri"/>
                                <w:lang w:val="fr-CH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C670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">
                <v:textbox>
                  <w:txbxContent>
                    <w:p w14:paraId="25C6ED61" w14:textId="04F5C94C" w:rsidR="00A34AA7" w:rsidRPr="00F87914" w:rsidRDefault="00A34AA7" w:rsidP="000C2489">
                      <w:pPr>
                        <w:rPr>
                          <w:b/>
                          <w:bCs/>
                          <w:lang w:val="fr-CH"/>
                        </w:rPr>
                      </w:pPr>
                      <w:r>
                        <w:rPr>
                          <w:b/>
                          <w:bCs/>
                          <w:lang w:val="fr-CH"/>
                        </w:rPr>
                        <w:t>Mesure requise </w:t>
                      </w:r>
                      <w:r w:rsidRPr="00F87914">
                        <w:rPr>
                          <w:b/>
                          <w:bCs/>
                          <w:lang w:val="fr-CH"/>
                        </w:rPr>
                        <w:t xml:space="preserve">: </w:t>
                      </w:r>
                    </w:p>
                    <w:p w14:paraId="5B8D72C9" w14:textId="77777777" w:rsidR="00A34AA7" w:rsidRPr="00F87914" w:rsidRDefault="00A34AA7" w:rsidP="000C2489">
                      <w:pPr>
                        <w:pStyle w:val="ColorfulList-Accent11"/>
                        <w:ind w:left="0"/>
                        <w:rPr>
                          <w:lang w:val="fr-CH"/>
                        </w:rPr>
                      </w:pPr>
                    </w:p>
                    <w:p w14:paraId="5C796CF9" w14:textId="3E190C3F" w:rsidR="00A34AA7" w:rsidRPr="00F87914" w:rsidRDefault="00A34AA7" w:rsidP="00275F13">
                      <w:pPr>
                        <w:pStyle w:val="ColorfulList-Accent11"/>
                        <w:ind w:left="0" w:firstLine="0"/>
                        <w:rPr>
                          <w:rFonts w:cs="Calibri"/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Le Comité permanent est invité à :</w:t>
                      </w:r>
                    </w:p>
                    <w:p w14:paraId="025A5546" w14:textId="77777777" w:rsidR="00A34AA7" w:rsidRPr="00F87914" w:rsidRDefault="00A34AA7" w:rsidP="002C261A">
                      <w:pPr>
                        <w:pStyle w:val="ColorfulList-Accent11"/>
                        <w:ind w:left="709" w:hanging="283"/>
                        <w:rPr>
                          <w:lang w:val="fr-CH"/>
                        </w:rPr>
                      </w:pPr>
                    </w:p>
                    <w:p w14:paraId="639AE441" w14:textId="135B1C7A" w:rsidR="00A34AA7" w:rsidRPr="00F87914" w:rsidRDefault="00A34AA7" w:rsidP="00A34AA7">
                      <w:pPr>
                        <w:pStyle w:val="ColorfulList-Accent11"/>
                        <w:numPr>
                          <w:ilvl w:val="0"/>
                          <w:numId w:val="12"/>
                        </w:numPr>
                        <w:rPr>
                          <w:rFonts w:cs="Calibri"/>
                          <w:lang w:val="fr-CH"/>
                        </w:rPr>
                      </w:pPr>
                      <w:r>
                        <w:rPr>
                          <w:rFonts w:cs="Calibri"/>
                          <w:lang w:val="fr-CH"/>
                        </w:rPr>
                        <w:t>Examiner, approuver puis communiquer le projet de résolution ci</w:t>
                      </w:r>
                      <w:r>
                        <w:rPr>
                          <w:rFonts w:cs="Calibri"/>
                          <w:lang w:val="fr-CH"/>
                        </w:rPr>
                        <w:noBreakHyphen/>
                        <w:t>joint « </w:t>
                      </w:r>
                      <w:r w:rsidR="00DB2172">
                        <w:rPr>
                          <w:rFonts w:cs="Calibri"/>
                          <w:lang w:val="fr-CH"/>
                        </w:rPr>
                        <w:t xml:space="preserve">Les </w:t>
                      </w:r>
                      <w:r>
                        <w:rPr>
                          <w:rFonts w:cs="Calibri"/>
                          <w:lang w:val="fr-CH"/>
                        </w:rPr>
                        <w:t xml:space="preserve">Initiatives régionales Ramsar </w:t>
                      </w:r>
                      <w:r w:rsidRPr="00F87914">
                        <w:rPr>
                          <w:rFonts w:cs="Calibri"/>
                          <w:lang w:val="fr-CH"/>
                        </w:rPr>
                        <w:t>– COP14-COP15</w:t>
                      </w:r>
                      <w:r>
                        <w:rPr>
                          <w:rFonts w:cs="Calibri"/>
                          <w:lang w:val="fr-CH"/>
                        </w:rPr>
                        <w:t> »</w:t>
                      </w:r>
                      <w:r w:rsidRPr="00F87914">
                        <w:rPr>
                          <w:rFonts w:cs="Calibri"/>
                          <w:lang w:val="fr-CH"/>
                        </w:rPr>
                        <w:t xml:space="preserve">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09C557" w14:textId="77777777" w:rsidR="008B659C" w:rsidRDefault="008B659C" w:rsidP="00D3734D">
      <w:pPr>
        <w:rPr>
          <w:rFonts w:asciiTheme="minorHAnsi" w:hAnsiTheme="minorHAnsi" w:cstheme="minorHAnsi"/>
          <w:b/>
        </w:rPr>
      </w:pPr>
    </w:p>
    <w:p w14:paraId="7089F019" w14:textId="77777777" w:rsidR="008B659C" w:rsidRDefault="008B659C" w:rsidP="00D3734D">
      <w:pPr>
        <w:rPr>
          <w:rFonts w:asciiTheme="minorHAnsi" w:hAnsiTheme="minorHAnsi" w:cstheme="minorHAnsi"/>
          <w:b/>
        </w:rPr>
      </w:pPr>
    </w:p>
    <w:p w14:paraId="0C63D9FB" w14:textId="1D9AF272" w:rsidR="000C2489" w:rsidRPr="00D212A5" w:rsidRDefault="00EB462B" w:rsidP="00D3734D">
      <w:pPr>
        <w:rPr>
          <w:rFonts w:asciiTheme="minorHAnsi" w:hAnsiTheme="minorHAnsi" w:cstheme="minorHAnsi"/>
          <w:b/>
          <w:lang w:val="fr-FR"/>
        </w:rPr>
      </w:pPr>
      <w:r w:rsidRPr="00D212A5">
        <w:rPr>
          <w:rFonts w:asciiTheme="minorHAnsi" w:hAnsiTheme="minorHAnsi" w:cstheme="minorHAnsi"/>
          <w:b/>
          <w:lang w:val="fr-FR"/>
        </w:rPr>
        <w:t>Introduction</w:t>
      </w:r>
    </w:p>
    <w:p w14:paraId="5C53B403" w14:textId="122DC490" w:rsidR="00AD01AD" w:rsidRPr="009777B0" w:rsidRDefault="00AD01AD" w:rsidP="00D3734D">
      <w:pPr>
        <w:rPr>
          <w:rFonts w:asciiTheme="minorHAnsi" w:hAnsiTheme="minorHAnsi" w:cstheme="minorHAnsi"/>
          <w:b/>
          <w:lang w:val="fr-FR"/>
        </w:rPr>
      </w:pPr>
    </w:p>
    <w:p w14:paraId="00DA8A41" w14:textId="4DDB1108" w:rsidR="00AD01AD" w:rsidRPr="009777B0" w:rsidRDefault="00AD01AD" w:rsidP="00D3734D">
      <w:pPr>
        <w:rPr>
          <w:rFonts w:asciiTheme="minorHAnsi" w:hAnsiTheme="minorHAnsi" w:cstheme="minorHAnsi"/>
          <w:bCs/>
          <w:i/>
          <w:iCs/>
          <w:lang w:val="fr-FR"/>
        </w:rPr>
      </w:pPr>
      <w:r w:rsidRPr="009777B0">
        <w:rPr>
          <w:rFonts w:asciiTheme="minorHAnsi" w:hAnsiTheme="minorHAnsi" w:cstheme="minorHAnsi"/>
          <w:bCs/>
          <w:i/>
          <w:iCs/>
          <w:lang w:val="fr-FR"/>
        </w:rPr>
        <w:t>Information</w:t>
      </w:r>
      <w:r w:rsidR="00B57F70" w:rsidRPr="009777B0">
        <w:rPr>
          <w:rFonts w:asciiTheme="minorHAnsi" w:hAnsiTheme="minorHAnsi" w:cstheme="minorHAnsi"/>
          <w:bCs/>
          <w:i/>
          <w:iCs/>
          <w:lang w:val="fr-FR"/>
        </w:rPr>
        <w:t>s</w:t>
      </w:r>
      <w:r w:rsidRPr="009777B0">
        <w:rPr>
          <w:rFonts w:asciiTheme="minorHAnsi" w:hAnsiTheme="minorHAnsi" w:cstheme="minorHAnsi"/>
          <w:bCs/>
          <w:i/>
          <w:iCs/>
          <w:lang w:val="fr-FR"/>
        </w:rPr>
        <w:t xml:space="preserve"> </w:t>
      </w:r>
      <w:r w:rsidR="00B57F70" w:rsidRPr="009777B0">
        <w:rPr>
          <w:rFonts w:asciiTheme="minorHAnsi" w:hAnsiTheme="minorHAnsi" w:cstheme="minorHAnsi"/>
          <w:bCs/>
          <w:i/>
          <w:iCs/>
          <w:lang w:val="fr-FR"/>
        </w:rPr>
        <w:t>pour le Comité permanent</w:t>
      </w:r>
    </w:p>
    <w:p w14:paraId="3B416055" w14:textId="77777777" w:rsidR="008B659C" w:rsidRPr="009777B0" w:rsidRDefault="008B659C" w:rsidP="00D3734D">
      <w:pPr>
        <w:rPr>
          <w:rFonts w:asciiTheme="minorHAnsi" w:hAnsiTheme="minorHAnsi" w:cstheme="minorHAnsi"/>
          <w:b/>
          <w:lang w:val="fr-FR"/>
        </w:rPr>
      </w:pPr>
    </w:p>
    <w:p w14:paraId="7DDE3D3B" w14:textId="5E776057" w:rsidR="00C1292B" w:rsidRPr="00A02DC3" w:rsidRDefault="00F41FB4" w:rsidP="007F7FB2">
      <w:pPr>
        <w:pStyle w:val="ListParagraph"/>
        <w:numPr>
          <w:ilvl w:val="0"/>
          <w:numId w:val="1"/>
        </w:numPr>
        <w:ind w:left="426" w:hanging="426"/>
        <w:rPr>
          <w:rFonts w:asciiTheme="minorHAnsi" w:hAnsiTheme="minorHAnsi" w:cstheme="minorHAnsi"/>
          <w:lang w:val="fr-FR"/>
        </w:rPr>
      </w:pPr>
      <w:bookmarkStart w:id="3" w:name="_Hlk66787368"/>
      <w:r w:rsidRPr="009777B0">
        <w:rPr>
          <w:rFonts w:asciiTheme="minorHAnsi" w:hAnsiTheme="minorHAnsi" w:cstheme="minorHAnsi"/>
          <w:lang w:val="fr-FR"/>
        </w:rPr>
        <w:t>La Résolution</w:t>
      </w:r>
      <w:r w:rsidR="00B773E1" w:rsidRPr="009777B0">
        <w:rPr>
          <w:rFonts w:asciiTheme="minorHAnsi" w:hAnsiTheme="minorHAnsi" w:cstheme="minorHAnsi"/>
          <w:lang w:val="fr-FR"/>
        </w:rPr>
        <w:t xml:space="preserve"> XIII.9</w:t>
      </w:r>
      <w:bookmarkEnd w:id="3"/>
      <w:r w:rsidR="00B773E1" w:rsidRPr="009777B0">
        <w:rPr>
          <w:rFonts w:asciiTheme="minorHAnsi" w:hAnsiTheme="minorHAnsi" w:cstheme="minorHAnsi"/>
          <w:lang w:val="fr-FR"/>
        </w:rPr>
        <w:t xml:space="preserve"> </w:t>
      </w:r>
      <w:r w:rsidR="00B57F70" w:rsidRPr="009777B0">
        <w:rPr>
          <w:lang w:val="fr-FR"/>
        </w:rPr>
        <w:t>reconstituait le Groupe de travail (à composition non limitée) sur les Initiatives régionales Ramsar, conformément à l’Article 25 du Règlement intérieur, et le chargeait de rédiger de nouvelles Directives opérationnelles pour les Initiatives régionales Ramsar (IRR)</w:t>
      </w:r>
      <w:r w:rsidR="00B773E1" w:rsidRPr="009777B0">
        <w:rPr>
          <w:rFonts w:asciiTheme="minorHAnsi" w:hAnsiTheme="minorHAnsi" w:cstheme="minorHAnsi"/>
          <w:lang w:val="fr-FR"/>
        </w:rPr>
        <w:t>.</w:t>
      </w:r>
      <w:r w:rsidR="00C1292B" w:rsidRPr="009777B0">
        <w:rPr>
          <w:rFonts w:asciiTheme="minorHAnsi" w:hAnsiTheme="minorHAnsi" w:cstheme="minorHAnsi"/>
          <w:lang w:val="fr-FR"/>
        </w:rPr>
        <w:t xml:space="preserve"> </w:t>
      </w:r>
      <w:r w:rsidR="00B57F70" w:rsidRPr="009777B0">
        <w:rPr>
          <w:rFonts w:asciiTheme="minorHAnsi" w:hAnsiTheme="minorHAnsi" w:cstheme="minorHAnsi"/>
          <w:lang w:val="fr-FR"/>
        </w:rPr>
        <w:t xml:space="preserve">Les résultats </w:t>
      </w:r>
      <w:r w:rsidR="009655F8">
        <w:rPr>
          <w:rFonts w:asciiTheme="minorHAnsi" w:hAnsiTheme="minorHAnsi" w:cstheme="minorHAnsi"/>
          <w:lang w:val="fr-FR"/>
        </w:rPr>
        <w:t xml:space="preserve">des travaux </w:t>
      </w:r>
      <w:r w:rsidR="00B57F70" w:rsidRPr="009777B0">
        <w:rPr>
          <w:rFonts w:asciiTheme="minorHAnsi" w:hAnsiTheme="minorHAnsi" w:cstheme="minorHAnsi"/>
          <w:lang w:val="fr-FR"/>
        </w:rPr>
        <w:t>du Groupe de travail sont présentés dans le do</w:t>
      </w:r>
      <w:r w:rsidR="0058138D" w:rsidRPr="009777B0">
        <w:rPr>
          <w:rFonts w:asciiTheme="minorHAnsi" w:hAnsiTheme="minorHAnsi" w:cstheme="minorHAnsi"/>
          <w:lang w:val="fr-FR"/>
        </w:rPr>
        <w:t xml:space="preserve">cument SC59-21.1 </w:t>
      </w:r>
      <w:r w:rsidR="009777B0" w:rsidRPr="009777B0">
        <w:rPr>
          <w:rFonts w:asciiTheme="minorHAnsi" w:hAnsiTheme="minorHAnsi" w:cstheme="minorHAnsi"/>
          <w:lang w:val="fr-FR"/>
        </w:rPr>
        <w:t xml:space="preserve">qui </w:t>
      </w:r>
      <w:r w:rsidR="009777B0" w:rsidRPr="00A02DC3">
        <w:rPr>
          <w:rFonts w:asciiTheme="minorHAnsi" w:hAnsiTheme="minorHAnsi" w:cstheme="minorHAnsi"/>
          <w:lang w:val="fr-FR"/>
        </w:rPr>
        <w:t>contient un nouveau projet de ré</w:t>
      </w:r>
      <w:r w:rsidR="0058138D" w:rsidRPr="00A02DC3">
        <w:rPr>
          <w:rFonts w:asciiTheme="minorHAnsi" w:hAnsiTheme="minorHAnsi" w:cstheme="minorHAnsi"/>
          <w:lang w:val="fr-FR"/>
        </w:rPr>
        <w:t xml:space="preserve">solution </w:t>
      </w:r>
      <w:r w:rsidR="009777B0" w:rsidRPr="00A02DC3">
        <w:rPr>
          <w:rFonts w:asciiTheme="minorHAnsi" w:hAnsiTheme="minorHAnsi" w:cstheme="minorHAnsi"/>
          <w:lang w:val="fr-FR"/>
        </w:rPr>
        <w:t>avec les nouvelles Directives opérationnelles proposées</w:t>
      </w:r>
      <w:r w:rsidR="0058138D" w:rsidRPr="00A02DC3">
        <w:rPr>
          <w:rFonts w:asciiTheme="minorHAnsi" w:hAnsiTheme="minorHAnsi" w:cstheme="minorHAnsi"/>
          <w:lang w:val="fr-FR"/>
        </w:rPr>
        <w:t xml:space="preserve"> </w:t>
      </w:r>
      <w:r w:rsidR="009777B0" w:rsidRPr="00A02DC3">
        <w:rPr>
          <w:rFonts w:asciiTheme="minorHAnsi" w:hAnsiTheme="minorHAnsi" w:cstheme="minorHAnsi"/>
          <w:lang w:val="fr-FR"/>
        </w:rPr>
        <w:t xml:space="preserve">et une compilation de </w:t>
      </w:r>
      <w:r w:rsidR="00FF54E8">
        <w:rPr>
          <w:rFonts w:asciiTheme="minorHAnsi" w:hAnsiTheme="minorHAnsi" w:cstheme="minorHAnsi"/>
          <w:lang w:val="fr-FR"/>
        </w:rPr>
        <w:t>d</w:t>
      </w:r>
      <w:r w:rsidR="009777B0" w:rsidRPr="00A02DC3">
        <w:rPr>
          <w:rFonts w:asciiTheme="minorHAnsi" w:hAnsiTheme="minorHAnsi" w:cstheme="minorHAnsi"/>
          <w:lang w:val="fr-FR"/>
        </w:rPr>
        <w:t xml:space="preserve">écisions obsolètes pour </w:t>
      </w:r>
      <w:r w:rsidR="00DE486D">
        <w:rPr>
          <w:rFonts w:asciiTheme="minorHAnsi" w:hAnsiTheme="minorHAnsi" w:cstheme="minorHAnsi"/>
          <w:lang w:val="fr-FR"/>
        </w:rPr>
        <w:t>abrogation</w:t>
      </w:r>
      <w:r w:rsidR="009777B0" w:rsidRPr="00A02DC3">
        <w:rPr>
          <w:rFonts w:asciiTheme="minorHAnsi" w:hAnsiTheme="minorHAnsi" w:cstheme="minorHAnsi"/>
          <w:lang w:val="fr-FR"/>
        </w:rPr>
        <w:t>.</w:t>
      </w:r>
      <w:r w:rsidR="00A90003" w:rsidRPr="00A02DC3">
        <w:rPr>
          <w:rFonts w:asciiTheme="minorHAnsi" w:hAnsiTheme="minorHAnsi" w:cstheme="minorHAnsi"/>
          <w:lang w:val="fr-FR"/>
        </w:rPr>
        <w:t xml:space="preserve"> </w:t>
      </w:r>
      <w:r w:rsidR="00A90003" w:rsidRPr="00A02DC3">
        <w:rPr>
          <w:rFonts w:asciiTheme="minorHAnsi" w:hAnsiTheme="minorHAnsi" w:cstheme="minorHAnsi"/>
          <w:lang w:val="fr-FR"/>
        </w:rPr>
        <w:br/>
      </w:r>
    </w:p>
    <w:p w14:paraId="76272453" w14:textId="5E11A2A3" w:rsidR="00491E9D" w:rsidRPr="00A02DC3" w:rsidRDefault="00A02DC3" w:rsidP="00A90003">
      <w:pPr>
        <w:pStyle w:val="ListParagraph"/>
        <w:numPr>
          <w:ilvl w:val="0"/>
          <w:numId w:val="1"/>
        </w:numPr>
        <w:ind w:left="426" w:hanging="426"/>
        <w:rPr>
          <w:rFonts w:cs="Calibri"/>
          <w:lang w:val="fr-FR"/>
        </w:rPr>
      </w:pPr>
      <w:r w:rsidRPr="00A02DC3">
        <w:rPr>
          <w:rFonts w:asciiTheme="minorHAnsi" w:hAnsiTheme="minorHAnsi" w:cstheme="minorHAnsi"/>
          <w:lang w:val="fr-FR"/>
        </w:rPr>
        <w:t>Le document</w:t>
      </w:r>
      <w:r w:rsidR="00491E9D" w:rsidRPr="00A02DC3">
        <w:rPr>
          <w:rFonts w:asciiTheme="minorHAnsi" w:hAnsiTheme="minorHAnsi" w:cstheme="minorHAnsi"/>
          <w:lang w:val="fr-FR"/>
        </w:rPr>
        <w:t xml:space="preserve"> </w:t>
      </w:r>
      <w:r w:rsidR="00A90003" w:rsidRPr="00A02DC3">
        <w:rPr>
          <w:rFonts w:asciiTheme="minorHAnsi" w:hAnsiTheme="minorHAnsi" w:cstheme="minorHAnsi"/>
          <w:lang w:val="fr-FR"/>
        </w:rPr>
        <w:t xml:space="preserve">SC59-21.1 </w:t>
      </w:r>
      <w:r w:rsidRPr="00A02DC3">
        <w:rPr>
          <w:rFonts w:asciiTheme="minorHAnsi" w:hAnsiTheme="minorHAnsi" w:cstheme="minorHAnsi"/>
          <w:lang w:val="fr-FR"/>
        </w:rPr>
        <w:t>a été, en partie rédigé à la hâte par quelques pays, et les commentaires d’autres pays n’ont pas été pris en compte</w:t>
      </w:r>
      <w:r w:rsidR="0034418A" w:rsidRPr="00A02DC3">
        <w:rPr>
          <w:rFonts w:asciiTheme="minorHAnsi" w:hAnsiTheme="minorHAnsi" w:cstheme="minorHAnsi"/>
          <w:lang w:val="fr-FR"/>
        </w:rPr>
        <w:t xml:space="preserve">. </w:t>
      </w:r>
      <w:r w:rsidR="00882661" w:rsidRPr="00A02DC3">
        <w:rPr>
          <w:rFonts w:asciiTheme="minorHAnsi" w:hAnsiTheme="minorHAnsi" w:cstheme="minorHAnsi"/>
          <w:lang w:val="fr-FR"/>
        </w:rPr>
        <w:t xml:space="preserve"> </w:t>
      </w:r>
    </w:p>
    <w:p w14:paraId="45121D76" w14:textId="77777777" w:rsidR="00491E9D" w:rsidRPr="00A02DC3" w:rsidRDefault="00491E9D" w:rsidP="00491E9D">
      <w:pPr>
        <w:ind w:left="0" w:firstLine="0"/>
        <w:rPr>
          <w:rFonts w:cs="Calibri"/>
          <w:lang w:val="fr-FR"/>
        </w:rPr>
      </w:pPr>
    </w:p>
    <w:p w14:paraId="56A976DE" w14:textId="03B1011A" w:rsidR="00491E9D" w:rsidRPr="00A02DC3" w:rsidRDefault="00A02DC3" w:rsidP="00491E9D">
      <w:pPr>
        <w:pStyle w:val="ListParagraph"/>
        <w:numPr>
          <w:ilvl w:val="0"/>
          <w:numId w:val="1"/>
        </w:numPr>
        <w:ind w:left="426" w:hanging="426"/>
        <w:rPr>
          <w:rFonts w:cs="Calibri"/>
          <w:lang w:val="fr-FR"/>
        </w:rPr>
      </w:pPr>
      <w:r>
        <w:rPr>
          <w:rFonts w:cs="Calibri"/>
          <w:lang w:val="fr-FR"/>
        </w:rPr>
        <w:t xml:space="preserve">Au cours de la </w:t>
      </w:r>
      <w:bookmarkStart w:id="4" w:name="_Hlk98314633"/>
      <w:r>
        <w:rPr>
          <w:rFonts w:cs="Calibri"/>
          <w:lang w:val="fr-FR"/>
        </w:rPr>
        <w:t>59</w:t>
      </w:r>
      <w:r w:rsidRPr="00A02DC3">
        <w:rPr>
          <w:rFonts w:cs="Calibri"/>
          <w:vertAlign w:val="superscript"/>
          <w:lang w:val="fr-FR"/>
        </w:rPr>
        <w:t>e</w:t>
      </w:r>
      <w:r>
        <w:rPr>
          <w:rFonts w:cs="Calibri"/>
          <w:lang w:val="fr-FR"/>
        </w:rPr>
        <w:t xml:space="preserve"> Réunion </w:t>
      </w:r>
      <w:bookmarkEnd w:id="4"/>
      <w:r>
        <w:rPr>
          <w:rFonts w:cs="Calibri"/>
          <w:lang w:val="fr-FR"/>
        </w:rPr>
        <w:t>du Comité permanent, la Suède a encouragé le Groupe de travail à poursuivre ses travaux pour essayer de résoudre les dernières divergences et à soumettre un</w:t>
      </w:r>
      <w:r w:rsidR="00491E9D" w:rsidRPr="00A02DC3">
        <w:rPr>
          <w:rFonts w:cs="Calibri"/>
          <w:lang w:val="fr-FR"/>
        </w:rPr>
        <w:t xml:space="preserve"> document </w:t>
      </w:r>
      <w:r>
        <w:rPr>
          <w:rFonts w:cs="Calibri"/>
          <w:lang w:val="fr-FR"/>
        </w:rPr>
        <w:t xml:space="preserve">mis à jour </w:t>
      </w:r>
      <w:r w:rsidR="00985767">
        <w:rPr>
          <w:rFonts w:cs="Calibri"/>
          <w:lang w:val="fr-FR"/>
        </w:rPr>
        <w:t>à</w:t>
      </w:r>
      <w:r>
        <w:rPr>
          <w:rFonts w:cs="Calibri"/>
          <w:lang w:val="fr-FR"/>
        </w:rPr>
        <w:t xml:space="preserve"> la re</w:t>
      </w:r>
      <w:r w:rsidR="00985767">
        <w:rPr>
          <w:rFonts w:cs="Calibri"/>
          <w:lang w:val="fr-FR"/>
        </w:rPr>
        <w:t>p</w:t>
      </w:r>
      <w:r>
        <w:rPr>
          <w:rFonts w:cs="Calibri"/>
          <w:lang w:val="fr-FR"/>
        </w:rPr>
        <w:t xml:space="preserve">rise de séance </w:t>
      </w:r>
      <w:r w:rsidRPr="00CB7334">
        <w:rPr>
          <w:rFonts w:cs="Calibri"/>
          <w:lang w:val="fr-FR"/>
        </w:rPr>
        <w:t xml:space="preserve">de </w:t>
      </w:r>
      <w:r w:rsidR="003C3528" w:rsidRPr="00CB7334">
        <w:rPr>
          <w:rFonts w:cs="Calibri"/>
          <w:lang w:val="fr-FR"/>
        </w:rPr>
        <w:t>la</w:t>
      </w:r>
      <w:r w:rsidR="003C3528">
        <w:rPr>
          <w:rFonts w:cs="Calibri"/>
          <w:lang w:val="fr-FR"/>
        </w:rPr>
        <w:t xml:space="preserve"> </w:t>
      </w:r>
      <w:r w:rsidR="00985767" w:rsidRPr="00985767">
        <w:rPr>
          <w:rFonts w:cs="Calibri"/>
          <w:lang w:val="fr-FR"/>
        </w:rPr>
        <w:t>59</w:t>
      </w:r>
      <w:r w:rsidR="00985767" w:rsidRPr="00985767">
        <w:rPr>
          <w:rFonts w:cs="Calibri"/>
          <w:vertAlign w:val="superscript"/>
          <w:lang w:val="fr-FR"/>
        </w:rPr>
        <w:t>e</w:t>
      </w:r>
      <w:r w:rsidR="00985767" w:rsidRPr="00985767">
        <w:rPr>
          <w:rFonts w:cs="Calibri"/>
          <w:lang w:val="fr-FR"/>
        </w:rPr>
        <w:t xml:space="preserve"> Réunion</w:t>
      </w:r>
      <w:r w:rsidR="00985767">
        <w:rPr>
          <w:rFonts w:cs="Calibri"/>
          <w:lang w:val="fr-FR"/>
        </w:rPr>
        <w:t>, en mai</w:t>
      </w:r>
      <w:r w:rsidR="00347DB0" w:rsidRPr="00A02DC3">
        <w:rPr>
          <w:rFonts w:cs="Calibri"/>
          <w:lang w:val="fr-FR"/>
        </w:rPr>
        <w:t xml:space="preserve"> 2022.</w:t>
      </w:r>
      <w:r w:rsidR="00491E9D" w:rsidRPr="00A02DC3">
        <w:rPr>
          <w:rFonts w:cs="Calibri"/>
          <w:lang w:val="fr-FR"/>
        </w:rPr>
        <w:t xml:space="preserve"> </w:t>
      </w:r>
      <w:r w:rsidR="00985767">
        <w:rPr>
          <w:rFonts w:cs="Calibri"/>
          <w:lang w:val="fr-FR"/>
        </w:rPr>
        <w:t xml:space="preserve">Malheureusement cela n’a pas été fait et aucune mise à jour du document </w:t>
      </w:r>
      <w:r w:rsidR="00491E9D" w:rsidRPr="00A02DC3">
        <w:rPr>
          <w:rFonts w:cs="Calibri"/>
          <w:lang w:val="fr-FR"/>
        </w:rPr>
        <w:t xml:space="preserve">SC59 Doc 21.1 </w:t>
      </w:r>
      <w:r w:rsidR="00985767">
        <w:rPr>
          <w:rFonts w:cs="Calibri"/>
          <w:lang w:val="fr-FR"/>
        </w:rPr>
        <w:t>n’est prévue</w:t>
      </w:r>
      <w:r w:rsidR="00491E9D" w:rsidRPr="00A02DC3">
        <w:rPr>
          <w:rFonts w:cs="Calibri"/>
          <w:lang w:val="fr-FR"/>
        </w:rPr>
        <w:t xml:space="preserve">. </w:t>
      </w:r>
      <w:r w:rsidR="00985767">
        <w:rPr>
          <w:rFonts w:cs="Calibri"/>
          <w:lang w:val="fr-FR"/>
        </w:rPr>
        <w:t>En conséquence, la Suède a rédigé d’autres projets de résolutions couvrant le sujet</w:t>
      </w:r>
      <w:r w:rsidR="00491E9D" w:rsidRPr="00A02DC3">
        <w:rPr>
          <w:rFonts w:cs="Calibri"/>
          <w:lang w:val="fr-FR"/>
        </w:rPr>
        <w:t xml:space="preserve">. </w:t>
      </w:r>
      <w:r w:rsidR="00491E9D" w:rsidRPr="00A02DC3">
        <w:rPr>
          <w:rFonts w:cs="Calibri"/>
          <w:lang w:val="fr-FR"/>
        </w:rPr>
        <w:br/>
      </w:r>
      <w:bookmarkStart w:id="5" w:name="_Hlk95148360"/>
    </w:p>
    <w:p w14:paraId="3F95E79D" w14:textId="7171064C" w:rsidR="005E4C99" w:rsidRPr="00A02DC3" w:rsidRDefault="00D630B8" w:rsidP="00491E9D">
      <w:pPr>
        <w:pStyle w:val="ListParagraph"/>
        <w:numPr>
          <w:ilvl w:val="0"/>
          <w:numId w:val="1"/>
        </w:numPr>
        <w:ind w:left="426" w:hanging="426"/>
        <w:rPr>
          <w:rFonts w:cs="Calibri"/>
          <w:lang w:val="fr-FR"/>
        </w:rPr>
      </w:pPr>
      <w:r>
        <w:rPr>
          <w:rFonts w:cs="Calibri"/>
          <w:lang w:val="fr-FR"/>
        </w:rPr>
        <w:t xml:space="preserve">Trois projets de </w:t>
      </w:r>
      <w:r w:rsidRPr="00A02DC3">
        <w:rPr>
          <w:rFonts w:cs="Calibri"/>
          <w:lang w:val="fr-FR"/>
        </w:rPr>
        <w:t>résolutions</w:t>
      </w:r>
      <w:r w:rsidR="00491E9D" w:rsidRPr="00A02DC3">
        <w:rPr>
          <w:rFonts w:cs="Calibri"/>
          <w:lang w:val="fr-FR"/>
        </w:rPr>
        <w:t xml:space="preserve"> </w:t>
      </w:r>
      <w:r>
        <w:rPr>
          <w:rFonts w:cs="Calibri"/>
          <w:lang w:val="fr-FR"/>
        </w:rPr>
        <w:t xml:space="preserve">couvrant différentes parties du sujet, </w:t>
      </w:r>
      <w:r w:rsidR="00CB7334">
        <w:rPr>
          <w:rFonts w:cs="Calibri"/>
          <w:lang w:val="fr-FR"/>
        </w:rPr>
        <w:t>selon leur</w:t>
      </w:r>
      <w:r>
        <w:rPr>
          <w:rFonts w:cs="Calibri"/>
          <w:lang w:val="fr-FR"/>
        </w:rPr>
        <w:t xml:space="preserve"> durée de </w:t>
      </w:r>
      <w:r w:rsidR="00E326E3">
        <w:rPr>
          <w:rFonts w:cs="Calibri"/>
          <w:lang w:val="fr-FR"/>
        </w:rPr>
        <w:t>vie prévisible</w:t>
      </w:r>
      <w:r w:rsidR="00491E9D" w:rsidRPr="00CB7334">
        <w:rPr>
          <w:rFonts w:cs="Calibri"/>
          <w:lang w:val="fr-FR"/>
        </w:rPr>
        <w:t xml:space="preserve">, </w:t>
      </w:r>
      <w:r w:rsidR="00D93F1D">
        <w:rPr>
          <w:rFonts w:cs="Calibri"/>
          <w:lang w:val="fr-FR"/>
        </w:rPr>
        <w:t>sont</w:t>
      </w:r>
      <w:r>
        <w:rPr>
          <w:rFonts w:cs="Calibri"/>
          <w:lang w:val="fr-FR"/>
        </w:rPr>
        <w:t xml:space="preserve"> sans doute </w:t>
      </w:r>
      <w:r w:rsidR="00CB7334">
        <w:rPr>
          <w:rFonts w:cs="Calibri"/>
          <w:lang w:val="fr-FR"/>
        </w:rPr>
        <w:t xml:space="preserve">préférables à </w:t>
      </w:r>
      <w:r>
        <w:rPr>
          <w:rFonts w:cs="Calibri"/>
          <w:lang w:val="fr-FR"/>
        </w:rPr>
        <w:t xml:space="preserve">une seule </w:t>
      </w:r>
      <w:r w:rsidRPr="00A02DC3">
        <w:rPr>
          <w:rFonts w:cs="Calibri"/>
          <w:lang w:val="fr-FR"/>
        </w:rPr>
        <w:t>résolution</w:t>
      </w:r>
      <w:r w:rsidR="00491E9D" w:rsidRPr="00A02DC3">
        <w:rPr>
          <w:rFonts w:cs="Calibri"/>
          <w:lang w:val="fr-FR"/>
        </w:rPr>
        <w:t xml:space="preserve"> co</w:t>
      </w:r>
      <w:r>
        <w:rPr>
          <w:rFonts w:cs="Calibri"/>
          <w:lang w:val="fr-FR"/>
        </w:rPr>
        <w:t>uvrant toutes les questions rel</w:t>
      </w:r>
      <w:r w:rsidR="00566B50">
        <w:rPr>
          <w:rFonts w:cs="Calibri"/>
          <w:lang w:val="fr-FR"/>
        </w:rPr>
        <w:t>atives aux</w:t>
      </w:r>
      <w:r>
        <w:rPr>
          <w:rFonts w:cs="Calibri"/>
          <w:lang w:val="fr-FR"/>
        </w:rPr>
        <w:t xml:space="preserve"> IRR</w:t>
      </w:r>
      <w:r w:rsidR="00E326E3">
        <w:rPr>
          <w:rFonts w:cs="Calibri"/>
          <w:lang w:val="fr-FR"/>
        </w:rPr>
        <w:t xml:space="preserve"> </w:t>
      </w:r>
      <w:r w:rsidR="00566B50">
        <w:rPr>
          <w:rFonts w:cs="Calibri"/>
          <w:lang w:val="fr-FR"/>
        </w:rPr>
        <w:t>à</w:t>
      </w:r>
      <w:r w:rsidR="00E326E3">
        <w:rPr>
          <w:rFonts w:cs="Calibri"/>
          <w:lang w:val="fr-FR"/>
        </w:rPr>
        <w:t xml:space="preserve"> trait</w:t>
      </w:r>
      <w:r w:rsidR="00566B50">
        <w:rPr>
          <w:rFonts w:cs="Calibri"/>
          <w:lang w:val="fr-FR"/>
        </w:rPr>
        <w:t>er</w:t>
      </w:r>
      <w:r w:rsidR="00E326E3">
        <w:rPr>
          <w:rFonts w:cs="Calibri"/>
          <w:lang w:val="fr-FR"/>
        </w:rPr>
        <w:t xml:space="preserve"> à la</w:t>
      </w:r>
      <w:r w:rsidR="00491E9D" w:rsidRPr="00A02DC3">
        <w:rPr>
          <w:rFonts w:cs="Calibri"/>
          <w:lang w:val="fr-FR"/>
        </w:rPr>
        <w:t xml:space="preserve"> COP14. </w:t>
      </w:r>
      <w:r w:rsidR="00002017">
        <w:rPr>
          <w:rFonts w:cs="Calibri"/>
          <w:lang w:val="fr-FR"/>
        </w:rPr>
        <w:t>Une des</w:t>
      </w:r>
      <w:r w:rsidR="00E326E3">
        <w:rPr>
          <w:rFonts w:cs="Calibri"/>
          <w:lang w:val="fr-FR"/>
        </w:rPr>
        <w:t xml:space="preserve"> résolution</w:t>
      </w:r>
      <w:r w:rsidR="00002017">
        <w:rPr>
          <w:rFonts w:cs="Calibri"/>
          <w:lang w:val="fr-FR"/>
        </w:rPr>
        <w:t>s</w:t>
      </w:r>
      <w:r w:rsidR="00E326E3">
        <w:rPr>
          <w:rFonts w:cs="Calibri"/>
          <w:lang w:val="fr-FR"/>
        </w:rPr>
        <w:t xml:space="preserve"> porte sur les </w:t>
      </w:r>
      <w:r w:rsidR="00DE486D">
        <w:rPr>
          <w:rFonts w:cs="Calibri"/>
          <w:lang w:val="fr-FR"/>
        </w:rPr>
        <w:t>fondamentaux à long terme des IRR</w:t>
      </w:r>
      <w:r w:rsidR="00491E9D" w:rsidRPr="00A02DC3">
        <w:rPr>
          <w:rFonts w:cs="Calibri"/>
          <w:lang w:val="fr-FR"/>
        </w:rPr>
        <w:t xml:space="preserve">, </w:t>
      </w:r>
      <w:r w:rsidR="00002017">
        <w:rPr>
          <w:rFonts w:cs="Calibri"/>
          <w:lang w:val="fr-FR"/>
        </w:rPr>
        <w:t>une autre</w:t>
      </w:r>
      <w:r w:rsidR="00DE486D">
        <w:rPr>
          <w:rFonts w:cs="Calibri"/>
          <w:lang w:val="fr-FR"/>
        </w:rPr>
        <w:t xml:space="preserve"> sur ce qui pourrait </w:t>
      </w:r>
      <w:r w:rsidR="002916FC">
        <w:rPr>
          <w:rFonts w:cs="Calibri"/>
          <w:lang w:val="fr-FR"/>
        </w:rPr>
        <w:t>présenter un intérêt</w:t>
      </w:r>
      <w:r w:rsidR="00DE486D">
        <w:rPr>
          <w:rFonts w:cs="Calibri"/>
          <w:lang w:val="fr-FR"/>
        </w:rPr>
        <w:t xml:space="preserve"> jusqu’à la prochaine COP</w:t>
      </w:r>
      <w:r w:rsidR="00491E9D" w:rsidRPr="00A02DC3">
        <w:rPr>
          <w:rFonts w:cs="Calibri"/>
          <w:lang w:val="fr-FR"/>
        </w:rPr>
        <w:t xml:space="preserve">, </w:t>
      </w:r>
      <w:r w:rsidR="00DE486D">
        <w:rPr>
          <w:rFonts w:cs="Calibri"/>
          <w:lang w:val="fr-FR"/>
        </w:rPr>
        <w:t xml:space="preserve">et la </w:t>
      </w:r>
      <w:r w:rsidR="00002017">
        <w:rPr>
          <w:rFonts w:cs="Calibri"/>
          <w:lang w:val="fr-FR"/>
        </w:rPr>
        <w:t>dernière</w:t>
      </w:r>
      <w:r w:rsidR="00DE486D">
        <w:rPr>
          <w:rFonts w:cs="Calibri"/>
          <w:lang w:val="fr-FR"/>
        </w:rPr>
        <w:t xml:space="preserve"> sur </w:t>
      </w:r>
      <w:r w:rsidR="00FF54E8">
        <w:rPr>
          <w:rFonts w:cs="Calibri"/>
          <w:lang w:val="fr-FR"/>
        </w:rPr>
        <w:t>d’</w:t>
      </w:r>
      <w:r w:rsidR="00DE486D">
        <w:rPr>
          <w:rFonts w:cs="Calibri"/>
          <w:lang w:val="fr-FR"/>
        </w:rPr>
        <w:t xml:space="preserve">anciennes </w:t>
      </w:r>
      <w:r w:rsidR="004B024C">
        <w:rPr>
          <w:rFonts w:cs="Calibri"/>
          <w:lang w:val="fr-FR"/>
        </w:rPr>
        <w:t>d</w:t>
      </w:r>
      <w:r w:rsidR="00DE486D">
        <w:rPr>
          <w:rFonts w:cs="Calibri"/>
          <w:lang w:val="fr-FR"/>
        </w:rPr>
        <w:t>écisions pouvant être abrogées</w:t>
      </w:r>
      <w:r w:rsidR="00491E9D" w:rsidRPr="00A02DC3">
        <w:rPr>
          <w:rFonts w:cs="Calibri"/>
          <w:lang w:val="fr-FR"/>
        </w:rPr>
        <w:t>.</w:t>
      </w:r>
      <w:r w:rsidR="005E4C99" w:rsidRPr="00A02DC3">
        <w:rPr>
          <w:rFonts w:cs="Calibri"/>
          <w:lang w:val="fr-FR"/>
        </w:rPr>
        <w:br/>
      </w:r>
      <w:bookmarkStart w:id="6" w:name="_Hlk94784253"/>
    </w:p>
    <w:p w14:paraId="20FCCCEB" w14:textId="2D5A26FF" w:rsidR="00491E9D" w:rsidRPr="00BF1A31" w:rsidRDefault="00DE486D" w:rsidP="00EB462B">
      <w:pPr>
        <w:pStyle w:val="ListParagraph"/>
        <w:numPr>
          <w:ilvl w:val="0"/>
          <w:numId w:val="1"/>
        </w:numPr>
        <w:ind w:left="426" w:hanging="426"/>
        <w:rPr>
          <w:rFonts w:cs="Calibri"/>
          <w:lang w:val="fr-FR"/>
        </w:rPr>
      </w:pPr>
      <w:r w:rsidRPr="00BF1A31">
        <w:rPr>
          <w:rFonts w:cs="Calibri"/>
          <w:lang w:val="fr-FR"/>
        </w:rPr>
        <w:t xml:space="preserve">Avoir ainsi des Résolutions </w:t>
      </w:r>
      <w:r w:rsidR="003649D1">
        <w:rPr>
          <w:rFonts w:cs="Calibri"/>
          <w:lang w:val="fr-FR"/>
        </w:rPr>
        <w:t>adaptées à leur</w:t>
      </w:r>
      <w:r w:rsidRPr="00BF1A31">
        <w:rPr>
          <w:rFonts w:cs="Calibri"/>
          <w:lang w:val="fr-FR"/>
        </w:rPr>
        <w:t xml:space="preserve"> durée de vie sera plus efficace et diminuera la nécessité de disposer de processus de </w:t>
      </w:r>
      <w:r w:rsidR="00BD2907">
        <w:rPr>
          <w:rFonts w:cs="Calibri"/>
          <w:lang w:val="fr-FR"/>
        </w:rPr>
        <w:t>regroupement</w:t>
      </w:r>
      <w:r w:rsidRPr="00BF1A31">
        <w:rPr>
          <w:rFonts w:cs="Calibri"/>
          <w:lang w:val="fr-FR"/>
        </w:rPr>
        <w:t>.</w:t>
      </w:r>
      <w:r w:rsidR="00491E9D" w:rsidRPr="00BF1A31">
        <w:rPr>
          <w:rFonts w:cs="Calibri"/>
          <w:lang w:val="fr-FR"/>
        </w:rPr>
        <w:t xml:space="preserve"> </w:t>
      </w:r>
      <w:r w:rsidR="00BF1A31" w:rsidRPr="00BF1A31">
        <w:rPr>
          <w:rFonts w:cs="Calibri"/>
          <w:lang w:val="fr-FR"/>
        </w:rPr>
        <w:t xml:space="preserve">La charge de travail en sera allégée, de même que les coûts pour le </w:t>
      </w:r>
      <w:r w:rsidR="00491E9D" w:rsidRPr="00BF1A31">
        <w:rPr>
          <w:rFonts w:cs="Calibri"/>
          <w:lang w:val="fr-FR"/>
        </w:rPr>
        <w:t>Secr</w:t>
      </w:r>
      <w:r w:rsidR="00BF1A31" w:rsidRPr="00BF1A31">
        <w:rPr>
          <w:rFonts w:cs="Calibri"/>
          <w:lang w:val="fr-FR"/>
        </w:rPr>
        <w:t>é</w:t>
      </w:r>
      <w:r w:rsidR="00491E9D" w:rsidRPr="00BF1A31">
        <w:rPr>
          <w:rFonts w:cs="Calibri"/>
          <w:lang w:val="fr-FR"/>
        </w:rPr>
        <w:t>tariat</w:t>
      </w:r>
      <w:r w:rsidR="00BF1A31" w:rsidRPr="00BF1A31">
        <w:rPr>
          <w:rFonts w:cs="Calibri"/>
          <w:lang w:val="fr-FR"/>
        </w:rPr>
        <w:t xml:space="preserve"> Ramsar</w:t>
      </w:r>
      <w:r w:rsidR="00491E9D" w:rsidRPr="00BF1A31">
        <w:rPr>
          <w:rFonts w:cs="Calibri"/>
          <w:lang w:val="fr-FR"/>
        </w:rPr>
        <w:t xml:space="preserve">, </w:t>
      </w:r>
      <w:r w:rsidR="00BF1A31" w:rsidRPr="00BF1A31">
        <w:rPr>
          <w:rFonts w:cs="Calibri"/>
          <w:lang w:val="fr-FR"/>
        </w:rPr>
        <w:t xml:space="preserve">les traducteurs et </w:t>
      </w:r>
      <w:r w:rsidR="00FF54E8">
        <w:rPr>
          <w:rFonts w:cs="Calibri"/>
          <w:lang w:val="fr-FR"/>
        </w:rPr>
        <w:t>les</w:t>
      </w:r>
      <w:r w:rsidR="00BF1A31" w:rsidRPr="00BF1A31">
        <w:rPr>
          <w:rFonts w:cs="Calibri"/>
          <w:lang w:val="fr-FR"/>
        </w:rPr>
        <w:t xml:space="preserve"> délégués lors des sessions de la </w:t>
      </w:r>
      <w:r w:rsidR="00491E9D" w:rsidRPr="00BF1A31">
        <w:rPr>
          <w:rFonts w:cs="Calibri"/>
          <w:lang w:val="fr-FR"/>
        </w:rPr>
        <w:t>Convention.</w:t>
      </w:r>
      <w:bookmarkEnd w:id="6"/>
      <w:r w:rsidR="00491E9D" w:rsidRPr="00BF1A31">
        <w:rPr>
          <w:rFonts w:cs="Calibri"/>
          <w:lang w:val="fr-FR"/>
        </w:rPr>
        <w:br/>
      </w:r>
    </w:p>
    <w:bookmarkEnd w:id="5"/>
    <w:p w14:paraId="5FB4E93A" w14:textId="5FF3A4EB" w:rsidR="00491E9D" w:rsidRPr="00BF1A31" w:rsidRDefault="00BF1A31" w:rsidP="00EB462B">
      <w:pPr>
        <w:pStyle w:val="ListParagraph"/>
        <w:numPr>
          <w:ilvl w:val="0"/>
          <w:numId w:val="1"/>
        </w:numPr>
        <w:ind w:left="426" w:hanging="426"/>
        <w:rPr>
          <w:rFonts w:cs="Calibri"/>
          <w:lang w:val="fr-FR"/>
        </w:rPr>
      </w:pPr>
      <w:r w:rsidRPr="00BF1A31">
        <w:rPr>
          <w:rFonts w:cs="Calibri"/>
          <w:lang w:val="fr-FR"/>
        </w:rPr>
        <w:t>Le présent document contient le projet de résolution sur les questions</w:t>
      </w:r>
      <w:r w:rsidR="005E4C99" w:rsidRPr="00BF1A31">
        <w:rPr>
          <w:rFonts w:cs="Calibri"/>
          <w:lang w:val="fr-FR"/>
        </w:rPr>
        <w:t xml:space="preserve"> </w:t>
      </w:r>
      <w:r w:rsidRPr="00BF1A31">
        <w:rPr>
          <w:rFonts w:cs="Calibri"/>
          <w:lang w:val="fr-FR"/>
        </w:rPr>
        <w:t>spécifiques aux prochaines années</w:t>
      </w:r>
      <w:r w:rsidR="00491E9D" w:rsidRPr="00BF1A31">
        <w:rPr>
          <w:rFonts w:cs="Calibri"/>
          <w:lang w:val="fr-FR"/>
        </w:rPr>
        <w:t>,</w:t>
      </w:r>
      <w:r>
        <w:rPr>
          <w:rFonts w:cs="Calibri"/>
          <w:lang w:val="fr-FR"/>
        </w:rPr>
        <w:t xml:space="preserve"> il sera abrogé dès qu’il sera remplacé </w:t>
      </w:r>
      <w:r w:rsidRPr="00BF1A31">
        <w:rPr>
          <w:rFonts w:cs="Calibri"/>
          <w:lang w:val="fr-FR"/>
        </w:rPr>
        <w:t>par</w:t>
      </w:r>
      <w:r>
        <w:rPr>
          <w:rFonts w:cs="Calibri"/>
          <w:lang w:val="fr-FR"/>
        </w:rPr>
        <w:t xml:space="preserve"> un nouveau projet, à la</w:t>
      </w:r>
      <w:r w:rsidR="00491E9D" w:rsidRPr="00BF1A31">
        <w:rPr>
          <w:rFonts w:cs="Calibri"/>
          <w:lang w:val="fr-FR"/>
        </w:rPr>
        <w:t xml:space="preserve"> COP15</w:t>
      </w:r>
      <w:r w:rsidR="005E4C99" w:rsidRPr="00BF1A31">
        <w:rPr>
          <w:rFonts w:cs="Calibri"/>
          <w:lang w:val="fr-FR"/>
        </w:rPr>
        <w:t>.</w:t>
      </w:r>
    </w:p>
    <w:p w14:paraId="5909491F" w14:textId="77777777" w:rsidR="000833B5" w:rsidRDefault="005E4C99" w:rsidP="000833B5">
      <w:pPr>
        <w:ind w:left="0" w:firstLine="0"/>
        <w:rPr>
          <w:rFonts w:cs="Arial"/>
          <w:i/>
          <w:lang w:val="fr-FR"/>
        </w:rPr>
      </w:pPr>
      <w:r w:rsidRPr="00BF1A31">
        <w:rPr>
          <w:rFonts w:cs="Calibri"/>
          <w:lang w:val="fr-FR"/>
        </w:rPr>
        <w:br/>
      </w:r>
    </w:p>
    <w:p w14:paraId="47A83AC0" w14:textId="77777777" w:rsidR="000833B5" w:rsidRDefault="000833B5">
      <w:pPr>
        <w:rPr>
          <w:rFonts w:cs="Arial"/>
          <w:i/>
          <w:lang w:val="fr-FR"/>
        </w:rPr>
      </w:pPr>
      <w:r>
        <w:rPr>
          <w:rFonts w:cs="Arial"/>
          <w:i/>
          <w:lang w:val="fr-FR"/>
        </w:rPr>
        <w:br w:type="page"/>
      </w:r>
    </w:p>
    <w:p w14:paraId="06E95D9D" w14:textId="5447201F" w:rsidR="00AD01AD" w:rsidRPr="004F4E34" w:rsidRDefault="00BF1A31" w:rsidP="000833B5">
      <w:pPr>
        <w:ind w:left="0" w:firstLine="0"/>
        <w:rPr>
          <w:rFonts w:cs="Arial"/>
          <w:i/>
          <w:lang w:val="fr-FR"/>
        </w:rPr>
      </w:pPr>
      <w:bookmarkStart w:id="7" w:name="_GoBack"/>
      <w:bookmarkEnd w:id="7"/>
      <w:r w:rsidRPr="004F4E34">
        <w:rPr>
          <w:rFonts w:cs="Arial"/>
          <w:i/>
          <w:lang w:val="fr-FR"/>
        </w:rPr>
        <w:lastRenderedPageBreak/>
        <w:t>Incidences financières de la mise en œuvre</w:t>
      </w:r>
    </w:p>
    <w:p w14:paraId="4AA15BE6" w14:textId="77777777" w:rsidR="00F333AE" w:rsidRPr="004F4E34" w:rsidRDefault="00F333AE" w:rsidP="00F333AE">
      <w:pPr>
        <w:rPr>
          <w:rFonts w:cs="Arial"/>
          <w:i/>
          <w:lang w:val="fr-F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4394"/>
        <w:gridCol w:w="2217"/>
      </w:tblGrid>
      <w:tr w:rsidR="00F333AE" w:rsidRPr="00542A71" w14:paraId="65FFFE41" w14:textId="77777777" w:rsidTr="00A34AA7">
        <w:tc>
          <w:tcPr>
            <w:tcW w:w="2410" w:type="dxa"/>
          </w:tcPr>
          <w:p w14:paraId="2B4F57C7" w14:textId="0C5225A2" w:rsidR="00F333AE" w:rsidRPr="004F4E34" w:rsidRDefault="00F333AE" w:rsidP="00A34AA7">
            <w:pPr>
              <w:ind w:left="0" w:firstLine="0"/>
              <w:rPr>
                <w:rFonts w:cs="Arial"/>
                <w:b/>
                <w:bCs/>
                <w:iCs/>
                <w:lang w:val="fr-FR"/>
              </w:rPr>
            </w:pPr>
            <w:r w:rsidRPr="004F4E34">
              <w:rPr>
                <w:rFonts w:cs="Arial"/>
                <w:b/>
                <w:bCs/>
                <w:iCs/>
                <w:lang w:val="fr-FR"/>
              </w:rPr>
              <w:t>Paragraph</w:t>
            </w:r>
            <w:r w:rsidR="00835638" w:rsidRPr="004F4E34">
              <w:rPr>
                <w:rFonts w:cs="Arial"/>
                <w:b/>
                <w:bCs/>
                <w:iCs/>
                <w:lang w:val="fr-FR"/>
              </w:rPr>
              <w:t>e/s</w:t>
            </w:r>
            <w:r w:rsidRPr="004F4E34">
              <w:rPr>
                <w:rFonts w:cs="Arial"/>
                <w:b/>
                <w:bCs/>
                <w:iCs/>
                <w:lang w:val="fr-FR"/>
              </w:rPr>
              <w:t xml:space="preserve"> (nu</w:t>
            </w:r>
            <w:r w:rsidR="00835638" w:rsidRPr="004F4E34">
              <w:rPr>
                <w:rFonts w:cs="Arial"/>
                <w:b/>
                <w:bCs/>
                <w:iCs/>
                <w:lang w:val="fr-FR"/>
              </w:rPr>
              <w:t>méro/s</w:t>
            </w:r>
            <w:r w:rsidRPr="004F4E34">
              <w:rPr>
                <w:rFonts w:cs="Arial"/>
                <w:b/>
                <w:bCs/>
                <w:iCs/>
                <w:lang w:val="fr-FR"/>
              </w:rPr>
              <w:t>,</w:t>
            </w:r>
            <w:r w:rsidR="00835638" w:rsidRPr="004F4E34">
              <w:rPr>
                <w:rFonts w:cs="Arial"/>
                <w:b/>
                <w:bCs/>
                <w:iCs/>
                <w:lang w:val="fr-FR"/>
              </w:rPr>
              <w:t xml:space="preserve"> principale</w:t>
            </w:r>
            <w:r w:rsidRPr="004F4E34">
              <w:rPr>
                <w:rFonts w:cs="Arial"/>
                <w:b/>
                <w:bCs/>
                <w:iCs/>
                <w:lang w:val="fr-FR"/>
              </w:rPr>
              <w:t xml:space="preserve"> part</w:t>
            </w:r>
            <w:r w:rsidR="00835638" w:rsidRPr="004F4E34">
              <w:rPr>
                <w:rFonts w:cs="Arial"/>
                <w:b/>
                <w:bCs/>
                <w:iCs/>
                <w:lang w:val="fr-FR"/>
              </w:rPr>
              <w:t>ie du</w:t>
            </w:r>
            <w:r w:rsidRPr="004F4E34">
              <w:rPr>
                <w:rFonts w:cs="Arial"/>
                <w:b/>
                <w:bCs/>
                <w:iCs/>
                <w:lang w:val="fr-FR"/>
              </w:rPr>
              <w:t xml:space="preserve"> text</w:t>
            </w:r>
            <w:r w:rsidR="00835638" w:rsidRPr="004F4E34">
              <w:rPr>
                <w:rFonts w:cs="Arial"/>
                <w:b/>
                <w:bCs/>
                <w:iCs/>
                <w:lang w:val="fr-FR"/>
              </w:rPr>
              <w:t>e</w:t>
            </w:r>
            <w:r w:rsidRPr="004F4E34">
              <w:rPr>
                <w:rFonts w:cs="Arial"/>
                <w:b/>
                <w:bCs/>
                <w:iCs/>
                <w:lang w:val="fr-FR"/>
              </w:rPr>
              <w:t>)</w:t>
            </w:r>
          </w:p>
        </w:tc>
        <w:tc>
          <w:tcPr>
            <w:tcW w:w="4394" w:type="dxa"/>
          </w:tcPr>
          <w:p w14:paraId="1DE7433D" w14:textId="137C45BA" w:rsidR="00F333AE" w:rsidRPr="004F4E34" w:rsidRDefault="00F333AE" w:rsidP="00A34AA7">
            <w:pPr>
              <w:ind w:left="0" w:firstLine="0"/>
              <w:rPr>
                <w:rFonts w:cs="Arial"/>
                <w:b/>
                <w:bCs/>
                <w:iCs/>
                <w:lang w:val="fr-FR"/>
              </w:rPr>
            </w:pPr>
            <w:r w:rsidRPr="004F4E34">
              <w:rPr>
                <w:rFonts w:cs="Arial"/>
                <w:b/>
                <w:bCs/>
                <w:iCs/>
                <w:lang w:val="fr-FR"/>
              </w:rPr>
              <w:t xml:space="preserve">Action </w:t>
            </w:r>
            <w:r w:rsidR="00835638" w:rsidRPr="004F4E34">
              <w:rPr>
                <w:rFonts w:cs="Arial"/>
                <w:b/>
                <w:bCs/>
                <w:iCs/>
                <w:lang w:val="fr-FR"/>
              </w:rPr>
              <w:t>ou manque d’</w:t>
            </w:r>
            <w:r w:rsidRPr="004F4E34">
              <w:rPr>
                <w:rFonts w:cs="Arial"/>
                <w:b/>
                <w:bCs/>
                <w:iCs/>
                <w:lang w:val="fr-FR"/>
              </w:rPr>
              <w:t>action</w:t>
            </w:r>
          </w:p>
        </w:tc>
        <w:tc>
          <w:tcPr>
            <w:tcW w:w="2217" w:type="dxa"/>
          </w:tcPr>
          <w:p w14:paraId="4C0B3BBF" w14:textId="28EF9CAA" w:rsidR="00F333AE" w:rsidRPr="004F4E34" w:rsidRDefault="00F333AE" w:rsidP="00A34AA7">
            <w:pPr>
              <w:ind w:left="0" w:firstLine="0"/>
              <w:rPr>
                <w:rFonts w:cs="Arial"/>
                <w:b/>
                <w:bCs/>
                <w:iCs/>
                <w:lang w:val="fr-FR"/>
              </w:rPr>
            </w:pPr>
            <w:r w:rsidRPr="004F4E34">
              <w:rPr>
                <w:rFonts w:cs="Arial"/>
                <w:b/>
                <w:bCs/>
                <w:iCs/>
                <w:lang w:val="fr-FR"/>
              </w:rPr>
              <w:t>Co</w:t>
            </w:r>
            <w:r w:rsidR="00835638" w:rsidRPr="004F4E34">
              <w:rPr>
                <w:rFonts w:cs="Arial"/>
                <w:b/>
                <w:bCs/>
                <w:iCs/>
                <w:lang w:val="fr-FR"/>
              </w:rPr>
              <w:t>ût</w:t>
            </w:r>
            <w:r w:rsidRPr="004F4E34">
              <w:rPr>
                <w:rFonts w:cs="Arial"/>
                <w:b/>
                <w:bCs/>
                <w:iCs/>
                <w:lang w:val="fr-FR"/>
              </w:rPr>
              <w:t xml:space="preserve"> (CHF) </w:t>
            </w:r>
            <w:r w:rsidR="00835638" w:rsidRPr="004F4E34">
              <w:rPr>
                <w:rFonts w:cs="Arial"/>
                <w:b/>
                <w:bCs/>
                <w:iCs/>
                <w:lang w:val="fr-FR"/>
              </w:rPr>
              <w:t>et avantages éventuels</w:t>
            </w:r>
          </w:p>
        </w:tc>
      </w:tr>
      <w:tr w:rsidR="00F333AE" w:rsidRPr="004F4E34" w14:paraId="0DA7928A" w14:textId="77777777" w:rsidTr="00A34AA7">
        <w:tc>
          <w:tcPr>
            <w:tcW w:w="2410" w:type="dxa"/>
          </w:tcPr>
          <w:p w14:paraId="28C9E4B9" w14:textId="265D643F" w:rsidR="00F333AE" w:rsidRPr="004F4E34" w:rsidRDefault="00F333AE" w:rsidP="00A34AA7">
            <w:pPr>
              <w:ind w:left="0" w:firstLine="0"/>
              <w:rPr>
                <w:rFonts w:cs="Arial"/>
                <w:iCs/>
                <w:highlight w:val="yellow"/>
                <w:lang w:val="fr-FR"/>
              </w:rPr>
            </w:pPr>
            <w:r w:rsidRPr="004F4E34">
              <w:rPr>
                <w:rFonts w:cs="Arial"/>
                <w:iCs/>
                <w:lang w:val="fr-FR"/>
              </w:rPr>
              <w:t xml:space="preserve">1. </w:t>
            </w:r>
            <w:r w:rsidR="00835638" w:rsidRPr="004F4E34">
              <w:rPr>
                <w:rFonts w:cs="Arial"/>
                <w:iCs/>
                <w:lang w:val="fr-FR"/>
              </w:rPr>
              <w:t xml:space="preserve">Abroger des anciennes </w:t>
            </w:r>
            <w:r w:rsidR="00C24C41" w:rsidRPr="004F4E34">
              <w:rPr>
                <w:rFonts w:cs="Arial"/>
                <w:iCs/>
                <w:lang w:val="fr-FR"/>
              </w:rPr>
              <w:t>d</w:t>
            </w:r>
            <w:r w:rsidR="00835638" w:rsidRPr="004F4E34">
              <w:rPr>
                <w:rFonts w:cs="Arial"/>
                <w:iCs/>
                <w:lang w:val="fr-FR"/>
              </w:rPr>
              <w:t>é</w:t>
            </w:r>
            <w:r w:rsidRPr="004F4E34">
              <w:rPr>
                <w:rFonts w:cs="Arial"/>
                <w:iCs/>
                <w:lang w:val="fr-FR"/>
              </w:rPr>
              <w:t>cisions</w:t>
            </w:r>
            <w:r w:rsidR="00835638" w:rsidRPr="004F4E34">
              <w:rPr>
                <w:rFonts w:cs="Arial"/>
                <w:iCs/>
                <w:lang w:val="fr-FR"/>
              </w:rPr>
              <w:t xml:space="preserve"> selon la procédure énoncée dans une autre </w:t>
            </w:r>
            <w:r w:rsidR="00BD2907">
              <w:rPr>
                <w:rFonts w:cs="Arial"/>
                <w:iCs/>
                <w:lang w:val="fr-FR"/>
              </w:rPr>
              <w:t>r</w:t>
            </w:r>
            <w:r w:rsidR="00835638" w:rsidRPr="004F4E34">
              <w:rPr>
                <w:rFonts w:cs="Arial"/>
                <w:iCs/>
                <w:lang w:val="fr-FR"/>
              </w:rPr>
              <w:t>ésolution</w:t>
            </w:r>
          </w:p>
        </w:tc>
        <w:tc>
          <w:tcPr>
            <w:tcW w:w="4394" w:type="dxa"/>
          </w:tcPr>
          <w:p w14:paraId="64585044" w14:textId="42CE9F24" w:rsidR="00F333AE" w:rsidRPr="004F4E34" w:rsidRDefault="00835638" w:rsidP="00A34AA7">
            <w:pPr>
              <w:ind w:left="0" w:firstLine="0"/>
              <w:rPr>
                <w:rFonts w:cs="Arial"/>
                <w:iCs/>
                <w:lang w:val="fr-FR"/>
              </w:rPr>
            </w:pPr>
            <w:r w:rsidRPr="004F4E34">
              <w:rPr>
                <w:rFonts w:cs="Arial"/>
                <w:lang w:val="fr-FR"/>
              </w:rPr>
              <w:t>M</w:t>
            </w:r>
            <w:r w:rsidR="00C24C41" w:rsidRPr="004F4E34">
              <w:rPr>
                <w:rFonts w:cs="Arial"/>
                <w:lang w:val="fr-FR"/>
              </w:rPr>
              <w:t>ettre</w:t>
            </w:r>
            <w:r w:rsidRPr="004F4E34">
              <w:rPr>
                <w:rFonts w:cs="Arial"/>
                <w:lang w:val="fr-FR"/>
              </w:rPr>
              <w:t xml:space="preserve"> à jour</w:t>
            </w:r>
            <w:r w:rsidR="00C24C41" w:rsidRPr="004F4E34">
              <w:rPr>
                <w:rFonts w:cs="Arial"/>
                <w:lang w:val="fr-FR"/>
              </w:rPr>
              <w:t xml:space="preserve"> la liste</w:t>
            </w:r>
            <w:r w:rsidR="00F333AE" w:rsidRPr="004F4E34">
              <w:rPr>
                <w:rFonts w:cs="Arial"/>
                <w:lang w:val="fr-FR"/>
              </w:rPr>
              <w:t xml:space="preserve"> </w:t>
            </w:r>
            <w:r w:rsidR="00FF54E8">
              <w:rPr>
                <w:rFonts w:cs="Arial"/>
                <w:lang w:val="fr-FR"/>
              </w:rPr>
              <w:t>regroupée</w:t>
            </w:r>
            <w:r w:rsidR="00F333AE" w:rsidRPr="004F4E34">
              <w:rPr>
                <w:rFonts w:cs="Arial"/>
                <w:lang w:val="fr-FR"/>
              </w:rPr>
              <w:t xml:space="preserve"> </w:t>
            </w:r>
            <w:r w:rsidR="00C24C41" w:rsidRPr="004F4E34">
              <w:rPr>
                <w:rFonts w:cs="Arial"/>
                <w:lang w:val="fr-FR"/>
              </w:rPr>
              <w:t>de</w:t>
            </w:r>
            <w:r w:rsidR="00F333AE" w:rsidRPr="004F4E34">
              <w:rPr>
                <w:rFonts w:cs="Arial"/>
                <w:lang w:val="fr-FR"/>
              </w:rPr>
              <w:t xml:space="preserve"> d</w:t>
            </w:r>
            <w:r w:rsidR="00C24C41" w:rsidRPr="004F4E34">
              <w:rPr>
                <w:rFonts w:cs="Arial"/>
                <w:lang w:val="fr-FR"/>
              </w:rPr>
              <w:t>é</w:t>
            </w:r>
            <w:r w:rsidR="00F333AE" w:rsidRPr="004F4E34">
              <w:rPr>
                <w:rFonts w:cs="Arial"/>
                <w:lang w:val="fr-FR"/>
              </w:rPr>
              <w:t>cisions</w:t>
            </w:r>
            <w:r w:rsidR="00C24C41" w:rsidRPr="004F4E34">
              <w:rPr>
                <w:rFonts w:cs="Arial"/>
                <w:lang w:val="fr-FR"/>
              </w:rPr>
              <w:t xml:space="preserve"> abrogées dès qu’une décision est abrogée</w:t>
            </w:r>
            <w:r w:rsidR="00F333AE" w:rsidRPr="004F4E34">
              <w:rPr>
                <w:rFonts w:cs="Arial"/>
                <w:lang w:val="fr-FR"/>
              </w:rPr>
              <w:t xml:space="preserve">, </w:t>
            </w:r>
            <w:r w:rsidR="00C24C41" w:rsidRPr="004F4E34">
              <w:rPr>
                <w:rFonts w:cs="Arial"/>
                <w:lang w:val="fr-FR"/>
              </w:rPr>
              <w:t>et signaler le</w:t>
            </w:r>
            <w:r w:rsidR="00F333AE" w:rsidRPr="004F4E34">
              <w:rPr>
                <w:rFonts w:cs="Arial"/>
                <w:lang w:val="fr-FR"/>
              </w:rPr>
              <w:t xml:space="preserve"> document </w:t>
            </w:r>
            <w:r w:rsidR="00C24C41" w:rsidRPr="004F4E34">
              <w:rPr>
                <w:rFonts w:cs="Arial"/>
                <w:lang w:val="fr-FR"/>
              </w:rPr>
              <w:t>comme abrogé sur le site web ou toute autre</w:t>
            </w:r>
            <w:r w:rsidR="00F333AE" w:rsidRPr="004F4E34">
              <w:rPr>
                <w:rFonts w:cs="Arial"/>
                <w:lang w:val="fr-FR"/>
              </w:rPr>
              <w:t xml:space="preserve"> </w:t>
            </w:r>
            <w:r w:rsidR="00C24C41" w:rsidRPr="004F4E34">
              <w:rPr>
                <w:rFonts w:cs="Arial"/>
                <w:lang w:val="fr-FR"/>
              </w:rPr>
              <w:t>procédure</w:t>
            </w:r>
            <w:r w:rsidR="00F333AE" w:rsidRPr="004F4E34">
              <w:rPr>
                <w:rFonts w:cs="Arial"/>
                <w:lang w:val="fr-FR"/>
              </w:rPr>
              <w:t xml:space="preserve"> </w:t>
            </w:r>
            <w:r w:rsidR="00C24C41" w:rsidRPr="004F4E34">
              <w:rPr>
                <w:rFonts w:cs="Arial"/>
                <w:lang w:val="fr-FR"/>
              </w:rPr>
              <w:t>décidée</w:t>
            </w:r>
            <w:r w:rsidR="00F333AE" w:rsidRPr="004F4E34">
              <w:rPr>
                <w:rFonts w:cs="Arial"/>
                <w:lang w:val="fr-FR"/>
              </w:rPr>
              <w:t xml:space="preserve"> </w:t>
            </w:r>
            <w:r w:rsidR="00C24C41" w:rsidRPr="004F4E34">
              <w:rPr>
                <w:rFonts w:cs="Arial"/>
                <w:lang w:val="fr-FR"/>
              </w:rPr>
              <w:t xml:space="preserve">dans une autre </w:t>
            </w:r>
            <w:r w:rsidR="00BD2907">
              <w:rPr>
                <w:rFonts w:cs="Arial"/>
                <w:lang w:val="fr-FR"/>
              </w:rPr>
              <w:t>r</w:t>
            </w:r>
            <w:r w:rsidR="00C24C41" w:rsidRPr="004F4E34">
              <w:rPr>
                <w:rFonts w:cs="Arial"/>
                <w:lang w:val="fr-FR"/>
              </w:rPr>
              <w:t>ésolution à la</w:t>
            </w:r>
            <w:r w:rsidR="00F333AE" w:rsidRPr="004F4E34">
              <w:rPr>
                <w:rFonts w:cs="Arial"/>
                <w:lang w:val="fr-FR"/>
              </w:rPr>
              <w:t xml:space="preserve"> COP14.</w:t>
            </w:r>
          </w:p>
        </w:tc>
        <w:tc>
          <w:tcPr>
            <w:tcW w:w="2217" w:type="dxa"/>
          </w:tcPr>
          <w:p w14:paraId="2B0C3059" w14:textId="1EF1DC24" w:rsidR="00F333AE" w:rsidRPr="004F4E34" w:rsidRDefault="00835638" w:rsidP="00A34AA7">
            <w:pPr>
              <w:ind w:left="0" w:firstLine="0"/>
              <w:rPr>
                <w:rFonts w:cs="Arial"/>
                <w:iCs/>
                <w:lang w:val="fr-FR"/>
              </w:rPr>
            </w:pPr>
            <w:r w:rsidRPr="004F4E34">
              <w:rPr>
                <w:rFonts w:cs="Arial"/>
                <w:lang w:val="fr-FR"/>
              </w:rPr>
              <w:t>Moins de</w:t>
            </w:r>
            <w:r w:rsidR="00F333AE" w:rsidRPr="004F4E34">
              <w:rPr>
                <w:rFonts w:cs="Arial"/>
                <w:lang w:val="fr-FR"/>
              </w:rPr>
              <w:t xml:space="preserve"> 20 CHF</w:t>
            </w:r>
          </w:p>
        </w:tc>
      </w:tr>
      <w:tr w:rsidR="00F333AE" w:rsidRPr="004F4E34" w14:paraId="3CC98955" w14:textId="77777777" w:rsidTr="00A34AA7">
        <w:tc>
          <w:tcPr>
            <w:tcW w:w="2410" w:type="dxa"/>
          </w:tcPr>
          <w:p w14:paraId="70AD6131" w14:textId="27586915" w:rsidR="00F333AE" w:rsidRPr="004F4E34" w:rsidRDefault="00F333AE" w:rsidP="00A34AA7">
            <w:pPr>
              <w:ind w:left="0" w:firstLine="0"/>
              <w:rPr>
                <w:rFonts w:cs="Arial"/>
                <w:iCs/>
                <w:lang w:val="fr-FR"/>
              </w:rPr>
            </w:pPr>
            <w:r w:rsidRPr="004F4E34">
              <w:rPr>
                <w:rFonts w:cs="Arial"/>
                <w:iCs/>
                <w:lang w:val="fr-FR"/>
              </w:rPr>
              <w:t>8. Instruction</w:t>
            </w:r>
            <w:r w:rsidR="00835638" w:rsidRPr="004F4E34">
              <w:rPr>
                <w:rFonts w:cs="Arial"/>
                <w:iCs/>
                <w:lang w:val="fr-FR"/>
              </w:rPr>
              <w:t>s</w:t>
            </w:r>
            <w:r w:rsidRPr="004F4E34">
              <w:rPr>
                <w:rFonts w:cs="Arial"/>
                <w:iCs/>
                <w:lang w:val="fr-FR"/>
              </w:rPr>
              <w:t xml:space="preserve"> </w:t>
            </w:r>
            <w:r w:rsidR="00835638" w:rsidRPr="004F4E34">
              <w:rPr>
                <w:rFonts w:cs="Arial"/>
                <w:iCs/>
                <w:lang w:val="fr-FR"/>
              </w:rPr>
              <w:t>données au</w:t>
            </w:r>
            <w:r w:rsidRPr="004F4E34">
              <w:rPr>
                <w:rFonts w:cs="Arial"/>
                <w:iCs/>
                <w:lang w:val="fr-FR"/>
              </w:rPr>
              <w:t xml:space="preserve"> </w:t>
            </w:r>
            <w:r w:rsidR="00835638" w:rsidRPr="004F4E34">
              <w:rPr>
                <w:rFonts w:cs="Arial"/>
                <w:iCs/>
                <w:lang w:val="fr-FR"/>
              </w:rPr>
              <w:t>Secrétariat</w:t>
            </w:r>
            <w:r w:rsidRPr="004F4E34">
              <w:rPr>
                <w:rFonts w:cs="Arial"/>
                <w:iCs/>
                <w:lang w:val="fr-FR"/>
              </w:rPr>
              <w:t xml:space="preserve"> </w:t>
            </w:r>
            <w:r w:rsidR="00835638" w:rsidRPr="004F4E34">
              <w:rPr>
                <w:rFonts w:cs="Arial"/>
                <w:iCs/>
                <w:lang w:val="fr-FR"/>
              </w:rPr>
              <w:t>de ne plus participer au projet</w:t>
            </w:r>
            <w:r w:rsidRPr="004F4E34">
              <w:rPr>
                <w:rFonts w:cs="Arial"/>
                <w:iCs/>
                <w:lang w:val="fr-FR"/>
              </w:rPr>
              <w:t xml:space="preserve"> IKI.</w:t>
            </w:r>
          </w:p>
        </w:tc>
        <w:tc>
          <w:tcPr>
            <w:tcW w:w="4394" w:type="dxa"/>
          </w:tcPr>
          <w:p w14:paraId="46768352" w14:textId="71B3E11C" w:rsidR="00F333AE" w:rsidRPr="004F4E34" w:rsidRDefault="00F333AE" w:rsidP="00A34AA7">
            <w:pPr>
              <w:ind w:left="0" w:firstLine="0"/>
              <w:rPr>
                <w:rFonts w:cs="Arial"/>
                <w:iCs/>
                <w:lang w:val="fr-FR"/>
              </w:rPr>
            </w:pPr>
            <w:r w:rsidRPr="004F4E34">
              <w:rPr>
                <w:rFonts w:cs="Arial"/>
                <w:iCs/>
                <w:lang w:val="fr-FR"/>
              </w:rPr>
              <w:t>Activit</w:t>
            </w:r>
            <w:r w:rsidR="00835638" w:rsidRPr="004F4E34">
              <w:rPr>
                <w:rFonts w:cs="Arial"/>
                <w:iCs/>
                <w:lang w:val="fr-FR"/>
              </w:rPr>
              <w:t>é</w:t>
            </w:r>
            <w:r w:rsidRPr="004F4E34">
              <w:rPr>
                <w:rFonts w:cs="Arial"/>
                <w:iCs/>
                <w:lang w:val="fr-FR"/>
              </w:rPr>
              <w:t xml:space="preserve">s </w:t>
            </w:r>
            <w:r w:rsidR="00835638" w:rsidRPr="004F4E34">
              <w:rPr>
                <w:rFonts w:cs="Arial"/>
                <w:iCs/>
                <w:lang w:val="fr-FR"/>
              </w:rPr>
              <w:t>en vue de mettre un terme à la participation du</w:t>
            </w:r>
            <w:r w:rsidRPr="004F4E34">
              <w:rPr>
                <w:rFonts w:cs="Arial"/>
                <w:iCs/>
                <w:lang w:val="fr-FR"/>
              </w:rPr>
              <w:t xml:space="preserve"> </w:t>
            </w:r>
            <w:r w:rsidR="00835638" w:rsidRPr="004F4E34">
              <w:rPr>
                <w:rFonts w:cs="Arial"/>
                <w:iCs/>
                <w:lang w:val="fr-FR"/>
              </w:rPr>
              <w:t>Secrétariat</w:t>
            </w:r>
            <w:r w:rsidRPr="004F4E34">
              <w:rPr>
                <w:rFonts w:cs="Arial"/>
                <w:iCs/>
                <w:lang w:val="fr-FR"/>
              </w:rPr>
              <w:t xml:space="preserve"> </w:t>
            </w:r>
            <w:r w:rsidR="00835638" w:rsidRPr="004F4E34">
              <w:rPr>
                <w:rFonts w:cs="Arial"/>
                <w:iCs/>
                <w:lang w:val="fr-FR"/>
              </w:rPr>
              <w:t xml:space="preserve">au </w:t>
            </w:r>
            <w:r w:rsidRPr="004F4E34">
              <w:rPr>
                <w:rFonts w:cs="Arial"/>
                <w:iCs/>
                <w:lang w:val="fr-FR"/>
              </w:rPr>
              <w:t>projet</w:t>
            </w:r>
            <w:r w:rsidR="00835638" w:rsidRPr="004F4E34">
              <w:rPr>
                <w:rFonts w:cs="Arial"/>
                <w:iCs/>
                <w:lang w:val="fr-FR"/>
              </w:rPr>
              <w:t xml:space="preserve"> IKI</w:t>
            </w:r>
            <w:r w:rsidRPr="004F4E34">
              <w:rPr>
                <w:rFonts w:cs="Arial"/>
                <w:iCs/>
                <w:lang w:val="fr-FR"/>
              </w:rPr>
              <w:t>.</w:t>
            </w:r>
          </w:p>
        </w:tc>
        <w:tc>
          <w:tcPr>
            <w:tcW w:w="2217" w:type="dxa"/>
          </w:tcPr>
          <w:p w14:paraId="4B98B7A1" w14:textId="6A7B8E01" w:rsidR="00F333AE" w:rsidRPr="004F4E34" w:rsidRDefault="00835638" w:rsidP="00A34AA7">
            <w:pPr>
              <w:ind w:left="0" w:firstLine="0"/>
              <w:rPr>
                <w:rFonts w:cs="Arial"/>
                <w:iCs/>
                <w:lang w:val="fr-FR"/>
              </w:rPr>
            </w:pPr>
            <w:r w:rsidRPr="004F4E34">
              <w:rPr>
                <w:rFonts w:cs="Arial"/>
                <w:lang w:val="fr-FR"/>
              </w:rPr>
              <w:t>Inconnu</w:t>
            </w:r>
          </w:p>
        </w:tc>
      </w:tr>
    </w:tbl>
    <w:p w14:paraId="1AA666A9" w14:textId="77777777" w:rsidR="00F333AE" w:rsidRPr="001C1599" w:rsidRDefault="00F333AE" w:rsidP="00F333AE">
      <w:pPr>
        <w:rPr>
          <w:rFonts w:cs="Arial"/>
          <w:i/>
        </w:rPr>
      </w:pPr>
    </w:p>
    <w:p w14:paraId="169AC5C2" w14:textId="77777777" w:rsidR="00F333AE" w:rsidRPr="001C1599" w:rsidRDefault="00F333AE" w:rsidP="00AD01AD">
      <w:pPr>
        <w:rPr>
          <w:rFonts w:cs="Arial"/>
          <w:i/>
        </w:rPr>
      </w:pPr>
    </w:p>
    <w:p w14:paraId="479B1B14" w14:textId="77777777" w:rsidR="00535B5E" w:rsidRDefault="00535B5E" w:rsidP="00535B5E">
      <w:pPr>
        <w:rPr>
          <w:rFonts w:cs="Arial"/>
        </w:rPr>
      </w:pPr>
    </w:p>
    <w:p w14:paraId="66E82AD4" w14:textId="6CD92F2B" w:rsidR="00535B5E" w:rsidRPr="00490F76" w:rsidRDefault="00BC1B16" w:rsidP="00535B5E">
      <w:pPr>
        <w:ind w:right="16"/>
        <w:rPr>
          <w:rFonts w:asciiTheme="minorHAnsi" w:eastAsia="Times New Roman" w:hAnsiTheme="minorHAnsi"/>
          <w:b/>
          <w:bCs/>
          <w:lang w:val="fr-CH"/>
        </w:rPr>
      </w:pPr>
      <w:r w:rsidRPr="00490F76">
        <w:rPr>
          <w:rFonts w:asciiTheme="minorHAnsi" w:eastAsia="Times New Roman" w:hAnsiTheme="minorHAnsi"/>
          <w:b/>
          <w:bCs/>
          <w:lang w:val="fr-CH"/>
        </w:rPr>
        <w:t>Annex</w:t>
      </w:r>
      <w:r w:rsidR="00490F76">
        <w:rPr>
          <w:rFonts w:asciiTheme="minorHAnsi" w:eastAsia="Times New Roman" w:hAnsiTheme="minorHAnsi"/>
          <w:b/>
          <w:bCs/>
          <w:lang w:val="fr-CH"/>
        </w:rPr>
        <w:t>e</w:t>
      </w:r>
      <w:r w:rsidRPr="00490F76">
        <w:rPr>
          <w:rFonts w:asciiTheme="minorHAnsi" w:eastAsia="Times New Roman" w:hAnsiTheme="minorHAnsi"/>
          <w:b/>
          <w:bCs/>
          <w:lang w:val="fr-CH"/>
        </w:rPr>
        <w:t xml:space="preserve"> 1. </w:t>
      </w:r>
      <w:r w:rsidR="00490F76">
        <w:rPr>
          <w:rFonts w:asciiTheme="minorHAnsi" w:eastAsia="Times New Roman" w:hAnsiTheme="minorHAnsi"/>
          <w:b/>
          <w:bCs/>
          <w:lang w:val="fr-CH"/>
        </w:rPr>
        <w:t>Projet de résolution</w:t>
      </w:r>
      <w:r w:rsidR="00535B5E" w:rsidRPr="00490F76">
        <w:rPr>
          <w:rFonts w:asciiTheme="minorHAnsi" w:eastAsia="Times New Roman" w:hAnsiTheme="minorHAnsi"/>
          <w:b/>
          <w:bCs/>
          <w:lang w:val="fr-CH"/>
        </w:rPr>
        <w:t xml:space="preserve"> </w:t>
      </w:r>
      <w:r w:rsidR="00535B5E" w:rsidRPr="00490F76">
        <w:rPr>
          <w:rFonts w:asciiTheme="minorHAnsi" w:eastAsia="Times New Roman" w:hAnsiTheme="minorHAnsi"/>
          <w:b/>
          <w:bCs/>
          <w:highlight w:val="yellow"/>
          <w:lang w:val="fr-CH"/>
        </w:rPr>
        <w:t>XIV.xx</w:t>
      </w:r>
    </w:p>
    <w:p w14:paraId="73BFFBFA" w14:textId="77777777" w:rsidR="00535B5E" w:rsidRPr="00490F76" w:rsidRDefault="00535B5E" w:rsidP="00535B5E">
      <w:pPr>
        <w:ind w:right="16"/>
        <w:rPr>
          <w:rFonts w:asciiTheme="minorHAnsi" w:eastAsia="Times New Roman" w:hAnsiTheme="minorHAnsi"/>
          <w:b/>
          <w:bCs/>
          <w:lang w:val="fr-CH"/>
        </w:rPr>
      </w:pPr>
    </w:p>
    <w:p w14:paraId="2732946B" w14:textId="2C93A944" w:rsidR="00535B5E" w:rsidRPr="00490F76" w:rsidRDefault="00BD2907" w:rsidP="00535B5E">
      <w:pPr>
        <w:ind w:right="16"/>
        <w:rPr>
          <w:rFonts w:asciiTheme="minorHAnsi" w:eastAsia="Times New Roman" w:hAnsiTheme="minorHAnsi"/>
          <w:b/>
          <w:bCs/>
          <w:sz w:val="24"/>
          <w:szCs w:val="24"/>
          <w:lang w:val="fr-CH"/>
        </w:rPr>
      </w:pPr>
      <w:r>
        <w:rPr>
          <w:rFonts w:asciiTheme="minorHAnsi" w:eastAsia="Times New Roman" w:hAnsiTheme="minorHAnsi"/>
          <w:b/>
          <w:bCs/>
          <w:sz w:val="24"/>
          <w:szCs w:val="24"/>
          <w:lang w:val="fr-CH"/>
        </w:rPr>
        <w:t xml:space="preserve">Les </w:t>
      </w:r>
      <w:r w:rsidR="00490F76">
        <w:rPr>
          <w:rFonts w:asciiTheme="minorHAnsi" w:eastAsia="Times New Roman" w:hAnsiTheme="minorHAnsi"/>
          <w:b/>
          <w:bCs/>
          <w:sz w:val="24"/>
          <w:szCs w:val="24"/>
          <w:lang w:val="fr-CH"/>
        </w:rPr>
        <w:t xml:space="preserve">Initiatives régionales Ramsar </w:t>
      </w:r>
      <w:r w:rsidR="00015C8E" w:rsidRPr="00490F76">
        <w:rPr>
          <w:rFonts w:asciiTheme="minorHAnsi" w:eastAsia="Times New Roman" w:hAnsiTheme="minorHAnsi"/>
          <w:b/>
          <w:bCs/>
          <w:sz w:val="24"/>
          <w:szCs w:val="24"/>
          <w:lang w:val="fr-CH"/>
        </w:rPr>
        <w:t>–</w:t>
      </w:r>
      <w:r w:rsidR="00535B5E" w:rsidRPr="00490F76">
        <w:rPr>
          <w:rFonts w:asciiTheme="minorHAnsi" w:eastAsia="Times New Roman" w:hAnsiTheme="minorHAnsi"/>
          <w:b/>
          <w:bCs/>
          <w:sz w:val="24"/>
          <w:szCs w:val="24"/>
          <w:lang w:val="fr-CH"/>
        </w:rPr>
        <w:t xml:space="preserve"> </w:t>
      </w:r>
      <w:r w:rsidR="00015C8E" w:rsidRPr="00490F76">
        <w:rPr>
          <w:rFonts w:asciiTheme="minorHAnsi" w:eastAsia="Times New Roman" w:hAnsiTheme="minorHAnsi"/>
          <w:b/>
          <w:bCs/>
          <w:sz w:val="24"/>
          <w:szCs w:val="24"/>
          <w:lang w:val="fr-CH"/>
        </w:rPr>
        <w:t>COP14-COP15</w:t>
      </w:r>
    </w:p>
    <w:p w14:paraId="07BDB8C6" w14:textId="77777777" w:rsidR="00015C8E" w:rsidRPr="00490F76" w:rsidRDefault="00015C8E" w:rsidP="00015C8E">
      <w:pPr>
        <w:rPr>
          <w:lang w:val="fr-CH"/>
        </w:rPr>
      </w:pPr>
    </w:p>
    <w:p w14:paraId="14663250" w14:textId="4FB325D3" w:rsidR="00015C8E" w:rsidRPr="00490F76" w:rsidRDefault="00015C8E" w:rsidP="00015C8E">
      <w:pPr>
        <w:rPr>
          <w:lang w:val="fr-CH"/>
        </w:rPr>
      </w:pPr>
      <w:r w:rsidRPr="00490F76">
        <w:rPr>
          <w:lang w:val="fr-CH"/>
        </w:rPr>
        <w:t>1.</w:t>
      </w:r>
      <w:r w:rsidRPr="00490F76">
        <w:rPr>
          <w:lang w:val="fr-CH"/>
        </w:rPr>
        <w:tab/>
      </w:r>
      <w:r w:rsidR="00490F76">
        <w:rPr>
          <w:lang w:val="fr-CH"/>
        </w:rPr>
        <w:t xml:space="preserve">RECONNAISSANT qu’il importe de disposer d’une résolution </w:t>
      </w:r>
      <w:r w:rsidR="00BD2907">
        <w:rPr>
          <w:lang w:val="fr-CH"/>
        </w:rPr>
        <w:t>distincte</w:t>
      </w:r>
      <w:r w:rsidR="00490F76">
        <w:rPr>
          <w:lang w:val="fr-CH"/>
        </w:rPr>
        <w:t xml:space="preserve"> contenant des décisions à court terme sur les IRR jusqu’à la COP15</w:t>
      </w:r>
      <w:r w:rsidR="00BD2907">
        <w:rPr>
          <w:lang w:val="fr-CH"/>
        </w:rPr>
        <w:t>,</w:t>
      </w:r>
      <w:r w:rsidR="00490F76">
        <w:rPr>
          <w:lang w:val="fr-CH"/>
        </w:rPr>
        <w:t xml:space="preserve"> qui complétera la Résolution </w:t>
      </w:r>
      <w:r w:rsidR="00BC1B16" w:rsidRPr="00490F76">
        <w:rPr>
          <w:lang w:val="fr-CH"/>
        </w:rPr>
        <w:t xml:space="preserve">XIV.XX </w:t>
      </w:r>
      <w:r w:rsidR="00BD2907" w:rsidRPr="00BD2907">
        <w:rPr>
          <w:i/>
          <w:iCs/>
          <w:lang w:val="fr-CH"/>
        </w:rPr>
        <w:t>Les</w:t>
      </w:r>
      <w:r w:rsidR="00BD2907">
        <w:rPr>
          <w:lang w:val="fr-CH"/>
        </w:rPr>
        <w:t xml:space="preserve"> </w:t>
      </w:r>
      <w:r w:rsidR="00490F76">
        <w:rPr>
          <w:i/>
          <w:iCs/>
          <w:lang w:val="fr-CH"/>
        </w:rPr>
        <w:t>Initiatives régionales R</w:t>
      </w:r>
      <w:r w:rsidR="00BC1B16" w:rsidRPr="00490F76">
        <w:rPr>
          <w:i/>
          <w:iCs/>
          <w:lang w:val="fr-CH"/>
        </w:rPr>
        <w:t xml:space="preserve">amsar </w:t>
      </w:r>
      <w:r w:rsidR="00490F76">
        <w:rPr>
          <w:i/>
          <w:iCs/>
          <w:lang w:val="fr-CH"/>
        </w:rPr>
        <w:t>–</w:t>
      </w:r>
      <w:r w:rsidR="00E50966">
        <w:rPr>
          <w:i/>
          <w:iCs/>
          <w:lang w:val="fr-CH"/>
        </w:rPr>
        <w:t xml:space="preserve"> L</w:t>
      </w:r>
      <w:r w:rsidR="00490F76">
        <w:rPr>
          <w:i/>
          <w:iCs/>
          <w:lang w:val="fr-CH"/>
        </w:rPr>
        <w:t>es fondamentaux</w:t>
      </w:r>
      <w:r w:rsidR="00490F76">
        <w:rPr>
          <w:lang w:val="fr-CH"/>
        </w:rPr>
        <w:t xml:space="preserve"> contenant les décisions à long terme</w:t>
      </w:r>
      <w:r w:rsidR="005C4A14">
        <w:rPr>
          <w:lang w:val="fr-CH"/>
        </w:rPr>
        <w:t> ;</w:t>
      </w:r>
      <w:r w:rsidR="00490F76">
        <w:rPr>
          <w:lang w:val="fr-CH"/>
        </w:rPr>
        <w:t xml:space="preserve"> RECONNAISSANT AUSSI que cette </w:t>
      </w:r>
      <w:r w:rsidR="00BD2907">
        <w:rPr>
          <w:lang w:val="fr-CH"/>
        </w:rPr>
        <w:t>façon</w:t>
      </w:r>
      <w:r w:rsidR="00490F76">
        <w:rPr>
          <w:lang w:val="fr-CH"/>
        </w:rPr>
        <w:t xml:space="preserve"> de structurer les résolutions diminuera la nécessité de disposer </w:t>
      </w:r>
      <w:r w:rsidR="005C4A14">
        <w:rPr>
          <w:lang w:val="fr-CH"/>
        </w:rPr>
        <w:t>d’un</w:t>
      </w:r>
      <w:r w:rsidR="00490F76">
        <w:rPr>
          <w:lang w:val="fr-CH"/>
        </w:rPr>
        <w:t xml:space="preserve"> processus de </w:t>
      </w:r>
      <w:r w:rsidR="005C4A14">
        <w:rPr>
          <w:lang w:val="fr-CH"/>
        </w:rPr>
        <w:t>regroupement</w:t>
      </w:r>
      <w:r w:rsidR="00490F76">
        <w:rPr>
          <w:lang w:val="fr-CH"/>
        </w:rPr>
        <w:t xml:space="preserve"> et que le processus d’abrogation </w:t>
      </w:r>
      <w:r w:rsidR="005C4A14">
        <w:rPr>
          <w:lang w:val="fr-CH"/>
        </w:rPr>
        <w:t>de</w:t>
      </w:r>
      <w:r w:rsidR="00490F76">
        <w:rPr>
          <w:lang w:val="fr-CH"/>
        </w:rPr>
        <w:t xml:space="preserve"> cette résolution à court terme sera rapide car il aura déjà été traité dans la </w:t>
      </w:r>
      <w:r w:rsidR="005C4A14">
        <w:rPr>
          <w:lang w:val="fr-CH"/>
        </w:rPr>
        <w:t>r</w:t>
      </w:r>
      <w:r w:rsidR="00490F76">
        <w:rPr>
          <w:lang w:val="fr-CH"/>
        </w:rPr>
        <w:t>ésolution</w:t>
      </w:r>
      <w:r w:rsidR="00E50966">
        <w:rPr>
          <w:lang w:val="fr-CH"/>
        </w:rPr>
        <w:t> ;</w:t>
      </w:r>
      <w:r w:rsidR="009129A3" w:rsidRPr="00490F76">
        <w:rPr>
          <w:lang w:val="fr-CH"/>
        </w:rPr>
        <w:t xml:space="preserve">  </w:t>
      </w:r>
      <w:r w:rsidRPr="00490F76">
        <w:rPr>
          <w:lang w:val="fr-CH"/>
        </w:rPr>
        <w:t xml:space="preserve"> </w:t>
      </w:r>
    </w:p>
    <w:p w14:paraId="2FA4EB40" w14:textId="77777777" w:rsidR="00015C8E" w:rsidRPr="00490F76" w:rsidRDefault="00015C8E" w:rsidP="00015C8E">
      <w:pPr>
        <w:rPr>
          <w:lang w:val="fr-CH"/>
        </w:rPr>
      </w:pPr>
    </w:p>
    <w:p w14:paraId="64E1B4F7" w14:textId="5A15D6A8" w:rsidR="00015C8E" w:rsidRPr="00490F76" w:rsidRDefault="00015C8E" w:rsidP="00015C8E">
      <w:pPr>
        <w:rPr>
          <w:lang w:val="fr-CH"/>
        </w:rPr>
      </w:pPr>
      <w:r w:rsidRPr="00490F76">
        <w:rPr>
          <w:lang w:val="fr-CH"/>
        </w:rPr>
        <w:t>2.</w:t>
      </w:r>
      <w:r w:rsidRPr="00490F76">
        <w:rPr>
          <w:lang w:val="fr-CH"/>
        </w:rPr>
        <w:tab/>
      </w:r>
      <w:r w:rsidR="00490F76">
        <w:rPr>
          <w:lang w:val="fr-CH"/>
        </w:rPr>
        <w:t>RECONNAISSANT EN OUTRE</w:t>
      </w:r>
      <w:r w:rsidRPr="00490F76">
        <w:rPr>
          <w:lang w:val="fr-CH"/>
        </w:rPr>
        <w:t xml:space="preserve"> </w:t>
      </w:r>
      <w:r w:rsidR="00490F76">
        <w:rPr>
          <w:lang w:val="fr-CH"/>
        </w:rPr>
        <w:t>que la participation du Secrétariat au projet IKI n’est conforme à aucune résolution sur les tâches du Secrétariat concernant les IRR et n’est pas le genre de travail qu</w:t>
      </w:r>
      <w:r w:rsidR="005C4A14">
        <w:rPr>
          <w:lang w:val="fr-CH"/>
        </w:rPr>
        <w:t>e le</w:t>
      </w:r>
      <w:r w:rsidR="00490F76">
        <w:rPr>
          <w:lang w:val="fr-CH"/>
        </w:rPr>
        <w:t xml:space="preserve"> Secrétariat d’une convention mondiale est supposé accomplir</w:t>
      </w:r>
      <w:r w:rsidR="005C4A14">
        <w:rPr>
          <w:lang w:val="fr-CH"/>
        </w:rPr>
        <w:t> ;</w:t>
      </w:r>
      <w:r w:rsidR="00490F76">
        <w:rPr>
          <w:lang w:val="fr-CH"/>
        </w:rPr>
        <w:t xml:space="preserve"> RECONNAISSANT </w:t>
      </w:r>
      <w:r w:rsidR="005C4A14">
        <w:rPr>
          <w:lang w:val="fr-CH"/>
        </w:rPr>
        <w:t>ÉGALEMENT</w:t>
      </w:r>
      <w:r w:rsidR="00490F76">
        <w:rPr>
          <w:lang w:val="fr-CH"/>
        </w:rPr>
        <w:t xml:space="preserve"> qu’</w:t>
      </w:r>
      <w:r w:rsidR="005C4A14">
        <w:rPr>
          <w:lang w:val="fr-CH"/>
        </w:rPr>
        <w:t xml:space="preserve">aucune </w:t>
      </w:r>
      <w:r w:rsidR="00490F76">
        <w:rPr>
          <w:lang w:val="fr-CH"/>
        </w:rPr>
        <w:t>initiative, que ce soit d’une COP ou d’une réunion du Comité permanent</w:t>
      </w:r>
      <w:r w:rsidR="005C4A14">
        <w:rPr>
          <w:lang w:val="fr-CH"/>
        </w:rPr>
        <w:t>,</w:t>
      </w:r>
      <w:r w:rsidR="00490F76">
        <w:rPr>
          <w:lang w:val="fr-CH"/>
        </w:rPr>
        <w:t xml:space="preserve"> </w:t>
      </w:r>
      <w:r w:rsidR="005C4A14">
        <w:rPr>
          <w:lang w:val="fr-CH"/>
        </w:rPr>
        <w:t>n’a été prise concernant</w:t>
      </w:r>
      <w:r w:rsidR="00490F76">
        <w:rPr>
          <w:lang w:val="fr-CH"/>
        </w:rPr>
        <w:t xml:space="preserve"> l’administration du projet IKI par la Convention</w:t>
      </w:r>
      <w:r w:rsidR="005C4A14">
        <w:rPr>
          <w:lang w:val="fr-CH"/>
        </w:rPr>
        <w:t>, de sorte</w:t>
      </w:r>
      <w:r w:rsidR="00490F76">
        <w:rPr>
          <w:lang w:val="fr-CH"/>
        </w:rPr>
        <w:t xml:space="preserve"> que la situation actuelle est, en réalité, contradictoire à la Résolution XIII.9, et que des décisions plus anciennes du Comité permanent concernant la communication de cette question à la COP13 ont été ignorées</w:t>
      </w:r>
      <w:r w:rsidR="00E50966">
        <w:rPr>
          <w:lang w:val="fr-CH"/>
        </w:rPr>
        <w:t> ;</w:t>
      </w:r>
      <w:r w:rsidRPr="00490F76">
        <w:rPr>
          <w:lang w:val="fr-CH"/>
        </w:rPr>
        <w:t xml:space="preserve"> </w:t>
      </w:r>
    </w:p>
    <w:p w14:paraId="06592D84" w14:textId="09529C3B" w:rsidR="00015C8E" w:rsidRPr="00490F76" w:rsidRDefault="00015C8E" w:rsidP="00015C8E">
      <w:pPr>
        <w:rPr>
          <w:lang w:val="fr-CH"/>
        </w:rPr>
      </w:pPr>
    </w:p>
    <w:p w14:paraId="414035A3" w14:textId="77777777" w:rsidR="0035701C" w:rsidRPr="00D212A5" w:rsidRDefault="0035701C" w:rsidP="00015C8E">
      <w:pPr>
        <w:rPr>
          <w:lang w:val="fr-FR"/>
        </w:rPr>
      </w:pPr>
    </w:p>
    <w:p w14:paraId="2633DAA6" w14:textId="61F85276" w:rsidR="00015C8E" w:rsidRPr="00490F76" w:rsidRDefault="00E50966" w:rsidP="00015C8E">
      <w:pPr>
        <w:pStyle w:val="BodyText"/>
        <w:keepNext/>
        <w:widowControl/>
        <w:ind w:left="425" w:hanging="425"/>
        <w:jc w:val="center"/>
        <w:rPr>
          <w:lang w:val="fr-CH"/>
        </w:rPr>
      </w:pPr>
      <w:r>
        <w:rPr>
          <w:lang w:val="fr-CH"/>
        </w:rPr>
        <w:t>LA CONFÉRENCE DES PARTIES CONTRACTANTES</w:t>
      </w:r>
    </w:p>
    <w:p w14:paraId="2E57E6E6" w14:textId="77777777" w:rsidR="00015C8E" w:rsidRPr="00490F76" w:rsidRDefault="00015C8E" w:rsidP="00015C8E">
      <w:pPr>
        <w:pStyle w:val="BodyText"/>
        <w:keepNext/>
        <w:widowControl/>
        <w:ind w:left="425" w:hanging="425"/>
        <w:rPr>
          <w:lang w:val="fr-CH"/>
        </w:rPr>
      </w:pPr>
    </w:p>
    <w:p w14:paraId="7D41E22A" w14:textId="6CF2795B" w:rsidR="00015C8E" w:rsidRPr="00490F76" w:rsidRDefault="00E50966" w:rsidP="00015C8E">
      <w:pPr>
        <w:pStyle w:val="BodyText"/>
        <w:keepNext/>
        <w:widowControl/>
        <w:ind w:left="425" w:hanging="425"/>
        <w:rPr>
          <w:b/>
          <w:bCs/>
          <w:lang w:val="fr-CH"/>
        </w:rPr>
      </w:pPr>
      <w:bookmarkStart w:id="8" w:name="_Hlk89960554"/>
      <w:r>
        <w:rPr>
          <w:i/>
          <w:iCs/>
          <w:lang w:val="fr-CH"/>
        </w:rPr>
        <w:t>Information</w:t>
      </w:r>
      <w:r w:rsidR="00450A04">
        <w:rPr>
          <w:i/>
          <w:iCs/>
          <w:lang w:val="fr-CH"/>
        </w:rPr>
        <w:t>s</w:t>
      </w:r>
      <w:r>
        <w:rPr>
          <w:i/>
          <w:iCs/>
          <w:lang w:val="fr-CH"/>
        </w:rPr>
        <w:t xml:space="preserve"> de base sur la </w:t>
      </w:r>
      <w:r w:rsidR="00450A04">
        <w:rPr>
          <w:i/>
          <w:iCs/>
          <w:lang w:val="fr-CH"/>
        </w:rPr>
        <w:t>r</w:t>
      </w:r>
      <w:r>
        <w:rPr>
          <w:i/>
          <w:iCs/>
          <w:lang w:val="fr-CH"/>
        </w:rPr>
        <w:t xml:space="preserve">ésolution et d’autres </w:t>
      </w:r>
      <w:r w:rsidR="00450A04">
        <w:rPr>
          <w:i/>
          <w:iCs/>
          <w:lang w:val="fr-CH"/>
        </w:rPr>
        <w:t>r</w:t>
      </w:r>
      <w:r>
        <w:rPr>
          <w:i/>
          <w:iCs/>
          <w:lang w:val="fr-CH"/>
        </w:rPr>
        <w:t>ésolutions connexes</w:t>
      </w:r>
      <w:bookmarkStart w:id="9" w:name="_Hlk95150273"/>
    </w:p>
    <w:p w14:paraId="638E5294" w14:textId="77777777" w:rsidR="00015C8E" w:rsidRPr="00490F76" w:rsidRDefault="00015C8E" w:rsidP="00015C8E">
      <w:pPr>
        <w:pStyle w:val="BodyText"/>
        <w:keepNext/>
        <w:widowControl/>
        <w:ind w:left="425" w:hanging="425"/>
        <w:jc w:val="center"/>
        <w:rPr>
          <w:lang w:val="fr-CH"/>
        </w:rPr>
      </w:pPr>
      <w:bookmarkStart w:id="10" w:name="_Hlk89960247"/>
      <w:bookmarkEnd w:id="8"/>
      <w:bookmarkEnd w:id="9"/>
    </w:p>
    <w:p w14:paraId="6602D234" w14:textId="5CC74970" w:rsidR="00015C8E" w:rsidRPr="00490F76" w:rsidRDefault="00D07680" w:rsidP="00015C8E">
      <w:pPr>
        <w:rPr>
          <w:lang w:val="fr-CH"/>
        </w:rPr>
      </w:pPr>
      <w:r w:rsidRPr="00490F76">
        <w:rPr>
          <w:lang w:val="fr-CH"/>
        </w:rPr>
        <w:t>3</w:t>
      </w:r>
      <w:r w:rsidR="00015C8E" w:rsidRPr="00490F76">
        <w:rPr>
          <w:lang w:val="fr-CH"/>
        </w:rPr>
        <w:t>.</w:t>
      </w:r>
      <w:r w:rsidR="00015C8E" w:rsidRPr="00490F76">
        <w:rPr>
          <w:lang w:val="fr-CH"/>
        </w:rPr>
        <w:tab/>
      </w:r>
      <w:r w:rsidR="00E50966">
        <w:rPr>
          <w:lang w:val="fr-CH"/>
        </w:rPr>
        <w:t xml:space="preserve">DÉCLARE que </w:t>
      </w:r>
      <w:r w:rsidR="00450A04">
        <w:rPr>
          <w:lang w:val="fr-CH"/>
        </w:rPr>
        <w:t>la présente R</w:t>
      </w:r>
      <w:r w:rsidR="00E50966">
        <w:rPr>
          <w:lang w:val="fr-CH"/>
        </w:rPr>
        <w:t xml:space="preserve">ésolution sur les IRR contient </w:t>
      </w:r>
      <w:r w:rsidR="00450A04">
        <w:rPr>
          <w:lang w:val="fr-CH"/>
        </w:rPr>
        <w:t xml:space="preserve">uniquement </w:t>
      </w:r>
      <w:r w:rsidR="00E50966">
        <w:rPr>
          <w:lang w:val="fr-CH"/>
        </w:rPr>
        <w:t xml:space="preserve">des informations </w:t>
      </w:r>
      <w:r w:rsidR="00450A04">
        <w:rPr>
          <w:lang w:val="fr-CH"/>
        </w:rPr>
        <w:t>sur</w:t>
      </w:r>
      <w:r w:rsidR="00E50966">
        <w:rPr>
          <w:lang w:val="fr-CH"/>
        </w:rPr>
        <w:t xml:space="preserve"> la période spécifique </w:t>
      </w:r>
      <w:r w:rsidR="00450A04">
        <w:rPr>
          <w:lang w:val="fr-CH"/>
        </w:rPr>
        <w:t>allant de</w:t>
      </w:r>
      <w:r w:rsidR="00E50966">
        <w:rPr>
          <w:lang w:val="fr-CH"/>
        </w:rPr>
        <w:t xml:space="preserve"> la COP14 </w:t>
      </w:r>
      <w:r w:rsidR="00450A04">
        <w:rPr>
          <w:lang w:val="fr-CH"/>
        </w:rPr>
        <w:t>à</w:t>
      </w:r>
      <w:r w:rsidR="00E50966">
        <w:rPr>
          <w:lang w:val="fr-CH"/>
        </w:rPr>
        <w:t xml:space="preserve"> la COP15 et que les décisions à long terme font partie de la Résolution </w:t>
      </w:r>
      <w:r w:rsidR="00015C8E" w:rsidRPr="00490F76">
        <w:rPr>
          <w:highlight w:val="yellow"/>
          <w:lang w:val="fr-CH"/>
        </w:rPr>
        <w:t xml:space="preserve">XIV,¤¤ </w:t>
      </w:r>
      <w:r w:rsidR="00450A04" w:rsidRPr="00450A04">
        <w:rPr>
          <w:i/>
          <w:iCs/>
          <w:highlight w:val="yellow"/>
          <w:lang w:val="fr-CH"/>
        </w:rPr>
        <w:t>Les</w:t>
      </w:r>
      <w:r w:rsidR="00450A04">
        <w:rPr>
          <w:highlight w:val="yellow"/>
          <w:lang w:val="fr-CH"/>
        </w:rPr>
        <w:t xml:space="preserve"> </w:t>
      </w:r>
      <w:r w:rsidR="00E50966">
        <w:rPr>
          <w:i/>
          <w:iCs/>
          <w:highlight w:val="yellow"/>
          <w:lang w:val="fr-CH"/>
        </w:rPr>
        <w:t xml:space="preserve">Initiatives régionales Ramsar – Les fondamentaux </w:t>
      </w:r>
      <w:r w:rsidR="00E50966" w:rsidRPr="00E50966">
        <w:rPr>
          <w:iCs/>
          <w:lang w:val="fr-CH"/>
        </w:rPr>
        <w:t xml:space="preserve">qui doit </w:t>
      </w:r>
      <w:r w:rsidR="00450A04">
        <w:rPr>
          <w:iCs/>
          <w:lang w:val="fr-CH"/>
        </w:rPr>
        <w:t>aussi</w:t>
      </w:r>
      <w:r w:rsidR="00E50966" w:rsidRPr="00E50966">
        <w:rPr>
          <w:iCs/>
          <w:lang w:val="fr-CH"/>
        </w:rPr>
        <w:t xml:space="preserve"> être appliquée.</w:t>
      </w:r>
      <w:r w:rsidR="00015C8E" w:rsidRPr="00490F76">
        <w:rPr>
          <w:lang w:val="fr-CH"/>
        </w:rPr>
        <w:t xml:space="preserve">    </w:t>
      </w:r>
    </w:p>
    <w:p w14:paraId="3B01B6C0" w14:textId="48917F57" w:rsidR="00DA5D84" w:rsidRPr="00490F76" w:rsidRDefault="00DA5D84" w:rsidP="00015C8E">
      <w:pPr>
        <w:rPr>
          <w:lang w:val="fr-CH"/>
        </w:rPr>
      </w:pPr>
    </w:p>
    <w:p w14:paraId="10CF168F" w14:textId="631A03F0" w:rsidR="00DA5D84" w:rsidRPr="00490F76" w:rsidRDefault="00DA5D84" w:rsidP="00015C8E">
      <w:pPr>
        <w:rPr>
          <w:lang w:val="fr-CH"/>
        </w:rPr>
      </w:pPr>
      <w:r w:rsidRPr="00490F76">
        <w:rPr>
          <w:lang w:val="fr-CH"/>
        </w:rPr>
        <w:t>4.</w:t>
      </w:r>
      <w:r w:rsidRPr="00490F76">
        <w:rPr>
          <w:lang w:val="fr-CH"/>
        </w:rPr>
        <w:tab/>
      </w:r>
      <w:r w:rsidR="00E50966">
        <w:rPr>
          <w:lang w:val="fr-CH"/>
        </w:rPr>
        <w:t xml:space="preserve">DÉCIDE </w:t>
      </w:r>
      <w:r w:rsidR="00587F46">
        <w:rPr>
          <w:lang w:val="fr-CH"/>
        </w:rPr>
        <w:t>que la présente Résolution reste valable jusqu’à ce qu’elle soit remplacée</w:t>
      </w:r>
      <w:r w:rsidR="00F14AFA" w:rsidRPr="00F14AFA">
        <w:rPr>
          <w:lang w:val="fr-CH"/>
        </w:rPr>
        <w:t xml:space="preserve"> </w:t>
      </w:r>
      <w:r w:rsidR="00F14AFA">
        <w:rPr>
          <w:lang w:val="fr-CH"/>
        </w:rPr>
        <w:t xml:space="preserve">à la </w:t>
      </w:r>
      <w:r w:rsidR="00F14AFA" w:rsidRPr="00490F76">
        <w:rPr>
          <w:lang w:val="fr-CH"/>
        </w:rPr>
        <w:t>COP15</w:t>
      </w:r>
      <w:r w:rsidR="00F14AFA">
        <w:rPr>
          <w:lang w:val="fr-CH"/>
        </w:rPr>
        <w:t>,</w:t>
      </w:r>
      <w:r w:rsidR="00587F46">
        <w:rPr>
          <w:lang w:val="fr-CH"/>
        </w:rPr>
        <w:t xml:space="preserve"> par une nouvelle résolution </w:t>
      </w:r>
      <w:r w:rsidR="00F14AFA">
        <w:rPr>
          <w:lang w:val="fr-CH"/>
        </w:rPr>
        <w:t>couvrant</w:t>
      </w:r>
      <w:r w:rsidR="00587F46">
        <w:rPr>
          <w:lang w:val="fr-CH"/>
        </w:rPr>
        <w:t xml:space="preserve"> la période </w:t>
      </w:r>
      <w:r w:rsidR="00450A04">
        <w:rPr>
          <w:lang w:val="fr-CH"/>
        </w:rPr>
        <w:t>allant de</w:t>
      </w:r>
      <w:r w:rsidR="00587F46">
        <w:rPr>
          <w:lang w:val="fr-CH"/>
        </w:rPr>
        <w:t xml:space="preserve"> la COP15 </w:t>
      </w:r>
      <w:r w:rsidR="00450A04">
        <w:rPr>
          <w:lang w:val="fr-CH"/>
        </w:rPr>
        <w:t>à</w:t>
      </w:r>
      <w:r w:rsidR="00587F46">
        <w:rPr>
          <w:lang w:val="fr-CH"/>
        </w:rPr>
        <w:t xml:space="preserve"> la COP16</w:t>
      </w:r>
      <w:r w:rsidR="005278C7" w:rsidRPr="00490F76">
        <w:rPr>
          <w:lang w:val="fr-CH"/>
        </w:rPr>
        <w:t>.</w:t>
      </w:r>
    </w:p>
    <w:bookmarkEnd w:id="10"/>
    <w:p w14:paraId="5EA2DDB2" w14:textId="77777777" w:rsidR="00015C8E" w:rsidRPr="00490F76" w:rsidRDefault="00015C8E" w:rsidP="00015C8E">
      <w:pPr>
        <w:rPr>
          <w:lang w:val="fr-CH"/>
        </w:rPr>
      </w:pPr>
    </w:p>
    <w:p w14:paraId="291FED40" w14:textId="1B74ED86" w:rsidR="00015C8E" w:rsidRPr="00490F76" w:rsidRDefault="00486D89" w:rsidP="00015C8E">
      <w:pPr>
        <w:pStyle w:val="BodyText"/>
        <w:keepNext/>
        <w:widowControl/>
        <w:ind w:left="425" w:hanging="425"/>
        <w:rPr>
          <w:i/>
          <w:iCs/>
          <w:lang w:val="fr-CH"/>
        </w:rPr>
      </w:pPr>
      <w:r w:rsidRPr="00490F76">
        <w:rPr>
          <w:i/>
          <w:iCs/>
          <w:lang w:val="fr-CH"/>
        </w:rPr>
        <w:lastRenderedPageBreak/>
        <w:t>Les IRR pour la période</w:t>
      </w:r>
      <w:r w:rsidR="00F04C78" w:rsidRPr="00490F76">
        <w:rPr>
          <w:i/>
          <w:iCs/>
          <w:lang w:val="fr-CH"/>
        </w:rPr>
        <w:t xml:space="preserve"> allant de la </w:t>
      </w:r>
      <w:r w:rsidR="00015C8E" w:rsidRPr="00490F76">
        <w:rPr>
          <w:i/>
          <w:iCs/>
          <w:lang w:val="fr-CH"/>
        </w:rPr>
        <w:t>COP14</w:t>
      </w:r>
      <w:r w:rsidR="00F04C78" w:rsidRPr="00490F76">
        <w:rPr>
          <w:i/>
          <w:iCs/>
          <w:lang w:val="fr-CH"/>
        </w:rPr>
        <w:t xml:space="preserve"> à la </w:t>
      </w:r>
      <w:r w:rsidR="00015C8E" w:rsidRPr="00490F76">
        <w:rPr>
          <w:i/>
          <w:iCs/>
          <w:lang w:val="fr-CH"/>
        </w:rPr>
        <w:t xml:space="preserve">COP15 </w:t>
      </w:r>
    </w:p>
    <w:p w14:paraId="48DD8631" w14:textId="77777777" w:rsidR="00015C8E" w:rsidRPr="00490F76" w:rsidRDefault="00015C8E" w:rsidP="00015C8E">
      <w:pPr>
        <w:rPr>
          <w:lang w:val="fr-CH"/>
        </w:rPr>
      </w:pPr>
    </w:p>
    <w:p w14:paraId="7571ECC0" w14:textId="4C256A8A" w:rsidR="00015C8E" w:rsidRPr="00490F76" w:rsidRDefault="00F0326E" w:rsidP="00015C8E">
      <w:pPr>
        <w:rPr>
          <w:lang w:val="fr-CH"/>
        </w:rPr>
      </w:pPr>
      <w:r>
        <w:rPr>
          <w:lang w:val="fr-CH"/>
        </w:rPr>
        <w:t>4</w:t>
      </w:r>
      <w:r w:rsidR="00015C8E" w:rsidRPr="00490F76">
        <w:rPr>
          <w:lang w:val="fr-CH"/>
        </w:rPr>
        <w:t>.</w:t>
      </w:r>
      <w:r w:rsidR="00015C8E" w:rsidRPr="00490F76">
        <w:rPr>
          <w:lang w:val="fr-CH"/>
        </w:rPr>
        <w:tab/>
      </w:r>
      <w:r w:rsidR="00486D89" w:rsidRPr="00490F76">
        <w:rPr>
          <w:lang w:val="fr-CH"/>
        </w:rPr>
        <w:t xml:space="preserve">APPROUVE les IRR existantes, (déjà approuvées avant la COP14) comme fonctionnant dans le cadre de la Convention sur les zones humides jusqu’à la COP15 </w:t>
      </w:r>
      <w:r w:rsidR="00015C8E" w:rsidRPr="00490F76">
        <w:rPr>
          <w:lang w:val="fr-CH"/>
        </w:rPr>
        <w:t>:</w:t>
      </w:r>
    </w:p>
    <w:p w14:paraId="2E94719F" w14:textId="77777777" w:rsidR="00015C8E" w:rsidRPr="00490F76" w:rsidRDefault="00015C8E" w:rsidP="00015C8E">
      <w:pPr>
        <w:pStyle w:val="BodyText"/>
        <w:widowControl/>
        <w:ind w:left="425" w:firstLine="0"/>
        <w:rPr>
          <w:lang w:val="fr-CH"/>
        </w:rPr>
      </w:pPr>
    </w:p>
    <w:p w14:paraId="1D03158B" w14:textId="77777777" w:rsidR="00EC0273" w:rsidRPr="00490F76" w:rsidRDefault="00EC0273" w:rsidP="00EC0273">
      <w:pPr>
        <w:pStyle w:val="BodyText"/>
        <w:ind w:hanging="402"/>
        <w:rPr>
          <w:lang w:val="fr-CH"/>
        </w:rPr>
      </w:pPr>
      <w:r w:rsidRPr="00490F76">
        <w:rPr>
          <w:lang w:val="fr-CH"/>
        </w:rPr>
        <w:t>Quatre centres régionaux Ramsar pour la formation et le renforcement des capacités :</w:t>
      </w:r>
    </w:p>
    <w:p w14:paraId="1A5E2886" w14:textId="0DB86369" w:rsidR="00EC0273" w:rsidRPr="00490F76" w:rsidRDefault="00EC0273" w:rsidP="00B86B29">
      <w:pPr>
        <w:pStyle w:val="BodyText"/>
        <w:widowControl/>
        <w:numPr>
          <w:ilvl w:val="1"/>
          <w:numId w:val="4"/>
        </w:numPr>
        <w:ind w:left="798" w:right="95"/>
        <w:rPr>
          <w:lang w:val="fr-CH"/>
        </w:rPr>
      </w:pPr>
      <w:r w:rsidRPr="00490F76">
        <w:rPr>
          <w:lang w:val="fr-CH"/>
        </w:rPr>
        <w:t>Centre Ramsar pour l’Afrique de l’Est (RAMCEA)</w:t>
      </w:r>
    </w:p>
    <w:p w14:paraId="67231208" w14:textId="4D38DB05" w:rsidR="00EC0273" w:rsidRPr="00587F46" w:rsidRDefault="00EC0273" w:rsidP="00B86B29">
      <w:pPr>
        <w:pStyle w:val="BodyText"/>
        <w:widowControl/>
        <w:numPr>
          <w:ilvl w:val="1"/>
          <w:numId w:val="4"/>
        </w:numPr>
        <w:ind w:left="798" w:right="95"/>
        <w:rPr>
          <w:lang w:val="fr-CH"/>
        </w:rPr>
      </w:pPr>
      <w:r w:rsidRPr="00587F46">
        <w:rPr>
          <w:lang w:val="fr-CH"/>
        </w:rPr>
        <w:t>Centre régional Ramsar pour la formation et la recherche sur les zones humides de</w:t>
      </w:r>
      <w:r w:rsidR="00B86B29">
        <w:rPr>
          <w:lang w:val="fr-CH"/>
        </w:rPr>
        <w:t xml:space="preserve"> </w:t>
      </w:r>
      <w:r w:rsidRPr="00587F46">
        <w:rPr>
          <w:lang w:val="fr-CH"/>
        </w:rPr>
        <w:t>l’hémisphère occidental (CREHO)</w:t>
      </w:r>
    </w:p>
    <w:p w14:paraId="4777AF3F" w14:textId="3FF78E13" w:rsidR="00EC0273" w:rsidRPr="00490F76" w:rsidRDefault="00EC0273" w:rsidP="00B86B29">
      <w:pPr>
        <w:pStyle w:val="BodyText"/>
        <w:widowControl/>
        <w:numPr>
          <w:ilvl w:val="1"/>
          <w:numId w:val="4"/>
        </w:numPr>
        <w:ind w:left="798" w:right="95"/>
        <w:rPr>
          <w:lang w:val="fr-CH"/>
        </w:rPr>
      </w:pPr>
      <w:r w:rsidRPr="00490F76">
        <w:rPr>
          <w:lang w:val="fr-CH"/>
        </w:rPr>
        <w:t>Centre régional Ramsar – Asie centrale et de l’Ouest (RRC-CWA)</w:t>
      </w:r>
    </w:p>
    <w:p w14:paraId="4E6E5A0D" w14:textId="57AB6DAC" w:rsidR="00015C8E" w:rsidRPr="00490F76" w:rsidRDefault="00EC0273" w:rsidP="00B86B29">
      <w:pPr>
        <w:pStyle w:val="BodyText"/>
        <w:widowControl/>
        <w:numPr>
          <w:ilvl w:val="1"/>
          <w:numId w:val="4"/>
        </w:numPr>
        <w:ind w:left="798" w:right="95"/>
        <w:rPr>
          <w:lang w:val="fr-CH"/>
        </w:rPr>
      </w:pPr>
      <w:r w:rsidRPr="00490F76">
        <w:rPr>
          <w:lang w:val="fr-CH"/>
        </w:rPr>
        <w:t>Centre régional Ramsar – Asie de l’Est (RRC-EA)</w:t>
      </w:r>
      <w:r w:rsidR="00D81789" w:rsidRPr="00490F76">
        <w:rPr>
          <w:lang w:val="fr-CH"/>
        </w:rPr>
        <w:t> ; et</w:t>
      </w:r>
    </w:p>
    <w:p w14:paraId="24DF5907" w14:textId="77777777" w:rsidR="00EC0273" w:rsidRPr="00490F76" w:rsidRDefault="00EC0273" w:rsidP="00EC0273">
      <w:pPr>
        <w:pStyle w:val="BodyText"/>
        <w:widowControl/>
        <w:ind w:left="1187" w:firstLine="0"/>
        <w:rPr>
          <w:lang w:val="fr-CH"/>
        </w:rPr>
      </w:pPr>
    </w:p>
    <w:p w14:paraId="7A81751E" w14:textId="6495351F" w:rsidR="00015C8E" w:rsidRPr="00490F76" w:rsidRDefault="00D81789" w:rsidP="00015C8E">
      <w:pPr>
        <w:pStyle w:val="BodyText"/>
        <w:widowControl/>
        <w:ind w:left="425" w:firstLine="0"/>
        <w:rPr>
          <w:lang w:val="fr-CH"/>
        </w:rPr>
      </w:pPr>
      <w:r w:rsidRPr="00490F76">
        <w:rPr>
          <w:lang w:val="fr-CH"/>
        </w:rPr>
        <w:t xml:space="preserve">Quinze réseaux Ramsar de coopération régionale </w:t>
      </w:r>
      <w:r w:rsidR="00015C8E" w:rsidRPr="00490F76">
        <w:rPr>
          <w:lang w:val="fr-CH"/>
        </w:rPr>
        <w:t>:</w:t>
      </w:r>
    </w:p>
    <w:p w14:paraId="3F1678E5" w14:textId="4095C87B" w:rsidR="00D81789" w:rsidRPr="00B86B29" w:rsidRDefault="00D81789" w:rsidP="00B86B29">
      <w:pPr>
        <w:pStyle w:val="BodyText"/>
        <w:widowControl/>
        <w:numPr>
          <w:ilvl w:val="1"/>
          <w:numId w:val="4"/>
        </w:numPr>
        <w:ind w:left="798" w:right="95"/>
        <w:rPr>
          <w:lang w:val="fr-CH"/>
        </w:rPr>
      </w:pPr>
      <w:r w:rsidRPr="00B86B29">
        <w:rPr>
          <w:lang w:val="fr-CH"/>
        </w:rPr>
        <w:t>Initiative régionale Ramsar pour les zones humides côtières d’Afrique de l’Ouest</w:t>
      </w:r>
      <w:r w:rsidR="00B86B29">
        <w:rPr>
          <w:lang w:val="fr-CH"/>
        </w:rPr>
        <w:t xml:space="preserve"> </w:t>
      </w:r>
      <w:r w:rsidRPr="00B86B29">
        <w:rPr>
          <w:lang w:val="fr-CH"/>
        </w:rPr>
        <w:t>(WaCoWet)</w:t>
      </w:r>
    </w:p>
    <w:p w14:paraId="5C28D17D" w14:textId="3B90B96C" w:rsidR="00D81789" w:rsidRPr="00490F76" w:rsidRDefault="00D81789" w:rsidP="00B86B29">
      <w:pPr>
        <w:pStyle w:val="BodyText"/>
        <w:widowControl/>
        <w:numPr>
          <w:ilvl w:val="1"/>
          <w:numId w:val="4"/>
        </w:numPr>
        <w:ind w:left="798" w:right="95"/>
        <w:rPr>
          <w:lang w:val="fr-CH"/>
        </w:rPr>
      </w:pPr>
      <w:r w:rsidRPr="00490F76">
        <w:rPr>
          <w:lang w:val="fr-CH"/>
        </w:rPr>
        <w:t>Initiative régionale Ramsar pour le bassin du Niger (NigerWet)</w:t>
      </w:r>
    </w:p>
    <w:p w14:paraId="24F9A29F" w14:textId="66848374" w:rsidR="00D81789" w:rsidRPr="00490F76" w:rsidRDefault="00D81789" w:rsidP="00B86B29">
      <w:pPr>
        <w:pStyle w:val="BodyText"/>
        <w:widowControl/>
        <w:numPr>
          <w:ilvl w:val="1"/>
          <w:numId w:val="4"/>
        </w:numPr>
        <w:ind w:left="798" w:right="95"/>
        <w:rPr>
          <w:lang w:val="fr-CH"/>
        </w:rPr>
      </w:pPr>
      <w:r w:rsidRPr="00490F76">
        <w:rPr>
          <w:lang w:val="fr-CH"/>
        </w:rPr>
        <w:t>Initiative régionale Ramsar pour le bassin du Sénégal</w:t>
      </w:r>
    </w:p>
    <w:p w14:paraId="1777C1E5" w14:textId="01CB82E6" w:rsidR="00D81789" w:rsidRPr="00B86B29" w:rsidRDefault="00D81789" w:rsidP="00B86B29">
      <w:pPr>
        <w:pStyle w:val="BodyText"/>
        <w:widowControl/>
        <w:numPr>
          <w:ilvl w:val="1"/>
          <w:numId w:val="4"/>
        </w:numPr>
        <w:ind w:left="798" w:right="95"/>
        <w:rPr>
          <w:lang w:val="fr-CH"/>
        </w:rPr>
      </w:pPr>
      <w:r w:rsidRPr="00B86B29">
        <w:rPr>
          <w:lang w:val="fr-CH"/>
        </w:rPr>
        <w:t>Initiative régionale Ramsar pour la conservation et l’utilisation rationnelle des zones</w:t>
      </w:r>
      <w:r w:rsidR="00B86B29">
        <w:rPr>
          <w:lang w:val="fr-CH"/>
        </w:rPr>
        <w:t xml:space="preserve"> </w:t>
      </w:r>
      <w:r w:rsidRPr="00B86B29">
        <w:rPr>
          <w:lang w:val="fr-CH"/>
        </w:rPr>
        <w:t>humides des Hautes Andes</w:t>
      </w:r>
    </w:p>
    <w:p w14:paraId="4ADAD45B" w14:textId="054C1084" w:rsidR="00D81789" w:rsidRPr="00B86B29" w:rsidRDefault="00D81789" w:rsidP="00B86B29">
      <w:pPr>
        <w:pStyle w:val="BodyText"/>
        <w:widowControl/>
        <w:numPr>
          <w:ilvl w:val="1"/>
          <w:numId w:val="4"/>
        </w:numPr>
        <w:ind w:left="798" w:right="95"/>
        <w:rPr>
          <w:lang w:val="fr-CH"/>
        </w:rPr>
      </w:pPr>
      <w:r w:rsidRPr="00B86B29">
        <w:rPr>
          <w:lang w:val="fr-CH"/>
        </w:rPr>
        <w:t>Initiative régionale Ramsar pour la conservation et l’utilisation rationnelle des zones</w:t>
      </w:r>
      <w:r w:rsidR="00B86B29">
        <w:rPr>
          <w:lang w:val="fr-CH"/>
        </w:rPr>
        <w:t xml:space="preserve"> </w:t>
      </w:r>
      <w:r w:rsidRPr="00B86B29">
        <w:rPr>
          <w:lang w:val="fr-CH"/>
        </w:rPr>
        <w:t>humides fluviales du bassin du Río de la Plata</w:t>
      </w:r>
    </w:p>
    <w:p w14:paraId="481171D6" w14:textId="31CA8332" w:rsidR="00D81789" w:rsidRPr="00490F76" w:rsidRDefault="00D81789" w:rsidP="00B86B29">
      <w:pPr>
        <w:pStyle w:val="BodyText"/>
        <w:widowControl/>
        <w:numPr>
          <w:ilvl w:val="1"/>
          <w:numId w:val="4"/>
        </w:numPr>
        <w:ind w:left="798" w:right="95"/>
        <w:rPr>
          <w:lang w:val="fr-CH"/>
        </w:rPr>
      </w:pPr>
      <w:r w:rsidRPr="00490F76">
        <w:rPr>
          <w:lang w:val="fr-CH"/>
        </w:rPr>
        <w:t>Initiative régionale Ramsar pour les zones humides des Caraïbes (CariWet)</w:t>
      </w:r>
    </w:p>
    <w:p w14:paraId="6C0D6B6F" w14:textId="44A3287C" w:rsidR="00D81789" w:rsidRPr="00B86B29" w:rsidRDefault="00D81789" w:rsidP="00B86B29">
      <w:pPr>
        <w:pStyle w:val="BodyText"/>
        <w:widowControl/>
        <w:numPr>
          <w:ilvl w:val="1"/>
          <w:numId w:val="4"/>
        </w:numPr>
        <w:ind w:left="798" w:right="95"/>
        <w:rPr>
          <w:lang w:val="fr-CH"/>
        </w:rPr>
      </w:pPr>
      <w:r w:rsidRPr="00B86B29">
        <w:rPr>
          <w:lang w:val="fr-CH"/>
        </w:rPr>
        <w:t>Initiative régionale Ramsar pour la conservation et l’utilisation rationnelle des mangroves</w:t>
      </w:r>
      <w:r w:rsidR="00B86B29">
        <w:rPr>
          <w:lang w:val="fr-CH"/>
        </w:rPr>
        <w:t xml:space="preserve"> </w:t>
      </w:r>
      <w:r w:rsidRPr="00B86B29">
        <w:rPr>
          <w:lang w:val="fr-CH"/>
        </w:rPr>
        <w:t>et des récifs coralliens</w:t>
      </w:r>
    </w:p>
    <w:p w14:paraId="59DF7756" w14:textId="13195307" w:rsidR="00D81789" w:rsidRPr="00490F76" w:rsidRDefault="00D81789" w:rsidP="00B86B29">
      <w:pPr>
        <w:pStyle w:val="BodyText"/>
        <w:widowControl/>
        <w:numPr>
          <w:ilvl w:val="1"/>
          <w:numId w:val="4"/>
        </w:numPr>
        <w:ind w:left="798" w:right="95"/>
        <w:rPr>
          <w:lang w:val="fr-CH"/>
        </w:rPr>
      </w:pPr>
      <w:r w:rsidRPr="00490F76">
        <w:rPr>
          <w:lang w:val="fr-CH"/>
        </w:rPr>
        <w:t>Initiative régionale Ramsar pour le bassin de l’Amazone</w:t>
      </w:r>
    </w:p>
    <w:p w14:paraId="6CF1FB60" w14:textId="19D4C40C" w:rsidR="00D81789" w:rsidRPr="00490F76" w:rsidRDefault="00D81789" w:rsidP="00B86B29">
      <w:pPr>
        <w:pStyle w:val="BodyText"/>
        <w:widowControl/>
        <w:numPr>
          <w:ilvl w:val="1"/>
          <w:numId w:val="4"/>
        </w:numPr>
        <w:ind w:left="798" w:right="95"/>
        <w:rPr>
          <w:lang w:val="fr-CH"/>
        </w:rPr>
      </w:pPr>
      <w:r w:rsidRPr="00490F76">
        <w:rPr>
          <w:lang w:val="fr-CH"/>
        </w:rPr>
        <w:t>Partenariat pour la voie de migration Asie de l’Est-Australasie</w:t>
      </w:r>
    </w:p>
    <w:p w14:paraId="1A45899D" w14:textId="32FDDD06" w:rsidR="00D81789" w:rsidRPr="00490F76" w:rsidRDefault="00D81789" w:rsidP="00B86B29">
      <w:pPr>
        <w:pStyle w:val="BodyText"/>
        <w:widowControl/>
        <w:numPr>
          <w:ilvl w:val="1"/>
          <w:numId w:val="4"/>
        </w:numPr>
        <w:ind w:left="798" w:right="95"/>
        <w:rPr>
          <w:lang w:val="fr-CH"/>
        </w:rPr>
      </w:pPr>
      <w:r w:rsidRPr="00490F76">
        <w:rPr>
          <w:lang w:val="fr-CH"/>
        </w:rPr>
        <w:t>Initiative régionale Ramsar pour l’Asie centrale</w:t>
      </w:r>
    </w:p>
    <w:p w14:paraId="78BD09B3" w14:textId="4DE8E5F3" w:rsidR="00D81789" w:rsidRPr="00490F76" w:rsidRDefault="00D81789" w:rsidP="00B86B29">
      <w:pPr>
        <w:pStyle w:val="BodyText"/>
        <w:widowControl/>
        <w:numPr>
          <w:ilvl w:val="1"/>
          <w:numId w:val="4"/>
        </w:numPr>
        <w:ind w:left="798" w:right="95"/>
        <w:rPr>
          <w:lang w:val="fr-CH"/>
        </w:rPr>
      </w:pPr>
      <w:r w:rsidRPr="00490F76">
        <w:rPr>
          <w:lang w:val="fr-CH"/>
        </w:rPr>
        <w:t>Initiative régionale Ramsar indo-birmane</w:t>
      </w:r>
    </w:p>
    <w:p w14:paraId="072A04AD" w14:textId="465A5648" w:rsidR="00D81789" w:rsidRPr="00490F76" w:rsidRDefault="00D81789" w:rsidP="00B86B29">
      <w:pPr>
        <w:pStyle w:val="BodyText"/>
        <w:widowControl/>
        <w:numPr>
          <w:ilvl w:val="1"/>
          <w:numId w:val="4"/>
        </w:numPr>
        <w:ind w:left="798" w:right="95"/>
        <w:rPr>
          <w:lang w:val="fr-CH"/>
        </w:rPr>
      </w:pPr>
      <w:r w:rsidRPr="00490F76">
        <w:rPr>
          <w:lang w:val="fr-CH"/>
        </w:rPr>
        <w:t>Initiative régionale Ramsar pour les zones humides méditerranéennes (MedWet)</w:t>
      </w:r>
    </w:p>
    <w:p w14:paraId="72022302" w14:textId="0F43EFD8" w:rsidR="00D81789" w:rsidRPr="00490F76" w:rsidRDefault="00D81789" w:rsidP="00B86B29">
      <w:pPr>
        <w:pStyle w:val="BodyText"/>
        <w:widowControl/>
        <w:numPr>
          <w:ilvl w:val="1"/>
          <w:numId w:val="4"/>
        </w:numPr>
        <w:ind w:left="798" w:right="95"/>
        <w:rPr>
          <w:lang w:val="fr-CH"/>
        </w:rPr>
      </w:pPr>
      <w:r w:rsidRPr="00490F76">
        <w:rPr>
          <w:lang w:val="fr-CH"/>
        </w:rPr>
        <w:t>Initiative régionale Ramsar pour les zones humides des Carpates</w:t>
      </w:r>
    </w:p>
    <w:p w14:paraId="5705EC7A" w14:textId="313B4C2F" w:rsidR="00D81789" w:rsidRPr="00490F76" w:rsidRDefault="00D81789" w:rsidP="00B86B29">
      <w:pPr>
        <w:pStyle w:val="BodyText"/>
        <w:widowControl/>
        <w:numPr>
          <w:ilvl w:val="1"/>
          <w:numId w:val="4"/>
        </w:numPr>
        <w:ind w:left="798" w:right="95"/>
        <w:rPr>
          <w:lang w:val="fr-CH"/>
        </w:rPr>
      </w:pPr>
      <w:r w:rsidRPr="00490F76">
        <w:rPr>
          <w:lang w:val="fr-CH"/>
        </w:rPr>
        <w:t>Initiative régionale Ramsar pour les zones humides nordiques-baltiques (NorBalWet)</w:t>
      </w:r>
    </w:p>
    <w:p w14:paraId="377B1057" w14:textId="5AECA270" w:rsidR="00015C8E" w:rsidRPr="00490F76" w:rsidRDefault="00D81789" w:rsidP="00B86B29">
      <w:pPr>
        <w:pStyle w:val="BodyText"/>
        <w:widowControl/>
        <w:numPr>
          <w:ilvl w:val="1"/>
          <w:numId w:val="4"/>
        </w:numPr>
        <w:ind w:left="798" w:right="95"/>
        <w:rPr>
          <w:lang w:val="fr-CH"/>
        </w:rPr>
      </w:pPr>
      <w:r w:rsidRPr="00490F76">
        <w:rPr>
          <w:lang w:val="fr-CH"/>
        </w:rPr>
        <w:t>Initiative régionale Ramsar pour les zones humides côtières de la mer Noire et de la mer</w:t>
      </w:r>
      <w:r w:rsidR="006344B9" w:rsidRPr="00490F76">
        <w:rPr>
          <w:lang w:val="fr-CH"/>
        </w:rPr>
        <w:t xml:space="preserve"> </w:t>
      </w:r>
      <w:r w:rsidRPr="00490F76">
        <w:rPr>
          <w:lang w:val="fr-CH"/>
        </w:rPr>
        <w:t>d’Azov (BlackSeaWet).</w:t>
      </w:r>
    </w:p>
    <w:p w14:paraId="21909D2A" w14:textId="77777777" w:rsidR="00015C8E" w:rsidRPr="00490F76" w:rsidRDefault="00015C8E" w:rsidP="00015C8E">
      <w:pPr>
        <w:pStyle w:val="BodyText"/>
        <w:widowControl/>
        <w:jc w:val="right"/>
        <w:rPr>
          <w:lang w:val="fr-CH"/>
        </w:rPr>
      </w:pPr>
    </w:p>
    <w:p w14:paraId="43EA0B2E" w14:textId="16A3B50C" w:rsidR="00015C8E" w:rsidRPr="00490F76" w:rsidRDefault="00F0326E" w:rsidP="00015C8E">
      <w:pPr>
        <w:rPr>
          <w:lang w:val="fr-CH"/>
        </w:rPr>
      </w:pPr>
      <w:r>
        <w:rPr>
          <w:lang w:val="fr-CH"/>
        </w:rPr>
        <w:t>5</w:t>
      </w:r>
      <w:r w:rsidR="00015C8E" w:rsidRPr="00490F76">
        <w:rPr>
          <w:lang w:val="fr-CH"/>
        </w:rPr>
        <w:t>.</w:t>
      </w:r>
      <w:r w:rsidR="00015C8E" w:rsidRPr="00490F76">
        <w:rPr>
          <w:lang w:val="fr-CH"/>
        </w:rPr>
        <w:tab/>
      </w:r>
      <w:r w:rsidR="00DF13F8">
        <w:rPr>
          <w:lang w:val="fr-CH"/>
        </w:rPr>
        <w:t>APPROUVE les nouvelles IRR déjà approuvées par le Comité permanent depuis la COP13, énumérées ci</w:t>
      </w:r>
      <w:r w:rsidR="00DF13F8">
        <w:rPr>
          <w:lang w:val="fr-CH"/>
        </w:rPr>
        <w:noBreakHyphen/>
        <w:t>dessous comme fonctionnant dans le cadre de la Convention sur les zones humides, jusqu’à la COP15 </w:t>
      </w:r>
      <w:r w:rsidR="00015C8E" w:rsidRPr="00490F76">
        <w:rPr>
          <w:lang w:val="fr-CH"/>
        </w:rPr>
        <w:t>:</w:t>
      </w:r>
    </w:p>
    <w:p w14:paraId="04BBC306" w14:textId="580E2F24" w:rsidR="00015C8E" w:rsidRPr="00490F76" w:rsidRDefault="00015C8E" w:rsidP="00015C8E">
      <w:pPr>
        <w:pStyle w:val="BodyText"/>
        <w:widowControl/>
        <w:numPr>
          <w:ilvl w:val="1"/>
          <w:numId w:val="4"/>
        </w:numPr>
        <w:ind w:left="850" w:hanging="425"/>
        <w:rPr>
          <w:highlight w:val="yellow"/>
          <w:lang w:val="fr-CH"/>
        </w:rPr>
      </w:pPr>
      <w:r w:rsidRPr="00490F76">
        <w:rPr>
          <w:i/>
          <w:iCs/>
          <w:highlight w:val="yellow"/>
          <w:lang w:val="fr-CH"/>
        </w:rPr>
        <w:t xml:space="preserve">(¤ </w:t>
      </w:r>
      <w:r w:rsidR="00F14AFA">
        <w:rPr>
          <w:i/>
          <w:iCs/>
          <w:highlight w:val="yellow"/>
          <w:lang w:val="fr-CH"/>
        </w:rPr>
        <w:t xml:space="preserve">éventuellement, </w:t>
      </w:r>
      <w:r w:rsidR="00DF13F8">
        <w:rPr>
          <w:i/>
          <w:iCs/>
          <w:highlight w:val="yellow"/>
          <w:lang w:val="fr-CH"/>
        </w:rPr>
        <w:t xml:space="preserve">le Secrétariat ajoutera </w:t>
      </w:r>
      <w:r w:rsidR="00F14AFA">
        <w:rPr>
          <w:i/>
          <w:iCs/>
          <w:highlight w:val="yellow"/>
          <w:lang w:val="fr-CH"/>
        </w:rPr>
        <w:t>de</w:t>
      </w:r>
      <w:r w:rsidR="00DF13F8">
        <w:rPr>
          <w:i/>
          <w:iCs/>
          <w:highlight w:val="yellow"/>
          <w:lang w:val="fr-CH"/>
        </w:rPr>
        <w:t xml:space="preserve"> nouvelles IRR ou supprimera ce paragraphe).</w:t>
      </w:r>
    </w:p>
    <w:p w14:paraId="61E7F627" w14:textId="26ACDE4E" w:rsidR="00015C8E" w:rsidRPr="00490F76" w:rsidRDefault="00F04C78" w:rsidP="00015C8E">
      <w:pPr>
        <w:pStyle w:val="BodyText"/>
        <w:keepNext/>
        <w:widowControl/>
        <w:ind w:left="425" w:hanging="425"/>
        <w:rPr>
          <w:i/>
          <w:iCs/>
          <w:lang w:val="fr-CH"/>
        </w:rPr>
      </w:pPr>
      <w:r w:rsidRPr="00490F76">
        <w:rPr>
          <w:i/>
          <w:iCs/>
          <w:lang w:val="fr-CH"/>
        </w:rPr>
        <w:t xml:space="preserve">Questions financières pour la période allant de la </w:t>
      </w:r>
      <w:r w:rsidR="00015C8E" w:rsidRPr="00490F76">
        <w:rPr>
          <w:i/>
          <w:iCs/>
          <w:lang w:val="fr-CH"/>
        </w:rPr>
        <w:t>COP14</w:t>
      </w:r>
      <w:r w:rsidRPr="00490F76">
        <w:rPr>
          <w:i/>
          <w:iCs/>
          <w:lang w:val="fr-CH"/>
        </w:rPr>
        <w:t xml:space="preserve"> à la </w:t>
      </w:r>
      <w:r w:rsidR="00015C8E" w:rsidRPr="00490F76">
        <w:rPr>
          <w:i/>
          <w:iCs/>
          <w:lang w:val="fr-CH"/>
        </w:rPr>
        <w:t xml:space="preserve">COP15 </w:t>
      </w:r>
      <w:r w:rsidRPr="00490F76">
        <w:rPr>
          <w:i/>
          <w:iCs/>
          <w:lang w:val="fr-CH"/>
        </w:rPr>
        <w:t>seulement</w:t>
      </w:r>
    </w:p>
    <w:p w14:paraId="1ADB33C0" w14:textId="77777777" w:rsidR="00015C8E" w:rsidRPr="00490F76" w:rsidRDefault="00015C8E" w:rsidP="00015C8E">
      <w:pPr>
        <w:rPr>
          <w:spacing w:val="-2"/>
          <w:lang w:val="fr-CH"/>
        </w:rPr>
      </w:pPr>
    </w:p>
    <w:p w14:paraId="665D10B5" w14:textId="2446602D" w:rsidR="00015C8E" w:rsidRPr="00490F76" w:rsidRDefault="00F0326E" w:rsidP="00015C8E">
      <w:pPr>
        <w:rPr>
          <w:lang w:val="fr-CH"/>
        </w:rPr>
      </w:pPr>
      <w:r>
        <w:rPr>
          <w:lang w:val="fr-CH"/>
        </w:rPr>
        <w:t>6</w:t>
      </w:r>
      <w:r w:rsidR="00015C8E" w:rsidRPr="00490F76">
        <w:rPr>
          <w:lang w:val="fr-CH"/>
        </w:rPr>
        <w:t>.</w:t>
      </w:r>
      <w:r w:rsidR="00015C8E" w:rsidRPr="00490F76">
        <w:rPr>
          <w:lang w:val="fr-CH"/>
        </w:rPr>
        <w:tab/>
      </w:r>
      <w:r w:rsidR="006344B9" w:rsidRPr="00490F76">
        <w:rPr>
          <w:lang w:val="fr-CH"/>
        </w:rPr>
        <w:t>NOTANT que la Résolution XIV.</w:t>
      </w:r>
      <w:r w:rsidR="006344B9" w:rsidRPr="00F0326E">
        <w:rPr>
          <w:highlight w:val="yellow"/>
          <w:lang w:val="fr-CH"/>
        </w:rPr>
        <w:t>xx</w:t>
      </w:r>
      <w:r w:rsidR="006344B9" w:rsidRPr="00490F76">
        <w:rPr>
          <w:lang w:val="fr-CH"/>
        </w:rPr>
        <w:t xml:space="preserve">, </w:t>
      </w:r>
      <w:r w:rsidR="006344B9" w:rsidRPr="00490F76">
        <w:rPr>
          <w:i/>
          <w:iCs/>
          <w:lang w:val="fr-CH"/>
        </w:rPr>
        <w:t>Questions financières et budgétaires</w:t>
      </w:r>
      <w:r w:rsidR="006344B9" w:rsidRPr="00490F76">
        <w:rPr>
          <w:lang w:val="fr-CH"/>
        </w:rPr>
        <w:t xml:space="preserve">, inscrit au budget administratif de la Convention pour 2022-2024 une ligne budgétaire intitulée « Appui aux Initiatives régionales Ramsar », </w:t>
      </w:r>
      <w:r w:rsidR="00800B46" w:rsidRPr="00490F76">
        <w:rPr>
          <w:lang w:val="fr-CH"/>
        </w:rPr>
        <w:t>afin d’accorder</w:t>
      </w:r>
      <w:r w:rsidR="006344B9" w:rsidRPr="00490F76">
        <w:rPr>
          <w:lang w:val="fr-CH"/>
        </w:rPr>
        <w:t xml:space="preserve"> un appui de </w:t>
      </w:r>
      <w:r w:rsidR="00800B46" w:rsidRPr="00490F76">
        <w:rPr>
          <w:lang w:val="fr-CH"/>
        </w:rPr>
        <w:t>départ</w:t>
      </w:r>
      <w:r w:rsidR="006344B9" w:rsidRPr="00490F76">
        <w:rPr>
          <w:lang w:val="fr-CH"/>
        </w:rPr>
        <w:t xml:space="preserve"> </w:t>
      </w:r>
      <w:r w:rsidR="00F14AFA">
        <w:rPr>
          <w:lang w:val="fr-CH"/>
        </w:rPr>
        <w:t>aux</w:t>
      </w:r>
      <w:r w:rsidR="006344B9" w:rsidRPr="00490F76">
        <w:rPr>
          <w:lang w:val="fr-CH"/>
        </w:rPr>
        <w:t xml:space="preserve"> coûts de fonctionnement des IRR établies depuis moins de six ans</w:t>
      </w:r>
      <w:r w:rsidR="00F14AFA">
        <w:rPr>
          <w:lang w:val="fr-CH"/>
        </w:rPr>
        <w:t> ;</w:t>
      </w:r>
    </w:p>
    <w:p w14:paraId="1B56E64B" w14:textId="77777777" w:rsidR="00015C8E" w:rsidRPr="00490F76" w:rsidRDefault="00015C8E" w:rsidP="00015C8E">
      <w:pPr>
        <w:rPr>
          <w:lang w:val="fr-CH"/>
        </w:rPr>
      </w:pPr>
    </w:p>
    <w:p w14:paraId="6FCD8C5B" w14:textId="6FE95A74" w:rsidR="00015C8E" w:rsidRPr="00490F76" w:rsidRDefault="00F0326E" w:rsidP="00015C8E">
      <w:pPr>
        <w:rPr>
          <w:spacing w:val="-4"/>
          <w:lang w:val="fr-CH"/>
        </w:rPr>
      </w:pPr>
      <w:r>
        <w:rPr>
          <w:spacing w:val="-4"/>
          <w:lang w:val="fr-CH"/>
        </w:rPr>
        <w:t>7</w:t>
      </w:r>
      <w:r w:rsidR="00015C8E" w:rsidRPr="00490F76">
        <w:rPr>
          <w:spacing w:val="-4"/>
          <w:lang w:val="fr-CH"/>
        </w:rPr>
        <w:t xml:space="preserve">. </w:t>
      </w:r>
      <w:r w:rsidR="00015C8E" w:rsidRPr="00490F76">
        <w:rPr>
          <w:spacing w:val="-4"/>
          <w:lang w:val="fr-CH"/>
        </w:rPr>
        <w:tab/>
      </w:r>
      <w:r w:rsidR="00800B46" w:rsidRPr="00490F76">
        <w:rPr>
          <w:lang w:val="fr-CH"/>
        </w:rPr>
        <w:t>RECONNAISSANT que MedWet est financièrement indépendante de la Convention et dispose de son propre budget provisoire pour la prochaine période triennale, figurant en annexe 1 de la présente Résolution, à titre d’information, en réponse à une requête de MedWet, et n’établissant pas de précédent pour les IRR</w:t>
      </w:r>
      <w:r w:rsidR="00F14AFA">
        <w:rPr>
          <w:lang w:val="fr-CH"/>
        </w:rPr>
        <w:t> ;</w:t>
      </w:r>
    </w:p>
    <w:p w14:paraId="63D1E93A" w14:textId="77777777" w:rsidR="00015C8E" w:rsidRPr="00490F76" w:rsidRDefault="00015C8E" w:rsidP="00015C8E">
      <w:pPr>
        <w:rPr>
          <w:lang w:val="fr-CH"/>
        </w:rPr>
      </w:pPr>
    </w:p>
    <w:p w14:paraId="06ED421F" w14:textId="7C33835F" w:rsidR="00015C8E" w:rsidRPr="00490F76" w:rsidRDefault="00A34AA7" w:rsidP="00015C8E">
      <w:pPr>
        <w:pStyle w:val="BodyText"/>
        <w:keepNext/>
        <w:widowControl/>
        <w:ind w:left="425" w:hanging="425"/>
        <w:rPr>
          <w:i/>
          <w:iCs/>
          <w:lang w:val="fr-CH"/>
        </w:rPr>
      </w:pPr>
      <w:r>
        <w:rPr>
          <w:i/>
          <w:iCs/>
          <w:lang w:val="fr-CH"/>
        </w:rPr>
        <w:lastRenderedPageBreak/>
        <w:t>Tâches concernant la période entre la COP14 et la COP15 seulement</w:t>
      </w:r>
    </w:p>
    <w:p w14:paraId="570E4FE4" w14:textId="77777777" w:rsidR="00015C8E" w:rsidRPr="00490F76" w:rsidRDefault="00015C8E" w:rsidP="00015C8E">
      <w:pPr>
        <w:rPr>
          <w:lang w:val="fr-CH"/>
        </w:rPr>
      </w:pPr>
    </w:p>
    <w:p w14:paraId="5B1BB33F" w14:textId="53812D8A" w:rsidR="00015C8E" w:rsidRPr="00490F76" w:rsidRDefault="00F0326E" w:rsidP="00015C8E">
      <w:pPr>
        <w:rPr>
          <w:lang w:val="fr-CH"/>
        </w:rPr>
      </w:pPr>
      <w:r>
        <w:rPr>
          <w:lang w:val="fr-CH"/>
        </w:rPr>
        <w:t>8</w:t>
      </w:r>
      <w:r w:rsidR="00015C8E" w:rsidRPr="00490F76">
        <w:rPr>
          <w:lang w:val="fr-CH"/>
        </w:rPr>
        <w:t>.</w:t>
      </w:r>
      <w:r w:rsidR="00015C8E" w:rsidRPr="00490F76">
        <w:rPr>
          <w:rFonts w:cs="Calibri"/>
          <w:lang w:val="fr-CH"/>
        </w:rPr>
        <w:tab/>
      </w:r>
      <w:r w:rsidR="00A34AA7">
        <w:rPr>
          <w:rFonts w:cs="Calibri"/>
          <w:lang w:val="fr-CH"/>
        </w:rPr>
        <w:t xml:space="preserve">DONNE INSTRUCTION au Secrétariat de trouver le moyen de </w:t>
      </w:r>
      <w:r w:rsidR="00F14AFA">
        <w:rPr>
          <w:rFonts w:cs="Calibri"/>
          <w:lang w:val="fr-CH"/>
        </w:rPr>
        <w:t xml:space="preserve">mettre fin </w:t>
      </w:r>
      <w:r w:rsidR="00604E42">
        <w:rPr>
          <w:rFonts w:cs="Calibri"/>
          <w:lang w:val="fr-CH"/>
        </w:rPr>
        <w:t xml:space="preserve">dès que possible </w:t>
      </w:r>
      <w:r w:rsidR="00F14AFA">
        <w:rPr>
          <w:rFonts w:cs="Calibri"/>
          <w:lang w:val="fr-CH"/>
        </w:rPr>
        <w:t>à</w:t>
      </w:r>
      <w:r w:rsidR="00A34AA7">
        <w:rPr>
          <w:rFonts w:cs="Calibri"/>
          <w:lang w:val="fr-CH"/>
        </w:rPr>
        <w:t xml:space="preserve"> sa participation au projet IKI et d’entamer des activités dans ce sens dans un délai de trois mois à partir de la clôture de la COP14. Le Secrétariat devra faire rapport sur les résultats à la première réunion du Comité permanent suivant le délai fixé pour le début des activités.</w:t>
      </w:r>
      <w:r w:rsidR="00015C8E" w:rsidRPr="00490F76">
        <w:rPr>
          <w:lang w:val="fr-CH"/>
        </w:rPr>
        <w:t xml:space="preserve"> </w:t>
      </w:r>
    </w:p>
    <w:p w14:paraId="50B8546C" w14:textId="77777777" w:rsidR="00015C8E" w:rsidRPr="00490F76" w:rsidRDefault="00015C8E" w:rsidP="00015C8E">
      <w:pPr>
        <w:rPr>
          <w:lang w:val="fr-CH"/>
        </w:rPr>
      </w:pPr>
    </w:p>
    <w:p w14:paraId="4BD8CEE7" w14:textId="1C7C2046" w:rsidR="009248C9" w:rsidRPr="00490F76" w:rsidRDefault="00F0326E" w:rsidP="00015C8E">
      <w:pPr>
        <w:rPr>
          <w:lang w:val="fr-CH"/>
        </w:rPr>
      </w:pPr>
      <w:r>
        <w:rPr>
          <w:lang w:val="fr-CH"/>
        </w:rPr>
        <w:t>9</w:t>
      </w:r>
      <w:r w:rsidR="009248C9" w:rsidRPr="00490F76">
        <w:rPr>
          <w:lang w:val="fr-CH"/>
        </w:rPr>
        <w:t>.</w:t>
      </w:r>
      <w:r w:rsidR="009248C9" w:rsidRPr="00490F76">
        <w:rPr>
          <w:rFonts w:cs="Calibri"/>
          <w:lang w:val="fr-CH"/>
        </w:rPr>
        <w:tab/>
      </w:r>
      <w:r w:rsidR="00A34AA7">
        <w:rPr>
          <w:rFonts w:cs="Calibri"/>
          <w:lang w:val="fr-CH"/>
        </w:rPr>
        <w:t xml:space="preserve">SUGGÈRE que la participation du Secrétariat au projet IKI pourrait </w:t>
      </w:r>
      <w:r w:rsidR="00802F08">
        <w:rPr>
          <w:rFonts w:cs="Calibri"/>
          <w:lang w:val="fr-CH"/>
        </w:rPr>
        <w:t>prendre fin,</w:t>
      </w:r>
      <w:r w:rsidR="00A34AA7">
        <w:rPr>
          <w:rFonts w:cs="Calibri"/>
          <w:lang w:val="fr-CH"/>
        </w:rPr>
        <w:t xml:space="preserve"> soit </w:t>
      </w:r>
      <w:r w:rsidR="00802F08">
        <w:rPr>
          <w:rFonts w:cs="Calibri"/>
          <w:lang w:val="fr-CH"/>
        </w:rPr>
        <w:t>que l’on mette</w:t>
      </w:r>
      <w:r w:rsidR="00A34AA7">
        <w:rPr>
          <w:rFonts w:cs="Calibri"/>
          <w:lang w:val="fr-CH"/>
        </w:rPr>
        <w:t xml:space="preserve"> </w:t>
      </w:r>
      <w:r w:rsidR="00802F08">
        <w:rPr>
          <w:rFonts w:cs="Calibri"/>
          <w:lang w:val="fr-CH"/>
        </w:rPr>
        <w:t xml:space="preserve">prématurément </w:t>
      </w:r>
      <w:r w:rsidR="00A34AA7">
        <w:rPr>
          <w:rFonts w:cs="Calibri"/>
          <w:lang w:val="fr-CH"/>
        </w:rPr>
        <w:t xml:space="preserve">un terme </w:t>
      </w:r>
      <w:r w:rsidR="003827AD">
        <w:rPr>
          <w:rFonts w:cs="Calibri"/>
          <w:lang w:val="fr-CH"/>
        </w:rPr>
        <w:t>au projet</w:t>
      </w:r>
      <w:r w:rsidR="00973B73">
        <w:rPr>
          <w:rFonts w:cs="Calibri"/>
          <w:lang w:val="fr-CH"/>
        </w:rPr>
        <w:t xml:space="preserve"> ou</w:t>
      </w:r>
      <w:r w:rsidR="00802F08">
        <w:rPr>
          <w:rFonts w:cs="Calibri"/>
          <w:lang w:val="fr-CH"/>
        </w:rPr>
        <w:t xml:space="preserve"> que l’on laisse</w:t>
      </w:r>
      <w:r w:rsidR="003827AD">
        <w:rPr>
          <w:rFonts w:cs="Calibri"/>
          <w:lang w:val="fr-CH"/>
        </w:rPr>
        <w:t xml:space="preserve"> une autre organisation ou le pays donateur reprendre les responsabilités assumées actuellement par le Secrétariat Ramsar, </w:t>
      </w:r>
      <w:r w:rsidR="00973B73">
        <w:rPr>
          <w:rFonts w:cs="Calibri"/>
          <w:lang w:val="fr-CH"/>
        </w:rPr>
        <w:t>soit</w:t>
      </w:r>
      <w:r w:rsidR="003827AD">
        <w:rPr>
          <w:rFonts w:cs="Calibri"/>
          <w:lang w:val="fr-CH"/>
        </w:rPr>
        <w:t xml:space="preserve"> que les Parties contractantes impliquées dans le projet IKI ou CARIWET prennent la responsabilité entière du projet, SACHANT que l’on peut trouver d’autres solutions appropriées à condition que le Secrétariat ne soit plus en train d’administrer le projet ou de faire d’autres travaux qu’il n’est pas supposé faire.</w:t>
      </w:r>
      <w:r w:rsidR="009248C9" w:rsidRPr="00490F76">
        <w:rPr>
          <w:lang w:val="fr-CH"/>
        </w:rPr>
        <w:t xml:space="preserve">  </w:t>
      </w:r>
    </w:p>
    <w:p w14:paraId="54DAEEBC" w14:textId="77777777" w:rsidR="009248C9" w:rsidRPr="00490F76" w:rsidRDefault="009248C9" w:rsidP="00015C8E">
      <w:pPr>
        <w:rPr>
          <w:lang w:val="fr-CH"/>
        </w:rPr>
      </w:pPr>
    </w:p>
    <w:p w14:paraId="4A8B9996" w14:textId="7CCB5F3D" w:rsidR="00015C8E" w:rsidRPr="00490F76" w:rsidRDefault="009248C9" w:rsidP="00015C8E">
      <w:pPr>
        <w:rPr>
          <w:lang w:val="fr-CH"/>
        </w:rPr>
      </w:pPr>
      <w:r w:rsidRPr="00490F76">
        <w:rPr>
          <w:lang w:val="fr-CH"/>
        </w:rPr>
        <w:t>1</w:t>
      </w:r>
      <w:r w:rsidR="00F0326E">
        <w:rPr>
          <w:lang w:val="fr-CH"/>
        </w:rPr>
        <w:t>0</w:t>
      </w:r>
      <w:r w:rsidR="00015C8E" w:rsidRPr="00490F76">
        <w:rPr>
          <w:lang w:val="fr-CH"/>
        </w:rPr>
        <w:t>.</w:t>
      </w:r>
      <w:r w:rsidR="00015C8E" w:rsidRPr="00490F76">
        <w:rPr>
          <w:rFonts w:cs="Calibri"/>
          <w:lang w:val="fr-CH"/>
        </w:rPr>
        <w:tab/>
      </w:r>
      <w:r w:rsidR="003827AD">
        <w:rPr>
          <w:rFonts w:cs="Calibri"/>
          <w:lang w:val="fr-CH"/>
        </w:rPr>
        <w:t xml:space="preserve">DEMANDE que toutes les Parties contractantes concernées par le projet IKI, aussi bien le pays donateur que les pays bénéficiant du projet, trouvent le moyen de mettre un terme à la participation du Secrétariat Ramsar au projet. DEMANDE AUSSI que d’autres pays participant à </w:t>
      </w:r>
      <w:r w:rsidR="00015C8E" w:rsidRPr="00490F76">
        <w:rPr>
          <w:lang w:val="fr-CH"/>
        </w:rPr>
        <w:t xml:space="preserve">CARIWET </w:t>
      </w:r>
      <w:r w:rsidR="003827AD">
        <w:rPr>
          <w:lang w:val="fr-CH"/>
        </w:rPr>
        <w:t xml:space="preserve">mais ne faisant pas partie du projet IKI garantissent que l’IRR à laquelle ils participent </w:t>
      </w:r>
      <w:r w:rsidR="00973B73">
        <w:rPr>
          <w:lang w:val="fr-CH"/>
        </w:rPr>
        <w:t>applique</w:t>
      </w:r>
      <w:r w:rsidR="003827AD">
        <w:rPr>
          <w:lang w:val="fr-CH"/>
        </w:rPr>
        <w:t xml:space="preserve"> les résolutions valables en vigueur. Voir le paragraphe 9 ci</w:t>
      </w:r>
      <w:r w:rsidR="003827AD">
        <w:rPr>
          <w:lang w:val="fr-CH"/>
        </w:rPr>
        <w:noBreakHyphen/>
        <w:t xml:space="preserve">dessus pour d’autres moyens de traiter cette question. </w:t>
      </w:r>
    </w:p>
    <w:p w14:paraId="28CE29F4" w14:textId="77777777" w:rsidR="003E788D" w:rsidRPr="00CC7C98" w:rsidRDefault="00015C8E" w:rsidP="00253AD8">
      <w:pPr>
        <w:pStyle w:val="BodyText"/>
        <w:widowControl/>
        <w:tabs>
          <w:tab w:val="left" w:pos="548"/>
        </w:tabs>
        <w:spacing w:line="232" w:lineRule="auto"/>
        <w:ind w:right="121"/>
        <w:rPr>
          <w:b/>
          <w:sz w:val="24"/>
          <w:szCs w:val="24"/>
          <w:lang w:val="fr-CA"/>
        </w:rPr>
      </w:pPr>
      <w:bookmarkStart w:id="11" w:name="_Hlk528138363"/>
      <w:r w:rsidRPr="00490F76">
        <w:rPr>
          <w:rFonts w:cs="Calibri"/>
          <w:b/>
          <w:bCs/>
          <w:lang w:val="fr-CH"/>
        </w:rPr>
        <w:br w:type="page"/>
      </w:r>
      <w:bookmarkEnd w:id="11"/>
    </w:p>
    <w:p w14:paraId="41FAE327" w14:textId="77777777" w:rsidR="002B48CE" w:rsidRPr="00F0326E" w:rsidRDefault="003E788D" w:rsidP="00253AD8">
      <w:pPr>
        <w:pStyle w:val="BodyText"/>
        <w:widowControl/>
        <w:tabs>
          <w:tab w:val="left" w:pos="548"/>
        </w:tabs>
        <w:spacing w:line="232" w:lineRule="auto"/>
        <w:ind w:right="121"/>
        <w:rPr>
          <w:b/>
          <w:sz w:val="24"/>
          <w:szCs w:val="24"/>
          <w:highlight w:val="yellow"/>
          <w:lang w:val="fr-CA"/>
        </w:rPr>
      </w:pPr>
      <w:r w:rsidRPr="00F0326E">
        <w:rPr>
          <w:b/>
          <w:sz w:val="24"/>
          <w:szCs w:val="24"/>
          <w:highlight w:val="yellow"/>
          <w:lang w:val="fr-CA"/>
        </w:rPr>
        <w:lastRenderedPageBreak/>
        <w:t xml:space="preserve">Annexe 1 – </w:t>
      </w:r>
      <w:r w:rsidR="002B48CE" w:rsidRPr="00F0326E">
        <w:rPr>
          <w:b/>
          <w:sz w:val="24"/>
          <w:szCs w:val="24"/>
          <w:highlight w:val="yellow"/>
          <w:lang w:val="fr-CA"/>
        </w:rPr>
        <w:t>(À mettre à jour par MedWet, le cas échéant, ou à supprimer)</w:t>
      </w:r>
    </w:p>
    <w:p w14:paraId="240F3498" w14:textId="6CE5ABC0" w:rsidR="003E788D" w:rsidRPr="00F0326E" w:rsidRDefault="003E788D" w:rsidP="00253AD8">
      <w:pPr>
        <w:pStyle w:val="BodyText"/>
        <w:widowControl/>
        <w:tabs>
          <w:tab w:val="left" w:pos="548"/>
        </w:tabs>
        <w:spacing w:line="232" w:lineRule="auto"/>
        <w:ind w:right="121"/>
        <w:rPr>
          <w:b/>
          <w:sz w:val="24"/>
          <w:szCs w:val="24"/>
          <w:highlight w:val="yellow"/>
          <w:lang w:val="fr-CA"/>
        </w:rPr>
      </w:pPr>
      <w:r w:rsidRPr="00F0326E">
        <w:rPr>
          <w:b/>
          <w:sz w:val="24"/>
          <w:szCs w:val="24"/>
          <w:highlight w:val="yellow"/>
          <w:lang w:val="fr-CA"/>
        </w:rPr>
        <w:t>Budget de MedWet pour la période triennale 2019-2021</w:t>
      </w:r>
    </w:p>
    <w:p w14:paraId="7661758B" w14:textId="77777777" w:rsidR="003E788D" w:rsidRPr="00F0326E" w:rsidRDefault="003E788D" w:rsidP="00BF7A4E">
      <w:pPr>
        <w:pStyle w:val="BodyText"/>
        <w:widowControl/>
        <w:tabs>
          <w:tab w:val="left" w:pos="548"/>
        </w:tabs>
        <w:spacing w:line="232" w:lineRule="auto"/>
        <w:ind w:right="121"/>
        <w:jc w:val="right"/>
        <w:rPr>
          <w:rFonts w:cs="Calibri"/>
          <w:b/>
          <w:sz w:val="24"/>
          <w:szCs w:val="24"/>
          <w:highlight w:val="yellow"/>
          <w:lang w:val="fr-CA"/>
        </w:rPr>
      </w:pPr>
    </w:p>
    <w:p w14:paraId="2DE3795C" w14:textId="77777777" w:rsidR="003E788D" w:rsidRPr="00F0326E" w:rsidRDefault="003E788D" w:rsidP="00564549">
      <w:pPr>
        <w:pStyle w:val="BodyText"/>
        <w:widowControl/>
        <w:ind w:left="567" w:hanging="567"/>
        <w:rPr>
          <w:rFonts w:cs="Calibri"/>
          <w:i/>
          <w:iCs/>
          <w:highlight w:val="yellow"/>
          <w:lang w:val="fr-CA"/>
        </w:rPr>
      </w:pPr>
      <w:r w:rsidRPr="00F0326E">
        <w:rPr>
          <w:rFonts w:cs="Calibri"/>
          <w:i/>
          <w:iCs/>
          <w:highlight w:val="yellow"/>
          <w:lang w:val="fr-CA"/>
        </w:rPr>
        <w:t>Tableau 1. Budget de fonctionnement de l’Initiative MedWet pour 2019-2021</w:t>
      </w:r>
    </w:p>
    <w:tbl>
      <w:tblPr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2"/>
        <w:gridCol w:w="1417"/>
        <w:gridCol w:w="1417"/>
        <w:gridCol w:w="1417"/>
      </w:tblGrid>
      <w:tr w:rsidR="003E788D" w:rsidRPr="00F0326E" w14:paraId="2D392876" w14:textId="77777777" w:rsidTr="005815B6">
        <w:trPr>
          <w:trHeight w:val="480"/>
        </w:trPr>
        <w:tc>
          <w:tcPr>
            <w:tcW w:w="4762" w:type="dxa"/>
            <w:shd w:val="clear" w:color="auto" w:fill="EAF1DD" w:themeFill="accent3" w:themeFillTint="33"/>
            <w:vAlign w:val="center"/>
            <w:hideMark/>
          </w:tcPr>
          <w:p w14:paraId="0AB392CB" w14:textId="77777777" w:rsidR="003E788D" w:rsidRPr="00F0326E" w:rsidRDefault="003E788D" w:rsidP="005815B6">
            <w:pPr>
              <w:rPr>
                <w:b/>
                <w:color w:val="000000"/>
                <w:highlight w:val="yellow"/>
                <w:lang w:val="fr-CA"/>
              </w:rPr>
            </w:pPr>
            <w:bookmarkStart w:id="12" w:name="OLE_LINK1"/>
            <w:r w:rsidRPr="00F0326E">
              <w:rPr>
                <w:b/>
                <w:color w:val="000000"/>
                <w:highlight w:val="yellow"/>
                <w:lang w:val="fr-CA"/>
              </w:rPr>
              <w:t>LIGNE BUDGÉTAIRE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  <w:hideMark/>
          </w:tcPr>
          <w:p w14:paraId="26133D74" w14:textId="77777777" w:rsidR="003E788D" w:rsidRPr="00F0326E" w:rsidRDefault="003E788D" w:rsidP="005815B6">
            <w:pPr>
              <w:jc w:val="center"/>
              <w:rPr>
                <w:b/>
                <w:color w:val="000000"/>
                <w:highlight w:val="yellow"/>
                <w:lang w:val="fr-CA"/>
              </w:rPr>
            </w:pPr>
            <w:r w:rsidRPr="00F0326E">
              <w:rPr>
                <w:b/>
                <w:color w:val="000000"/>
                <w:highlight w:val="yellow"/>
                <w:lang w:val="fr-CA"/>
              </w:rPr>
              <w:t>2019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  <w:hideMark/>
          </w:tcPr>
          <w:p w14:paraId="4B295E76" w14:textId="77777777" w:rsidR="003E788D" w:rsidRPr="00F0326E" w:rsidRDefault="003E788D" w:rsidP="005815B6">
            <w:pPr>
              <w:jc w:val="center"/>
              <w:rPr>
                <w:b/>
                <w:color w:val="000000"/>
                <w:highlight w:val="yellow"/>
                <w:lang w:val="fr-CA"/>
              </w:rPr>
            </w:pPr>
            <w:r w:rsidRPr="00F0326E">
              <w:rPr>
                <w:b/>
                <w:color w:val="000000"/>
                <w:highlight w:val="yellow"/>
                <w:lang w:val="fr-CA"/>
              </w:rPr>
              <w:t>2020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  <w:hideMark/>
          </w:tcPr>
          <w:p w14:paraId="0D19AE1C" w14:textId="77777777" w:rsidR="003E788D" w:rsidRPr="00F0326E" w:rsidRDefault="003E788D" w:rsidP="005815B6">
            <w:pPr>
              <w:jc w:val="center"/>
              <w:rPr>
                <w:b/>
                <w:color w:val="000000"/>
                <w:highlight w:val="yellow"/>
                <w:lang w:val="fr-CA"/>
              </w:rPr>
            </w:pPr>
            <w:r w:rsidRPr="00F0326E">
              <w:rPr>
                <w:b/>
                <w:color w:val="000000"/>
                <w:highlight w:val="yellow"/>
                <w:lang w:val="fr-CA"/>
              </w:rPr>
              <w:t>2021</w:t>
            </w:r>
          </w:p>
        </w:tc>
      </w:tr>
      <w:tr w:rsidR="003E788D" w:rsidRPr="00F0326E" w14:paraId="78AB26AF" w14:textId="77777777" w:rsidTr="005815B6">
        <w:trPr>
          <w:trHeight w:val="300"/>
        </w:trPr>
        <w:tc>
          <w:tcPr>
            <w:tcW w:w="4762" w:type="dxa"/>
            <w:shd w:val="clear" w:color="auto" w:fill="auto"/>
            <w:vAlign w:val="center"/>
          </w:tcPr>
          <w:p w14:paraId="04D20ADE" w14:textId="77777777" w:rsidR="003E788D" w:rsidRPr="00F0326E" w:rsidRDefault="003E788D" w:rsidP="005815B6">
            <w:pPr>
              <w:rPr>
                <w:b/>
                <w:color w:val="000000" w:themeColor="text1"/>
                <w:highlight w:val="yellow"/>
                <w:lang w:val="fr-C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F78B84" w14:textId="77777777" w:rsidR="003E788D" w:rsidRPr="00F0326E" w:rsidRDefault="003E788D" w:rsidP="005815B6">
            <w:pPr>
              <w:rPr>
                <w:b/>
                <w:color w:val="000000" w:themeColor="text1"/>
                <w:highlight w:val="yellow"/>
                <w:lang w:val="fr-C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B00885" w14:textId="77777777" w:rsidR="003E788D" w:rsidRPr="00F0326E" w:rsidRDefault="003E788D" w:rsidP="005815B6">
            <w:pPr>
              <w:rPr>
                <w:b/>
                <w:color w:val="000000" w:themeColor="text1"/>
                <w:highlight w:val="yellow"/>
                <w:lang w:val="fr-C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438752" w14:textId="77777777" w:rsidR="003E788D" w:rsidRPr="00F0326E" w:rsidRDefault="003E788D" w:rsidP="005815B6">
            <w:pPr>
              <w:rPr>
                <w:b/>
                <w:color w:val="000000" w:themeColor="text1"/>
                <w:highlight w:val="yellow"/>
                <w:lang w:val="fr-CA"/>
              </w:rPr>
            </w:pPr>
          </w:p>
        </w:tc>
      </w:tr>
      <w:tr w:rsidR="003E788D" w:rsidRPr="00F0326E" w14:paraId="622AA7F9" w14:textId="77777777" w:rsidTr="005815B6">
        <w:trPr>
          <w:trHeight w:val="300"/>
        </w:trPr>
        <w:tc>
          <w:tcPr>
            <w:tcW w:w="4762" w:type="dxa"/>
            <w:shd w:val="clear" w:color="auto" w:fill="FBD4B4" w:themeFill="accent6" w:themeFillTint="66"/>
            <w:vAlign w:val="center"/>
            <w:hideMark/>
          </w:tcPr>
          <w:p w14:paraId="58F7F5DE" w14:textId="77777777" w:rsidR="003E788D" w:rsidRPr="00F0326E" w:rsidRDefault="003E788D" w:rsidP="005815B6">
            <w:pPr>
              <w:rPr>
                <w:b/>
                <w:color w:val="000000" w:themeColor="text1"/>
                <w:highlight w:val="yellow"/>
                <w:lang w:val="fr-CA"/>
              </w:rPr>
            </w:pPr>
            <w:r w:rsidRPr="00F0326E">
              <w:rPr>
                <w:b/>
                <w:color w:val="000000" w:themeColor="text1"/>
                <w:highlight w:val="yellow"/>
                <w:lang w:val="fr-CA"/>
              </w:rPr>
              <w:t>DÉPENSES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  <w:hideMark/>
          </w:tcPr>
          <w:p w14:paraId="3BA02DE0" w14:textId="77777777" w:rsidR="003E788D" w:rsidRPr="00F0326E" w:rsidRDefault="003E788D" w:rsidP="005815B6">
            <w:pPr>
              <w:rPr>
                <w:b/>
                <w:color w:val="000000" w:themeColor="text1"/>
                <w:highlight w:val="yellow"/>
                <w:lang w:val="fr-CA"/>
              </w:rPr>
            </w:pPr>
            <w:r w:rsidRPr="00F0326E">
              <w:rPr>
                <w:b/>
                <w:color w:val="000000" w:themeColor="text1"/>
                <w:highlight w:val="yellow"/>
                <w:lang w:val="fr-CA"/>
              </w:rPr>
              <w:t> 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  <w:hideMark/>
          </w:tcPr>
          <w:p w14:paraId="0B0CB741" w14:textId="77777777" w:rsidR="003E788D" w:rsidRPr="00F0326E" w:rsidRDefault="003E788D" w:rsidP="005815B6">
            <w:pPr>
              <w:rPr>
                <w:b/>
                <w:color w:val="000000" w:themeColor="text1"/>
                <w:highlight w:val="yellow"/>
                <w:lang w:val="fr-CA"/>
              </w:rPr>
            </w:pPr>
            <w:r w:rsidRPr="00F0326E">
              <w:rPr>
                <w:b/>
                <w:color w:val="000000" w:themeColor="text1"/>
                <w:highlight w:val="yellow"/>
                <w:lang w:val="fr-CA"/>
              </w:rPr>
              <w:t> 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  <w:hideMark/>
          </w:tcPr>
          <w:p w14:paraId="01DEFA08" w14:textId="77777777" w:rsidR="003E788D" w:rsidRPr="00F0326E" w:rsidRDefault="003E788D" w:rsidP="005815B6">
            <w:pPr>
              <w:rPr>
                <w:b/>
                <w:color w:val="000000" w:themeColor="text1"/>
                <w:highlight w:val="yellow"/>
                <w:lang w:val="fr-CA"/>
              </w:rPr>
            </w:pPr>
            <w:r w:rsidRPr="00F0326E">
              <w:rPr>
                <w:b/>
                <w:color w:val="000000" w:themeColor="text1"/>
                <w:highlight w:val="yellow"/>
                <w:lang w:val="fr-CA"/>
              </w:rPr>
              <w:t> </w:t>
            </w:r>
          </w:p>
        </w:tc>
      </w:tr>
      <w:tr w:rsidR="003E788D" w:rsidRPr="00F0326E" w14:paraId="57F59178" w14:textId="77777777" w:rsidTr="005815B6">
        <w:trPr>
          <w:trHeight w:val="511"/>
        </w:trPr>
        <w:tc>
          <w:tcPr>
            <w:tcW w:w="4762" w:type="dxa"/>
            <w:shd w:val="clear" w:color="auto" w:fill="FDE9D9" w:themeFill="accent6" w:themeFillTint="33"/>
            <w:vAlign w:val="center"/>
            <w:hideMark/>
          </w:tcPr>
          <w:p w14:paraId="197AD59A" w14:textId="77777777" w:rsidR="003E788D" w:rsidRPr="00F0326E" w:rsidRDefault="003E788D">
            <w:pPr>
              <w:rPr>
                <w:b/>
                <w:color w:val="000000"/>
                <w:highlight w:val="yellow"/>
                <w:lang w:val="fr-CA"/>
              </w:rPr>
            </w:pPr>
            <w:r w:rsidRPr="00F0326E">
              <w:rPr>
                <w:b/>
                <w:color w:val="000000"/>
                <w:highlight w:val="yellow"/>
                <w:lang w:val="fr-CA"/>
              </w:rPr>
              <w:t>COORDONNATEUR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  <w:hideMark/>
          </w:tcPr>
          <w:p w14:paraId="18612CC5" w14:textId="77777777" w:rsidR="003E788D" w:rsidRPr="00F0326E" w:rsidRDefault="003E788D" w:rsidP="005815B6">
            <w:pPr>
              <w:rPr>
                <w:b/>
                <w:color w:val="000000"/>
                <w:highlight w:val="yellow"/>
                <w:lang w:val="fr-CA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  <w:hideMark/>
          </w:tcPr>
          <w:p w14:paraId="62FF4167" w14:textId="77777777" w:rsidR="003E788D" w:rsidRPr="00F0326E" w:rsidRDefault="003E788D" w:rsidP="005815B6">
            <w:pPr>
              <w:rPr>
                <w:b/>
                <w:color w:val="000000"/>
                <w:highlight w:val="yellow"/>
                <w:lang w:val="fr-CA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  <w:hideMark/>
          </w:tcPr>
          <w:p w14:paraId="757D0354" w14:textId="77777777" w:rsidR="003E788D" w:rsidRPr="00F0326E" w:rsidRDefault="003E788D" w:rsidP="005815B6">
            <w:pPr>
              <w:rPr>
                <w:b/>
                <w:color w:val="000000"/>
                <w:highlight w:val="yellow"/>
                <w:lang w:val="fr-CA"/>
              </w:rPr>
            </w:pPr>
          </w:p>
        </w:tc>
      </w:tr>
      <w:tr w:rsidR="003E788D" w:rsidRPr="00F0326E" w14:paraId="674AD8FD" w14:textId="77777777" w:rsidTr="005815B6">
        <w:trPr>
          <w:trHeight w:val="353"/>
        </w:trPr>
        <w:tc>
          <w:tcPr>
            <w:tcW w:w="4762" w:type="dxa"/>
            <w:shd w:val="clear" w:color="auto" w:fill="auto"/>
            <w:vAlign w:val="center"/>
            <w:hideMark/>
          </w:tcPr>
          <w:p w14:paraId="02DA8E47" w14:textId="77777777" w:rsidR="003E788D" w:rsidRPr="00F0326E" w:rsidRDefault="003E788D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Coordonnateur à temps partiel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90D991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48,000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F743C0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48,000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EF16CF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48,000</w:t>
            </w:r>
          </w:p>
        </w:tc>
      </w:tr>
      <w:tr w:rsidR="003E788D" w:rsidRPr="00F0326E" w14:paraId="7937D250" w14:textId="77777777" w:rsidTr="005815B6">
        <w:trPr>
          <w:trHeight w:val="315"/>
        </w:trPr>
        <w:tc>
          <w:tcPr>
            <w:tcW w:w="4762" w:type="dxa"/>
            <w:shd w:val="clear" w:color="000000" w:fill="FDE9D9" w:themeFill="accent6" w:themeFillTint="33"/>
            <w:vAlign w:val="center"/>
            <w:hideMark/>
          </w:tcPr>
          <w:p w14:paraId="3D73614A" w14:textId="77777777" w:rsidR="003E788D" w:rsidRPr="00F0326E" w:rsidRDefault="003E788D" w:rsidP="005815B6">
            <w:pPr>
              <w:rPr>
                <w:b/>
                <w:color w:val="000000"/>
                <w:highlight w:val="yellow"/>
                <w:lang w:val="fr-CA"/>
              </w:rPr>
            </w:pPr>
            <w:r w:rsidRPr="00F0326E">
              <w:rPr>
                <w:b/>
                <w:color w:val="000000"/>
                <w:highlight w:val="yellow"/>
                <w:lang w:val="fr-CA"/>
              </w:rPr>
              <w:t>COÛTS DU PERSONNEL</w:t>
            </w:r>
          </w:p>
        </w:tc>
        <w:tc>
          <w:tcPr>
            <w:tcW w:w="1417" w:type="dxa"/>
            <w:shd w:val="clear" w:color="000000" w:fill="FDE9D9" w:themeFill="accent6" w:themeFillTint="33"/>
            <w:vAlign w:val="center"/>
            <w:hideMark/>
          </w:tcPr>
          <w:p w14:paraId="0E6825A2" w14:textId="77777777" w:rsidR="003E788D" w:rsidRPr="00F0326E" w:rsidRDefault="003E788D" w:rsidP="005815B6">
            <w:pPr>
              <w:rPr>
                <w:b/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 </w:t>
            </w:r>
          </w:p>
        </w:tc>
        <w:tc>
          <w:tcPr>
            <w:tcW w:w="1417" w:type="dxa"/>
            <w:shd w:val="clear" w:color="000000" w:fill="FDE9D9" w:themeFill="accent6" w:themeFillTint="33"/>
            <w:vAlign w:val="center"/>
            <w:hideMark/>
          </w:tcPr>
          <w:p w14:paraId="4C7871D8" w14:textId="77777777" w:rsidR="003E788D" w:rsidRPr="00F0326E" w:rsidRDefault="003E788D" w:rsidP="005815B6">
            <w:pPr>
              <w:rPr>
                <w:b/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 </w:t>
            </w:r>
          </w:p>
        </w:tc>
        <w:tc>
          <w:tcPr>
            <w:tcW w:w="1417" w:type="dxa"/>
            <w:shd w:val="clear" w:color="000000" w:fill="FDE9D9" w:themeFill="accent6" w:themeFillTint="33"/>
            <w:vAlign w:val="center"/>
            <w:hideMark/>
          </w:tcPr>
          <w:p w14:paraId="43B45BF0" w14:textId="77777777" w:rsidR="003E788D" w:rsidRPr="00F0326E" w:rsidRDefault="003E788D" w:rsidP="005815B6">
            <w:pPr>
              <w:rPr>
                <w:b/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 </w:t>
            </w:r>
          </w:p>
        </w:tc>
      </w:tr>
      <w:tr w:rsidR="003E788D" w:rsidRPr="00F0326E" w14:paraId="5AD665B3" w14:textId="77777777" w:rsidTr="005815B6">
        <w:trPr>
          <w:trHeight w:val="396"/>
        </w:trPr>
        <w:tc>
          <w:tcPr>
            <w:tcW w:w="4762" w:type="dxa"/>
            <w:shd w:val="clear" w:color="auto" w:fill="auto"/>
            <w:vAlign w:val="center"/>
            <w:hideMark/>
          </w:tcPr>
          <w:p w14:paraId="6D8C35E1" w14:textId="77777777" w:rsidR="003E788D" w:rsidRPr="00F0326E" w:rsidRDefault="003E788D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Tous les salaires comprennent les taxes et les charge sociales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FBEB74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90,000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849E93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90,000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C45AA5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90,000</w:t>
            </w:r>
          </w:p>
        </w:tc>
      </w:tr>
      <w:tr w:rsidR="003E788D" w:rsidRPr="00F0326E" w14:paraId="07B59CAD" w14:textId="77777777" w:rsidTr="005815B6">
        <w:trPr>
          <w:trHeight w:val="315"/>
        </w:trPr>
        <w:tc>
          <w:tcPr>
            <w:tcW w:w="4762" w:type="dxa"/>
            <w:shd w:val="clear" w:color="000000" w:fill="FDE9D9" w:themeFill="accent6" w:themeFillTint="33"/>
            <w:vAlign w:val="center"/>
            <w:hideMark/>
          </w:tcPr>
          <w:p w14:paraId="6E08644F" w14:textId="77777777" w:rsidR="003E788D" w:rsidRPr="00F0326E" w:rsidRDefault="003E788D" w:rsidP="005815B6">
            <w:pPr>
              <w:rPr>
                <w:b/>
                <w:color w:val="000000"/>
                <w:highlight w:val="yellow"/>
                <w:lang w:val="fr-CA"/>
              </w:rPr>
            </w:pPr>
            <w:r w:rsidRPr="00F0326E">
              <w:rPr>
                <w:b/>
                <w:color w:val="000000"/>
                <w:highlight w:val="yellow"/>
                <w:lang w:val="fr-CA"/>
              </w:rPr>
              <w:t>EXPERTS &amp; CONSULTANTS</w:t>
            </w:r>
          </w:p>
        </w:tc>
        <w:tc>
          <w:tcPr>
            <w:tcW w:w="1417" w:type="dxa"/>
            <w:shd w:val="clear" w:color="000000" w:fill="FDE9D9" w:themeFill="accent6" w:themeFillTint="33"/>
            <w:vAlign w:val="center"/>
            <w:hideMark/>
          </w:tcPr>
          <w:p w14:paraId="52FD1433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</w:p>
        </w:tc>
        <w:tc>
          <w:tcPr>
            <w:tcW w:w="1417" w:type="dxa"/>
            <w:shd w:val="clear" w:color="000000" w:fill="FDE9D9" w:themeFill="accent6" w:themeFillTint="33"/>
            <w:vAlign w:val="center"/>
            <w:hideMark/>
          </w:tcPr>
          <w:p w14:paraId="51FCB8C6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</w:p>
        </w:tc>
        <w:tc>
          <w:tcPr>
            <w:tcW w:w="1417" w:type="dxa"/>
            <w:shd w:val="clear" w:color="000000" w:fill="FDE9D9" w:themeFill="accent6" w:themeFillTint="33"/>
            <w:vAlign w:val="center"/>
            <w:hideMark/>
          </w:tcPr>
          <w:p w14:paraId="6749725F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</w:p>
        </w:tc>
      </w:tr>
      <w:tr w:rsidR="003E788D" w:rsidRPr="00F0326E" w14:paraId="48D0AAF6" w14:textId="77777777" w:rsidTr="005815B6">
        <w:trPr>
          <w:trHeight w:val="420"/>
        </w:trPr>
        <w:tc>
          <w:tcPr>
            <w:tcW w:w="4762" w:type="dxa"/>
            <w:shd w:val="clear" w:color="auto" w:fill="auto"/>
            <w:vAlign w:val="center"/>
            <w:hideMark/>
          </w:tcPr>
          <w:p w14:paraId="5D485D7B" w14:textId="77777777" w:rsidR="003E788D" w:rsidRPr="00F0326E" w:rsidRDefault="003E788D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Besoins courants (STN, MeRSiM-Net et Com)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372036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29,000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DB7A01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29,000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E44FA7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29,000</w:t>
            </w:r>
          </w:p>
        </w:tc>
      </w:tr>
      <w:tr w:rsidR="003E788D" w:rsidRPr="00F0326E" w14:paraId="3C2BCA13" w14:textId="77777777" w:rsidTr="005815B6">
        <w:trPr>
          <w:trHeight w:val="405"/>
        </w:trPr>
        <w:tc>
          <w:tcPr>
            <w:tcW w:w="4762" w:type="dxa"/>
            <w:shd w:val="clear" w:color="auto" w:fill="auto"/>
            <w:vAlign w:val="center"/>
            <w:hideMark/>
          </w:tcPr>
          <w:p w14:paraId="083B6B6C" w14:textId="77777777" w:rsidR="003E788D" w:rsidRPr="00F0326E" w:rsidRDefault="003E788D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Autres experts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94CFB8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F1BC9A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DD5C53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3,000</w:t>
            </w:r>
          </w:p>
        </w:tc>
      </w:tr>
      <w:tr w:rsidR="003E788D" w:rsidRPr="00F0326E" w14:paraId="2DCCDB73" w14:textId="77777777" w:rsidTr="005815B6">
        <w:trPr>
          <w:trHeight w:val="315"/>
        </w:trPr>
        <w:tc>
          <w:tcPr>
            <w:tcW w:w="4762" w:type="dxa"/>
            <w:shd w:val="clear" w:color="000000" w:fill="FDE9D9" w:themeFill="accent6" w:themeFillTint="33"/>
            <w:vAlign w:val="center"/>
            <w:hideMark/>
          </w:tcPr>
          <w:p w14:paraId="76F4005C" w14:textId="77777777" w:rsidR="003E788D" w:rsidRPr="00F0326E" w:rsidRDefault="003E788D" w:rsidP="005815B6">
            <w:pPr>
              <w:rPr>
                <w:b/>
                <w:color w:val="000000"/>
                <w:highlight w:val="yellow"/>
                <w:lang w:val="fr-CA"/>
              </w:rPr>
            </w:pPr>
            <w:r w:rsidRPr="00F0326E">
              <w:rPr>
                <w:b/>
                <w:color w:val="000000"/>
                <w:highlight w:val="yellow"/>
                <w:lang w:val="fr-CA"/>
              </w:rPr>
              <w:t>VOYAGES OFFICIELS</w:t>
            </w:r>
          </w:p>
        </w:tc>
        <w:tc>
          <w:tcPr>
            <w:tcW w:w="1417" w:type="dxa"/>
            <w:shd w:val="clear" w:color="000000" w:fill="FDE9D9" w:themeFill="accent6" w:themeFillTint="33"/>
            <w:vAlign w:val="center"/>
            <w:hideMark/>
          </w:tcPr>
          <w:p w14:paraId="09BEB1E0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</w:p>
        </w:tc>
        <w:tc>
          <w:tcPr>
            <w:tcW w:w="1417" w:type="dxa"/>
            <w:shd w:val="clear" w:color="000000" w:fill="FDE9D9" w:themeFill="accent6" w:themeFillTint="33"/>
            <w:vAlign w:val="center"/>
            <w:hideMark/>
          </w:tcPr>
          <w:p w14:paraId="73BA99CA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</w:p>
        </w:tc>
        <w:tc>
          <w:tcPr>
            <w:tcW w:w="1417" w:type="dxa"/>
            <w:shd w:val="clear" w:color="000000" w:fill="FDE9D9" w:themeFill="accent6" w:themeFillTint="33"/>
            <w:vAlign w:val="center"/>
            <w:hideMark/>
          </w:tcPr>
          <w:p w14:paraId="58AADC28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</w:p>
        </w:tc>
      </w:tr>
      <w:tr w:rsidR="003E788D" w:rsidRPr="00F0326E" w14:paraId="56BE1B24" w14:textId="77777777" w:rsidTr="005815B6">
        <w:trPr>
          <w:trHeight w:val="315"/>
        </w:trPr>
        <w:tc>
          <w:tcPr>
            <w:tcW w:w="4762" w:type="dxa"/>
            <w:shd w:val="clear" w:color="auto" w:fill="auto"/>
            <w:vAlign w:val="center"/>
            <w:hideMark/>
          </w:tcPr>
          <w:p w14:paraId="270B9A5A" w14:textId="77777777" w:rsidR="003E788D" w:rsidRPr="00F0326E" w:rsidRDefault="003E788D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Coordonnateur MedWet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2D44CB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6,000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B4C7E8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6,000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65F6EA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6,000</w:t>
            </w:r>
          </w:p>
        </w:tc>
      </w:tr>
      <w:tr w:rsidR="003E788D" w:rsidRPr="00F0326E" w14:paraId="01D754F9" w14:textId="77777777" w:rsidTr="005815B6">
        <w:trPr>
          <w:trHeight w:val="315"/>
        </w:trPr>
        <w:tc>
          <w:tcPr>
            <w:tcW w:w="4762" w:type="dxa"/>
            <w:shd w:val="clear" w:color="auto" w:fill="auto"/>
            <w:vAlign w:val="center"/>
            <w:hideMark/>
          </w:tcPr>
          <w:p w14:paraId="56240D64" w14:textId="77777777" w:rsidR="003E788D" w:rsidRPr="00F0326E" w:rsidRDefault="003E788D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Personnel du Secrétariat MedWet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22A2F3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4,000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D21428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4,000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5BE7C6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4,000</w:t>
            </w:r>
          </w:p>
        </w:tc>
      </w:tr>
      <w:tr w:rsidR="003E788D" w:rsidRPr="00F0326E" w14:paraId="45C42488" w14:textId="77777777" w:rsidTr="005815B6">
        <w:trPr>
          <w:trHeight w:val="315"/>
        </w:trPr>
        <w:tc>
          <w:tcPr>
            <w:tcW w:w="4762" w:type="dxa"/>
            <w:shd w:val="clear" w:color="auto" w:fill="auto"/>
            <w:vAlign w:val="center"/>
            <w:hideMark/>
          </w:tcPr>
          <w:p w14:paraId="3CE39738" w14:textId="77777777" w:rsidR="003E788D" w:rsidRPr="00F0326E" w:rsidRDefault="003E788D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MedWet/Com et MedWet/SG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2D131F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43333A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10FCEF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15,000</w:t>
            </w:r>
          </w:p>
        </w:tc>
      </w:tr>
      <w:tr w:rsidR="003E788D" w:rsidRPr="00F0326E" w14:paraId="6D082907" w14:textId="77777777" w:rsidTr="005815B6">
        <w:trPr>
          <w:trHeight w:val="315"/>
        </w:trPr>
        <w:tc>
          <w:tcPr>
            <w:tcW w:w="4762" w:type="dxa"/>
            <w:shd w:val="clear" w:color="000000" w:fill="FDE9D9" w:themeFill="accent6" w:themeFillTint="33"/>
            <w:vAlign w:val="center"/>
            <w:hideMark/>
          </w:tcPr>
          <w:p w14:paraId="10BA48BB" w14:textId="77777777" w:rsidR="003E788D" w:rsidRPr="00F0326E" w:rsidRDefault="003E788D" w:rsidP="005815B6">
            <w:pPr>
              <w:rPr>
                <w:b/>
                <w:color w:val="000000"/>
                <w:highlight w:val="yellow"/>
                <w:lang w:val="fr-CA"/>
              </w:rPr>
            </w:pPr>
            <w:r w:rsidRPr="00F0326E">
              <w:rPr>
                <w:b/>
                <w:color w:val="000000"/>
                <w:highlight w:val="yellow"/>
                <w:lang w:val="fr-CA"/>
              </w:rPr>
              <w:t>FRAIS DE BUREAU</w:t>
            </w:r>
          </w:p>
        </w:tc>
        <w:tc>
          <w:tcPr>
            <w:tcW w:w="1417" w:type="dxa"/>
            <w:shd w:val="clear" w:color="000000" w:fill="FDE9D9" w:themeFill="accent6" w:themeFillTint="33"/>
            <w:vAlign w:val="center"/>
            <w:hideMark/>
          </w:tcPr>
          <w:p w14:paraId="5584E0CF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</w:p>
        </w:tc>
        <w:tc>
          <w:tcPr>
            <w:tcW w:w="1417" w:type="dxa"/>
            <w:shd w:val="clear" w:color="000000" w:fill="FDE9D9" w:themeFill="accent6" w:themeFillTint="33"/>
            <w:vAlign w:val="center"/>
            <w:hideMark/>
          </w:tcPr>
          <w:p w14:paraId="65B14BD9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</w:p>
        </w:tc>
        <w:tc>
          <w:tcPr>
            <w:tcW w:w="1417" w:type="dxa"/>
            <w:shd w:val="clear" w:color="000000" w:fill="FDE9D9" w:themeFill="accent6" w:themeFillTint="33"/>
            <w:vAlign w:val="center"/>
            <w:hideMark/>
          </w:tcPr>
          <w:p w14:paraId="5DB7BE30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</w:p>
        </w:tc>
      </w:tr>
      <w:tr w:rsidR="003E788D" w:rsidRPr="00F0326E" w14:paraId="17F9AB2C" w14:textId="77777777" w:rsidTr="005815B6">
        <w:trPr>
          <w:trHeight w:val="315"/>
        </w:trPr>
        <w:tc>
          <w:tcPr>
            <w:tcW w:w="4762" w:type="dxa"/>
            <w:shd w:val="clear" w:color="auto" w:fill="auto"/>
            <w:vAlign w:val="center"/>
            <w:hideMark/>
          </w:tcPr>
          <w:p w14:paraId="6D1AD977" w14:textId="77777777" w:rsidR="003E788D" w:rsidRPr="00F0326E" w:rsidRDefault="003E788D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Administration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15A809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18,000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DC3A35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18,000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B1F464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18,000</w:t>
            </w:r>
          </w:p>
        </w:tc>
      </w:tr>
      <w:tr w:rsidR="003E788D" w:rsidRPr="00F0326E" w14:paraId="352366FF" w14:textId="77777777" w:rsidTr="005815B6">
        <w:trPr>
          <w:trHeight w:val="315"/>
        </w:trPr>
        <w:tc>
          <w:tcPr>
            <w:tcW w:w="4762" w:type="dxa"/>
            <w:shd w:val="clear" w:color="000000" w:fill="FDE9D9" w:themeFill="accent6" w:themeFillTint="33"/>
            <w:vAlign w:val="center"/>
            <w:hideMark/>
          </w:tcPr>
          <w:p w14:paraId="602880C9" w14:textId="77777777" w:rsidR="003E788D" w:rsidRPr="00F0326E" w:rsidRDefault="003E788D" w:rsidP="005815B6">
            <w:pPr>
              <w:rPr>
                <w:b/>
                <w:color w:val="000000"/>
                <w:highlight w:val="yellow"/>
                <w:lang w:val="fr-CA"/>
              </w:rPr>
            </w:pPr>
            <w:r w:rsidRPr="00F0326E">
              <w:rPr>
                <w:b/>
                <w:color w:val="000000"/>
                <w:highlight w:val="yellow"/>
                <w:lang w:val="fr-CA"/>
              </w:rPr>
              <w:t>SERVICES DE COMMUNICATION</w:t>
            </w:r>
          </w:p>
        </w:tc>
        <w:tc>
          <w:tcPr>
            <w:tcW w:w="1417" w:type="dxa"/>
            <w:shd w:val="clear" w:color="000000" w:fill="FDE9D9" w:themeFill="accent6" w:themeFillTint="33"/>
            <w:vAlign w:val="center"/>
            <w:hideMark/>
          </w:tcPr>
          <w:p w14:paraId="0CE19C01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</w:p>
        </w:tc>
        <w:tc>
          <w:tcPr>
            <w:tcW w:w="1417" w:type="dxa"/>
            <w:shd w:val="clear" w:color="000000" w:fill="FDE9D9" w:themeFill="accent6" w:themeFillTint="33"/>
            <w:vAlign w:val="center"/>
            <w:hideMark/>
          </w:tcPr>
          <w:p w14:paraId="462A84F1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</w:p>
        </w:tc>
        <w:tc>
          <w:tcPr>
            <w:tcW w:w="1417" w:type="dxa"/>
            <w:shd w:val="clear" w:color="000000" w:fill="FDE9D9" w:themeFill="accent6" w:themeFillTint="33"/>
            <w:vAlign w:val="center"/>
            <w:hideMark/>
          </w:tcPr>
          <w:p w14:paraId="683ADC54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</w:p>
        </w:tc>
      </w:tr>
      <w:tr w:rsidR="003E788D" w:rsidRPr="00F0326E" w14:paraId="107E65F8" w14:textId="77777777" w:rsidTr="005815B6">
        <w:trPr>
          <w:trHeight w:val="315"/>
        </w:trPr>
        <w:tc>
          <w:tcPr>
            <w:tcW w:w="4762" w:type="dxa"/>
            <w:shd w:val="clear" w:color="auto" w:fill="auto"/>
            <w:vAlign w:val="center"/>
            <w:hideMark/>
          </w:tcPr>
          <w:p w14:paraId="2A330E5E" w14:textId="77777777" w:rsidR="003E788D" w:rsidRPr="00F0326E" w:rsidRDefault="003E788D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Site web &amp; diffusion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BAFBCD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1,500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5A9E2C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1,500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72C864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1,500</w:t>
            </w:r>
          </w:p>
        </w:tc>
      </w:tr>
      <w:tr w:rsidR="003E788D" w:rsidRPr="00F0326E" w14:paraId="5A520309" w14:textId="77777777" w:rsidTr="005815B6">
        <w:trPr>
          <w:trHeight w:val="315"/>
        </w:trPr>
        <w:tc>
          <w:tcPr>
            <w:tcW w:w="4762" w:type="dxa"/>
            <w:shd w:val="clear" w:color="auto" w:fill="auto"/>
            <w:vAlign w:val="center"/>
            <w:hideMark/>
          </w:tcPr>
          <w:p w14:paraId="5C1A9310" w14:textId="77777777" w:rsidR="003E788D" w:rsidRPr="00F0326E" w:rsidRDefault="003E788D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Outils de communication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88C0F5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3,500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5F18F2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3,500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4CE0A0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3,500</w:t>
            </w:r>
          </w:p>
        </w:tc>
      </w:tr>
      <w:tr w:rsidR="003E788D" w:rsidRPr="00F0326E" w14:paraId="2A2CF905" w14:textId="77777777" w:rsidTr="005815B6">
        <w:trPr>
          <w:trHeight w:val="315"/>
        </w:trPr>
        <w:tc>
          <w:tcPr>
            <w:tcW w:w="4762" w:type="dxa"/>
            <w:shd w:val="clear" w:color="000000" w:fill="FDE9D9" w:themeFill="accent6" w:themeFillTint="33"/>
            <w:vAlign w:val="center"/>
            <w:hideMark/>
          </w:tcPr>
          <w:p w14:paraId="174B50DB" w14:textId="77777777" w:rsidR="003E788D" w:rsidRPr="00F0326E" w:rsidRDefault="003E788D" w:rsidP="005815B6">
            <w:pPr>
              <w:rPr>
                <w:b/>
                <w:color w:val="000000"/>
                <w:highlight w:val="yellow"/>
                <w:lang w:val="fr-CA"/>
              </w:rPr>
            </w:pPr>
            <w:r w:rsidRPr="00F0326E">
              <w:rPr>
                <w:b/>
                <w:color w:val="000000"/>
                <w:highlight w:val="yellow"/>
                <w:lang w:val="fr-CA"/>
              </w:rPr>
              <w:t>DIVERS</w:t>
            </w:r>
          </w:p>
        </w:tc>
        <w:tc>
          <w:tcPr>
            <w:tcW w:w="1417" w:type="dxa"/>
            <w:shd w:val="clear" w:color="000000" w:fill="FDE9D9" w:themeFill="accent6" w:themeFillTint="33"/>
            <w:vAlign w:val="center"/>
            <w:hideMark/>
          </w:tcPr>
          <w:p w14:paraId="3F69B135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</w:p>
        </w:tc>
        <w:tc>
          <w:tcPr>
            <w:tcW w:w="1417" w:type="dxa"/>
            <w:shd w:val="clear" w:color="000000" w:fill="FDE9D9" w:themeFill="accent6" w:themeFillTint="33"/>
            <w:vAlign w:val="center"/>
            <w:hideMark/>
          </w:tcPr>
          <w:p w14:paraId="54C01B50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</w:p>
        </w:tc>
        <w:tc>
          <w:tcPr>
            <w:tcW w:w="1417" w:type="dxa"/>
            <w:shd w:val="clear" w:color="000000" w:fill="FDE9D9" w:themeFill="accent6" w:themeFillTint="33"/>
            <w:vAlign w:val="center"/>
            <w:hideMark/>
          </w:tcPr>
          <w:p w14:paraId="68E4BCD4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</w:p>
        </w:tc>
      </w:tr>
      <w:tr w:rsidR="003E788D" w:rsidRPr="00F0326E" w14:paraId="14C39B12" w14:textId="77777777" w:rsidTr="005815B6">
        <w:trPr>
          <w:trHeight w:val="315"/>
        </w:trPr>
        <w:tc>
          <w:tcPr>
            <w:tcW w:w="4762" w:type="dxa"/>
            <w:shd w:val="clear" w:color="auto" w:fill="auto"/>
            <w:vAlign w:val="center"/>
            <w:hideMark/>
          </w:tcPr>
          <w:p w14:paraId="1A59ECCA" w14:textId="77777777" w:rsidR="003E788D" w:rsidRPr="00F0326E" w:rsidRDefault="003E788D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Dépenses diverses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DDCF2A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2,000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612034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2,500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1D293B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2,000</w:t>
            </w:r>
          </w:p>
        </w:tc>
      </w:tr>
      <w:tr w:rsidR="003E788D" w:rsidRPr="00F0326E" w14:paraId="3BEE35D3" w14:textId="77777777" w:rsidTr="005815B6">
        <w:trPr>
          <w:trHeight w:val="555"/>
        </w:trPr>
        <w:tc>
          <w:tcPr>
            <w:tcW w:w="4762" w:type="dxa"/>
            <w:shd w:val="clear" w:color="000000" w:fill="FBD4B4" w:themeFill="accent6" w:themeFillTint="66"/>
            <w:vAlign w:val="center"/>
            <w:hideMark/>
          </w:tcPr>
          <w:p w14:paraId="2F20C4D3" w14:textId="77777777" w:rsidR="003E788D" w:rsidRPr="00F0326E" w:rsidRDefault="003E788D" w:rsidP="005815B6">
            <w:pPr>
              <w:rPr>
                <w:b/>
                <w:color w:val="000000" w:themeColor="text1"/>
                <w:highlight w:val="yellow"/>
                <w:lang w:val="fr-CA"/>
              </w:rPr>
            </w:pPr>
            <w:r w:rsidRPr="00F0326E">
              <w:rPr>
                <w:b/>
                <w:color w:val="000000" w:themeColor="text1"/>
                <w:highlight w:val="yellow"/>
                <w:lang w:val="fr-CA"/>
              </w:rPr>
              <w:t xml:space="preserve">DÉPENSES TOTALES </w:t>
            </w:r>
          </w:p>
        </w:tc>
        <w:tc>
          <w:tcPr>
            <w:tcW w:w="1417" w:type="dxa"/>
            <w:shd w:val="clear" w:color="000000" w:fill="FBD4B4" w:themeFill="accent6" w:themeFillTint="66"/>
            <w:vAlign w:val="center"/>
            <w:hideMark/>
          </w:tcPr>
          <w:p w14:paraId="172BB0D7" w14:textId="77777777" w:rsidR="003E788D" w:rsidRPr="00F0326E" w:rsidRDefault="003E788D" w:rsidP="005815B6">
            <w:pPr>
              <w:jc w:val="right"/>
              <w:rPr>
                <w:b/>
                <w:color w:val="000000" w:themeColor="text1"/>
                <w:highlight w:val="yellow"/>
                <w:lang w:val="fr-CA"/>
              </w:rPr>
            </w:pPr>
            <w:r w:rsidRPr="00F0326E">
              <w:rPr>
                <w:b/>
                <w:color w:val="000000" w:themeColor="text1"/>
                <w:highlight w:val="yellow"/>
                <w:lang w:val="fr-CA"/>
              </w:rPr>
              <w:t xml:space="preserve"> 208,000   </w:t>
            </w:r>
          </w:p>
        </w:tc>
        <w:tc>
          <w:tcPr>
            <w:tcW w:w="1417" w:type="dxa"/>
            <w:shd w:val="clear" w:color="000000" w:fill="FBD4B4" w:themeFill="accent6" w:themeFillTint="66"/>
            <w:vAlign w:val="center"/>
            <w:hideMark/>
          </w:tcPr>
          <w:p w14:paraId="022BE7F3" w14:textId="77777777" w:rsidR="003E788D" w:rsidRPr="00F0326E" w:rsidRDefault="003E788D" w:rsidP="005815B6">
            <w:pPr>
              <w:jc w:val="right"/>
              <w:rPr>
                <w:b/>
                <w:color w:val="000000" w:themeColor="text1"/>
                <w:highlight w:val="yellow"/>
                <w:lang w:val="fr-CA"/>
              </w:rPr>
            </w:pPr>
            <w:r w:rsidRPr="00F0326E">
              <w:rPr>
                <w:b/>
                <w:color w:val="000000" w:themeColor="text1"/>
                <w:highlight w:val="yellow"/>
                <w:lang w:val="fr-CA"/>
              </w:rPr>
              <w:t xml:space="preserve">211,500   </w:t>
            </w:r>
          </w:p>
        </w:tc>
        <w:tc>
          <w:tcPr>
            <w:tcW w:w="1417" w:type="dxa"/>
            <w:shd w:val="clear" w:color="000000" w:fill="FBD4B4" w:themeFill="accent6" w:themeFillTint="66"/>
            <w:vAlign w:val="center"/>
            <w:hideMark/>
          </w:tcPr>
          <w:p w14:paraId="696DFF76" w14:textId="77777777" w:rsidR="003E788D" w:rsidRPr="00F0326E" w:rsidRDefault="003E788D" w:rsidP="005815B6">
            <w:pPr>
              <w:jc w:val="right"/>
              <w:rPr>
                <w:b/>
                <w:color w:val="000000" w:themeColor="text1"/>
                <w:highlight w:val="yellow"/>
                <w:lang w:val="fr-CA"/>
              </w:rPr>
            </w:pPr>
            <w:r w:rsidRPr="00F0326E">
              <w:rPr>
                <w:b/>
                <w:color w:val="000000" w:themeColor="text1"/>
                <w:highlight w:val="yellow"/>
                <w:lang w:val="fr-CA"/>
              </w:rPr>
              <w:t xml:space="preserve">220,000   </w:t>
            </w:r>
          </w:p>
        </w:tc>
      </w:tr>
      <w:tr w:rsidR="003E788D" w:rsidRPr="00F0326E" w14:paraId="0BC8E63A" w14:textId="77777777" w:rsidTr="005815B6">
        <w:trPr>
          <w:trHeight w:val="349"/>
        </w:trPr>
        <w:tc>
          <w:tcPr>
            <w:tcW w:w="4762" w:type="dxa"/>
            <w:shd w:val="clear" w:color="000000" w:fill="B6DDE8" w:themeFill="accent5" w:themeFillTint="66"/>
            <w:vAlign w:val="center"/>
            <w:hideMark/>
          </w:tcPr>
          <w:p w14:paraId="3C93B5F8" w14:textId="77777777" w:rsidR="003E788D" w:rsidRPr="00F0326E" w:rsidRDefault="003E788D" w:rsidP="005815B6">
            <w:pPr>
              <w:rPr>
                <w:b/>
                <w:color w:val="000000" w:themeColor="text1"/>
                <w:highlight w:val="yellow"/>
                <w:lang w:val="fr-CA"/>
              </w:rPr>
            </w:pPr>
            <w:r w:rsidRPr="00F0326E">
              <w:rPr>
                <w:b/>
                <w:color w:val="000000" w:themeColor="text1"/>
                <w:highlight w:val="yellow"/>
                <w:lang w:val="fr-CA"/>
              </w:rPr>
              <w:t>REVENU</w:t>
            </w:r>
          </w:p>
        </w:tc>
        <w:tc>
          <w:tcPr>
            <w:tcW w:w="1417" w:type="dxa"/>
            <w:shd w:val="clear" w:color="000000" w:fill="B6DDE8" w:themeFill="accent5" w:themeFillTint="66"/>
            <w:vAlign w:val="center"/>
            <w:hideMark/>
          </w:tcPr>
          <w:p w14:paraId="09B8CE87" w14:textId="77777777" w:rsidR="003E788D" w:rsidRPr="00F0326E" w:rsidRDefault="003E788D" w:rsidP="005815B6">
            <w:pPr>
              <w:jc w:val="right"/>
              <w:rPr>
                <w:color w:val="000000" w:themeColor="text1"/>
                <w:highlight w:val="yellow"/>
                <w:lang w:val="fr-CA"/>
              </w:rPr>
            </w:pPr>
          </w:p>
        </w:tc>
        <w:tc>
          <w:tcPr>
            <w:tcW w:w="1417" w:type="dxa"/>
            <w:shd w:val="clear" w:color="000000" w:fill="B6DDE8" w:themeFill="accent5" w:themeFillTint="66"/>
            <w:vAlign w:val="center"/>
            <w:hideMark/>
          </w:tcPr>
          <w:p w14:paraId="11D7C5F2" w14:textId="77777777" w:rsidR="003E788D" w:rsidRPr="00F0326E" w:rsidRDefault="003E788D" w:rsidP="005815B6">
            <w:pPr>
              <w:jc w:val="right"/>
              <w:rPr>
                <w:color w:val="000000" w:themeColor="text1"/>
                <w:highlight w:val="yellow"/>
                <w:lang w:val="fr-CA"/>
              </w:rPr>
            </w:pPr>
          </w:p>
        </w:tc>
        <w:tc>
          <w:tcPr>
            <w:tcW w:w="1417" w:type="dxa"/>
            <w:shd w:val="clear" w:color="000000" w:fill="B6DDE8" w:themeFill="accent5" w:themeFillTint="66"/>
            <w:vAlign w:val="center"/>
            <w:hideMark/>
          </w:tcPr>
          <w:p w14:paraId="1DD19189" w14:textId="77777777" w:rsidR="003E788D" w:rsidRPr="00F0326E" w:rsidRDefault="003E788D" w:rsidP="005815B6">
            <w:pPr>
              <w:jc w:val="right"/>
              <w:rPr>
                <w:color w:val="000000" w:themeColor="text1"/>
                <w:highlight w:val="yellow"/>
                <w:lang w:val="fr-CA"/>
              </w:rPr>
            </w:pPr>
          </w:p>
        </w:tc>
      </w:tr>
      <w:tr w:rsidR="003E788D" w:rsidRPr="00F0326E" w14:paraId="07F22CDC" w14:textId="77777777" w:rsidTr="005815B6">
        <w:trPr>
          <w:trHeight w:val="343"/>
        </w:trPr>
        <w:tc>
          <w:tcPr>
            <w:tcW w:w="4762" w:type="dxa"/>
            <w:shd w:val="clear" w:color="auto" w:fill="auto"/>
            <w:vAlign w:val="center"/>
            <w:hideMark/>
          </w:tcPr>
          <w:p w14:paraId="3534EE0D" w14:textId="77777777" w:rsidR="003E788D" w:rsidRPr="00F0326E" w:rsidRDefault="003E788D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Contribution des pays MedWet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9D3E4A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129,378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6B875C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129,378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348C2A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129,378</w:t>
            </w:r>
          </w:p>
        </w:tc>
      </w:tr>
      <w:tr w:rsidR="003E788D" w:rsidRPr="00F0326E" w14:paraId="391CCDE1" w14:textId="77777777" w:rsidTr="005815B6">
        <w:trPr>
          <w:trHeight w:val="315"/>
        </w:trPr>
        <w:tc>
          <w:tcPr>
            <w:tcW w:w="4762" w:type="dxa"/>
            <w:shd w:val="clear" w:color="auto" w:fill="auto"/>
            <w:vAlign w:val="center"/>
            <w:hideMark/>
          </w:tcPr>
          <w:p w14:paraId="70AFA24D" w14:textId="77777777" w:rsidR="003E788D" w:rsidRPr="00F0326E" w:rsidRDefault="003E788D" w:rsidP="005815B6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Agence de l'Eau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F24E86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15,000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BB2966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2FE2CE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</w:p>
        </w:tc>
      </w:tr>
      <w:tr w:rsidR="003E788D" w:rsidRPr="00F0326E" w14:paraId="6CC75126" w14:textId="77777777" w:rsidTr="005815B6">
        <w:trPr>
          <w:trHeight w:val="315"/>
        </w:trPr>
        <w:tc>
          <w:tcPr>
            <w:tcW w:w="4762" w:type="dxa"/>
            <w:shd w:val="clear" w:color="auto" w:fill="auto"/>
            <w:vAlign w:val="center"/>
            <w:hideMark/>
          </w:tcPr>
          <w:p w14:paraId="211310CC" w14:textId="77777777" w:rsidR="003E788D" w:rsidRPr="00F0326E" w:rsidRDefault="003E788D">
            <w:pPr>
              <w:jc w:val="both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À obtenir de donateurs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7836B3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 89.122,00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D77400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 107.622,00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8A1153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 116.122,00   </w:t>
            </w:r>
          </w:p>
        </w:tc>
      </w:tr>
      <w:tr w:rsidR="003E788D" w:rsidRPr="00F0326E" w14:paraId="1D9DFA9B" w14:textId="77777777" w:rsidTr="005815B6">
        <w:trPr>
          <w:trHeight w:val="413"/>
        </w:trPr>
        <w:tc>
          <w:tcPr>
            <w:tcW w:w="4762" w:type="dxa"/>
            <w:shd w:val="clear" w:color="000000" w:fill="B6DDE8" w:themeFill="accent5" w:themeFillTint="66"/>
            <w:vAlign w:val="center"/>
            <w:hideMark/>
          </w:tcPr>
          <w:p w14:paraId="35812141" w14:textId="77777777" w:rsidR="003E788D" w:rsidRPr="00F0326E" w:rsidRDefault="003E788D">
            <w:pPr>
              <w:rPr>
                <w:b/>
                <w:color w:val="000000" w:themeColor="text1"/>
                <w:highlight w:val="yellow"/>
                <w:lang w:val="fr-CA"/>
              </w:rPr>
            </w:pPr>
            <w:r w:rsidRPr="00F0326E">
              <w:rPr>
                <w:b/>
                <w:color w:val="000000" w:themeColor="text1"/>
                <w:highlight w:val="yellow"/>
                <w:lang w:val="fr-CA"/>
              </w:rPr>
              <w:t xml:space="preserve">REVENU TOTAL </w:t>
            </w:r>
          </w:p>
        </w:tc>
        <w:tc>
          <w:tcPr>
            <w:tcW w:w="1417" w:type="dxa"/>
            <w:shd w:val="clear" w:color="000000" w:fill="B6DDE8" w:themeFill="accent5" w:themeFillTint="66"/>
            <w:vAlign w:val="center"/>
            <w:hideMark/>
          </w:tcPr>
          <w:p w14:paraId="35E59D98" w14:textId="77777777" w:rsidR="003E788D" w:rsidRPr="00F0326E" w:rsidRDefault="003E788D" w:rsidP="005815B6">
            <w:pPr>
              <w:jc w:val="right"/>
              <w:rPr>
                <w:b/>
                <w:color w:val="000000" w:themeColor="text1"/>
                <w:highlight w:val="yellow"/>
                <w:lang w:val="fr-CA"/>
              </w:rPr>
            </w:pPr>
            <w:r w:rsidRPr="00F0326E">
              <w:rPr>
                <w:b/>
                <w:color w:val="000000" w:themeColor="text1"/>
                <w:highlight w:val="yellow"/>
                <w:lang w:val="fr-CA"/>
              </w:rPr>
              <w:t>208,000</w:t>
            </w:r>
          </w:p>
        </w:tc>
        <w:tc>
          <w:tcPr>
            <w:tcW w:w="1417" w:type="dxa"/>
            <w:shd w:val="clear" w:color="000000" w:fill="B6DDE8" w:themeFill="accent5" w:themeFillTint="66"/>
            <w:vAlign w:val="center"/>
            <w:hideMark/>
          </w:tcPr>
          <w:p w14:paraId="44DBA809" w14:textId="77777777" w:rsidR="003E788D" w:rsidRPr="00F0326E" w:rsidRDefault="003E788D" w:rsidP="005815B6">
            <w:pPr>
              <w:jc w:val="right"/>
              <w:rPr>
                <w:b/>
                <w:color w:val="000000" w:themeColor="text1"/>
                <w:highlight w:val="yellow"/>
                <w:lang w:val="fr-CA"/>
              </w:rPr>
            </w:pPr>
            <w:r w:rsidRPr="00F0326E">
              <w:rPr>
                <w:b/>
                <w:color w:val="000000" w:themeColor="text1"/>
                <w:highlight w:val="yellow"/>
                <w:lang w:val="fr-CA"/>
              </w:rPr>
              <w:t>211,500</w:t>
            </w:r>
          </w:p>
        </w:tc>
        <w:tc>
          <w:tcPr>
            <w:tcW w:w="1417" w:type="dxa"/>
            <w:shd w:val="clear" w:color="000000" w:fill="B6DDE8" w:themeFill="accent5" w:themeFillTint="66"/>
            <w:vAlign w:val="center"/>
            <w:hideMark/>
          </w:tcPr>
          <w:p w14:paraId="39CA369D" w14:textId="77777777" w:rsidR="003E788D" w:rsidRPr="00F0326E" w:rsidRDefault="003E788D" w:rsidP="005815B6">
            <w:pPr>
              <w:jc w:val="right"/>
              <w:rPr>
                <w:b/>
                <w:color w:val="000000" w:themeColor="text1"/>
                <w:highlight w:val="yellow"/>
                <w:lang w:val="fr-CA"/>
              </w:rPr>
            </w:pPr>
            <w:r w:rsidRPr="00F0326E">
              <w:rPr>
                <w:b/>
                <w:color w:val="000000" w:themeColor="text1"/>
                <w:highlight w:val="yellow"/>
                <w:lang w:val="fr-CA"/>
              </w:rPr>
              <w:t>220,000</w:t>
            </w:r>
          </w:p>
        </w:tc>
      </w:tr>
      <w:bookmarkEnd w:id="12"/>
    </w:tbl>
    <w:p w14:paraId="50A3D06B" w14:textId="77777777" w:rsidR="003E788D" w:rsidRPr="00F0326E" w:rsidRDefault="003E788D" w:rsidP="00447020">
      <w:pPr>
        <w:pStyle w:val="BodyText"/>
        <w:widowControl/>
        <w:spacing w:line="232" w:lineRule="auto"/>
        <w:ind w:left="709" w:right="121" w:hanging="709"/>
        <w:rPr>
          <w:highlight w:val="yellow"/>
          <w:lang w:val="fr-CA"/>
        </w:rPr>
      </w:pPr>
    </w:p>
    <w:p w14:paraId="377F76FB" w14:textId="77777777" w:rsidR="003E788D" w:rsidRPr="00F0326E" w:rsidRDefault="003E788D">
      <w:pPr>
        <w:rPr>
          <w:rFonts w:cstheme="minorBidi"/>
          <w:highlight w:val="yellow"/>
          <w:lang w:val="fr-CA"/>
        </w:rPr>
      </w:pPr>
      <w:r w:rsidRPr="00F0326E">
        <w:rPr>
          <w:highlight w:val="yellow"/>
          <w:lang w:val="fr-CA"/>
        </w:rPr>
        <w:br w:type="page"/>
      </w:r>
    </w:p>
    <w:p w14:paraId="30045A6B" w14:textId="77777777" w:rsidR="003E788D" w:rsidRPr="00F0326E" w:rsidRDefault="003E788D" w:rsidP="0072322C">
      <w:pPr>
        <w:rPr>
          <w:rFonts w:cs="Calibri"/>
          <w:b/>
          <w:highlight w:val="yellow"/>
          <w:lang w:val="fr-CA"/>
        </w:rPr>
      </w:pPr>
      <w:r w:rsidRPr="00F0326E">
        <w:rPr>
          <w:b/>
          <w:highlight w:val="yellow"/>
          <w:lang w:val="fr-CA"/>
        </w:rPr>
        <w:lastRenderedPageBreak/>
        <w:t>Tableau 2. Contribution des pays selon le barème des Nations Unies 016-2018 (en Euro)</w:t>
      </w:r>
    </w:p>
    <w:p w14:paraId="320D8F8B" w14:textId="77777777" w:rsidR="003E788D" w:rsidRPr="00F0326E" w:rsidRDefault="003E788D" w:rsidP="0072322C">
      <w:pPr>
        <w:rPr>
          <w:highlight w:val="yellow"/>
          <w:lang w:val="fr-CA"/>
        </w:rPr>
      </w:pPr>
    </w:p>
    <w:tbl>
      <w:tblPr>
        <w:tblW w:w="89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560"/>
        <w:gridCol w:w="1884"/>
        <w:gridCol w:w="1616"/>
        <w:gridCol w:w="1417"/>
      </w:tblGrid>
      <w:tr w:rsidR="003E788D" w:rsidRPr="00F0326E" w14:paraId="6F043EEB" w14:textId="77777777" w:rsidTr="00B8372A">
        <w:trPr>
          <w:trHeight w:val="6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4884B6" w14:textId="77777777" w:rsidR="003E788D" w:rsidRPr="00F0326E" w:rsidRDefault="003E788D" w:rsidP="00B8372A">
            <w:pPr>
              <w:jc w:val="center"/>
              <w:rPr>
                <w:b/>
                <w:color w:val="000000"/>
                <w:highlight w:val="yellow"/>
                <w:lang w:val="fr-CA"/>
              </w:rPr>
            </w:pPr>
            <w:r w:rsidRPr="00F0326E">
              <w:rPr>
                <w:b/>
                <w:color w:val="000000"/>
                <w:highlight w:val="yellow"/>
                <w:lang w:val="fr-CA"/>
              </w:rPr>
              <w:t>Pays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182350" w14:textId="77777777" w:rsidR="003E788D" w:rsidRPr="00F0326E" w:rsidRDefault="003E788D" w:rsidP="00B8372A">
            <w:pPr>
              <w:jc w:val="center"/>
              <w:rPr>
                <w:b/>
                <w:color w:val="000000"/>
                <w:highlight w:val="yellow"/>
                <w:lang w:val="fr-CA"/>
              </w:rPr>
            </w:pPr>
            <w:r w:rsidRPr="00F0326E">
              <w:rPr>
                <w:b/>
                <w:color w:val="000000"/>
                <w:highlight w:val="yellow"/>
                <w:lang w:val="fr-CA"/>
              </w:rPr>
              <w:t>Barème ONU 2018 Tous les pays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0FB52B" w14:textId="77777777" w:rsidR="003E788D" w:rsidRPr="00F0326E" w:rsidRDefault="003E788D" w:rsidP="00B8372A">
            <w:pPr>
              <w:jc w:val="center"/>
              <w:rPr>
                <w:b/>
                <w:color w:val="000000"/>
                <w:highlight w:val="yellow"/>
                <w:lang w:val="fr-CA"/>
              </w:rPr>
            </w:pPr>
            <w:r w:rsidRPr="00F0326E">
              <w:rPr>
                <w:b/>
                <w:color w:val="000000"/>
                <w:highlight w:val="yellow"/>
                <w:lang w:val="fr-CA"/>
              </w:rPr>
              <w:t>Barème ONU 2018</w:t>
            </w:r>
          </w:p>
          <w:p w14:paraId="2CA5E4E6" w14:textId="77777777" w:rsidR="003E788D" w:rsidRPr="00F0326E" w:rsidRDefault="003E788D" w:rsidP="00B8372A">
            <w:pPr>
              <w:jc w:val="center"/>
              <w:rPr>
                <w:b/>
                <w:color w:val="000000"/>
                <w:highlight w:val="yellow"/>
                <w:lang w:val="fr-CA"/>
              </w:rPr>
            </w:pPr>
            <w:r w:rsidRPr="00F0326E">
              <w:rPr>
                <w:b/>
                <w:color w:val="000000"/>
                <w:highlight w:val="yellow"/>
                <w:lang w:val="fr-CA"/>
              </w:rPr>
              <w:t>Pays MedWet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4B20D2" w14:textId="77777777" w:rsidR="003E788D" w:rsidRPr="00F0326E" w:rsidRDefault="003E788D" w:rsidP="00B8372A">
            <w:pPr>
              <w:jc w:val="center"/>
              <w:rPr>
                <w:b/>
                <w:color w:val="000000"/>
                <w:highlight w:val="yellow"/>
                <w:lang w:val="fr-CA"/>
              </w:rPr>
            </w:pPr>
            <w:r w:rsidRPr="00F0326E">
              <w:rPr>
                <w:b/>
                <w:color w:val="000000"/>
                <w:highlight w:val="yellow"/>
                <w:lang w:val="fr-CA"/>
              </w:rPr>
              <w:t>Euro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370D41" w14:textId="77777777" w:rsidR="003E788D" w:rsidRPr="00F0326E" w:rsidRDefault="003E788D" w:rsidP="00B8372A">
            <w:pPr>
              <w:jc w:val="center"/>
              <w:rPr>
                <w:b/>
                <w:color w:val="000000"/>
                <w:highlight w:val="yellow"/>
                <w:lang w:val="fr-CA"/>
              </w:rPr>
            </w:pPr>
            <w:r w:rsidRPr="00F0326E">
              <w:rPr>
                <w:b/>
                <w:color w:val="000000"/>
                <w:highlight w:val="yellow"/>
                <w:lang w:val="fr-CA"/>
              </w:rPr>
              <w:t>Pourcentage</w:t>
            </w:r>
          </w:p>
        </w:tc>
      </w:tr>
      <w:tr w:rsidR="003E788D" w:rsidRPr="00F0326E" w14:paraId="3FE97F6E" w14:textId="77777777" w:rsidTr="005815B6">
        <w:trPr>
          <w:trHeight w:val="3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A214" w14:textId="77777777" w:rsidR="003E788D" w:rsidRPr="00F0326E" w:rsidRDefault="003E788D" w:rsidP="005815B6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Albanie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918A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0,008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1E6C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0,056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CD0F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 514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784A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0,4%</w:t>
            </w:r>
          </w:p>
        </w:tc>
      </w:tr>
      <w:tr w:rsidR="003E788D" w:rsidRPr="00F0326E" w14:paraId="0213EF5E" w14:textId="77777777" w:rsidTr="005815B6">
        <w:trPr>
          <w:trHeight w:val="3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82E9" w14:textId="77777777" w:rsidR="003E788D" w:rsidRPr="00F0326E" w:rsidRDefault="003E788D" w:rsidP="005815B6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Algérie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30B0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0,161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9625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1,123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EAD9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 1,466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65C4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1,1%</w:t>
            </w:r>
          </w:p>
        </w:tc>
      </w:tr>
      <w:tr w:rsidR="003E788D" w:rsidRPr="00F0326E" w14:paraId="00EA4C8A" w14:textId="77777777" w:rsidTr="005815B6">
        <w:trPr>
          <w:trHeight w:val="3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907C" w14:textId="77777777" w:rsidR="003E788D" w:rsidRPr="00F0326E" w:rsidRDefault="003E788D" w:rsidP="005815B6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Andorre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CCC1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0,006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BB37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0,042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022C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 514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3FFB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0,4%</w:t>
            </w:r>
          </w:p>
        </w:tc>
      </w:tr>
      <w:tr w:rsidR="003E788D" w:rsidRPr="00F0326E" w14:paraId="26FD860E" w14:textId="77777777" w:rsidTr="005815B6">
        <w:trPr>
          <w:trHeight w:val="3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0122" w14:textId="77777777" w:rsidR="003E788D" w:rsidRPr="00F0326E" w:rsidRDefault="003E788D" w:rsidP="005815B6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Bosnie-Herzégovine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3544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0,013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54B0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0,091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9564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 514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F2AD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0,4%</w:t>
            </w:r>
          </w:p>
        </w:tc>
      </w:tr>
      <w:tr w:rsidR="003E788D" w:rsidRPr="00F0326E" w14:paraId="1479318D" w14:textId="77777777" w:rsidTr="005815B6">
        <w:trPr>
          <w:trHeight w:val="3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8B32" w14:textId="77777777" w:rsidR="003E788D" w:rsidRPr="00F0326E" w:rsidRDefault="003E788D" w:rsidP="005815B6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Bulgarie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DB46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0,045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EBAA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0,314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AD6D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 514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122E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0,4%</w:t>
            </w:r>
          </w:p>
        </w:tc>
      </w:tr>
      <w:tr w:rsidR="003E788D" w:rsidRPr="00F0326E" w14:paraId="29FC3E99" w14:textId="77777777" w:rsidTr="005815B6">
        <w:trPr>
          <w:trHeight w:val="3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A29A" w14:textId="77777777" w:rsidR="003E788D" w:rsidRPr="00F0326E" w:rsidRDefault="003E788D" w:rsidP="005815B6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Chypre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A026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0,043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A01A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FE88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 514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6F44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0,4%</w:t>
            </w:r>
          </w:p>
        </w:tc>
      </w:tr>
      <w:tr w:rsidR="003E788D" w:rsidRPr="00F0326E" w14:paraId="1E361B08" w14:textId="77777777" w:rsidTr="005815B6">
        <w:trPr>
          <w:trHeight w:val="3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4494" w14:textId="77777777" w:rsidR="003E788D" w:rsidRPr="00F0326E" w:rsidRDefault="003E788D" w:rsidP="005815B6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Croatie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C92B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0,099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4393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0,690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26C9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 901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B255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0,7%</w:t>
            </w:r>
          </w:p>
        </w:tc>
      </w:tr>
      <w:tr w:rsidR="003E788D" w:rsidRPr="00F0326E" w14:paraId="1D874C86" w14:textId="77777777" w:rsidTr="005815B6">
        <w:trPr>
          <w:trHeight w:val="3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C592" w14:textId="77777777" w:rsidR="003E788D" w:rsidRPr="00F0326E" w:rsidRDefault="003E788D" w:rsidP="005815B6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Égypte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2657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0,152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A934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1,060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0250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 1,384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8969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1,1%</w:t>
            </w:r>
          </w:p>
        </w:tc>
      </w:tr>
      <w:tr w:rsidR="003E788D" w:rsidRPr="00F0326E" w14:paraId="523ECD0B" w14:textId="77777777" w:rsidTr="005815B6">
        <w:trPr>
          <w:trHeight w:val="3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802D" w14:textId="77777777" w:rsidR="003E788D" w:rsidRPr="00F0326E" w:rsidRDefault="003E788D" w:rsidP="005815B6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Espagne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33D6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2,443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6B63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17,039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9C38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 22,241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CF5B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17,2%</w:t>
            </w:r>
          </w:p>
        </w:tc>
      </w:tr>
      <w:tr w:rsidR="003E788D" w:rsidRPr="00F0326E" w14:paraId="40E5E4B3" w14:textId="77777777" w:rsidTr="005815B6">
        <w:trPr>
          <w:trHeight w:val="3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A891" w14:textId="77777777" w:rsidR="003E788D" w:rsidRPr="00F0326E" w:rsidRDefault="003E788D" w:rsidP="005815B6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France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91CE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4,859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381F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33,889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BE26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 44,235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9D2E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34,2%</w:t>
            </w:r>
          </w:p>
        </w:tc>
      </w:tr>
      <w:tr w:rsidR="003E788D" w:rsidRPr="00F0326E" w14:paraId="432F1119" w14:textId="77777777" w:rsidTr="005815B6">
        <w:trPr>
          <w:trHeight w:val="3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6B96" w14:textId="77777777" w:rsidR="003E788D" w:rsidRPr="00F0326E" w:rsidRDefault="003E788D" w:rsidP="005815B6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Grèce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3B0D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0,471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283B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3,285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365B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 4,288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E926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3,3%</w:t>
            </w:r>
          </w:p>
        </w:tc>
      </w:tr>
      <w:tr w:rsidR="003E788D" w:rsidRPr="00F0326E" w14:paraId="6B8DD768" w14:textId="77777777" w:rsidTr="005815B6">
        <w:trPr>
          <w:trHeight w:val="3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D20E" w14:textId="77777777" w:rsidR="003E788D" w:rsidRPr="00F0326E" w:rsidRDefault="003E788D" w:rsidP="005815B6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Israël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6B75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0,43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3175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2,999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3A0E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 3,915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2226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3,0%</w:t>
            </w:r>
          </w:p>
        </w:tc>
      </w:tr>
      <w:tr w:rsidR="003E788D" w:rsidRPr="00F0326E" w14:paraId="6896E803" w14:textId="77777777" w:rsidTr="005815B6">
        <w:trPr>
          <w:trHeight w:val="354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9530" w14:textId="77777777" w:rsidR="003E788D" w:rsidRPr="00F0326E" w:rsidRDefault="003E788D" w:rsidP="005815B6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Italie*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1533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3,748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194C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26,140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554C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 28,500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1288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22,0%</w:t>
            </w:r>
          </w:p>
        </w:tc>
      </w:tr>
      <w:tr w:rsidR="003E788D" w:rsidRPr="00F0326E" w14:paraId="4D2DBCDC" w14:textId="77777777" w:rsidTr="005815B6">
        <w:trPr>
          <w:trHeight w:val="3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978E" w14:textId="77777777" w:rsidR="003E788D" w:rsidRPr="00F0326E" w:rsidRDefault="003E788D" w:rsidP="005815B6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Jordanie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DB9C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0,02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ABEB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0,139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19B8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 514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A41D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0,4%</w:t>
            </w:r>
          </w:p>
        </w:tc>
      </w:tr>
      <w:tr w:rsidR="003E788D" w:rsidRPr="00F0326E" w14:paraId="670E1401" w14:textId="77777777" w:rsidTr="005815B6">
        <w:trPr>
          <w:trHeight w:val="3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12F8" w14:textId="77777777" w:rsidR="003E788D" w:rsidRPr="00F0326E" w:rsidRDefault="003E788D" w:rsidP="005815B6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Liban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A622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0,046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51B8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0,321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0B36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 514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EAC3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0,4%</w:t>
            </w:r>
          </w:p>
        </w:tc>
      </w:tr>
      <w:tr w:rsidR="003E788D" w:rsidRPr="00F0326E" w14:paraId="3FABABEC" w14:textId="77777777" w:rsidTr="005815B6">
        <w:trPr>
          <w:trHeight w:val="3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4A0D" w14:textId="77777777" w:rsidR="003E788D" w:rsidRPr="00F0326E" w:rsidRDefault="003E788D" w:rsidP="005815B6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Libye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867A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0,125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C12C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0,872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A06E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 1,138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87EF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0,9%</w:t>
            </w:r>
          </w:p>
        </w:tc>
      </w:tr>
      <w:tr w:rsidR="0018797A" w:rsidRPr="00F0326E" w14:paraId="628106B7" w14:textId="77777777" w:rsidTr="005815B6">
        <w:trPr>
          <w:trHeight w:val="3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72BD" w14:textId="3D12F98A" w:rsidR="0018797A" w:rsidRPr="00F0326E" w:rsidRDefault="0018797A" w:rsidP="0018797A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Macédoine du Nord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918F" w14:textId="1BFBF7E1" w:rsidR="0018797A" w:rsidRPr="00F0326E" w:rsidRDefault="0018797A" w:rsidP="0018797A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0,007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1C6B4" w14:textId="2C6136ED" w:rsidR="0018797A" w:rsidRPr="00F0326E" w:rsidRDefault="0018797A" w:rsidP="0018797A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0,049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EA97" w14:textId="2884E0D0" w:rsidR="0018797A" w:rsidRPr="00F0326E" w:rsidRDefault="0018797A" w:rsidP="0018797A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 514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7ECB" w14:textId="0CB166AE" w:rsidR="0018797A" w:rsidRPr="00F0326E" w:rsidRDefault="0018797A" w:rsidP="0018797A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0,4%</w:t>
            </w:r>
          </w:p>
        </w:tc>
      </w:tr>
      <w:tr w:rsidR="003E788D" w:rsidRPr="00F0326E" w14:paraId="3FFA51C5" w14:textId="77777777" w:rsidTr="005815B6">
        <w:trPr>
          <w:trHeight w:val="3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5D3E" w14:textId="77777777" w:rsidR="003E788D" w:rsidRPr="00F0326E" w:rsidRDefault="003E788D" w:rsidP="005815B6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Malte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EB90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0,016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DD90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0,112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A684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 514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018D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0,4%</w:t>
            </w:r>
          </w:p>
        </w:tc>
      </w:tr>
      <w:tr w:rsidR="003E788D" w:rsidRPr="00F0326E" w14:paraId="5868DE2E" w14:textId="77777777" w:rsidTr="005815B6">
        <w:trPr>
          <w:trHeight w:val="3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BA5A" w14:textId="77777777" w:rsidR="003E788D" w:rsidRPr="00F0326E" w:rsidRDefault="003E788D" w:rsidP="005815B6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Maroc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C29F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0,054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22E1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0,377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043A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 514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13E4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0,4%</w:t>
            </w:r>
          </w:p>
        </w:tc>
      </w:tr>
      <w:tr w:rsidR="003E788D" w:rsidRPr="00F0326E" w14:paraId="36CFC004" w14:textId="77777777" w:rsidTr="005815B6">
        <w:trPr>
          <w:trHeight w:val="3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6812" w14:textId="77777777" w:rsidR="003E788D" w:rsidRPr="00F0326E" w:rsidRDefault="003E788D" w:rsidP="005815B6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Monaco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60D1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0970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0,070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13E3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 514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AB3A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0,4%</w:t>
            </w:r>
          </w:p>
        </w:tc>
      </w:tr>
      <w:tr w:rsidR="003E788D" w:rsidRPr="00F0326E" w14:paraId="071E5D91" w14:textId="77777777" w:rsidTr="005815B6">
        <w:trPr>
          <w:trHeight w:val="3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1B2A" w14:textId="77777777" w:rsidR="003E788D" w:rsidRPr="00F0326E" w:rsidRDefault="003E788D" w:rsidP="005815B6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Monténégro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FF90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0,004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00F7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0,028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F2C7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 514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771D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0,4%</w:t>
            </w:r>
          </w:p>
        </w:tc>
      </w:tr>
      <w:tr w:rsidR="003E788D" w:rsidRPr="00F0326E" w14:paraId="65B5BFEB" w14:textId="77777777" w:rsidTr="005815B6">
        <w:trPr>
          <w:trHeight w:val="3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48D6" w14:textId="77777777" w:rsidR="003E788D" w:rsidRPr="00F0326E" w:rsidRDefault="003E788D" w:rsidP="005815B6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Portugal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0651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0,392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43B1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2,734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B74B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 3,569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717D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2,8%</w:t>
            </w:r>
          </w:p>
        </w:tc>
      </w:tr>
      <w:tr w:rsidR="003E788D" w:rsidRPr="00F0326E" w14:paraId="5DBD1DA9" w14:textId="77777777" w:rsidTr="005815B6">
        <w:trPr>
          <w:trHeight w:val="3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8FB6" w14:textId="77777777" w:rsidR="003E788D" w:rsidRPr="00F0326E" w:rsidRDefault="003E788D" w:rsidP="00A47FB5">
            <w:pPr>
              <w:ind w:left="0" w:firstLine="0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République arabe syrienne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FDD4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0,024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7726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0,167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AB11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 514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A934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0,4%</w:t>
            </w:r>
          </w:p>
        </w:tc>
      </w:tr>
      <w:tr w:rsidR="003E788D" w:rsidRPr="00F0326E" w14:paraId="17972143" w14:textId="77777777" w:rsidTr="005815B6">
        <w:trPr>
          <w:trHeight w:val="3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BA48" w14:textId="77777777" w:rsidR="003E788D" w:rsidRPr="00F0326E" w:rsidRDefault="003E788D" w:rsidP="005815B6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Serbie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267B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0,032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4413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0,223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95CC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 514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878E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0,4%</w:t>
            </w:r>
          </w:p>
        </w:tc>
      </w:tr>
      <w:tr w:rsidR="003E788D" w:rsidRPr="00F0326E" w14:paraId="1B3C17E1" w14:textId="77777777" w:rsidTr="005815B6">
        <w:trPr>
          <w:trHeight w:val="3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D68B" w14:textId="77777777" w:rsidR="003E788D" w:rsidRPr="00F0326E" w:rsidRDefault="003E788D" w:rsidP="00A47FB5">
            <w:pPr>
              <w:ind w:left="0" w:firstLine="0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Slovénie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45C0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0,084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9385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0,586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14B4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 765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30DA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0,6%</w:t>
            </w:r>
          </w:p>
        </w:tc>
      </w:tr>
      <w:tr w:rsidR="003E788D" w:rsidRPr="00F0326E" w14:paraId="16234DF3" w14:textId="77777777" w:rsidTr="005815B6">
        <w:trPr>
          <w:trHeight w:val="3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CFCD" w14:textId="77777777" w:rsidR="003E788D" w:rsidRPr="00F0326E" w:rsidRDefault="003E788D" w:rsidP="005815B6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Tunisie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ED19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0,028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BB11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0,195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2CA2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 514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F1D4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0,4%</w:t>
            </w:r>
          </w:p>
        </w:tc>
      </w:tr>
      <w:tr w:rsidR="003E788D" w:rsidRPr="00F0326E" w14:paraId="778CC6E8" w14:textId="77777777" w:rsidTr="005815B6">
        <w:trPr>
          <w:trHeight w:val="3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2763" w14:textId="77777777" w:rsidR="003E788D" w:rsidRPr="00F0326E" w:rsidRDefault="003E788D" w:rsidP="005815B6">
            <w:pPr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Turquie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DF14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1,018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BB24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7,100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0263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 xml:space="preserve"> 9,268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4D2E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7,2%</w:t>
            </w:r>
          </w:p>
        </w:tc>
      </w:tr>
      <w:tr w:rsidR="003E788D" w:rsidRPr="00F0326E" w14:paraId="7F7F8C3F" w14:textId="77777777" w:rsidTr="005815B6">
        <w:trPr>
          <w:trHeight w:val="3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B361" w14:textId="77777777" w:rsidR="003E788D" w:rsidRPr="00F0326E" w:rsidRDefault="003E788D" w:rsidP="005815B6">
            <w:pPr>
              <w:rPr>
                <w:color w:val="000000"/>
                <w:highlight w:val="yellow"/>
                <w:lang w:val="fr-C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8F3F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14,338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12DE" w14:textId="77777777" w:rsidR="003E788D" w:rsidRPr="00F0326E" w:rsidRDefault="003E788D" w:rsidP="005815B6">
            <w:pPr>
              <w:jc w:val="right"/>
              <w:rPr>
                <w:color w:val="000000"/>
                <w:highlight w:val="yellow"/>
                <w:lang w:val="fr-CA"/>
              </w:rPr>
            </w:pPr>
            <w:r w:rsidRPr="00F0326E">
              <w:rPr>
                <w:color w:val="000000"/>
                <w:highlight w:val="yellow"/>
                <w:lang w:val="fr-CA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A438" w14:textId="77777777" w:rsidR="003E788D" w:rsidRPr="00F0326E" w:rsidRDefault="003E788D" w:rsidP="005815B6">
            <w:pPr>
              <w:jc w:val="right"/>
              <w:rPr>
                <w:b/>
                <w:color w:val="000000"/>
                <w:highlight w:val="yellow"/>
                <w:lang w:val="fr-CA"/>
              </w:rPr>
            </w:pPr>
            <w:r w:rsidRPr="00F0326E">
              <w:rPr>
                <w:b/>
                <w:color w:val="000000"/>
                <w:highlight w:val="yellow"/>
                <w:lang w:val="fr-CA"/>
              </w:rPr>
              <w:t xml:space="preserve">129,378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BC74" w14:textId="77777777" w:rsidR="003E788D" w:rsidRPr="00F0326E" w:rsidRDefault="003E788D" w:rsidP="005815B6">
            <w:pPr>
              <w:jc w:val="right"/>
              <w:rPr>
                <w:b/>
                <w:color w:val="000000"/>
                <w:highlight w:val="yellow"/>
                <w:lang w:val="fr-CA"/>
              </w:rPr>
            </w:pPr>
            <w:r w:rsidRPr="00F0326E">
              <w:rPr>
                <w:b/>
                <w:color w:val="000000"/>
                <w:highlight w:val="yellow"/>
                <w:lang w:val="fr-CA"/>
              </w:rPr>
              <w:t>100%</w:t>
            </w:r>
          </w:p>
        </w:tc>
      </w:tr>
    </w:tbl>
    <w:p w14:paraId="5B34527C" w14:textId="57231C1D" w:rsidR="003E788D" w:rsidRPr="00F0326E" w:rsidRDefault="003E788D" w:rsidP="00B8372A">
      <w:pPr>
        <w:ind w:left="0" w:firstLine="0"/>
        <w:rPr>
          <w:highlight w:val="yellow"/>
          <w:lang w:val="fr-CA"/>
        </w:rPr>
      </w:pPr>
      <w:r w:rsidRPr="00F0326E">
        <w:rPr>
          <w:highlight w:val="yellow"/>
          <w:lang w:val="fr-CA"/>
        </w:rPr>
        <w:t>*Conditions d’approbation annuelle, conformément à la loi italienne, comme contribution volontaire. Le seuil de 22 % de l’ONU est appliqué à la contribution italienne à la demande de l’Italie.</w:t>
      </w:r>
    </w:p>
    <w:p w14:paraId="014D33CC" w14:textId="77777777" w:rsidR="003E788D" w:rsidRPr="00F0326E" w:rsidRDefault="003E788D" w:rsidP="00B8372A">
      <w:pPr>
        <w:ind w:left="0" w:firstLine="0"/>
        <w:rPr>
          <w:highlight w:val="yellow"/>
          <w:lang w:val="fr-CA"/>
        </w:rPr>
      </w:pPr>
    </w:p>
    <w:p w14:paraId="09C8B6EF" w14:textId="77777777" w:rsidR="003E788D" w:rsidRPr="0073026F" w:rsidRDefault="003E788D" w:rsidP="00B8372A">
      <w:pPr>
        <w:ind w:left="0" w:firstLine="0"/>
        <w:rPr>
          <w:lang w:val="fr-CA"/>
        </w:rPr>
      </w:pPr>
      <w:r w:rsidRPr="00F0326E">
        <w:rPr>
          <w:b/>
          <w:highlight w:val="yellow"/>
          <w:lang w:val="fr-CA"/>
        </w:rPr>
        <w:t>Note</w:t>
      </w:r>
      <w:r w:rsidRPr="00F0326E">
        <w:rPr>
          <w:highlight w:val="yellow"/>
          <w:lang w:val="fr-CA"/>
        </w:rPr>
        <w:t>. Les contributions annuelles des pays de l’Initiative MedWet sont calculées à l’aide du Barème des quotes-parts des Nations Unies 2018. Lorsque le Barème de l’ONU sera mis à jour, et adopté par l’Assemblée générale des Nations Unies, les contributions des pays seront modifiées.</w:t>
      </w:r>
    </w:p>
    <w:p w14:paraId="741EAD8A" w14:textId="77777777" w:rsidR="003E788D" w:rsidRPr="0073026F" w:rsidRDefault="003E788D" w:rsidP="0072322C">
      <w:pPr>
        <w:pStyle w:val="Heading2"/>
        <w:spacing w:before="117"/>
        <w:ind w:left="0"/>
        <w:rPr>
          <w:rFonts w:asciiTheme="minorHAnsi" w:eastAsiaTheme="minorHAnsi" w:hAnsiTheme="minorHAnsi"/>
          <w:b/>
          <w:bCs/>
          <w:sz w:val="22"/>
          <w:szCs w:val="22"/>
          <w:lang w:val="fr-CA"/>
        </w:rPr>
      </w:pPr>
    </w:p>
    <w:p w14:paraId="57F46DBF" w14:textId="77777777" w:rsidR="003E788D" w:rsidRPr="0072322C" w:rsidRDefault="003E788D" w:rsidP="00447020">
      <w:pPr>
        <w:pStyle w:val="BodyText"/>
        <w:widowControl/>
        <w:spacing w:line="232" w:lineRule="auto"/>
        <w:ind w:left="709" w:right="121" w:hanging="709"/>
        <w:rPr>
          <w:lang w:val="fr-CA"/>
        </w:rPr>
      </w:pPr>
    </w:p>
    <w:p w14:paraId="33AC51CC" w14:textId="152C5140" w:rsidR="00015C8E" w:rsidRPr="00D212A5" w:rsidRDefault="00015C8E" w:rsidP="003E788D">
      <w:pPr>
        <w:rPr>
          <w:b/>
          <w:lang w:val="fr-FR"/>
        </w:rPr>
      </w:pPr>
    </w:p>
    <w:sectPr w:rsidR="00015C8E" w:rsidRPr="00D212A5" w:rsidSect="00E166C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8A6A6" w14:textId="77777777" w:rsidR="005578DC" w:rsidRDefault="005578DC" w:rsidP="00DF2386">
      <w:r>
        <w:separator/>
      </w:r>
    </w:p>
  </w:endnote>
  <w:endnote w:type="continuationSeparator" w:id="0">
    <w:p w14:paraId="167498EC" w14:textId="77777777" w:rsidR="005578DC" w:rsidRDefault="005578DC" w:rsidP="00DF2386">
      <w:r>
        <w:continuationSeparator/>
      </w:r>
    </w:p>
  </w:endnote>
  <w:endnote w:type="continuationNotice" w:id="1">
    <w:p w14:paraId="3B3C1525" w14:textId="77777777" w:rsidR="005578DC" w:rsidRDefault="005578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8BE40" w14:textId="7A33808E" w:rsidR="00A34AA7" w:rsidRPr="00A77D00" w:rsidRDefault="00A34AA7" w:rsidP="002137E0">
    <w:pPr>
      <w:pStyle w:val="Header"/>
      <w:rPr>
        <w:noProof/>
        <w:sz w:val="20"/>
        <w:szCs w:val="20"/>
      </w:rPr>
    </w:pPr>
    <w:r w:rsidRPr="00A77D00">
      <w:rPr>
        <w:sz w:val="20"/>
        <w:szCs w:val="20"/>
      </w:rPr>
      <w:t>SC59</w:t>
    </w:r>
    <w:r>
      <w:rPr>
        <w:sz w:val="20"/>
        <w:szCs w:val="20"/>
      </w:rPr>
      <w:t>/2022</w:t>
    </w:r>
    <w:r w:rsidRPr="00A77D00">
      <w:rPr>
        <w:sz w:val="20"/>
        <w:szCs w:val="20"/>
      </w:rPr>
      <w:t xml:space="preserve"> Doc.2</w:t>
    </w:r>
    <w:r>
      <w:rPr>
        <w:sz w:val="20"/>
        <w:szCs w:val="20"/>
      </w:rPr>
      <w:t>4.</w:t>
    </w:r>
    <w:r w:rsidR="00D212A5">
      <w:rPr>
        <w:sz w:val="20"/>
        <w:szCs w:val="20"/>
      </w:rPr>
      <w:t>10</w:t>
    </w:r>
    <w:r w:rsidRPr="00A77D00">
      <w:rPr>
        <w:sz w:val="20"/>
        <w:szCs w:val="20"/>
      </w:rPr>
      <w:tab/>
    </w:r>
    <w:r w:rsidRPr="00A77D00">
      <w:rPr>
        <w:sz w:val="20"/>
        <w:szCs w:val="20"/>
      </w:rPr>
      <w:tab/>
    </w:r>
    <w:sdt>
      <w:sdtPr>
        <w:rPr>
          <w:sz w:val="20"/>
          <w:szCs w:val="20"/>
        </w:r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77D00">
          <w:rPr>
            <w:sz w:val="20"/>
            <w:szCs w:val="20"/>
          </w:rPr>
          <w:fldChar w:fldCharType="begin"/>
        </w:r>
        <w:r w:rsidRPr="00A77D00">
          <w:rPr>
            <w:sz w:val="20"/>
            <w:szCs w:val="20"/>
          </w:rPr>
          <w:instrText xml:space="preserve"> PAGE   \* MERGEFORMAT </w:instrText>
        </w:r>
        <w:r w:rsidRPr="00A77D00">
          <w:rPr>
            <w:sz w:val="20"/>
            <w:szCs w:val="20"/>
          </w:rPr>
          <w:fldChar w:fldCharType="separate"/>
        </w:r>
        <w:r w:rsidR="000833B5">
          <w:rPr>
            <w:noProof/>
            <w:sz w:val="20"/>
            <w:szCs w:val="20"/>
          </w:rPr>
          <w:t>2</w:t>
        </w:r>
        <w:r w:rsidRPr="00A77D00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83F55" w14:textId="77777777" w:rsidR="005578DC" w:rsidRDefault="005578DC" w:rsidP="00DF2386">
      <w:r>
        <w:separator/>
      </w:r>
    </w:p>
  </w:footnote>
  <w:footnote w:type="continuationSeparator" w:id="0">
    <w:p w14:paraId="6446B6EE" w14:textId="77777777" w:rsidR="005578DC" w:rsidRDefault="005578DC" w:rsidP="00DF2386">
      <w:r>
        <w:continuationSeparator/>
      </w:r>
    </w:p>
  </w:footnote>
  <w:footnote w:type="continuationNotice" w:id="1">
    <w:p w14:paraId="6B63BC6C" w14:textId="77777777" w:rsidR="005578DC" w:rsidRDefault="005578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67BBB" w14:textId="77777777" w:rsidR="00A34AA7" w:rsidRDefault="00A34AA7">
    <w:pPr>
      <w:pStyle w:val="Header"/>
    </w:pPr>
  </w:p>
  <w:p w14:paraId="2AE5869B" w14:textId="77777777" w:rsidR="00A34AA7" w:rsidRDefault="00A34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443C"/>
    <w:multiLevelType w:val="hybridMultilevel"/>
    <w:tmpl w:val="F4C02E0E"/>
    <w:lvl w:ilvl="0" w:tplc="040C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199A"/>
    <w:multiLevelType w:val="multilevel"/>
    <w:tmpl w:val="AC90AC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Calibri" w:eastAsia="Calibri" w:hAnsi="Calibri" w:cstheme="minorHAnsi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E77857"/>
    <w:multiLevelType w:val="hybridMultilevel"/>
    <w:tmpl w:val="1C3228E6"/>
    <w:lvl w:ilvl="0" w:tplc="B772189C">
      <w:start w:val="1"/>
      <w:numFmt w:val="lowerRoman"/>
      <w:lvlText w:val="%1)"/>
      <w:lvlJc w:val="left"/>
      <w:pPr>
        <w:ind w:left="1146" w:hanging="720"/>
      </w:pPr>
      <w:rPr>
        <w:rFonts w:hint="default"/>
        <w:b w:val="0"/>
        <w:bCs/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5F04AE"/>
    <w:multiLevelType w:val="hybridMultilevel"/>
    <w:tmpl w:val="7A0A38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CD4E6B"/>
    <w:multiLevelType w:val="hybridMultilevel"/>
    <w:tmpl w:val="24CE5378"/>
    <w:lvl w:ilvl="0" w:tplc="24645798">
      <w:start w:val="1"/>
      <w:numFmt w:val="decimal"/>
      <w:lvlText w:val="%1."/>
      <w:lvlJc w:val="left"/>
      <w:pPr>
        <w:ind w:left="686" w:hanging="567"/>
        <w:jc w:val="right"/>
      </w:pPr>
      <w:rPr>
        <w:rFonts w:ascii="Calibri" w:eastAsia="Calibri" w:hAnsi="Calibri" w:hint="default"/>
        <w:sz w:val="22"/>
        <w:szCs w:val="22"/>
      </w:rPr>
    </w:lvl>
    <w:lvl w:ilvl="1" w:tplc="CE9CED28">
      <w:start w:val="1"/>
      <w:numFmt w:val="bullet"/>
      <w:lvlText w:val="•"/>
      <w:lvlJc w:val="left"/>
      <w:pPr>
        <w:ind w:left="502" w:hanging="360"/>
      </w:pPr>
      <w:rPr>
        <w:rFonts w:hint="default"/>
        <w:sz w:val="22"/>
        <w:szCs w:val="22"/>
      </w:rPr>
    </w:lvl>
    <w:lvl w:ilvl="2" w:tplc="CE9CED28">
      <w:start w:val="1"/>
      <w:numFmt w:val="bullet"/>
      <w:lvlText w:val="•"/>
      <w:lvlJc w:val="left"/>
      <w:pPr>
        <w:ind w:left="1639" w:hanging="360"/>
      </w:pPr>
      <w:rPr>
        <w:rFonts w:hint="default"/>
      </w:rPr>
    </w:lvl>
    <w:lvl w:ilvl="3" w:tplc="9B76A3AA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4" w:tplc="1F427340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5" w:tplc="F6745888">
      <w:start w:val="1"/>
      <w:numFmt w:val="bullet"/>
      <w:lvlText w:val="•"/>
      <w:lvlJc w:val="left"/>
      <w:pPr>
        <w:ind w:left="4499" w:hanging="360"/>
      </w:pPr>
      <w:rPr>
        <w:rFonts w:hint="default"/>
      </w:rPr>
    </w:lvl>
    <w:lvl w:ilvl="6" w:tplc="D8A838C4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7" w:tplc="149C182C">
      <w:start w:val="1"/>
      <w:numFmt w:val="bullet"/>
      <w:lvlText w:val="•"/>
      <w:lvlJc w:val="left"/>
      <w:pPr>
        <w:ind w:left="6406" w:hanging="360"/>
      </w:pPr>
      <w:rPr>
        <w:rFonts w:hint="default"/>
      </w:rPr>
    </w:lvl>
    <w:lvl w:ilvl="8" w:tplc="BF8E4816">
      <w:start w:val="1"/>
      <w:numFmt w:val="bullet"/>
      <w:lvlText w:val="•"/>
      <w:lvlJc w:val="left"/>
      <w:pPr>
        <w:ind w:left="7359" w:hanging="360"/>
      </w:pPr>
      <w:rPr>
        <w:rFonts w:hint="default"/>
      </w:rPr>
    </w:lvl>
  </w:abstractNum>
  <w:abstractNum w:abstractNumId="5" w15:restartNumberingAfterBreak="0">
    <w:nsid w:val="14314C79"/>
    <w:multiLevelType w:val="hybridMultilevel"/>
    <w:tmpl w:val="E5DA8096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9EB12E6"/>
    <w:multiLevelType w:val="hybridMultilevel"/>
    <w:tmpl w:val="7C7AF592"/>
    <w:lvl w:ilvl="0" w:tplc="41D2A56C">
      <w:numFmt w:val="bullet"/>
      <w:lvlText w:val="-"/>
      <w:lvlJc w:val="left"/>
      <w:pPr>
        <w:ind w:left="1187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B51A0"/>
    <w:multiLevelType w:val="hybridMultilevel"/>
    <w:tmpl w:val="54CEB6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CE1121"/>
    <w:multiLevelType w:val="hybridMultilevel"/>
    <w:tmpl w:val="93CC9D1E"/>
    <w:lvl w:ilvl="0" w:tplc="4EAEE73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3FD2BFF"/>
    <w:multiLevelType w:val="hybridMultilevel"/>
    <w:tmpl w:val="D6CCDC32"/>
    <w:lvl w:ilvl="0" w:tplc="EDCE8482">
      <w:start w:val="1"/>
      <w:numFmt w:val="lowerRoman"/>
      <w:lvlText w:val="%1."/>
      <w:lvlJc w:val="left"/>
      <w:pPr>
        <w:ind w:left="15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10F2039"/>
    <w:multiLevelType w:val="hybridMultilevel"/>
    <w:tmpl w:val="589EFD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6132F"/>
    <w:multiLevelType w:val="hybridMultilevel"/>
    <w:tmpl w:val="5ADE9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13E21"/>
    <w:multiLevelType w:val="hybridMultilevel"/>
    <w:tmpl w:val="DA32290E"/>
    <w:lvl w:ilvl="0" w:tplc="040C0019">
      <w:start w:val="1"/>
      <w:numFmt w:val="lowerLetter"/>
      <w:lvlText w:val="%1."/>
      <w:lvlJc w:val="left"/>
      <w:pPr>
        <w:ind w:left="791" w:hanging="360"/>
      </w:pPr>
      <w:rPr>
        <w:rFonts w:hint="default"/>
      </w:rPr>
    </w:lvl>
    <w:lvl w:ilvl="1" w:tplc="39980504">
      <w:start w:val="1"/>
      <w:numFmt w:val="lowerRoman"/>
      <w:lvlText w:val="%2."/>
      <w:lvlJc w:val="left"/>
      <w:pPr>
        <w:ind w:left="1511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 w15:restartNumberingAfterBreak="0">
    <w:nsid w:val="5D1957A4"/>
    <w:multiLevelType w:val="hybridMultilevel"/>
    <w:tmpl w:val="1AE64A00"/>
    <w:lvl w:ilvl="0" w:tplc="FC10B800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strike w:val="0"/>
      </w:rPr>
    </w:lvl>
    <w:lvl w:ilvl="1" w:tplc="0409000F">
      <w:start w:val="1"/>
      <w:numFmt w:val="decimal"/>
      <w:lvlText w:val="%2."/>
      <w:lvlJc w:val="left"/>
      <w:pPr>
        <w:ind w:left="928" w:hanging="360"/>
      </w:pPr>
    </w:lvl>
    <w:lvl w:ilvl="2" w:tplc="0409001B" w:tentative="1">
      <w:start w:val="1"/>
      <w:numFmt w:val="lowerRoman"/>
      <w:lvlText w:val="%3."/>
      <w:lvlJc w:val="right"/>
      <w:pPr>
        <w:ind w:left="1462" w:hanging="180"/>
      </w:pPr>
    </w:lvl>
    <w:lvl w:ilvl="3" w:tplc="0409000F">
      <w:start w:val="1"/>
      <w:numFmt w:val="decimal"/>
      <w:lvlText w:val="%4."/>
      <w:lvlJc w:val="left"/>
      <w:pPr>
        <w:ind w:left="2182" w:hanging="360"/>
      </w:pPr>
    </w:lvl>
    <w:lvl w:ilvl="4" w:tplc="04090019" w:tentative="1">
      <w:start w:val="1"/>
      <w:numFmt w:val="lowerLetter"/>
      <w:lvlText w:val="%5."/>
      <w:lvlJc w:val="left"/>
      <w:pPr>
        <w:ind w:left="2902" w:hanging="360"/>
      </w:pPr>
    </w:lvl>
    <w:lvl w:ilvl="5" w:tplc="0409001B" w:tentative="1">
      <w:start w:val="1"/>
      <w:numFmt w:val="lowerRoman"/>
      <w:lvlText w:val="%6."/>
      <w:lvlJc w:val="right"/>
      <w:pPr>
        <w:ind w:left="3622" w:hanging="180"/>
      </w:pPr>
    </w:lvl>
    <w:lvl w:ilvl="6" w:tplc="0409000F" w:tentative="1">
      <w:start w:val="1"/>
      <w:numFmt w:val="decimal"/>
      <w:lvlText w:val="%7."/>
      <w:lvlJc w:val="left"/>
      <w:pPr>
        <w:ind w:left="4342" w:hanging="360"/>
      </w:pPr>
    </w:lvl>
    <w:lvl w:ilvl="7" w:tplc="04090019" w:tentative="1">
      <w:start w:val="1"/>
      <w:numFmt w:val="lowerLetter"/>
      <w:lvlText w:val="%8."/>
      <w:lvlJc w:val="left"/>
      <w:pPr>
        <w:ind w:left="5062" w:hanging="360"/>
      </w:pPr>
    </w:lvl>
    <w:lvl w:ilvl="8" w:tplc="0409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14" w15:restartNumberingAfterBreak="0">
    <w:nsid w:val="6C48604C"/>
    <w:multiLevelType w:val="hybridMultilevel"/>
    <w:tmpl w:val="99724168"/>
    <w:lvl w:ilvl="0" w:tplc="6C0C90F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0F4FB3"/>
    <w:multiLevelType w:val="hybridMultilevel"/>
    <w:tmpl w:val="2CAE7C5A"/>
    <w:lvl w:ilvl="0" w:tplc="517C8D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119E5"/>
    <w:multiLevelType w:val="hybridMultilevel"/>
    <w:tmpl w:val="076AD84C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C96F81"/>
    <w:multiLevelType w:val="hybridMultilevel"/>
    <w:tmpl w:val="BBFEAEA8"/>
    <w:lvl w:ilvl="0" w:tplc="41D2A56C">
      <w:numFmt w:val="bullet"/>
      <w:lvlText w:val="-"/>
      <w:lvlJc w:val="left"/>
      <w:pPr>
        <w:ind w:left="1187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8" w15:restartNumberingAfterBreak="0">
    <w:nsid w:val="7CB6213A"/>
    <w:multiLevelType w:val="hybridMultilevel"/>
    <w:tmpl w:val="F09C36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4"/>
  </w:num>
  <w:num w:numId="5">
    <w:abstractNumId w:val="18"/>
  </w:num>
  <w:num w:numId="6">
    <w:abstractNumId w:val="13"/>
  </w:num>
  <w:num w:numId="7">
    <w:abstractNumId w:val="1"/>
  </w:num>
  <w:num w:numId="8">
    <w:abstractNumId w:val="3"/>
  </w:num>
  <w:num w:numId="9">
    <w:abstractNumId w:val="14"/>
  </w:num>
  <w:num w:numId="10">
    <w:abstractNumId w:val="7"/>
  </w:num>
  <w:num w:numId="11">
    <w:abstractNumId w:val="16"/>
  </w:num>
  <w:num w:numId="12">
    <w:abstractNumId w:val="2"/>
  </w:num>
  <w:num w:numId="13">
    <w:abstractNumId w:val="15"/>
  </w:num>
  <w:num w:numId="14">
    <w:abstractNumId w:val="10"/>
  </w:num>
  <w:num w:numId="15">
    <w:abstractNumId w:val="11"/>
  </w:num>
  <w:num w:numId="16">
    <w:abstractNumId w:val="17"/>
  </w:num>
  <w:num w:numId="17">
    <w:abstractNumId w:val="6"/>
  </w:num>
  <w:num w:numId="18">
    <w:abstractNumId w:val="0"/>
  </w:num>
  <w:num w:numId="1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Formatting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NDEyMDI3MzY3MTRX0lEKTi0uzszPAykwrwUAkIbWZCwAAAA="/>
  </w:docVars>
  <w:rsids>
    <w:rsidRoot w:val="00DF2386"/>
    <w:rsid w:val="00002017"/>
    <w:rsid w:val="00006003"/>
    <w:rsid w:val="00011E7A"/>
    <w:rsid w:val="00014168"/>
    <w:rsid w:val="00015C8E"/>
    <w:rsid w:val="00017A16"/>
    <w:rsid w:val="00017FEA"/>
    <w:rsid w:val="00026E09"/>
    <w:rsid w:val="00027A80"/>
    <w:rsid w:val="00030371"/>
    <w:rsid w:val="00032C4D"/>
    <w:rsid w:val="00034A22"/>
    <w:rsid w:val="000354DD"/>
    <w:rsid w:val="00036889"/>
    <w:rsid w:val="00037CE0"/>
    <w:rsid w:val="00042B63"/>
    <w:rsid w:val="00053929"/>
    <w:rsid w:val="00057D70"/>
    <w:rsid w:val="000749F6"/>
    <w:rsid w:val="00074DE8"/>
    <w:rsid w:val="00081070"/>
    <w:rsid w:val="000833B5"/>
    <w:rsid w:val="00092917"/>
    <w:rsid w:val="000A3E3E"/>
    <w:rsid w:val="000A61DD"/>
    <w:rsid w:val="000C2489"/>
    <w:rsid w:val="000C4A48"/>
    <w:rsid w:val="000C5EEF"/>
    <w:rsid w:val="000C7365"/>
    <w:rsid w:val="000D5C76"/>
    <w:rsid w:val="000E161E"/>
    <w:rsid w:val="000E2FA0"/>
    <w:rsid w:val="000E32EE"/>
    <w:rsid w:val="000E3816"/>
    <w:rsid w:val="000E47E9"/>
    <w:rsid w:val="000F310B"/>
    <w:rsid w:val="001006E9"/>
    <w:rsid w:val="0010707C"/>
    <w:rsid w:val="00114138"/>
    <w:rsid w:val="0012005C"/>
    <w:rsid w:val="0012096C"/>
    <w:rsid w:val="00123AFC"/>
    <w:rsid w:val="0012489A"/>
    <w:rsid w:val="00127828"/>
    <w:rsid w:val="00146A8B"/>
    <w:rsid w:val="001516A8"/>
    <w:rsid w:val="00161BDA"/>
    <w:rsid w:val="00171618"/>
    <w:rsid w:val="00174DF2"/>
    <w:rsid w:val="001819B1"/>
    <w:rsid w:val="0018797A"/>
    <w:rsid w:val="001A1578"/>
    <w:rsid w:val="001A2D10"/>
    <w:rsid w:val="001A4C3A"/>
    <w:rsid w:val="001B06BF"/>
    <w:rsid w:val="001B6439"/>
    <w:rsid w:val="001C5E41"/>
    <w:rsid w:val="001C77BC"/>
    <w:rsid w:val="001D48BB"/>
    <w:rsid w:val="001E00E3"/>
    <w:rsid w:val="001F2349"/>
    <w:rsid w:val="001F4532"/>
    <w:rsid w:val="001F502D"/>
    <w:rsid w:val="001F5ECA"/>
    <w:rsid w:val="002005D2"/>
    <w:rsid w:val="0020298B"/>
    <w:rsid w:val="00206111"/>
    <w:rsid w:val="002137E0"/>
    <w:rsid w:val="0021566A"/>
    <w:rsid w:val="002347F6"/>
    <w:rsid w:val="00242C60"/>
    <w:rsid w:val="00247AE7"/>
    <w:rsid w:val="002500A2"/>
    <w:rsid w:val="00262065"/>
    <w:rsid w:val="002741AC"/>
    <w:rsid w:val="00275F13"/>
    <w:rsid w:val="00280714"/>
    <w:rsid w:val="002819C0"/>
    <w:rsid w:val="00284D23"/>
    <w:rsid w:val="0029079B"/>
    <w:rsid w:val="002916FC"/>
    <w:rsid w:val="00291F0A"/>
    <w:rsid w:val="00292637"/>
    <w:rsid w:val="00293919"/>
    <w:rsid w:val="002942F9"/>
    <w:rsid w:val="00295556"/>
    <w:rsid w:val="00295BB5"/>
    <w:rsid w:val="002978F0"/>
    <w:rsid w:val="002A5A4D"/>
    <w:rsid w:val="002B106E"/>
    <w:rsid w:val="002B4262"/>
    <w:rsid w:val="002B48CE"/>
    <w:rsid w:val="002B6506"/>
    <w:rsid w:val="002C261A"/>
    <w:rsid w:val="002C7689"/>
    <w:rsid w:val="002D0F2E"/>
    <w:rsid w:val="002D211D"/>
    <w:rsid w:val="002D3E64"/>
    <w:rsid w:val="002D5A4D"/>
    <w:rsid w:val="002E22AF"/>
    <w:rsid w:val="002E6A2F"/>
    <w:rsid w:val="002F12D4"/>
    <w:rsid w:val="002F6155"/>
    <w:rsid w:val="002F7454"/>
    <w:rsid w:val="003022C6"/>
    <w:rsid w:val="00324398"/>
    <w:rsid w:val="00331449"/>
    <w:rsid w:val="0033280D"/>
    <w:rsid w:val="00335864"/>
    <w:rsid w:val="003370D3"/>
    <w:rsid w:val="0034418A"/>
    <w:rsid w:val="00347DB0"/>
    <w:rsid w:val="0035473A"/>
    <w:rsid w:val="003565B3"/>
    <w:rsid w:val="0035701C"/>
    <w:rsid w:val="0036394F"/>
    <w:rsid w:val="003649D1"/>
    <w:rsid w:val="00380D31"/>
    <w:rsid w:val="003827AD"/>
    <w:rsid w:val="00384FC3"/>
    <w:rsid w:val="003914D9"/>
    <w:rsid w:val="003A3804"/>
    <w:rsid w:val="003A40E2"/>
    <w:rsid w:val="003A52BE"/>
    <w:rsid w:val="003A5866"/>
    <w:rsid w:val="003A6E9F"/>
    <w:rsid w:val="003B7E13"/>
    <w:rsid w:val="003C2D9F"/>
    <w:rsid w:val="003C3528"/>
    <w:rsid w:val="003D4CD6"/>
    <w:rsid w:val="003E1FCF"/>
    <w:rsid w:val="003E788D"/>
    <w:rsid w:val="003F4793"/>
    <w:rsid w:val="00400B9A"/>
    <w:rsid w:val="00400F34"/>
    <w:rsid w:val="00402393"/>
    <w:rsid w:val="0040748D"/>
    <w:rsid w:val="00415C75"/>
    <w:rsid w:val="004228C7"/>
    <w:rsid w:val="00424D50"/>
    <w:rsid w:val="0042798B"/>
    <w:rsid w:val="0043222D"/>
    <w:rsid w:val="00434913"/>
    <w:rsid w:val="004474F8"/>
    <w:rsid w:val="00447C57"/>
    <w:rsid w:val="00450A04"/>
    <w:rsid w:val="00460388"/>
    <w:rsid w:val="00463E9C"/>
    <w:rsid w:val="004725FC"/>
    <w:rsid w:val="00476CA7"/>
    <w:rsid w:val="00477550"/>
    <w:rsid w:val="004824BB"/>
    <w:rsid w:val="004844A8"/>
    <w:rsid w:val="00486D89"/>
    <w:rsid w:val="00490F76"/>
    <w:rsid w:val="00491BEF"/>
    <w:rsid w:val="00491E9D"/>
    <w:rsid w:val="00496803"/>
    <w:rsid w:val="004A3964"/>
    <w:rsid w:val="004B024C"/>
    <w:rsid w:val="004B0D13"/>
    <w:rsid w:val="004B6688"/>
    <w:rsid w:val="004B74FA"/>
    <w:rsid w:val="004B7FA1"/>
    <w:rsid w:val="004C2E2B"/>
    <w:rsid w:val="004D1625"/>
    <w:rsid w:val="004F4E34"/>
    <w:rsid w:val="00506E6E"/>
    <w:rsid w:val="005074C6"/>
    <w:rsid w:val="00511D20"/>
    <w:rsid w:val="00522BC7"/>
    <w:rsid w:val="005244A4"/>
    <w:rsid w:val="00527783"/>
    <w:rsid w:val="005278C7"/>
    <w:rsid w:val="00535B5E"/>
    <w:rsid w:val="0054257B"/>
    <w:rsid w:val="00542A71"/>
    <w:rsid w:val="005578DC"/>
    <w:rsid w:val="00566B50"/>
    <w:rsid w:val="0057405B"/>
    <w:rsid w:val="0058138D"/>
    <w:rsid w:val="005814B5"/>
    <w:rsid w:val="00581EDA"/>
    <w:rsid w:val="00586442"/>
    <w:rsid w:val="00587F46"/>
    <w:rsid w:val="00591F70"/>
    <w:rsid w:val="005A291A"/>
    <w:rsid w:val="005B0D20"/>
    <w:rsid w:val="005C4A14"/>
    <w:rsid w:val="005C4ED0"/>
    <w:rsid w:val="005D3E9D"/>
    <w:rsid w:val="005D5D95"/>
    <w:rsid w:val="005E0D93"/>
    <w:rsid w:val="005E29EA"/>
    <w:rsid w:val="005E4C99"/>
    <w:rsid w:val="005E7D81"/>
    <w:rsid w:val="00603322"/>
    <w:rsid w:val="00603A46"/>
    <w:rsid w:val="00603AF0"/>
    <w:rsid w:val="00604E42"/>
    <w:rsid w:val="00607547"/>
    <w:rsid w:val="00616B4C"/>
    <w:rsid w:val="00624D6E"/>
    <w:rsid w:val="006256D3"/>
    <w:rsid w:val="00627BB7"/>
    <w:rsid w:val="006344B9"/>
    <w:rsid w:val="0063739A"/>
    <w:rsid w:val="00644A13"/>
    <w:rsid w:val="006471FA"/>
    <w:rsid w:val="0065136E"/>
    <w:rsid w:val="0066479C"/>
    <w:rsid w:val="00665315"/>
    <w:rsid w:val="00670D71"/>
    <w:rsid w:val="00687ECC"/>
    <w:rsid w:val="00695D91"/>
    <w:rsid w:val="00695F3C"/>
    <w:rsid w:val="00697C1D"/>
    <w:rsid w:val="006A00E5"/>
    <w:rsid w:val="006E7DCE"/>
    <w:rsid w:val="006F1793"/>
    <w:rsid w:val="007050FF"/>
    <w:rsid w:val="0070596A"/>
    <w:rsid w:val="007133F1"/>
    <w:rsid w:val="00714005"/>
    <w:rsid w:val="00717CCD"/>
    <w:rsid w:val="00726751"/>
    <w:rsid w:val="00734D54"/>
    <w:rsid w:val="00743B2B"/>
    <w:rsid w:val="00745B79"/>
    <w:rsid w:val="00746EC1"/>
    <w:rsid w:val="007472B2"/>
    <w:rsid w:val="00752764"/>
    <w:rsid w:val="00762430"/>
    <w:rsid w:val="00762F77"/>
    <w:rsid w:val="0076682C"/>
    <w:rsid w:val="00766962"/>
    <w:rsid w:val="00774643"/>
    <w:rsid w:val="00775287"/>
    <w:rsid w:val="00776612"/>
    <w:rsid w:val="00781C79"/>
    <w:rsid w:val="007843C4"/>
    <w:rsid w:val="007B3A5C"/>
    <w:rsid w:val="007B7631"/>
    <w:rsid w:val="007B7FDF"/>
    <w:rsid w:val="007D33F4"/>
    <w:rsid w:val="007E133B"/>
    <w:rsid w:val="007E25B1"/>
    <w:rsid w:val="007E3900"/>
    <w:rsid w:val="007F311D"/>
    <w:rsid w:val="007F3ABE"/>
    <w:rsid w:val="007F7C00"/>
    <w:rsid w:val="007F7FB2"/>
    <w:rsid w:val="00800B46"/>
    <w:rsid w:val="00802F08"/>
    <w:rsid w:val="00806991"/>
    <w:rsid w:val="0081553D"/>
    <w:rsid w:val="00816E0C"/>
    <w:rsid w:val="008249D1"/>
    <w:rsid w:val="00825E19"/>
    <w:rsid w:val="00831A2F"/>
    <w:rsid w:val="008328E9"/>
    <w:rsid w:val="00835638"/>
    <w:rsid w:val="00835BCB"/>
    <w:rsid w:val="00835CDC"/>
    <w:rsid w:val="008465FE"/>
    <w:rsid w:val="00850B09"/>
    <w:rsid w:val="00857746"/>
    <w:rsid w:val="00863B9D"/>
    <w:rsid w:val="00863BE6"/>
    <w:rsid w:val="00875462"/>
    <w:rsid w:val="008775BC"/>
    <w:rsid w:val="00881917"/>
    <w:rsid w:val="00882661"/>
    <w:rsid w:val="00882F1B"/>
    <w:rsid w:val="00883A54"/>
    <w:rsid w:val="008977E5"/>
    <w:rsid w:val="008A70CE"/>
    <w:rsid w:val="008B659C"/>
    <w:rsid w:val="008C25E4"/>
    <w:rsid w:val="008C2DAE"/>
    <w:rsid w:val="008C59EB"/>
    <w:rsid w:val="008F6687"/>
    <w:rsid w:val="008F6A50"/>
    <w:rsid w:val="009059A9"/>
    <w:rsid w:val="009129A3"/>
    <w:rsid w:val="00913505"/>
    <w:rsid w:val="009138DA"/>
    <w:rsid w:val="009226AC"/>
    <w:rsid w:val="009248C9"/>
    <w:rsid w:val="0092515E"/>
    <w:rsid w:val="00933122"/>
    <w:rsid w:val="00941723"/>
    <w:rsid w:val="00942FBD"/>
    <w:rsid w:val="0094770B"/>
    <w:rsid w:val="0095590A"/>
    <w:rsid w:val="009626BE"/>
    <w:rsid w:val="009627B2"/>
    <w:rsid w:val="00963DA4"/>
    <w:rsid w:val="0096430E"/>
    <w:rsid w:val="009655F8"/>
    <w:rsid w:val="00973739"/>
    <w:rsid w:val="00973B73"/>
    <w:rsid w:val="00975E44"/>
    <w:rsid w:val="0097758C"/>
    <w:rsid w:val="009777B0"/>
    <w:rsid w:val="00977B6A"/>
    <w:rsid w:val="009837E7"/>
    <w:rsid w:val="00985767"/>
    <w:rsid w:val="00986AE6"/>
    <w:rsid w:val="009A1374"/>
    <w:rsid w:val="009B2267"/>
    <w:rsid w:val="009C315E"/>
    <w:rsid w:val="009C460A"/>
    <w:rsid w:val="009C4F2E"/>
    <w:rsid w:val="009C721C"/>
    <w:rsid w:val="009C79BE"/>
    <w:rsid w:val="009E0AE8"/>
    <w:rsid w:val="009E3FEE"/>
    <w:rsid w:val="009E5374"/>
    <w:rsid w:val="009F0C3D"/>
    <w:rsid w:val="009F22AD"/>
    <w:rsid w:val="009F345D"/>
    <w:rsid w:val="009F6240"/>
    <w:rsid w:val="00A02DC3"/>
    <w:rsid w:val="00A038A0"/>
    <w:rsid w:val="00A103F9"/>
    <w:rsid w:val="00A13218"/>
    <w:rsid w:val="00A16ADD"/>
    <w:rsid w:val="00A17151"/>
    <w:rsid w:val="00A227A3"/>
    <w:rsid w:val="00A22ED9"/>
    <w:rsid w:val="00A2595B"/>
    <w:rsid w:val="00A268B2"/>
    <w:rsid w:val="00A26E80"/>
    <w:rsid w:val="00A31448"/>
    <w:rsid w:val="00A34AA7"/>
    <w:rsid w:val="00A35666"/>
    <w:rsid w:val="00A3572F"/>
    <w:rsid w:val="00A35BDA"/>
    <w:rsid w:val="00A37D4F"/>
    <w:rsid w:val="00A44886"/>
    <w:rsid w:val="00A46D6F"/>
    <w:rsid w:val="00A55928"/>
    <w:rsid w:val="00A603F3"/>
    <w:rsid w:val="00A60B73"/>
    <w:rsid w:val="00A62B3E"/>
    <w:rsid w:val="00A637B6"/>
    <w:rsid w:val="00A77D00"/>
    <w:rsid w:val="00A80080"/>
    <w:rsid w:val="00A85614"/>
    <w:rsid w:val="00A90003"/>
    <w:rsid w:val="00A90321"/>
    <w:rsid w:val="00A92432"/>
    <w:rsid w:val="00AA02D4"/>
    <w:rsid w:val="00AA03C2"/>
    <w:rsid w:val="00AB1AB2"/>
    <w:rsid w:val="00AB24A9"/>
    <w:rsid w:val="00AB4951"/>
    <w:rsid w:val="00AB65EF"/>
    <w:rsid w:val="00AC2554"/>
    <w:rsid w:val="00AD01AD"/>
    <w:rsid w:val="00AD4069"/>
    <w:rsid w:val="00AD42F0"/>
    <w:rsid w:val="00AE4FF2"/>
    <w:rsid w:val="00AE7CFF"/>
    <w:rsid w:val="00B035E4"/>
    <w:rsid w:val="00B059E2"/>
    <w:rsid w:val="00B13548"/>
    <w:rsid w:val="00B156F6"/>
    <w:rsid w:val="00B17CEF"/>
    <w:rsid w:val="00B17EFC"/>
    <w:rsid w:val="00B20C36"/>
    <w:rsid w:val="00B27CB5"/>
    <w:rsid w:val="00B315A0"/>
    <w:rsid w:val="00B34A18"/>
    <w:rsid w:val="00B34AF2"/>
    <w:rsid w:val="00B43841"/>
    <w:rsid w:val="00B468CE"/>
    <w:rsid w:val="00B52CE4"/>
    <w:rsid w:val="00B579CB"/>
    <w:rsid w:val="00B57F70"/>
    <w:rsid w:val="00B626CD"/>
    <w:rsid w:val="00B6398B"/>
    <w:rsid w:val="00B671F4"/>
    <w:rsid w:val="00B67FE1"/>
    <w:rsid w:val="00B70083"/>
    <w:rsid w:val="00B7121F"/>
    <w:rsid w:val="00B73554"/>
    <w:rsid w:val="00B73B3A"/>
    <w:rsid w:val="00B773E1"/>
    <w:rsid w:val="00B83EF9"/>
    <w:rsid w:val="00B86B29"/>
    <w:rsid w:val="00B947D5"/>
    <w:rsid w:val="00BA0174"/>
    <w:rsid w:val="00BA66E2"/>
    <w:rsid w:val="00BB28F6"/>
    <w:rsid w:val="00BB31F3"/>
    <w:rsid w:val="00BB6F8F"/>
    <w:rsid w:val="00BC1B16"/>
    <w:rsid w:val="00BC2609"/>
    <w:rsid w:val="00BC54A2"/>
    <w:rsid w:val="00BD2907"/>
    <w:rsid w:val="00BD4486"/>
    <w:rsid w:val="00BD4DA4"/>
    <w:rsid w:val="00BD565E"/>
    <w:rsid w:val="00BE49B0"/>
    <w:rsid w:val="00BF1A31"/>
    <w:rsid w:val="00C0528F"/>
    <w:rsid w:val="00C1184B"/>
    <w:rsid w:val="00C1292B"/>
    <w:rsid w:val="00C13145"/>
    <w:rsid w:val="00C20858"/>
    <w:rsid w:val="00C24C41"/>
    <w:rsid w:val="00C26AC6"/>
    <w:rsid w:val="00C3561B"/>
    <w:rsid w:val="00C54833"/>
    <w:rsid w:val="00C54848"/>
    <w:rsid w:val="00C65A25"/>
    <w:rsid w:val="00C817CB"/>
    <w:rsid w:val="00C8780E"/>
    <w:rsid w:val="00CA32AC"/>
    <w:rsid w:val="00CA3862"/>
    <w:rsid w:val="00CA7384"/>
    <w:rsid w:val="00CB0157"/>
    <w:rsid w:val="00CB7334"/>
    <w:rsid w:val="00CC61ED"/>
    <w:rsid w:val="00CC668D"/>
    <w:rsid w:val="00CD002B"/>
    <w:rsid w:val="00CE1E10"/>
    <w:rsid w:val="00CE2084"/>
    <w:rsid w:val="00CE750F"/>
    <w:rsid w:val="00CF06B6"/>
    <w:rsid w:val="00CF15EA"/>
    <w:rsid w:val="00CF4496"/>
    <w:rsid w:val="00D03679"/>
    <w:rsid w:val="00D05019"/>
    <w:rsid w:val="00D058F6"/>
    <w:rsid w:val="00D07680"/>
    <w:rsid w:val="00D122F6"/>
    <w:rsid w:val="00D154CC"/>
    <w:rsid w:val="00D160CB"/>
    <w:rsid w:val="00D212A5"/>
    <w:rsid w:val="00D245A1"/>
    <w:rsid w:val="00D31F04"/>
    <w:rsid w:val="00D3734D"/>
    <w:rsid w:val="00D412FB"/>
    <w:rsid w:val="00D415E2"/>
    <w:rsid w:val="00D42055"/>
    <w:rsid w:val="00D554E0"/>
    <w:rsid w:val="00D61885"/>
    <w:rsid w:val="00D630B8"/>
    <w:rsid w:val="00D647C3"/>
    <w:rsid w:val="00D81789"/>
    <w:rsid w:val="00D93258"/>
    <w:rsid w:val="00D93F1D"/>
    <w:rsid w:val="00D9633A"/>
    <w:rsid w:val="00D965BC"/>
    <w:rsid w:val="00DA4E72"/>
    <w:rsid w:val="00DA5D84"/>
    <w:rsid w:val="00DA7A6C"/>
    <w:rsid w:val="00DA7E51"/>
    <w:rsid w:val="00DB2172"/>
    <w:rsid w:val="00DB7CAF"/>
    <w:rsid w:val="00DC6424"/>
    <w:rsid w:val="00DD206E"/>
    <w:rsid w:val="00DD4889"/>
    <w:rsid w:val="00DE0776"/>
    <w:rsid w:val="00DE3825"/>
    <w:rsid w:val="00DE486D"/>
    <w:rsid w:val="00DF02FE"/>
    <w:rsid w:val="00DF0924"/>
    <w:rsid w:val="00DF13F8"/>
    <w:rsid w:val="00DF2386"/>
    <w:rsid w:val="00DF7FE7"/>
    <w:rsid w:val="00E166C6"/>
    <w:rsid w:val="00E21FBB"/>
    <w:rsid w:val="00E30CBA"/>
    <w:rsid w:val="00E326E3"/>
    <w:rsid w:val="00E46367"/>
    <w:rsid w:val="00E50966"/>
    <w:rsid w:val="00E51F31"/>
    <w:rsid w:val="00E5511F"/>
    <w:rsid w:val="00E60216"/>
    <w:rsid w:val="00E63F0B"/>
    <w:rsid w:val="00E70E88"/>
    <w:rsid w:val="00E75F82"/>
    <w:rsid w:val="00E81D16"/>
    <w:rsid w:val="00E82D0D"/>
    <w:rsid w:val="00E92301"/>
    <w:rsid w:val="00E94620"/>
    <w:rsid w:val="00E96D3E"/>
    <w:rsid w:val="00E9702A"/>
    <w:rsid w:val="00EA3A7F"/>
    <w:rsid w:val="00EA5DAF"/>
    <w:rsid w:val="00EB462B"/>
    <w:rsid w:val="00EC0273"/>
    <w:rsid w:val="00ED1FA0"/>
    <w:rsid w:val="00EE71D8"/>
    <w:rsid w:val="00F00320"/>
    <w:rsid w:val="00F0280E"/>
    <w:rsid w:val="00F0326E"/>
    <w:rsid w:val="00F04C78"/>
    <w:rsid w:val="00F078F1"/>
    <w:rsid w:val="00F14AFA"/>
    <w:rsid w:val="00F32D03"/>
    <w:rsid w:val="00F333AE"/>
    <w:rsid w:val="00F344DE"/>
    <w:rsid w:val="00F36CA5"/>
    <w:rsid w:val="00F41FB4"/>
    <w:rsid w:val="00F45DD5"/>
    <w:rsid w:val="00F478F9"/>
    <w:rsid w:val="00F63609"/>
    <w:rsid w:val="00F73E71"/>
    <w:rsid w:val="00F74A3E"/>
    <w:rsid w:val="00F87914"/>
    <w:rsid w:val="00F90438"/>
    <w:rsid w:val="00F91FB8"/>
    <w:rsid w:val="00F95970"/>
    <w:rsid w:val="00FA7462"/>
    <w:rsid w:val="00FB3CAC"/>
    <w:rsid w:val="00FC6300"/>
    <w:rsid w:val="00FD3D90"/>
    <w:rsid w:val="00FF19D7"/>
    <w:rsid w:val="00FF3BD8"/>
    <w:rsid w:val="00FF54E8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F73C88"/>
  <w15:docId w15:val="{FC8C86F0-2D5A-436B-897F-E8D1A5E6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4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C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4D1625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843C4"/>
    <w:pPr>
      <w:ind w:left="0" w:firstLine="0"/>
    </w:pPr>
    <w:rPr>
      <w:rFonts w:eastAsia="Yu Mincho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64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C64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B7631"/>
    <w:pPr>
      <w:autoSpaceDE w:val="0"/>
      <w:autoSpaceDN w:val="0"/>
      <w:adjustRightInd w:val="0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B7631"/>
    <w:pPr>
      <w:widowControl w:val="0"/>
      <w:ind w:left="827" w:hanging="708"/>
    </w:pPr>
    <w:rPr>
      <w:rFonts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B7631"/>
    <w:rPr>
      <w:rFonts w:ascii="Calibri" w:eastAsia="Calibri" w:hAnsi="Calibri"/>
      <w:lang w:val="en-US"/>
    </w:rPr>
  </w:style>
  <w:style w:type="paragraph" w:styleId="NormalWeb">
    <w:name w:val="Normal (Web)"/>
    <w:basedOn w:val="Normal"/>
    <w:uiPriority w:val="99"/>
    <w:unhideWhenUsed/>
    <w:rsid w:val="007B7631"/>
    <w:pPr>
      <w:spacing w:before="100" w:beforeAutospacing="1" w:after="100" w:afterAutospacing="1"/>
      <w:ind w:left="0" w:firstLine="0"/>
    </w:pPr>
    <w:rPr>
      <w:rFonts w:ascii="Times New Roman" w:eastAsiaTheme="minorHAnsi" w:hAnsi="Times New Roman"/>
      <w:sz w:val="24"/>
      <w:szCs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C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1">
    <w:name w:val="p1"/>
    <w:basedOn w:val="Normal"/>
    <w:rsid w:val="00015C8E"/>
    <w:pPr>
      <w:ind w:left="0" w:firstLine="0"/>
    </w:pPr>
    <w:rPr>
      <w:rFonts w:ascii="Times" w:eastAsiaTheme="minorHAnsi" w:hAnsi="Times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DB29C2AB6EB75541991FB3E24043BFB600582F7F37840F594BBCB087811BB6529F" ma:contentTypeVersion="24" ma:contentTypeDescription="SPIRE Document" ma:contentTypeScope="" ma:versionID="45a9d200ca0bc6cd93f3542b9e74c4e2">
  <xsd:schema xmlns:xsd="http://www.w3.org/2001/XMLSchema" xmlns:xs="http://www.w3.org/2001/XMLSchema" xmlns:p="http://schemas.microsoft.com/office/2006/metadata/properties" xmlns:ns2="5af92df4-ae3d-4772-abff-92e7cba13994" xmlns:ns3="http://schemas.microsoft.com/sharepoint/v4" targetNamespace="http://schemas.microsoft.com/office/2006/metadata/properties" ma:root="true" ma:fieldsID="ad856c9fd6ce3e2418f8237cf12b7dcb" ns2:_="" ns3:_="">
    <xsd:import namespace="5af92df4-ae3d-4772-abff-92e7cba139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2:Division" minOccurs="0"/>
                <xsd:element ref="ns2:Branch" minOccurs="0"/>
                <xsd:element ref="ns2:Se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92df4-ae3d-4772-abff-92e7cba1399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International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  <xsd:element name="Division" ma:index="12" nillable="true" ma:displayName="Division" ma:description="Department Division" ma:hidden="true" ma:SearchPeopleOnly="false" ma:internalName="Divis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ranch" ma:index="13" nillable="true" ma:displayName="Branch" ma:description="Department Branch" ma:hidden="true" ma:SearchPeopleOnly="false" ma:internalName="Branch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tion" ma:index="14" nillable="true" ma:displayName="Section" ma:description="Department Section" ma:hidden="true" ma:SearchPeopleOnly="false" ma:internalName="Sect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5af92df4-ae3d-4772-abff-92e7cba13994" xsi:nil="true"/>
    <Function xmlns="5af92df4-ae3d-4772-abff-92e7cba13994">International</Function>
    <Section xmlns="5af92df4-ae3d-4772-abff-92e7cba13994">
      <UserInfo>
        <DisplayName/>
        <AccountId xsi:nil="true"/>
        <AccountType/>
      </UserInfo>
    </Section>
    <RecordNumber xmlns="5af92df4-ae3d-4772-abff-92e7cba13994" xsi:nil="true"/>
    <IconOverlay xmlns="http://schemas.microsoft.com/sharepoint/v4" xsi:nil="true"/>
    <Division xmlns="5af92df4-ae3d-4772-abff-92e7cba13994">
      <UserInfo>
        <DisplayName/>
        <AccountId xsi:nil="true"/>
        <AccountType/>
      </UserInfo>
    </Division>
    <DocumentDescription xmlns="5af92df4-ae3d-4772-abff-92e7cba13994" xsi:nil="true"/>
    <Branch xmlns="5af92df4-ae3d-4772-abff-92e7cba13994">
      <UserInfo>
        <DisplayName/>
        <AccountId xsi:nil="true"/>
        <AccountType/>
      </UserInfo>
    </Branch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98732-12CD-4FDB-8294-CBBF47525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92df4-ae3d-4772-abff-92e7cba139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A399B-199E-4E8E-B45E-437F95D59F0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62D6A4-A5C7-49F5-822C-909B25E79499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D3B545D4-7A6D-4782-A897-B7531D604A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9DE30D-9469-4031-ACF5-3BEB5D720E26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5af92df4-ae3d-4772-abff-92e7cba13994"/>
    <ds:schemaRef ds:uri="http://purl.org/dc/elements/1.1/"/>
    <ds:schemaRef ds:uri="http://schemas.openxmlformats.org/package/2006/metadata/core-properties"/>
    <ds:schemaRef ds:uri="http://schemas.microsoft.com/sharepoint/v4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1A63B61C-C299-47CC-B65E-94F323AC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1905</Words>
  <Characters>10859</Characters>
  <Application>Microsoft Office Word</Application>
  <DocSecurity>0</DocSecurity>
  <Lines>90</Lines>
  <Paragraphs>25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6" baseType="lpstr">
      <vt:lpstr/>
      <vt:lpstr/>
      <vt:lpstr/>
      <vt:lpstr/>
      <vt:lpstr>    </vt:lpstr>
      <vt:lpstr>    </vt:lpstr>
    </vt:vector>
  </TitlesOfParts>
  <Company>IUCN</Company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Ramsar\KatzM</dc:creator>
  <cp:lastModifiedBy>Ed Jennings</cp:lastModifiedBy>
  <cp:revision>3</cp:revision>
  <cp:lastPrinted>2022-03-16T05:35:00Z</cp:lastPrinted>
  <dcterms:created xsi:type="dcterms:W3CDTF">2022-03-25T12:44:00Z</dcterms:created>
  <dcterms:modified xsi:type="dcterms:W3CDTF">2022-03-29T11:26:00Z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0x010100DB29C2AB6EB75541991FB3E24043BFB600582F7F37840F594BBCB087811BB6529F</vt:lpwstr>
  </property>
  <property fmtid="{D5CDD505-2E9C-101B-9397-08002B2CF9AE}" pid="3" name="RecordPoint_ActiveItemUniqueId">
    <vt:lpwstr>{086ae4ea-fc5f-4716-a749-55eafd89fd66}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{a8f0bc9d-7c61-4d87-8154-4194e40ae5d3}</vt:lpwstr>
  </property>
  <property fmtid="{D5CDD505-2E9C-101B-9397-08002B2CF9AE}" pid="6" name="RecordPoint_ActiveItemListId">
    <vt:lpwstr>{5dd4d19f-453b-4598-8756-d997d940362f}</vt:lpwstr>
  </property>
  <property fmtid="{D5CDD505-2E9C-101B-9397-08002B2CF9AE}" pid="7" name="RecordPoint_ActiveItemWebId">
    <vt:lpwstr>{5af92df4-ae3d-4772-abff-92e7cba13994}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RecordFormat">
    <vt:lpwstr/>
  </property>
  <property fmtid="{D5CDD505-2E9C-101B-9397-08002B2CF9AE}" pid="11" name="RecordPoint_ActiveItemMoved">
    <vt:lpwstr/>
  </property>
  <property fmtid="{D5CDD505-2E9C-101B-9397-08002B2CF9AE}" pid="12" name="RecordPoint_SubmissionCompleted">
    <vt:lpwstr/>
  </property>
</Properties>
</file>