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6C8D3" w14:textId="6EA8B5C4" w:rsidR="00275F13" w:rsidRPr="00060079" w:rsidRDefault="00B158A7"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060079">
        <w:rPr>
          <w:bCs/>
          <w:sz w:val="24"/>
          <w:szCs w:val="24"/>
        </w:rPr>
        <w:t xml:space="preserve">LA CONVENCIÓN SOBRE LOS HUMEDALES </w:t>
      </w:r>
    </w:p>
    <w:p w14:paraId="344FA639" w14:textId="4D056F30" w:rsidR="00E6620D" w:rsidRDefault="00FE7D64" w:rsidP="00014168">
      <w:pPr>
        <w:pBdr>
          <w:top w:val="single" w:sz="12" w:space="0" w:color="auto" w:shadow="1"/>
          <w:left w:val="single" w:sz="12" w:space="4" w:color="auto" w:shadow="1"/>
          <w:bottom w:val="single" w:sz="12" w:space="1" w:color="auto" w:shadow="1"/>
          <w:right w:val="single" w:sz="12" w:space="7" w:color="auto" w:shadow="1"/>
        </w:pBdr>
        <w:ind w:right="2790"/>
        <w:rPr>
          <w:bCs/>
          <w:color w:val="000000" w:themeColor="text1"/>
          <w:sz w:val="24"/>
          <w:szCs w:val="24"/>
        </w:rPr>
      </w:pPr>
      <w:r w:rsidRPr="00060079">
        <w:rPr>
          <w:bCs/>
          <w:color w:val="000000" w:themeColor="text1"/>
          <w:sz w:val="24"/>
          <w:szCs w:val="24"/>
        </w:rPr>
        <w:t>59</w:t>
      </w:r>
      <w:r w:rsidR="00E6620D" w:rsidRPr="00060079">
        <w:rPr>
          <w:bCs/>
          <w:color w:val="000000" w:themeColor="text1"/>
          <w:sz w:val="24"/>
          <w:szCs w:val="24"/>
        </w:rPr>
        <w:t>ª R</w:t>
      </w:r>
      <w:r w:rsidRPr="00060079">
        <w:rPr>
          <w:bCs/>
          <w:color w:val="000000" w:themeColor="text1"/>
          <w:sz w:val="24"/>
          <w:szCs w:val="24"/>
        </w:rPr>
        <w:t>eunión del Comité Permanente</w:t>
      </w:r>
    </w:p>
    <w:p w14:paraId="4CF75AF4" w14:textId="77777777" w:rsidR="003C289F" w:rsidRPr="00060079" w:rsidRDefault="003C289F" w:rsidP="003C289F">
      <w:pPr>
        <w:pBdr>
          <w:top w:val="single" w:sz="12" w:space="0" w:color="auto" w:shadow="1"/>
          <w:left w:val="single" w:sz="12" w:space="4" w:color="auto" w:shadow="1"/>
          <w:bottom w:val="single" w:sz="12" w:space="1" w:color="auto" w:shadow="1"/>
          <w:right w:val="single" w:sz="12" w:space="7" w:color="auto" w:shadow="1"/>
        </w:pBdr>
        <w:ind w:right="2790"/>
        <w:rPr>
          <w:bCs/>
          <w:color w:val="000000" w:themeColor="text1"/>
          <w:sz w:val="24"/>
          <w:szCs w:val="24"/>
        </w:rPr>
      </w:pPr>
      <w:r w:rsidRPr="00060079">
        <w:rPr>
          <w:bCs/>
          <w:color w:val="000000" w:themeColor="text1"/>
          <w:sz w:val="24"/>
          <w:szCs w:val="24"/>
        </w:rPr>
        <w:t>Reanudación de la reunión</w:t>
      </w:r>
    </w:p>
    <w:p w14:paraId="71BD3130" w14:textId="691AA4AD" w:rsidR="00DF2386" w:rsidRPr="00060079"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060079">
        <w:rPr>
          <w:bCs/>
          <w:sz w:val="24"/>
          <w:szCs w:val="24"/>
        </w:rPr>
        <w:t>Gland, Suiza, 2</w:t>
      </w:r>
      <w:r w:rsidR="00E6620D" w:rsidRPr="00060079">
        <w:rPr>
          <w:bCs/>
          <w:sz w:val="24"/>
          <w:szCs w:val="24"/>
        </w:rPr>
        <w:t xml:space="preserve">3 a 27 de mayo de </w:t>
      </w:r>
      <w:r w:rsidRPr="00060079">
        <w:rPr>
          <w:bCs/>
          <w:sz w:val="24"/>
          <w:szCs w:val="24"/>
        </w:rPr>
        <w:t>202</w:t>
      </w:r>
      <w:r w:rsidR="00D16E11">
        <w:rPr>
          <w:bCs/>
          <w:sz w:val="24"/>
          <w:szCs w:val="24"/>
        </w:rPr>
        <w:t>2</w:t>
      </w:r>
      <w:bookmarkStart w:id="0" w:name="_GoBack"/>
      <w:bookmarkEnd w:id="0"/>
    </w:p>
    <w:p w14:paraId="0214F2F5" w14:textId="77777777" w:rsidR="00DF2386" w:rsidRPr="00060079" w:rsidRDefault="00DF2386" w:rsidP="00014168">
      <w:pPr>
        <w:outlineLvl w:val="0"/>
        <w:rPr>
          <w:b/>
          <w:sz w:val="28"/>
        </w:rPr>
      </w:pPr>
    </w:p>
    <w:p w14:paraId="78B93F7F" w14:textId="0888C4EF" w:rsidR="00DF2386" w:rsidRPr="00060079" w:rsidRDefault="00F45E02" w:rsidP="00014168">
      <w:pPr>
        <w:jc w:val="right"/>
        <w:rPr>
          <w:b/>
          <w:sz w:val="28"/>
        </w:rPr>
      </w:pPr>
      <w:r w:rsidRPr="00060079">
        <w:rPr>
          <w:b/>
          <w:sz w:val="28"/>
          <w:szCs w:val="28"/>
        </w:rPr>
        <w:t>SC59</w:t>
      </w:r>
      <w:r w:rsidR="00E6620D" w:rsidRPr="00060079">
        <w:rPr>
          <w:b/>
          <w:sz w:val="28"/>
          <w:szCs w:val="28"/>
        </w:rPr>
        <w:t>/2022</w:t>
      </w:r>
      <w:r w:rsidRPr="00060079">
        <w:rPr>
          <w:b/>
          <w:sz w:val="28"/>
          <w:szCs w:val="28"/>
        </w:rPr>
        <w:t xml:space="preserve"> Doc.</w:t>
      </w:r>
      <w:r w:rsidR="00FE7D64" w:rsidRPr="00060079">
        <w:rPr>
          <w:b/>
          <w:sz w:val="28"/>
          <w:szCs w:val="28"/>
        </w:rPr>
        <w:t>20.2</w:t>
      </w:r>
    </w:p>
    <w:p w14:paraId="75C5E891" w14:textId="77777777" w:rsidR="00DF2386" w:rsidRPr="00060079" w:rsidRDefault="00DF2386" w:rsidP="00014168">
      <w:pPr>
        <w:rPr>
          <w:rFonts w:cs="Arial"/>
          <w:b/>
          <w:sz w:val="28"/>
          <w:szCs w:val="28"/>
        </w:rPr>
      </w:pPr>
    </w:p>
    <w:p w14:paraId="4477F624" w14:textId="77777777" w:rsidR="00DF2386" w:rsidRPr="00060079" w:rsidRDefault="006546E5" w:rsidP="00014168">
      <w:pPr>
        <w:jc w:val="center"/>
        <w:rPr>
          <w:rFonts w:cs="Arial"/>
          <w:b/>
          <w:sz w:val="28"/>
          <w:szCs w:val="28"/>
        </w:rPr>
      </w:pPr>
      <w:r w:rsidRPr="00060079">
        <w:rPr>
          <w:rFonts w:asciiTheme="minorHAnsi" w:hAnsiTheme="minorHAnsi"/>
          <w:b/>
          <w:sz w:val="28"/>
        </w:rPr>
        <w:t>Informe de la Secretaría sobre la COP14</w:t>
      </w:r>
    </w:p>
    <w:p w14:paraId="492A9978" w14:textId="77777777" w:rsidR="00DF2386" w:rsidRPr="00060079" w:rsidRDefault="00DF2386" w:rsidP="00014168">
      <w:pPr>
        <w:rPr>
          <w:rFonts w:ascii="Garamond" w:hAnsi="Garamond"/>
          <w:b/>
          <w:sz w:val="28"/>
        </w:rPr>
      </w:pPr>
    </w:p>
    <w:p w14:paraId="024E7AFF" w14:textId="77777777" w:rsidR="000C2489" w:rsidRPr="00060079" w:rsidRDefault="000C2489" w:rsidP="00014168">
      <w:pPr>
        <w:autoSpaceDE w:val="0"/>
        <w:autoSpaceDN w:val="0"/>
        <w:adjustRightInd w:val="0"/>
        <w:rPr>
          <w:rFonts w:asciiTheme="minorHAnsi" w:eastAsiaTheme="minorHAnsi" w:hAnsiTheme="minorHAnsi" w:cs="Calibri-Bold"/>
          <w:b/>
          <w:bCs/>
        </w:rPr>
      </w:pPr>
      <w:r w:rsidRPr="00060079">
        <w:rPr>
          <w:noProof/>
          <w:lang w:val="en-GB" w:eastAsia="en-GB"/>
        </w:rPr>
        <mc:AlternateContent>
          <mc:Choice Requires="wps">
            <w:drawing>
              <wp:inline distT="0" distB="0" distL="0" distR="0" wp14:anchorId="72F9D872" wp14:editId="41F0AF0C">
                <wp:extent cx="5731510" cy="72390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23900"/>
                        </a:xfrm>
                        <a:prstGeom prst="rect">
                          <a:avLst/>
                        </a:prstGeom>
                        <a:solidFill>
                          <a:srgbClr val="FFFFFF"/>
                        </a:solidFill>
                        <a:ln w="9525">
                          <a:solidFill>
                            <a:srgbClr val="000000"/>
                          </a:solidFill>
                          <a:miter lim="800000"/>
                          <a:headEnd/>
                          <a:tailEnd/>
                        </a:ln>
                      </wps:spPr>
                      <wps:txbx>
                        <w:txbxContent>
                          <w:p w14:paraId="33AA9A50" w14:textId="77777777" w:rsidR="000C2489" w:rsidRDefault="000C2489" w:rsidP="000C2489">
                            <w:pPr>
                              <w:rPr>
                                <w:b/>
                                <w:bCs/>
                              </w:rPr>
                            </w:pPr>
                            <w:r>
                              <w:rPr>
                                <w:b/>
                                <w:bCs/>
                              </w:rPr>
                              <w:t xml:space="preserve">Acción solicitada: </w:t>
                            </w:r>
                          </w:p>
                          <w:p w14:paraId="32EECFF2" w14:textId="77777777" w:rsidR="000C2489" w:rsidRDefault="000C2489" w:rsidP="000C2489">
                            <w:pPr>
                              <w:pStyle w:val="ColorfulList-Accent11"/>
                              <w:ind w:left="0"/>
                            </w:pPr>
                          </w:p>
                          <w:p w14:paraId="0236132D" w14:textId="218EB7BD" w:rsidR="000C2489" w:rsidRPr="00FE7D64" w:rsidRDefault="003E3FEC" w:rsidP="00FE7D64">
                            <w:pPr>
                              <w:pStyle w:val="ColorfulList-Accent11"/>
                              <w:ind w:left="0" w:firstLine="0"/>
                              <w:rPr>
                                <w:rFonts w:cs="Calibri"/>
                              </w:rPr>
                            </w:pPr>
                            <w:r>
                              <w:t>Se invita al Comité Permanente a tomar nota de este informe.</w:t>
                            </w:r>
                          </w:p>
                          <w:p w14:paraId="6F8A58F9" w14:textId="77777777" w:rsidR="000C2489" w:rsidRPr="00F32D03" w:rsidRDefault="000C2489" w:rsidP="00275F13">
                            <w:pPr>
                              <w:pStyle w:val="ColorfulList-Accent11"/>
                              <w:ind w:left="-425" w:firstLine="0"/>
                            </w:pPr>
                          </w:p>
                          <w:p w14:paraId="3936E0E9" w14:textId="369AE98F" w:rsidR="00A04197" w:rsidRPr="00F32D03" w:rsidRDefault="00A04197" w:rsidP="00FE7D64">
                            <w:pPr>
                              <w:pStyle w:val="ColorfulList-Accent11"/>
                            </w:pPr>
                          </w:p>
                          <w:p w14:paraId="190E05F9" w14:textId="77777777" w:rsidR="000C2489" w:rsidRPr="00F32D03" w:rsidRDefault="000C2489" w:rsidP="00275F13">
                            <w:pPr>
                              <w:pStyle w:val="ColorfulList-Accent11"/>
                              <w:ind w:left="-425" w:firstLine="0"/>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2F9D872" id="_x0000_t202" coordsize="21600,21600" o:spt="202" path="m,l,21600r21600,l21600,xe">
                <v:stroke joinstyle="miter"/>
                <v:path gradientshapeok="t" o:connecttype="rect"/>
              </v:shapetype>
              <v:shape id="Text Box 1" o:spid="_x0000_s1026" type="#_x0000_t202" style="width:451.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">
                <v:textbox>
                  <w:txbxContent>
                    <w:p w14:paraId="33AA9A50" w14:textId="77777777" w:rsidR="000C2489" w:rsidRDefault="000C2489" w:rsidP="000C2489">
                      <w:pPr>
                        <w:rPr>
                          <w:b/>
                          <w:bCs/>
                        </w:rPr>
                      </w:pPr>
                      <w:r>
                        <w:rPr>
                          <w:b/>
                          <w:bCs/>
                        </w:rPr>
                        <w:t xml:space="preserve">Acción solicitada: </w:t>
                      </w:r>
                    </w:p>
                    <w:p w14:paraId="32EECFF2" w14:textId="77777777" w:rsidR="000C2489" w:rsidRDefault="000C2489" w:rsidP="000C2489">
                      <w:pPr>
                        <w:pStyle w:val="ColorfulList-Accent11"/>
                        <w:ind w:left="0"/>
                      </w:pPr>
                    </w:p>
                    <w:p w14:paraId="0236132D" w14:textId="218EB7BD" w:rsidR="000C2489" w:rsidRPr="00FE7D64" w:rsidRDefault="003E3FEC" w:rsidP="00FE7D64">
                      <w:pPr>
                        <w:pStyle w:val="ColorfulList-Accent11"/>
                        <w:ind w:left="0" w:firstLine="0"/>
                        <w:rPr>
                          <w:rFonts w:cs="Calibri"/>
                        </w:rPr>
                      </w:pPr>
                      <w:r>
                        <w:t>Se invita al Comité Permanente a tomar nota de este informe.</w:t>
                      </w:r>
                    </w:p>
                    <w:p w14:paraId="6F8A58F9" w14:textId="77777777" w:rsidR="000C2489" w:rsidRPr="00F32D03" w:rsidRDefault="000C2489" w:rsidP="00275F13">
                      <w:pPr>
                        <w:pStyle w:val="ColorfulList-Accent11"/>
                        <w:ind w:left="-425" w:firstLine="0"/>
                      </w:pPr>
                    </w:p>
                    <w:p w14:paraId="3936E0E9" w14:textId="369AE98F" w:rsidR="00A04197" w:rsidRPr="00F32D03" w:rsidRDefault="00A04197" w:rsidP="00FE7D64">
                      <w:pPr>
                        <w:pStyle w:val="ColorfulList-Accent11"/>
                      </w:pPr>
                    </w:p>
                    <w:p w14:paraId="190E05F9" w14:textId="77777777" w:rsidR="000C2489" w:rsidRPr="00F32D03" w:rsidRDefault="000C2489" w:rsidP="00275F13">
                      <w:pPr>
                        <w:pStyle w:val="ColorfulList-Accent11"/>
                        <w:ind w:left="-425" w:firstLine="0"/>
                      </w:pPr>
                    </w:p>
                  </w:txbxContent>
                </v:textbox>
                <w10:anchorlock/>
              </v:shape>
            </w:pict>
          </mc:Fallback>
        </mc:AlternateContent>
      </w:r>
    </w:p>
    <w:p w14:paraId="1184781F" w14:textId="35AB2DD4" w:rsidR="00421A37" w:rsidRDefault="00421A37" w:rsidP="00A53343">
      <w:pPr>
        <w:ind w:left="0" w:firstLine="0"/>
        <w:rPr>
          <w:rFonts w:cs="Arial"/>
          <w:b/>
        </w:rPr>
      </w:pPr>
    </w:p>
    <w:p w14:paraId="0309F4F0" w14:textId="77777777" w:rsidR="000F247A" w:rsidRPr="00060079" w:rsidRDefault="000F247A" w:rsidP="00A53343">
      <w:pPr>
        <w:ind w:left="0" w:firstLine="0"/>
        <w:rPr>
          <w:rFonts w:cs="Arial"/>
          <w:b/>
        </w:rPr>
      </w:pPr>
    </w:p>
    <w:p w14:paraId="6B3A5B95" w14:textId="646F00F4" w:rsidR="000C2489" w:rsidRPr="00060079" w:rsidRDefault="005540F2" w:rsidP="00A53343">
      <w:pPr>
        <w:ind w:left="0" w:firstLine="0"/>
        <w:rPr>
          <w:rFonts w:cs="Arial"/>
          <w:b/>
        </w:rPr>
      </w:pPr>
      <w:r w:rsidRPr="00060079">
        <w:rPr>
          <w:b/>
        </w:rPr>
        <w:t>Antecedentes</w:t>
      </w:r>
    </w:p>
    <w:p w14:paraId="38D8412A" w14:textId="77777777" w:rsidR="000C2489" w:rsidRPr="00060079" w:rsidRDefault="000C2489" w:rsidP="00A53343">
      <w:pPr>
        <w:ind w:left="0" w:firstLine="0"/>
        <w:rPr>
          <w:rFonts w:ascii="Garamond" w:hAnsi="Garamond" w:cs="Arial"/>
        </w:rPr>
      </w:pPr>
    </w:p>
    <w:p w14:paraId="5B48C099" w14:textId="19716E7D" w:rsidR="001A2D10" w:rsidRPr="00060079" w:rsidRDefault="00275F13" w:rsidP="00A53343">
      <w:pPr>
        <w:ind w:left="426" w:hanging="426"/>
        <w:rPr>
          <w:rFonts w:asciiTheme="minorHAnsi" w:hAnsiTheme="minorHAnsi" w:cstheme="minorHAnsi"/>
        </w:rPr>
      </w:pPr>
      <w:r w:rsidRPr="00060079">
        <w:t>1.</w:t>
      </w:r>
      <w:r w:rsidRPr="00060079">
        <w:rPr>
          <w:rFonts w:asciiTheme="minorHAnsi" w:hAnsiTheme="minorHAnsi"/>
        </w:rPr>
        <w:tab/>
        <w:t>En su 57</w:t>
      </w:r>
      <w:r w:rsidR="00E6620D" w:rsidRPr="00060079">
        <w:rPr>
          <w:rFonts w:asciiTheme="minorHAnsi" w:hAnsiTheme="minorHAnsi"/>
        </w:rPr>
        <w:t>ª</w:t>
      </w:r>
      <w:r w:rsidRPr="00060079">
        <w:rPr>
          <w:rFonts w:asciiTheme="minorHAnsi" w:hAnsiTheme="minorHAnsi"/>
        </w:rPr>
        <w:t xml:space="preserve"> reunión (SC57), el Comité Permanente aceptó por aclamación el ofrecimiento de China de acoger la 14</w:t>
      </w:r>
      <w:r w:rsidR="00E6620D" w:rsidRPr="00060079">
        <w:rPr>
          <w:rFonts w:asciiTheme="minorHAnsi" w:hAnsiTheme="minorHAnsi"/>
        </w:rPr>
        <w:t>ª</w:t>
      </w:r>
      <w:r w:rsidRPr="00060079">
        <w:rPr>
          <w:rFonts w:asciiTheme="minorHAnsi" w:hAnsiTheme="minorHAnsi"/>
        </w:rPr>
        <w:t xml:space="preserve"> reunión de la Conferencia de las Partes Contratantes (COP14) en Wuhan</w:t>
      </w:r>
      <w:r w:rsidR="00E6620D" w:rsidRPr="00060079">
        <w:rPr>
          <w:rFonts w:asciiTheme="minorHAnsi" w:hAnsiTheme="minorHAnsi"/>
        </w:rPr>
        <w:t xml:space="preserve"> (</w:t>
      </w:r>
      <w:r w:rsidRPr="00060079">
        <w:rPr>
          <w:rFonts w:asciiTheme="minorHAnsi" w:hAnsiTheme="minorHAnsi"/>
        </w:rPr>
        <w:t>China</w:t>
      </w:r>
      <w:r w:rsidR="00E6620D" w:rsidRPr="00060079">
        <w:rPr>
          <w:rFonts w:asciiTheme="minorHAnsi" w:hAnsiTheme="minorHAnsi"/>
        </w:rPr>
        <w:t>)</w:t>
      </w:r>
      <w:r w:rsidRPr="00060079">
        <w:rPr>
          <w:rFonts w:asciiTheme="minorHAnsi" w:hAnsiTheme="minorHAnsi"/>
        </w:rPr>
        <w:t xml:space="preserve">. </w:t>
      </w:r>
    </w:p>
    <w:p w14:paraId="11118D58" w14:textId="77777777" w:rsidR="001A2D10" w:rsidRPr="00060079" w:rsidRDefault="001A2D10" w:rsidP="00A53343">
      <w:pPr>
        <w:pStyle w:val="ListParagraph"/>
        <w:ind w:left="426" w:hanging="426"/>
        <w:rPr>
          <w:rFonts w:asciiTheme="minorHAnsi" w:hAnsiTheme="minorHAnsi" w:cstheme="minorHAnsi"/>
        </w:rPr>
      </w:pPr>
    </w:p>
    <w:p w14:paraId="696821B0" w14:textId="6D12DDFD" w:rsidR="005540F2" w:rsidRPr="00060079" w:rsidRDefault="00275F13" w:rsidP="00A53343">
      <w:pPr>
        <w:pStyle w:val="NoSpacing"/>
        <w:ind w:left="426" w:hanging="426"/>
        <w:rPr>
          <w:rFonts w:asciiTheme="minorHAnsi" w:hAnsiTheme="minorHAnsi" w:cstheme="minorHAnsi"/>
          <w:spacing w:val="-4"/>
        </w:rPr>
      </w:pPr>
      <w:r w:rsidRPr="00060079">
        <w:rPr>
          <w:rFonts w:asciiTheme="minorHAnsi" w:hAnsiTheme="minorHAnsi"/>
        </w:rPr>
        <w:t>2.</w:t>
      </w:r>
      <w:r w:rsidRPr="00060079">
        <w:rPr>
          <w:rFonts w:asciiTheme="minorHAnsi" w:hAnsiTheme="minorHAnsi"/>
        </w:rPr>
        <w:tab/>
        <w:t>El Comité Permanente adoptó la Decisión SC57-18 como sigue: "El Comité Permanente estableció el Subgrupo sobre la COP14, presidido por China e integrado también por Argelia, Armenia, Australia, Austria, Costa Rica, los Emiratos Árabes Unidos, los Estados Unidos de América, Francia, los Países Bajos, el Reino Unido de Gran Bretaña e Irlanda del Norte y Suiza, para supervisar el proceso de planificación de la COP14 y desarrollar ideas sobre la celebración del 50º aniversario de la Convención en 2021, solicitando el apoyo de otras Partes Contratantes según sea necesario</w:t>
      </w:r>
      <w:r w:rsidR="00EF6FCA" w:rsidRPr="00060079">
        <w:rPr>
          <w:rFonts w:asciiTheme="minorHAnsi" w:hAnsiTheme="minorHAnsi"/>
        </w:rPr>
        <w:t>"</w:t>
      </w:r>
      <w:r w:rsidRPr="00060079">
        <w:rPr>
          <w:rFonts w:asciiTheme="minorHAnsi" w:hAnsiTheme="minorHAnsi"/>
        </w:rPr>
        <w:t>.</w:t>
      </w:r>
    </w:p>
    <w:p w14:paraId="1D068AF0" w14:textId="0F69E1DA" w:rsidR="00FE7D64" w:rsidRPr="00060079" w:rsidRDefault="00FE7D64" w:rsidP="00A53343">
      <w:pPr>
        <w:pStyle w:val="NoSpacing"/>
        <w:ind w:left="426" w:hanging="426"/>
        <w:rPr>
          <w:rFonts w:asciiTheme="minorHAnsi" w:hAnsiTheme="minorHAnsi" w:cstheme="minorHAnsi"/>
          <w:spacing w:val="-4"/>
        </w:rPr>
      </w:pPr>
    </w:p>
    <w:p w14:paraId="26A0CDCA" w14:textId="7749C8CD" w:rsidR="00540C0F" w:rsidRPr="00060079" w:rsidRDefault="00275F13" w:rsidP="00B76945">
      <w:pPr>
        <w:contextualSpacing/>
      </w:pPr>
      <w:r w:rsidRPr="00060079">
        <w:rPr>
          <w:rFonts w:asciiTheme="minorHAnsi" w:hAnsiTheme="minorHAnsi"/>
        </w:rPr>
        <w:t>3.</w:t>
      </w:r>
      <w:r w:rsidRPr="00060079">
        <w:rPr>
          <w:rFonts w:asciiTheme="minorHAnsi" w:hAnsiTheme="minorHAnsi"/>
        </w:rPr>
        <w:tab/>
      </w:r>
      <w:r w:rsidRPr="00060079">
        <w:rPr>
          <w:rFonts w:asciiTheme="minorHAnsi" w:hAnsiTheme="minorHAnsi"/>
          <w:color w:val="000000" w:themeColor="text1"/>
        </w:rPr>
        <w:t xml:space="preserve">Tras </w:t>
      </w:r>
      <w:r w:rsidR="00E6620D" w:rsidRPr="00060079">
        <w:rPr>
          <w:rFonts w:asciiTheme="minorHAnsi" w:hAnsiTheme="minorHAnsi"/>
          <w:color w:val="000000" w:themeColor="text1"/>
        </w:rPr>
        <w:t xml:space="preserve">el </w:t>
      </w:r>
      <w:r w:rsidR="00060079" w:rsidRPr="00060079">
        <w:rPr>
          <w:rFonts w:asciiTheme="minorHAnsi" w:hAnsiTheme="minorHAnsi"/>
          <w:color w:val="000000" w:themeColor="text1"/>
        </w:rPr>
        <w:t>brote</w:t>
      </w:r>
      <w:r w:rsidR="00E6620D" w:rsidRPr="00060079">
        <w:rPr>
          <w:rFonts w:asciiTheme="minorHAnsi" w:hAnsiTheme="minorHAnsi"/>
          <w:color w:val="000000" w:themeColor="text1"/>
        </w:rPr>
        <w:t xml:space="preserve"> de la pandemia </w:t>
      </w:r>
      <w:r w:rsidR="00E6620D" w:rsidRPr="00060079">
        <w:rPr>
          <w:rFonts w:asciiTheme="minorHAnsi" w:hAnsiTheme="minorHAnsi"/>
        </w:rPr>
        <w:t>de COVID a principios de 2020 y en 2021</w:t>
      </w:r>
      <w:r w:rsidR="00B76945" w:rsidRPr="00060079">
        <w:rPr>
          <w:rFonts w:asciiTheme="minorHAnsi" w:hAnsiTheme="minorHAnsi"/>
        </w:rPr>
        <w:t>, la Secretaría y el país anfitrión</w:t>
      </w:r>
      <w:r w:rsidR="00060079" w:rsidRPr="00060079">
        <w:rPr>
          <w:rFonts w:asciiTheme="minorHAnsi" w:hAnsiTheme="minorHAnsi"/>
        </w:rPr>
        <w:t>,</w:t>
      </w:r>
      <w:r w:rsidR="00B76945" w:rsidRPr="00060079">
        <w:rPr>
          <w:rFonts w:asciiTheme="minorHAnsi" w:hAnsiTheme="minorHAnsi"/>
        </w:rPr>
        <w:t xml:space="preserve"> junto con el Subgrupo sobre la COP14</w:t>
      </w:r>
      <w:r w:rsidR="00060079" w:rsidRPr="00060079">
        <w:rPr>
          <w:rFonts w:asciiTheme="minorHAnsi" w:hAnsiTheme="minorHAnsi"/>
        </w:rPr>
        <w:t>,</w:t>
      </w:r>
      <w:r w:rsidR="00B76945" w:rsidRPr="00060079">
        <w:rPr>
          <w:rFonts w:asciiTheme="minorHAnsi" w:hAnsiTheme="minorHAnsi"/>
        </w:rPr>
        <w:t xml:space="preserve"> siguieron vigilando la situación para determinar si las Partes se podrían reunir presencialmente en Wuhan (China) en 2021. Dada la imposibilidad de que las Partes pudieran reunirse de forma presencial en esas fechas, el Subgrupo recomendó que el Comité Permanente aplazara la COP14 hasta 2022. En la Decisión SC59-10, el Comité Permanente </w:t>
      </w:r>
      <w:r w:rsidR="00B76945" w:rsidRPr="00060079">
        <w:rPr>
          <w:rFonts w:cs="Calibri"/>
        </w:rPr>
        <w:t xml:space="preserve">“aprobó la realización de la COP14 en el período propuesto, del 21 al 29 de noviembre de 2022, y aceptó presentar las nuevas fechas para la COP14 en la reunión </w:t>
      </w:r>
      <w:r w:rsidR="00060079" w:rsidRPr="00060079">
        <w:rPr>
          <w:rFonts w:cs="Calibri"/>
        </w:rPr>
        <w:t>extraordinaria</w:t>
      </w:r>
      <w:r w:rsidR="00B76945" w:rsidRPr="00060079">
        <w:rPr>
          <w:rFonts w:cs="Calibri"/>
        </w:rPr>
        <w:t xml:space="preserve"> de la COP que se llevaría a cabo en 2021”. Además, en la Decisión SC59-11, el Comité Permanente “pidió al país anfitrión y a la Secretaría que, en consulta con el Subgrupo sobre la COP14, examinara las opciones sobre el posible número de participantes en la reunión para tener en cuenta los comentarios de los miembros del Comité Permanente”.</w:t>
      </w:r>
    </w:p>
    <w:p w14:paraId="7B144E11" w14:textId="77777777" w:rsidR="000C2489" w:rsidRPr="00060079" w:rsidRDefault="000C2489" w:rsidP="00A53343">
      <w:pPr>
        <w:pStyle w:val="NoSpacing"/>
        <w:ind w:left="426" w:hanging="426"/>
        <w:rPr>
          <w:rFonts w:asciiTheme="minorHAnsi" w:hAnsiTheme="minorHAnsi" w:cstheme="minorHAnsi"/>
        </w:rPr>
      </w:pPr>
    </w:p>
    <w:p w14:paraId="3DAE794D" w14:textId="42BE58BD" w:rsidR="00207617" w:rsidRPr="00060079" w:rsidRDefault="00275F13" w:rsidP="00207617">
      <w:pPr>
        <w:autoSpaceDE w:val="0"/>
        <w:autoSpaceDN w:val="0"/>
        <w:adjustRightInd w:val="0"/>
        <w:ind w:left="426" w:hanging="426"/>
        <w:rPr>
          <w:rFonts w:cs="Calibri"/>
        </w:rPr>
      </w:pPr>
      <w:r w:rsidRPr="00060079">
        <w:rPr>
          <w:rFonts w:asciiTheme="minorHAnsi" w:hAnsiTheme="minorHAnsi"/>
        </w:rPr>
        <w:t>4.</w:t>
      </w:r>
      <w:r w:rsidRPr="00060079">
        <w:rPr>
          <w:rFonts w:asciiTheme="minorHAnsi" w:hAnsiTheme="minorHAnsi"/>
        </w:rPr>
        <w:tab/>
      </w:r>
      <w:r w:rsidR="00681B5F" w:rsidRPr="00060079">
        <w:rPr>
          <w:rFonts w:asciiTheme="minorHAnsi" w:hAnsiTheme="minorHAnsi"/>
        </w:rPr>
        <w:t xml:space="preserve">De conformidad con los artículos </w:t>
      </w:r>
      <w:r w:rsidR="00207617" w:rsidRPr="00060079">
        <w:rPr>
          <w:rFonts w:eastAsia="SimSun" w:cs="Calibri"/>
        </w:rPr>
        <w:t xml:space="preserve">4.3 </w:t>
      </w:r>
      <w:r w:rsidR="00681B5F" w:rsidRPr="00060079">
        <w:rPr>
          <w:rFonts w:eastAsia="SimSun" w:cs="Calibri"/>
        </w:rPr>
        <w:t>y</w:t>
      </w:r>
      <w:r w:rsidR="00207617" w:rsidRPr="00060079">
        <w:rPr>
          <w:rFonts w:eastAsia="SimSun" w:cs="Calibri"/>
        </w:rPr>
        <w:t xml:space="preserve"> 5 (2) </w:t>
      </w:r>
      <w:r w:rsidR="00681B5F" w:rsidRPr="00060079">
        <w:rPr>
          <w:rFonts w:eastAsia="SimSun" w:cs="Calibri"/>
        </w:rPr>
        <w:t xml:space="preserve">del </w:t>
      </w:r>
      <w:r w:rsidR="00575AC6">
        <w:rPr>
          <w:rFonts w:eastAsia="SimSun" w:cs="Calibri"/>
        </w:rPr>
        <w:t>r</w:t>
      </w:r>
      <w:r w:rsidR="00681B5F" w:rsidRPr="00060079">
        <w:rPr>
          <w:rFonts w:eastAsia="SimSun" w:cs="Calibri"/>
        </w:rPr>
        <w:t xml:space="preserve">eglamento, la Secretaría organizó la Tercera Reunión Extraordinaria de la Conferencia de las Partes del 25 al 29 de octubre y </w:t>
      </w:r>
      <w:r w:rsidR="00EE071F" w:rsidRPr="00060079">
        <w:rPr>
          <w:rFonts w:eastAsia="SimSun" w:cs="Calibri"/>
        </w:rPr>
        <w:t xml:space="preserve">el 4 de noviembre de 2021 con el fin de aprobar </w:t>
      </w:r>
      <w:r w:rsidR="00575AC6">
        <w:rPr>
          <w:rFonts w:eastAsia="SimSun" w:cs="Calibri"/>
        </w:rPr>
        <w:t xml:space="preserve">la continuación del </w:t>
      </w:r>
      <w:r w:rsidR="00EE071F" w:rsidRPr="00060079">
        <w:rPr>
          <w:rFonts w:eastAsia="SimSun" w:cs="Calibri"/>
        </w:rPr>
        <w:t xml:space="preserve">presupuesto para la Convención y aprobar las fechas del 21 al 29 de noviembre de 2022 para la </w:t>
      </w:r>
      <w:r w:rsidR="00207617" w:rsidRPr="00060079">
        <w:rPr>
          <w:rFonts w:cs="Calibri"/>
        </w:rPr>
        <w:t xml:space="preserve">COP14. </w:t>
      </w:r>
    </w:p>
    <w:p w14:paraId="69705E5B" w14:textId="77777777" w:rsidR="00207617" w:rsidRPr="00060079" w:rsidRDefault="00207617" w:rsidP="00207617">
      <w:pPr>
        <w:ind w:left="0" w:firstLine="0"/>
        <w:contextualSpacing/>
        <w:rPr>
          <w:rFonts w:cs="Calibri"/>
        </w:rPr>
      </w:pPr>
    </w:p>
    <w:p w14:paraId="16E0ABAB" w14:textId="742AED1F" w:rsidR="00207617" w:rsidRPr="00060079" w:rsidRDefault="00207617" w:rsidP="00207617">
      <w:pPr>
        <w:tabs>
          <w:tab w:val="left" w:pos="426"/>
        </w:tabs>
        <w:ind w:left="426" w:hanging="426"/>
        <w:contextualSpacing/>
        <w:rPr>
          <w:rFonts w:cs="Calibri"/>
          <w:b/>
        </w:rPr>
      </w:pPr>
      <w:r w:rsidRPr="00060079">
        <w:rPr>
          <w:rFonts w:cs="Calibri"/>
        </w:rPr>
        <w:t>5.</w:t>
      </w:r>
      <w:r w:rsidRPr="00060079">
        <w:rPr>
          <w:rFonts w:cs="Calibri"/>
        </w:rPr>
        <w:tab/>
      </w:r>
      <w:r w:rsidR="00EE071F" w:rsidRPr="00060079">
        <w:rPr>
          <w:rFonts w:cs="Calibri"/>
        </w:rPr>
        <w:t xml:space="preserve">En la Resolución </w:t>
      </w:r>
      <w:r w:rsidRPr="00060079">
        <w:rPr>
          <w:rFonts w:cs="Calibri"/>
        </w:rPr>
        <w:t>ExCOP3.1</w:t>
      </w:r>
      <w:r w:rsidR="00EE071F" w:rsidRPr="00060079">
        <w:rPr>
          <w:rFonts w:cs="Calibri"/>
        </w:rPr>
        <w:t xml:space="preserve">, las Partes decidieron </w:t>
      </w:r>
      <w:r w:rsidR="00575AC6" w:rsidRPr="00060079">
        <w:rPr>
          <w:rFonts w:cs="Calibri"/>
        </w:rPr>
        <w:t>posponer</w:t>
      </w:r>
      <w:r w:rsidR="00EE071F" w:rsidRPr="00060079">
        <w:rPr>
          <w:rFonts w:cs="Calibri"/>
        </w:rPr>
        <w:t xml:space="preserve"> la </w:t>
      </w:r>
      <w:r w:rsidRPr="00060079">
        <w:rPr>
          <w:rFonts w:asciiTheme="minorHAnsi" w:hAnsiTheme="minorHAnsi" w:cstheme="minorHAnsi"/>
          <w:iCs/>
          <w:kern w:val="22"/>
        </w:rPr>
        <w:t xml:space="preserve">COP14 </w:t>
      </w:r>
      <w:r w:rsidR="00EE071F" w:rsidRPr="00060079">
        <w:rPr>
          <w:rFonts w:asciiTheme="minorHAnsi" w:hAnsiTheme="minorHAnsi" w:cstheme="minorHAnsi"/>
          <w:iCs/>
          <w:kern w:val="22"/>
        </w:rPr>
        <w:t xml:space="preserve">a los días </w:t>
      </w:r>
      <w:r w:rsidRPr="00060079">
        <w:rPr>
          <w:rFonts w:asciiTheme="minorHAnsi" w:hAnsiTheme="minorHAnsi" w:cstheme="minorHAnsi"/>
          <w:iCs/>
          <w:kern w:val="22"/>
        </w:rPr>
        <w:t>21</w:t>
      </w:r>
      <w:r w:rsidR="00EE071F" w:rsidRPr="00060079">
        <w:rPr>
          <w:rFonts w:asciiTheme="minorHAnsi" w:hAnsiTheme="minorHAnsi" w:cstheme="minorHAnsi"/>
          <w:iCs/>
          <w:kern w:val="22"/>
        </w:rPr>
        <w:t xml:space="preserve"> a </w:t>
      </w:r>
      <w:r w:rsidRPr="00060079">
        <w:rPr>
          <w:rFonts w:asciiTheme="minorHAnsi" w:hAnsiTheme="minorHAnsi" w:cstheme="minorHAnsi"/>
          <w:iCs/>
          <w:kern w:val="22"/>
        </w:rPr>
        <w:t xml:space="preserve">29 </w:t>
      </w:r>
      <w:r w:rsidR="00EE071F" w:rsidRPr="00060079">
        <w:rPr>
          <w:rFonts w:asciiTheme="minorHAnsi" w:hAnsiTheme="minorHAnsi" w:cstheme="minorHAnsi"/>
          <w:iCs/>
          <w:kern w:val="22"/>
        </w:rPr>
        <w:t>de noviembre de 2</w:t>
      </w:r>
      <w:r w:rsidRPr="00060079">
        <w:rPr>
          <w:rFonts w:asciiTheme="minorHAnsi" w:hAnsiTheme="minorHAnsi" w:cstheme="minorHAnsi"/>
          <w:iCs/>
          <w:kern w:val="22"/>
        </w:rPr>
        <w:t xml:space="preserve">022 </w:t>
      </w:r>
      <w:r w:rsidR="00EE071F" w:rsidRPr="00060079">
        <w:rPr>
          <w:rFonts w:asciiTheme="minorHAnsi" w:hAnsiTheme="minorHAnsi" w:cstheme="minorHAnsi"/>
          <w:iCs/>
          <w:kern w:val="22"/>
        </w:rPr>
        <w:t>debido al carácter excepcional de las circunstancias derivadas de la pandemia de COV</w:t>
      </w:r>
      <w:r w:rsidRPr="00060079">
        <w:rPr>
          <w:rFonts w:asciiTheme="minorHAnsi" w:hAnsiTheme="minorHAnsi" w:cstheme="minorHAnsi"/>
          <w:kern w:val="22"/>
        </w:rPr>
        <w:t>ID-19</w:t>
      </w:r>
      <w:r w:rsidR="00966AFC">
        <w:rPr>
          <w:rFonts w:asciiTheme="minorHAnsi" w:hAnsiTheme="minorHAnsi" w:cstheme="minorHAnsi"/>
          <w:kern w:val="22"/>
        </w:rPr>
        <w:t>. A</w:t>
      </w:r>
      <w:r w:rsidR="00EE071F" w:rsidRPr="00060079">
        <w:rPr>
          <w:rFonts w:asciiTheme="minorHAnsi" w:hAnsiTheme="minorHAnsi" w:cstheme="minorHAnsi"/>
          <w:kern w:val="22"/>
        </w:rPr>
        <w:t xml:space="preserve">demás, </w:t>
      </w:r>
      <w:r w:rsidR="00575AC6">
        <w:rPr>
          <w:rFonts w:asciiTheme="minorHAnsi" w:hAnsiTheme="minorHAnsi" w:cstheme="minorHAnsi"/>
          <w:kern w:val="22"/>
        </w:rPr>
        <w:t>pidieron</w:t>
      </w:r>
      <w:r w:rsidR="00EE071F" w:rsidRPr="00060079">
        <w:rPr>
          <w:rFonts w:asciiTheme="minorHAnsi" w:hAnsiTheme="minorHAnsi" w:cstheme="minorHAnsi"/>
          <w:kern w:val="22"/>
        </w:rPr>
        <w:t xml:space="preserve"> al país anfitrión y a la Secretaría que, con el apoyo del </w:t>
      </w:r>
      <w:r w:rsidR="00EE071F" w:rsidRPr="00060079">
        <w:rPr>
          <w:rFonts w:asciiTheme="minorHAnsi" w:hAnsiTheme="minorHAnsi" w:cstheme="minorHAnsi"/>
          <w:kern w:val="22"/>
        </w:rPr>
        <w:lastRenderedPageBreak/>
        <w:t xml:space="preserve">Subgrupo sobre la COP14 del Comité Permanente, </w:t>
      </w:r>
      <w:r w:rsidR="00575AC6" w:rsidRPr="00060079">
        <w:rPr>
          <w:rFonts w:asciiTheme="minorHAnsi" w:hAnsiTheme="minorHAnsi" w:cstheme="minorHAnsi"/>
          <w:kern w:val="22"/>
        </w:rPr>
        <w:t>siguiera</w:t>
      </w:r>
      <w:r w:rsidR="00966AFC">
        <w:rPr>
          <w:rFonts w:asciiTheme="minorHAnsi" w:hAnsiTheme="minorHAnsi" w:cstheme="minorHAnsi"/>
          <w:kern w:val="22"/>
        </w:rPr>
        <w:t>n</w:t>
      </w:r>
      <w:r w:rsidR="00EE071F" w:rsidRPr="00060079">
        <w:rPr>
          <w:rFonts w:asciiTheme="minorHAnsi" w:hAnsiTheme="minorHAnsi" w:cstheme="minorHAnsi"/>
          <w:kern w:val="22"/>
        </w:rPr>
        <w:t xml:space="preserve"> adelante con el proceso de planificación a fin de lograr que la COP14 de 2022 </w:t>
      </w:r>
      <w:r w:rsidR="00575AC6">
        <w:rPr>
          <w:rFonts w:asciiTheme="minorHAnsi" w:hAnsiTheme="minorHAnsi" w:cstheme="minorHAnsi"/>
          <w:kern w:val="22"/>
        </w:rPr>
        <w:t>fuera</w:t>
      </w:r>
      <w:r w:rsidR="00EE071F" w:rsidRPr="00060079">
        <w:rPr>
          <w:rFonts w:asciiTheme="minorHAnsi" w:hAnsiTheme="minorHAnsi" w:cstheme="minorHAnsi"/>
          <w:kern w:val="22"/>
        </w:rPr>
        <w:t xml:space="preserve"> exitosa, inclusiva, ambiciosa y práctica</w:t>
      </w:r>
      <w:r w:rsidRPr="00060079">
        <w:rPr>
          <w:rFonts w:asciiTheme="minorHAnsi" w:hAnsiTheme="minorHAnsi" w:cstheme="minorHAnsi"/>
        </w:rPr>
        <w:t>.</w:t>
      </w:r>
    </w:p>
    <w:p w14:paraId="44267418" w14:textId="77777777" w:rsidR="00207617" w:rsidRPr="00060079" w:rsidRDefault="00207617" w:rsidP="00207617">
      <w:pPr>
        <w:rPr>
          <w:rFonts w:asciiTheme="minorHAnsi" w:hAnsiTheme="minorHAnsi" w:cstheme="minorHAnsi"/>
        </w:rPr>
      </w:pPr>
    </w:p>
    <w:p w14:paraId="1491A4DF" w14:textId="77777777" w:rsidR="00EE071F" w:rsidRPr="00575AC6" w:rsidRDefault="00EE071F" w:rsidP="00EE071F">
      <w:pPr>
        <w:pStyle w:val="NoSpacing"/>
        <w:ind w:left="426" w:hanging="426"/>
        <w:rPr>
          <w:rFonts w:asciiTheme="minorHAnsi" w:hAnsiTheme="minorHAnsi" w:cstheme="minorHAnsi"/>
          <w:b/>
          <w:color w:val="000000" w:themeColor="text1"/>
        </w:rPr>
      </w:pPr>
      <w:r w:rsidRPr="00575AC6">
        <w:rPr>
          <w:rFonts w:asciiTheme="minorHAnsi" w:hAnsiTheme="minorHAnsi"/>
          <w:b/>
          <w:color w:val="000000" w:themeColor="text1"/>
        </w:rPr>
        <w:t>Progresos realizados en los preparativos para la COP14</w:t>
      </w:r>
    </w:p>
    <w:p w14:paraId="5546C1D1" w14:textId="77777777" w:rsidR="00207617" w:rsidRPr="00060079" w:rsidRDefault="00207617" w:rsidP="00207617">
      <w:pPr>
        <w:pStyle w:val="NoSpacing"/>
        <w:ind w:left="426" w:hanging="426"/>
        <w:rPr>
          <w:rFonts w:asciiTheme="minorHAnsi" w:hAnsiTheme="minorHAnsi"/>
          <w:b/>
        </w:rPr>
      </w:pPr>
    </w:p>
    <w:p w14:paraId="168644A6" w14:textId="3FF6471F" w:rsidR="00207617" w:rsidRPr="00060079" w:rsidRDefault="00207617" w:rsidP="00207617">
      <w:pPr>
        <w:pStyle w:val="NoSpacing"/>
        <w:ind w:left="426" w:hanging="426"/>
        <w:rPr>
          <w:rFonts w:asciiTheme="minorHAnsi" w:hAnsiTheme="minorHAnsi" w:cstheme="minorHAnsi"/>
        </w:rPr>
      </w:pPr>
      <w:r w:rsidRPr="00060079">
        <w:rPr>
          <w:rFonts w:asciiTheme="minorHAnsi" w:hAnsiTheme="minorHAnsi" w:cstheme="minorHAnsi"/>
        </w:rPr>
        <w:t>6.</w:t>
      </w:r>
      <w:r w:rsidRPr="00060079">
        <w:rPr>
          <w:rFonts w:asciiTheme="minorHAnsi" w:hAnsiTheme="minorHAnsi" w:cstheme="minorHAnsi"/>
          <w:b/>
        </w:rPr>
        <w:tab/>
      </w:r>
      <w:r w:rsidR="00EE071F" w:rsidRPr="00060079">
        <w:rPr>
          <w:rFonts w:asciiTheme="minorHAnsi" w:hAnsiTheme="minorHAnsi" w:cstheme="minorHAnsi"/>
          <w:bCs/>
        </w:rPr>
        <w:t>China</w:t>
      </w:r>
      <w:r w:rsidR="00EE071F" w:rsidRPr="00060079">
        <w:rPr>
          <w:rFonts w:asciiTheme="minorHAnsi" w:hAnsiTheme="minorHAnsi" w:cstheme="minorHAnsi"/>
        </w:rPr>
        <w:t xml:space="preserve"> convocó una reunión virtual del Subgrupo sobre la </w:t>
      </w:r>
      <w:r w:rsidRPr="00060079">
        <w:rPr>
          <w:rFonts w:asciiTheme="minorHAnsi" w:hAnsiTheme="minorHAnsi" w:cstheme="minorHAnsi"/>
        </w:rPr>
        <w:t xml:space="preserve">COP14 </w:t>
      </w:r>
      <w:r w:rsidR="00EE071F" w:rsidRPr="00060079">
        <w:rPr>
          <w:rFonts w:asciiTheme="minorHAnsi" w:hAnsiTheme="minorHAnsi" w:cstheme="minorHAnsi"/>
        </w:rPr>
        <w:t xml:space="preserve">el 15 de diciembre de 2021 para </w:t>
      </w:r>
      <w:r w:rsidR="00211EDA">
        <w:rPr>
          <w:rFonts w:asciiTheme="minorHAnsi" w:hAnsiTheme="minorHAnsi" w:cstheme="minorHAnsi"/>
        </w:rPr>
        <w:t>presentar</w:t>
      </w:r>
      <w:r w:rsidR="007B551E" w:rsidRPr="00060079">
        <w:rPr>
          <w:rFonts w:asciiTheme="minorHAnsi" w:hAnsiTheme="minorHAnsi" w:cstheme="minorHAnsi"/>
        </w:rPr>
        <w:t xml:space="preserve"> una actualización del país anfitrión y debatir sobre posibles resultados </w:t>
      </w:r>
      <w:r w:rsidR="003D58F7">
        <w:rPr>
          <w:rFonts w:asciiTheme="minorHAnsi" w:hAnsiTheme="minorHAnsi" w:cstheme="minorHAnsi"/>
        </w:rPr>
        <w:t xml:space="preserve">en lo que respecta a la COP14 y las </w:t>
      </w:r>
      <w:r w:rsidR="007B551E" w:rsidRPr="00060079">
        <w:rPr>
          <w:rFonts w:asciiTheme="minorHAnsi" w:hAnsiTheme="minorHAnsi" w:cstheme="minorHAnsi"/>
        </w:rPr>
        <w:t xml:space="preserve">modalidades de </w:t>
      </w:r>
      <w:r w:rsidR="003D58F7">
        <w:rPr>
          <w:rFonts w:asciiTheme="minorHAnsi" w:hAnsiTheme="minorHAnsi" w:cstheme="minorHAnsi"/>
        </w:rPr>
        <w:t>esta.</w:t>
      </w:r>
    </w:p>
    <w:p w14:paraId="38043FFD" w14:textId="77777777" w:rsidR="00207617" w:rsidRPr="00060079" w:rsidRDefault="00207617" w:rsidP="00207617">
      <w:pPr>
        <w:pStyle w:val="NoSpacing"/>
        <w:ind w:left="426" w:hanging="426"/>
        <w:rPr>
          <w:rFonts w:asciiTheme="minorHAnsi" w:hAnsiTheme="minorHAnsi" w:cstheme="minorHAnsi"/>
        </w:rPr>
      </w:pPr>
    </w:p>
    <w:p w14:paraId="792E4D6A" w14:textId="6C7369B5" w:rsidR="00207617" w:rsidRPr="00060079" w:rsidRDefault="00207617" w:rsidP="00207617">
      <w:pPr>
        <w:rPr>
          <w:rFonts w:cstheme="minorHAnsi"/>
        </w:rPr>
      </w:pPr>
      <w:r w:rsidRPr="00060079">
        <w:t>7.</w:t>
      </w:r>
      <w:r w:rsidRPr="00060079">
        <w:tab/>
      </w:r>
      <w:r w:rsidR="007B551E" w:rsidRPr="00060079">
        <w:t xml:space="preserve">Mediante una </w:t>
      </w:r>
      <w:r w:rsidR="00211EDA" w:rsidRPr="00060079">
        <w:t>presentación</w:t>
      </w:r>
      <w:r w:rsidR="007B551E" w:rsidRPr="00060079">
        <w:t xml:space="preserve"> sobre el proceso de </w:t>
      </w:r>
      <w:r w:rsidR="00211EDA" w:rsidRPr="00060079">
        <w:t>preparación</w:t>
      </w:r>
      <w:r w:rsidR="007B551E" w:rsidRPr="00060079">
        <w:t xml:space="preserve"> del país anfitrión, se brindó a los miembros del Subgrupo una actualización sobre la situación de la </w:t>
      </w:r>
      <w:r w:rsidRPr="00060079">
        <w:rPr>
          <w:rFonts w:cstheme="minorHAnsi"/>
        </w:rPr>
        <w:t xml:space="preserve">COVID-19 </w:t>
      </w:r>
      <w:r w:rsidR="007B551E" w:rsidRPr="00060079">
        <w:rPr>
          <w:rFonts w:cstheme="minorHAnsi"/>
        </w:rPr>
        <w:t xml:space="preserve">en China, indicando que el país anfitrión estaba planificando una </w:t>
      </w:r>
      <w:r w:rsidR="00211EDA" w:rsidRPr="00060079">
        <w:rPr>
          <w:rFonts w:cstheme="minorHAnsi"/>
        </w:rPr>
        <w:t>reunión</w:t>
      </w:r>
      <w:r w:rsidR="007B551E" w:rsidRPr="00060079">
        <w:rPr>
          <w:rFonts w:cstheme="minorHAnsi"/>
        </w:rPr>
        <w:t xml:space="preserve"> presencial y esperaba que la </w:t>
      </w:r>
      <w:r w:rsidR="00211EDA" w:rsidRPr="00060079">
        <w:rPr>
          <w:rFonts w:cstheme="minorHAnsi"/>
        </w:rPr>
        <w:t>situación</w:t>
      </w:r>
      <w:r w:rsidR="007B551E" w:rsidRPr="00060079">
        <w:rPr>
          <w:rFonts w:cstheme="minorHAnsi"/>
        </w:rPr>
        <w:t xml:space="preserve"> </w:t>
      </w:r>
      <w:r w:rsidR="00211EDA" w:rsidRPr="00060079">
        <w:rPr>
          <w:rFonts w:cstheme="minorHAnsi"/>
        </w:rPr>
        <w:t>mundial</w:t>
      </w:r>
      <w:r w:rsidR="007B551E" w:rsidRPr="00060079">
        <w:rPr>
          <w:rFonts w:cstheme="minorHAnsi"/>
        </w:rPr>
        <w:t xml:space="preserve"> e</w:t>
      </w:r>
      <w:r w:rsidR="00211EDA">
        <w:rPr>
          <w:rFonts w:cstheme="minorHAnsi"/>
        </w:rPr>
        <w:t>n 2022</w:t>
      </w:r>
      <w:r w:rsidR="007B551E" w:rsidRPr="00060079">
        <w:rPr>
          <w:rFonts w:cstheme="minorHAnsi"/>
        </w:rPr>
        <w:t xml:space="preserve"> permitiera</w:t>
      </w:r>
      <w:r w:rsidR="00211EDA">
        <w:rPr>
          <w:rFonts w:cstheme="minorHAnsi"/>
        </w:rPr>
        <w:t xml:space="preserve"> la celebración de</w:t>
      </w:r>
      <w:r w:rsidR="007B551E" w:rsidRPr="00060079">
        <w:rPr>
          <w:rFonts w:cstheme="minorHAnsi"/>
        </w:rPr>
        <w:t xml:space="preserve"> una reunión </w:t>
      </w:r>
      <w:r w:rsidR="00211EDA">
        <w:rPr>
          <w:rFonts w:cstheme="minorHAnsi"/>
        </w:rPr>
        <w:t>de este tipo</w:t>
      </w:r>
      <w:r w:rsidR="007B551E" w:rsidRPr="00060079">
        <w:rPr>
          <w:rFonts w:cstheme="minorHAnsi"/>
        </w:rPr>
        <w:t xml:space="preserve">. El país anfitrión aportó más </w:t>
      </w:r>
      <w:r w:rsidR="00211EDA" w:rsidRPr="00060079">
        <w:rPr>
          <w:rFonts w:cstheme="minorHAnsi"/>
        </w:rPr>
        <w:t>información</w:t>
      </w:r>
      <w:r w:rsidR="007B551E" w:rsidRPr="00060079">
        <w:rPr>
          <w:rFonts w:cstheme="minorHAnsi"/>
        </w:rPr>
        <w:t xml:space="preserve"> sobre </w:t>
      </w:r>
      <w:r w:rsidR="003D58F7">
        <w:rPr>
          <w:rFonts w:cstheme="minorHAnsi"/>
        </w:rPr>
        <w:t xml:space="preserve">el Centro de Conferencias </w:t>
      </w:r>
      <w:r w:rsidRPr="00060079">
        <w:rPr>
          <w:rFonts w:cstheme="minorHAnsi"/>
        </w:rPr>
        <w:t>East</w:t>
      </w:r>
      <w:r w:rsidR="003D58F7">
        <w:rPr>
          <w:rFonts w:cstheme="minorHAnsi"/>
        </w:rPr>
        <w:t xml:space="preserve"> L</w:t>
      </w:r>
      <w:r w:rsidRPr="00060079">
        <w:rPr>
          <w:rFonts w:cstheme="minorHAnsi"/>
        </w:rPr>
        <w:t>ake</w:t>
      </w:r>
      <w:r w:rsidR="003D58F7">
        <w:rPr>
          <w:rFonts w:cstheme="minorHAnsi"/>
        </w:rPr>
        <w:t xml:space="preserve"> y</w:t>
      </w:r>
      <w:r w:rsidR="007B551E" w:rsidRPr="00060079">
        <w:rPr>
          <w:rFonts w:cstheme="minorHAnsi"/>
        </w:rPr>
        <w:t xml:space="preserve"> su propuesta </w:t>
      </w:r>
      <w:r w:rsidR="003D58F7">
        <w:rPr>
          <w:rFonts w:cstheme="minorHAnsi"/>
        </w:rPr>
        <w:t xml:space="preserve">sobre la disposición de asientos en la </w:t>
      </w:r>
      <w:r w:rsidR="007B551E" w:rsidRPr="00060079">
        <w:rPr>
          <w:rFonts w:cstheme="minorHAnsi"/>
        </w:rPr>
        <w:t xml:space="preserve">sala plenaria, señalando que el salón </w:t>
      </w:r>
      <w:r w:rsidR="003D58F7">
        <w:rPr>
          <w:rFonts w:cstheme="minorHAnsi"/>
        </w:rPr>
        <w:t xml:space="preserve">principal </w:t>
      </w:r>
      <w:r w:rsidR="007B551E" w:rsidRPr="00060079">
        <w:rPr>
          <w:rFonts w:cstheme="minorHAnsi"/>
        </w:rPr>
        <w:t xml:space="preserve">podría </w:t>
      </w:r>
      <w:r w:rsidR="003D58F7">
        <w:rPr>
          <w:rFonts w:cstheme="minorHAnsi"/>
        </w:rPr>
        <w:t xml:space="preserve">acoger </w:t>
      </w:r>
      <w:r w:rsidR="007B551E" w:rsidRPr="00060079">
        <w:rPr>
          <w:rFonts w:cstheme="minorHAnsi"/>
        </w:rPr>
        <w:t xml:space="preserve">a </w:t>
      </w:r>
      <w:r w:rsidRPr="00060079">
        <w:rPr>
          <w:rFonts w:cstheme="minorHAnsi"/>
        </w:rPr>
        <w:t>1</w:t>
      </w:r>
      <w:r w:rsidR="007B551E" w:rsidRPr="00060079">
        <w:rPr>
          <w:rFonts w:cstheme="minorHAnsi"/>
        </w:rPr>
        <w:t xml:space="preserve"> </w:t>
      </w:r>
      <w:r w:rsidRPr="00060079">
        <w:rPr>
          <w:rFonts w:cstheme="minorHAnsi"/>
        </w:rPr>
        <w:t xml:space="preserve">066 </w:t>
      </w:r>
      <w:r w:rsidR="007B551E" w:rsidRPr="00060079">
        <w:rPr>
          <w:rFonts w:cstheme="minorHAnsi"/>
        </w:rPr>
        <w:t xml:space="preserve">personas y que habría un auditorio </w:t>
      </w:r>
      <w:r w:rsidR="003D58F7">
        <w:rPr>
          <w:rFonts w:cstheme="minorHAnsi"/>
        </w:rPr>
        <w:t xml:space="preserve">contiguo </w:t>
      </w:r>
      <w:r w:rsidR="007B551E" w:rsidRPr="00060079">
        <w:rPr>
          <w:rFonts w:cstheme="minorHAnsi"/>
        </w:rPr>
        <w:t>para</w:t>
      </w:r>
      <w:r w:rsidR="003D58F7">
        <w:rPr>
          <w:rFonts w:cstheme="minorHAnsi"/>
        </w:rPr>
        <w:t xml:space="preserve"> acoger a más participantes</w:t>
      </w:r>
      <w:r w:rsidRPr="00060079">
        <w:rPr>
          <w:rFonts w:cstheme="minorHAnsi"/>
        </w:rPr>
        <w:t xml:space="preserve">. </w:t>
      </w:r>
    </w:p>
    <w:p w14:paraId="005CE29C" w14:textId="77777777" w:rsidR="00207617" w:rsidRPr="00060079" w:rsidRDefault="00207617" w:rsidP="00207617">
      <w:pPr>
        <w:rPr>
          <w:rFonts w:cstheme="minorHAnsi"/>
        </w:rPr>
      </w:pPr>
    </w:p>
    <w:p w14:paraId="066E1AF8" w14:textId="79826655" w:rsidR="00207617" w:rsidRPr="00060079" w:rsidRDefault="00207617" w:rsidP="00207617">
      <w:r w:rsidRPr="00060079">
        <w:rPr>
          <w:rFonts w:cstheme="minorHAnsi"/>
        </w:rPr>
        <w:t xml:space="preserve">8. </w:t>
      </w:r>
      <w:r w:rsidRPr="00060079">
        <w:rPr>
          <w:rFonts w:cstheme="minorHAnsi"/>
        </w:rPr>
        <w:tab/>
      </w:r>
      <w:r w:rsidR="007B551E" w:rsidRPr="00060079">
        <w:rPr>
          <w:rFonts w:cstheme="minorHAnsi"/>
        </w:rPr>
        <w:t xml:space="preserve">El Subgrupo debatió sobre </w:t>
      </w:r>
      <w:r w:rsidR="003D58F7">
        <w:rPr>
          <w:rFonts w:cstheme="minorHAnsi"/>
        </w:rPr>
        <w:t xml:space="preserve">los </w:t>
      </w:r>
      <w:r w:rsidR="007B551E" w:rsidRPr="00060079">
        <w:rPr>
          <w:rFonts w:cstheme="minorHAnsi"/>
        </w:rPr>
        <w:t>posibles resultados que pudieran</w:t>
      </w:r>
      <w:r w:rsidR="003D58F7">
        <w:rPr>
          <w:rFonts w:cstheme="minorHAnsi"/>
        </w:rPr>
        <w:t xml:space="preserve"> responder a l</w:t>
      </w:r>
      <w:r w:rsidR="007B551E" w:rsidRPr="00060079">
        <w:rPr>
          <w:rFonts w:cstheme="minorHAnsi"/>
        </w:rPr>
        <w:t xml:space="preserve">a Resolución </w:t>
      </w:r>
      <w:r w:rsidRPr="00060079">
        <w:rPr>
          <w:rFonts w:cs="Calibri"/>
        </w:rPr>
        <w:t>ExCOP3.1</w:t>
      </w:r>
      <w:r w:rsidR="007B551E" w:rsidRPr="00060079">
        <w:rPr>
          <w:rFonts w:cs="Calibri"/>
        </w:rPr>
        <w:t xml:space="preserve">, que pedía una COP14 </w:t>
      </w:r>
      <w:r w:rsidRPr="00060079">
        <w:t>“</w:t>
      </w:r>
      <w:r w:rsidR="003D58F7">
        <w:t>exitosa, inclusiva, ambiciosa y práctica</w:t>
      </w:r>
      <w:r w:rsidR="007B551E" w:rsidRPr="00060079">
        <w:t xml:space="preserve">. Entre las ideas que se debatieron figuraba </w:t>
      </w:r>
      <w:r w:rsidR="007A6C8F">
        <w:t>una</w:t>
      </w:r>
      <w:r w:rsidR="007B551E" w:rsidRPr="00060079">
        <w:t xml:space="preserve"> “Declaración de Wuhan”, que sería un documento no negociado, la </w:t>
      </w:r>
      <w:r w:rsidR="007A6C8F" w:rsidRPr="00060079">
        <w:t>disponibilidad</w:t>
      </w:r>
      <w:r w:rsidR="007B551E" w:rsidRPr="00060079">
        <w:t xml:space="preserve"> de financiación para proyectos de </w:t>
      </w:r>
      <w:r w:rsidR="00F44D3A" w:rsidRPr="00060079">
        <w:t>humedales</w:t>
      </w:r>
      <w:r w:rsidR="007B551E" w:rsidRPr="00060079">
        <w:t xml:space="preserve">, el establecimiento </w:t>
      </w:r>
      <w:r w:rsidR="00CB7797" w:rsidRPr="00060079">
        <w:t>de un</w:t>
      </w:r>
      <w:r w:rsidR="00F44D3A">
        <w:t xml:space="preserve">a alianza internacional sobre los manglares </w:t>
      </w:r>
      <w:r w:rsidR="00272BAD" w:rsidRPr="00060079">
        <w:t xml:space="preserve">y </w:t>
      </w:r>
      <w:r w:rsidR="005454E6">
        <w:t>la</w:t>
      </w:r>
      <w:r w:rsidR="00F44D3A">
        <w:t xml:space="preserve"> consonancia c</w:t>
      </w:r>
      <w:r w:rsidR="00272BAD" w:rsidRPr="00060079">
        <w:t>on el Marco</w:t>
      </w:r>
      <w:r w:rsidR="007511A8">
        <w:t xml:space="preserve"> Mundial de la Diversidad Biológica</w:t>
      </w:r>
      <w:r w:rsidRPr="00060079">
        <w:t xml:space="preserve">. </w:t>
      </w:r>
      <w:r w:rsidR="00272BAD" w:rsidRPr="00060079">
        <w:t xml:space="preserve">La Secretaría ha hecho un </w:t>
      </w:r>
      <w:r w:rsidR="007511A8" w:rsidRPr="00060079">
        <w:t>seguimiento</w:t>
      </w:r>
      <w:r w:rsidR="00272BAD" w:rsidRPr="00060079">
        <w:t xml:space="preserve"> de </w:t>
      </w:r>
      <w:r w:rsidR="007511A8" w:rsidRPr="00060079">
        <w:t>estos</w:t>
      </w:r>
      <w:r w:rsidR="00272BAD" w:rsidRPr="00060079">
        <w:t xml:space="preserve"> asuntos con el país anfitrión y se comunicarán los últimos avances </w:t>
      </w:r>
      <w:r w:rsidR="007511A8">
        <w:t xml:space="preserve">al </w:t>
      </w:r>
      <w:r w:rsidR="00272BAD" w:rsidRPr="00060079">
        <w:t xml:space="preserve">Subgrupo en la </w:t>
      </w:r>
      <w:r w:rsidR="007511A8">
        <w:t>reanudación</w:t>
      </w:r>
      <w:r w:rsidR="00272BAD" w:rsidRPr="00060079">
        <w:t xml:space="preserve"> de la reunión SC59</w:t>
      </w:r>
      <w:r w:rsidRPr="00060079">
        <w:t xml:space="preserve">.  </w:t>
      </w:r>
    </w:p>
    <w:p w14:paraId="490D5A96" w14:textId="77777777" w:rsidR="00207617" w:rsidRPr="00060079" w:rsidRDefault="00207617" w:rsidP="00207617">
      <w:pPr>
        <w:pStyle w:val="NoSpacing"/>
        <w:ind w:left="426" w:hanging="426"/>
        <w:rPr>
          <w:rFonts w:asciiTheme="minorHAnsi" w:hAnsiTheme="minorHAnsi" w:cstheme="minorHAnsi"/>
        </w:rPr>
      </w:pPr>
    </w:p>
    <w:p w14:paraId="20590113" w14:textId="7DA04326" w:rsidR="00207617" w:rsidRPr="00060079" w:rsidRDefault="000F247A" w:rsidP="00207617">
      <w:pPr>
        <w:pStyle w:val="NoSpacing"/>
        <w:ind w:left="426" w:hanging="426"/>
        <w:rPr>
          <w:rFonts w:asciiTheme="minorHAnsi" w:hAnsiTheme="minorHAnsi" w:cstheme="minorHAnsi"/>
        </w:rPr>
      </w:pPr>
      <w:r>
        <w:rPr>
          <w:rFonts w:asciiTheme="minorHAnsi" w:hAnsiTheme="minorHAnsi" w:cstheme="minorHAnsi"/>
        </w:rPr>
        <w:t>9</w:t>
      </w:r>
      <w:r w:rsidR="00207617" w:rsidRPr="00060079">
        <w:rPr>
          <w:rFonts w:asciiTheme="minorHAnsi" w:hAnsiTheme="minorHAnsi" w:cstheme="minorHAnsi"/>
        </w:rPr>
        <w:t xml:space="preserve">. </w:t>
      </w:r>
      <w:r w:rsidR="00207617" w:rsidRPr="00060079">
        <w:rPr>
          <w:rFonts w:asciiTheme="minorHAnsi" w:hAnsiTheme="minorHAnsi" w:cstheme="minorHAnsi"/>
        </w:rPr>
        <w:tab/>
      </w:r>
      <w:r w:rsidR="00272BAD" w:rsidRPr="00060079">
        <w:rPr>
          <w:rFonts w:asciiTheme="minorHAnsi" w:hAnsiTheme="minorHAnsi" w:cstheme="minorHAnsi"/>
        </w:rPr>
        <w:t xml:space="preserve">Se siguen realizando avances en la finalización del acuerdo </w:t>
      </w:r>
      <w:r w:rsidR="007511A8">
        <w:rPr>
          <w:rFonts w:asciiTheme="minorHAnsi" w:hAnsiTheme="minorHAnsi" w:cstheme="minorHAnsi"/>
        </w:rPr>
        <w:t>con el</w:t>
      </w:r>
      <w:r w:rsidR="00272BAD" w:rsidRPr="00060079">
        <w:rPr>
          <w:rFonts w:asciiTheme="minorHAnsi" w:hAnsiTheme="minorHAnsi" w:cstheme="minorHAnsi"/>
        </w:rPr>
        <w:t xml:space="preserve"> país anfitrión </w:t>
      </w:r>
      <w:r w:rsidR="006848F8">
        <w:rPr>
          <w:rFonts w:asciiTheme="minorHAnsi" w:hAnsiTheme="minorHAnsi" w:cstheme="minorHAnsi"/>
        </w:rPr>
        <w:t>con miras a</w:t>
      </w:r>
      <w:r w:rsidR="00272BAD" w:rsidRPr="00060079">
        <w:rPr>
          <w:rFonts w:asciiTheme="minorHAnsi" w:hAnsiTheme="minorHAnsi" w:cstheme="minorHAnsi"/>
        </w:rPr>
        <w:t xml:space="preserve"> </w:t>
      </w:r>
      <w:r w:rsidR="007511A8">
        <w:rPr>
          <w:rFonts w:asciiTheme="minorHAnsi" w:hAnsiTheme="minorHAnsi" w:cstheme="minorHAnsi"/>
        </w:rPr>
        <w:t>poder concluirlo e</w:t>
      </w:r>
      <w:r w:rsidR="00272BAD" w:rsidRPr="00060079">
        <w:rPr>
          <w:rFonts w:asciiTheme="minorHAnsi" w:hAnsiTheme="minorHAnsi" w:cstheme="minorHAnsi"/>
        </w:rPr>
        <w:t>n los próximos meses.</w:t>
      </w:r>
    </w:p>
    <w:p w14:paraId="118AFBAA" w14:textId="77777777" w:rsidR="00207617" w:rsidRPr="00060079" w:rsidRDefault="00207617" w:rsidP="00207617">
      <w:pPr>
        <w:ind w:left="426" w:hanging="426"/>
        <w:rPr>
          <w:rFonts w:asciiTheme="minorHAnsi" w:eastAsiaTheme="minorEastAsia" w:hAnsiTheme="minorHAnsi" w:cstheme="minorHAnsi"/>
        </w:rPr>
      </w:pPr>
    </w:p>
    <w:p w14:paraId="1BE5605B" w14:textId="2D3C8F39" w:rsidR="00207617" w:rsidRPr="00060079" w:rsidRDefault="00207617" w:rsidP="00207617">
      <w:pPr>
        <w:rPr>
          <w:b/>
        </w:rPr>
      </w:pPr>
      <w:r w:rsidRPr="00060079">
        <w:rPr>
          <w:rFonts w:asciiTheme="minorHAnsi" w:eastAsiaTheme="minorEastAsia" w:hAnsiTheme="minorHAnsi" w:cstheme="minorHAnsi"/>
        </w:rPr>
        <w:t>1</w:t>
      </w:r>
      <w:r w:rsidR="000F247A">
        <w:rPr>
          <w:rFonts w:asciiTheme="minorHAnsi" w:eastAsiaTheme="minorEastAsia" w:hAnsiTheme="minorHAnsi" w:cstheme="minorHAnsi"/>
        </w:rPr>
        <w:t>0</w:t>
      </w:r>
      <w:r w:rsidRPr="00060079">
        <w:rPr>
          <w:rFonts w:asciiTheme="minorHAnsi" w:eastAsiaTheme="minorEastAsia" w:hAnsiTheme="minorHAnsi" w:cstheme="minorHAnsi"/>
        </w:rPr>
        <w:t>.</w:t>
      </w:r>
      <w:r w:rsidRPr="00060079">
        <w:rPr>
          <w:rFonts w:asciiTheme="minorHAnsi" w:eastAsiaTheme="minorEastAsia" w:hAnsiTheme="minorHAnsi" w:cstheme="minorHAnsi"/>
        </w:rPr>
        <w:tab/>
      </w:r>
      <w:r w:rsidR="00272BAD" w:rsidRPr="00060079">
        <w:rPr>
          <w:rFonts w:asciiTheme="minorHAnsi" w:eastAsiaTheme="minorEastAsia" w:hAnsiTheme="minorHAnsi" w:cstheme="minorHAnsi"/>
        </w:rPr>
        <w:t xml:space="preserve">Durante la reunión del </w:t>
      </w:r>
      <w:r w:rsidRPr="00060079">
        <w:rPr>
          <w:rFonts w:asciiTheme="minorHAnsi" w:eastAsiaTheme="minorEastAsia" w:hAnsiTheme="minorHAnsi" w:cstheme="minorHAnsi"/>
        </w:rPr>
        <w:t xml:space="preserve">15 </w:t>
      </w:r>
      <w:r w:rsidR="00272BAD" w:rsidRPr="00060079">
        <w:rPr>
          <w:rFonts w:asciiTheme="minorHAnsi" w:eastAsiaTheme="minorEastAsia" w:hAnsiTheme="minorHAnsi" w:cstheme="minorHAnsi"/>
        </w:rPr>
        <w:t xml:space="preserve">de diciembre de </w:t>
      </w:r>
      <w:r w:rsidRPr="00060079">
        <w:rPr>
          <w:rFonts w:asciiTheme="minorHAnsi" w:eastAsiaTheme="minorEastAsia" w:hAnsiTheme="minorHAnsi" w:cstheme="minorHAnsi"/>
        </w:rPr>
        <w:t>2021</w:t>
      </w:r>
      <w:r w:rsidR="00272BAD" w:rsidRPr="00060079">
        <w:rPr>
          <w:rFonts w:asciiTheme="minorHAnsi" w:eastAsiaTheme="minorEastAsia" w:hAnsiTheme="minorHAnsi" w:cstheme="minorHAnsi"/>
        </w:rPr>
        <w:t xml:space="preserve">, </w:t>
      </w:r>
      <w:r w:rsidR="009B5480" w:rsidRPr="009B5480">
        <w:rPr>
          <w:rFonts w:asciiTheme="minorHAnsi" w:eastAsiaTheme="minorEastAsia" w:hAnsiTheme="minorHAnsi" w:cstheme="minorHAnsi"/>
        </w:rPr>
        <w:t>e</w:t>
      </w:r>
      <w:r w:rsidR="007511A8" w:rsidRPr="009B5480">
        <w:rPr>
          <w:rFonts w:asciiTheme="minorHAnsi" w:hAnsiTheme="minorHAnsi"/>
        </w:rPr>
        <w:t xml:space="preserve">l Subgrupo debatió el proceso de candidaturas para los Premios Ramsar a la Conservación de los Humedales. Se acordó que </w:t>
      </w:r>
      <w:r w:rsidR="009B5480" w:rsidRPr="009B5480">
        <w:rPr>
          <w:rFonts w:asciiTheme="minorHAnsi" w:hAnsiTheme="minorHAnsi"/>
        </w:rPr>
        <w:t>el examen debería realizarse como es habitual antes de la reunión de Comité Permanente</w:t>
      </w:r>
      <w:r w:rsidR="007511A8" w:rsidRPr="009B5480">
        <w:rPr>
          <w:rFonts w:asciiTheme="minorHAnsi" w:hAnsiTheme="minorHAnsi"/>
        </w:rPr>
        <w:t xml:space="preserve"> y </w:t>
      </w:r>
      <w:r w:rsidR="009B5480" w:rsidRPr="009B5480">
        <w:rPr>
          <w:rFonts w:asciiTheme="minorHAnsi" w:hAnsiTheme="minorHAnsi"/>
        </w:rPr>
        <w:t>que el Subgrupo se reuniría</w:t>
      </w:r>
      <w:r w:rsidR="009B5480">
        <w:rPr>
          <w:rFonts w:asciiTheme="minorHAnsi" w:hAnsiTheme="minorHAnsi"/>
        </w:rPr>
        <w:t xml:space="preserve"> el 23 de mayo de 2022 con este fin.</w:t>
      </w:r>
      <w:r w:rsidRPr="00060079">
        <w:rPr>
          <w:rFonts w:cstheme="minorHAnsi"/>
        </w:rPr>
        <w:t xml:space="preserve"> </w:t>
      </w:r>
      <w:r w:rsidRPr="00060079">
        <w:rPr>
          <w:rFonts w:asciiTheme="minorHAnsi" w:eastAsiaTheme="minorEastAsia" w:hAnsiTheme="minorHAnsi" w:cstheme="minorHAnsi"/>
        </w:rPr>
        <w:t xml:space="preserve"> </w:t>
      </w:r>
    </w:p>
    <w:p w14:paraId="49AE545B" w14:textId="77777777" w:rsidR="00207617" w:rsidRPr="00060079" w:rsidRDefault="00207617" w:rsidP="00207617">
      <w:pPr>
        <w:ind w:left="426" w:hanging="426"/>
        <w:rPr>
          <w:rFonts w:asciiTheme="minorHAnsi" w:hAnsiTheme="minorHAnsi" w:cstheme="minorHAnsi"/>
          <w:color w:val="000000"/>
        </w:rPr>
      </w:pPr>
    </w:p>
    <w:p w14:paraId="5743C628" w14:textId="6DCA8BBD" w:rsidR="00272BAD" w:rsidRPr="009B5480" w:rsidRDefault="00272BAD" w:rsidP="00272BAD">
      <w:pPr>
        <w:pStyle w:val="NoSpacing"/>
        <w:keepNext/>
        <w:rPr>
          <w:rFonts w:asciiTheme="minorHAnsi" w:hAnsiTheme="minorHAnsi" w:cstheme="minorHAnsi"/>
          <w:b/>
          <w:color w:val="000000" w:themeColor="text1"/>
        </w:rPr>
      </w:pPr>
      <w:r w:rsidRPr="009B5480">
        <w:rPr>
          <w:rFonts w:asciiTheme="minorHAnsi" w:hAnsiTheme="minorHAnsi"/>
          <w:b/>
          <w:color w:val="000000" w:themeColor="text1"/>
        </w:rPr>
        <w:t>Información actualizada sobre la campaña del 50</w:t>
      </w:r>
      <w:r w:rsidR="009B5480" w:rsidRPr="009B5480">
        <w:rPr>
          <w:rFonts w:asciiTheme="minorHAnsi" w:hAnsiTheme="minorHAnsi"/>
          <w:b/>
          <w:color w:val="000000" w:themeColor="text1"/>
        </w:rPr>
        <w:t>º</w:t>
      </w:r>
      <w:r w:rsidRPr="009B5480">
        <w:rPr>
          <w:rFonts w:asciiTheme="minorHAnsi" w:hAnsiTheme="minorHAnsi"/>
          <w:b/>
          <w:color w:val="000000" w:themeColor="text1"/>
        </w:rPr>
        <w:t xml:space="preserve"> aniversario </w:t>
      </w:r>
    </w:p>
    <w:p w14:paraId="1C9023ED" w14:textId="77777777" w:rsidR="00207617" w:rsidRPr="00060079" w:rsidRDefault="00207617" w:rsidP="00207617">
      <w:pPr>
        <w:ind w:left="426" w:hanging="426"/>
        <w:rPr>
          <w:rFonts w:asciiTheme="minorHAnsi" w:hAnsiTheme="minorHAnsi" w:cstheme="minorHAnsi"/>
        </w:rPr>
      </w:pPr>
    </w:p>
    <w:p w14:paraId="020F9638" w14:textId="6253C165" w:rsidR="00272BAD" w:rsidRPr="00B777ED" w:rsidRDefault="00207617" w:rsidP="00272BAD">
      <w:pPr>
        <w:pStyle w:val="NoSpacing"/>
        <w:ind w:left="426" w:hanging="426"/>
        <w:rPr>
          <w:rFonts w:asciiTheme="minorHAnsi" w:hAnsiTheme="minorHAnsi" w:cstheme="minorHAnsi"/>
          <w:color w:val="000000" w:themeColor="text1"/>
        </w:rPr>
      </w:pPr>
      <w:r w:rsidRPr="00060079">
        <w:t>1</w:t>
      </w:r>
      <w:r w:rsidR="000F247A">
        <w:t>1</w:t>
      </w:r>
      <w:r w:rsidRPr="00060079">
        <w:t>.</w:t>
      </w:r>
      <w:r w:rsidRPr="00060079">
        <w:tab/>
      </w:r>
      <w:r w:rsidR="00272BAD" w:rsidRPr="009B5480">
        <w:t xml:space="preserve">La </w:t>
      </w:r>
      <w:r w:rsidR="00272BAD" w:rsidRPr="00EB7F4F">
        <w:rPr>
          <w:color w:val="000000" w:themeColor="text1"/>
        </w:rPr>
        <w:t>campaña del 50</w:t>
      </w:r>
      <w:r w:rsidR="009B5480" w:rsidRPr="00EB7F4F">
        <w:rPr>
          <w:color w:val="000000" w:themeColor="text1"/>
        </w:rPr>
        <w:t>º</w:t>
      </w:r>
      <w:r w:rsidR="00272BAD" w:rsidRPr="00EB7F4F">
        <w:rPr>
          <w:color w:val="000000" w:themeColor="text1"/>
        </w:rPr>
        <w:t xml:space="preserve"> aniversario se </w:t>
      </w:r>
      <w:r w:rsidR="00B777ED" w:rsidRPr="00EB7F4F">
        <w:rPr>
          <w:color w:val="000000" w:themeColor="text1"/>
        </w:rPr>
        <w:t>inició</w:t>
      </w:r>
      <w:r w:rsidR="00272BAD" w:rsidRPr="00EB7F4F">
        <w:rPr>
          <w:color w:val="000000" w:themeColor="text1"/>
        </w:rPr>
        <w:t xml:space="preserve"> en marzo de 2021, tras el Día Mundial de los Humedales.</w:t>
      </w:r>
      <w:r w:rsidR="00272BAD" w:rsidRPr="00EB7F4F">
        <w:rPr>
          <w:rFonts w:asciiTheme="minorHAnsi" w:hAnsiTheme="minorHAnsi"/>
          <w:color w:val="000000" w:themeColor="text1"/>
        </w:rPr>
        <w:t xml:space="preserve"> El 16 de marzo </w:t>
      </w:r>
      <w:r w:rsidR="00272BAD" w:rsidRPr="009B5480">
        <w:rPr>
          <w:rFonts w:asciiTheme="minorHAnsi" w:hAnsiTheme="minorHAnsi"/>
        </w:rPr>
        <w:t xml:space="preserve">de 2021 se celebró una sesión informativa en línea sobre la estrategia de la campaña con una presentación de los materiales de comunicación para las Partes Contratantes y los interesados en los tres idiomas. </w:t>
      </w:r>
      <w:r w:rsidR="00B777ED">
        <w:rPr>
          <w:rFonts w:asciiTheme="minorHAnsi" w:hAnsiTheme="minorHAnsi"/>
        </w:rPr>
        <w:t xml:space="preserve">Se puso a disposición de las partes un conjunto de materiales para la campaña en un sitio web específico sobre esta. Entre los materiales y recursos figuran el logotipo del 50º aniversario, un video sobre el aniversario, directrices sobre la marca, un conjunto de herramientas para las redes sociales, mosaicos para las redes sociales, fichas informativas y animaciones GIF. </w:t>
      </w:r>
      <w:r w:rsidR="00B777ED" w:rsidRPr="00B777ED">
        <w:rPr>
          <w:rFonts w:asciiTheme="minorHAnsi" w:hAnsiTheme="minorHAnsi"/>
          <w:color w:val="000000" w:themeColor="text1"/>
        </w:rPr>
        <w:t xml:space="preserve">Todos los recursos de la campaña </w:t>
      </w:r>
      <w:r w:rsidR="00EB7F4F">
        <w:rPr>
          <w:rFonts w:asciiTheme="minorHAnsi" w:hAnsiTheme="minorHAnsi"/>
          <w:color w:val="000000" w:themeColor="text1"/>
        </w:rPr>
        <w:t>estaban</w:t>
      </w:r>
      <w:r w:rsidR="00B777ED" w:rsidRPr="00B777ED">
        <w:rPr>
          <w:rFonts w:asciiTheme="minorHAnsi" w:hAnsiTheme="minorHAnsi"/>
          <w:color w:val="000000" w:themeColor="text1"/>
        </w:rPr>
        <w:t xml:space="preserve"> disponibles en los tres idiomas.</w:t>
      </w:r>
    </w:p>
    <w:p w14:paraId="584BAAC7" w14:textId="77777777" w:rsidR="00272BAD" w:rsidRPr="00060079" w:rsidRDefault="00272BAD" w:rsidP="00207617">
      <w:pPr>
        <w:pStyle w:val="NoSpacing"/>
        <w:ind w:left="426" w:hanging="426"/>
      </w:pPr>
    </w:p>
    <w:p w14:paraId="06319CAE" w14:textId="7B8FA522" w:rsidR="00207617" w:rsidRPr="00060079" w:rsidRDefault="00207617" w:rsidP="00207617">
      <w:pPr>
        <w:pStyle w:val="NoSpacing"/>
        <w:ind w:left="426" w:hanging="426"/>
        <w:rPr>
          <w:rFonts w:asciiTheme="minorHAnsi" w:hAnsiTheme="minorHAnsi" w:cstheme="minorHAnsi"/>
        </w:rPr>
      </w:pPr>
      <w:r w:rsidRPr="00060079">
        <w:rPr>
          <w:rFonts w:asciiTheme="minorHAnsi" w:hAnsiTheme="minorHAnsi" w:cstheme="minorHAnsi"/>
        </w:rPr>
        <w:t>1</w:t>
      </w:r>
      <w:r w:rsidR="000F247A">
        <w:rPr>
          <w:rFonts w:asciiTheme="minorHAnsi" w:hAnsiTheme="minorHAnsi" w:cstheme="minorHAnsi"/>
        </w:rPr>
        <w:t>2</w:t>
      </w:r>
      <w:r w:rsidRPr="00060079">
        <w:rPr>
          <w:rFonts w:asciiTheme="minorHAnsi" w:hAnsiTheme="minorHAnsi" w:cstheme="minorHAnsi"/>
        </w:rPr>
        <w:t>.</w:t>
      </w:r>
      <w:r w:rsidRPr="00060079">
        <w:rPr>
          <w:rFonts w:asciiTheme="minorHAnsi" w:hAnsiTheme="minorHAnsi" w:cstheme="minorHAnsi"/>
        </w:rPr>
        <w:tab/>
      </w:r>
      <w:r w:rsidR="009466E6" w:rsidRPr="00060079">
        <w:rPr>
          <w:rFonts w:asciiTheme="minorHAnsi" w:hAnsiTheme="minorHAnsi" w:cstheme="minorHAnsi"/>
        </w:rPr>
        <w:t xml:space="preserve">La campaña del </w:t>
      </w:r>
      <w:r w:rsidRPr="00060079">
        <w:rPr>
          <w:rFonts w:asciiTheme="minorHAnsi" w:hAnsiTheme="minorHAnsi" w:cstheme="minorHAnsi"/>
        </w:rPr>
        <w:t>50</w:t>
      </w:r>
      <w:r w:rsidR="009466E6" w:rsidRPr="00060079">
        <w:rPr>
          <w:rFonts w:asciiTheme="minorHAnsi" w:hAnsiTheme="minorHAnsi" w:cstheme="minorHAnsi"/>
        </w:rPr>
        <w:t xml:space="preserve">º aniversario puso de relieve los </w:t>
      </w:r>
      <w:r w:rsidR="00EB7F4F">
        <w:rPr>
          <w:rFonts w:asciiTheme="minorHAnsi" w:hAnsiTheme="minorHAnsi" w:cstheme="minorHAnsi"/>
        </w:rPr>
        <w:t xml:space="preserve">principales </w:t>
      </w:r>
      <w:r w:rsidR="009466E6" w:rsidRPr="00060079">
        <w:rPr>
          <w:rFonts w:asciiTheme="minorHAnsi" w:hAnsiTheme="minorHAnsi" w:cstheme="minorHAnsi"/>
        </w:rPr>
        <w:t>días internacionales en 2021</w:t>
      </w:r>
      <w:r w:rsidR="00EB7F4F">
        <w:rPr>
          <w:rFonts w:asciiTheme="minorHAnsi" w:hAnsiTheme="minorHAnsi" w:cstheme="minorHAnsi"/>
        </w:rPr>
        <w:t xml:space="preserve">, </w:t>
      </w:r>
      <w:r w:rsidR="002A2281">
        <w:rPr>
          <w:rFonts w:asciiTheme="minorHAnsi" w:hAnsiTheme="minorHAnsi" w:cstheme="minorHAnsi"/>
        </w:rPr>
        <w:t>por</w:t>
      </w:r>
      <w:r w:rsidR="00EB7F4F">
        <w:rPr>
          <w:rFonts w:asciiTheme="minorHAnsi" w:hAnsiTheme="minorHAnsi" w:cstheme="minorHAnsi"/>
        </w:rPr>
        <w:t xml:space="preserve"> ejemplo, </w:t>
      </w:r>
      <w:r w:rsidR="009466E6" w:rsidRPr="00060079">
        <w:rPr>
          <w:rFonts w:asciiTheme="minorHAnsi" w:hAnsiTheme="minorHAnsi" w:cstheme="minorHAnsi"/>
        </w:rPr>
        <w:t>el Día Mundial de</w:t>
      </w:r>
      <w:r w:rsidR="00C53A12">
        <w:rPr>
          <w:rFonts w:asciiTheme="minorHAnsi" w:hAnsiTheme="minorHAnsi" w:cstheme="minorHAnsi"/>
        </w:rPr>
        <w:t xml:space="preserve">l Agua </w:t>
      </w:r>
      <w:r w:rsidRPr="00060079">
        <w:rPr>
          <w:rFonts w:asciiTheme="minorHAnsi" w:hAnsiTheme="minorHAnsi" w:cstheme="minorHAnsi"/>
        </w:rPr>
        <w:t xml:space="preserve">(22 </w:t>
      </w:r>
      <w:r w:rsidR="009466E6" w:rsidRPr="00060079">
        <w:rPr>
          <w:rFonts w:asciiTheme="minorHAnsi" w:hAnsiTheme="minorHAnsi" w:cstheme="minorHAnsi"/>
        </w:rPr>
        <w:t>de marzo), el Día Internacional de la Diversidad Biológica (22 de mayo), el Día Mundial de los Océanos (8 de junio)</w:t>
      </w:r>
      <w:r w:rsidR="00D06521" w:rsidRPr="00060079">
        <w:rPr>
          <w:rFonts w:asciiTheme="minorHAnsi" w:hAnsiTheme="minorHAnsi" w:cstheme="minorHAnsi"/>
        </w:rPr>
        <w:t xml:space="preserve">, el Día Internacional de la Juventud </w:t>
      </w:r>
      <w:r w:rsidRPr="00060079">
        <w:rPr>
          <w:rFonts w:asciiTheme="minorHAnsi" w:hAnsiTheme="minorHAnsi" w:cstheme="minorHAnsi"/>
        </w:rPr>
        <w:t xml:space="preserve">(12 </w:t>
      </w:r>
      <w:r w:rsidR="00D06521" w:rsidRPr="00060079">
        <w:rPr>
          <w:rFonts w:asciiTheme="minorHAnsi" w:hAnsiTheme="minorHAnsi" w:cstheme="minorHAnsi"/>
        </w:rPr>
        <w:t xml:space="preserve">de agosto) y el Día </w:t>
      </w:r>
      <w:r w:rsidR="00C53A12" w:rsidRPr="00060079">
        <w:rPr>
          <w:rFonts w:asciiTheme="minorHAnsi" w:hAnsiTheme="minorHAnsi" w:cstheme="minorHAnsi"/>
        </w:rPr>
        <w:t>Internacional</w:t>
      </w:r>
      <w:r w:rsidR="00D06521" w:rsidRPr="00060079">
        <w:rPr>
          <w:rFonts w:asciiTheme="minorHAnsi" w:hAnsiTheme="minorHAnsi" w:cstheme="minorHAnsi"/>
        </w:rPr>
        <w:t xml:space="preserve"> para la Reducción del Riesgo de Desastres (13 de octubre). La Secretaría publicó </w:t>
      </w:r>
      <w:r w:rsidR="00C53A12" w:rsidRPr="00060079">
        <w:rPr>
          <w:rFonts w:asciiTheme="minorHAnsi" w:hAnsiTheme="minorHAnsi" w:cstheme="minorHAnsi"/>
        </w:rPr>
        <w:t>declaraciones</w:t>
      </w:r>
      <w:r w:rsidR="00D06521" w:rsidRPr="00060079">
        <w:rPr>
          <w:rFonts w:asciiTheme="minorHAnsi" w:hAnsiTheme="minorHAnsi" w:cstheme="minorHAnsi"/>
        </w:rPr>
        <w:t xml:space="preserve"> escritas y en video de la Secretaria General reconociendo la importancia de cada uno de esos días en relación con los humedales.</w:t>
      </w:r>
      <w:r w:rsidR="00C53A12">
        <w:rPr>
          <w:rFonts w:asciiTheme="minorHAnsi" w:hAnsiTheme="minorHAnsi" w:cstheme="minorHAnsi"/>
        </w:rPr>
        <w:t xml:space="preserve"> También se </w:t>
      </w:r>
      <w:r w:rsidR="00D06521" w:rsidRPr="00060079">
        <w:rPr>
          <w:rFonts w:asciiTheme="minorHAnsi" w:hAnsiTheme="minorHAnsi" w:cstheme="minorHAnsi"/>
        </w:rPr>
        <w:t xml:space="preserve">publicó una </w:t>
      </w:r>
      <w:r w:rsidR="00D06521" w:rsidRPr="00060079">
        <w:rPr>
          <w:rFonts w:asciiTheme="minorHAnsi" w:hAnsiTheme="minorHAnsi" w:cstheme="minorHAnsi"/>
        </w:rPr>
        <w:lastRenderedPageBreak/>
        <w:t xml:space="preserve">serie de materiales de comunicación temáticos sobre cada uno de esos días internacionales en el sitio web de la </w:t>
      </w:r>
      <w:r w:rsidR="00C53A12" w:rsidRPr="00060079">
        <w:rPr>
          <w:rFonts w:asciiTheme="minorHAnsi" w:hAnsiTheme="minorHAnsi" w:cstheme="minorHAnsi"/>
        </w:rPr>
        <w:t>campaña</w:t>
      </w:r>
      <w:r w:rsidR="00D06521" w:rsidRPr="00060079">
        <w:rPr>
          <w:rFonts w:asciiTheme="minorHAnsi" w:hAnsiTheme="minorHAnsi" w:cstheme="minorHAnsi"/>
        </w:rPr>
        <w:t xml:space="preserve">, </w:t>
      </w:r>
      <w:r w:rsidR="00C53A12">
        <w:rPr>
          <w:rFonts w:asciiTheme="minorHAnsi" w:hAnsiTheme="minorHAnsi" w:cstheme="minorHAnsi"/>
        </w:rPr>
        <w:t xml:space="preserve">por ejemplo, </w:t>
      </w:r>
      <w:r w:rsidR="00D06521" w:rsidRPr="00060079">
        <w:rPr>
          <w:rFonts w:asciiTheme="minorHAnsi" w:hAnsiTheme="minorHAnsi" w:cstheme="minorHAnsi"/>
        </w:rPr>
        <w:t>videos cortos de animación</w:t>
      </w:r>
      <w:r w:rsidR="002A2281">
        <w:rPr>
          <w:rFonts w:asciiTheme="minorHAnsi" w:hAnsiTheme="minorHAnsi" w:cstheme="minorHAnsi"/>
        </w:rPr>
        <w:t xml:space="preserve"> y</w:t>
      </w:r>
      <w:r w:rsidR="00D06521" w:rsidRPr="00060079">
        <w:rPr>
          <w:rFonts w:asciiTheme="minorHAnsi" w:hAnsiTheme="minorHAnsi" w:cstheme="minorHAnsi"/>
        </w:rPr>
        <w:t xml:space="preserve"> </w:t>
      </w:r>
      <w:r w:rsidR="00C53A12">
        <w:rPr>
          <w:rFonts w:asciiTheme="minorHAnsi" w:hAnsiTheme="minorHAnsi" w:cstheme="minorHAnsi"/>
        </w:rPr>
        <w:t xml:space="preserve">mosaicos </w:t>
      </w:r>
      <w:r w:rsidR="002A2281">
        <w:rPr>
          <w:rFonts w:asciiTheme="minorHAnsi" w:hAnsiTheme="minorHAnsi" w:cstheme="minorHAnsi"/>
        </w:rPr>
        <w:t xml:space="preserve">y </w:t>
      </w:r>
      <w:r w:rsidR="00C53A12">
        <w:rPr>
          <w:rFonts w:asciiTheme="minorHAnsi" w:hAnsiTheme="minorHAnsi" w:cstheme="minorHAnsi"/>
        </w:rPr>
        <w:t>publicaciones para las redes sociales</w:t>
      </w:r>
      <w:r w:rsidRPr="00060079">
        <w:rPr>
          <w:rFonts w:asciiTheme="minorHAnsi" w:hAnsiTheme="minorHAnsi" w:cstheme="minorHAnsi"/>
        </w:rPr>
        <w:t xml:space="preserve">. </w:t>
      </w:r>
      <w:r w:rsidR="00C53A12">
        <w:rPr>
          <w:rFonts w:asciiTheme="minorHAnsi" w:hAnsiTheme="minorHAnsi" w:cstheme="minorHAnsi"/>
        </w:rPr>
        <w:t>Los m</w:t>
      </w:r>
      <w:r w:rsidR="00D06521" w:rsidRPr="00060079">
        <w:rPr>
          <w:rFonts w:asciiTheme="minorHAnsi" w:hAnsiTheme="minorHAnsi" w:cstheme="minorHAnsi"/>
        </w:rPr>
        <w:t>ateriales</w:t>
      </w:r>
      <w:r w:rsidR="00C53A12">
        <w:rPr>
          <w:rFonts w:asciiTheme="minorHAnsi" w:hAnsiTheme="minorHAnsi" w:cstheme="minorHAnsi"/>
        </w:rPr>
        <w:t xml:space="preserve"> </w:t>
      </w:r>
      <w:r w:rsidR="00D06521" w:rsidRPr="00060079">
        <w:rPr>
          <w:rFonts w:asciiTheme="minorHAnsi" w:hAnsiTheme="minorHAnsi" w:cstheme="minorHAnsi"/>
        </w:rPr>
        <w:t>se publicaron en español, francés e inglés</w:t>
      </w:r>
      <w:r w:rsidRPr="00060079">
        <w:rPr>
          <w:rFonts w:asciiTheme="minorHAnsi" w:hAnsiTheme="minorHAnsi" w:cstheme="minorHAnsi"/>
        </w:rPr>
        <w:t xml:space="preserve">. </w:t>
      </w:r>
    </w:p>
    <w:p w14:paraId="385464AD" w14:textId="77777777" w:rsidR="00207617" w:rsidRPr="00060079" w:rsidRDefault="00207617" w:rsidP="00207617">
      <w:pPr>
        <w:pStyle w:val="NoSpacing"/>
        <w:ind w:left="426" w:hanging="426"/>
        <w:rPr>
          <w:rFonts w:asciiTheme="minorHAnsi" w:hAnsiTheme="minorHAnsi" w:cstheme="minorHAnsi"/>
        </w:rPr>
      </w:pPr>
    </w:p>
    <w:p w14:paraId="18A713CC" w14:textId="7469AEC4" w:rsidR="00207617" w:rsidRPr="00060079" w:rsidRDefault="00207617" w:rsidP="00207617">
      <w:pPr>
        <w:pStyle w:val="NoSpacing"/>
        <w:ind w:left="426" w:hanging="426"/>
        <w:rPr>
          <w:rFonts w:asciiTheme="minorHAnsi" w:hAnsiTheme="minorHAnsi" w:cstheme="minorHAnsi"/>
        </w:rPr>
      </w:pPr>
      <w:r w:rsidRPr="00060079">
        <w:rPr>
          <w:rFonts w:asciiTheme="minorHAnsi" w:hAnsiTheme="minorHAnsi" w:cstheme="minorHAnsi"/>
        </w:rPr>
        <w:t>1</w:t>
      </w:r>
      <w:r w:rsidR="000F247A">
        <w:rPr>
          <w:rFonts w:asciiTheme="minorHAnsi" w:hAnsiTheme="minorHAnsi" w:cstheme="minorHAnsi"/>
        </w:rPr>
        <w:t>3</w:t>
      </w:r>
      <w:r w:rsidRPr="00060079">
        <w:rPr>
          <w:rFonts w:asciiTheme="minorHAnsi" w:hAnsiTheme="minorHAnsi" w:cstheme="minorHAnsi"/>
        </w:rPr>
        <w:t xml:space="preserve">. </w:t>
      </w:r>
      <w:r w:rsidRPr="00060079">
        <w:rPr>
          <w:rFonts w:asciiTheme="minorHAnsi" w:hAnsiTheme="minorHAnsi" w:cstheme="minorHAnsi"/>
        </w:rPr>
        <w:tab/>
      </w:r>
      <w:r w:rsidR="005908BD" w:rsidRPr="00060079">
        <w:rPr>
          <w:rFonts w:asciiTheme="minorHAnsi" w:hAnsiTheme="minorHAnsi" w:cstheme="minorHAnsi"/>
        </w:rPr>
        <w:t xml:space="preserve">De agosto a octubre de </w:t>
      </w:r>
      <w:r w:rsidRPr="00060079">
        <w:rPr>
          <w:rFonts w:asciiTheme="minorHAnsi" w:hAnsiTheme="minorHAnsi" w:cstheme="minorHAnsi"/>
        </w:rPr>
        <w:t>2021</w:t>
      </w:r>
      <w:r w:rsidR="005908BD" w:rsidRPr="00060079">
        <w:rPr>
          <w:rFonts w:asciiTheme="minorHAnsi" w:hAnsiTheme="minorHAnsi" w:cstheme="minorHAnsi"/>
        </w:rPr>
        <w:t xml:space="preserve"> se invitó a la juventud a participar en la campaña. </w:t>
      </w:r>
      <w:r w:rsidR="00C53A12">
        <w:rPr>
          <w:rFonts w:asciiTheme="minorHAnsi" w:hAnsiTheme="minorHAnsi" w:cstheme="minorHAnsi"/>
        </w:rPr>
        <w:t>En e</w:t>
      </w:r>
      <w:r w:rsidR="00A11207" w:rsidRPr="00060079">
        <w:rPr>
          <w:rFonts w:asciiTheme="minorHAnsi" w:hAnsiTheme="minorHAnsi" w:cstheme="minorHAnsi"/>
        </w:rPr>
        <w:t xml:space="preserve">l sitio web de la </w:t>
      </w:r>
      <w:r w:rsidR="00C53A12">
        <w:rPr>
          <w:rFonts w:asciiTheme="minorHAnsi" w:hAnsiTheme="minorHAnsi" w:cstheme="minorHAnsi"/>
        </w:rPr>
        <w:t>c</w:t>
      </w:r>
      <w:r w:rsidR="00A11207" w:rsidRPr="00060079">
        <w:rPr>
          <w:rFonts w:asciiTheme="minorHAnsi" w:hAnsiTheme="minorHAnsi" w:cstheme="minorHAnsi"/>
        </w:rPr>
        <w:t>ampaña se incluyó</w:t>
      </w:r>
      <w:r w:rsidRPr="00060079">
        <w:rPr>
          <w:rFonts w:asciiTheme="minorHAnsi" w:hAnsiTheme="minorHAnsi" w:cstheme="minorHAnsi"/>
        </w:rPr>
        <w:t xml:space="preserve"> conten</w:t>
      </w:r>
      <w:r w:rsidR="00A11207" w:rsidRPr="00060079">
        <w:rPr>
          <w:rFonts w:asciiTheme="minorHAnsi" w:hAnsiTheme="minorHAnsi" w:cstheme="minorHAnsi"/>
        </w:rPr>
        <w:t xml:space="preserve">ido </w:t>
      </w:r>
      <w:r w:rsidR="00C53A12">
        <w:rPr>
          <w:rFonts w:asciiTheme="minorHAnsi" w:hAnsiTheme="minorHAnsi" w:cstheme="minorHAnsi"/>
        </w:rPr>
        <w:t>preparado por</w:t>
      </w:r>
      <w:r w:rsidR="00A11207" w:rsidRPr="00060079">
        <w:rPr>
          <w:rFonts w:asciiTheme="minorHAnsi" w:hAnsiTheme="minorHAnsi" w:cstheme="minorHAnsi"/>
        </w:rPr>
        <w:t xml:space="preserve"> la juventud, incluida una carta abierta y relatos escritos por jóvenes. El 20 de octubre de </w:t>
      </w:r>
      <w:r w:rsidRPr="00060079">
        <w:rPr>
          <w:rFonts w:asciiTheme="minorHAnsi" w:hAnsiTheme="minorHAnsi" w:cstheme="minorHAnsi"/>
        </w:rPr>
        <w:t xml:space="preserve">2021 </w:t>
      </w:r>
      <w:r w:rsidR="00A11207" w:rsidRPr="00060079">
        <w:rPr>
          <w:rFonts w:asciiTheme="minorHAnsi" w:hAnsiTheme="minorHAnsi" w:cstheme="minorHAnsi"/>
        </w:rPr>
        <w:t xml:space="preserve">la Secretaría organizó un evento </w:t>
      </w:r>
      <w:r w:rsidR="00CF1E7A">
        <w:rPr>
          <w:rFonts w:asciiTheme="minorHAnsi" w:hAnsiTheme="minorHAnsi" w:cstheme="minorHAnsi"/>
        </w:rPr>
        <w:t>v</w:t>
      </w:r>
      <w:r w:rsidR="00A11207" w:rsidRPr="00060079">
        <w:rPr>
          <w:rFonts w:asciiTheme="minorHAnsi" w:hAnsiTheme="minorHAnsi" w:cstheme="minorHAnsi"/>
        </w:rPr>
        <w:t>irtual titulado</w:t>
      </w:r>
      <w:r w:rsidRPr="00060079">
        <w:rPr>
          <w:rFonts w:asciiTheme="minorHAnsi" w:hAnsiTheme="minorHAnsi" w:cstheme="minorHAnsi"/>
        </w:rPr>
        <w:t xml:space="preserve"> </w:t>
      </w:r>
      <w:r w:rsidRPr="00CF1E7A">
        <w:rPr>
          <w:rFonts w:asciiTheme="minorHAnsi" w:hAnsiTheme="minorHAnsi" w:cstheme="minorHAnsi"/>
          <w:i/>
          <w:iCs/>
        </w:rPr>
        <w:t>Connecting for wetlands action: An intergenerational dialogue</w:t>
      </w:r>
      <w:r w:rsidR="00CF1E7A">
        <w:rPr>
          <w:rFonts w:asciiTheme="minorHAnsi" w:hAnsiTheme="minorHAnsi" w:cstheme="minorHAnsi"/>
        </w:rPr>
        <w:t xml:space="preserve"> [Conectarse para tomar medidas a favor de los humdales: Un diálogo intergeneracional]</w:t>
      </w:r>
      <w:r w:rsidR="00A11207" w:rsidRPr="00060079">
        <w:rPr>
          <w:rFonts w:asciiTheme="minorHAnsi" w:hAnsiTheme="minorHAnsi" w:cstheme="minorHAnsi"/>
        </w:rPr>
        <w:t>, con un</w:t>
      </w:r>
      <w:r w:rsidR="00CF1E7A">
        <w:rPr>
          <w:rFonts w:asciiTheme="minorHAnsi" w:hAnsiTheme="minorHAnsi" w:cstheme="minorHAnsi"/>
        </w:rPr>
        <w:t>a mesa redonda</w:t>
      </w:r>
      <w:r w:rsidR="00A11207" w:rsidRPr="00060079">
        <w:rPr>
          <w:rFonts w:asciiTheme="minorHAnsi" w:hAnsiTheme="minorHAnsi" w:cstheme="minorHAnsi"/>
        </w:rPr>
        <w:t xml:space="preserve"> de oradores de distintas generaciones moderad</w:t>
      </w:r>
      <w:r w:rsidR="00CF1E7A">
        <w:rPr>
          <w:rFonts w:asciiTheme="minorHAnsi" w:hAnsiTheme="minorHAnsi" w:cstheme="minorHAnsi"/>
        </w:rPr>
        <w:t>a</w:t>
      </w:r>
      <w:r w:rsidR="00A11207" w:rsidRPr="00060079">
        <w:rPr>
          <w:rFonts w:asciiTheme="minorHAnsi" w:hAnsiTheme="minorHAnsi" w:cstheme="minorHAnsi"/>
        </w:rPr>
        <w:t xml:space="preserve"> por representantes de </w:t>
      </w:r>
      <w:r w:rsidR="00CF1E7A" w:rsidRPr="00060079">
        <w:rPr>
          <w:rFonts w:asciiTheme="minorHAnsi" w:hAnsiTheme="minorHAnsi" w:cstheme="minorHAnsi"/>
        </w:rPr>
        <w:t>organizaciones</w:t>
      </w:r>
      <w:r w:rsidR="00A11207" w:rsidRPr="00060079">
        <w:rPr>
          <w:rFonts w:asciiTheme="minorHAnsi" w:hAnsiTheme="minorHAnsi" w:cstheme="minorHAnsi"/>
        </w:rPr>
        <w:t xml:space="preserve"> de jóvenes en pro de los humedales. El evento </w:t>
      </w:r>
      <w:r w:rsidR="00CF1E7A" w:rsidRPr="00060079">
        <w:rPr>
          <w:rFonts w:asciiTheme="minorHAnsi" w:hAnsiTheme="minorHAnsi" w:cstheme="minorHAnsi"/>
        </w:rPr>
        <w:t>se</w:t>
      </w:r>
      <w:r w:rsidR="00A11207" w:rsidRPr="00060079">
        <w:rPr>
          <w:rFonts w:asciiTheme="minorHAnsi" w:hAnsiTheme="minorHAnsi" w:cstheme="minorHAnsi"/>
        </w:rPr>
        <w:t xml:space="preserve"> centró en las </w:t>
      </w:r>
      <w:r w:rsidR="00CF1E7A">
        <w:rPr>
          <w:rFonts w:asciiTheme="minorHAnsi" w:hAnsiTheme="minorHAnsi" w:cstheme="minorHAnsi"/>
        </w:rPr>
        <w:t xml:space="preserve">medidas adoptadas actualmente por </w:t>
      </w:r>
      <w:r w:rsidR="00A11207" w:rsidRPr="00060079">
        <w:rPr>
          <w:rFonts w:asciiTheme="minorHAnsi" w:hAnsiTheme="minorHAnsi" w:cstheme="minorHAnsi"/>
        </w:rPr>
        <w:t xml:space="preserve">los </w:t>
      </w:r>
      <w:r w:rsidR="00CF1E7A" w:rsidRPr="00060079">
        <w:rPr>
          <w:rFonts w:asciiTheme="minorHAnsi" w:hAnsiTheme="minorHAnsi" w:cstheme="minorHAnsi"/>
        </w:rPr>
        <w:t>jóvenes</w:t>
      </w:r>
      <w:r w:rsidR="00A11207" w:rsidRPr="00060079">
        <w:rPr>
          <w:rFonts w:asciiTheme="minorHAnsi" w:hAnsiTheme="minorHAnsi" w:cstheme="minorHAnsi"/>
        </w:rPr>
        <w:t xml:space="preserve"> a favor de los </w:t>
      </w:r>
      <w:r w:rsidR="00CF1E7A" w:rsidRPr="00060079">
        <w:rPr>
          <w:rFonts w:asciiTheme="minorHAnsi" w:hAnsiTheme="minorHAnsi" w:cstheme="minorHAnsi"/>
        </w:rPr>
        <w:t>humedales</w:t>
      </w:r>
      <w:r w:rsidR="00A11207" w:rsidRPr="00060079">
        <w:rPr>
          <w:rFonts w:asciiTheme="minorHAnsi" w:hAnsiTheme="minorHAnsi" w:cstheme="minorHAnsi"/>
        </w:rPr>
        <w:t xml:space="preserve"> y </w:t>
      </w:r>
      <w:r w:rsidR="00CF1E7A">
        <w:rPr>
          <w:rFonts w:asciiTheme="minorHAnsi" w:hAnsiTheme="minorHAnsi" w:cstheme="minorHAnsi"/>
        </w:rPr>
        <w:t xml:space="preserve">en las </w:t>
      </w:r>
      <w:r w:rsidR="00A11207" w:rsidRPr="00060079">
        <w:rPr>
          <w:rFonts w:asciiTheme="minorHAnsi" w:hAnsiTheme="minorHAnsi" w:cstheme="minorHAnsi"/>
        </w:rPr>
        <w:t xml:space="preserve">reflexiones sobre las lecciones extraídas en los 50 años desde que se empezó a </w:t>
      </w:r>
      <w:r w:rsidR="00CF1E7A">
        <w:rPr>
          <w:rFonts w:asciiTheme="minorHAnsi" w:hAnsiTheme="minorHAnsi" w:cstheme="minorHAnsi"/>
        </w:rPr>
        <w:t xml:space="preserve">aplicar </w:t>
      </w:r>
      <w:r w:rsidR="00A11207" w:rsidRPr="00060079">
        <w:rPr>
          <w:rFonts w:asciiTheme="minorHAnsi" w:hAnsiTheme="minorHAnsi" w:cstheme="minorHAnsi"/>
        </w:rPr>
        <w:t xml:space="preserve">la Convención. </w:t>
      </w:r>
      <w:r w:rsidR="00CB4979">
        <w:rPr>
          <w:rFonts w:asciiTheme="minorHAnsi" w:hAnsiTheme="minorHAnsi" w:cstheme="minorHAnsi"/>
        </w:rPr>
        <w:t>S</w:t>
      </w:r>
      <w:r w:rsidR="00A11207" w:rsidRPr="00060079">
        <w:rPr>
          <w:rFonts w:asciiTheme="minorHAnsi" w:hAnsiTheme="minorHAnsi" w:cstheme="minorHAnsi"/>
        </w:rPr>
        <w:t xml:space="preserve">e puede </w:t>
      </w:r>
      <w:r w:rsidR="00CB4979">
        <w:rPr>
          <w:rFonts w:asciiTheme="minorHAnsi" w:hAnsiTheme="minorHAnsi" w:cstheme="minorHAnsi"/>
        </w:rPr>
        <w:t>ver</w:t>
      </w:r>
      <w:r w:rsidR="00A11207" w:rsidRPr="00060079">
        <w:rPr>
          <w:rFonts w:asciiTheme="minorHAnsi" w:hAnsiTheme="minorHAnsi" w:cstheme="minorHAnsi"/>
        </w:rPr>
        <w:t xml:space="preserve"> un video del evento virtual en la página de YouTube de la Convención</w:t>
      </w:r>
      <w:r w:rsidRPr="00060079">
        <w:rPr>
          <w:rFonts w:asciiTheme="minorHAnsi" w:hAnsiTheme="minorHAnsi" w:cstheme="minorHAnsi"/>
        </w:rPr>
        <w:t xml:space="preserve">.  </w:t>
      </w:r>
    </w:p>
    <w:p w14:paraId="5CAF2F82" w14:textId="77777777" w:rsidR="00207617" w:rsidRPr="00060079" w:rsidRDefault="00207617" w:rsidP="00207617">
      <w:pPr>
        <w:pStyle w:val="NoSpacing"/>
        <w:ind w:left="426" w:hanging="426"/>
        <w:rPr>
          <w:rFonts w:asciiTheme="minorHAnsi" w:hAnsiTheme="minorHAnsi" w:cstheme="minorHAnsi"/>
        </w:rPr>
      </w:pPr>
    </w:p>
    <w:p w14:paraId="47BE631F" w14:textId="7114D27F" w:rsidR="00207617" w:rsidRPr="00060079" w:rsidRDefault="00207617" w:rsidP="00207617">
      <w:pPr>
        <w:pStyle w:val="NoSpacing"/>
        <w:ind w:left="426" w:hanging="426"/>
        <w:rPr>
          <w:rFonts w:asciiTheme="minorHAnsi" w:hAnsiTheme="minorHAnsi" w:cstheme="minorHAnsi"/>
        </w:rPr>
      </w:pPr>
      <w:r w:rsidRPr="00060079">
        <w:rPr>
          <w:rFonts w:asciiTheme="minorHAnsi" w:hAnsiTheme="minorHAnsi" w:cstheme="minorHAnsi"/>
        </w:rPr>
        <w:t>1</w:t>
      </w:r>
      <w:r w:rsidR="000F247A">
        <w:rPr>
          <w:rFonts w:asciiTheme="minorHAnsi" w:hAnsiTheme="minorHAnsi" w:cstheme="minorHAnsi"/>
        </w:rPr>
        <w:t>4</w:t>
      </w:r>
      <w:r w:rsidRPr="00060079">
        <w:rPr>
          <w:rFonts w:asciiTheme="minorHAnsi" w:hAnsiTheme="minorHAnsi" w:cstheme="minorHAnsi"/>
        </w:rPr>
        <w:t xml:space="preserve">.  </w:t>
      </w:r>
      <w:r w:rsidR="006B248B" w:rsidRPr="00060079">
        <w:rPr>
          <w:rFonts w:asciiTheme="minorHAnsi" w:hAnsiTheme="minorHAnsi" w:cstheme="minorHAnsi"/>
        </w:rPr>
        <w:t xml:space="preserve">El </w:t>
      </w:r>
      <w:r w:rsidRPr="00060079">
        <w:rPr>
          <w:rFonts w:asciiTheme="minorHAnsi" w:hAnsiTheme="minorHAnsi" w:cstheme="minorHAnsi"/>
        </w:rPr>
        <w:t xml:space="preserve">15 </w:t>
      </w:r>
      <w:r w:rsidR="006B248B" w:rsidRPr="00060079">
        <w:rPr>
          <w:rFonts w:asciiTheme="minorHAnsi" w:hAnsiTheme="minorHAnsi" w:cstheme="minorHAnsi"/>
        </w:rPr>
        <w:t>de diciembr</w:t>
      </w:r>
      <w:r w:rsidR="00CB4979">
        <w:rPr>
          <w:rFonts w:asciiTheme="minorHAnsi" w:hAnsiTheme="minorHAnsi" w:cstheme="minorHAnsi"/>
        </w:rPr>
        <w:t>e s</w:t>
      </w:r>
      <w:r w:rsidR="006B248B" w:rsidRPr="00060079">
        <w:rPr>
          <w:rFonts w:asciiTheme="minorHAnsi" w:hAnsiTheme="minorHAnsi" w:cstheme="minorHAnsi"/>
        </w:rPr>
        <w:t xml:space="preserve">e publicó </w:t>
      </w:r>
      <w:r w:rsidR="00CB4979">
        <w:rPr>
          <w:rFonts w:asciiTheme="minorHAnsi" w:hAnsiTheme="minorHAnsi" w:cstheme="minorHAnsi"/>
        </w:rPr>
        <w:t xml:space="preserve">la </w:t>
      </w:r>
      <w:r w:rsidR="00CB4979" w:rsidRPr="006102B6">
        <w:rPr>
          <w:rFonts w:asciiTheme="minorHAnsi" w:hAnsiTheme="minorHAnsi" w:cstheme="minorHAnsi"/>
          <w:i/>
          <w:iCs/>
        </w:rPr>
        <w:t>Perspectiva mundial sobre los humedales: Edición especial de 2021</w:t>
      </w:r>
      <w:r w:rsidR="00CB4979">
        <w:rPr>
          <w:rFonts w:asciiTheme="minorHAnsi" w:hAnsiTheme="minorHAnsi" w:cstheme="minorHAnsi"/>
        </w:rPr>
        <w:t xml:space="preserve"> en el marco del </w:t>
      </w:r>
      <w:r w:rsidR="006B248B" w:rsidRPr="00060079">
        <w:rPr>
          <w:rFonts w:asciiTheme="minorHAnsi" w:hAnsiTheme="minorHAnsi" w:cstheme="minorHAnsi"/>
        </w:rPr>
        <w:t xml:space="preserve">50º aniversario. En </w:t>
      </w:r>
      <w:r w:rsidR="00CB4979" w:rsidRPr="00060079">
        <w:rPr>
          <w:rFonts w:asciiTheme="minorHAnsi" w:hAnsiTheme="minorHAnsi" w:cstheme="minorHAnsi"/>
        </w:rPr>
        <w:t>preparación</w:t>
      </w:r>
      <w:r w:rsidR="006B248B" w:rsidRPr="00060079">
        <w:rPr>
          <w:rFonts w:asciiTheme="minorHAnsi" w:hAnsiTheme="minorHAnsi" w:cstheme="minorHAnsi"/>
        </w:rPr>
        <w:t xml:space="preserve"> de la publicación, el micrositio</w:t>
      </w:r>
      <w:r w:rsidR="006102B6">
        <w:rPr>
          <w:rFonts w:asciiTheme="minorHAnsi" w:hAnsiTheme="minorHAnsi" w:cstheme="minorHAnsi"/>
        </w:rPr>
        <w:t xml:space="preserve"> web d</w:t>
      </w:r>
      <w:r w:rsidR="006B248B" w:rsidRPr="00060079">
        <w:rPr>
          <w:rFonts w:asciiTheme="minorHAnsi" w:hAnsiTheme="minorHAnsi" w:cstheme="minorHAnsi"/>
        </w:rPr>
        <w:t>e</w:t>
      </w:r>
      <w:r w:rsidR="006102B6">
        <w:rPr>
          <w:rFonts w:asciiTheme="minorHAnsi" w:hAnsiTheme="minorHAnsi" w:cstheme="minorHAnsi"/>
        </w:rPr>
        <w:t xml:space="preserve"> la </w:t>
      </w:r>
      <w:r w:rsidR="006102B6" w:rsidRPr="006102B6">
        <w:rPr>
          <w:rFonts w:asciiTheme="minorHAnsi" w:hAnsiTheme="minorHAnsi" w:cstheme="minorHAnsi"/>
          <w:i/>
          <w:iCs/>
        </w:rPr>
        <w:t>Perspectiva mundial sobre los humedales</w:t>
      </w:r>
      <w:r w:rsidR="006102B6">
        <w:rPr>
          <w:rFonts w:asciiTheme="minorHAnsi" w:hAnsiTheme="minorHAnsi" w:cstheme="minorHAnsi"/>
        </w:rPr>
        <w:t xml:space="preserve"> </w:t>
      </w:r>
      <w:r w:rsidR="006B248B" w:rsidRPr="00060079">
        <w:rPr>
          <w:rFonts w:asciiTheme="minorHAnsi" w:hAnsiTheme="minorHAnsi" w:cstheme="minorHAnsi"/>
        </w:rPr>
        <w:t xml:space="preserve">se actualizó con arreglo al nuevo documento. También se </w:t>
      </w:r>
      <w:r w:rsidR="006102B6">
        <w:rPr>
          <w:rFonts w:asciiTheme="minorHAnsi" w:hAnsiTheme="minorHAnsi" w:cstheme="minorHAnsi"/>
        </w:rPr>
        <w:t>colgó</w:t>
      </w:r>
      <w:r w:rsidR="006B248B" w:rsidRPr="00060079">
        <w:rPr>
          <w:rFonts w:asciiTheme="minorHAnsi" w:hAnsiTheme="minorHAnsi" w:cstheme="minorHAnsi"/>
        </w:rPr>
        <w:t xml:space="preserve"> en el sitio una serie de materiales de comunicación relacionados con la </w:t>
      </w:r>
      <w:r w:rsidR="006102B6" w:rsidRPr="00060079">
        <w:rPr>
          <w:rFonts w:asciiTheme="minorHAnsi" w:hAnsiTheme="minorHAnsi" w:cstheme="minorHAnsi"/>
        </w:rPr>
        <w:t>publicación</w:t>
      </w:r>
      <w:r w:rsidR="006B248B" w:rsidRPr="00060079">
        <w:rPr>
          <w:rFonts w:asciiTheme="minorHAnsi" w:hAnsiTheme="minorHAnsi" w:cstheme="minorHAnsi"/>
        </w:rPr>
        <w:t xml:space="preserve">, </w:t>
      </w:r>
      <w:r w:rsidR="00F61565" w:rsidRPr="00060079">
        <w:rPr>
          <w:rFonts w:asciiTheme="minorHAnsi" w:hAnsiTheme="minorHAnsi" w:cstheme="minorHAnsi"/>
        </w:rPr>
        <w:t xml:space="preserve">entre los que figuran como una </w:t>
      </w:r>
      <w:r w:rsidR="006102B6">
        <w:rPr>
          <w:rFonts w:asciiTheme="minorHAnsi" w:hAnsiTheme="minorHAnsi" w:cstheme="minorHAnsi"/>
        </w:rPr>
        <w:t xml:space="preserve">nota periodística </w:t>
      </w:r>
      <w:r w:rsidR="00F61565" w:rsidRPr="00060079">
        <w:rPr>
          <w:rFonts w:asciiTheme="minorHAnsi" w:hAnsiTheme="minorHAnsi" w:cstheme="minorHAnsi"/>
        </w:rPr>
        <w:t xml:space="preserve">y un comunicado de </w:t>
      </w:r>
      <w:r w:rsidR="006102B6" w:rsidRPr="00060079">
        <w:rPr>
          <w:rFonts w:asciiTheme="minorHAnsi" w:hAnsiTheme="minorHAnsi" w:cstheme="minorHAnsi"/>
        </w:rPr>
        <w:t>prensa</w:t>
      </w:r>
      <w:r w:rsidR="00F61565" w:rsidRPr="00060079">
        <w:rPr>
          <w:rFonts w:asciiTheme="minorHAnsi" w:hAnsiTheme="minorHAnsi" w:cstheme="minorHAnsi"/>
        </w:rPr>
        <w:t xml:space="preserve">, </w:t>
      </w:r>
      <w:r w:rsidR="006102B6">
        <w:rPr>
          <w:rFonts w:asciiTheme="minorHAnsi" w:hAnsiTheme="minorHAnsi" w:cstheme="minorHAnsi"/>
        </w:rPr>
        <w:t>publicaciones propuestas para las redes sociales y mensajes importantes, además de mosaicos para las redes sociales. La</w:t>
      </w:r>
      <w:r w:rsidR="00F61565" w:rsidRPr="00060079">
        <w:rPr>
          <w:rFonts w:asciiTheme="minorHAnsi" w:hAnsiTheme="minorHAnsi" w:cstheme="minorHAnsi"/>
        </w:rPr>
        <w:t xml:space="preserve"> </w:t>
      </w:r>
      <w:r w:rsidR="006102B6" w:rsidRPr="00060079">
        <w:rPr>
          <w:rFonts w:asciiTheme="minorHAnsi" w:hAnsiTheme="minorHAnsi" w:cstheme="minorHAnsi"/>
        </w:rPr>
        <w:t>Thompson Reuters Foundation</w:t>
      </w:r>
      <w:r w:rsidR="006102B6">
        <w:rPr>
          <w:rFonts w:asciiTheme="minorHAnsi" w:hAnsiTheme="minorHAnsi" w:cstheme="minorHAnsi"/>
        </w:rPr>
        <w:t xml:space="preserve"> publicó un artículo de opinión de la </w:t>
      </w:r>
      <w:r w:rsidR="00F61565" w:rsidRPr="00060079">
        <w:rPr>
          <w:rFonts w:asciiTheme="minorHAnsi" w:hAnsiTheme="minorHAnsi" w:cstheme="minorHAnsi"/>
        </w:rPr>
        <w:t>Secretaria General de la Convención el 20 de diciembre</w:t>
      </w:r>
      <w:r w:rsidRPr="00060079">
        <w:rPr>
          <w:rFonts w:asciiTheme="minorHAnsi" w:hAnsiTheme="minorHAnsi" w:cstheme="minorHAnsi"/>
        </w:rPr>
        <w:t xml:space="preserve">. </w:t>
      </w:r>
    </w:p>
    <w:p w14:paraId="6DED6E61" w14:textId="77777777" w:rsidR="00207617" w:rsidRPr="00060079" w:rsidRDefault="00207617" w:rsidP="00207617">
      <w:pPr>
        <w:pStyle w:val="NoSpacing"/>
        <w:ind w:left="426" w:hanging="426"/>
        <w:rPr>
          <w:rFonts w:asciiTheme="minorHAnsi" w:hAnsiTheme="minorHAnsi" w:cstheme="minorHAnsi"/>
        </w:rPr>
      </w:pPr>
    </w:p>
    <w:p w14:paraId="48B08270" w14:textId="4DB7F965" w:rsidR="00207617" w:rsidRPr="00060079" w:rsidRDefault="00207617" w:rsidP="00207617">
      <w:pPr>
        <w:pStyle w:val="NoSpacing"/>
        <w:ind w:left="426" w:hanging="426"/>
        <w:rPr>
          <w:rFonts w:asciiTheme="minorHAnsi" w:hAnsiTheme="minorHAnsi" w:cstheme="minorHAnsi"/>
        </w:rPr>
      </w:pPr>
      <w:r w:rsidRPr="00060079">
        <w:rPr>
          <w:rFonts w:asciiTheme="minorHAnsi" w:hAnsiTheme="minorHAnsi" w:cstheme="minorHAnsi"/>
        </w:rPr>
        <w:t>1</w:t>
      </w:r>
      <w:r w:rsidR="000F247A">
        <w:rPr>
          <w:rFonts w:asciiTheme="minorHAnsi" w:hAnsiTheme="minorHAnsi" w:cstheme="minorHAnsi"/>
        </w:rPr>
        <w:t>5</w:t>
      </w:r>
      <w:r w:rsidRPr="00060079">
        <w:rPr>
          <w:rFonts w:asciiTheme="minorHAnsi" w:hAnsiTheme="minorHAnsi" w:cstheme="minorHAnsi"/>
        </w:rPr>
        <w:t>.</w:t>
      </w:r>
      <w:r w:rsidRPr="00060079">
        <w:rPr>
          <w:rFonts w:asciiTheme="minorHAnsi" w:hAnsiTheme="minorHAnsi" w:cstheme="minorHAnsi"/>
        </w:rPr>
        <w:tab/>
      </w:r>
      <w:r w:rsidR="006102B6">
        <w:rPr>
          <w:rFonts w:asciiTheme="minorHAnsi" w:hAnsiTheme="minorHAnsi" w:cstheme="minorHAnsi"/>
        </w:rPr>
        <w:t xml:space="preserve">En general, hubo un nivel elevado de </w:t>
      </w:r>
      <w:r w:rsidR="003F7B0C" w:rsidRPr="00060079">
        <w:rPr>
          <w:rFonts w:asciiTheme="minorHAnsi" w:hAnsiTheme="minorHAnsi" w:cstheme="minorHAnsi"/>
        </w:rPr>
        <w:t xml:space="preserve">participación y compromiso de los </w:t>
      </w:r>
      <w:r w:rsidR="006102B6" w:rsidRPr="00060079">
        <w:rPr>
          <w:rFonts w:asciiTheme="minorHAnsi" w:hAnsiTheme="minorHAnsi" w:cstheme="minorHAnsi"/>
        </w:rPr>
        <w:t>distintos</w:t>
      </w:r>
      <w:r w:rsidR="003F7B0C" w:rsidRPr="00060079">
        <w:rPr>
          <w:rFonts w:asciiTheme="minorHAnsi" w:hAnsiTheme="minorHAnsi" w:cstheme="minorHAnsi"/>
        </w:rPr>
        <w:t xml:space="preserve"> interesados en la campaña. Los análisis de las </w:t>
      </w:r>
      <w:r w:rsidR="006102B6" w:rsidRPr="00060079">
        <w:rPr>
          <w:rFonts w:asciiTheme="minorHAnsi" w:hAnsiTheme="minorHAnsi" w:cstheme="minorHAnsi"/>
        </w:rPr>
        <w:t>redes</w:t>
      </w:r>
      <w:r w:rsidR="003F7B0C" w:rsidRPr="00060079">
        <w:rPr>
          <w:rFonts w:asciiTheme="minorHAnsi" w:hAnsiTheme="minorHAnsi" w:cstheme="minorHAnsi"/>
        </w:rPr>
        <w:t xml:space="preserve"> sociales muestran </w:t>
      </w:r>
      <w:r w:rsidR="006102B6">
        <w:rPr>
          <w:rFonts w:asciiTheme="minorHAnsi" w:hAnsiTheme="minorHAnsi" w:cstheme="minorHAnsi"/>
        </w:rPr>
        <w:t xml:space="preserve">que el </w:t>
      </w:r>
      <w:r w:rsidR="006102B6" w:rsidRPr="00060079">
        <w:rPr>
          <w:rFonts w:asciiTheme="minorHAnsi" w:hAnsiTheme="minorHAnsi" w:cstheme="minorHAnsi"/>
        </w:rPr>
        <w:t>hashtag de la campaña</w:t>
      </w:r>
      <w:r w:rsidR="006102B6">
        <w:rPr>
          <w:rFonts w:asciiTheme="minorHAnsi" w:hAnsiTheme="minorHAnsi" w:cstheme="minorHAnsi"/>
        </w:rPr>
        <w:t xml:space="preserve"> se utilizó en</w:t>
      </w:r>
      <w:r w:rsidR="006102B6" w:rsidRPr="00060079">
        <w:rPr>
          <w:rFonts w:asciiTheme="minorHAnsi" w:hAnsiTheme="minorHAnsi" w:cstheme="minorHAnsi"/>
        </w:rPr>
        <w:t xml:space="preserve"> </w:t>
      </w:r>
      <w:r w:rsidRPr="00060079">
        <w:rPr>
          <w:rFonts w:asciiTheme="minorHAnsi" w:hAnsiTheme="minorHAnsi" w:cstheme="minorHAnsi"/>
        </w:rPr>
        <w:t>4</w:t>
      </w:r>
      <w:r w:rsidR="006102B6">
        <w:rPr>
          <w:rFonts w:asciiTheme="minorHAnsi" w:hAnsiTheme="minorHAnsi" w:cstheme="minorHAnsi"/>
        </w:rPr>
        <w:t xml:space="preserve"> </w:t>
      </w:r>
      <w:r w:rsidRPr="00060079">
        <w:rPr>
          <w:rFonts w:asciiTheme="minorHAnsi" w:hAnsiTheme="minorHAnsi" w:cstheme="minorHAnsi"/>
        </w:rPr>
        <w:t xml:space="preserve">869 </w:t>
      </w:r>
      <w:r w:rsidR="003F7B0C" w:rsidRPr="00060079">
        <w:rPr>
          <w:rFonts w:asciiTheme="minorHAnsi" w:hAnsiTheme="minorHAnsi" w:cstheme="minorHAnsi"/>
        </w:rPr>
        <w:t xml:space="preserve">ocasiones en publicaciones de </w:t>
      </w:r>
      <w:r w:rsidRPr="00060079">
        <w:rPr>
          <w:rFonts w:asciiTheme="minorHAnsi" w:hAnsiTheme="minorHAnsi" w:cstheme="minorHAnsi"/>
        </w:rPr>
        <w:t xml:space="preserve">Twitter </w:t>
      </w:r>
      <w:r w:rsidR="003F7B0C" w:rsidRPr="00060079">
        <w:rPr>
          <w:rFonts w:asciiTheme="minorHAnsi" w:hAnsiTheme="minorHAnsi" w:cstheme="minorHAnsi"/>
        </w:rPr>
        <w:t xml:space="preserve">e </w:t>
      </w:r>
      <w:r w:rsidRPr="00060079">
        <w:rPr>
          <w:rFonts w:asciiTheme="minorHAnsi" w:hAnsiTheme="minorHAnsi" w:cstheme="minorHAnsi"/>
        </w:rPr>
        <w:t>Instagram</w:t>
      </w:r>
      <w:r w:rsidR="003F7B0C" w:rsidRPr="00060079">
        <w:rPr>
          <w:rFonts w:asciiTheme="minorHAnsi" w:hAnsiTheme="minorHAnsi" w:cstheme="minorHAnsi"/>
        </w:rPr>
        <w:t xml:space="preserve">, con un alcance de 32 millones de </w:t>
      </w:r>
      <w:r w:rsidR="006102B6">
        <w:rPr>
          <w:rFonts w:asciiTheme="minorHAnsi" w:hAnsiTheme="minorHAnsi" w:cstheme="minorHAnsi"/>
        </w:rPr>
        <w:t xml:space="preserve">personas </w:t>
      </w:r>
      <w:r w:rsidR="003F7B0C" w:rsidRPr="00060079">
        <w:rPr>
          <w:rFonts w:asciiTheme="minorHAnsi" w:hAnsiTheme="minorHAnsi" w:cstheme="minorHAnsi"/>
        </w:rPr>
        <w:t xml:space="preserve">en todas las regiones. Hubo 40 000 visitas al sitio web del </w:t>
      </w:r>
      <w:r w:rsidRPr="00060079">
        <w:rPr>
          <w:rFonts w:asciiTheme="minorHAnsi" w:hAnsiTheme="minorHAnsi" w:cstheme="minorHAnsi"/>
        </w:rPr>
        <w:t>50</w:t>
      </w:r>
      <w:r w:rsidR="003F7B0C" w:rsidRPr="00060079">
        <w:rPr>
          <w:rFonts w:asciiTheme="minorHAnsi" w:hAnsiTheme="minorHAnsi" w:cstheme="minorHAnsi"/>
        </w:rPr>
        <w:t xml:space="preserve">º aniversario. El mayor volumen de interacción con la campaña se produjo entre marzo y mayo, y también </w:t>
      </w:r>
      <w:r w:rsidR="006102B6">
        <w:rPr>
          <w:rFonts w:asciiTheme="minorHAnsi" w:hAnsiTheme="minorHAnsi" w:cstheme="minorHAnsi"/>
        </w:rPr>
        <w:t>hubo</w:t>
      </w:r>
      <w:r w:rsidR="003F7B0C" w:rsidRPr="00060079">
        <w:rPr>
          <w:rFonts w:asciiTheme="minorHAnsi" w:hAnsiTheme="minorHAnsi" w:cstheme="minorHAnsi"/>
        </w:rPr>
        <w:t xml:space="preserve"> un aumento de la participación en octubre y diciembre, </w:t>
      </w:r>
      <w:r w:rsidR="006102B6">
        <w:rPr>
          <w:rFonts w:asciiTheme="minorHAnsi" w:hAnsiTheme="minorHAnsi" w:cstheme="minorHAnsi"/>
        </w:rPr>
        <w:t xml:space="preserve">en relación con </w:t>
      </w:r>
      <w:r w:rsidR="003F7B0C" w:rsidRPr="00060079">
        <w:rPr>
          <w:rFonts w:asciiTheme="minorHAnsi" w:hAnsiTheme="minorHAnsi" w:cstheme="minorHAnsi"/>
        </w:rPr>
        <w:t>las actividades d</w:t>
      </w:r>
      <w:r w:rsidR="006102B6">
        <w:rPr>
          <w:rFonts w:asciiTheme="minorHAnsi" w:hAnsiTheme="minorHAnsi" w:cstheme="minorHAnsi"/>
        </w:rPr>
        <w:t>e</w:t>
      </w:r>
      <w:r w:rsidR="003F7B0C" w:rsidRPr="00060079">
        <w:rPr>
          <w:rFonts w:asciiTheme="minorHAnsi" w:hAnsiTheme="minorHAnsi" w:cstheme="minorHAnsi"/>
        </w:rPr>
        <w:t xml:space="preserve">l Día </w:t>
      </w:r>
      <w:r w:rsidR="006102B6" w:rsidRPr="00060079">
        <w:rPr>
          <w:rFonts w:asciiTheme="minorHAnsi" w:hAnsiTheme="minorHAnsi" w:cstheme="minorHAnsi"/>
        </w:rPr>
        <w:t>Internacional</w:t>
      </w:r>
      <w:r w:rsidR="003F7B0C" w:rsidRPr="00060079">
        <w:rPr>
          <w:rFonts w:asciiTheme="minorHAnsi" w:hAnsiTheme="minorHAnsi" w:cstheme="minorHAnsi"/>
        </w:rPr>
        <w:t xml:space="preserve"> de la Juventud y la publicación de</w:t>
      </w:r>
      <w:r w:rsidR="006102B6">
        <w:rPr>
          <w:rFonts w:asciiTheme="minorHAnsi" w:hAnsiTheme="minorHAnsi" w:cstheme="minorHAnsi"/>
        </w:rPr>
        <w:t xml:space="preserve"> la</w:t>
      </w:r>
      <w:r w:rsidRPr="00060079">
        <w:rPr>
          <w:rFonts w:asciiTheme="minorHAnsi" w:hAnsiTheme="minorHAnsi" w:cstheme="minorHAnsi"/>
        </w:rPr>
        <w:t xml:space="preserve"> </w:t>
      </w:r>
      <w:r w:rsidR="006102B6" w:rsidRPr="006102B6">
        <w:rPr>
          <w:rFonts w:asciiTheme="minorHAnsi" w:hAnsiTheme="minorHAnsi" w:cstheme="minorHAnsi"/>
          <w:i/>
          <w:iCs/>
        </w:rPr>
        <w:t>Perspectiva mundial sobre los humedales: Edición especial de 2021</w:t>
      </w:r>
      <w:r w:rsidRPr="00060079">
        <w:rPr>
          <w:rFonts w:asciiTheme="minorHAnsi" w:hAnsiTheme="minorHAnsi" w:cstheme="minorHAnsi"/>
        </w:rPr>
        <w:t xml:space="preserve">. </w:t>
      </w:r>
    </w:p>
    <w:p w14:paraId="3688DEA0" w14:textId="77777777" w:rsidR="00207617" w:rsidRPr="00060079" w:rsidRDefault="00207617" w:rsidP="00207617">
      <w:pPr>
        <w:pStyle w:val="NoSpacing"/>
        <w:ind w:left="426" w:hanging="426"/>
        <w:rPr>
          <w:rFonts w:asciiTheme="minorHAnsi" w:hAnsiTheme="minorHAnsi" w:cstheme="minorHAnsi"/>
        </w:rPr>
      </w:pPr>
    </w:p>
    <w:p w14:paraId="3BD17518" w14:textId="5B292EE2" w:rsidR="00207617" w:rsidRPr="00060079" w:rsidRDefault="00207617" w:rsidP="00207617">
      <w:pPr>
        <w:pStyle w:val="NoSpacing"/>
        <w:ind w:left="426" w:hanging="426"/>
        <w:rPr>
          <w:rFonts w:asciiTheme="minorHAnsi" w:hAnsiTheme="minorHAnsi" w:cstheme="minorHAnsi"/>
        </w:rPr>
      </w:pPr>
      <w:r w:rsidRPr="00060079">
        <w:rPr>
          <w:rFonts w:asciiTheme="minorHAnsi" w:hAnsiTheme="minorHAnsi" w:cstheme="minorHAnsi"/>
        </w:rPr>
        <w:t>1</w:t>
      </w:r>
      <w:r w:rsidR="000F247A">
        <w:rPr>
          <w:rFonts w:asciiTheme="minorHAnsi" w:hAnsiTheme="minorHAnsi" w:cstheme="minorHAnsi"/>
        </w:rPr>
        <w:t>6</w:t>
      </w:r>
      <w:r w:rsidRPr="00060079">
        <w:rPr>
          <w:rFonts w:asciiTheme="minorHAnsi" w:hAnsiTheme="minorHAnsi" w:cstheme="minorHAnsi"/>
        </w:rPr>
        <w:t xml:space="preserve">. </w:t>
      </w:r>
      <w:r w:rsidRPr="00060079">
        <w:rPr>
          <w:rFonts w:asciiTheme="minorHAnsi" w:hAnsiTheme="minorHAnsi" w:cstheme="minorHAnsi"/>
        </w:rPr>
        <w:tab/>
      </w:r>
      <w:r w:rsidR="003F7B0C" w:rsidRPr="00060079">
        <w:rPr>
          <w:rFonts w:asciiTheme="minorHAnsi" w:hAnsiTheme="minorHAnsi" w:cstheme="minorHAnsi"/>
        </w:rPr>
        <w:t xml:space="preserve">Aunque la campaña del 50º aniversario </w:t>
      </w:r>
      <w:r w:rsidR="006102B6">
        <w:rPr>
          <w:rFonts w:asciiTheme="minorHAnsi" w:hAnsiTheme="minorHAnsi" w:cstheme="minorHAnsi"/>
        </w:rPr>
        <w:t>tuvo</w:t>
      </w:r>
      <w:r w:rsidR="003F7B0C" w:rsidRPr="00060079">
        <w:rPr>
          <w:rFonts w:asciiTheme="minorHAnsi" w:hAnsiTheme="minorHAnsi" w:cstheme="minorHAnsi"/>
        </w:rPr>
        <w:t xml:space="preserve"> una </w:t>
      </w:r>
      <w:r w:rsidR="006102B6">
        <w:rPr>
          <w:rFonts w:asciiTheme="minorHAnsi" w:hAnsiTheme="minorHAnsi" w:cstheme="minorHAnsi"/>
        </w:rPr>
        <w:t xml:space="preserve">gran </w:t>
      </w:r>
      <w:r w:rsidR="006102B6" w:rsidRPr="00060079">
        <w:rPr>
          <w:rFonts w:asciiTheme="minorHAnsi" w:hAnsiTheme="minorHAnsi" w:cstheme="minorHAnsi"/>
        </w:rPr>
        <w:t>participación</w:t>
      </w:r>
      <w:r w:rsidR="003F7B0C" w:rsidRPr="00060079">
        <w:rPr>
          <w:rFonts w:asciiTheme="minorHAnsi" w:hAnsiTheme="minorHAnsi" w:cstheme="minorHAnsi"/>
        </w:rPr>
        <w:t xml:space="preserve"> en general a escala mundial, los análisis </w:t>
      </w:r>
      <w:r w:rsidR="00D03397">
        <w:rPr>
          <w:rFonts w:asciiTheme="minorHAnsi" w:hAnsiTheme="minorHAnsi" w:cstheme="minorHAnsi"/>
        </w:rPr>
        <w:t>permitieron una reflexión</w:t>
      </w:r>
      <w:r w:rsidR="0025450E">
        <w:rPr>
          <w:rFonts w:asciiTheme="minorHAnsi" w:hAnsiTheme="minorHAnsi" w:cstheme="minorHAnsi"/>
        </w:rPr>
        <w:t xml:space="preserve"> sobre</w:t>
      </w:r>
      <w:r w:rsidR="003F7B0C" w:rsidRPr="00060079">
        <w:rPr>
          <w:rFonts w:asciiTheme="minorHAnsi" w:hAnsiTheme="minorHAnsi" w:cstheme="minorHAnsi"/>
        </w:rPr>
        <w:t xml:space="preserve"> algunos ámbitos para futuras campañas en las redes sociales. Hubo una correlación positiva entre la </w:t>
      </w:r>
      <w:r w:rsidR="0025450E" w:rsidRPr="00060079">
        <w:rPr>
          <w:rFonts w:asciiTheme="minorHAnsi" w:hAnsiTheme="minorHAnsi" w:cstheme="minorHAnsi"/>
        </w:rPr>
        <w:t>utilización</w:t>
      </w:r>
      <w:r w:rsidR="003F7B0C" w:rsidRPr="00060079">
        <w:rPr>
          <w:rFonts w:asciiTheme="minorHAnsi" w:hAnsiTheme="minorHAnsi" w:cstheme="minorHAnsi"/>
        </w:rPr>
        <w:t xml:space="preserve"> del hashtag y eventos importantes, como </w:t>
      </w:r>
      <w:r w:rsidR="00D03397">
        <w:rPr>
          <w:rFonts w:asciiTheme="minorHAnsi" w:hAnsiTheme="minorHAnsi" w:cstheme="minorHAnsi"/>
        </w:rPr>
        <w:t xml:space="preserve">los </w:t>
      </w:r>
      <w:r w:rsidR="003F7B0C" w:rsidRPr="00060079">
        <w:rPr>
          <w:rFonts w:asciiTheme="minorHAnsi" w:hAnsiTheme="minorHAnsi" w:cstheme="minorHAnsi"/>
        </w:rPr>
        <w:t xml:space="preserve">días </w:t>
      </w:r>
      <w:r w:rsidR="0025450E" w:rsidRPr="00060079">
        <w:rPr>
          <w:rFonts w:asciiTheme="minorHAnsi" w:hAnsiTheme="minorHAnsi" w:cstheme="minorHAnsi"/>
        </w:rPr>
        <w:t>internacionales</w:t>
      </w:r>
      <w:r w:rsidR="003F7B0C" w:rsidRPr="00060079">
        <w:rPr>
          <w:rFonts w:asciiTheme="minorHAnsi" w:hAnsiTheme="minorHAnsi" w:cstheme="minorHAnsi"/>
        </w:rPr>
        <w:t xml:space="preserve">. </w:t>
      </w:r>
      <w:r w:rsidR="0025450E">
        <w:rPr>
          <w:rFonts w:asciiTheme="minorHAnsi" w:hAnsiTheme="minorHAnsi" w:cstheme="minorHAnsi"/>
        </w:rPr>
        <w:t xml:space="preserve">Asimismo, </w:t>
      </w:r>
      <w:r w:rsidR="003F7B0C" w:rsidRPr="00060079">
        <w:rPr>
          <w:rFonts w:asciiTheme="minorHAnsi" w:hAnsiTheme="minorHAnsi" w:cstheme="minorHAnsi"/>
        </w:rPr>
        <w:t xml:space="preserve">se </w:t>
      </w:r>
      <w:r w:rsidR="0025450E" w:rsidRPr="00060079">
        <w:rPr>
          <w:rFonts w:asciiTheme="minorHAnsi" w:hAnsiTheme="minorHAnsi" w:cstheme="minorHAnsi"/>
        </w:rPr>
        <w:t>observó</w:t>
      </w:r>
      <w:r w:rsidR="003F7B0C" w:rsidRPr="00060079">
        <w:rPr>
          <w:rFonts w:asciiTheme="minorHAnsi" w:hAnsiTheme="minorHAnsi" w:cstheme="minorHAnsi"/>
        </w:rPr>
        <w:t xml:space="preserve"> un incremento de</w:t>
      </w:r>
      <w:r w:rsidR="0025450E">
        <w:rPr>
          <w:rFonts w:asciiTheme="minorHAnsi" w:hAnsiTheme="minorHAnsi" w:cstheme="minorHAnsi"/>
        </w:rPr>
        <w:t xml:space="preserve"> la </w:t>
      </w:r>
      <w:r w:rsidR="003F7B0C" w:rsidRPr="00060079">
        <w:rPr>
          <w:rFonts w:asciiTheme="minorHAnsi" w:hAnsiTheme="minorHAnsi" w:cstheme="minorHAnsi"/>
        </w:rPr>
        <w:t xml:space="preserve">participación </w:t>
      </w:r>
      <w:r w:rsidR="00954FC4" w:rsidRPr="00060079">
        <w:rPr>
          <w:rFonts w:asciiTheme="minorHAnsi" w:hAnsiTheme="minorHAnsi" w:cstheme="minorHAnsi"/>
        </w:rPr>
        <w:t xml:space="preserve">al relacionar los </w:t>
      </w:r>
      <w:r w:rsidR="0025450E" w:rsidRPr="00060079">
        <w:rPr>
          <w:rFonts w:asciiTheme="minorHAnsi" w:hAnsiTheme="minorHAnsi" w:cstheme="minorHAnsi"/>
        </w:rPr>
        <w:t>humedales</w:t>
      </w:r>
      <w:r w:rsidR="00954FC4" w:rsidRPr="00060079">
        <w:rPr>
          <w:rFonts w:asciiTheme="minorHAnsi" w:hAnsiTheme="minorHAnsi" w:cstheme="minorHAnsi"/>
        </w:rPr>
        <w:t xml:space="preserve"> con temas como la biodiversidad y la acción por el clima. Vincular conversaciones sobre los humedales</w:t>
      </w:r>
      <w:r w:rsidR="0025450E">
        <w:rPr>
          <w:rFonts w:asciiTheme="minorHAnsi" w:hAnsiTheme="minorHAnsi" w:cstheme="minorHAnsi"/>
        </w:rPr>
        <w:t xml:space="preserve"> con</w:t>
      </w:r>
      <w:r w:rsidR="00954FC4" w:rsidRPr="00060079">
        <w:rPr>
          <w:rFonts w:asciiTheme="minorHAnsi" w:hAnsiTheme="minorHAnsi" w:cstheme="minorHAnsi"/>
        </w:rPr>
        <w:t xml:space="preserve"> estos tipos de eventos u otros temas de importancia mundial </w:t>
      </w:r>
      <w:r w:rsidR="0025450E">
        <w:rPr>
          <w:rFonts w:asciiTheme="minorHAnsi" w:hAnsiTheme="minorHAnsi" w:cstheme="minorHAnsi"/>
        </w:rPr>
        <w:t>incrementa</w:t>
      </w:r>
      <w:r w:rsidR="00954FC4" w:rsidRPr="00060079">
        <w:rPr>
          <w:rFonts w:asciiTheme="minorHAnsi" w:hAnsiTheme="minorHAnsi" w:cstheme="minorHAnsi"/>
        </w:rPr>
        <w:t xml:space="preserve"> </w:t>
      </w:r>
      <w:r w:rsidR="0025450E">
        <w:rPr>
          <w:rFonts w:asciiTheme="minorHAnsi" w:hAnsiTheme="minorHAnsi" w:cstheme="minorHAnsi"/>
        </w:rPr>
        <w:t>la</w:t>
      </w:r>
      <w:r w:rsidR="00954FC4" w:rsidRPr="00060079">
        <w:rPr>
          <w:rFonts w:asciiTheme="minorHAnsi" w:hAnsiTheme="minorHAnsi" w:cstheme="minorHAnsi"/>
        </w:rPr>
        <w:t xml:space="preserve"> </w:t>
      </w:r>
      <w:r w:rsidR="0025450E">
        <w:rPr>
          <w:rFonts w:asciiTheme="minorHAnsi" w:hAnsiTheme="minorHAnsi" w:cstheme="minorHAnsi"/>
        </w:rPr>
        <w:t xml:space="preserve">presencia </w:t>
      </w:r>
      <w:r w:rsidR="00954FC4" w:rsidRPr="00060079">
        <w:rPr>
          <w:rFonts w:asciiTheme="minorHAnsi" w:hAnsiTheme="minorHAnsi" w:cstheme="minorHAnsi"/>
        </w:rPr>
        <w:t xml:space="preserve">en Internet, </w:t>
      </w:r>
      <w:r w:rsidR="0025450E">
        <w:rPr>
          <w:rFonts w:asciiTheme="minorHAnsi" w:hAnsiTheme="minorHAnsi" w:cstheme="minorHAnsi"/>
        </w:rPr>
        <w:t>lo cual</w:t>
      </w:r>
      <w:r w:rsidR="00954FC4" w:rsidRPr="00060079">
        <w:rPr>
          <w:rFonts w:asciiTheme="minorHAnsi" w:hAnsiTheme="minorHAnsi" w:cstheme="minorHAnsi"/>
        </w:rPr>
        <w:t xml:space="preserve"> a su vez da lugar a una </w:t>
      </w:r>
      <w:r w:rsidR="0025450E">
        <w:rPr>
          <w:rFonts w:asciiTheme="minorHAnsi" w:hAnsiTheme="minorHAnsi" w:cstheme="minorHAnsi"/>
        </w:rPr>
        <w:t xml:space="preserve">visibilidad </w:t>
      </w:r>
      <w:r w:rsidR="00954FC4" w:rsidRPr="00060079">
        <w:rPr>
          <w:rFonts w:asciiTheme="minorHAnsi" w:hAnsiTheme="minorHAnsi" w:cstheme="minorHAnsi"/>
        </w:rPr>
        <w:t xml:space="preserve">y </w:t>
      </w:r>
      <w:r w:rsidR="0025450E">
        <w:rPr>
          <w:rFonts w:asciiTheme="minorHAnsi" w:hAnsiTheme="minorHAnsi" w:cstheme="minorHAnsi"/>
        </w:rPr>
        <w:t xml:space="preserve">un </w:t>
      </w:r>
      <w:r w:rsidR="00954FC4" w:rsidRPr="00060079">
        <w:rPr>
          <w:rFonts w:asciiTheme="minorHAnsi" w:hAnsiTheme="minorHAnsi" w:cstheme="minorHAnsi"/>
        </w:rPr>
        <w:t>alcance</w:t>
      </w:r>
      <w:r w:rsidR="0025450E">
        <w:rPr>
          <w:rFonts w:asciiTheme="minorHAnsi" w:hAnsiTheme="minorHAnsi" w:cstheme="minorHAnsi"/>
        </w:rPr>
        <w:t xml:space="preserve"> mayores</w:t>
      </w:r>
      <w:r w:rsidRPr="00060079">
        <w:rPr>
          <w:rFonts w:asciiTheme="minorHAnsi" w:hAnsiTheme="minorHAnsi" w:cstheme="minorHAnsi"/>
        </w:rPr>
        <w:t xml:space="preserve">. </w:t>
      </w:r>
    </w:p>
    <w:p w14:paraId="3ED73351" w14:textId="60D89233" w:rsidR="00207617" w:rsidRPr="00060079" w:rsidRDefault="00207617" w:rsidP="00207617">
      <w:pPr>
        <w:pStyle w:val="NoSpacing"/>
        <w:ind w:left="426" w:hanging="426"/>
        <w:rPr>
          <w:rFonts w:asciiTheme="minorHAnsi" w:hAnsiTheme="minorHAnsi" w:cstheme="minorHAnsi"/>
        </w:rPr>
      </w:pPr>
    </w:p>
    <w:p w14:paraId="6F6D9E51" w14:textId="5B5F89ED" w:rsidR="00207617" w:rsidRPr="00060079" w:rsidRDefault="00207617" w:rsidP="00207617">
      <w:pPr>
        <w:pStyle w:val="NoSpacing"/>
        <w:ind w:left="426" w:hanging="426"/>
        <w:rPr>
          <w:rFonts w:asciiTheme="minorHAnsi" w:hAnsiTheme="minorHAnsi" w:cstheme="minorHAnsi"/>
        </w:rPr>
      </w:pPr>
    </w:p>
    <w:p w14:paraId="7B3B36B7" w14:textId="29AF00B8" w:rsidR="00207617" w:rsidRPr="00060079" w:rsidRDefault="00207617" w:rsidP="00207617">
      <w:pPr>
        <w:pStyle w:val="NoSpacing"/>
        <w:ind w:left="426" w:hanging="426"/>
        <w:rPr>
          <w:rFonts w:asciiTheme="minorHAnsi" w:hAnsiTheme="minorHAnsi" w:cstheme="minorHAnsi"/>
        </w:rPr>
      </w:pPr>
    </w:p>
    <w:p w14:paraId="39BB5E99" w14:textId="77777777" w:rsidR="00207617" w:rsidRPr="00060079" w:rsidRDefault="00207617" w:rsidP="00207617">
      <w:pPr>
        <w:pStyle w:val="NoSpacing"/>
        <w:ind w:left="426" w:hanging="426"/>
        <w:rPr>
          <w:rFonts w:asciiTheme="minorHAnsi" w:hAnsiTheme="minorHAnsi" w:cstheme="minorHAnsi"/>
        </w:rPr>
      </w:pPr>
    </w:p>
    <w:p w14:paraId="0B14C64A" w14:textId="6D85F2CE" w:rsidR="00207617" w:rsidRPr="00060079" w:rsidRDefault="00207617" w:rsidP="00A53343">
      <w:pPr>
        <w:ind w:left="426" w:hanging="426"/>
        <w:rPr>
          <w:rFonts w:asciiTheme="minorHAnsi" w:hAnsiTheme="minorHAnsi"/>
        </w:rPr>
      </w:pPr>
    </w:p>
    <w:p w14:paraId="59C7ED0F" w14:textId="6BB371F6" w:rsidR="008A13D8" w:rsidRPr="00060079" w:rsidRDefault="008A13D8" w:rsidP="00A53343">
      <w:pPr>
        <w:pStyle w:val="NoSpacing"/>
        <w:ind w:left="426" w:hanging="426"/>
        <w:rPr>
          <w:rFonts w:asciiTheme="minorHAnsi" w:hAnsiTheme="minorHAnsi" w:cstheme="minorHAnsi"/>
        </w:rPr>
      </w:pPr>
    </w:p>
    <w:sectPr w:rsidR="008A13D8" w:rsidRPr="00060079"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C18A" w16cex:dateUtc="2022-02-28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839C1" w16cid:durableId="25C7C1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4CB62" w14:textId="77777777" w:rsidR="00A452BB" w:rsidRDefault="00A452BB" w:rsidP="00DF2386">
      <w:r>
        <w:separator/>
      </w:r>
    </w:p>
  </w:endnote>
  <w:endnote w:type="continuationSeparator" w:id="0">
    <w:p w14:paraId="28EF8966" w14:textId="77777777" w:rsidR="00A452BB" w:rsidRDefault="00A452BB" w:rsidP="00DF2386">
      <w:r>
        <w:continuationSeparator/>
      </w:r>
    </w:p>
  </w:endnote>
  <w:endnote w:type="continuationNotice" w:id="1">
    <w:p w14:paraId="5132D5D3" w14:textId="77777777" w:rsidR="00A452BB" w:rsidRDefault="00A4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7A8C" w14:textId="7251A5E3" w:rsidR="00F73E71" w:rsidRDefault="003E4CDB" w:rsidP="002137E0">
    <w:pPr>
      <w:pStyle w:val="Header"/>
      <w:rPr>
        <w:noProof/>
      </w:rPr>
    </w:pPr>
    <w:r>
      <w:rPr>
        <w:sz w:val="20"/>
        <w:szCs w:val="20"/>
      </w:rPr>
      <w:t>SC59</w:t>
    </w:r>
    <w:r w:rsidR="0025450E">
      <w:rPr>
        <w:sz w:val="20"/>
        <w:szCs w:val="20"/>
      </w:rPr>
      <w:t>/2022</w:t>
    </w:r>
    <w:r>
      <w:rPr>
        <w:sz w:val="20"/>
        <w:szCs w:val="20"/>
      </w:rPr>
      <w:t xml:space="preserve"> Doc.20.2</w:t>
    </w:r>
    <w:r>
      <w:tab/>
    </w:r>
    <w:r>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D16E11">
          <w:rPr>
            <w:noProof/>
            <w:sz w:val="20"/>
            <w:szCs w:val="20"/>
          </w:rPr>
          <w:t>3</w:t>
        </w:r>
        <w:r w:rsidR="00F73E71"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13B0" w14:textId="77777777" w:rsidR="00A452BB" w:rsidRDefault="00A452BB" w:rsidP="00DF2386">
      <w:r>
        <w:separator/>
      </w:r>
    </w:p>
  </w:footnote>
  <w:footnote w:type="continuationSeparator" w:id="0">
    <w:p w14:paraId="3502DF54" w14:textId="77777777" w:rsidR="00A452BB" w:rsidRDefault="00A452BB" w:rsidP="00DF2386">
      <w:r>
        <w:continuationSeparator/>
      </w:r>
    </w:p>
  </w:footnote>
  <w:footnote w:type="continuationNotice" w:id="1">
    <w:p w14:paraId="54D16A49" w14:textId="77777777" w:rsidR="00A452BB" w:rsidRDefault="00A452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1AB4" w14:textId="77777777" w:rsidR="00F73E71" w:rsidRDefault="00F73E71">
    <w:pPr>
      <w:pStyle w:val="Header"/>
    </w:pPr>
  </w:p>
  <w:p w14:paraId="3F03702A"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A962581"/>
    <w:multiLevelType w:val="hybridMultilevel"/>
    <w:tmpl w:val="131C587E"/>
    <w:lvl w:ilvl="0" w:tplc="EDC2CC10">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4"/>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16"/>
  </w:num>
  <w:num w:numId="14">
    <w:abstractNumId w:val="11"/>
  </w:num>
  <w:num w:numId="15">
    <w:abstractNumId w:val="2"/>
  </w:num>
  <w:num w:numId="16">
    <w:abstractNumId w:val="13"/>
  </w:num>
  <w:num w:numId="17">
    <w:abstractNumId w:val="19"/>
  </w:num>
  <w:num w:numId="18">
    <w:abstractNumId w:val="27"/>
  </w:num>
  <w:num w:numId="19">
    <w:abstractNumId w:val="26"/>
  </w:num>
  <w:num w:numId="20">
    <w:abstractNumId w:val="21"/>
  </w:num>
  <w:num w:numId="21">
    <w:abstractNumId w:val="23"/>
  </w:num>
  <w:num w:numId="22">
    <w:abstractNumId w:val="14"/>
  </w:num>
  <w:num w:numId="23">
    <w:abstractNumId w:val="20"/>
  </w:num>
  <w:num w:numId="24">
    <w:abstractNumId w:val="17"/>
  </w:num>
  <w:num w:numId="25">
    <w:abstractNumId w:val="25"/>
  </w:num>
  <w:num w:numId="26">
    <w:abstractNumId w:val="8"/>
  </w:num>
  <w:num w:numId="27">
    <w:abstractNumId w:val="0"/>
  </w:num>
  <w:num w:numId="28">
    <w:abstractNumId w:val="10"/>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s-ES" w:vendorID="64" w:dllVersion="4096" w:nlCheck="1" w:checkStyle="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7A16"/>
    <w:rsid w:val="00026E09"/>
    <w:rsid w:val="00037CE0"/>
    <w:rsid w:val="00045F20"/>
    <w:rsid w:val="00051576"/>
    <w:rsid w:val="00053929"/>
    <w:rsid w:val="00060079"/>
    <w:rsid w:val="000614C0"/>
    <w:rsid w:val="000615D0"/>
    <w:rsid w:val="000632EF"/>
    <w:rsid w:val="00063B4F"/>
    <w:rsid w:val="0007087F"/>
    <w:rsid w:val="00074DE8"/>
    <w:rsid w:val="00093BAF"/>
    <w:rsid w:val="00095ABE"/>
    <w:rsid w:val="000A3E3E"/>
    <w:rsid w:val="000B664F"/>
    <w:rsid w:val="000C2489"/>
    <w:rsid w:val="000D3C25"/>
    <w:rsid w:val="000D5C76"/>
    <w:rsid w:val="000D5DC3"/>
    <w:rsid w:val="000E2FA0"/>
    <w:rsid w:val="000E47E9"/>
    <w:rsid w:val="000F0072"/>
    <w:rsid w:val="000F247A"/>
    <w:rsid w:val="00111606"/>
    <w:rsid w:val="00112169"/>
    <w:rsid w:val="0012096C"/>
    <w:rsid w:val="00126579"/>
    <w:rsid w:val="00127828"/>
    <w:rsid w:val="00127A5C"/>
    <w:rsid w:val="00130D0C"/>
    <w:rsid w:val="00131F9C"/>
    <w:rsid w:val="00153798"/>
    <w:rsid w:val="00161BDA"/>
    <w:rsid w:val="00166FCC"/>
    <w:rsid w:val="00171618"/>
    <w:rsid w:val="00174AEE"/>
    <w:rsid w:val="001819B1"/>
    <w:rsid w:val="00181AD4"/>
    <w:rsid w:val="00182B85"/>
    <w:rsid w:val="001A2D10"/>
    <w:rsid w:val="001A7008"/>
    <w:rsid w:val="001B4C07"/>
    <w:rsid w:val="001C15BA"/>
    <w:rsid w:val="001C23A0"/>
    <w:rsid w:val="001C4020"/>
    <w:rsid w:val="001C5E41"/>
    <w:rsid w:val="001C77BC"/>
    <w:rsid w:val="001D14C9"/>
    <w:rsid w:val="001D48BB"/>
    <w:rsid w:val="001E00E3"/>
    <w:rsid w:val="001E3692"/>
    <w:rsid w:val="001E629B"/>
    <w:rsid w:val="001F2349"/>
    <w:rsid w:val="001F760D"/>
    <w:rsid w:val="002005D2"/>
    <w:rsid w:val="00201A2B"/>
    <w:rsid w:val="00201A56"/>
    <w:rsid w:val="0020298B"/>
    <w:rsid w:val="00206111"/>
    <w:rsid w:val="00206F0A"/>
    <w:rsid w:val="00207617"/>
    <w:rsid w:val="00211EDA"/>
    <w:rsid w:val="002137E0"/>
    <w:rsid w:val="00250965"/>
    <w:rsid w:val="00250FB8"/>
    <w:rsid w:val="0025450E"/>
    <w:rsid w:val="00272BAD"/>
    <w:rsid w:val="002741AC"/>
    <w:rsid w:val="00275F13"/>
    <w:rsid w:val="00280324"/>
    <w:rsid w:val="002819C0"/>
    <w:rsid w:val="00295556"/>
    <w:rsid w:val="00295BB5"/>
    <w:rsid w:val="002A0AFD"/>
    <w:rsid w:val="002A2281"/>
    <w:rsid w:val="002A5A4D"/>
    <w:rsid w:val="002B4262"/>
    <w:rsid w:val="002C588A"/>
    <w:rsid w:val="002D5A4D"/>
    <w:rsid w:val="002E22AF"/>
    <w:rsid w:val="002E2BC9"/>
    <w:rsid w:val="002F2256"/>
    <w:rsid w:val="002F2957"/>
    <w:rsid w:val="002F6155"/>
    <w:rsid w:val="00324398"/>
    <w:rsid w:val="0034332D"/>
    <w:rsid w:val="00343EBB"/>
    <w:rsid w:val="00360139"/>
    <w:rsid w:val="003673BE"/>
    <w:rsid w:val="00377B29"/>
    <w:rsid w:val="00384FC3"/>
    <w:rsid w:val="00391A51"/>
    <w:rsid w:val="003A2C58"/>
    <w:rsid w:val="003A3804"/>
    <w:rsid w:val="003A52BE"/>
    <w:rsid w:val="003A5866"/>
    <w:rsid w:val="003A6E9F"/>
    <w:rsid w:val="003C289F"/>
    <w:rsid w:val="003C2D9F"/>
    <w:rsid w:val="003D2458"/>
    <w:rsid w:val="003D4CD6"/>
    <w:rsid w:val="003D58F7"/>
    <w:rsid w:val="003E3FEC"/>
    <w:rsid w:val="003E4CDB"/>
    <w:rsid w:val="003F7B0C"/>
    <w:rsid w:val="00402288"/>
    <w:rsid w:val="004023D0"/>
    <w:rsid w:val="004154C8"/>
    <w:rsid w:val="00421A37"/>
    <w:rsid w:val="004228C7"/>
    <w:rsid w:val="0042798B"/>
    <w:rsid w:val="00434913"/>
    <w:rsid w:val="004474F8"/>
    <w:rsid w:val="00453C83"/>
    <w:rsid w:val="00455D52"/>
    <w:rsid w:val="00457374"/>
    <w:rsid w:val="00460718"/>
    <w:rsid w:val="00463134"/>
    <w:rsid w:val="00466837"/>
    <w:rsid w:val="00477550"/>
    <w:rsid w:val="004844A8"/>
    <w:rsid w:val="00496803"/>
    <w:rsid w:val="00496CAA"/>
    <w:rsid w:val="004A0E0D"/>
    <w:rsid w:val="004A4C1E"/>
    <w:rsid w:val="004B6688"/>
    <w:rsid w:val="004D186C"/>
    <w:rsid w:val="004D743F"/>
    <w:rsid w:val="004F0E78"/>
    <w:rsid w:val="005058F6"/>
    <w:rsid w:val="005244A4"/>
    <w:rsid w:val="00527783"/>
    <w:rsid w:val="005333CB"/>
    <w:rsid w:val="00540C0F"/>
    <w:rsid w:val="005454E6"/>
    <w:rsid w:val="005540F2"/>
    <w:rsid w:val="00570000"/>
    <w:rsid w:val="00571DC1"/>
    <w:rsid w:val="00575AC6"/>
    <w:rsid w:val="0057737D"/>
    <w:rsid w:val="005814B5"/>
    <w:rsid w:val="005908BD"/>
    <w:rsid w:val="00591BF3"/>
    <w:rsid w:val="005A4634"/>
    <w:rsid w:val="005B6953"/>
    <w:rsid w:val="005D1EB1"/>
    <w:rsid w:val="005D3E9D"/>
    <w:rsid w:val="005F332B"/>
    <w:rsid w:val="0060600F"/>
    <w:rsid w:val="006102B6"/>
    <w:rsid w:val="006256D3"/>
    <w:rsid w:val="00627BB7"/>
    <w:rsid w:val="00634027"/>
    <w:rsid w:val="00644A13"/>
    <w:rsid w:val="0065136E"/>
    <w:rsid w:val="00651C6B"/>
    <w:rsid w:val="006546E5"/>
    <w:rsid w:val="00655753"/>
    <w:rsid w:val="0066082B"/>
    <w:rsid w:val="00670D71"/>
    <w:rsid w:val="00681B5F"/>
    <w:rsid w:val="006848F8"/>
    <w:rsid w:val="00685F74"/>
    <w:rsid w:val="00686388"/>
    <w:rsid w:val="006A4912"/>
    <w:rsid w:val="006B248B"/>
    <w:rsid w:val="006B7FDD"/>
    <w:rsid w:val="006E2030"/>
    <w:rsid w:val="006E7DCE"/>
    <w:rsid w:val="007050FF"/>
    <w:rsid w:val="00714489"/>
    <w:rsid w:val="00722002"/>
    <w:rsid w:val="00734842"/>
    <w:rsid w:val="007511A8"/>
    <w:rsid w:val="00752764"/>
    <w:rsid w:val="00752DA6"/>
    <w:rsid w:val="00764DFE"/>
    <w:rsid w:val="00766962"/>
    <w:rsid w:val="0076716E"/>
    <w:rsid w:val="00775287"/>
    <w:rsid w:val="0078438B"/>
    <w:rsid w:val="007A6C8F"/>
    <w:rsid w:val="007B551E"/>
    <w:rsid w:val="007D33F4"/>
    <w:rsid w:val="007F3ABE"/>
    <w:rsid w:val="007F6A19"/>
    <w:rsid w:val="008156D7"/>
    <w:rsid w:val="0082700E"/>
    <w:rsid w:val="008328E9"/>
    <w:rsid w:val="00835BCB"/>
    <w:rsid w:val="00835CDC"/>
    <w:rsid w:val="00850B09"/>
    <w:rsid w:val="00863B9D"/>
    <w:rsid w:val="00863BE6"/>
    <w:rsid w:val="008774EE"/>
    <w:rsid w:val="008775BC"/>
    <w:rsid w:val="00882F1B"/>
    <w:rsid w:val="00885664"/>
    <w:rsid w:val="0089249E"/>
    <w:rsid w:val="00894AD3"/>
    <w:rsid w:val="008A13D8"/>
    <w:rsid w:val="008A70CE"/>
    <w:rsid w:val="008B34F6"/>
    <w:rsid w:val="008C25E4"/>
    <w:rsid w:val="008C2D09"/>
    <w:rsid w:val="008C2DAE"/>
    <w:rsid w:val="008D0E8E"/>
    <w:rsid w:val="008D6B70"/>
    <w:rsid w:val="008E5608"/>
    <w:rsid w:val="008E5B28"/>
    <w:rsid w:val="008E74BA"/>
    <w:rsid w:val="009006D3"/>
    <w:rsid w:val="009059A9"/>
    <w:rsid w:val="009146C5"/>
    <w:rsid w:val="00920C84"/>
    <w:rsid w:val="0092515E"/>
    <w:rsid w:val="00931B03"/>
    <w:rsid w:val="00942FBD"/>
    <w:rsid w:val="009466E6"/>
    <w:rsid w:val="0094770B"/>
    <w:rsid w:val="00954FC4"/>
    <w:rsid w:val="00966AFC"/>
    <w:rsid w:val="009925EE"/>
    <w:rsid w:val="009A2687"/>
    <w:rsid w:val="009B059F"/>
    <w:rsid w:val="009B2267"/>
    <w:rsid w:val="009B5480"/>
    <w:rsid w:val="009C1B9D"/>
    <w:rsid w:val="009C5FF4"/>
    <w:rsid w:val="009D6326"/>
    <w:rsid w:val="009D66CB"/>
    <w:rsid w:val="009E0AE8"/>
    <w:rsid w:val="009E5374"/>
    <w:rsid w:val="009F345D"/>
    <w:rsid w:val="00A04197"/>
    <w:rsid w:val="00A069B2"/>
    <w:rsid w:val="00A11207"/>
    <w:rsid w:val="00A13218"/>
    <w:rsid w:val="00A227A3"/>
    <w:rsid w:val="00A27C37"/>
    <w:rsid w:val="00A452BB"/>
    <w:rsid w:val="00A53343"/>
    <w:rsid w:val="00A60B73"/>
    <w:rsid w:val="00A71155"/>
    <w:rsid w:val="00A80080"/>
    <w:rsid w:val="00A8278C"/>
    <w:rsid w:val="00A85280"/>
    <w:rsid w:val="00AB4951"/>
    <w:rsid w:val="00B03812"/>
    <w:rsid w:val="00B06576"/>
    <w:rsid w:val="00B158A7"/>
    <w:rsid w:val="00B17E22"/>
    <w:rsid w:val="00B208A8"/>
    <w:rsid w:val="00B23E61"/>
    <w:rsid w:val="00B315A0"/>
    <w:rsid w:val="00B34A18"/>
    <w:rsid w:val="00B468CE"/>
    <w:rsid w:val="00B52BD3"/>
    <w:rsid w:val="00B5573B"/>
    <w:rsid w:val="00B579CB"/>
    <w:rsid w:val="00B626CD"/>
    <w:rsid w:val="00B70083"/>
    <w:rsid w:val="00B76945"/>
    <w:rsid w:val="00B777ED"/>
    <w:rsid w:val="00B80BF6"/>
    <w:rsid w:val="00B83EF9"/>
    <w:rsid w:val="00B954CB"/>
    <w:rsid w:val="00BB0BD0"/>
    <w:rsid w:val="00BB28F6"/>
    <w:rsid w:val="00BC2609"/>
    <w:rsid w:val="00C0528F"/>
    <w:rsid w:val="00C13145"/>
    <w:rsid w:val="00C4597B"/>
    <w:rsid w:val="00C53A12"/>
    <w:rsid w:val="00C847C9"/>
    <w:rsid w:val="00CB4979"/>
    <w:rsid w:val="00CB7797"/>
    <w:rsid w:val="00CE750F"/>
    <w:rsid w:val="00CF1E7A"/>
    <w:rsid w:val="00CF4D40"/>
    <w:rsid w:val="00CF5EFD"/>
    <w:rsid w:val="00D03397"/>
    <w:rsid w:val="00D06521"/>
    <w:rsid w:val="00D160CB"/>
    <w:rsid w:val="00D16E11"/>
    <w:rsid w:val="00D218D5"/>
    <w:rsid w:val="00D245A1"/>
    <w:rsid w:val="00D36003"/>
    <w:rsid w:val="00D37268"/>
    <w:rsid w:val="00D415E2"/>
    <w:rsid w:val="00D42055"/>
    <w:rsid w:val="00D647C3"/>
    <w:rsid w:val="00D85807"/>
    <w:rsid w:val="00D9633A"/>
    <w:rsid w:val="00DE4854"/>
    <w:rsid w:val="00DF2386"/>
    <w:rsid w:val="00DF7FE7"/>
    <w:rsid w:val="00E377B4"/>
    <w:rsid w:val="00E46367"/>
    <w:rsid w:val="00E509F6"/>
    <w:rsid w:val="00E52881"/>
    <w:rsid w:val="00E61BAD"/>
    <w:rsid w:val="00E63F0B"/>
    <w:rsid w:val="00E6620D"/>
    <w:rsid w:val="00E86EA4"/>
    <w:rsid w:val="00EA3A7F"/>
    <w:rsid w:val="00EB7F4F"/>
    <w:rsid w:val="00EC0D5E"/>
    <w:rsid w:val="00EC3218"/>
    <w:rsid w:val="00ED7B44"/>
    <w:rsid w:val="00EE071F"/>
    <w:rsid w:val="00EF42F6"/>
    <w:rsid w:val="00EF6FCA"/>
    <w:rsid w:val="00F078F1"/>
    <w:rsid w:val="00F10CE8"/>
    <w:rsid w:val="00F32D03"/>
    <w:rsid w:val="00F344DE"/>
    <w:rsid w:val="00F44D3A"/>
    <w:rsid w:val="00F45E02"/>
    <w:rsid w:val="00F55820"/>
    <w:rsid w:val="00F61565"/>
    <w:rsid w:val="00F61F4E"/>
    <w:rsid w:val="00F73E71"/>
    <w:rsid w:val="00F74156"/>
    <w:rsid w:val="00F90E1E"/>
    <w:rsid w:val="00F94B02"/>
    <w:rsid w:val="00FA720B"/>
    <w:rsid w:val="00FC349F"/>
    <w:rsid w:val="00FC40BB"/>
    <w:rsid w:val="00FE4F5F"/>
    <w:rsid w:val="00FE6F3B"/>
    <w:rsid w:val="00FE7D64"/>
    <w:rsid w:val="00FF44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C05A2"/>
  <w15:docId w15:val="{D983A7D9-D0E6-4277-B70C-CE4714F8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FollowedHyperlink">
    <w:name w:val="FollowedHyperlink"/>
    <w:basedOn w:val="DefaultParagraphFont"/>
    <w:uiPriority w:val="99"/>
    <w:semiHidden/>
    <w:unhideWhenUsed/>
    <w:rsid w:val="00885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2976">
      <w:bodyDiv w:val="1"/>
      <w:marLeft w:val="0"/>
      <w:marRight w:val="0"/>
      <w:marTop w:val="0"/>
      <w:marBottom w:val="0"/>
      <w:divBdr>
        <w:top w:val="none" w:sz="0" w:space="0" w:color="auto"/>
        <w:left w:val="none" w:sz="0" w:space="0" w:color="auto"/>
        <w:bottom w:val="none" w:sz="0" w:space="0" w:color="auto"/>
        <w:right w:val="none" w:sz="0" w:space="0" w:color="auto"/>
      </w:divBdr>
    </w:div>
    <w:div w:id="20244823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99989470">
      <w:bodyDiv w:val="1"/>
      <w:marLeft w:val="0"/>
      <w:marRight w:val="0"/>
      <w:marTop w:val="0"/>
      <w:marBottom w:val="0"/>
      <w:divBdr>
        <w:top w:val="none" w:sz="0" w:space="0" w:color="auto"/>
        <w:left w:val="none" w:sz="0" w:space="0" w:color="auto"/>
        <w:bottom w:val="none" w:sz="0" w:space="0" w:color="auto"/>
        <w:right w:val="none" w:sz="0" w:space="0" w:color="auto"/>
      </w:divBdr>
    </w:div>
    <w:div w:id="578322217">
      <w:bodyDiv w:val="1"/>
      <w:marLeft w:val="0"/>
      <w:marRight w:val="0"/>
      <w:marTop w:val="0"/>
      <w:marBottom w:val="0"/>
      <w:divBdr>
        <w:top w:val="none" w:sz="0" w:space="0" w:color="auto"/>
        <w:left w:val="none" w:sz="0" w:space="0" w:color="auto"/>
        <w:bottom w:val="none" w:sz="0" w:space="0" w:color="auto"/>
        <w:right w:val="none" w:sz="0" w:space="0" w:color="auto"/>
      </w:divBdr>
    </w:div>
    <w:div w:id="8471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BEA4-BC28-4F2E-8CC0-D31526DC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CC88D-5ED6-4B16-AF14-41EAA2A20C40}">
  <ds:schemaRefs>
    <ds:schemaRef ds:uri="http://schemas.microsoft.com/sharepoint/v3/contenttype/forms"/>
  </ds:schemaRefs>
</ds:datastoreItem>
</file>

<file path=customXml/itemProps3.xml><?xml version="1.0" encoding="utf-8"?>
<ds:datastoreItem xmlns:ds="http://schemas.openxmlformats.org/officeDocument/2006/customXml" ds:itemID="{166DAD50-9420-48C0-990E-FB91D1804485}">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8c0b6b05-eb82-4bda-97e8-cd82d0d6b453"/>
    <ds:schemaRef ds:uri="http://schemas.microsoft.com/office/2006/metadata/properties"/>
  </ds:schemaRefs>
</ds:datastoreItem>
</file>

<file path=customXml/itemProps4.xml><?xml version="1.0" encoding="utf-8"?>
<ds:datastoreItem xmlns:ds="http://schemas.openxmlformats.org/officeDocument/2006/customXml" ds:itemID="{1C910E04-77C1-4747-B701-E1B65D00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8065</Characters>
  <Application>Microsoft Office Word</Application>
  <DocSecurity>0</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Ramsar\KatzM</dc:creator>
  <cp:keywords/>
  <dc:description/>
  <cp:lastModifiedBy>Ed Jennings</cp:lastModifiedBy>
  <cp:revision>3</cp:revision>
  <cp:lastPrinted>2016-10-06T13:08:00Z</cp:lastPrinted>
  <dcterms:created xsi:type="dcterms:W3CDTF">2022-03-01T10:52:00Z</dcterms:created>
  <dcterms:modified xsi:type="dcterms:W3CDTF">2022-03-04T16:12:00Z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