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4A9DF" w14:textId="77777777" w:rsidR="00A23E41" w:rsidRPr="00A23E41" w:rsidRDefault="00A23E41" w:rsidP="00014168">
      <w:pPr>
        <w:pBdr>
          <w:top w:val="single" w:sz="12" w:space="0" w:color="auto" w:shadow="1"/>
          <w:left w:val="single" w:sz="12" w:space="4" w:color="auto" w:shadow="1"/>
          <w:bottom w:val="single" w:sz="12" w:space="1" w:color="auto" w:shadow="1"/>
          <w:right w:val="single" w:sz="12" w:space="7" w:color="auto" w:shadow="1"/>
        </w:pBdr>
        <w:ind w:right="2790"/>
        <w:rPr>
          <w:rStyle w:val="markedcontent"/>
          <w:rFonts w:cs="Calibri"/>
          <w:sz w:val="24"/>
          <w:szCs w:val="24"/>
          <w:lang w:val="fr-FR"/>
        </w:rPr>
      </w:pPr>
      <w:bookmarkStart w:id="0" w:name="_GoBack"/>
      <w:bookmarkEnd w:id="0"/>
      <w:r w:rsidRPr="00A23E41">
        <w:rPr>
          <w:rStyle w:val="markedcontent"/>
          <w:rFonts w:cs="Calibri"/>
          <w:sz w:val="24"/>
          <w:szCs w:val="24"/>
          <w:lang w:val="fr-FR"/>
        </w:rPr>
        <w:t>CONVENTION SUR LES ZONES HUMIDES</w:t>
      </w:r>
    </w:p>
    <w:p w14:paraId="5B05C14D" w14:textId="78FC31A9" w:rsidR="00A23E41" w:rsidRDefault="00A23E41" w:rsidP="00014168">
      <w:pPr>
        <w:pBdr>
          <w:top w:val="single" w:sz="12" w:space="0" w:color="auto" w:shadow="1"/>
          <w:left w:val="single" w:sz="12" w:space="4" w:color="auto" w:shadow="1"/>
          <w:bottom w:val="single" w:sz="12" w:space="1" w:color="auto" w:shadow="1"/>
          <w:right w:val="single" w:sz="12" w:space="7" w:color="auto" w:shadow="1"/>
        </w:pBdr>
        <w:ind w:right="2790"/>
        <w:rPr>
          <w:rStyle w:val="markedcontent"/>
          <w:rFonts w:cs="Calibri"/>
          <w:sz w:val="24"/>
          <w:szCs w:val="24"/>
          <w:lang w:val="fr-FR"/>
        </w:rPr>
      </w:pPr>
      <w:r w:rsidRPr="00A23E41">
        <w:rPr>
          <w:rStyle w:val="markedcontent"/>
          <w:rFonts w:cs="Calibri"/>
          <w:sz w:val="24"/>
          <w:szCs w:val="24"/>
          <w:lang w:val="fr-FR"/>
        </w:rPr>
        <w:t>59</w:t>
      </w:r>
      <w:r w:rsidRPr="00A23E41">
        <w:rPr>
          <w:rStyle w:val="markedcontent"/>
          <w:rFonts w:cs="Calibri"/>
          <w:sz w:val="24"/>
          <w:szCs w:val="24"/>
          <w:vertAlign w:val="superscript"/>
          <w:lang w:val="fr-FR"/>
        </w:rPr>
        <w:t>e</w:t>
      </w:r>
      <w:r w:rsidRPr="00A23E41">
        <w:rPr>
          <w:rStyle w:val="markedcontent"/>
          <w:rFonts w:cs="Calibri"/>
          <w:sz w:val="24"/>
          <w:szCs w:val="24"/>
          <w:lang w:val="fr-FR"/>
        </w:rPr>
        <w:t xml:space="preserve"> Réunion du Comité permanent</w:t>
      </w:r>
    </w:p>
    <w:p w14:paraId="7E0A0D69" w14:textId="27B9D4C2" w:rsidR="009F7CA3" w:rsidRPr="00A23E41" w:rsidRDefault="009F7CA3" w:rsidP="00014168">
      <w:pPr>
        <w:pBdr>
          <w:top w:val="single" w:sz="12" w:space="0" w:color="auto" w:shadow="1"/>
          <w:left w:val="single" w:sz="12" w:space="4" w:color="auto" w:shadow="1"/>
          <w:bottom w:val="single" w:sz="12" w:space="1" w:color="auto" w:shadow="1"/>
          <w:right w:val="single" w:sz="12" w:space="7" w:color="auto" w:shadow="1"/>
        </w:pBdr>
        <w:ind w:right="2790"/>
        <w:rPr>
          <w:rStyle w:val="markedcontent"/>
          <w:rFonts w:cs="Calibri"/>
          <w:sz w:val="24"/>
          <w:szCs w:val="24"/>
          <w:lang w:val="fr-FR"/>
        </w:rPr>
      </w:pPr>
      <w:r>
        <w:rPr>
          <w:rStyle w:val="markedcontent"/>
          <w:rFonts w:cs="Calibri"/>
          <w:sz w:val="24"/>
          <w:szCs w:val="24"/>
          <w:lang w:val="fr-FR"/>
        </w:rPr>
        <w:t>Reprise de séance</w:t>
      </w:r>
    </w:p>
    <w:p w14:paraId="06D59964" w14:textId="3A716A92" w:rsidR="00A23E41" w:rsidRPr="00A23E41" w:rsidRDefault="00A23E41" w:rsidP="00014168">
      <w:pPr>
        <w:pBdr>
          <w:top w:val="single" w:sz="12" w:space="0" w:color="auto" w:shadow="1"/>
          <w:left w:val="single" w:sz="12" w:space="4" w:color="auto" w:shadow="1"/>
          <w:bottom w:val="single" w:sz="12" w:space="1" w:color="auto" w:shadow="1"/>
          <w:right w:val="single" w:sz="12" w:space="7" w:color="auto" w:shadow="1"/>
        </w:pBdr>
        <w:ind w:right="2790"/>
        <w:rPr>
          <w:rStyle w:val="markedcontent"/>
          <w:rFonts w:cs="Calibri"/>
          <w:sz w:val="24"/>
          <w:szCs w:val="24"/>
          <w:lang w:val="fr-FR"/>
        </w:rPr>
      </w:pPr>
      <w:r w:rsidRPr="00A23E41">
        <w:rPr>
          <w:rStyle w:val="markedcontent"/>
          <w:rFonts w:cs="Calibri"/>
          <w:sz w:val="24"/>
          <w:szCs w:val="24"/>
          <w:lang w:val="fr-FR"/>
        </w:rPr>
        <w:t>Gland, Suisse, 2</w:t>
      </w:r>
      <w:r w:rsidR="009F7CA3">
        <w:rPr>
          <w:rStyle w:val="markedcontent"/>
          <w:rFonts w:cs="Calibri"/>
          <w:sz w:val="24"/>
          <w:szCs w:val="24"/>
          <w:lang w:val="fr-FR"/>
        </w:rPr>
        <w:t>3</w:t>
      </w:r>
      <w:r w:rsidRPr="00A23E41">
        <w:rPr>
          <w:rStyle w:val="markedcontent"/>
          <w:rFonts w:cs="Calibri"/>
          <w:sz w:val="24"/>
          <w:szCs w:val="24"/>
          <w:lang w:val="fr-FR"/>
        </w:rPr>
        <w:t xml:space="preserve"> au 2</w:t>
      </w:r>
      <w:r w:rsidR="009F7CA3">
        <w:rPr>
          <w:rStyle w:val="markedcontent"/>
          <w:rFonts w:cs="Calibri"/>
          <w:sz w:val="24"/>
          <w:szCs w:val="24"/>
          <w:lang w:val="fr-FR"/>
        </w:rPr>
        <w:t>7</w:t>
      </w:r>
      <w:r w:rsidRPr="00A23E41">
        <w:rPr>
          <w:rStyle w:val="markedcontent"/>
          <w:rFonts w:cs="Calibri"/>
          <w:sz w:val="24"/>
          <w:szCs w:val="24"/>
          <w:lang w:val="fr-FR"/>
        </w:rPr>
        <w:t xml:space="preserve"> </w:t>
      </w:r>
      <w:r w:rsidR="009F7CA3">
        <w:rPr>
          <w:rStyle w:val="markedcontent"/>
          <w:rFonts w:cs="Calibri"/>
          <w:sz w:val="24"/>
          <w:szCs w:val="24"/>
          <w:lang w:val="fr-FR"/>
        </w:rPr>
        <w:t>mai</w:t>
      </w:r>
      <w:r w:rsidRPr="00A23E41">
        <w:rPr>
          <w:rStyle w:val="markedcontent"/>
          <w:rFonts w:cs="Calibri"/>
          <w:sz w:val="24"/>
          <w:szCs w:val="24"/>
          <w:lang w:val="fr-FR"/>
        </w:rPr>
        <w:t xml:space="preserve"> 202</w:t>
      </w:r>
      <w:r w:rsidR="009F7CA3">
        <w:rPr>
          <w:rStyle w:val="markedcontent"/>
          <w:rFonts w:cs="Calibri"/>
          <w:sz w:val="24"/>
          <w:szCs w:val="24"/>
          <w:lang w:val="fr-FR"/>
        </w:rPr>
        <w:t>2</w:t>
      </w:r>
    </w:p>
    <w:p w14:paraId="4B6A52D1" w14:textId="77777777" w:rsidR="00DF2386" w:rsidRPr="00DF5584" w:rsidRDefault="00DF2386" w:rsidP="00014168">
      <w:pPr>
        <w:outlineLvl w:val="0"/>
        <w:rPr>
          <w:b/>
          <w:sz w:val="28"/>
          <w:lang w:val="fr-FR"/>
        </w:rPr>
      </w:pPr>
    </w:p>
    <w:p w14:paraId="48F7EC53" w14:textId="7C43F776" w:rsidR="00DF2386" w:rsidRPr="00A23E41" w:rsidRDefault="00FE7D64" w:rsidP="00014168">
      <w:pPr>
        <w:jc w:val="right"/>
        <w:rPr>
          <w:b/>
          <w:sz w:val="28"/>
          <w:lang w:val="fr-FR"/>
        </w:rPr>
      </w:pPr>
      <w:r w:rsidRPr="00A23E41">
        <w:rPr>
          <w:rFonts w:cs="Arial"/>
          <w:b/>
          <w:sz w:val="28"/>
          <w:szCs w:val="28"/>
          <w:lang w:val="fr-FR"/>
        </w:rPr>
        <w:t>SC59</w:t>
      </w:r>
      <w:r w:rsidR="009F7CA3">
        <w:rPr>
          <w:rFonts w:cs="Arial"/>
          <w:b/>
          <w:sz w:val="28"/>
          <w:szCs w:val="28"/>
          <w:lang w:val="fr-FR"/>
        </w:rPr>
        <w:t>/2022</w:t>
      </w:r>
      <w:r w:rsidRPr="00A23E41">
        <w:rPr>
          <w:rFonts w:cs="Arial"/>
          <w:b/>
          <w:sz w:val="28"/>
          <w:szCs w:val="28"/>
          <w:lang w:val="fr-FR"/>
        </w:rPr>
        <w:t xml:space="preserve"> Doc.</w:t>
      </w:r>
      <w:r w:rsidR="003E4CDB" w:rsidRPr="00A23E41">
        <w:rPr>
          <w:rFonts w:cs="Arial"/>
          <w:b/>
          <w:sz w:val="28"/>
          <w:szCs w:val="28"/>
          <w:lang w:val="fr-FR"/>
        </w:rPr>
        <w:t>20.2</w:t>
      </w:r>
    </w:p>
    <w:p w14:paraId="6A32022B" w14:textId="77777777" w:rsidR="00DF2386" w:rsidRPr="00A23E41" w:rsidRDefault="00DF2386" w:rsidP="00014168">
      <w:pPr>
        <w:rPr>
          <w:rFonts w:cs="Arial"/>
          <w:b/>
          <w:sz w:val="28"/>
          <w:szCs w:val="28"/>
          <w:lang w:val="fr-FR"/>
        </w:rPr>
      </w:pPr>
    </w:p>
    <w:p w14:paraId="1B8A198B" w14:textId="77777777" w:rsidR="00DF2386" w:rsidRPr="00A23E41" w:rsidRDefault="006546E5" w:rsidP="00014168">
      <w:pPr>
        <w:jc w:val="center"/>
        <w:rPr>
          <w:rFonts w:cs="Arial"/>
          <w:b/>
          <w:sz w:val="28"/>
          <w:szCs w:val="28"/>
          <w:lang w:val="fr-FR"/>
        </w:rPr>
      </w:pPr>
      <w:r w:rsidRPr="00A23E41">
        <w:rPr>
          <w:rFonts w:asciiTheme="minorHAnsi" w:hAnsiTheme="minorHAnsi"/>
          <w:b/>
          <w:sz w:val="28"/>
          <w:lang w:val="fr-FR"/>
        </w:rPr>
        <w:t>R</w:t>
      </w:r>
      <w:r w:rsidR="00A23E41" w:rsidRPr="00A23E41">
        <w:rPr>
          <w:rFonts w:asciiTheme="minorHAnsi" w:hAnsiTheme="minorHAnsi"/>
          <w:b/>
          <w:sz w:val="28"/>
          <w:lang w:val="fr-FR"/>
        </w:rPr>
        <w:t>apport du Secrétariat sur la</w:t>
      </w:r>
      <w:r w:rsidRPr="00A23E41">
        <w:rPr>
          <w:rFonts w:asciiTheme="minorHAnsi" w:hAnsiTheme="minorHAnsi"/>
          <w:b/>
          <w:sz w:val="28"/>
          <w:lang w:val="fr-FR"/>
        </w:rPr>
        <w:t xml:space="preserve"> COP14</w:t>
      </w:r>
    </w:p>
    <w:p w14:paraId="1C02AEE2" w14:textId="77777777" w:rsidR="00DF2386" w:rsidRPr="00A23E41" w:rsidRDefault="00DF2386" w:rsidP="00014168">
      <w:pPr>
        <w:rPr>
          <w:rFonts w:ascii="Garamond" w:hAnsi="Garamond"/>
          <w:b/>
          <w:sz w:val="28"/>
          <w:lang w:val="fr-FR"/>
        </w:rPr>
      </w:pPr>
    </w:p>
    <w:p w14:paraId="2DFBCF39" w14:textId="77777777" w:rsidR="000C2489" w:rsidRDefault="00497784"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40AB9D5B" wp14:editId="12C081A1">
                <wp:extent cx="5731510" cy="723900"/>
                <wp:effectExtent l="9525" t="10160" r="12065"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23900"/>
                        </a:xfrm>
                        <a:prstGeom prst="rect">
                          <a:avLst/>
                        </a:prstGeom>
                        <a:solidFill>
                          <a:srgbClr val="FFFFFF"/>
                        </a:solidFill>
                        <a:ln w="9525">
                          <a:solidFill>
                            <a:srgbClr val="000000"/>
                          </a:solidFill>
                          <a:miter lim="800000"/>
                          <a:headEnd/>
                          <a:tailEnd/>
                        </a:ln>
                      </wps:spPr>
                      <wps:txbx>
                        <w:txbxContent>
                          <w:p w14:paraId="49D59C6D" w14:textId="41D1AB26" w:rsidR="006C39DB" w:rsidRPr="00A23E41" w:rsidRDefault="009F7CA3" w:rsidP="000C2489">
                            <w:pPr>
                              <w:rPr>
                                <w:b/>
                                <w:bCs/>
                                <w:lang w:val="fr-FR"/>
                              </w:rPr>
                            </w:pPr>
                            <w:r>
                              <w:rPr>
                                <w:b/>
                                <w:bCs/>
                                <w:lang w:val="fr-FR"/>
                              </w:rPr>
                              <w:t>Mesures requises</w:t>
                            </w:r>
                            <w:r w:rsidR="006C39DB" w:rsidRPr="00A23E41">
                              <w:rPr>
                                <w:b/>
                                <w:bCs/>
                                <w:lang w:val="fr-FR"/>
                              </w:rPr>
                              <w:t xml:space="preserve"> : </w:t>
                            </w:r>
                          </w:p>
                          <w:p w14:paraId="22DEDA8A" w14:textId="77777777" w:rsidR="006C39DB" w:rsidRPr="00A23E41" w:rsidRDefault="006C39DB" w:rsidP="000C2489">
                            <w:pPr>
                              <w:pStyle w:val="ColorfulList-Accent11"/>
                              <w:ind w:left="0"/>
                              <w:rPr>
                                <w:lang w:val="fr-FR"/>
                              </w:rPr>
                            </w:pPr>
                          </w:p>
                          <w:p w14:paraId="5A72AAE9" w14:textId="567969FE" w:rsidR="006C39DB" w:rsidRPr="00A23E41" w:rsidRDefault="006C39DB" w:rsidP="00FE7D64">
                            <w:pPr>
                              <w:pStyle w:val="ColorfulList-Accent11"/>
                              <w:ind w:left="0" w:firstLine="0"/>
                              <w:rPr>
                                <w:rFonts w:cs="Calibri"/>
                                <w:lang w:val="fr-FR"/>
                              </w:rPr>
                            </w:pPr>
                            <w:r w:rsidRPr="00A23E41">
                              <w:rPr>
                                <w:lang w:val="fr-FR"/>
                              </w:rPr>
                              <w:t xml:space="preserve">Le Comité permanent est invité à prendre note du présent rapport. </w:t>
                            </w:r>
                          </w:p>
                          <w:p w14:paraId="7C13911F" w14:textId="77777777" w:rsidR="006C39DB" w:rsidRPr="00A23E41" w:rsidRDefault="006C39DB" w:rsidP="00275F13">
                            <w:pPr>
                              <w:pStyle w:val="ColorfulList-Accent11"/>
                              <w:ind w:left="-425" w:firstLine="0"/>
                              <w:rPr>
                                <w:lang w:val="fr-FR"/>
                              </w:rPr>
                            </w:pPr>
                          </w:p>
                          <w:p w14:paraId="15B3425B" w14:textId="77777777" w:rsidR="006C39DB" w:rsidRPr="00A23E41" w:rsidRDefault="006C39DB" w:rsidP="00FE7D64">
                            <w:pPr>
                              <w:pStyle w:val="ColorfulList-Accent11"/>
                              <w:rPr>
                                <w:lang w:val="fr-FR"/>
                              </w:rPr>
                            </w:pPr>
                          </w:p>
                          <w:p w14:paraId="19056CB6" w14:textId="77777777" w:rsidR="006C39DB" w:rsidRPr="00A23E41" w:rsidRDefault="006C39DB" w:rsidP="00275F13">
                            <w:pPr>
                              <w:pStyle w:val="ColorfulList-Accent11"/>
                              <w:ind w:left="-425" w:firstLine="0"/>
                              <w:rPr>
                                <w:lang w:val="fr-FR"/>
                              </w:rPr>
                            </w:pPr>
                          </w:p>
                        </w:txbxContent>
                      </wps:txbx>
                      <wps:bodyPr rot="0" vert="horz" wrap="square" lIns="91440" tIns="45720" rIns="91440" bIns="45720" anchor="t" anchorCtr="0" upright="1">
                        <a:noAutofit/>
                      </wps:bodyPr>
                    </wps:wsp>
                  </a:graphicData>
                </a:graphic>
              </wp:inline>
            </w:drawing>
          </mc:Choice>
          <mc:Fallback>
            <w:pict>
              <v:shapetype w14:anchorId="40AB9D5B" id="_x0000_t202" coordsize="21600,21600" o:spt="202" path="m,l,21600r21600,l21600,xe">
                <v:stroke joinstyle="miter"/>
                <v:path gradientshapeok="t" o:connecttype="rect"/>
              </v:shapetype>
              <v:shape id="Text Box 1" o:spid="_x0000_s1026" type="#_x0000_t202" style="width:451.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">
                <v:textbox>
                  <w:txbxContent>
                    <w:p w14:paraId="49D59C6D" w14:textId="41D1AB26" w:rsidR="006C39DB" w:rsidRPr="00A23E41" w:rsidRDefault="009F7CA3" w:rsidP="000C2489">
                      <w:pPr>
                        <w:rPr>
                          <w:b/>
                          <w:bCs/>
                          <w:lang w:val="fr-FR"/>
                        </w:rPr>
                      </w:pPr>
                      <w:r>
                        <w:rPr>
                          <w:b/>
                          <w:bCs/>
                          <w:lang w:val="fr-FR"/>
                        </w:rPr>
                        <w:t>Mesures requises</w:t>
                      </w:r>
                      <w:r w:rsidR="006C39DB" w:rsidRPr="00A23E41">
                        <w:rPr>
                          <w:b/>
                          <w:bCs/>
                          <w:lang w:val="fr-FR"/>
                        </w:rPr>
                        <w:t xml:space="preserve"> : </w:t>
                      </w:r>
                    </w:p>
                    <w:p w14:paraId="22DEDA8A" w14:textId="77777777" w:rsidR="006C39DB" w:rsidRPr="00A23E41" w:rsidRDefault="006C39DB" w:rsidP="000C2489">
                      <w:pPr>
                        <w:pStyle w:val="ColorfulList-Accent11"/>
                        <w:ind w:left="0"/>
                        <w:rPr>
                          <w:lang w:val="fr-FR"/>
                        </w:rPr>
                      </w:pPr>
                    </w:p>
                    <w:p w14:paraId="5A72AAE9" w14:textId="567969FE" w:rsidR="006C39DB" w:rsidRPr="00A23E41" w:rsidRDefault="006C39DB" w:rsidP="00FE7D64">
                      <w:pPr>
                        <w:pStyle w:val="ColorfulList-Accent11"/>
                        <w:ind w:left="0" w:firstLine="0"/>
                        <w:rPr>
                          <w:rFonts w:cs="Calibri"/>
                          <w:lang w:val="fr-FR"/>
                        </w:rPr>
                      </w:pPr>
                      <w:r w:rsidRPr="00A23E41">
                        <w:rPr>
                          <w:lang w:val="fr-FR"/>
                        </w:rPr>
                        <w:t xml:space="preserve">Le Comité permanent est invité à prendre note du présent rapport. </w:t>
                      </w:r>
                    </w:p>
                    <w:p w14:paraId="7C13911F" w14:textId="77777777" w:rsidR="006C39DB" w:rsidRPr="00A23E41" w:rsidRDefault="006C39DB" w:rsidP="00275F13">
                      <w:pPr>
                        <w:pStyle w:val="ColorfulList-Accent11"/>
                        <w:ind w:left="-425" w:firstLine="0"/>
                        <w:rPr>
                          <w:lang w:val="fr-FR"/>
                        </w:rPr>
                      </w:pPr>
                    </w:p>
                    <w:p w14:paraId="15B3425B" w14:textId="77777777" w:rsidR="006C39DB" w:rsidRPr="00A23E41" w:rsidRDefault="006C39DB" w:rsidP="00FE7D64">
                      <w:pPr>
                        <w:pStyle w:val="ColorfulList-Accent11"/>
                        <w:rPr>
                          <w:lang w:val="fr-FR"/>
                        </w:rPr>
                      </w:pPr>
                    </w:p>
                    <w:p w14:paraId="19056CB6" w14:textId="77777777" w:rsidR="006C39DB" w:rsidRPr="00A23E41" w:rsidRDefault="006C39DB" w:rsidP="00275F13">
                      <w:pPr>
                        <w:pStyle w:val="ColorfulList-Accent11"/>
                        <w:ind w:left="-425" w:firstLine="0"/>
                        <w:rPr>
                          <w:lang w:val="fr-FR"/>
                        </w:rPr>
                      </w:pPr>
                    </w:p>
                  </w:txbxContent>
                </v:textbox>
                <w10:anchorlock/>
              </v:shape>
            </w:pict>
          </mc:Fallback>
        </mc:AlternateContent>
      </w:r>
    </w:p>
    <w:p w14:paraId="30497D3F" w14:textId="77777777" w:rsidR="009E0AE8" w:rsidRPr="00A53343" w:rsidRDefault="009E0AE8" w:rsidP="00A53343">
      <w:pPr>
        <w:ind w:left="0" w:firstLine="0"/>
        <w:rPr>
          <w:rFonts w:cs="Arial"/>
          <w:b/>
        </w:rPr>
      </w:pPr>
    </w:p>
    <w:p w14:paraId="0E56B4EE" w14:textId="77777777" w:rsidR="00421A37" w:rsidRPr="00A53343" w:rsidRDefault="00421A37" w:rsidP="00A53343">
      <w:pPr>
        <w:ind w:left="0" w:firstLine="0"/>
        <w:rPr>
          <w:rFonts w:cs="Arial"/>
          <w:b/>
        </w:rPr>
      </w:pPr>
    </w:p>
    <w:p w14:paraId="2F67B62D" w14:textId="77777777" w:rsidR="000C2489" w:rsidRPr="00DF5584" w:rsidRDefault="00673F47" w:rsidP="00A53343">
      <w:pPr>
        <w:ind w:left="0" w:firstLine="0"/>
        <w:rPr>
          <w:rFonts w:cs="Arial"/>
          <w:b/>
          <w:lang w:val="fr-FR"/>
        </w:rPr>
      </w:pPr>
      <w:r>
        <w:rPr>
          <w:rFonts w:cs="Arial"/>
          <w:b/>
          <w:lang w:val="fr-FR"/>
        </w:rPr>
        <w:t>Historique</w:t>
      </w:r>
    </w:p>
    <w:p w14:paraId="38C49A2A" w14:textId="77777777" w:rsidR="000C2489" w:rsidRPr="00DF5584" w:rsidRDefault="000C2489" w:rsidP="00A53343">
      <w:pPr>
        <w:ind w:left="0" w:firstLine="0"/>
        <w:rPr>
          <w:rFonts w:ascii="Garamond" w:hAnsi="Garamond" w:cs="Arial"/>
          <w:lang w:val="fr-FR"/>
        </w:rPr>
      </w:pPr>
    </w:p>
    <w:p w14:paraId="695B117A" w14:textId="66D2FF22" w:rsidR="00A23E41" w:rsidRPr="00A23E41" w:rsidRDefault="00275F13" w:rsidP="00A53343">
      <w:pPr>
        <w:ind w:left="426" w:hanging="426"/>
        <w:rPr>
          <w:rFonts w:asciiTheme="minorHAnsi" w:hAnsiTheme="minorHAnsi" w:cstheme="minorHAnsi"/>
          <w:lang w:val="fr-FR"/>
        </w:rPr>
      </w:pPr>
      <w:r w:rsidRPr="00507C5E">
        <w:rPr>
          <w:rFonts w:cs="Arial"/>
          <w:lang w:val="fr-FR"/>
        </w:rPr>
        <w:t>1</w:t>
      </w:r>
      <w:r w:rsidRPr="00507C5E">
        <w:rPr>
          <w:rFonts w:asciiTheme="minorHAnsi" w:hAnsiTheme="minorHAnsi" w:cstheme="minorHAnsi"/>
          <w:lang w:val="fr-FR"/>
        </w:rPr>
        <w:t>.</w:t>
      </w:r>
      <w:r w:rsidRPr="00A23E41">
        <w:rPr>
          <w:rFonts w:asciiTheme="minorHAnsi" w:hAnsiTheme="minorHAnsi" w:cstheme="minorHAnsi"/>
          <w:lang w:val="fr-FR"/>
        </w:rPr>
        <w:tab/>
      </w:r>
      <w:r w:rsidR="00A23E41" w:rsidRPr="00A23E41">
        <w:rPr>
          <w:rFonts w:asciiTheme="minorHAnsi" w:hAnsiTheme="minorHAnsi" w:cstheme="minorHAnsi"/>
          <w:lang w:val="fr-FR"/>
        </w:rPr>
        <w:t>À sa 57</w:t>
      </w:r>
      <w:r w:rsidR="00A23E41" w:rsidRPr="00673F47">
        <w:rPr>
          <w:rFonts w:asciiTheme="minorHAnsi" w:hAnsiTheme="minorHAnsi" w:cstheme="minorHAnsi"/>
          <w:vertAlign w:val="superscript"/>
          <w:lang w:val="fr-FR"/>
        </w:rPr>
        <w:t>e</w:t>
      </w:r>
      <w:r w:rsidR="00A23E41" w:rsidRPr="00A23E41">
        <w:rPr>
          <w:rFonts w:asciiTheme="minorHAnsi" w:hAnsiTheme="minorHAnsi" w:cstheme="minorHAnsi"/>
          <w:lang w:val="fr-FR"/>
        </w:rPr>
        <w:t xml:space="preserve"> </w:t>
      </w:r>
      <w:r w:rsidR="00673F47" w:rsidRPr="00A23E41">
        <w:rPr>
          <w:rFonts w:asciiTheme="minorHAnsi" w:hAnsiTheme="minorHAnsi" w:cstheme="minorHAnsi"/>
          <w:lang w:val="fr-FR"/>
        </w:rPr>
        <w:t>réunion</w:t>
      </w:r>
      <w:r w:rsidR="00A23E41" w:rsidRPr="00A23E41">
        <w:rPr>
          <w:rFonts w:asciiTheme="minorHAnsi" w:hAnsiTheme="minorHAnsi" w:cstheme="minorHAnsi"/>
          <w:lang w:val="fr-FR"/>
        </w:rPr>
        <w:t xml:space="preserve"> (SC57), le Comité </w:t>
      </w:r>
      <w:r w:rsidR="00673F47">
        <w:rPr>
          <w:rFonts w:asciiTheme="minorHAnsi" w:hAnsiTheme="minorHAnsi" w:cstheme="minorHAnsi"/>
          <w:lang w:val="fr-FR"/>
        </w:rPr>
        <w:t>permanent a accep</w:t>
      </w:r>
      <w:r w:rsidR="00A23E41">
        <w:rPr>
          <w:rFonts w:asciiTheme="minorHAnsi" w:hAnsiTheme="minorHAnsi" w:cstheme="minorHAnsi"/>
          <w:lang w:val="fr-FR"/>
        </w:rPr>
        <w:t>té</w:t>
      </w:r>
      <w:r w:rsidR="009F7CA3">
        <w:rPr>
          <w:rFonts w:asciiTheme="minorHAnsi" w:hAnsiTheme="minorHAnsi" w:cstheme="minorHAnsi"/>
          <w:lang w:val="fr-FR"/>
        </w:rPr>
        <w:t>, par acclamations</w:t>
      </w:r>
      <w:r w:rsidR="004014B3">
        <w:rPr>
          <w:rFonts w:asciiTheme="minorHAnsi" w:hAnsiTheme="minorHAnsi" w:cstheme="minorHAnsi"/>
          <w:lang w:val="fr-FR"/>
        </w:rPr>
        <w:t>,</w:t>
      </w:r>
      <w:r w:rsidR="00A23E41">
        <w:rPr>
          <w:rFonts w:asciiTheme="minorHAnsi" w:hAnsiTheme="minorHAnsi" w:cstheme="minorHAnsi"/>
          <w:lang w:val="fr-FR"/>
        </w:rPr>
        <w:t xml:space="preserve"> l’offre de la Chine d’organiser la 14</w:t>
      </w:r>
      <w:r w:rsidR="00A23E41" w:rsidRPr="00A23E41">
        <w:rPr>
          <w:rFonts w:asciiTheme="minorHAnsi" w:hAnsiTheme="minorHAnsi" w:cstheme="minorHAnsi"/>
          <w:vertAlign w:val="superscript"/>
          <w:lang w:val="fr-FR"/>
        </w:rPr>
        <w:t>e</w:t>
      </w:r>
      <w:r w:rsidR="00A23E41">
        <w:rPr>
          <w:rFonts w:asciiTheme="minorHAnsi" w:hAnsiTheme="minorHAnsi" w:cstheme="minorHAnsi"/>
          <w:lang w:val="fr-FR"/>
        </w:rPr>
        <w:t xml:space="preserve"> </w:t>
      </w:r>
      <w:r w:rsidR="009F7CA3">
        <w:rPr>
          <w:rFonts w:asciiTheme="minorHAnsi" w:hAnsiTheme="minorHAnsi" w:cstheme="minorHAnsi"/>
          <w:lang w:val="fr-FR"/>
        </w:rPr>
        <w:t>Session</w:t>
      </w:r>
      <w:r w:rsidR="00A23E41">
        <w:rPr>
          <w:rFonts w:asciiTheme="minorHAnsi" w:hAnsiTheme="minorHAnsi" w:cstheme="minorHAnsi"/>
          <w:lang w:val="fr-FR"/>
        </w:rPr>
        <w:t xml:space="preserve"> de la Conférence des Parties contractantes </w:t>
      </w:r>
      <w:r w:rsidR="00A23E41" w:rsidRPr="00507C5E">
        <w:rPr>
          <w:rFonts w:asciiTheme="minorHAnsi" w:hAnsiTheme="minorHAnsi" w:cstheme="minorHAnsi"/>
          <w:lang w:val="fr-FR"/>
        </w:rPr>
        <w:t>(C</w:t>
      </w:r>
      <w:r w:rsidR="00887FBC" w:rsidRPr="00507C5E">
        <w:rPr>
          <w:rFonts w:asciiTheme="minorHAnsi" w:hAnsiTheme="minorHAnsi" w:cstheme="minorHAnsi"/>
          <w:lang w:val="fr-FR"/>
        </w:rPr>
        <w:t>O</w:t>
      </w:r>
      <w:r w:rsidR="00A23E41" w:rsidRPr="00507C5E">
        <w:rPr>
          <w:rFonts w:asciiTheme="minorHAnsi" w:hAnsiTheme="minorHAnsi" w:cstheme="minorHAnsi"/>
          <w:lang w:val="fr-FR"/>
        </w:rPr>
        <w:t>P14</w:t>
      </w:r>
      <w:r w:rsidR="00673F47" w:rsidRPr="00507C5E">
        <w:rPr>
          <w:rFonts w:asciiTheme="minorHAnsi" w:hAnsiTheme="minorHAnsi" w:cstheme="minorHAnsi"/>
          <w:lang w:val="fr-FR"/>
        </w:rPr>
        <w:t>)</w:t>
      </w:r>
      <w:r w:rsidR="00A23E41" w:rsidRPr="00507C5E">
        <w:rPr>
          <w:rFonts w:asciiTheme="minorHAnsi" w:hAnsiTheme="minorHAnsi" w:cstheme="minorHAnsi"/>
          <w:lang w:val="fr-FR"/>
        </w:rPr>
        <w:t xml:space="preserve"> à Wuhan, Chine</w:t>
      </w:r>
      <w:r w:rsidR="00A23E41">
        <w:rPr>
          <w:rFonts w:asciiTheme="minorHAnsi" w:hAnsiTheme="minorHAnsi" w:cstheme="minorHAnsi"/>
          <w:lang w:val="fr-FR"/>
        </w:rPr>
        <w:t>.</w:t>
      </w:r>
    </w:p>
    <w:p w14:paraId="65BA5574" w14:textId="77777777" w:rsidR="001A2D10" w:rsidRPr="00DF5584" w:rsidRDefault="001A2D10" w:rsidP="00A53343">
      <w:pPr>
        <w:pStyle w:val="ListParagraph"/>
        <w:ind w:left="426" w:hanging="426"/>
        <w:rPr>
          <w:rFonts w:asciiTheme="minorHAnsi" w:hAnsiTheme="minorHAnsi" w:cstheme="minorHAnsi"/>
          <w:lang w:val="fr-FR"/>
        </w:rPr>
      </w:pPr>
    </w:p>
    <w:p w14:paraId="386D1EB4" w14:textId="75E76C10" w:rsidR="00A23E41" w:rsidRPr="00A23E41" w:rsidRDefault="00275F13" w:rsidP="00A53343">
      <w:pPr>
        <w:pStyle w:val="NoSpacing"/>
        <w:ind w:left="426" w:hanging="426"/>
        <w:rPr>
          <w:rFonts w:asciiTheme="minorHAnsi" w:hAnsiTheme="minorHAnsi" w:cstheme="minorHAnsi"/>
          <w:spacing w:val="-4"/>
          <w:lang w:val="fr-FR"/>
        </w:rPr>
      </w:pPr>
      <w:r w:rsidRPr="00507C5E">
        <w:rPr>
          <w:rFonts w:asciiTheme="minorHAnsi" w:hAnsiTheme="minorHAnsi" w:cstheme="minorHAnsi"/>
          <w:spacing w:val="-4"/>
          <w:lang w:val="fr-FR"/>
        </w:rPr>
        <w:t>2.</w:t>
      </w:r>
      <w:r w:rsidRPr="00A23E41">
        <w:rPr>
          <w:rFonts w:asciiTheme="minorHAnsi" w:hAnsiTheme="minorHAnsi" w:cstheme="minorHAnsi"/>
          <w:spacing w:val="-4"/>
          <w:lang w:val="fr-FR"/>
        </w:rPr>
        <w:tab/>
      </w:r>
      <w:r w:rsidR="00A23E41" w:rsidRPr="00A23E41">
        <w:rPr>
          <w:rFonts w:asciiTheme="minorHAnsi" w:hAnsiTheme="minorHAnsi" w:cstheme="minorHAnsi"/>
          <w:spacing w:val="-4"/>
          <w:lang w:val="fr-FR"/>
        </w:rPr>
        <w:t>Le Comité permanent a adopté la décision SC57</w:t>
      </w:r>
      <w:r w:rsidR="00A23E41">
        <w:rPr>
          <w:rFonts w:asciiTheme="minorHAnsi" w:hAnsiTheme="minorHAnsi" w:cstheme="minorHAnsi"/>
          <w:spacing w:val="-4"/>
          <w:lang w:val="fr-FR"/>
        </w:rPr>
        <w:t>-18</w:t>
      </w:r>
      <w:r w:rsidR="00A23E41" w:rsidRPr="00A23E41">
        <w:rPr>
          <w:rFonts w:asciiTheme="minorHAnsi" w:hAnsiTheme="minorHAnsi" w:cstheme="minorHAnsi"/>
          <w:spacing w:val="-4"/>
          <w:lang w:val="fr-FR"/>
        </w:rPr>
        <w:t xml:space="preserve"> </w:t>
      </w:r>
      <w:r w:rsidR="009F7CA3">
        <w:rPr>
          <w:rFonts w:asciiTheme="minorHAnsi" w:hAnsiTheme="minorHAnsi" w:cstheme="minorHAnsi"/>
          <w:spacing w:val="-4"/>
          <w:lang w:val="fr-FR"/>
        </w:rPr>
        <w:t xml:space="preserve">comme suit </w:t>
      </w:r>
      <w:r w:rsidR="00A23E41" w:rsidRPr="00A23E41">
        <w:rPr>
          <w:rFonts w:asciiTheme="minorHAnsi" w:hAnsiTheme="minorHAnsi" w:cstheme="minorHAnsi"/>
          <w:spacing w:val="-4"/>
          <w:lang w:val="fr-FR"/>
        </w:rPr>
        <w:t xml:space="preserve">: </w:t>
      </w:r>
      <w:r w:rsidR="00A23E41">
        <w:rPr>
          <w:rFonts w:asciiTheme="minorHAnsi" w:hAnsiTheme="minorHAnsi" w:cstheme="minorHAnsi"/>
          <w:spacing w:val="-4"/>
          <w:lang w:val="fr-FR"/>
        </w:rPr>
        <w:t>« </w:t>
      </w:r>
      <w:r w:rsidR="00A23E41" w:rsidRPr="00A23E41">
        <w:rPr>
          <w:rStyle w:val="markedcontent"/>
          <w:rFonts w:cs="Calibri"/>
          <w:lang w:val="fr-FR"/>
        </w:rPr>
        <w:t>Le Comité permanent établit le Sous-groupe sur la COP14, présidé par la Chine et composé également de l’Algérie, de l’Arménie, de l’Australie, de l’Autriche, du Costa Rica, des Émirats arabes unis,</w:t>
      </w:r>
      <w:r w:rsidR="00A23E41">
        <w:rPr>
          <w:rStyle w:val="markedcontent"/>
          <w:rFonts w:cs="Calibri"/>
          <w:lang w:val="fr-FR"/>
        </w:rPr>
        <w:t xml:space="preserve"> </w:t>
      </w:r>
      <w:r w:rsidR="00A23E41" w:rsidRPr="00A23E41">
        <w:rPr>
          <w:rStyle w:val="markedcontent"/>
          <w:rFonts w:cs="Calibri"/>
          <w:lang w:val="fr-FR"/>
        </w:rPr>
        <w:t>des États-Unis d’Amérique, de la France, des Pays-Bas et du Royaume-Uni de Grande-Bretagne et d’Irlande du Nord, chargé de superviser le processus de planification de la COP14 et de formuler des idées concernant la célébration du 50</w:t>
      </w:r>
      <w:r w:rsidR="00A23E41" w:rsidRPr="00673F47">
        <w:rPr>
          <w:rStyle w:val="markedcontent"/>
          <w:rFonts w:cs="Calibri"/>
          <w:vertAlign w:val="superscript"/>
          <w:lang w:val="fr-FR"/>
        </w:rPr>
        <w:t>e</w:t>
      </w:r>
      <w:r w:rsidR="00A23E41" w:rsidRPr="00A23E41">
        <w:rPr>
          <w:rStyle w:val="markedcontent"/>
          <w:rFonts w:cs="Calibri"/>
          <w:lang w:val="fr-FR"/>
        </w:rPr>
        <w:t xml:space="preserve"> anniversaire de la Convention en 2021, en sollicitant le soutien d’autres Parties contractantes, si nécessaire.</w:t>
      </w:r>
      <w:r w:rsidR="003D5F34">
        <w:rPr>
          <w:rStyle w:val="markedcontent"/>
          <w:rFonts w:cs="Calibri"/>
          <w:lang w:val="fr-FR"/>
        </w:rPr>
        <w:t> »</w:t>
      </w:r>
    </w:p>
    <w:p w14:paraId="4D3FB7E1" w14:textId="77777777" w:rsidR="00FE7D64" w:rsidRPr="003D5F34" w:rsidRDefault="00FE7D64" w:rsidP="00A53343">
      <w:pPr>
        <w:pStyle w:val="NoSpacing"/>
        <w:ind w:left="426" w:hanging="426"/>
        <w:rPr>
          <w:rFonts w:asciiTheme="minorHAnsi" w:hAnsiTheme="minorHAnsi" w:cstheme="minorHAnsi"/>
          <w:spacing w:val="-4"/>
          <w:lang w:val="fr-FR"/>
        </w:rPr>
      </w:pPr>
    </w:p>
    <w:p w14:paraId="55654E1A" w14:textId="6A139CB1" w:rsidR="003D5F34" w:rsidRPr="003D5F34" w:rsidRDefault="00275F13" w:rsidP="00A53343">
      <w:pPr>
        <w:pStyle w:val="NoSpacing"/>
        <w:ind w:left="426" w:hanging="426"/>
        <w:rPr>
          <w:rFonts w:asciiTheme="minorHAnsi" w:hAnsiTheme="minorHAnsi" w:cstheme="minorHAnsi"/>
          <w:lang w:val="fr-FR"/>
        </w:rPr>
      </w:pPr>
      <w:r w:rsidRPr="00507C5E">
        <w:rPr>
          <w:rFonts w:asciiTheme="minorHAnsi" w:hAnsiTheme="minorHAnsi" w:cstheme="minorHAnsi"/>
          <w:lang w:val="fr-FR"/>
        </w:rPr>
        <w:t>3.</w:t>
      </w:r>
      <w:r w:rsidRPr="003D5F34">
        <w:rPr>
          <w:rFonts w:asciiTheme="minorHAnsi" w:hAnsiTheme="minorHAnsi" w:cstheme="minorHAnsi"/>
          <w:lang w:val="fr-FR"/>
        </w:rPr>
        <w:tab/>
      </w:r>
      <w:r w:rsidR="003D5F34" w:rsidRPr="003D5F34">
        <w:rPr>
          <w:rFonts w:asciiTheme="minorHAnsi" w:hAnsiTheme="minorHAnsi" w:cstheme="minorHAnsi"/>
          <w:lang w:val="fr-FR"/>
        </w:rPr>
        <w:t xml:space="preserve">Suite </w:t>
      </w:r>
      <w:r w:rsidR="009F7CA3">
        <w:rPr>
          <w:rFonts w:asciiTheme="minorHAnsi" w:hAnsiTheme="minorHAnsi" w:cstheme="minorHAnsi"/>
          <w:lang w:val="fr-FR"/>
        </w:rPr>
        <w:t xml:space="preserve">à la pandémie </w:t>
      </w:r>
      <w:r w:rsidR="009F7CA3" w:rsidRPr="00507C5E">
        <w:rPr>
          <w:rFonts w:asciiTheme="minorHAnsi" w:hAnsiTheme="minorHAnsi" w:cstheme="minorHAnsi"/>
          <w:lang w:val="fr-FR"/>
        </w:rPr>
        <w:t>de COVID</w:t>
      </w:r>
      <w:r w:rsidR="007861E0" w:rsidRPr="00507C5E">
        <w:rPr>
          <w:rFonts w:asciiTheme="minorHAnsi" w:hAnsiTheme="minorHAnsi" w:cstheme="minorHAnsi"/>
          <w:lang w:val="fr-FR"/>
        </w:rPr>
        <w:t>-19</w:t>
      </w:r>
      <w:r w:rsidR="009F7CA3">
        <w:rPr>
          <w:rFonts w:asciiTheme="minorHAnsi" w:hAnsiTheme="minorHAnsi" w:cstheme="minorHAnsi"/>
          <w:lang w:val="fr-FR"/>
        </w:rPr>
        <w:t xml:space="preserve">, au début de 2020 et </w:t>
      </w:r>
      <w:r w:rsidR="00A0703F">
        <w:rPr>
          <w:rFonts w:asciiTheme="minorHAnsi" w:hAnsiTheme="minorHAnsi" w:cstheme="minorHAnsi"/>
          <w:lang w:val="fr-FR"/>
        </w:rPr>
        <w:t xml:space="preserve">en </w:t>
      </w:r>
      <w:r w:rsidR="009F7CA3">
        <w:rPr>
          <w:rFonts w:asciiTheme="minorHAnsi" w:hAnsiTheme="minorHAnsi" w:cstheme="minorHAnsi"/>
          <w:lang w:val="fr-FR"/>
        </w:rPr>
        <w:t>2021,</w:t>
      </w:r>
      <w:r w:rsidR="003D5F34" w:rsidRPr="003D5F34">
        <w:rPr>
          <w:rFonts w:asciiTheme="minorHAnsi" w:hAnsiTheme="minorHAnsi" w:cstheme="minorHAnsi"/>
          <w:lang w:val="fr-FR"/>
        </w:rPr>
        <w:t xml:space="preserve"> </w:t>
      </w:r>
      <w:r w:rsidR="003D5F34">
        <w:rPr>
          <w:rFonts w:asciiTheme="minorHAnsi" w:hAnsiTheme="minorHAnsi" w:cstheme="minorHAnsi"/>
          <w:lang w:val="fr-FR"/>
        </w:rPr>
        <w:t xml:space="preserve">le Secrétariat </w:t>
      </w:r>
      <w:r w:rsidR="009F7CA3">
        <w:rPr>
          <w:rFonts w:asciiTheme="minorHAnsi" w:hAnsiTheme="minorHAnsi" w:cstheme="minorHAnsi"/>
          <w:lang w:val="fr-FR"/>
        </w:rPr>
        <w:t>et</w:t>
      </w:r>
      <w:r w:rsidR="003D5F34">
        <w:rPr>
          <w:rFonts w:asciiTheme="minorHAnsi" w:hAnsiTheme="minorHAnsi" w:cstheme="minorHAnsi"/>
          <w:lang w:val="fr-FR"/>
        </w:rPr>
        <w:t xml:space="preserve"> le pays hôte</w:t>
      </w:r>
      <w:r w:rsidR="009F7CA3">
        <w:rPr>
          <w:rFonts w:asciiTheme="minorHAnsi" w:hAnsiTheme="minorHAnsi" w:cstheme="minorHAnsi"/>
          <w:lang w:val="fr-FR"/>
        </w:rPr>
        <w:t>, en collaboration avec le Sous-groupe sur la COP14</w:t>
      </w:r>
      <w:r w:rsidR="002966B9">
        <w:rPr>
          <w:rFonts w:asciiTheme="minorHAnsi" w:hAnsiTheme="minorHAnsi" w:cstheme="minorHAnsi"/>
          <w:lang w:val="fr-FR"/>
        </w:rPr>
        <w:t xml:space="preserve">, ont continué de surveiller la situation du point de vue de la capacité des Parties à se réunir en présentiel à Wuhan, Chine, en 2021. Comme les Parties ne pouvaient pas se réunir face à face aux dates choisies, le Sous-groupe a recommandé au Comité permanent de reporter la COP14 jusqu’en 2022. Dans sa Décision SC59-10, le Comité permanent </w:t>
      </w:r>
      <w:r w:rsidR="002966B9" w:rsidRPr="00905FB6">
        <w:rPr>
          <w:rFonts w:asciiTheme="minorHAnsi" w:hAnsiTheme="minorHAnsi" w:cstheme="minorHAnsi"/>
          <w:lang w:val="fr-FR"/>
        </w:rPr>
        <w:t>« </w:t>
      </w:r>
      <w:r w:rsidR="00905FB6" w:rsidRPr="00905FB6">
        <w:rPr>
          <w:rFonts w:asciiTheme="minorHAnsi" w:hAnsiTheme="minorHAnsi" w:cstheme="minorHAnsi"/>
          <w:lang w:val="fr-FR"/>
        </w:rPr>
        <w:t>approuve les dates du 21 au 29 novembre 2022 proposées pour la COP14 et décide de soumettre les nouvelles dates de la COP14 à la session extraordinaire de la COP qui aura lieu en 2021</w:t>
      </w:r>
      <w:r w:rsidR="00905FB6">
        <w:rPr>
          <w:rFonts w:asciiTheme="minorHAnsi" w:hAnsiTheme="minorHAnsi" w:cstheme="minorHAnsi"/>
          <w:lang w:val="fr-FR"/>
        </w:rPr>
        <w:t> ». Dans sa Décision SC59-11</w:t>
      </w:r>
      <w:r w:rsidR="00912ACA">
        <w:rPr>
          <w:rFonts w:asciiTheme="minorHAnsi" w:hAnsiTheme="minorHAnsi" w:cstheme="minorHAnsi"/>
          <w:lang w:val="fr-FR"/>
        </w:rPr>
        <w:t xml:space="preserve">, le Comité permanent </w:t>
      </w:r>
      <w:r w:rsidR="00912ACA" w:rsidRPr="00905FB6">
        <w:rPr>
          <w:rFonts w:asciiTheme="minorHAnsi" w:hAnsiTheme="minorHAnsi" w:cstheme="minorHAnsi"/>
          <w:lang w:val="fr-FR"/>
        </w:rPr>
        <w:t>« </w:t>
      </w:r>
      <w:r w:rsidR="00912ACA" w:rsidRPr="00912ACA">
        <w:rPr>
          <w:rFonts w:asciiTheme="minorHAnsi" w:hAnsiTheme="minorHAnsi" w:cstheme="minorHAnsi"/>
          <w:lang w:val="fr-FR"/>
        </w:rPr>
        <w:t>demande au pays hôte et au Secrétariat, en consultation avec le pays hôte, d’examiner les options concernant la taille possible de la session, afin de tenir compte des commentaires des membres du Comité permanent</w:t>
      </w:r>
      <w:r w:rsidR="00912ACA">
        <w:rPr>
          <w:rFonts w:asciiTheme="minorHAnsi" w:hAnsiTheme="minorHAnsi" w:cstheme="minorHAnsi"/>
          <w:lang w:val="fr-FR"/>
        </w:rPr>
        <w:t> ».</w:t>
      </w:r>
    </w:p>
    <w:p w14:paraId="2A72203A" w14:textId="77777777" w:rsidR="000C2489" w:rsidRPr="00DF5584" w:rsidRDefault="000C2489" w:rsidP="00A53343">
      <w:pPr>
        <w:pStyle w:val="NoSpacing"/>
        <w:ind w:left="426" w:hanging="426"/>
        <w:rPr>
          <w:rFonts w:asciiTheme="minorHAnsi" w:hAnsiTheme="minorHAnsi" w:cstheme="minorHAnsi"/>
          <w:lang w:val="fr-FR"/>
        </w:rPr>
      </w:pPr>
    </w:p>
    <w:p w14:paraId="5AD303D0" w14:textId="3CB75183" w:rsidR="00740B9C" w:rsidRPr="00A7195C" w:rsidRDefault="00275F13" w:rsidP="00740B9C">
      <w:pPr>
        <w:autoSpaceDE w:val="0"/>
        <w:autoSpaceDN w:val="0"/>
        <w:adjustRightInd w:val="0"/>
        <w:ind w:left="426" w:hanging="426"/>
        <w:rPr>
          <w:rFonts w:cs="Calibri"/>
          <w:lang w:val="fr-CH"/>
        </w:rPr>
      </w:pPr>
      <w:r w:rsidRPr="00A7195C">
        <w:rPr>
          <w:rFonts w:asciiTheme="minorHAnsi" w:hAnsiTheme="minorHAnsi" w:cstheme="minorHAnsi"/>
          <w:lang w:val="fr-CH"/>
        </w:rPr>
        <w:t>4.</w:t>
      </w:r>
      <w:r w:rsidRPr="00A7195C">
        <w:rPr>
          <w:rFonts w:asciiTheme="minorHAnsi" w:hAnsiTheme="minorHAnsi" w:cstheme="minorHAnsi"/>
          <w:lang w:val="fr-CH"/>
        </w:rPr>
        <w:tab/>
      </w:r>
      <w:r w:rsidR="00F919AE">
        <w:rPr>
          <w:rFonts w:asciiTheme="minorHAnsi" w:hAnsiTheme="minorHAnsi" w:cstheme="minorHAnsi"/>
          <w:lang w:val="fr-CH"/>
        </w:rPr>
        <w:t xml:space="preserve">Conformément aux articles </w:t>
      </w:r>
      <w:r w:rsidR="00740B9C" w:rsidRPr="00A7195C">
        <w:rPr>
          <w:rFonts w:eastAsia="SimSun" w:cs="Calibri"/>
          <w:lang w:val="fr-CH"/>
        </w:rPr>
        <w:t xml:space="preserve">4.3 </w:t>
      </w:r>
      <w:r w:rsidR="00F919AE">
        <w:rPr>
          <w:rFonts w:eastAsia="SimSun" w:cs="Calibri"/>
          <w:lang w:val="fr-CH"/>
        </w:rPr>
        <w:t>et 5</w:t>
      </w:r>
      <w:r w:rsidR="00A0703F">
        <w:rPr>
          <w:rFonts w:eastAsia="SimSun" w:cs="Calibri"/>
          <w:lang w:val="fr-CH"/>
        </w:rPr>
        <w:t>.2</w:t>
      </w:r>
      <w:r w:rsidR="00740B9C" w:rsidRPr="00A7195C">
        <w:rPr>
          <w:rFonts w:eastAsia="SimSun" w:cs="Calibri"/>
          <w:lang w:val="fr-CH"/>
        </w:rPr>
        <w:t xml:space="preserve"> </w:t>
      </w:r>
      <w:r w:rsidR="00F919AE">
        <w:rPr>
          <w:rFonts w:eastAsia="SimSun" w:cs="Calibri"/>
          <w:lang w:val="fr-CH"/>
        </w:rPr>
        <w:t xml:space="preserve">du Règlement intérieur, le Secrétariat a organisé la Troisième Session extraordinaire de la Conférence des Parties, du 25 au 29 octobre et le 4 novembre 2021, afin d’approuver la </w:t>
      </w:r>
      <w:r w:rsidR="003D0815">
        <w:rPr>
          <w:rFonts w:eastAsia="SimSun" w:cs="Calibri"/>
          <w:lang w:val="fr-CH"/>
        </w:rPr>
        <w:t>prolongation</w:t>
      </w:r>
      <w:r w:rsidR="00F919AE">
        <w:rPr>
          <w:rFonts w:eastAsia="SimSun" w:cs="Calibri"/>
          <w:lang w:val="fr-CH"/>
        </w:rPr>
        <w:t xml:space="preserve"> du budget de la Convention et les dates du 21 au 29 novembre 2022 pour la </w:t>
      </w:r>
      <w:r w:rsidR="00740B9C" w:rsidRPr="00A7195C">
        <w:rPr>
          <w:rFonts w:cs="Calibri"/>
          <w:lang w:val="fr-CH"/>
        </w:rPr>
        <w:t xml:space="preserve">COP14. </w:t>
      </w:r>
    </w:p>
    <w:p w14:paraId="6C463AAC" w14:textId="77777777" w:rsidR="00740B9C" w:rsidRPr="00A7195C" w:rsidRDefault="00740B9C" w:rsidP="00740B9C">
      <w:pPr>
        <w:ind w:left="0" w:firstLine="0"/>
        <w:contextualSpacing/>
        <w:rPr>
          <w:rFonts w:cs="Calibri"/>
          <w:lang w:val="fr-CH"/>
        </w:rPr>
      </w:pPr>
    </w:p>
    <w:p w14:paraId="5D45B8D7" w14:textId="06722A94" w:rsidR="00740B9C" w:rsidRPr="00A7195C" w:rsidRDefault="00740B9C" w:rsidP="00740B9C">
      <w:pPr>
        <w:tabs>
          <w:tab w:val="left" w:pos="426"/>
        </w:tabs>
        <w:ind w:left="426" w:hanging="426"/>
        <w:contextualSpacing/>
        <w:rPr>
          <w:rFonts w:asciiTheme="minorHAnsi" w:hAnsiTheme="minorHAnsi" w:cstheme="minorHAnsi"/>
          <w:lang w:val="fr-CH"/>
        </w:rPr>
      </w:pPr>
      <w:r w:rsidRPr="00A7195C">
        <w:rPr>
          <w:rFonts w:cs="Calibri"/>
          <w:lang w:val="fr-CH"/>
        </w:rPr>
        <w:t>5.</w:t>
      </w:r>
      <w:r w:rsidRPr="00A7195C">
        <w:rPr>
          <w:rFonts w:cs="Calibri"/>
          <w:lang w:val="fr-CH"/>
        </w:rPr>
        <w:tab/>
      </w:r>
      <w:r w:rsidR="00F919AE">
        <w:rPr>
          <w:rFonts w:cs="Calibri"/>
          <w:lang w:val="fr-CH"/>
        </w:rPr>
        <w:t xml:space="preserve">Dans la Résolution </w:t>
      </w:r>
      <w:r w:rsidRPr="00A7195C">
        <w:rPr>
          <w:rFonts w:cs="Calibri"/>
          <w:lang w:val="fr-CH"/>
        </w:rPr>
        <w:t>ExCOP3.1</w:t>
      </w:r>
      <w:r w:rsidR="00F919AE">
        <w:rPr>
          <w:rFonts w:cs="Calibri"/>
          <w:lang w:val="fr-CH"/>
        </w:rPr>
        <w:t>, les</w:t>
      </w:r>
      <w:r w:rsidRPr="00A7195C">
        <w:rPr>
          <w:rFonts w:cs="Calibri"/>
          <w:lang w:val="fr-CH"/>
        </w:rPr>
        <w:t xml:space="preserve"> Parties</w:t>
      </w:r>
      <w:r w:rsidRPr="00A7195C">
        <w:rPr>
          <w:rFonts w:cs="Calibri"/>
          <w:b/>
          <w:lang w:val="fr-CH"/>
        </w:rPr>
        <w:t xml:space="preserve"> </w:t>
      </w:r>
      <w:r w:rsidR="00F919AE" w:rsidRPr="00F919AE">
        <w:rPr>
          <w:rFonts w:cs="Calibri"/>
          <w:lang w:val="fr-CH"/>
        </w:rPr>
        <w:t xml:space="preserve">ont décidé </w:t>
      </w:r>
      <w:r w:rsidRPr="00F919AE">
        <w:rPr>
          <w:rFonts w:cs="Calibri"/>
          <w:lang w:val="fr-CH"/>
        </w:rPr>
        <w:t>de</w:t>
      </w:r>
      <w:r w:rsidR="00F919AE">
        <w:rPr>
          <w:rFonts w:cs="Calibri"/>
          <w:lang w:val="fr-CH"/>
        </w:rPr>
        <w:t xml:space="preserve"> reporter la COP14 </w:t>
      </w:r>
      <w:r w:rsidR="003D0815">
        <w:rPr>
          <w:rFonts w:cs="Calibri"/>
          <w:lang w:val="fr-CH"/>
        </w:rPr>
        <w:t>au</w:t>
      </w:r>
      <w:r w:rsidR="00F919AE">
        <w:rPr>
          <w:rFonts w:cs="Calibri"/>
          <w:lang w:val="fr-CH"/>
        </w:rPr>
        <w:t xml:space="preserve"> 21</w:t>
      </w:r>
      <w:r w:rsidR="003D0815">
        <w:rPr>
          <w:rFonts w:cs="Calibri"/>
          <w:lang w:val="fr-CH"/>
        </w:rPr>
        <w:t xml:space="preserve">-29 novembre </w:t>
      </w:r>
      <w:r w:rsidR="00F919AE">
        <w:rPr>
          <w:rFonts w:cs="Calibri"/>
          <w:lang w:val="fr-CH"/>
        </w:rPr>
        <w:t xml:space="preserve">2022 </w:t>
      </w:r>
      <w:r w:rsidR="003D0815">
        <w:rPr>
          <w:rFonts w:cs="Calibri"/>
          <w:lang w:val="fr-CH"/>
        </w:rPr>
        <w:t>compte tenu</w:t>
      </w:r>
      <w:r w:rsidR="00F919AE">
        <w:rPr>
          <w:rFonts w:cs="Calibri"/>
          <w:lang w:val="fr-CH"/>
        </w:rPr>
        <w:t xml:space="preserve"> de la nature exceptionnelle des circonstances due</w:t>
      </w:r>
      <w:r w:rsidR="003D0815">
        <w:rPr>
          <w:rFonts w:cs="Calibri"/>
          <w:lang w:val="fr-CH"/>
        </w:rPr>
        <w:t>s</w:t>
      </w:r>
      <w:r w:rsidR="00F919AE">
        <w:rPr>
          <w:rFonts w:cs="Calibri"/>
          <w:lang w:val="fr-CH"/>
        </w:rPr>
        <w:t xml:space="preserve"> à la pandémie de COVID</w:t>
      </w:r>
      <w:r w:rsidR="00F919AE">
        <w:rPr>
          <w:rFonts w:cs="Calibri"/>
          <w:lang w:val="fr-CH"/>
        </w:rPr>
        <w:noBreakHyphen/>
        <w:t xml:space="preserve">19 ; en outre, elles ont demandé au pays hôte et au Secrétariat, avec l’appui du </w:t>
      </w:r>
      <w:r w:rsidR="00F919AE">
        <w:rPr>
          <w:rFonts w:cs="Calibri"/>
          <w:lang w:val="fr-CH"/>
        </w:rPr>
        <w:lastRenderedPageBreak/>
        <w:t>Sous</w:t>
      </w:r>
      <w:r w:rsidR="00F919AE">
        <w:rPr>
          <w:rFonts w:cs="Calibri"/>
          <w:lang w:val="fr-CH"/>
        </w:rPr>
        <w:noBreakHyphen/>
        <w:t>groupe sur la COP</w:t>
      </w:r>
      <w:r w:rsidR="00F919AE">
        <w:rPr>
          <w:rFonts w:cs="Calibri"/>
          <w:lang w:val="fr-CH"/>
        </w:rPr>
        <w:noBreakHyphen/>
        <w:t xml:space="preserve">14 du Comité permanent, de poursuivre le processus de planification </w:t>
      </w:r>
      <w:r w:rsidR="003D0815">
        <w:rPr>
          <w:rFonts w:cs="Calibri"/>
          <w:lang w:val="fr-CH"/>
        </w:rPr>
        <w:t>d’</w:t>
      </w:r>
      <w:r w:rsidR="00F919AE">
        <w:rPr>
          <w:rFonts w:cs="Calibri"/>
          <w:lang w:val="fr-CH"/>
        </w:rPr>
        <w:t>une session fructueuse, inclusive, ambitieuse et pratique de la COP14 en 2022.</w:t>
      </w:r>
    </w:p>
    <w:p w14:paraId="390DA6F6" w14:textId="5BCB09C7" w:rsidR="00740B9C" w:rsidRPr="00A7195C" w:rsidRDefault="00740B9C" w:rsidP="00740B9C">
      <w:pPr>
        <w:tabs>
          <w:tab w:val="left" w:pos="426"/>
        </w:tabs>
        <w:ind w:left="426" w:hanging="426"/>
        <w:contextualSpacing/>
        <w:rPr>
          <w:rFonts w:asciiTheme="minorHAnsi" w:hAnsiTheme="minorHAnsi" w:cstheme="minorHAnsi"/>
          <w:lang w:val="fr-CH"/>
        </w:rPr>
      </w:pPr>
    </w:p>
    <w:p w14:paraId="1742EC0A" w14:textId="18C504A3" w:rsidR="00740B9C" w:rsidRPr="00A7195C" w:rsidRDefault="00740B9C" w:rsidP="00740B9C">
      <w:pPr>
        <w:tabs>
          <w:tab w:val="left" w:pos="426"/>
        </w:tabs>
        <w:ind w:left="426" w:hanging="426"/>
        <w:contextualSpacing/>
        <w:rPr>
          <w:rFonts w:cs="Calibri"/>
          <w:b/>
          <w:bCs/>
          <w:lang w:val="fr-CH"/>
        </w:rPr>
      </w:pPr>
      <w:r w:rsidRPr="003D0815">
        <w:rPr>
          <w:rFonts w:asciiTheme="minorHAnsi" w:hAnsiTheme="minorHAnsi" w:cstheme="minorHAnsi"/>
          <w:b/>
          <w:bCs/>
          <w:lang w:val="fr-CH"/>
        </w:rPr>
        <w:t>Progrès des préparatifs de la COP14</w:t>
      </w:r>
    </w:p>
    <w:p w14:paraId="774B104F" w14:textId="56D100B9" w:rsidR="003D5F34" w:rsidRPr="00A7195C" w:rsidRDefault="003D5F34" w:rsidP="00A53343">
      <w:pPr>
        <w:ind w:left="426" w:hanging="426"/>
        <w:rPr>
          <w:rFonts w:asciiTheme="minorHAnsi" w:hAnsiTheme="minorHAnsi" w:cstheme="minorHAnsi"/>
          <w:lang w:val="fr-CH"/>
        </w:rPr>
      </w:pPr>
    </w:p>
    <w:p w14:paraId="17FE0BB7" w14:textId="0E535029" w:rsidR="00740B9C" w:rsidRPr="00A7195C" w:rsidRDefault="00740B9C" w:rsidP="00740B9C">
      <w:pPr>
        <w:ind w:left="426" w:hanging="426"/>
        <w:rPr>
          <w:rFonts w:asciiTheme="minorHAnsi" w:hAnsiTheme="minorHAnsi" w:cstheme="minorHAnsi"/>
          <w:lang w:val="fr-CH"/>
        </w:rPr>
      </w:pPr>
      <w:r w:rsidRPr="00A7195C">
        <w:rPr>
          <w:rFonts w:asciiTheme="minorHAnsi" w:hAnsiTheme="minorHAnsi" w:cstheme="minorHAnsi"/>
          <w:lang w:val="fr-CH"/>
        </w:rPr>
        <w:t>6</w:t>
      </w:r>
      <w:r w:rsidR="00A71155" w:rsidRPr="00A7195C">
        <w:rPr>
          <w:rFonts w:asciiTheme="minorHAnsi" w:hAnsiTheme="minorHAnsi" w:cstheme="minorHAnsi"/>
          <w:lang w:val="fr-CH"/>
        </w:rPr>
        <w:t>.</w:t>
      </w:r>
      <w:r w:rsidR="00A71155" w:rsidRPr="00A7195C">
        <w:rPr>
          <w:rFonts w:asciiTheme="minorHAnsi" w:hAnsiTheme="minorHAnsi" w:cstheme="minorHAnsi"/>
          <w:lang w:val="fr-CH"/>
        </w:rPr>
        <w:tab/>
      </w:r>
      <w:r w:rsidR="00F919AE">
        <w:rPr>
          <w:rFonts w:asciiTheme="minorHAnsi" w:hAnsiTheme="minorHAnsi" w:cstheme="minorHAnsi"/>
          <w:lang w:val="fr-CH"/>
        </w:rPr>
        <w:t>Une réunion virtuelle du Sous</w:t>
      </w:r>
      <w:r w:rsidR="00F919AE">
        <w:rPr>
          <w:rFonts w:asciiTheme="minorHAnsi" w:hAnsiTheme="minorHAnsi" w:cstheme="minorHAnsi"/>
          <w:lang w:val="fr-CH"/>
        </w:rPr>
        <w:noBreakHyphen/>
        <w:t xml:space="preserve">groupe sur la </w:t>
      </w:r>
      <w:r w:rsidRPr="00A7195C">
        <w:rPr>
          <w:rFonts w:asciiTheme="minorHAnsi" w:hAnsiTheme="minorHAnsi" w:cstheme="minorHAnsi"/>
          <w:lang w:val="fr-CH"/>
        </w:rPr>
        <w:t xml:space="preserve">COP14 </w:t>
      </w:r>
      <w:r w:rsidR="00F919AE">
        <w:rPr>
          <w:rFonts w:asciiTheme="minorHAnsi" w:hAnsiTheme="minorHAnsi" w:cstheme="minorHAnsi"/>
          <w:lang w:val="fr-CH"/>
        </w:rPr>
        <w:t xml:space="preserve">a été organisée par la Chine le 15 décembre 2021 </w:t>
      </w:r>
      <w:r w:rsidR="003D0815">
        <w:rPr>
          <w:rFonts w:asciiTheme="minorHAnsi" w:hAnsiTheme="minorHAnsi" w:cstheme="minorHAnsi"/>
          <w:lang w:val="fr-CH"/>
        </w:rPr>
        <w:t>afin de</w:t>
      </w:r>
      <w:r w:rsidR="00F919AE">
        <w:rPr>
          <w:rFonts w:asciiTheme="minorHAnsi" w:hAnsiTheme="minorHAnsi" w:cstheme="minorHAnsi"/>
          <w:lang w:val="fr-CH"/>
        </w:rPr>
        <w:t xml:space="preserve"> fournir une mise à jour </w:t>
      </w:r>
      <w:r w:rsidR="003D0815">
        <w:rPr>
          <w:rFonts w:asciiTheme="minorHAnsi" w:hAnsiTheme="minorHAnsi" w:cstheme="minorHAnsi"/>
          <w:lang w:val="fr-CH"/>
        </w:rPr>
        <w:t xml:space="preserve">du pays hôte </w:t>
      </w:r>
      <w:r w:rsidR="00F919AE">
        <w:rPr>
          <w:rFonts w:asciiTheme="minorHAnsi" w:hAnsiTheme="minorHAnsi" w:cstheme="minorHAnsi"/>
          <w:lang w:val="fr-CH"/>
        </w:rPr>
        <w:t xml:space="preserve">et </w:t>
      </w:r>
      <w:r w:rsidR="003D0815">
        <w:rPr>
          <w:rFonts w:asciiTheme="minorHAnsi" w:hAnsiTheme="minorHAnsi" w:cstheme="minorHAnsi"/>
          <w:lang w:val="fr-CH"/>
        </w:rPr>
        <w:t xml:space="preserve">de </w:t>
      </w:r>
      <w:r w:rsidR="00F919AE">
        <w:rPr>
          <w:rFonts w:asciiTheme="minorHAnsi" w:hAnsiTheme="minorHAnsi" w:cstheme="minorHAnsi"/>
          <w:lang w:val="fr-CH"/>
        </w:rPr>
        <w:t xml:space="preserve">discuter des résultats </w:t>
      </w:r>
      <w:r w:rsidR="003D0815">
        <w:rPr>
          <w:rFonts w:asciiTheme="minorHAnsi" w:hAnsiTheme="minorHAnsi" w:cstheme="minorHAnsi"/>
          <w:lang w:val="fr-CH"/>
        </w:rPr>
        <w:t xml:space="preserve">escomptés </w:t>
      </w:r>
      <w:r w:rsidR="00F919AE">
        <w:rPr>
          <w:rFonts w:asciiTheme="minorHAnsi" w:hAnsiTheme="minorHAnsi" w:cstheme="minorHAnsi"/>
          <w:lang w:val="fr-CH"/>
        </w:rPr>
        <w:t xml:space="preserve">et </w:t>
      </w:r>
      <w:r w:rsidR="003D0815">
        <w:rPr>
          <w:rFonts w:asciiTheme="minorHAnsi" w:hAnsiTheme="minorHAnsi" w:cstheme="minorHAnsi"/>
          <w:lang w:val="fr-CH"/>
        </w:rPr>
        <w:t xml:space="preserve">des </w:t>
      </w:r>
      <w:r w:rsidR="00F919AE">
        <w:rPr>
          <w:rFonts w:asciiTheme="minorHAnsi" w:hAnsiTheme="minorHAnsi" w:cstheme="minorHAnsi"/>
          <w:lang w:val="fr-CH"/>
        </w:rPr>
        <w:t xml:space="preserve">modalités possibles de la </w:t>
      </w:r>
      <w:r w:rsidRPr="00A7195C">
        <w:rPr>
          <w:rFonts w:asciiTheme="minorHAnsi" w:hAnsiTheme="minorHAnsi" w:cstheme="minorHAnsi"/>
          <w:lang w:val="fr-CH"/>
        </w:rPr>
        <w:t>COP14.</w:t>
      </w:r>
    </w:p>
    <w:p w14:paraId="08142029" w14:textId="77777777" w:rsidR="00740B9C" w:rsidRPr="00A7195C" w:rsidRDefault="00740B9C" w:rsidP="00740B9C">
      <w:pPr>
        <w:ind w:left="426" w:hanging="426"/>
        <w:rPr>
          <w:rFonts w:asciiTheme="minorHAnsi" w:hAnsiTheme="minorHAnsi" w:cstheme="minorHAnsi"/>
          <w:lang w:val="fr-CH"/>
        </w:rPr>
      </w:pPr>
    </w:p>
    <w:p w14:paraId="07226C9C" w14:textId="7F42D70E" w:rsidR="00740B9C" w:rsidRPr="00A7195C" w:rsidRDefault="00740B9C" w:rsidP="00740B9C">
      <w:pPr>
        <w:ind w:left="426" w:hanging="426"/>
        <w:rPr>
          <w:rFonts w:asciiTheme="minorHAnsi" w:hAnsiTheme="minorHAnsi" w:cstheme="minorHAnsi"/>
          <w:lang w:val="fr-CH"/>
        </w:rPr>
      </w:pPr>
      <w:r w:rsidRPr="00A7195C">
        <w:rPr>
          <w:rFonts w:asciiTheme="minorHAnsi" w:hAnsiTheme="minorHAnsi" w:cstheme="minorHAnsi"/>
          <w:lang w:val="fr-CH"/>
        </w:rPr>
        <w:t>7.</w:t>
      </w:r>
      <w:r w:rsidRPr="00A7195C">
        <w:rPr>
          <w:rFonts w:asciiTheme="minorHAnsi" w:hAnsiTheme="minorHAnsi" w:cstheme="minorHAnsi"/>
          <w:lang w:val="fr-CH"/>
        </w:rPr>
        <w:tab/>
      </w:r>
      <w:r w:rsidR="00794E75">
        <w:rPr>
          <w:rFonts w:asciiTheme="minorHAnsi" w:hAnsiTheme="minorHAnsi" w:cstheme="minorHAnsi"/>
          <w:lang w:val="fr-CH"/>
        </w:rPr>
        <w:t>Une présentation sur le processus préparatoire du pays hôte a fourni aux membres du Sous</w:t>
      </w:r>
      <w:r w:rsidR="00794E75">
        <w:rPr>
          <w:rFonts w:asciiTheme="minorHAnsi" w:hAnsiTheme="minorHAnsi" w:cstheme="minorHAnsi"/>
          <w:lang w:val="fr-CH"/>
        </w:rPr>
        <w:noBreakHyphen/>
        <w:t xml:space="preserve">groupe une mise à jour sur la situation </w:t>
      </w:r>
      <w:r w:rsidR="00A0703F">
        <w:rPr>
          <w:rFonts w:asciiTheme="minorHAnsi" w:hAnsiTheme="minorHAnsi" w:cstheme="minorHAnsi"/>
          <w:lang w:val="fr-CH"/>
        </w:rPr>
        <w:t>liée à la pandémie de</w:t>
      </w:r>
      <w:r w:rsidR="00794E75">
        <w:rPr>
          <w:rFonts w:asciiTheme="minorHAnsi" w:hAnsiTheme="minorHAnsi" w:cstheme="minorHAnsi"/>
          <w:lang w:val="fr-CH"/>
        </w:rPr>
        <w:t xml:space="preserve"> </w:t>
      </w:r>
      <w:r w:rsidRPr="00A7195C">
        <w:rPr>
          <w:rFonts w:asciiTheme="minorHAnsi" w:hAnsiTheme="minorHAnsi" w:cstheme="minorHAnsi"/>
          <w:lang w:val="fr-CH"/>
        </w:rPr>
        <w:t>COVID</w:t>
      </w:r>
      <w:r w:rsidR="002720DA">
        <w:rPr>
          <w:rFonts w:asciiTheme="minorHAnsi" w:hAnsiTheme="minorHAnsi" w:cstheme="minorHAnsi"/>
          <w:lang w:val="fr-CH"/>
        </w:rPr>
        <w:noBreakHyphen/>
      </w:r>
      <w:r w:rsidRPr="00A7195C">
        <w:rPr>
          <w:rFonts w:asciiTheme="minorHAnsi" w:hAnsiTheme="minorHAnsi" w:cstheme="minorHAnsi"/>
          <w:lang w:val="fr-CH"/>
        </w:rPr>
        <w:t xml:space="preserve">19 </w:t>
      </w:r>
      <w:r w:rsidR="002720DA">
        <w:rPr>
          <w:rFonts w:asciiTheme="minorHAnsi" w:hAnsiTheme="minorHAnsi" w:cstheme="minorHAnsi"/>
          <w:lang w:val="fr-CH"/>
        </w:rPr>
        <w:t xml:space="preserve">en Chine, indiquant que le pays hôte se prépare à organiser une réunion en présentiel et espère que la </w:t>
      </w:r>
      <w:r w:rsidRPr="00A7195C">
        <w:rPr>
          <w:rFonts w:asciiTheme="minorHAnsi" w:hAnsiTheme="minorHAnsi" w:cstheme="minorHAnsi"/>
          <w:lang w:val="fr-CH"/>
        </w:rPr>
        <w:t xml:space="preserve">situation </w:t>
      </w:r>
      <w:r w:rsidR="002720DA">
        <w:rPr>
          <w:rFonts w:asciiTheme="minorHAnsi" w:hAnsiTheme="minorHAnsi" w:cstheme="minorHAnsi"/>
          <w:lang w:val="fr-CH"/>
        </w:rPr>
        <w:t>mondiale</w:t>
      </w:r>
      <w:r w:rsidR="00E20F30">
        <w:rPr>
          <w:rFonts w:asciiTheme="minorHAnsi" w:hAnsiTheme="minorHAnsi" w:cstheme="minorHAnsi"/>
          <w:lang w:val="fr-CH"/>
        </w:rPr>
        <w:t>, en 2022,</w:t>
      </w:r>
      <w:r w:rsidR="00E20F30" w:rsidRPr="00E20F30">
        <w:rPr>
          <w:rFonts w:asciiTheme="minorHAnsi" w:hAnsiTheme="minorHAnsi" w:cstheme="minorHAnsi"/>
          <w:lang w:val="fr-CH"/>
        </w:rPr>
        <w:t xml:space="preserve"> </w:t>
      </w:r>
      <w:r w:rsidR="002720DA">
        <w:rPr>
          <w:rFonts w:asciiTheme="minorHAnsi" w:hAnsiTheme="minorHAnsi" w:cstheme="minorHAnsi"/>
          <w:lang w:val="fr-CH"/>
        </w:rPr>
        <w:t xml:space="preserve">permettra </w:t>
      </w:r>
      <w:r w:rsidR="00E20F30">
        <w:rPr>
          <w:rFonts w:asciiTheme="minorHAnsi" w:hAnsiTheme="minorHAnsi" w:cstheme="minorHAnsi"/>
          <w:lang w:val="fr-CH"/>
        </w:rPr>
        <w:t>la tenue de la</w:t>
      </w:r>
      <w:r w:rsidR="002720DA">
        <w:rPr>
          <w:rFonts w:asciiTheme="minorHAnsi" w:hAnsiTheme="minorHAnsi" w:cstheme="minorHAnsi"/>
          <w:lang w:val="fr-CH"/>
        </w:rPr>
        <w:t xml:space="preserve"> réunion</w:t>
      </w:r>
      <w:r w:rsidR="00E20F30">
        <w:rPr>
          <w:rFonts w:asciiTheme="minorHAnsi" w:hAnsiTheme="minorHAnsi" w:cstheme="minorHAnsi"/>
          <w:lang w:val="fr-CH"/>
        </w:rPr>
        <w:t>.</w:t>
      </w:r>
      <w:r w:rsidR="002720DA">
        <w:rPr>
          <w:rFonts w:asciiTheme="minorHAnsi" w:hAnsiTheme="minorHAnsi" w:cstheme="minorHAnsi"/>
          <w:lang w:val="fr-CH"/>
        </w:rPr>
        <w:t xml:space="preserve"> Le pays hôte a fourni d’autres informations sur le lieu de réunion </w:t>
      </w:r>
      <w:r w:rsidR="00E20F30">
        <w:rPr>
          <w:rFonts w:asciiTheme="minorHAnsi" w:hAnsiTheme="minorHAnsi" w:cstheme="minorHAnsi"/>
          <w:lang w:val="fr-CH"/>
        </w:rPr>
        <w:t>(</w:t>
      </w:r>
      <w:r w:rsidR="002720DA">
        <w:rPr>
          <w:rFonts w:asciiTheme="minorHAnsi" w:hAnsiTheme="minorHAnsi" w:cstheme="minorHAnsi"/>
          <w:lang w:val="fr-CH"/>
        </w:rPr>
        <w:t>East </w:t>
      </w:r>
      <w:r w:rsidRPr="00A7195C">
        <w:rPr>
          <w:rFonts w:asciiTheme="minorHAnsi" w:hAnsiTheme="minorHAnsi" w:cstheme="minorHAnsi"/>
          <w:lang w:val="fr-CH"/>
        </w:rPr>
        <w:t>Lake</w:t>
      </w:r>
      <w:r w:rsidR="00E20F30">
        <w:rPr>
          <w:rFonts w:asciiTheme="minorHAnsi" w:hAnsiTheme="minorHAnsi" w:cstheme="minorHAnsi"/>
          <w:lang w:val="fr-CH"/>
        </w:rPr>
        <w:t>)</w:t>
      </w:r>
      <w:r w:rsidRPr="00A7195C">
        <w:rPr>
          <w:rFonts w:asciiTheme="minorHAnsi" w:hAnsiTheme="minorHAnsi" w:cstheme="minorHAnsi"/>
          <w:lang w:val="fr-CH"/>
        </w:rPr>
        <w:t xml:space="preserve"> </w:t>
      </w:r>
      <w:r w:rsidR="002720DA">
        <w:rPr>
          <w:rFonts w:asciiTheme="minorHAnsi" w:hAnsiTheme="minorHAnsi" w:cstheme="minorHAnsi"/>
          <w:lang w:val="fr-CH"/>
        </w:rPr>
        <w:t xml:space="preserve">et la disposition proposée des sièges </w:t>
      </w:r>
      <w:r w:rsidR="00E20F30">
        <w:rPr>
          <w:rFonts w:asciiTheme="minorHAnsi" w:hAnsiTheme="minorHAnsi" w:cstheme="minorHAnsi"/>
          <w:lang w:val="fr-CH"/>
        </w:rPr>
        <w:t>dans</w:t>
      </w:r>
      <w:r w:rsidR="002720DA">
        <w:rPr>
          <w:rFonts w:asciiTheme="minorHAnsi" w:hAnsiTheme="minorHAnsi" w:cstheme="minorHAnsi"/>
          <w:lang w:val="fr-CH"/>
        </w:rPr>
        <w:t xml:space="preserve"> le hall des plénières, notant que le hall principal pouvait accueillir 1066 personnes et qu’un</w:t>
      </w:r>
      <w:r w:rsidRPr="00A7195C">
        <w:rPr>
          <w:rFonts w:asciiTheme="minorHAnsi" w:hAnsiTheme="minorHAnsi" w:cstheme="minorHAnsi"/>
          <w:lang w:val="fr-CH"/>
        </w:rPr>
        <w:t xml:space="preserve"> auditorium </w:t>
      </w:r>
      <w:r w:rsidR="002720DA">
        <w:rPr>
          <w:rFonts w:asciiTheme="minorHAnsi" w:hAnsiTheme="minorHAnsi" w:cstheme="minorHAnsi"/>
          <w:lang w:val="fr-CH"/>
        </w:rPr>
        <w:t xml:space="preserve">adjacent serait disponible pour un nombre additionnel de participants. </w:t>
      </w:r>
    </w:p>
    <w:p w14:paraId="4EAD5A7D" w14:textId="77777777" w:rsidR="00740B9C" w:rsidRPr="00A7195C" w:rsidRDefault="00740B9C" w:rsidP="00740B9C">
      <w:pPr>
        <w:ind w:left="426" w:hanging="426"/>
        <w:rPr>
          <w:rFonts w:asciiTheme="minorHAnsi" w:hAnsiTheme="minorHAnsi" w:cstheme="minorHAnsi"/>
          <w:lang w:val="fr-CH"/>
        </w:rPr>
      </w:pPr>
    </w:p>
    <w:p w14:paraId="6B7541A1" w14:textId="62639BF3" w:rsidR="00740B9C" w:rsidRPr="00A7195C" w:rsidRDefault="00740B9C" w:rsidP="00740B9C">
      <w:pPr>
        <w:ind w:left="426" w:hanging="426"/>
        <w:rPr>
          <w:rFonts w:asciiTheme="minorHAnsi" w:hAnsiTheme="minorHAnsi" w:cstheme="minorHAnsi"/>
          <w:lang w:val="fr-CH"/>
        </w:rPr>
      </w:pPr>
      <w:r w:rsidRPr="00E1698D">
        <w:rPr>
          <w:rFonts w:asciiTheme="minorHAnsi" w:hAnsiTheme="minorHAnsi" w:cstheme="minorHAnsi"/>
          <w:lang w:val="fr-CH"/>
        </w:rPr>
        <w:t xml:space="preserve">8. </w:t>
      </w:r>
      <w:r w:rsidRPr="00E1698D">
        <w:rPr>
          <w:rFonts w:asciiTheme="minorHAnsi" w:hAnsiTheme="minorHAnsi" w:cstheme="minorHAnsi"/>
          <w:lang w:val="fr-CH"/>
        </w:rPr>
        <w:tab/>
      </w:r>
      <w:r w:rsidR="00F05B0E" w:rsidRPr="00E1698D">
        <w:rPr>
          <w:rFonts w:asciiTheme="minorHAnsi" w:hAnsiTheme="minorHAnsi" w:cstheme="minorHAnsi"/>
          <w:lang w:val="fr-CH"/>
        </w:rPr>
        <w:t>Le Sous-groupe a discuté des résultats possibles en réponse à la</w:t>
      </w:r>
      <w:r w:rsidRPr="00E1698D">
        <w:rPr>
          <w:rFonts w:asciiTheme="minorHAnsi" w:hAnsiTheme="minorHAnsi" w:cstheme="minorHAnsi"/>
          <w:lang w:val="fr-CH"/>
        </w:rPr>
        <w:t xml:space="preserve"> R</w:t>
      </w:r>
      <w:r w:rsidR="00F05B0E" w:rsidRPr="00E1698D">
        <w:rPr>
          <w:rFonts w:asciiTheme="minorHAnsi" w:hAnsiTheme="minorHAnsi" w:cstheme="minorHAnsi"/>
          <w:lang w:val="fr-CH"/>
        </w:rPr>
        <w:t>é</w:t>
      </w:r>
      <w:r w:rsidRPr="00E1698D">
        <w:rPr>
          <w:rFonts w:asciiTheme="minorHAnsi" w:hAnsiTheme="minorHAnsi" w:cstheme="minorHAnsi"/>
          <w:lang w:val="fr-CH"/>
        </w:rPr>
        <w:t xml:space="preserve">solution ExCOP3.1 </w:t>
      </w:r>
      <w:r w:rsidR="00F05B0E" w:rsidRPr="00E1698D">
        <w:rPr>
          <w:rFonts w:asciiTheme="minorHAnsi" w:hAnsiTheme="minorHAnsi" w:cstheme="minorHAnsi"/>
          <w:lang w:val="fr-CH"/>
        </w:rPr>
        <w:t>qui appelle à</w:t>
      </w:r>
      <w:r w:rsidRPr="00E1698D">
        <w:rPr>
          <w:rFonts w:asciiTheme="minorHAnsi" w:hAnsiTheme="minorHAnsi" w:cstheme="minorHAnsi"/>
          <w:lang w:val="fr-CH"/>
        </w:rPr>
        <w:t xml:space="preserve"> </w:t>
      </w:r>
      <w:r w:rsidR="00F05B0E" w:rsidRPr="00E1698D">
        <w:rPr>
          <w:rFonts w:asciiTheme="minorHAnsi" w:hAnsiTheme="minorHAnsi" w:cstheme="minorHAnsi"/>
          <w:lang w:val="fr-CH"/>
        </w:rPr>
        <w:t>une</w:t>
      </w:r>
      <w:r w:rsidRPr="00E1698D">
        <w:rPr>
          <w:rFonts w:asciiTheme="minorHAnsi" w:hAnsiTheme="minorHAnsi" w:cstheme="minorHAnsi"/>
          <w:lang w:val="fr-CH"/>
        </w:rPr>
        <w:t xml:space="preserve"> </w:t>
      </w:r>
      <w:r w:rsidR="00F05B0E" w:rsidRPr="00E1698D">
        <w:rPr>
          <w:rFonts w:asciiTheme="minorHAnsi" w:hAnsiTheme="minorHAnsi" w:cstheme="minorHAnsi"/>
          <w:lang w:val="fr-CH"/>
        </w:rPr>
        <w:t>COP14 « fructueuse, inclusive, ambitieuse et pratique »</w:t>
      </w:r>
      <w:r w:rsidRPr="00E1698D">
        <w:rPr>
          <w:rFonts w:asciiTheme="minorHAnsi" w:hAnsiTheme="minorHAnsi" w:cstheme="minorHAnsi"/>
          <w:lang w:val="fr-CH"/>
        </w:rPr>
        <w:t>.</w:t>
      </w:r>
      <w:r w:rsidR="002720DA">
        <w:rPr>
          <w:rFonts w:asciiTheme="minorHAnsi" w:hAnsiTheme="minorHAnsi" w:cstheme="minorHAnsi"/>
          <w:lang w:val="fr-CH"/>
        </w:rPr>
        <w:t xml:space="preserve"> L</w:t>
      </w:r>
      <w:r w:rsidR="002731FB">
        <w:rPr>
          <w:rFonts w:asciiTheme="minorHAnsi" w:hAnsiTheme="minorHAnsi" w:cstheme="minorHAnsi"/>
          <w:lang w:val="fr-CH"/>
        </w:rPr>
        <w:t>a discussion a,</w:t>
      </w:r>
      <w:r w:rsidR="002720DA">
        <w:rPr>
          <w:rFonts w:asciiTheme="minorHAnsi" w:hAnsiTheme="minorHAnsi" w:cstheme="minorHAnsi"/>
          <w:lang w:val="fr-CH"/>
        </w:rPr>
        <w:t xml:space="preserve"> notamment</w:t>
      </w:r>
      <w:r w:rsidR="002731FB">
        <w:rPr>
          <w:rFonts w:asciiTheme="minorHAnsi" w:hAnsiTheme="minorHAnsi" w:cstheme="minorHAnsi"/>
          <w:lang w:val="fr-CH"/>
        </w:rPr>
        <w:t>, porté</w:t>
      </w:r>
      <w:r w:rsidR="002720DA">
        <w:rPr>
          <w:rFonts w:asciiTheme="minorHAnsi" w:hAnsiTheme="minorHAnsi" w:cstheme="minorHAnsi"/>
          <w:lang w:val="fr-CH"/>
        </w:rPr>
        <w:t xml:space="preserve"> sur la « Déclaration de </w:t>
      </w:r>
      <w:r w:rsidRPr="00A7195C">
        <w:rPr>
          <w:rFonts w:asciiTheme="minorHAnsi" w:hAnsiTheme="minorHAnsi" w:cstheme="minorHAnsi"/>
          <w:lang w:val="fr-CH"/>
        </w:rPr>
        <w:t>Wuhan</w:t>
      </w:r>
      <w:r w:rsidR="002720DA">
        <w:rPr>
          <w:rFonts w:asciiTheme="minorHAnsi" w:hAnsiTheme="minorHAnsi" w:cstheme="minorHAnsi"/>
          <w:lang w:val="fr-CH"/>
        </w:rPr>
        <w:t> »</w:t>
      </w:r>
      <w:r w:rsidRPr="00A7195C">
        <w:rPr>
          <w:rFonts w:asciiTheme="minorHAnsi" w:hAnsiTheme="minorHAnsi" w:cstheme="minorHAnsi"/>
          <w:lang w:val="fr-CH"/>
        </w:rPr>
        <w:t xml:space="preserve"> </w:t>
      </w:r>
      <w:r w:rsidR="002720DA">
        <w:rPr>
          <w:rFonts w:asciiTheme="minorHAnsi" w:hAnsiTheme="minorHAnsi" w:cstheme="minorHAnsi"/>
          <w:lang w:val="fr-CH"/>
        </w:rPr>
        <w:t xml:space="preserve">un document non négocié, </w:t>
      </w:r>
      <w:r w:rsidR="002731FB">
        <w:rPr>
          <w:rFonts w:asciiTheme="minorHAnsi" w:hAnsiTheme="minorHAnsi" w:cstheme="minorHAnsi"/>
          <w:lang w:val="fr-CH"/>
        </w:rPr>
        <w:t xml:space="preserve">les </w:t>
      </w:r>
      <w:r w:rsidR="002720DA">
        <w:rPr>
          <w:rFonts w:asciiTheme="minorHAnsi" w:hAnsiTheme="minorHAnsi" w:cstheme="minorHAnsi"/>
          <w:lang w:val="fr-CH"/>
        </w:rPr>
        <w:t xml:space="preserve">fonds </w:t>
      </w:r>
      <w:r w:rsidR="002731FB">
        <w:rPr>
          <w:rFonts w:asciiTheme="minorHAnsi" w:hAnsiTheme="minorHAnsi" w:cstheme="minorHAnsi"/>
          <w:lang w:val="fr-CH"/>
        </w:rPr>
        <w:t xml:space="preserve">disponibles </w:t>
      </w:r>
      <w:r w:rsidR="002720DA">
        <w:rPr>
          <w:rFonts w:asciiTheme="minorHAnsi" w:hAnsiTheme="minorHAnsi" w:cstheme="minorHAnsi"/>
          <w:lang w:val="fr-CH"/>
        </w:rPr>
        <w:t>pour les projets relatifs aux zones humides, la création d’un partenariat international pour les mangroves</w:t>
      </w:r>
      <w:r w:rsidR="002731FB">
        <w:rPr>
          <w:rFonts w:asciiTheme="minorHAnsi" w:hAnsiTheme="minorHAnsi" w:cstheme="minorHAnsi"/>
          <w:lang w:val="fr-CH"/>
        </w:rPr>
        <w:t>, et la démonstration d’</w:t>
      </w:r>
      <w:r w:rsidR="002720DA">
        <w:rPr>
          <w:rFonts w:asciiTheme="minorHAnsi" w:hAnsiTheme="minorHAnsi" w:cstheme="minorHAnsi"/>
          <w:lang w:val="fr-CH"/>
        </w:rPr>
        <w:t>un alignement avec le Cadre mondial de la biodiversité. Le Secrétariat a donné suite à ces questions avec le pays hôte et les progrès seront communiqués au Sous</w:t>
      </w:r>
      <w:r w:rsidR="002720DA">
        <w:rPr>
          <w:rFonts w:asciiTheme="minorHAnsi" w:hAnsiTheme="minorHAnsi" w:cstheme="minorHAnsi"/>
          <w:lang w:val="fr-CH"/>
        </w:rPr>
        <w:noBreakHyphen/>
        <w:t>groupe lors de la reprise de séance de la 59</w:t>
      </w:r>
      <w:r w:rsidR="002720DA" w:rsidRPr="002720DA">
        <w:rPr>
          <w:rFonts w:asciiTheme="minorHAnsi" w:hAnsiTheme="minorHAnsi" w:cstheme="minorHAnsi"/>
          <w:vertAlign w:val="superscript"/>
          <w:lang w:val="fr-CH"/>
        </w:rPr>
        <w:t>e</w:t>
      </w:r>
      <w:r w:rsidR="002720DA">
        <w:rPr>
          <w:rFonts w:asciiTheme="minorHAnsi" w:hAnsiTheme="minorHAnsi" w:cstheme="minorHAnsi"/>
          <w:lang w:val="fr-CH"/>
        </w:rPr>
        <w:t> Réunion du Comité permanent.</w:t>
      </w:r>
      <w:r w:rsidRPr="00A7195C">
        <w:rPr>
          <w:rFonts w:asciiTheme="minorHAnsi" w:hAnsiTheme="minorHAnsi" w:cstheme="minorHAnsi"/>
          <w:lang w:val="fr-CH"/>
        </w:rPr>
        <w:t xml:space="preserve">  </w:t>
      </w:r>
    </w:p>
    <w:p w14:paraId="0C639DA0" w14:textId="77777777" w:rsidR="00740B9C" w:rsidRPr="00A7195C" w:rsidRDefault="00740B9C" w:rsidP="00740B9C">
      <w:pPr>
        <w:ind w:left="426" w:hanging="426"/>
        <w:rPr>
          <w:rFonts w:asciiTheme="minorHAnsi" w:hAnsiTheme="minorHAnsi" w:cstheme="minorHAnsi"/>
          <w:lang w:val="fr-CH"/>
        </w:rPr>
      </w:pPr>
    </w:p>
    <w:p w14:paraId="23B96BB5" w14:textId="42413B08" w:rsidR="00991C14" w:rsidRPr="00A7195C" w:rsidRDefault="00740B9C" w:rsidP="00740B9C">
      <w:pPr>
        <w:ind w:left="426" w:hanging="426"/>
        <w:rPr>
          <w:rFonts w:asciiTheme="minorHAnsi" w:hAnsiTheme="minorHAnsi" w:cstheme="minorHAnsi"/>
          <w:lang w:val="fr-CH"/>
        </w:rPr>
      </w:pPr>
      <w:r w:rsidRPr="00A7195C">
        <w:rPr>
          <w:rFonts w:asciiTheme="minorHAnsi" w:hAnsiTheme="minorHAnsi" w:cstheme="minorHAnsi"/>
          <w:lang w:val="fr-CH"/>
        </w:rPr>
        <w:t xml:space="preserve">9. </w:t>
      </w:r>
      <w:r w:rsidRPr="00A7195C">
        <w:rPr>
          <w:rFonts w:asciiTheme="minorHAnsi" w:hAnsiTheme="minorHAnsi" w:cstheme="minorHAnsi"/>
          <w:lang w:val="fr-CH"/>
        </w:rPr>
        <w:tab/>
      </w:r>
      <w:r w:rsidR="00363AED">
        <w:rPr>
          <w:rFonts w:asciiTheme="minorHAnsi" w:hAnsiTheme="minorHAnsi" w:cstheme="minorHAnsi"/>
          <w:lang w:val="fr-CH"/>
        </w:rPr>
        <w:t>La</w:t>
      </w:r>
      <w:r w:rsidR="002720DA">
        <w:rPr>
          <w:rFonts w:asciiTheme="minorHAnsi" w:hAnsiTheme="minorHAnsi" w:cstheme="minorHAnsi"/>
          <w:lang w:val="fr-CH"/>
        </w:rPr>
        <w:t xml:space="preserve"> finalisation de l’accord du pays hôte</w:t>
      </w:r>
      <w:r w:rsidR="00363AED">
        <w:rPr>
          <w:rFonts w:asciiTheme="minorHAnsi" w:hAnsiTheme="minorHAnsi" w:cstheme="minorHAnsi"/>
          <w:lang w:val="fr-CH"/>
        </w:rPr>
        <w:t xml:space="preserve"> progresse et pourrait être conclu</w:t>
      </w:r>
      <w:r w:rsidR="00A0703F">
        <w:rPr>
          <w:rFonts w:asciiTheme="minorHAnsi" w:hAnsiTheme="minorHAnsi" w:cstheme="minorHAnsi"/>
          <w:lang w:val="fr-CH"/>
        </w:rPr>
        <w:t>e</w:t>
      </w:r>
      <w:r w:rsidR="002720DA">
        <w:rPr>
          <w:rFonts w:asciiTheme="minorHAnsi" w:hAnsiTheme="minorHAnsi" w:cstheme="minorHAnsi"/>
          <w:lang w:val="fr-CH"/>
        </w:rPr>
        <w:t xml:space="preserve"> dans les mois à venir. </w:t>
      </w:r>
    </w:p>
    <w:p w14:paraId="1B65C20B" w14:textId="77777777" w:rsidR="00A53343" w:rsidRPr="00A7195C" w:rsidRDefault="00A53343" w:rsidP="00A53343">
      <w:pPr>
        <w:ind w:left="426" w:hanging="426"/>
        <w:rPr>
          <w:rFonts w:asciiTheme="minorHAnsi" w:eastAsiaTheme="minorEastAsia" w:hAnsiTheme="minorHAnsi" w:cstheme="minorHAnsi"/>
          <w:lang w:val="fr-CH"/>
        </w:rPr>
      </w:pPr>
    </w:p>
    <w:p w14:paraId="146C346B" w14:textId="1FBFBC8C" w:rsidR="00FE5F2C" w:rsidRPr="00A7195C" w:rsidRDefault="00740B9C" w:rsidP="00FE5F2C">
      <w:pPr>
        <w:ind w:left="426" w:hanging="426"/>
        <w:rPr>
          <w:rStyle w:val="markedcontent"/>
          <w:rFonts w:cs="Calibri"/>
          <w:lang w:val="fr-CH"/>
        </w:rPr>
      </w:pPr>
      <w:r w:rsidRPr="00363AED">
        <w:rPr>
          <w:rFonts w:asciiTheme="minorHAnsi" w:eastAsiaTheme="minorEastAsia" w:hAnsiTheme="minorHAnsi" w:cstheme="minorHAnsi"/>
          <w:lang w:val="fr-CH"/>
        </w:rPr>
        <w:t>10.</w:t>
      </w:r>
      <w:r w:rsidRPr="00363AED">
        <w:rPr>
          <w:rFonts w:asciiTheme="minorHAnsi" w:eastAsiaTheme="minorEastAsia" w:hAnsiTheme="minorHAnsi" w:cstheme="minorHAnsi"/>
          <w:lang w:val="fr-CH"/>
        </w:rPr>
        <w:tab/>
        <w:t xml:space="preserve">Au cours de la </w:t>
      </w:r>
      <w:r w:rsidR="00FE5F2C" w:rsidRPr="00363AED">
        <w:rPr>
          <w:rFonts w:asciiTheme="minorHAnsi" w:eastAsiaTheme="minorEastAsia" w:hAnsiTheme="minorHAnsi" w:cstheme="minorHAnsi"/>
          <w:lang w:val="fr-CH"/>
        </w:rPr>
        <w:t xml:space="preserve">réunion du 15 décembre 2021, le Sous-groupe a débattu du processus de nomination pour les </w:t>
      </w:r>
      <w:r w:rsidR="00FE5F2C" w:rsidRPr="00363AED">
        <w:rPr>
          <w:rStyle w:val="markedcontent"/>
          <w:rFonts w:cs="Calibri"/>
          <w:lang w:val="fr-CH"/>
        </w:rPr>
        <w:t>prix Ramsar pour la conservation des zones humides ;</w:t>
      </w:r>
      <w:r w:rsidR="00FE5F2C" w:rsidRPr="00363AED">
        <w:rPr>
          <w:lang w:val="fr-CH"/>
        </w:rPr>
        <w:t xml:space="preserve"> </w:t>
      </w:r>
      <w:r w:rsidR="002720DA" w:rsidRPr="00363AED">
        <w:rPr>
          <w:lang w:val="fr-CH"/>
        </w:rPr>
        <w:t xml:space="preserve">il a été décidé que </w:t>
      </w:r>
      <w:r w:rsidR="00363AED" w:rsidRPr="00363AED">
        <w:rPr>
          <w:lang w:val="fr-CH"/>
        </w:rPr>
        <w:t>l’évaluation</w:t>
      </w:r>
      <w:r w:rsidR="002720DA" w:rsidRPr="00363AED">
        <w:rPr>
          <w:lang w:val="fr-CH"/>
        </w:rPr>
        <w:t xml:space="preserve"> aurait lieu comme d’habitude avant le Comité permanent et que le Sous</w:t>
      </w:r>
      <w:r w:rsidR="002720DA" w:rsidRPr="00363AED">
        <w:rPr>
          <w:lang w:val="fr-CH"/>
        </w:rPr>
        <w:noBreakHyphen/>
        <w:t>groupe se réunirait le 23 mai 2022 à cet effet.</w:t>
      </w:r>
      <w:r w:rsidR="00FE5F2C" w:rsidRPr="00A7195C">
        <w:rPr>
          <w:rStyle w:val="markedcontent"/>
          <w:rFonts w:cs="Calibri"/>
          <w:lang w:val="fr-CH"/>
        </w:rPr>
        <w:t xml:space="preserve">  </w:t>
      </w:r>
    </w:p>
    <w:p w14:paraId="1623A824" w14:textId="77777777" w:rsidR="00FE5F2C" w:rsidRPr="00A7195C" w:rsidRDefault="00FE5F2C" w:rsidP="00FE5F2C">
      <w:pPr>
        <w:ind w:left="426" w:hanging="426"/>
        <w:rPr>
          <w:rStyle w:val="markedcontent"/>
          <w:rFonts w:cs="Calibri"/>
          <w:lang w:val="fr-CH"/>
        </w:rPr>
      </w:pPr>
    </w:p>
    <w:p w14:paraId="29D1D7D2" w14:textId="4C8660DA" w:rsidR="00740B9C" w:rsidRPr="00363AED" w:rsidRDefault="00FE5F2C" w:rsidP="00FE5F2C">
      <w:pPr>
        <w:ind w:left="426" w:hanging="426"/>
        <w:rPr>
          <w:rFonts w:eastAsia="Times New Roman" w:cs="Calibri"/>
          <w:b/>
          <w:bCs/>
          <w:lang w:val="fr-CH" w:eastAsia="fr-FR"/>
        </w:rPr>
      </w:pPr>
      <w:r w:rsidRPr="00363AED">
        <w:rPr>
          <w:rStyle w:val="markedcontent"/>
          <w:rFonts w:cs="Calibri"/>
          <w:b/>
          <w:bCs/>
          <w:lang w:val="fr-CH"/>
        </w:rPr>
        <w:t>Mise à jour sur la campagne du 50</w:t>
      </w:r>
      <w:r w:rsidRPr="00363AED">
        <w:rPr>
          <w:rStyle w:val="markedcontent"/>
          <w:rFonts w:cs="Calibri"/>
          <w:b/>
          <w:bCs/>
          <w:vertAlign w:val="superscript"/>
          <w:lang w:val="fr-CH"/>
        </w:rPr>
        <w:t>e</w:t>
      </w:r>
      <w:r w:rsidRPr="00363AED">
        <w:rPr>
          <w:rStyle w:val="markedcontent"/>
          <w:rFonts w:cs="Calibri"/>
          <w:b/>
          <w:bCs/>
          <w:lang w:val="fr-CH"/>
        </w:rPr>
        <w:t xml:space="preserve"> anniversaire</w:t>
      </w:r>
    </w:p>
    <w:p w14:paraId="76992A7C" w14:textId="77777777" w:rsidR="00A53343" w:rsidRPr="00363AED" w:rsidRDefault="00A53343" w:rsidP="00A53343">
      <w:pPr>
        <w:ind w:left="426" w:hanging="426"/>
        <w:rPr>
          <w:rFonts w:asciiTheme="minorHAnsi" w:eastAsiaTheme="minorEastAsia" w:hAnsiTheme="minorHAnsi" w:cstheme="minorHAnsi"/>
          <w:lang w:val="fr-CH"/>
        </w:rPr>
      </w:pPr>
    </w:p>
    <w:p w14:paraId="411859C7" w14:textId="4ED11447" w:rsidR="00FE5F2C" w:rsidRPr="00A7195C" w:rsidRDefault="00FE5F2C" w:rsidP="00FE5F2C">
      <w:pPr>
        <w:ind w:left="426" w:hanging="426"/>
        <w:rPr>
          <w:rStyle w:val="markedcontent"/>
          <w:rFonts w:asciiTheme="minorHAnsi" w:hAnsiTheme="minorHAnsi" w:cstheme="minorHAnsi"/>
          <w:lang w:val="fr-CH"/>
        </w:rPr>
      </w:pPr>
      <w:r w:rsidRPr="00363AED">
        <w:rPr>
          <w:rFonts w:asciiTheme="minorHAnsi" w:eastAsiaTheme="minorEastAsia" w:hAnsiTheme="minorHAnsi" w:cstheme="minorHAnsi"/>
          <w:lang w:val="fr-CH"/>
        </w:rPr>
        <w:t>11</w:t>
      </w:r>
      <w:r w:rsidR="00A53343" w:rsidRPr="00363AED">
        <w:rPr>
          <w:rFonts w:asciiTheme="minorHAnsi" w:eastAsiaTheme="minorEastAsia" w:hAnsiTheme="minorHAnsi" w:cstheme="minorHAnsi"/>
          <w:lang w:val="fr-CH"/>
        </w:rPr>
        <w:t>.</w:t>
      </w:r>
      <w:r w:rsidR="000614C0" w:rsidRPr="00363AED">
        <w:rPr>
          <w:rFonts w:asciiTheme="minorHAnsi" w:eastAsiaTheme="minorEastAsia" w:hAnsiTheme="minorHAnsi" w:cstheme="minorHAnsi"/>
          <w:lang w:val="fr-CH"/>
        </w:rPr>
        <w:tab/>
      </w:r>
      <w:r w:rsidRPr="00363AED">
        <w:rPr>
          <w:rFonts w:asciiTheme="minorHAnsi" w:eastAsiaTheme="minorEastAsia" w:hAnsiTheme="minorHAnsi" w:cstheme="minorHAnsi"/>
          <w:lang w:val="fr-CH"/>
        </w:rPr>
        <w:t xml:space="preserve">La </w:t>
      </w:r>
      <w:r w:rsidRPr="00363AED">
        <w:rPr>
          <w:rStyle w:val="markedcontent"/>
          <w:rFonts w:asciiTheme="minorHAnsi" w:hAnsiTheme="minorHAnsi" w:cstheme="minorHAnsi"/>
          <w:lang w:val="fr-CH"/>
        </w:rPr>
        <w:t>campagne</w:t>
      </w:r>
      <w:r w:rsidR="00F072B8" w:rsidRPr="00363AED">
        <w:rPr>
          <w:rStyle w:val="markedcontent"/>
          <w:rFonts w:asciiTheme="minorHAnsi" w:hAnsiTheme="minorHAnsi" w:cstheme="minorHAnsi"/>
          <w:lang w:val="fr-CH"/>
        </w:rPr>
        <w:t xml:space="preserve"> du 50</w:t>
      </w:r>
      <w:r w:rsidR="00F072B8" w:rsidRPr="00363AED">
        <w:rPr>
          <w:rStyle w:val="markedcontent"/>
          <w:rFonts w:asciiTheme="minorHAnsi" w:hAnsiTheme="minorHAnsi" w:cstheme="minorHAnsi"/>
          <w:vertAlign w:val="superscript"/>
          <w:lang w:val="fr-CH"/>
        </w:rPr>
        <w:t>e</w:t>
      </w:r>
      <w:r w:rsidR="00F072B8" w:rsidRPr="00363AED">
        <w:rPr>
          <w:rStyle w:val="markedcontent"/>
          <w:rFonts w:asciiTheme="minorHAnsi" w:hAnsiTheme="minorHAnsi" w:cstheme="minorHAnsi"/>
          <w:lang w:val="fr-CH"/>
        </w:rPr>
        <w:t xml:space="preserve"> anniversaire</w:t>
      </w:r>
      <w:r w:rsidR="008E13AF" w:rsidRPr="00363AED">
        <w:rPr>
          <w:rStyle w:val="markedcontent"/>
          <w:rFonts w:asciiTheme="minorHAnsi" w:hAnsiTheme="minorHAnsi" w:cstheme="minorHAnsi"/>
          <w:lang w:val="fr-CH"/>
        </w:rPr>
        <w:t xml:space="preserve"> a été lancée en mars 2021</w:t>
      </w:r>
      <w:r w:rsidR="00F072B8" w:rsidRPr="00363AED">
        <w:rPr>
          <w:rStyle w:val="markedcontent"/>
          <w:rFonts w:asciiTheme="minorHAnsi" w:hAnsiTheme="minorHAnsi" w:cstheme="minorHAnsi"/>
          <w:lang w:val="fr-CH"/>
        </w:rPr>
        <w:t xml:space="preserve"> après la Journée mondiale des zones humides. Un briefing en ligne sur la stratégie de la campagne et un aperçu </w:t>
      </w:r>
      <w:r w:rsidRPr="00363AED">
        <w:rPr>
          <w:rStyle w:val="markedcontent"/>
          <w:rFonts w:asciiTheme="minorHAnsi" w:hAnsiTheme="minorHAnsi" w:cstheme="minorHAnsi"/>
          <w:lang w:val="fr-CH"/>
        </w:rPr>
        <w:t>du</w:t>
      </w:r>
      <w:r w:rsidR="00F072B8" w:rsidRPr="00363AED">
        <w:rPr>
          <w:rStyle w:val="markedcontent"/>
          <w:rFonts w:asciiTheme="minorHAnsi" w:hAnsiTheme="minorHAnsi" w:cstheme="minorHAnsi"/>
          <w:lang w:val="fr-CH"/>
        </w:rPr>
        <w:t xml:space="preserve"> matériel de communication </w:t>
      </w:r>
      <w:r w:rsidR="006C39DB" w:rsidRPr="00363AED">
        <w:rPr>
          <w:rStyle w:val="markedcontent"/>
          <w:rFonts w:asciiTheme="minorHAnsi" w:hAnsiTheme="minorHAnsi" w:cstheme="minorHAnsi"/>
          <w:lang w:val="fr-CH"/>
        </w:rPr>
        <w:t>à l’intention des Parties contractantes et des parties prenantes</w:t>
      </w:r>
      <w:r w:rsidRPr="00363AED">
        <w:rPr>
          <w:rStyle w:val="markedcontent"/>
          <w:rFonts w:asciiTheme="minorHAnsi" w:hAnsiTheme="minorHAnsi" w:cstheme="minorHAnsi"/>
          <w:lang w:val="fr-CH"/>
        </w:rPr>
        <w:t xml:space="preserve"> intéressées</w:t>
      </w:r>
      <w:r w:rsidR="006C39DB" w:rsidRPr="00363AED">
        <w:rPr>
          <w:rStyle w:val="markedcontent"/>
          <w:rFonts w:asciiTheme="minorHAnsi" w:hAnsiTheme="minorHAnsi" w:cstheme="minorHAnsi"/>
          <w:lang w:val="fr-CH"/>
        </w:rPr>
        <w:t xml:space="preserve"> a été organisé le 16 mars 2021 dans les trois langues.</w:t>
      </w:r>
      <w:r w:rsidRPr="00363AED">
        <w:rPr>
          <w:lang w:val="fr-CH"/>
        </w:rPr>
        <w:t xml:space="preserve"> </w:t>
      </w:r>
      <w:r w:rsidR="00F05B0E" w:rsidRPr="00363AED">
        <w:rPr>
          <w:lang w:val="fr-CH"/>
        </w:rPr>
        <w:t>Un ensemble de documents relatifs à la campagne</w:t>
      </w:r>
      <w:r w:rsidRPr="00363AED">
        <w:rPr>
          <w:rStyle w:val="markedcontent"/>
          <w:rFonts w:asciiTheme="minorHAnsi" w:hAnsiTheme="minorHAnsi" w:cstheme="minorHAnsi"/>
          <w:lang w:val="fr-CH"/>
        </w:rPr>
        <w:t xml:space="preserve"> </w:t>
      </w:r>
      <w:r w:rsidR="00F05B0E" w:rsidRPr="00363AED">
        <w:rPr>
          <w:rStyle w:val="markedcontent"/>
          <w:rFonts w:asciiTheme="minorHAnsi" w:hAnsiTheme="minorHAnsi" w:cstheme="minorHAnsi"/>
          <w:lang w:val="fr-CH"/>
        </w:rPr>
        <w:t>a été mis à la disposition des</w:t>
      </w:r>
      <w:r w:rsidRPr="00363AED">
        <w:rPr>
          <w:rStyle w:val="markedcontent"/>
          <w:rFonts w:asciiTheme="minorHAnsi" w:hAnsiTheme="minorHAnsi" w:cstheme="minorHAnsi"/>
          <w:lang w:val="fr-CH"/>
        </w:rPr>
        <w:t xml:space="preserve"> Parties</w:t>
      </w:r>
      <w:r w:rsidR="00F05B0E" w:rsidRPr="00363AED">
        <w:rPr>
          <w:rStyle w:val="markedcontent"/>
          <w:rFonts w:asciiTheme="minorHAnsi" w:hAnsiTheme="minorHAnsi" w:cstheme="minorHAnsi"/>
          <w:lang w:val="fr-CH"/>
        </w:rPr>
        <w:t xml:space="preserve"> sur un site web dédié à la campagne</w:t>
      </w:r>
      <w:r w:rsidRPr="00363AED">
        <w:rPr>
          <w:rStyle w:val="markedcontent"/>
          <w:rFonts w:asciiTheme="minorHAnsi" w:hAnsiTheme="minorHAnsi" w:cstheme="minorHAnsi"/>
          <w:lang w:val="fr-CH"/>
        </w:rPr>
        <w:t>.</w:t>
      </w:r>
      <w:r w:rsidRPr="00A7195C">
        <w:rPr>
          <w:rStyle w:val="markedcontent"/>
          <w:rFonts w:asciiTheme="minorHAnsi" w:hAnsiTheme="minorHAnsi" w:cstheme="minorHAnsi"/>
          <w:lang w:val="fr-CH"/>
        </w:rPr>
        <w:t xml:space="preserve"> </w:t>
      </w:r>
      <w:r w:rsidR="00090116">
        <w:rPr>
          <w:rStyle w:val="markedcontent"/>
          <w:rFonts w:asciiTheme="minorHAnsi" w:hAnsiTheme="minorHAnsi" w:cstheme="minorHAnsi"/>
          <w:lang w:val="fr-CH"/>
        </w:rPr>
        <w:t>Les ressources comprenaient le logo du 50</w:t>
      </w:r>
      <w:r w:rsidR="00090116" w:rsidRPr="00090116">
        <w:rPr>
          <w:rStyle w:val="markedcontent"/>
          <w:rFonts w:asciiTheme="minorHAnsi" w:hAnsiTheme="minorHAnsi" w:cstheme="minorHAnsi"/>
          <w:vertAlign w:val="superscript"/>
          <w:lang w:val="fr-CH"/>
        </w:rPr>
        <w:t>e</w:t>
      </w:r>
      <w:r w:rsidR="00090116">
        <w:rPr>
          <w:rStyle w:val="markedcontent"/>
          <w:rFonts w:asciiTheme="minorHAnsi" w:hAnsiTheme="minorHAnsi" w:cstheme="minorHAnsi"/>
          <w:lang w:val="fr-CH"/>
        </w:rPr>
        <w:t> anniversaire, une vidéo du 50</w:t>
      </w:r>
      <w:r w:rsidR="00090116" w:rsidRPr="00090116">
        <w:rPr>
          <w:rStyle w:val="markedcontent"/>
          <w:rFonts w:asciiTheme="minorHAnsi" w:hAnsiTheme="minorHAnsi" w:cstheme="minorHAnsi"/>
          <w:vertAlign w:val="superscript"/>
          <w:lang w:val="fr-CH"/>
        </w:rPr>
        <w:t>e</w:t>
      </w:r>
      <w:r w:rsidR="00090116">
        <w:rPr>
          <w:rStyle w:val="markedcontent"/>
          <w:rFonts w:asciiTheme="minorHAnsi" w:hAnsiTheme="minorHAnsi" w:cstheme="minorHAnsi"/>
          <w:lang w:val="fr-CH"/>
        </w:rPr>
        <w:t xml:space="preserve"> anniversaire, des </w:t>
      </w:r>
      <w:r w:rsidR="00E93296">
        <w:rPr>
          <w:rStyle w:val="markedcontent"/>
          <w:rFonts w:asciiTheme="minorHAnsi" w:hAnsiTheme="minorHAnsi" w:cstheme="minorHAnsi"/>
          <w:lang w:val="fr-CH"/>
        </w:rPr>
        <w:t>directives sur l’image de marque,</w:t>
      </w:r>
      <w:r w:rsidR="00090116">
        <w:rPr>
          <w:rStyle w:val="markedcontent"/>
          <w:rFonts w:asciiTheme="minorHAnsi" w:hAnsiTheme="minorHAnsi" w:cstheme="minorHAnsi"/>
          <w:lang w:val="fr-CH"/>
        </w:rPr>
        <w:t xml:space="preserve"> une trousse à outils pour les réseaux sociaux, des </w:t>
      </w:r>
      <w:r w:rsidR="00A0703F">
        <w:rPr>
          <w:rStyle w:val="markedcontent"/>
          <w:rFonts w:asciiTheme="minorHAnsi" w:hAnsiTheme="minorHAnsi" w:cstheme="minorHAnsi"/>
          <w:lang w:val="fr-CH"/>
        </w:rPr>
        <w:t>pavés</w:t>
      </w:r>
      <w:r w:rsidR="00090116">
        <w:rPr>
          <w:rStyle w:val="markedcontent"/>
          <w:rFonts w:asciiTheme="minorHAnsi" w:hAnsiTheme="minorHAnsi" w:cstheme="minorHAnsi"/>
          <w:lang w:val="fr-CH"/>
        </w:rPr>
        <w:t xml:space="preserve"> pour les réseaux sociaux, des fiches </w:t>
      </w:r>
      <w:r w:rsidR="00E93296">
        <w:rPr>
          <w:rStyle w:val="markedcontent"/>
          <w:rFonts w:asciiTheme="minorHAnsi" w:hAnsiTheme="minorHAnsi" w:cstheme="minorHAnsi"/>
          <w:lang w:val="fr-CH"/>
        </w:rPr>
        <w:t>techniques</w:t>
      </w:r>
      <w:r w:rsidR="00090116">
        <w:rPr>
          <w:rStyle w:val="markedcontent"/>
          <w:rFonts w:asciiTheme="minorHAnsi" w:hAnsiTheme="minorHAnsi" w:cstheme="minorHAnsi"/>
          <w:lang w:val="fr-CH"/>
        </w:rPr>
        <w:t xml:space="preserve"> et des </w:t>
      </w:r>
      <w:r w:rsidR="00E93296">
        <w:rPr>
          <w:rStyle w:val="markedcontent"/>
          <w:rFonts w:asciiTheme="minorHAnsi" w:hAnsiTheme="minorHAnsi" w:cstheme="minorHAnsi"/>
          <w:lang w:val="fr-CH"/>
        </w:rPr>
        <w:t>Gifs animés</w:t>
      </w:r>
      <w:r w:rsidR="00090116">
        <w:rPr>
          <w:rStyle w:val="markedcontent"/>
          <w:rFonts w:asciiTheme="minorHAnsi" w:hAnsiTheme="minorHAnsi" w:cstheme="minorHAnsi"/>
          <w:lang w:val="fr-CH"/>
        </w:rPr>
        <w:t>. Toutes les ressources de la campagne étaient disponibles dans les trois langues.</w:t>
      </w:r>
      <w:r w:rsidRPr="00A7195C">
        <w:rPr>
          <w:rStyle w:val="markedcontent"/>
          <w:rFonts w:asciiTheme="minorHAnsi" w:hAnsiTheme="minorHAnsi" w:cstheme="minorHAnsi"/>
          <w:lang w:val="fr-CH"/>
        </w:rPr>
        <w:t xml:space="preserve"> </w:t>
      </w:r>
    </w:p>
    <w:p w14:paraId="5E38F8B3" w14:textId="77777777" w:rsidR="00FE5F2C" w:rsidRPr="00A7195C" w:rsidRDefault="00FE5F2C" w:rsidP="00FE5F2C">
      <w:pPr>
        <w:ind w:left="426" w:hanging="426"/>
        <w:rPr>
          <w:rStyle w:val="markedcontent"/>
          <w:rFonts w:asciiTheme="minorHAnsi" w:hAnsiTheme="minorHAnsi" w:cstheme="minorHAnsi"/>
          <w:lang w:val="fr-CH"/>
        </w:rPr>
      </w:pPr>
    </w:p>
    <w:p w14:paraId="4AA9E59C" w14:textId="234E114C" w:rsidR="00FE5F2C" w:rsidRPr="00A7195C" w:rsidRDefault="00FE5F2C" w:rsidP="00FE5F2C">
      <w:pPr>
        <w:ind w:left="426" w:hanging="426"/>
        <w:rPr>
          <w:rStyle w:val="markedcontent"/>
          <w:rFonts w:asciiTheme="minorHAnsi" w:hAnsiTheme="minorHAnsi" w:cstheme="minorHAnsi"/>
          <w:lang w:val="fr-CH"/>
        </w:rPr>
      </w:pPr>
      <w:r w:rsidRPr="00A7195C">
        <w:rPr>
          <w:rStyle w:val="markedcontent"/>
          <w:rFonts w:asciiTheme="minorHAnsi" w:hAnsiTheme="minorHAnsi" w:cstheme="minorHAnsi"/>
          <w:lang w:val="fr-CH"/>
        </w:rPr>
        <w:t>12.</w:t>
      </w:r>
      <w:r w:rsidRPr="00A7195C">
        <w:rPr>
          <w:rStyle w:val="markedcontent"/>
          <w:rFonts w:asciiTheme="minorHAnsi" w:hAnsiTheme="minorHAnsi" w:cstheme="minorHAnsi"/>
          <w:lang w:val="fr-CH"/>
        </w:rPr>
        <w:tab/>
      </w:r>
      <w:r w:rsidR="00090116">
        <w:rPr>
          <w:rStyle w:val="markedcontent"/>
          <w:rFonts w:asciiTheme="minorHAnsi" w:hAnsiTheme="minorHAnsi" w:cstheme="minorHAnsi"/>
          <w:lang w:val="fr-CH"/>
        </w:rPr>
        <w:t>La campagne du 50</w:t>
      </w:r>
      <w:r w:rsidR="00090116" w:rsidRPr="00090116">
        <w:rPr>
          <w:rStyle w:val="markedcontent"/>
          <w:rFonts w:asciiTheme="minorHAnsi" w:hAnsiTheme="minorHAnsi" w:cstheme="minorHAnsi"/>
          <w:vertAlign w:val="superscript"/>
          <w:lang w:val="fr-CH"/>
        </w:rPr>
        <w:t>e</w:t>
      </w:r>
      <w:r w:rsidR="00090116">
        <w:rPr>
          <w:rStyle w:val="markedcontent"/>
          <w:rFonts w:asciiTheme="minorHAnsi" w:hAnsiTheme="minorHAnsi" w:cstheme="minorHAnsi"/>
          <w:lang w:val="fr-CH"/>
        </w:rPr>
        <w:t xml:space="preserve"> anniversaire </w:t>
      </w:r>
      <w:r w:rsidR="00A0703F">
        <w:rPr>
          <w:rStyle w:val="markedcontent"/>
          <w:rFonts w:asciiTheme="minorHAnsi" w:hAnsiTheme="minorHAnsi" w:cstheme="minorHAnsi"/>
          <w:lang w:val="fr-CH"/>
        </w:rPr>
        <w:t xml:space="preserve">a </w:t>
      </w:r>
      <w:r w:rsidR="002759DA">
        <w:rPr>
          <w:rStyle w:val="markedcontent"/>
          <w:rFonts w:asciiTheme="minorHAnsi" w:hAnsiTheme="minorHAnsi" w:cstheme="minorHAnsi"/>
          <w:lang w:val="fr-CH"/>
        </w:rPr>
        <w:t>tourné les projecteurs sur plusieurs</w:t>
      </w:r>
      <w:r w:rsidR="00ED4A36">
        <w:rPr>
          <w:rStyle w:val="markedcontent"/>
          <w:rFonts w:asciiTheme="minorHAnsi" w:hAnsiTheme="minorHAnsi" w:cstheme="minorHAnsi"/>
          <w:lang w:val="fr-CH"/>
        </w:rPr>
        <w:t xml:space="preserve"> journées internationales clés</w:t>
      </w:r>
      <w:r w:rsidR="002759DA">
        <w:rPr>
          <w:rStyle w:val="markedcontent"/>
          <w:rFonts w:asciiTheme="minorHAnsi" w:hAnsiTheme="minorHAnsi" w:cstheme="minorHAnsi"/>
          <w:lang w:val="fr-CH"/>
        </w:rPr>
        <w:t>,</w:t>
      </w:r>
      <w:r w:rsidR="00ED4A36">
        <w:rPr>
          <w:rStyle w:val="markedcontent"/>
          <w:rFonts w:asciiTheme="minorHAnsi" w:hAnsiTheme="minorHAnsi" w:cstheme="minorHAnsi"/>
          <w:lang w:val="fr-CH"/>
        </w:rPr>
        <w:t xml:space="preserve"> tout au long de 2021</w:t>
      </w:r>
      <w:r w:rsidR="002759DA">
        <w:rPr>
          <w:rStyle w:val="markedcontent"/>
          <w:rFonts w:asciiTheme="minorHAnsi" w:hAnsiTheme="minorHAnsi" w:cstheme="minorHAnsi"/>
          <w:lang w:val="fr-CH"/>
        </w:rPr>
        <w:t> :</w:t>
      </w:r>
      <w:r w:rsidR="00ED4A36">
        <w:rPr>
          <w:rStyle w:val="markedcontent"/>
          <w:rFonts w:asciiTheme="minorHAnsi" w:hAnsiTheme="minorHAnsi" w:cstheme="minorHAnsi"/>
          <w:lang w:val="fr-CH"/>
        </w:rPr>
        <w:t xml:space="preserve"> la Journée mondiale de l’eau (22 mars), la </w:t>
      </w:r>
      <w:r w:rsidR="00ED4A36" w:rsidRPr="002759DA">
        <w:rPr>
          <w:rStyle w:val="markedcontent"/>
          <w:rFonts w:asciiTheme="minorHAnsi" w:hAnsiTheme="minorHAnsi" w:cstheme="minorHAnsi"/>
          <w:lang w:val="fr-CH"/>
        </w:rPr>
        <w:t>Journée internationale de la biodiversité (22 mai), la Journée mondiale des océans (8 juin), la Journée internationale de la jeunesse (12 août) et la Journée internationale pour la réduction des</w:t>
      </w:r>
      <w:r w:rsidR="00ED4A36">
        <w:rPr>
          <w:rStyle w:val="markedcontent"/>
          <w:rFonts w:asciiTheme="minorHAnsi" w:hAnsiTheme="minorHAnsi" w:cstheme="minorHAnsi"/>
          <w:lang w:val="fr-CH"/>
        </w:rPr>
        <w:t xml:space="preserve"> risques de catastrophe (13 octobre). </w:t>
      </w:r>
      <w:r w:rsidR="006038B9">
        <w:rPr>
          <w:rStyle w:val="markedcontent"/>
          <w:rFonts w:asciiTheme="minorHAnsi" w:hAnsiTheme="minorHAnsi" w:cstheme="minorHAnsi"/>
          <w:lang w:val="fr-CH"/>
        </w:rPr>
        <w:t xml:space="preserve">Le Secrétariat a publié des déclarations écrites et vidéo de la Secrétaire générale reconnaissant l’importance de chacune de ces journées pour les zones humides. </w:t>
      </w:r>
      <w:r w:rsidR="002759DA">
        <w:rPr>
          <w:rStyle w:val="markedcontent"/>
          <w:rFonts w:asciiTheme="minorHAnsi" w:hAnsiTheme="minorHAnsi" w:cstheme="minorHAnsi"/>
          <w:lang w:val="fr-CH"/>
        </w:rPr>
        <w:t>Du</w:t>
      </w:r>
      <w:r w:rsidR="006038B9">
        <w:rPr>
          <w:rStyle w:val="markedcontent"/>
          <w:rFonts w:asciiTheme="minorHAnsi" w:hAnsiTheme="minorHAnsi" w:cstheme="minorHAnsi"/>
          <w:lang w:val="fr-CH"/>
        </w:rPr>
        <w:t xml:space="preserve"> matériel de </w:t>
      </w:r>
      <w:r w:rsidR="006038B9">
        <w:rPr>
          <w:rStyle w:val="markedcontent"/>
          <w:rFonts w:asciiTheme="minorHAnsi" w:hAnsiTheme="minorHAnsi" w:cstheme="minorHAnsi"/>
          <w:lang w:val="fr-CH"/>
        </w:rPr>
        <w:lastRenderedPageBreak/>
        <w:t xml:space="preserve">communication thématique pour chaque journée internationale a été </w:t>
      </w:r>
      <w:r w:rsidR="002759DA">
        <w:rPr>
          <w:rStyle w:val="markedcontent"/>
          <w:rFonts w:asciiTheme="minorHAnsi" w:hAnsiTheme="minorHAnsi" w:cstheme="minorHAnsi"/>
          <w:lang w:val="fr-CH"/>
        </w:rPr>
        <w:t>publié</w:t>
      </w:r>
      <w:r w:rsidR="006038B9">
        <w:rPr>
          <w:rStyle w:val="markedcontent"/>
          <w:rFonts w:asciiTheme="minorHAnsi" w:hAnsiTheme="minorHAnsi" w:cstheme="minorHAnsi"/>
          <w:lang w:val="fr-CH"/>
        </w:rPr>
        <w:t xml:space="preserve"> sur le site web de la campagne</w:t>
      </w:r>
      <w:r w:rsidR="002759DA">
        <w:rPr>
          <w:rStyle w:val="markedcontent"/>
          <w:rFonts w:asciiTheme="minorHAnsi" w:hAnsiTheme="minorHAnsi" w:cstheme="minorHAnsi"/>
          <w:lang w:val="fr-CH"/>
        </w:rPr>
        <w:t>, en anglais, français et espagnol. Il s’agissait de</w:t>
      </w:r>
      <w:r w:rsidR="006038B9">
        <w:rPr>
          <w:rStyle w:val="markedcontent"/>
          <w:rFonts w:asciiTheme="minorHAnsi" w:hAnsiTheme="minorHAnsi" w:cstheme="minorHAnsi"/>
          <w:lang w:val="fr-CH"/>
        </w:rPr>
        <w:t xml:space="preserve"> brèves vidéos d’animation, de </w:t>
      </w:r>
      <w:r w:rsidR="00A0703F">
        <w:rPr>
          <w:rStyle w:val="markedcontent"/>
          <w:rFonts w:asciiTheme="minorHAnsi" w:hAnsiTheme="minorHAnsi" w:cstheme="minorHAnsi"/>
          <w:lang w:val="fr-CH"/>
        </w:rPr>
        <w:t>pavés</w:t>
      </w:r>
      <w:r w:rsidR="006038B9">
        <w:rPr>
          <w:rStyle w:val="markedcontent"/>
          <w:rFonts w:asciiTheme="minorHAnsi" w:hAnsiTheme="minorHAnsi" w:cstheme="minorHAnsi"/>
          <w:lang w:val="fr-CH"/>
        </w:rPr>
        <w:t xml:space="preserve"> pour les réseaux sociaux et de </w:t>
      </w:r>
      <w:r w:rsidR="002759DA">
        <w:rPr>
          <w:rStyle w:val="markedcontent"/>
          <w:rFonts w:asciiTheme="minorHAnsi" w:hAnsiTheme="minorHAnsi" w:cstheme="minorHAnsi"/>
          <w:lang w:val="fr-CH"/>
        </w:rPr>
        <w:t>messages</w:t>
      </w:r>
      <w:r w:rsidR="006038B9">
        <w:rPr>
          <w:rStyle w:val="markedcontent"/>
          <w:rFonts w:asciiTheme="minorHAnsi" w:hAnsiTheme="minorHAnsi" w:cstheme="minorHAnsi"/>
          <w:lang w:val="fr-CH"/>
        </w:rPr>
        <w:t xml:space="preserve"> pour les réseaux sociaux. </w:t>
      </w:r>
    </w:p>
    <w:p w14:paraId="72DA71CD" w14:textId="77777777" w:rsidR="00FE5F2C" w:rsidRPr="00A7195C" w:rsidRDefault="00FE5F2C" w:rsidP="00FE5F2C">
      <w:pPr>
        <w:ind w:left="426" w:hanging="426"/>
        <w:rPr>
          <w:rStyle w:val="markedcontent"/>
          <w:rFonts w:asciiTheme="minorHAnsi" w:hAnsiTheme="minorHAnsi" w:cstheme="minorHAnsi"/>
          <w:lang w:val="fr-CH"/>
        </w:rPr>
      </w:pPr>
    </w:p>
    <w:p w14:paraId="414CC766" w14:textId="6B4A4847" w:rsidR="00FE5F2C" w:rsidRPr="00A7195C" w:rsidRDefault="00FE5F2C" w:rsidP="00FE5F2C">
      <w:pPr>
        <w:ind w:left="426" w:hanging="426"/>
        <w:rPr>
          <w:rStyle w:val="markedcontent"/>
          <w:rFonts w:asciiTheme="minorHAnsi" w:hAnsiTheme="minorHAnsi" w:cstheme="minorHAnsi"/>
          <w:lang w:val="fr-CH"/>
        </w:rPr>
      </w:pPr>
      <w:r w:rsidRPr="00A7195C">
        <w:rPr>
          <w:rStyle w:val="markedcontent"/>
          <w:rFonts w:asciiTheme="minorHAnsi" w:hAnsiTheme="minorHAnsi" w:cstheme="minorHAnsi"/>
          <w:lang w:val="fr-CH"/>
        </w:rPr>
        <w:t xml:space="preserve">13. </w:t>
      </w:r>
      <w:r w:rsidRPr="00A7195C">
        <w:rPr>
          <w:rStyle w:val="markedcontent"/>
          <w:rFonts w:asciiTheme="minorHAnsi" w:hAnsiTheme="minorHAnsi" w:cstheme="minorHAnsi"/>
          <w:lang w:val="fr-CH"/>
        </w:rPr>
        <w:tab/>
      </w:r>
      <w:r w:rsidR="006038B9">
        <w:rPr>
          <w:rStyle w:val="markedcontent"/>
          <w:rFonts w:asciiTheme="minorHAnsi" w:hAnsiTheme="minorHAnsi" w:cstheme="minorHAnsi"/>
          <w:lang w:val="fr-CH"/>
        </w:rPr>
        <w:t xml:space="preserve">D’août à octobre 2021, les jeunes ont été invités à participer à la campagne. </w:t>
      </w:r>
      <w:r w:rsidR="00D8562F">
        <w:rPr>
          <w:rStyle w:val="markedcontent"/>
          <w:rFonts w:asciiTheme="minorHAnsi" w:hAnsiTheme="minorHAnsi" w:cstheme="minorHAnsi"/>
          <w:lang w:val="fr-CH"/>
        </w:rPr>
        <w:t>Le</w:t>
      </w:r>
      <w:r w:rsidR="006038B9">
        <w:rPr>
          <w:rStyle w:val="markedcontent"/>
          <w:rFonts w:asciiTheme="minorHAnsi" w:hAnsiTheme="minorHAnsi" w:cstheme="minorHAnsi"/>
          <w:lang w:val="fr-CH"/>
        </w:rPr>
        <w:t xml:space="preserve"> site web de la campagne</w:t>
      </w:r>
      <w:r w:rsidR="00D8562F">
        <w:rPr>
          <w:rStyle w:val="markedcontent"/>
          <w:rFonts w:asciiTheme="minorHAnsi" w:hAnsiTheme="minorHAnsi" w:cstheme="minorHAnsi"/>
          <w:lang w:val="fr-CH"/>
        </w:rPr>
        <w:t xml:space="preserve"> leur a donné la parole et l’on peut y trouver des l</w:t>
      </w:r>
      <w:r w:rsidR="006038B9">
        <w:rPr>
          <w:rStyle w:val="markedcontent"/>
          <w:rFonts w:asciiTheme="minorHAnsi" w:hAnsiTheme="minorHAnsi" w:cstheme="minorHAnsi"/>
          <w:lang w:val="fr-CH"/>
        </w:rPr>
        <w:t>ettre</w:t>
      </w:r>
      <w:r w:rsidR="00D8562F">
        <w:rPr>
          <w:rStyle w:val="markedcontent"/>
          <w:rFonts w:asciiTheme="minorHAnsi" w:hAnsiTheme="minorHAnsi" w:cstheme="minorHAnsi"/>
          <w:lang w:val="fr-CH"/>
        </w:rPr>
        <w:t>s</w:t>
      </w:r>
      <w:r w:rsidR="006038B9">
        <w:rPr>
          <w:rStyle w:val="markedcontent"/>
          <w:rFonts w:asciiTheme="minorHAnsi" w:hAnsiTheme="minorHAnsi" w:cstheme="minorHAnsi"/>
          <w:lang w:val="fr-CH"/>
        </w:rPr>
        <w:t xml:space="preserve"> ouverte</w:t>
      </w:r>
      <w:r w:rsidR="00D8562F">
        <w:rPr>
          <w:rStyle w:val="markedcontent"/>
          <w:rFonts w:asciiTheme="minorHAnsi" w:hAnsiTheme="minorHAnsi" w:cstheme="minorHAnsi"/>
          <w:lang w:val="fr-CH"/>
        </w:rPr>
        <w:t>s</w:t>
      </w:r>
      <w:r w:rsidR="006038B9">
        <w:rPr>
          <w:rStyle w:val="markedcontent"/>
          <w:rFonts w:asciiTheme="minorHAnsi" w:hAnsiTheme="minorHAnsi" w:cstheme="minorHAnsi"/>
          <w:lang w:val="fr-CH"/>
        </w:rPr>
        <w:t xml:space="preserve"> et </w:t>
      </w:r>
      <w:r w:rsidR="00D8562F">
        <w:rPr>
          <w:rStyle w:val="markedcontent"/>
          <w:rFonts w:asciiTheme="minorHAnsi" w:hAnsiTheme="minorHAnsi" w:cstheme="minorHAnsi"/>
          <w:lang w:val="fr-CH"/>
        </w:rPr>
        <w:t>l</w:t>
      </w:r>
      <w:r w:rsidR="006038B9">
        <w:rPr>
          <w:rStyle w:val="markedcontent"/>
          <w:rFonts w:asciiTheme="minorHAnsi" w:hAnsiTheme="minorHAnsi" w:cstheme="minorHAnsi"/>
          <w:lang w:val="fr-CH"/>
        </w:rPr>
        <w:t>es histoires qu’ils</w:t>
      </w:r>
      <w:r w:rsidR="00D8562F">
        <w:rPr>
          <w:rStyle w:val="markedcontent"/>
          <w:rFonts w:asciiTheme="minorHAnsi" w:hAnsiTheme="minorHAnsi" w:cstheme="minorHAnsi"/>
          <w:lang w:val="fr-CH"/>
        </w:rPr>
        <w:t xml:space="preserve"> nous ont racontées</w:t>
      </w:r>
      <w:r w:rsidR="006038B9">
        <w:rPr>
          <w:rStyle w:val="markedcontent"/>
          <w:rFonts w:asciiTheme="minorHAnsi" w:hAnsiTheme="minorHAnsi" w:cstheme="minorHAnsi"/>
          <w:lang w:val="fr-CH"/>
        </w:rPr>
        <w:t xml:space="preserve">. Le 20 octobre 2021, le Secrétariat a organisé un événement en ligne intitulé « Se connecter pour l’action pour les zones humides : </w:t>
      </w:r>
      <w:r w:rsidR="00D8562F">
        <w:rPr>
          <w:rStyle w:val="markedcontent"/>
          <w:rFonts w:asciiTheme="minorHAnsi" w:hAnsiTheme="minorHAnsi" w:cstheme="minorHAnsi"/>
          <w:lang w:val="fr-CH"/>
        </w:rPr>
        <w:t>D</w:t>
      </w:r>
      <w:r w:rsidR="006038B9">
        <w:rPr>
          <w:rStyle w:val="markedcontent"/>
          <w:rFonts w:asciiTheme="minorHAnsi" w:hAnsiTheme="minorHAnsi" w:cstheme="minorHAnsi"/>
          <w:lang w:val="fr-CH"/>
        </w:rPr>
        <w:t xml:space="preserve">ialogue intergénérations » </w:t>
      </w:r>
      <w:r w:rsidR="00D8562F">
        <w:rPr>
          <w:rStyle w:val="markedcontent"/>
          <w:rFonts w:asciiTheme="minorHAnsi" w:hAnsiTheme="minorHAnsi" w:cstheme="minorHAnsi"/>
          <w:lang w:val="fr-CH"/>
        </w:rPr>
        <w:t>avec</w:t>
      </w:r>
      <w:r w:rsidR="006038B9">
        <w:rPr>
          <w:rStyle w:val="markedcontent"/>
          <w:rFonts w:asciiTheme="minorHAnsi" w:hAnsiTheme="minorHAnsi" w:cstheme="minorHAnsi"/>
          <w:lang w:val="fr-CH"/>
        </w:rPr>
        <w:t xml:space="preserve"> différents orateurs</w:t>
      </w:r>
      <w:r w:rsidR="00D8562F">
        <w:rPr>
          <w:rStyle w:val="markedcontent"/>
          <w:rFonts w:asciiTheme="minorHAnsi" w:hAnsiTheme="minorHAnsi" w:cstheme="minorHAnsi"/>
          <w:lang w:val="fr-CH"/>
        </w:rPr>
        <w:t>,</w:t>
      </w:r>
      <w:r w:rsidR="006038B9">
        <w:rPr>
          <w:rStyle w:val="markedcontent"/>
          <w:rFonts w:asciiTheme="minorHAnsi" w:hAnsiTheme="minorHAnsi" w:cstheme="minorHAnsi"/>
          <w:lang w:val="fr-CH"/>
        </w:rPr>
        <w:t xml:space="preserve"> de différentes générations</w:t>
      </w:r>
      <w:r w:rsidR="00D8562F">
        <w:rPr>
          <w:rStyle w:val="markedcontent"/>
          <w:rFonts w:asciiTheme="minorHAnsi" w:hAnsiTheme="minorHAnsi" w:cstheme="minorHAnsi"/>
          <w:lang w:val="fr-CH"/>
        </w:rPr>
        <w:t>,</w:t>
      </w:r>
      <w:r w:rsidR="006038B9">
        <w:rPr>
          <w:rStyle w:val="markedcontent"/>
          <w:rFonts w:asciiTheme="minorHAnsi" w:hAnsiTheme="minorHAnsi" w:cstheme="minorHAnsi"/>
          <w:lang w:val="fr-CH"/>
        </w:rPr>
        <w:t xml:space="preserve"> modéré par des représentants d’organisations de </w:t>
      </w:r>
      <w:r w:rsidR="00D8562F">
        <w:rPr>
          <w:rStyle w:val="markedcontent"/>
          <w:rFonts w:asciiTheme="minorHAnsi" w:hAnsiTheme="minorHAnsi" w:cstheme="minorHAnsi"/>
          <w:lang w:val="fr-CH"/>
        </w:rPr>
        <w:t>la jeunesse</w:t>
      </w:r>
      <w:r w:rsidR="006038B9">
        <w:rPr>
          <w:rStyle w:val="markedcontent"/>
          <w:rFonts w:asciiTheme="minorHAnsi" w:hAnsiTheme="minorHAnsi" w:cstheme="minorHAnsi"/>
          <w:lang w:val="fr-CH"/>
        </w:rPr>
        <w:t xml:space="preserve"> pour les zones humides. </w:t>
      </w:r>
      <w:r w:rsidR="00D8562F">
        <w:rPr>
          <w:rStyle w:val="markedcontent"/>
          <w:rFonts w:asciiTheme="minorHAnsi" w:hAnsiTheme="minorHAnsi" w:cstheme="minorHAnsi"/>
          <w:lang w:val="fr-CH"/>
        </w:rPr>
        <w:t>Le dialogue</w:t>
      </w:r>
      <w:r w:rsidR="006038B9">
        <w:rPr>
          <w:rStyle w:val="markedcontent"/>
          <w:rFonts w:asciiTheme="minorHAnsi" w:hAnsiTheme="minorHAnsi" w:cstheme="minorHAnsi"/>
          <w:lang w:val="fr-CH"/>
        </w:rPr>
        <w:t xml:space="preserve"> s’est concentré sur l’action actuelle des jeunes pour les zones humides </w:t>
      </w:r>
      <w:r w:rsidR="00D8562F">
        <w:rPr>
          <w:rStyle w:val="markedcontent"/>
          <w:rFonts w:asciiTheme="minorHAnsi" w:hAnsiTheme="minorHAnsi" w:cstheme="minorHAnsi"/>
          <w:lang w:val="fr-CH"/>
        </w:rPr>
        <w:t>avec une réflexion sur les</w:t>
      </w:r>
      <w:r w:rsidR="006038B9">
        <w:rPr>
          <w:rStyle w:val="markedcontent"/>
          <w:rFonts w:asciiTheme="minorHAnsi" w:hAnsiTheme="minorHAnsi" w:cstheme="minorHAnsi"/>
          <w:lang w:val="fr-CH"/>
        </w:rPr>
        <w:t xml:space="preserve"> leçons apprises </w:t>
      </w:r>
      <w:r w:rsidR="00D8562F">
        <w:rPr>
          <w:rStyle w:val="markedcontent"/>
          <w:rFonts w:asciiTheme="minorHAnsi" w:hAnsiTheme="minorHAnsi" w:cstheme="minorHAnsi"/>
          <w:lang w:val="fr-CH"/>
        </w:rPr>
        <w:t>en</w:t>
      </w:r>
      <w:r w:rsidR="006038B9">
        <w:rPr>
          <w:rStyle w:val="markedcontent"/>
          <w:rFonts w:asciiTheme="minorHAnsi" w:hAnsiTheme="minorHAnsi" w:cstheme="minorHAnsi"/>
          <w:lang w:val="fr-CH"/>
        </w:rPr>
        <w:t xml:space="preserve"> 50 ans </w:t>
      </w:r>
      <w:r w:rsidR="00D8562F">
        <w:rPr>
          <w:rStyle w:val="markedcontent"/>
          <w:rFonts w:asciiTheme="minorHAnsi" w:hAnsiTheme="minorHAnsi" w:cstheme="minorHAnsi"/>
          <w:lang w:val="fr-CH"/>
        </w:rPr>
        <w:t>d’</w:t>
      </w:r>
      <w:r w:rsidR="006038B9">
        <w:rPr>
          <w:rStyle w:val="markedcontent"/>
          <w:rFonts w:asciiTheme="minorHAnsi" w:hAnsiTheme="minorHAnsi" w:cstheme="minorHAnsi"/>
          <w:lang w:val="fr-CH"/>
        </w:rPr>
        <w:t xml:space="preserve">existence de la Convention. Une vidéo de l’événement en ligne est disponible sur la page </w:t>
      </w:r>
      <w:r w:rsidRPr="00A7195C">
        <w:rPr>
          <w:rStyle w:val="markedcontent"/>
          <w:rFonts w:asciiTheme="minorHAnsi" w:hAnsiTheme="minorHAnsi" w:cstheme="minorHAnsi"/>
          <w:lang w:val="fr-CH"/>
        </w:rPr>
        <w:t xml:space="preserve">YouTube </w:t>
      </w:r>
      <w:r w:rsidR="008071A6">
        <w:rPr>
          <w:rStyle w:val="markedcontent"/>
          <w:rFonts w:asciiTheme="minorHAnsi" w:hAnsiTheme="minorHAnsi" w:cstheme="minorHAnsi"/>
          <w:lang w:val="fr-CH"/>
        </w:rPr>
        <w:t>de la Convention</w:t>
      </w:r>
      <w:r w:rsidRPr="00A7195C">
        <w:rPr>
          <w:rStyle w:val="markedcontent"/>
          <w:rFonts w:asciiTheme="minorHAnsi" w:hAnsiTheme="minorHAnsi" w:cstheme="minorHAnsi"/>
          <w:lang w:val="fr-CH"/>
        </w:rPr>
        <w:t xml:space="preserve">.  </w:t>
      </w:r>
    </w:p>
    <w:p w14:paraId="398A6CB2" w14:textId="77777777" w:rsidR="00FE5F2C" w:rsidRPr="00A7195C" w:rsidRDefault="00FE5F2C" w:rsidP="00FE5F2C">
      <w:pPr>
        <w:ind w:left="426" w:hanging="426"/>
        <w:rPr>
          <w:rStyle w:val="markedcontent"/>
          <w:rFonts w:asciiTheme="minorHAnsi" w:hAnsiTheme="minorHAnsi" w:cstheme="minorHAnsi"/>
          <w:lang w:val="fr-CH"/>
        </w:rPr>
      </w:pPr>
    </w:p>
    <w:p w14:paraId="0E78BDF0" w14:textId="17168F87" w:rsidR="00FE5F2C" w:rsidRPr="00A7195C" w:rsidRDefault="00FE5F2C" w:rsidP="00FE5F2C">
      <w:pPr>
        <w:ind w:left="426" w:hanging="426"/>
        <w:rPr>
          <w:rStyle w:val="markedcontent"/>
          <w:rFonts w:asciiTheme="minorHAnsi" w:hAnsiTheme="minorHAnsi" w:cstheme="minorHAnsi"/>
          <w:lang w:val="fr-CH"/>
        </w:rPr>
      </w:pPr>
      <w:r w:rsidRPr="00A7195C">
        <w:rPr>
          <w:rStyle w:val="markedcontent"/>
          <w:rFonts w:asciiTheme="minorHAnsi" w:hAnsiTheme="minorHAnsi" w:cstheme="minorHAnsi"/>
          <w:lang w:val="fr-CH"/>
        </w:rPr>
        <w:t>14.</w:t>
      </w:r>
      <w:r w:rsidR="008071A6">
        <w:rPr>
          <w:rStyle w:val="markedcontent"/>
          <w:rFonts w:asciiTheme="minorHAnsi" w:hAnsiTheme="minorHAnsi" w:cstheme="minorHAnsi"/>
          <w:lang w:val="fr-CH"/>
        </w:rPr>
        <w:tab/>
        <w:t xml:space="preserve">Le 15 décembre, les </w:t>
      </w:r>
      <w:r w:rsidR="008071A6" w:rsidRPr="00D8562F">
        <w:rPr>
          <w:rStyle w:val="markedcontent"/>
          <w:rFonts w:asciiTheme="minorHAnsi" w:hAnsiTheme="minorHAnsi" w:cstheme="minorHAnsi"/>
          <w:i/>
          <w:iCs/>
          <w:lang w:val="fr-CH"/>
        </w:rPr>
        <w:t>Perspectives mondiales des zones humides 2021 : Édition spéciale</w:t>
      </w:r>
      <w:r w:rsidR="008071A6">
        <w:rPr>
          <w:rStyle w:val="markedcontent"/>
          <w:rFonts w:asciiTheme="minorHAnsi" w:hAnsiTheme="minorHAnsi" w:cstheme="minorHAnsi"/>
          <w:lang w:val="fr-CH"/>
        </w:rPr>
        <w:t xml:space="preserve"> ont été lancées dans le cadre du 50</w:t>
      </w:r>
      <w:r w:rsidR="008071A6" w:rsidRPr="008071A6">
        <w:rPr>
          <w:rStyle w:val="markedcontent"/>
          <w:rFonts w:asciiTheme="minorHAnsi" w:hAnsiTheme="minorHAnsi" w:cstheme="minorHAnsi"/>
          <w:vertAlign w:val="superscript"/>
          <w:lang w:val="fr-CH"/>
        </w:rPr>
        <w:t>e</w:t>
      </w:r>
      <w:r w:rsidR="008071A6">
        <w:rPr>
          <w:rStyle w:val="markedcontent"/>
          <w:rFonts w:asciiTheme="minorHAnsi" w:hAnsiTheme="minorHAnsi" w:cstheme="minorHAnsi"/>
          <w:lang w:val="fr-CH"/>
        </w:rPr>
        <w:t xml:space="preserve"> anniversaire. En préparation </w:t>
      </w:r>
      <w:r w:rsidR="00A0703F">
        <w:rPr>
          <w:rStyle w:val="markedcontent"/>
          <w:rFonts w:asciiTheme="minorHAnsi" w:hAnsiTheme="minorHAnsi" w:cstheme="minorHAnsi"/>
          <w:lang w:val="fr-CH"/>
        </w:rPr>
        <w:t>de</w:t>
      </w:r>
      <w:r w:rsidR="008071A6">
        <w:rPr>
          <w:rStyle w:val="markedcontent"/>
          <w:rFonts w:asciiTheme="minorHAnsi" w:hAnsiTheme="minorHAnsi" w:cstheme="minorHAnsi"/>
          <w:lang w:val="fr-CH"/>
        </w:rPr>
        <w:t xml:space="preserve"> ce lancement, </w:t>
      </w:r>
      <w:r w:rsidR="00D8562F">
        <w:rPr>
          <w:rStyle w:val="markedcontent"/>
          <w:rFonts w:asciiTheme="minorHAnsi" w:hAnsiTheme="minorHAnsi" w:cstheme="minorHAnsi"/>
          <w:lang w:val="fr-CH"/>
        </w:rPr>
        <w:t>le</w:t>
      </w:r>
      <w:r w:rsidR="008071A6">
        <w:rPr>
          <w:rStyle w:val="markedcontent"/>
          <w:rFonts w:asciiTheme="minorHAnsi" w:hAnsiTheme="minorHAnsi" w:cstheme="minorHAnsi"/>
          <w:lang w:val="fr-CH"/>
        </w:rPr>
        <w:t xml:space="preserve"> microsite Perspectives mondiales des zones humides a été mis à jour en ligne avec le nouveau document. </w:t>
      </w:r>
      <w:r w:rsidR="00D8562F">
        <w:rPr>
          <w:rStyle w:val="markedcontent"/>
          <w:rFonts w:asciiTheme="minorHAnsi" w:hAnsiTheme="minorHAnsi" w:cstheme="minorHAnsi"/>
          <w:lang w:val="fr-CH"/>
        </w:rPr>
        <w:t>Du</w:t>
      </w:r>
      <w:r w:rsidR="008071A6">
        <w:rPr>
          <w:rStyle w:val="markedcontent"/>
          <w:rFonts w:asciiTheme="minorHAnsi" w:hAnsiTheme="minorHAnsi" w:cstheme="minorHAnsi"/>
          <w:lang w:val="fr-CH"/>
        </w:rPr>
        <w:t xml:space="preserve"> matériel de communication relatif au lancement a également été publié sur le site et comprend des nouvelles et des communiqués de presse, des </w:t>
      </w:r>
      <w:r w:rsidR="00D8562F">
        <w:rPr>
          <w:rStyle w:val="markedcontent"/>
          <w:rFonts w:asciiTheme="minorHAnsi" w:hAnsiTheme="minorHAnsi" w:cstheme="minorHAnsi"/>
          <w:lang w:val="fr-CH"/>
        </w:rPr>
        <w:t>messages</w:t>
      </w:r>
      <w:r w:rsidR="008071A6">
        <w:rPr>
          <w:rStyle w:val="markedcontent"/>
          <w:rFonts w:asciiTheme="minorHAnsi" w:hAnsiTheme="minorHAnsi" w:cstheme="minorHAnsi"/>
          <w:lang w:val="fr-CH"/>
        </w:rPr>
        <w:t xml:space="preserve"> suggérés sur les réseaux sociaux et des messages clés ainsi que des </w:t>
      </w:r>
      <w:r w:rsidR="00A0703F">
        <w:rPr>
          <w:rStyle w:val="markedcontent"/>
          <w:rFonts w:asciiTheme="minorHAnsi" w:hAnsiTheme="minorHAnsi" w:cstheme="minorHAnsi"/>
          <w:lang w:val="fr-CH"/>
        </w:rPr>
        <w:t>pavés</w:t>
      </w:r>
      <w:r w:rsidR="008071A6">
        <w:rPr>
          <w:rStyle w:val="markedcontent"/>
          <w:rFonts w:asciiTheme="minorHAnsi" w:hAnsiTheme="minorHAnsi" w:cstheme="minorHAnsi"/>
          <w:lang w:val="fr-CH"/>
        </w:rPr>
        <w:t xml:space="preserve"> pour les réseaux sociaux. Un éditorial de la Secrétaire générale de la Convention a été publié le 20 décembre par la </w:t>
      </w:r>
      <w:r w:rsidRPr="00A7195C">
        <w:rPr>
          <w:rStyle w:val="markedcontent"/>
          <w:rFonts w:asciiTheme="minorHAnsi" w:hAnsiTheme="minorHAnsi" w:cstheme="minorHAnsi"/>
          <w:lang w:val="fr-CH"/>
        </w:rPr>
        <w:t xml:space="preserve">Thompson Reuters Foundation. </w:t>
      </w:r>
    </w:p>
    <w:p w14:paraId="491B486C" w14:textId="77777777" w:rsidR="00FE5F2C" w:rsidRPr="00A7195C" w:rsidRDefault="00FE5F2C" w:rsidP="00FE5F2C">
      <w:pPr>
        <w:ind w:left="426" w:hanging="426"/>
        <w:rPr>
          <w:rStyle w:val="markedcontent"/>
          <w:rFonts w:asciiTheme="minorHAnsi" w:hAnsiTheme="minorHAnsi" w:cstheme="minorHAnsi"/>
          <w:lang w:val="fr-CH"/>
        </w:rPr>
      </w:pPr>
    </w:p>
    <w:p w14:paraId="36B645D4" w14:textId="315F483A" w:rsidR="00FE5F2C" w:rsidRPr="00A7195C" w:rsidRDefault="00FE5F2C" w:rsidP="00FE5F2C">
      <w:pPr>
        <w:ind w:left="426" w:hanging="426"/>
        <w:rPr>
          <w:rStyle w:val="markedcontent"/>
          <w:rFonts w:asciiTheme="minorHAnsi" w:hAnsiTheme="minorHAnsi" w:cstheme="minorHAnsi"/>
          <w:lang w:val="fr-CH"/>
        </w:rPr>
      </w:pPr>
      <w:r w:rsidRPr="00A7195C">
        <w:rPr>
          <w:rStyle w:val="markedcontent"/>
          <w:rFonts w:asciiTheme="minorHAnsi" w:hAnsiTheme="minorHAnsi" w:cstheme="minorHAnsi"/>
          <w:lang w:val="fr-CH"/>
        </w:rPr>
        <w:t>15.</w:t>
      </w:r>
      <w:r w:rsidRPr="00A7195C">
        <w:rPr>
          <w:rStyle w:val="markedcontent"/>
          <w:rFonts w:asciiTheme="minorHAnsi" w:hAnsiTheme="minorHAnsi" w:cstheme="minorHAnsi"/>
          <w:lang w:val="fr-CH"/>
        </w:rPr>
        <w:tab/>
      </w:r>
      <w:r w:rsidR="00C65950">
        <w:rPr>
          <w:rStyle w:val="markedcontent"/>
          <w:rFonts w:asciiTheme="minorHAnsi" w:hAnsiTheme="minorHAnsi" w:cstheme="minorHAnsi"/>
          <w:lang w:val="fr-CH"/>
        </w:rPr>
        <w:t xml:space="preserve">Globalement, l’engagement et la participation de différentes parties prenantes à la campagne ont été </w:t>
      </w:r>
      <w:r w:rsidR="00A0703F">
        <w:rPr>
          <w:rStyle w:val="markedcontent"/>
          <w:rFonts w:asciiTheme="minorHAnsi" w:hAnsiTheme="minorHAnsi" w:cstheme="minorHAnsi"/>
          <w:lang w:val="fr-CH"/>
        </w:rPr>
        <w:t>forts</w:t>
      </w:r>
      <w:r w:rsidR="00C65950">
        <w:rPr>
          <w:rStyle w:val="markedcontent"/>
          <w:rFonts w:asciiTheme="minorHAnsi" w:hAnsiTheme="minorHAnsi" w:cstheme="minorHAnsi"/>
          <w:lang w:val="fr-CH"/>
        </w:rPr>
        <w:t>. L’analyse des réseaux sociaux montre 4</w:t>
      </w:r>
      <w:r w:rsidRPr="00A7195C">
        <w:rPr>
          <w:rStyle w:val="markedcontent"/>
          <w:rFonts w:asciiTheme="minorHAnsi" w:hAnsiTheme="minorHAnsi" w:cstheme="minorHAnsi"/>
          <w:lang w:val="fr-CH"/>
        </w:rPr>
        <w:t>869</w:t>
      </w:r>
      <w:r w:rsidR="00C65950">
        <w:rPr>
          <w:rStyle w:val="markedcontent"/>
          <w:rFonts w:asciiTheme="minorHAnsi" w:hAnsiTheme="minorHAnsi" w:cstheme="minorHAnsi"/>
          <w:lang w:val="fr-CH"/>
        </w:rPr>
        <w:t xml:space="preserve"> cas où le </w:t>
      </w:r>
      <w:r w:rsidRPr="00A7195C">
        <w:rPr>
          <w:rStyle w:val="markedcontent"/>
          <w:rFonts w:asciiTheme="minorHAnsi" w:hAnsiTheme="minorHAnsi" w:cstheme="minorHAnsi"/>
          <w:lang w:val="fr-CH"/>
        </w:rPr>
        <w:t xml:space="preserve">hashtag </w:t>
      </w:r>
      <w:r w:rsidR="00C65950">
        <w:rPr>
          <w:rStyle w:val="markedcontent"/>
          <w:rFonts w:asciiTheme="minorHAnsi" w:hAnsiTheme="minorHAnsi" w:cstheme="minorHAnsi"/>
          <w:lang w:val="fr-CH"/>
        </w:rPr>
        <w:t xml:space="preserve">de la campagne a été utilisé sur </w:t>
      </w:r>
      <w:r w:rsidRPr="00A7195C">
        <w:rPr>
          <w:rStyle w:val="markedcontent"/>
          <w:rFonts w:asciiTheme="minorHAnsi" w:hAnsiTheme="minorHAnsi" w:cstheme="minorHAnsi"/>
          <w:lang w:val="fr-CH"/>
        </w:rPr>
        <w:t xml:space="preserve">Twitter </w:t>
      </w:r>
      <w:r w:rsidR="00C65950">
        <w:rPr>
          <w:rStyle w:val="markedcontent"/>
          <w:rFonts w:asciiTheme="minorHAnsi" w:hAnsiTheme="minorHAnsi" w:cstheme="minorHAnsi"/>
          <w:lang w:val="fr-CH"/>
        </w:rPr>
        <w:t>et</w:t>
      </w:r>
      <w:r w:rsidRPr="00A7195C">
        <w:rPr>
          <w:rStyle w:val="markedcontent"/>
          <w:rFonts w:asciiTheme="minorHAnsi" w:hAnsiTheme="minorHAnsi" w:cstheme="minorHAnsi"/>
          <w:lang w:val="fr-CH"/>
        </w:rPr>
        <w:t xml:space="preserve"> Instagram, </w:t>
      </w:r>
      <w:r w:rsidR="00D8562F">
        <w:rPr>
          <w:rStyle w:val="markedcontent"/>
          <w:rFonts w:asciiTheme="minorHAnsi" w:hAnsiTheme="minorHAnsi" w:cstheme="minorHAnsi"/>
          <w:lang w:val="fr-CH"/>
        </w:rPr>
        <w:t>soit en tout</w:t>
      </w:r>
      <w:r w:rsidR="00C65950">
        <w:rPr>
          <w:rStyle w:val="markedcontent"/>
          <w:rFonts w:asciiTheme="minorHAnsi" w:hAnsiTheme="minorHAnsi" w:cstheme="minorHAnsi"/>
          <w:lang w:val="fr-CH"/>
        </w:rPr>
        <w:t xml:space="preserve"> </w:t>
      </w:r>
      <w:r w:rsidRPr="00A7195C">
        <w:rPr>
          <w:rStyle w:val="markedcontent"/>
          <w:rFonts w:asciiTheme="minorHAnsi" w:hAnsiTheme="minorHAnsi" w:cstheme="minorHAnsi"/>
          <w:lang w:val="fr-CH"/>
        </w:rPr>
        <w:t>32</w:t>
      </w:r>
      <w:r w:rsidR="00C65950">
        <w:rPr>
          <w:rStyle w:val="markedcontent"/>
          <w:rFonts w:asciiTheme="minorHAnsi" w:hAnsiTheme="minorHAnsi" w:cstheme="minorHAnsi"/>
          <w:lang w:val="fr-CH"/>
        </w:rPr>
        <w:t> </w:t>
      </w:r>
      <w:r w:rsidRPr="00A7195C">
        <w:rPr>
          <w:rStyle w:val="markedcontent"/>
          <w:rFonts w:asciiTheme="minorHAnsi" w:hAnsiTheme="minorHAnsi" w:cstheme="minorHAnsi"/>
          <w:lang w:val="fr-CH"/>
        </w:rPr>
        <w:t>million</w:t>
      </w:r>
      <w:r w:rsidR="00C65950">
        <w:rPr>
          <w:rStyle w:val="markedcontent"/>
          <w:rFonts w:asciiTheme="minorHAnsi" w:hAnsiTheme="minorHAnsi" w:cstheme="minorHAnsi"/>
          <w:lang w:val="fr-CH"/>
        </w:rPr>
        <w:t>s de consultations dans toutes les régions. Il y a eu</w:t>
      </w:r>
      <w:r w:rsidRPr="00A7195C">
        <w:rPr>
          <w:rStyle w:val="markedcontent"/>
          <w:rFonts w:asciiTheme="minorHAnsi" w:hAnsiTheme="minorHAnsi" w:cstheme="minorHAnsi"/>
          <w:lang w:val="fr-CH"/>
        </w:rPr>
        <w:t xml:space="preserve"> 40</w:t>
      </w:r>
      <w:r w:rsidR="00C65950">
        <w:rPr>
          <w:rStyle w:val="markedcontent"/>
          <w:rFonts w:asciiTheme="minorHAnsi" w:hAnsiTheme="minorHAnsi" w:cstheme="minorHAnsi"/>
          <w:lang w:val="fr-CH"/>
        </w:rPr>
        <w:t> </w:t>
      </w:r>
      <w:r w:rsidRPr="00A7195C">
        <w:rPr>
          <w:rStyle w:val="markedcontent"/>
          <w:rFonts w:asciiTheme="minorHAnsi" w:hAnsiTheme="minorHAnsi" w:cstheme="minorHAnsi"/>
          <w:lang w:val="fr-CH"/>
        </w:rPr>
        <w:t>000</w:t>
      </w:r>
      <w:r w:rsidR="00C65950">
        <w:rPr>
          <w:rStyle w:val="markedcontent"/>
          <w:rFonts w:asciiTheme="minorHAnsi" w:hAnsiTheme="minorHAnsi" w:cstheme="minorHAnsi"/>
          <w:lang w:val="fr-CH"/>
        </w:rPr>
        <w:t> visites de</w:t>
      </w:r>
      <w:r w:rsidRPr="00A7195C">
        <w:rPr>
          <w:rStyle w:val="markedcontent"/>
          <w:rFonts w:asciiTheme="minorHAnsi" w:hAnsiTheme="minorHAnsi" w:cstheme="minorHAnsi"/>
          <w:lang w:val="fr-CH"/>
        </w:rPr>
        <w:t xml:space="preserve"> page </w:t>
      </w:r>
      <w:r w:rsidR="00C65950">
        <w:rPr>
          <w:rStyle w:val="markedcontent"/>
          <w:rFonts w:asciiTheme="minorHAnsi" w:hAnsiTheme="minorHAnsi" w:cstheme="minorHAnsi"/>
          <w:lang w:val="fr-CH"/>
        </w:rPr>
        <w:t>sur le site web du 50</w:t>
      </w:r>
      <w:r w:rsidR="00C65950" w:rsidRPr="00C65950">
        <w:rPr>
          <w:rStyle w:val="markedcontent"/>
          <w:rFonts w:asciiTheme="minorHAnsi" w:hAnsiTheme="minorHAnsi" w:cstheme="minorHAnsi"/>
          <w:vertAlign w:val="superscript"/>
          <w:lang w:val="fr-CH"/>
        </w:rPr>
        <w:t>e</w:t>
      </w:r>
      <w:r w:rsidR="00C65950">
        <w:rPr>
          <w:rStyle w:val="markedcontent"/>
          <w:rFonts w:asciiTheme="minorHAnsi" w:hAnsiTheme="minorHAnsi" w:cstheme="minorHAnsi"/>
          <w:lang w:val="fr-CH"/>
        </w:rPr>
        <w:t> anniversaire. Le</w:t>
      </w:r>
      <w:r w:rsidR="00D8562F">
        <w:rPr>
          <w:rStyle w:val="markedcontent"/>
          <w:rFonts w:asciiTheme="minorHAnsi" w:hAnsiTheme="minorHAnsi" w:cstheme="minorHAnsi"/>
          <w:lang w:val="fr-CH"/>
        </w:rPr>
        <w:t>s interactions ont surtout été au paroxysme</w:t>
      </w:r>
      <w:r w:rsidR="00C65950">
        <w:rPr>
          <w:rStyle w:val="markedcontent"/>
          <w:rFonts w:asciiTheme="minorHAnsi" w:hAnsiTheme="minorHAnsi" w:cstheme="minorHAnsi"/>
          <w:lang w:val="fr-CH"/>
        </w:rPr>
        <w:t xml:space="preserve"> de mars à mai </w:t>
      </w:r>
      <w:r w:rsidR="00D8562F">
        <w:rPr>
          <w:rStyle w:val="markedcontent"/>
          <w:rFonts w:asciiTheme="minorHAnsi" w:hAnsiTheme="minorHAnsi" w:cstheme="minorHAnsi"/>
          <w:lang w:val="fr-CH"/>
        </w:rPr>
        <w:t>avec, en outre</w:t>
      </w:r>
      <w:r w:rsidR="00C65950">
        <w:rPr>
          <w:rStyle w:val="markedcontent"/>
          <w:rFonts w:asciiTheme="minorHAnsi" w:hAnsiTheme="minorHAnsi" w:cstheme="minorHAnsi"/>
          <w:lang w:val="fr-CH"/>
        </w:rPr>
        <w:t xml:space="preserve"> une augmentation de l’engagement en octobre et en décembre, simultanément avec les activités de la Journée internationale de la jeunesse et le lancement des </w:t>
      </w:r>
      <w:r w:rsidR="00C65950" w:rsidRPr="00D8562F">
        <w:rPr>
          <w:rStyle w:val="markedcontent"/>
          <w:rFonts w:asciiTheme="minorHAnsi" w:hAnsiTheme="minorHAnsi" w:cstheme="minorHAnsi"/>
          <w:i/>
          <w:iCs/>
          <w:lang w:val="fr-CH"/>
        </w:rPr>
        <w:t>Perspectives mondiales des zones humides 2021 : Édition spéciale</w:t>
      </w:r>
      <w:r w:rsidR="00C65950">
        <w:rPr>
          <w:rStyle w:val="markedcontent"/>
          <w:rFonts w:asciiTheme="minorHAnsi" w:hAnsiTheme="minorHAnsi" w:cstheme="minorHAnsi"/>
          <w:lang w:val="fr-CH"/>
        </w:rPr>
        <w:t xml:space="preserve">.  </w:t>
      </w:r>
      <w:r w:rsidRPr="00A7195C">
        <w:rPr>
          <w:rStyle w:val="markedcontent"/>
          <w:rFonts w:asciiTheme="minorHAnsi" w:hAnsiTheme="minorHAnsi" w:cstheme="minorHAnsi"/>
          <w:lang w:val="fr-CH"/>
        </w:rPr>
        <w:t xml:space="preserve"> </w:t>
      </w:r>
    </w:p>
    <w:p w14:paraId="09A1B3C1" w14:textId="77777777" w:rsidR="00FE5F2C" w:rsidRPr="00A7195C" w:rsidRDefault="00FE5F2C" w:rsidP="00FE5F2C">
      <w:pPr>
        <w:ind w:left="426" w:hanging="426"/>
        <w:rPr>
          <w:rStyle w:val="markedcontent"/>
          <w:rFonts w:asciiTheme="minorHAnsi" w:hAnsiTheme="minorHAnsi" w:cstheme="minorHAnsi"/>
          <w:lang w:val="fr-CH"/>
        </w:rPr>
      </w:pPr>
    </w:p>
    <w:p w14:paraId="1B79AF82" w14:textId="76938AB5" w:rsidR="00FE5F2C" w:rsidRPr="00A7195C" w:rsidRDefault="00FE5F2C" w:rsidP="00FE5F2C">
      <w:pPr>
        <w:ind w:left="426" w:hanging="426"/>
        <w:rPr>
          <w:rStyle w:val="markedcontent"/>
          <w:rFonts w:asciiTheme="minorHAnsi" w:hAnsiTheme="minorHAnsi" w:cstheme="minorHAnsi"/>
          <w:lang w:val="fr-CH"/>
        </w:rPr>
      </w:pPr>
      <w:r w:rsidRPr="00A7195C">
        <w:rPr>
          <w:rStyle w:val="markedcontent"/>
          <w:rFonts w:asciiTheme="minorHAnsi" w:hAnsiTheme="minorHAnsi" w:cstheme="minorHAnsi"/>
          <w:lang w:val="fr-CH"/>
        </w:rPr>
        <w:t xml:space="preserve">16. </w:t>
      </w:r>
      <w:r w:rsidRPr="00A7195C">
        <w:rPr>
          <w:rStyle w:val="markedcontent"/>
          <w:rFonts w:asciiTheme="minorHAnsi" w:hAnsiTheme="minorHAnsi" w:cstheme="minorHAnsi"/>
          <w:lang w:val="fr-CH"/>
        </w:rPr>
        <w:tab/>
      </w:r>
      <w:r w:rsidR="00C65950">
        <w:rPr>
          <w:rStyle w:val="markedcontent"/>
          <w:rFonts w:asciiTheme="minorHAnsi" w:hAnsiTheme="minorHAnsi" w:cstheme="minorHAnsi"/>
          <w:lang w:val="fr-CH"/>
        </w:rPr>
        <w:t>La campagne du 50</w:t>
      </w:r>
      <w:r w:rsidR="00C65950" w:rsidRPr="00C65950">
        <w:rPr>
          <w:rStyle w:val="markedcontent"/>
          <w:rFonts w:asciiTheme="minorHAnsi" w:hAnsiTheme="minorHAnsi" w:cstheme="minorHAnsi"/>
          <w:vertAlign w:val="superscript"/>
          <w:lang w:val="fr-CH"/>
        </w:rPr>
        <w:t>e</w:t>
      </w:r>
      <w:r w:rsidR="00C65950">
        <w:rPr>
          <w:rStyle w:val="markedcontent"/>
          <w:rFonts w:asciiTheme="minorHAnsi" w:hAnsiTheme="minorHAnsi" w:cstheme="minorHAnsi"/>
          <w:lang w:val="fr-CH"/>
        </w:rPr>
        <w:t xml:space="preserve"> anniversaire a démontré </w:t>
      </w:r>
      <w:r w:rsidR="004C2CD4">
        <w:rPr>
          <w:rStyle w:val="markedcontent"/>
          <w:rFonts w:asciiTheme="minorHAnsi" w:hAnsiTheme="minorHAnsi" w:cstheme="minorHAnsi"/>
          <w:lang w:val="fr-CH"/>
        </w:rPr>
        <w:t xml:space="preserve">un engagement </w:t>
      </w:r>
      <w:r w:rsidR="00D8562F">
        <w:rPr>
          <w:rStyle w:val="markedcontent"/>
          <w:rFonts w:asciiTheme="minorHAnsi" w:hAnsiTheme="minorHAnsi" w:cstheme="minorHAnsi"/>
          <w:lang w:val="fr-CH"/>
        </w:rPr>
        <w:t xml:space="preserve">mondial </w:t>
      </w:r>
      <w:r w:rsidR="004C2CD4">
        <w:rPr>
          <w:rStyle w:val="markedcontent"/>
          <w:rFonts w:asciiTheme="minorHAnsi" w:hAnsiTheme="minorHAnsi" w:cstheme="minorHAnsi"/>
          <w:lang w:val="fr-CH"/>
        </w:rPr>
        <w:t>fort mais l</w:t>
      </w:r>
      <w:r w:rsidR="00D8562F">
        <w:rPr>
          <w:rStyle w:val="markedcontent"/>
          <w:rFonts w:asciiTheme="minorHAnsi" w:hAnsiTheme="minorHAnsi" w:cstheme="minorHAnsi"/>
          <w:lang w:val="fr-CH"/>
        </w:rPr>
        <w:t>’</w:t>
      </w:r>
      <w:r w:rsidR="004C2CD4">
        <w:rPr>
          <w:rStyle w:val="markedcontent"/>
          <w:rFonts w:asciiTheme="minorHAnsi" w:hAnsiTheme="minorHAnsi" w:cstheme="minorHAnsi"/>
          <w:lang w:val="fr-CH"/>
        </w:rPr>
        <w:t>analyse apport</w:t>
      </w:r>
      <w:r w:rsidR="00D8562F">
        <w:rPr>
          <w:rStyle w:val="markedcontent"/>
          <w:rFonts w:asciiTheme="minorHAnsi" w:hAnsiTheme="minorHAnsi" w:cstheme="minorHAnsi"/>
          <w:lang w:val="fr-CH"/>
        </w:rPr>
        <w:t>e</w:t>
      </w:r>
      <w:r w:rsidR="004C2CD4">
        <w:rPr>
          <w:rStyle w:val="markedcontent"/>
          <w:rFonts w:asciiTheme="minorHAnsi" w:hAnsiTheme="minorHAnsi" w:cstheme="minorHAnsi"/>
          <w:lang w:val="fr-CH"/>
        </w:rPr>
        <w:t xml:space="preserve"> quelques </w:t>
      </w:r>
      <w:r w:rsidR="00D8562F">
        <w:rPr>
          <w:rStyle w:val="markedcontent"/>
          <w:rFonts w:asciiTheme="minorHAnsi" w:hAnsiTheme="minorHAnsi" w:cstheme="minorHAnsi"/>
          <w:lang w:val="fr-CH"/>
        </w:rPr>
        <w:t xml:space="preserve">voies </w:t>
      </w:r>
      <w:r w:rsidR="004C2CD4">
        <w:rPr>
          <w:rStyle w:val="markedcontent"/>
          <w:rFonts w:asciiTheme="minorHAnsi" w:hAnsiTheme="minorHAnsi" w:cstheme="minorHAnsi"/>
          <w:lang w:val="fr-CH"/>
        </w:rPr>
        <w:t xml:space="preserve">de réflexion pour des campagnes futures sur les réseaux sociaux. Il y a eu une corrélation positive entre l’utilisation du </w:t>
      </w:r>
      <w:r w:rsidRPr="00A7195C">
        <w:rPr>
          <w:rStyle w:val="markedcontent"/>
          <w:rFonts w:asciiTheme="minorHAnsi" w:hAnsiTheme="minorHAnsi" w:cstheme="minorHAnsi"/>
          <w:lang w:val="fr-CH"/>
        </w:rPr>
        <w:t xml:space="preserve">hashtag </w:t>
      </w:r>
      <w:r w:rsidR="004C2CD4">
        <w:rPr>
          <w:rStyle w:val="markedcontent"/>
          <w:rFonts w:asciiTheme="minorHAnsi" w:hAnsiTheme="minorHAnsi" w:cstheme="minorHAnsi"/>
          <w:lang w:val="fr-CH"/>
        </w:rPr>
        <w:t xml:space="preserve">et les événements importants, par exemple, les journées internationales. De même, une augmentation positive de l’engagement a été constatée lorsque les sujets sur les zones humides avaient trait à la biodiversité et à l’action pour le climat. </w:t>
      </w:r>
      <w:r w:rsidRPr="00A7195C">
        <w:rPr>
          <w:rStyle w:val="markedcontent"/>
          <w:rFonts w:asciiTheme="minorHAnsi" w:hAnsiTheme="minorHAnsi" w:cstheme="minorHAnsi"/>
          <w:lang w:val="fr-CH"/>
        </w:rPr>
        <w:t>Li</w:t>
      </w:r>
      <w:r w:rsidR="00196F78">
        <w:rPr>
          <w:rStyle w:val="markedcontent"/>
          <w:rFonts w:asciiTheme="minorHAnsi" w:hAnsiTheme="minorHAnsi" w:cstheme="minorHAnsi"/>
          <w:lang w:val="fr-CH"/>
        </w:rPr>
        <w:t xml:space="preserve">er la conversation sur les zones humides à ce genre d’événements ou à d’autres thèmes d’importance mondiale </w:t>
      </w:r>
      <w:r w:rsidR="00D8562F">
        <w:rPr>
          <w:rStyle w:val="markedcontent"/>
          <w:rFonts w:asciiTheme="minorHAnsi" w:hAnsiTheme="minorHAnsi" w:cstheme="minorHAnsi"/>
          <w:lang w:val="fr-CH"/>
        </w:rPr>
        <w:t>améliore l’</w:t>
      </w:r>
      <w:r w:rsidR="00196F78">
        <w:rPr>
          <w:rStyle w:val="markedcontent"/>
          <w:rFonts w:asciiTheme="minorHAnsi" w:hAnsiTheme="minorHAnsi" w:cstheme="minorHAnsi"/>
          <w:lang w:val="fr-CH"/>
        </w:rPr>
        <w:t xml:space="preserve">exposition </w:t>
      </w:r>
      <w:r w:rsidR="00F6656D">
        <w:rPr>
          <w:rStyle w:val="markedcontent"/>
          <w:rFonts w:asciiTheme="minorHAnsi" w:hAnsiTheme="minorHAnsi" w:cstheme="minorHAnsi"/>
          <w:lang w:val="fr-CH"/>
        </w:rPr>
        <w:t>en ligne et, partant, l’exposition en général et l’</w:t>
      </w:r>
      <w:r w:rsidR="00196F78">
        <w:rPr>
          <w:rStyle w:val="markedcontent"/>
          <w:rFonts w:asciiTheme="minorHAnsi" w:hAnsiTheme="minorHAnsi" w:cstheme="minorHAnsi"/>
          <w:lang w:val="fr-CH"/>
        </w:rPr>
        <w:t>influence.</w:t>
      </w:r>
      <w:r w:rsidRPr="00A7195C">
        <w:rPr>
          <w:rStyle w:val="markedcontent"/>
          <w:rFonts w:asciiTheme="minorHAnsi" w:hAnsiTheme="minorHAnsi" w:cstheme="minorHAnsi"/>
          <w:lang w:val="fr-CH"/>
        </w:rPr>
        <w:t xml:space="preserve"> </w:t>
      </w:r>
    </w:p>
    <w:p w14:paraId="574301DF" w14:textId="264ED124" w:rsidR="00F072B8" w:rsidRPr="00A7195C" w:rsidRDefault="00F072B8" w:rsidP="00FE5F2C">
      <w:pPr>
        <w:ind w:left="426" w:hanging="426"/>
        <w:rPr>
          <w:rFonts w:asciiTheme="minorHAnsi" w:eastAsiaTheme="minorEastAsia" w:hAnsiTheme="minorHAnsi" w:cstheme="minorHAnsi"/>
          <w:lang w:val="fr-CH"/>
        </w:rPr>
      </w:pPr>
    </w:p>
    <w:sectPr w:rsidR="00F072B8" w:rsidRPr="00A7195C"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4AFCB" w14:textId="77777777" w:rsidR="00883275" w:rsidRDefault="00883275" w:rsidP="00DF2386">
      <w:r>
        <w:separator/>
      </w:r>
    </w:p>
  </w:endnote>
  <w:endnote w:type="continuationSeparator" w:id="0">
    <w:p w14:paraId="19FB8025" w14:textId="77777777" w:rsidR="00883275" w:rsidRDefault="00883275" w:rsidP="00DF2386">
      <w:r>
        <w:continuationSeparator/>
      </w:r>
    </w:p>
  </w:endnote>
  <w:endnote w:type="continuationNotice" w:id="1">
    <w:p w14:paraId="39161964" w14:textId="77777777" w:rsidR="00883275" w:rsidRDefault="00883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D3E7" w14:textId="762553EF" w:rsidR="006C39DB" w:rsidRDefault="006C39DB" w:rsidP="002137E0">
    <w:pPr>
      <w:pStyle w:val="Header"/>
      <w:rPr>
        <w:noProof/>
      </w:rPr>
    </w:pPr>
    <w:r>
      <w:rPr>
        <w:sz w:val="20"/>
        <w:szCs w:val="20"/>
      </w:rPr>
      <w:t>SC59</w:t>
    </w:r>
    <w:r w:rsidR="00FE5F2C">
      <w:rPr>
        <w:sz w:val="20"/>
        <w:szCs w:val="20"/>
      </w:rPr>
      <w:t>/2022</w:t>
    </w:r>
    <w:r>
      <w:rPr>
        <w:sz w:val="20"/>
        <w:szCs w:val="20"/>
      </w:rPr>
      <w:t xml:space="preserve"> Doc.20.2</w:t>
    </w:r>
    <w:r>
      <w:tab/>
    </w:r>
    <w:r>
      <w:tab/>
    </w:r>
    <w:sdt>
      <w:sdtPr>
        <w:id w:val="-1790969534"/>
        <w:docPartObj>
          <w:docPartGallery w:val="Page Numbers (Top of Page)"/>
          <w:docPartUnique/>
        </w:docPartObj>
      </w:sdtPr>
      <w:sdtEndPr>
        <w:rPr>
          <w:noProof/>
        </w:rPr>
      </w:sdtEndPr>
      <w:sdtContent>
        <w:r w:rsidR="00C80FCC" w:rsidRPr="00F344DE">
          <w:rPr>
            <w:sz w:val="20"/>
            <w:szCs w:val="20"/>
          </w:rPr>
          <w:fldChar w:fldCharType="begin"/>
        </w:r>
        <w:r w:rsidRPr="00F344DE">
          <w:rPr>
            <w:sz w:val="20"/>
            <w:szCs w:val="20"/>
          </w:rPr>
          <w:instrText xml:space="preserve"> PAGE   \* MERGEFORMAT </w:instrText>
        </w:r>
        <w:r w:rsidR="00C80FCC" w:rsidRPr="00F344DE">
          <w:rPr>
            <w:sz w:val="20"/>
            <w:szCs w:val="20"/>
          </w:rPr>
          <w:fldChar w:fldCharType="separate"/>
        </w:r>
        <w:r w:rsidR="00F15257">
          <w:rPr>
            <w:noProof/>
            <w:sz w:val="20"/>
            <w:szCs w:val="20"/>
          </w:rPr>
          <w:t>2</w:t>
        </w:r>
        <w:r w:rsidR="00C80FCC"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A2506" w14:textId="77777777" w:rsidR="00883275" w:rsidRDefault="00883275" w:rsidP="00DF2386">
      <w:r>
        <w:separator/>
      </w:r>
    </w:p>
  </w:footnote>
  <w:footnote w:type="continuationSeparator" w:id="0">
    <w:p w14:paraId="5CE85666" w14:textId="77777777" w:rsidR="00883275" w:rsidRDefault="00883275" w:rsidP="00DF2386">
      <w:r>
        <w:continuationSeparator/>
      </w:r>
    </w:p>
  </w:footnote>
  <w:footnote w:type="continuationNotice" w:id="1">
    <w:p w14:paraId="46AD53BB" w14:textId="77777777" w:rsidR="00883275" w:rsidRDefault="008832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4536" w14:textId="77777777" w:rsidR="006C39DB" w:rsidRDefault="006C39DB">
    <w:pPr>
      <w:pStyle w:val="Header"/>
    </w:pPr>
  </w:p>
  <w:p w14:paraId="4B0FED7A" w14:textId="77777777" w:rsidR="006C39DB" w:rsidRDefault="006C3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A962581"/>
    <w:multiLevelType w:val="hybridMultilevel"/>
    <w:tmpl w:val="131C587E"/>
    <w:lvl w:ilvl="0" w:tplc="EDC2CC10">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2"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4"/>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16"/>
  </w:num>
  <w:num w:numId="14">
    <w:abstractNumId w:val="11"/>
  </w:num>
  <w:num w:numId="15">
    <w:abstractNumId w:val="2"/>
  </w:num>
  <w:num w:numId="16">
    <w:abstractNumId w:val="13"/>
  </w:num>
  <w:num w:numId="17">
    <w:abstractNumId w:val="19"/>
  </w:num>
  <w:num w:numId="18">
    <w:abstractNumId w:val="27"/>
  </w:num>
  <w:num w:numId="19">
    <w:abstractNumId w:val="26"/>
  </w:num>
  <w:num w:numId="20">
    <w:abstractNumId w:val="21"/>
  </w:num>
  <w:num w:numId="21">
    <w:abstractNumId w:val="23"/>
  </w:num>
  <w:num w:numId="22">
    <w:abstractNumId w:val="14"/>
  </w:num>
  <w:num w:numId="23">
    <w:abstractNumId w:val="20"/>
  </w:num>
  <w:num w:numId="24">
    <w:abstractNumId w:val="17"/>
  </w:num>
  <w:num w:numId="25">
    <w:abstractNumId w:val="25"/>
  </w:num>
  <w:num w:numId="26">
    <w:abstractNumId w:val="8"/>
  </w:num>
  <w:num w:numId="27">
    <w:abstractNumId w:val="0"/>
  </w:num>
  <w:num w:numId="28">
    <w:abstractNumId w:val="10"/>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06FCB"/>
    <w:rsid w:val="00014168"/>
    <w:rsid w:val="00017A16"/>
    <w:rsid w:val="00026E09"/>
    <w:rsid w:val="00037CE0"/>
    <w:rsid w:val="00045F20"/>
    <w:rsid w:val="00051576"/>
    <w:rsid w:val="00053929"/>
    <w:rsid w:val="000614C0"/>
    <w:rsid w:val="000615D0"/>
    <w:rsid w:val="000632EF"/>
    <w:rsid w:val="00063B4F"/>
    <w:rsid w:val="00074DE8"/>
    <w:rsid w:val="0007627B"/>
    <w:rsid w:val="00090116"/>
    <w:rsid w:val="00093BAF"/>
    <w:rsid w:val="00095ABE"/>
    <w:rsid w:val="000A3E3E"/>
    <w:rsid w:val="000C2489"/>
    <w:rsid w:val="000D3C25"/>
    <w:rsid w:val="000D5C76"/>
    <w:rsid w:val="000D5DC3"/>
    <w:rsid w:val="000E2FA0"/>
    <w:rsid w:val="000E47E9"/>
    <w:rsid w:val="000F0072"/>
    <w:rsid w:val="00111606"/>
    <w:rsid w:val="00112169"/>
    <w:rsid w:val="0012096C"/>
    <w:rsid w:val="00126579"/>
    <w:rsid w:val="00127828"/>
    <w:rsid w:val="00127A5C"/>
    <w:rsid w:val="00130D0C"/>
    <w:rsid w:val="00131F9C"/>
    <w:rsid w:val="00153798"/>
    <w:rsid w:val="00161BDA"/>
    <w:rsid w:val="00166FCC"/>
    <w:rsid w:val="00171618"/>
    <w:rsid w:val="00174AEE"/>
    <w:rsid w:val="001819B1"/>
    <w:rsid w:val="00181AD4"/>
    <w:rsid w:val="00182B85"/>
    <w:rsid w:val="00196F78"/>
    <w:rsid w:val="001A2D10"/>
    <w:rsid w:val="001A7008"/>
    <w:rsid w:val="001B4C07"/>
    <w:rsid w:val="001C15BA"/>
    <w:rsid w:val="001C23A0"/>
    <w:rsid w:val="001C5E41"/>
    <w:rsid w:val="001C77BC"/>
    <w:rsid w:val="001D14C9"/>
    <w:rsid w:val="001D48BB"/>
    <w:rsid w:val="001E00E3"/>
    <w:rsid w:val="001E3692"/>
    <w:rsid w:val="001E629B"/>
    <w:rsid w:val="001E7601"/>
    <w:rsid w:val="001F2349"/>
    <w:rsid w:val="001F760D"/>
    <w:rsid w:val="002005D2"/>
    <w:rsid w:val="00201A2B"/>
    <w:rsid w:val="00201A56"/>
    <w:rsid w:val="0020298B"/>
    <w:rsid w:val="00206111"/>
    <w:rsid w:val="00206F0A"/>
    <w:rsid w:val="002137E0"/>
    <w:rsid w:val="00241BF6"/>
    <w:rsid w:val="00250FB8"/>
    <w:rsid w:val="002720DA"/>
    <w:rsid w:val="002731FB"/>
    <w:rsid w:val="002741AC"/>
    <w:rsid w:val="002759DA"/>
    <w:rsid w:val="00275F13"/>
    <w:rsid w:val="00280324"/>
    <w:rsid w:val="002819C0"/>
    <w:rsid w:val="002943D5"/>
    <w:rsid w:val="00295556"/>
    <w:rsid w:val="00295BB5"/>
    <w:rsid w:val="002966B9"/>
    <w:rsid w:val="002A0AFD"/>
    <w:rsid w:val="002A5A4D"/>
    <w:rsid w:val="002B4262"/>
    <w:rsid w:val="002D5A4D"/>
    <w:rsid w:val="002E22AF"/>
    <w:rsid w:val="002E2BC9"/>
    <w:rsid w:val="002F2256"/>
    <w:rsid w:val="002F2957"/>
    <w:rsid w:val="002F6155"/>
    <w:rsid w:val="00324398"/>
    <w:rsid w:val="0034332D"/>
    <w:rsid w:val="00343EBB"/>
    <w:rsid w:val="00360139"/>
    <w:rsid w:val="00363AED"/>
    <w:rsid w:val="003673BE"/>
    <w:rsid w:val="00377B29"/>
    <w:rsid w:val="00384FC3"/>
    <w:rsid w:val="00391A51"/>
    <w:rsid w:val="003A2C58"/>
    <w:rsid w:val="003A3804"/>
    <w:rsid w:val="003A52BE"/>
    <w:rsid w:val="003A5866"/>
    <w:rsid w:val="003A6E9F"/>
    <w:rsid w:val="003C2D9F"/>
    <w:rsid w:val="003D0815"/>
    <w:rsid w:val="003D4CD6"/>
    <w:rsid w:val="003D5F34"/>
    <w:rsid w:val="003E3FEC"/>
    <w:rsid w:val="003E4CDB"/>
    <w:rsid w:val="004014B3"/>
    <w:rsid w:val="00402288"/>
    <w:rsid w:val="004023D0"/>
    <w:rsid w:val="004154C8"/>
    <w:rsid w:val="00421A37"/>
    <w:rsid w:val="004228C7"/>
    <w:rsid w:val="0042798B"/>
    <w:rsid w:val="00434913"/>
    <w:rsid w:val="004474F8"/>
    <w:rsid w:val="00450FA1"/>
    <w:rsid w:val="00453C83"/>
    <w:rsid w:val="00455D52"/>
    <w:rsid w:val="00457374"/>
    <w:rsid w:val="00460718"/>
    <w:rsid w:val="00463134"/>
    <w:rsid w:val="00466837"/>
    <w:rsid w:val="00477550"/>
    <w:rsid w:val="004844A8"/>
    <w:rsid w:val="00496803"/>
    <w:rsid w:val="00496CAA"/>
    <w:rsid w:val="00497784"/>
    <w:rsid w:val="004A0E0D"/>
    <w:rsid w:val="004A4C1E"/>
    <w:rsid w:val="004B6688"/>
    <w:rsid w:val="004C22AA"/>
    <w:rsid w:val="004C2B34"/>
    <w:rsid w:val="004C2CD4"/>
    <w:rsid w:val="004D186C"/>
    <w:rsid w:val="004D743F"/>
    <w:rsid w:val="004F0E78"/>
    <w:rsid w:val="005058F6"/>
    <w:rsid w:val="00507C5E"/>
    <w:rsid w:val="005244A4"/>
    <w:rsid w:val="00527783"/>
    <w:rsid w:val="00540C0F"/>
    <w:rsid w:val="005540F2"/>
    <w:rsid w:val="00570000"/>
    <w:rsid w:val="00571DC1"/>
    <w:rsid w:val="0057737D"/>
    <w:rsid w:val="005814B5"/>
    <w:rsid w:val="005827BA"/>
    <w:rsid w:val="00591BF3"/>
    <w:rsid w:val="005A4634"/>
    <w:rsid w:val="005A5AA9"/>
    <w:rsid w:val="005B6953"/>
    <w:rsid w:val="005D1EB1"/>
    <w:rsid w:val="005D3E9D"/>
    <w:rsid w:val="005F332B"/>
    <w:rsid w:val="006038B9"/>
    <w:rsid w:val="0060600F"/>
    <w:rsid w:val="00622232"/>
    <w:rsid w:val="006256D3"/>
    <w:rsid w:val="00627BB7"/>
    <w:rsid w:val="00634027"/>
    <w:rsid w:val="00644A13"/>
    <w:rsid w:val="0065136E"/>
    <w:rsid w:val="00651C6B"/>
    <w:rsid w:val="006546E5"/>
    <w:rsid w:val="00655753"/>
    <w:rsid w:val="0066082B"/>
    <w:rsid w:val="00670D71"/>
    <w:rsid w:val="00672AD5"/>
    <w:rsid w:val="00673F47"/>
    <w:rsid w:val="00685F74"/>
    <w:rsid w:val="00686388"/>
    <w:rsid w:val="00692597"/>
    <w:rsid w:val="006A4912"/>
    <w:rsid w:val="006A4CAF"/>
    <w:rsid w:val="006B7FDD"/>
    <w:rsid w:val="006C3539"/>
    <w:rsid w:val="006C39DB"/>
    <w:rsid w:val="006E2030"/>
    <w:rsid w:val="006E7DCE"/>
    <w:rsid w:val="007050FF"/>
    <w:rsid w:val="00714489"/>
    <w:rsid w:val="00722002"/>
    <w:rsid w:val="00734842"/>
    <w:rsid w:val="00740B9C"/>
    <w:rsid w:val="00752764"/>
    <w:rsid w:val="00764DFE"/>
    <w:rsid w:val="00766962"/>
    <w:rsid w:val="0076716E"/>
    <w:rsid w:val="00771096"/>
    <w:rsid w:val="0077161C"/>
    <w:rsid w:val="00771AAB"/>
    <w:rsid w:val="00775287"/>
    <w:rsid w:val="0078438B"/>
    <w:rsid w:val="007861E0"/>
    <w:rsid w:val="00794E75"/>
    <w:rsid w:val="007C33CF"/>
    <w:rsid w:val="007C6929"/>
    <w:rsid w:val="007D33F4"/>
    <w:rsid w:val="007E009B"/>
    <w:rsid w:val="007F3ABE"/>
    <w:rsid w:val="007F6A19"/>
    <w:rsid w:val="008071A6"/>
    <w:rsid w:val="008156D7"/>
    <w:rsid w:val="0082700E"/>
    <w:rsid w:val="008328E9"/>
    <w:rsid w:val="00835BCB"/>
    <w:rsid w:val="00835CDC"/>
    <w:rsid w:val="00850B09"/>
    <w:rsid w:val="00863B9D"/>
    <w:rsid w:val="00863BE6"/>
    <w:rsid w:val="008774EE"/>
    <w:rsid w:val="008775BC"/>
    <w:rsid w:val="00882F1B"/>
    <w:rsid w:val="00883275"/>
    <w:rsid w:val="00885664"/>
    <w:rsid w:val="00887FBC"/>
    <w:rsid w:val="0089249E"/>
    <w:rsid w:val="00894AD3"/>
    <w:rsid w:val="008A13D8"/>
    <w:rsid w:val="008A70CE"/>
    <w:rsid w:val="008B34F6"/>
    <w:rsid w:val="008C25E4"/>
    <w:rsid w:val="008C2D09"/>
    <w:rsid w:val="008C2DAE"/>
    <w:rsid w:val="008D0E8E"/>
    <w:rsid w:val="008D6B70"/>
    <w:rsid w:val="008E13AF"/>
    <w:rsid w:val="008E5608"/>
    <w:rsid w:val="008E5B28"/>
    <w:rsid w:val="008E74BA"/>
    <w:rsid w:val="009059A9"/>
    <w:rsid w:val="00905FB6"/>
    <w:rsid w:val="00912ACA"/>
    <w:rsid w:val="009146C5"/>
    <w:rsid w:val="00920C84"/>
    <w:rsid w:val="0092515E"/>
    <w:rsid w:val="00942FBD"/>
    <w:rsid w:val="0094770B"/>
    <w:rsid w:val="00991C14"/>
    <w:rsid w:val="009925EE"/>
    <w:rsid w:val="009A2687"/>
    <w:rsid w:val="009A4D09"/>
    <w:rsid w:val="009B059F"/>
    <w:rsid w:val="009B2267"/>
    <w:rsid w:val="009C1B9D"/>
    <w:rsid w:val="009C5FF4"/>
    <w:rsid w:val="009D6326"/>
    <w:rsid w:val="009D66CB"/>
    <w:rsid w:val="009E0AE8"/>
    <w:rsid w:val="009E5374"/>
    <w:rsid w:val="009F345D"/>
    <w:rsid w:val="009F7CA3"/>
    <w:rsid w:val="00A04197"/>
    <w:rsid w:val="00A0703F"/>
    <w:rsid w:val="00A13218"/>
    <w:rsid w:val="00A1520C"/>
    <w:rsid w:val="00A227A3"/>
    <w:rsid w:val="00A23E41"/>
    <w:rsid w:val="00A27C37"/>
    <w:rsid w:val="00A53343"/>
    <w:rsid w:val="00A60B73"/>
    <w:rsid w:val="00A71155"/>
    <w:rsid w:val="00A7195C"/>
    <w:rsid w:val="00A80080"/>
    <w:rsid w:val="00A8278C"/>
    <w:rsid w:val="00A85280"/>
    <w:rsid w:val="00AA018F"/>
    <w:rsid w:val="00AB4507"/>
    <w:rsid w:val="00AB4951"/>
    <w:rsid w:val="00B03812"/>
    <w:rsid w:val="00B06576"/>
    <w:rsid w:val="00B158A7"/>
    <w:rsid w:val="00B17E22"/>
    <w:rsid w:val="00B208A8"/>
    <w:rsid w:val="00B23E61"/>
    <w:rsid w:val="00B315A0"/>
    <w:rsid w:val="00B34A18"/>
    <w:rsid w:val="00B468CE"/>
    <w:rsid w:val="00B52BD3"/>
    <w:rsid w:val="00B5573B"/>
    <w:rsid w:val="00B579CB"/>
    <w:rsid w:val="00B626CD"/>
    <w:rsid w:val="00B70083"/>
    <w:rsid w:val="00B80BF6"/>
    <w:rsid w:val="00B83EF9"/>
    <w:rsid w:val="00B863C3"/>
    <w:rsid w:val="00B954CB"/>
    <w:rsid w:val="00BA76D3"/>
    <w:rsid w:val="00BB0BD0"/>
    <w:rsid w:val="00BB1F70"/>
    <w:rsid w:val="00BB28F6"/>
    <w:rsid w:val="00BC2609"/>
    <w:rsid w:val="00C0528F"/>
    <w:rsid w:val="00C13145"/>
    <w:rsid w:val="00C24A10"/>
    <w:rsid w:val="00C24ADA"/>
    <w:rsid w:val="00C4597B"/>
    <w:rsid w:val="00C653BE"/>
    <w:rsid w:val="00C65950"/>
    <w:rsid w:val="00C80FCC"/>
    <w:rsid w:val="00C847C9"/>
    <w:rsid w:val="00C97243"/>
    <w:rsid w:val="00CE750F"/>
    <w:rsid w:val="00CF4D40"/>
    <w:rsid w:val="00CF5EFD"/>
    <w:rsid w:val="00D160CB"/>
    <w:rsid w:val="00D218D5"/>
    <w:rsid w:val="00D245A1"/>
    <w:rsid w:val="00D36003"/>
    <w:rsid w:val="00D37268"/>
    <w:rsid w:val="00D415E2"/>
    <w:rsid w:val="00D42055"/>
    <w:rsid w:val="00D60FA4"/>
    <w:rsid w:val="00D647C3"/>
    <w:rsid w:val="00D8562F"/>
    <w:rsid w:val="00D85807"/>
    <w:rsid w:val="00D9633A"/>
    <w:rsid w:val="00DE4854"/>
    <w:rsid w:val="00DF2386"/>
    <w:rsid w:val="00DF4EE1"/>
    <w:rsid w:val="00DF5584"/>
    <w:rsid w:val="00DF7FE7"/>
    <w:rsid w:val="00E1698D"/>
    <w:rsid w:val="00E20F30"/>
    <w:rsid w:val="00E377B4"/>
    <w:rsid w:val="00E46367"/>
    <w:rsid w:val="00E509F6"/>
    <w:rsid w:val="00E52881"/>
    <w:rsid w:val="00E57C84"/>
    <w:rsid w:val="00E61BAD"/>
    <w:rsid w:val="00E63F0B"/>
    <w:rsid w:val="00E86EA4"/>
    <w:rsid w:val="00E93296"/>
    <w:rsid w:val="00E97027"/>
    <w:rsid w:val="00EA3A7F"/>
    <w:rsid w:val="00EB4C26"/>
    <w:rsid w:val="00EB63D8"/>
    <w:rsid w:val="00EC0D5E"/>
    <w:rsid w:val="00EC3218"/>
    <w:rsid w:val="00ED4A36"/>
    <w:rsid w:val="00ED7B44"/>
    <w:rsid w:val="00F05B0E"/>
    <w:rsid w:val="00F072B8"/>
    <w:rsid w:val="00F078F1"/>
    <w:rsid w:val="00F10CE8"/>
    <w:rsid w:val="00F15257"/>
    <w:rsid w:val="00F32D03"/>
    <w:rsid w:val="00F344DE"/>
    <w:rsid w:val="00F367D2"/>
    <w:rsid w:val="00F45F67"/>
    <w:rsid w:val="00F55820"/>
    <w:rsid w:val="00F61F4E"/>
    <w:rsid w:val="00F6656D"/>
    <w:rsid w:val="00F73E71"/>
    <w:rsid w:val="00F74156"/>
    <w:rsid w:val="00F90E1E"/>
    <w:rsid w:val="00F919AE"/>
    <w:rsid w:val="00F94B02"/>
    <w:rsid w:val="00FA720B"/>
    <w:rsid w:val="00FC349F"/>
    <w:rsid w:val="00FE4F5F"/>
    <w:rsid w:val="00FE5F2C"/>
    <w:rsid w:val="00FE6F3B"/>
    <w:rsid w:val="00FE7D64"/>
    <w:rsid w:val="00FF44C8"/>
    <w:rsid w:val="00FF7D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E8EAD"/>
  <w15:docId w15:val="{0D561A5C-36F2-4EDA-9098-E9F051D3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FollowedHyperlink">
    <w:name w:val="FollowedHyperlink"/>
    <w:basedOn w:val="DefaultParagraphFont"/>
    <w:uiPriority w:val="99"/>
    <w:semiHidden/>
    <w:unhideWhenUsed/>
    <w:rsid w:val="00885664"/>
    <w:rPr>
      <w:color w:val="800080" w:themeColor="followedHyperlink"/>
      <w:u w:val="single"/>
    </w:rPr>
  </w:style>
  <w:style w:type="character" w:customStyle="1" w:styleId="markedcontent">
    <w:name w:val="markedcontent"/>
    <w:basedOn w:val="DefaultParagraphFont"/>
    <w:rsid w:val="00A2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2976">
      <w:bodyDiv w:val="1"/>
      <w:marLeft w:val="0"/>
      <w:marRight w:val="0"/>
      <w:marTop w:val="0"/>
      <w:marBottom w:val="0"/>
      <w:divBdr>
        <w:top w:val="none" w:sz="0" w:space="0" w:color="auto"/>
        <w:left w:val="none" w:sz="0" w:space="0" w:color="auto"/>
        <w:bottom w:val="none" w:sz="0" w:space="0" w:color="auto"/>
        <w:right w:val="none" w:sz="0" w:space="0" w:color="auto"/>
      </w:divBdr>
    </w:div>
    <w:div w:id="20244823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99989470">
      <w:bodyDiv w:val="1"/>
      <w:marLeft w:val="0"/>
      <w:marRight w:val="0"/>
      <w:marTop w:val="0"/>
      <w:marBottom w:val="0"/>
      <w:divBdr>
        <w:top w:val="none" w:sz="0" w:space="0" w:color="auto"/>
        <w:left w:val="none" w:sz="0" w:space="0" w:color="auto"/>
        <w:bottom w:val="none" w:sz="0" w:space="0" w:color="auto"/>
        <w:right w:val="none" w:sz="0" w:space="0" w:color="auto"/>
      </w:divBdr>
    </w:div>
    <w:div w:id="578322217">
      <w:bodyDiv w:val="1"/>
      <w:marLeft w:val="0"/>
      <w:marRight w:val="0"/>
      <w:marTop w:val="0"/>
      <w:marBottom w:val="0"/>
      <w:divBdr>
        <w:top w:val="none" w:sz="0" w:space="0" w:color="auto"/>
        <w:left w:val="none" w:sz="0" w:space="0" w:color="auto"/>
        <w:bottom w:val="none" w:sz="0" w:space="0" w:color="auto"/>
        <w:right w:val="none" w:sz="0" w:space="0" w:color="auto"/>
      </w:divBdr>
    </w:div>
    <w:div w:id="847140902">
      <w:bodyDiv w:val="1"/>
      <w:marLeft w:val="0"/>
      <w:marRight w:val="0"/>
      <w:marTop w:val="0"/>
      <w:marBottom w:val="0"/>
      <w:divBdr>
        <w:top w:val="none" w:sz="0" w:space="0" w:color="auto"/>
        <w:left w:val="none" w:sz="0" w:space="0" w:color="auto"/>
        <w:bottom w:val="none" w:sz="0" w:space="0" w:color="auto"/>
        <w:right w:val="none" w:sz="0" w:space="0" w:color="auto"/>
      </w:divBdr>
    </w:div>
    <w:div w:id="13821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AD50-9420-48C0-990E-FB91D1804485}">
  <ds:schemaRefs>
    <ds:schemaRef ds:uri="http://purl.org/dc/elements/1.1/"/>
    <ds:schemaRef ds:uri="8c0b6b05-eb82-4bda-97e8-cd82d0d6b453"/>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C66BEA4-BC28-4F2E-8CC0-D31526DC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CC88D-5ED6-4B16-AF14-41EAA2A20C40}">
  <ds:schemaRefs>
    <ds:schemaRef ds:uri="http://schemas.microsoft.com/sharepoint/v3/contenttype/forms"/>
  </ds:schemaRefs>
</ds:datastoreItem>
</file>

<file path=customXml/itemProps4.xml><?xml version="1.0" encoding="utf-8"?>
<ds:datastoreItem xmlns:ds="http://schemas.openxmlformats.org/officeDocument/2006/customXml" ds:itemID="{B11D29DE-B7EA-45F7-8BF2-38316977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7754</Characters>
  <Application>Microsoft Office Word</Application>
  <DocSecurity>4</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2</cp:revision>
  <cp:lastPrinted>2021-06-11T11:58:00Z</cp:lastPrinted>
  <dcterms:created xsi:type="dcterms:W3CDTF">2022-03-01T10:40:00Z</dcterms:created>
  <dcterms:modified xsi:type="dcterms:W3CDTF">2022-03-01T10:40:00Z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