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F578C" w14:textId="59BB0C76" w:rsidR="00043524" w:rsidRPr="00D51377" w:rsidRDefault="00407EE7" w:rsidP="00166AD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3215"/>
        <w:jc w:val="both"/>
        <w:rPr>
          <w:rFonts w:eastAsia="Times New Roman" w:cstheme="minorHAnsi"/>
          <w:bCs/>
          <w:noProof/>
          <w:lang w:val="es-ES" w:eastAsia="en-GB"/>
        </w:rPr>
      </w:pPr>
      <w:r w:rsidRPr="00D51377">
        <w:rPr>
          <w:rFonts w:eastAsia="Times New Roman" w:cstheme="minorHAnsi"/>
          <w:bCs/>
          <w:noProof/>
          <w:lang w:val="es-ES" w:eastAsia="en-GB"/>
        </w:rPr>
        <w:t>LA CONVENCIÓN SOBRE LOS HUMEDALES</w:t>
      </w:r>
    </w:p>
    <w:p w14:paraId="0F3E5447" w14:textId="45006C9E" w:rsidR="00043524" w:rsidRDefault="00043524" w:rsidP="00166AD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3215"/>
        <w:jc w:val="both"/>
        <w:rPr>
          <w:rFonts w:eastAsia="Times New Roman" w:cstheme="minorHAnsi"/>
          <w:bCs/>
          <w:noProof/>
          <w:lang w:val="es-ES" w:eastAsia="en-GB"/>
        </w:rPr>
      </w:pPr>
      <w:r w:rsidRPr="00D51377">
        <w:rPr>
          <w:rFonts w:eastAsia="Times New Roman" w:cstheme="minorHAnsi"/>
          <w:bCs/>
          <w:noProof/>
          <w:lang w:val="es-ES" w:eastAsia="en-GB"/>
        </w:rPr>
        <w:t>59</w:t>
      </w:r>
      <w:r w:rsidR="009E0D92" w:rsidRPr="00D51377">
        <w:rPr>
          <w:rFonts w:cstheme="minorHAnsi"/>
          <w:noProof/>
          <w:lang w:val="es-ES"/>
        </w:rPr>
        <w:t>ª</w:t>
      </w:r>
      <w:r w:rsidRPr="00D51377">
        <w:rPr>
          <w:rFonts w:eastAsia="Times New Roman" w:cstheme="minorHAnsi"/>
          <w:bCs/>
          <w:noProof/>
          <w:lang w:val="es-ES" w:eastAsia="en-GB"/>
        </w:rPr>
        <w:t xml:space="preserve"> </w:t>
      </w:r>
      <w:r w:rsidR="00BC7F37" w:rsidRPr="00D51377">
        <w:rPr>
          <w:rFonts w:eastAsia="Times New Roman" w:cstheme="minorHAnsi"/>
          <w:bCs/>
          <w:noProof/>
          <w:lang w:val="es-ES" w:eastAsia="en-GB"/>
        </w:rPr>
        <w:t>Reunión del Comité Permanente</w:t>
      </w:r>
    </w:p>
    <w:p w14:paraId="3C53C3FD" w14:textId="6BE10F3B" w:rsidR="00EE4CB1" w:rsidRPr="00D51377" w:rsidRDefault="00EE4CB1" w:rsidP="00166AD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3215"/>
        <w:jc w:val="both"/>
        <w:rPr>
          <w:rFonts w:eastAsia="Times New Roman" w:cstheme="minorHAnsi"/>
          <w:bCs/>
          <w:noProof/>
          <w:lang w:val="es-ES" w:eastAsia="en-GB"/>
        </w:rPr>
      </w:pPr>
      <w:r w:rsidRPr="00B74B1A">
        <w:rPr>
          <w:rFonts w:ascii="Calibri" w:hAnsi="Calibri" w:cs="Calibri"/>
          <w:lang w:val="fr-FR"/>
        </w:rPr>
        <w:t>Reanudación de la reunión</w:t>
      </w:r>
    </w:p>
    <w:p w14:paraId="13330370" w14:textId="227642FC" w:rsidR="00043524" w:rsidRPr="00D51377" w:rsidRDefault="00043524" w:rsidP="00166AD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3215"/>
        <w:jc w:val="both"/>
        <w:rPr>
          <w:rFonts w:eastAsia="Times New Roman" w:cstheme="minorHAnsi"/>
          <w:noProof/>
          <w:lang w:val="es-ES" w:eastAsia="en-GB"/>
        </w:rPr>
      </w:pPr>
      <w:r w:rsidRPr="00D51377">
        <w:rPr>
          <w:rFonts w:eastAsia="Times New Roman" w:cstheme="minorHAnsi"/>
          <w:bCs/>
          <w:noProof/>
          <w:lang w:val="es-ES" w:eastAsia="en-GB"/>
        </w:rPr>
        <w:t xml:space="preserve">Gland, </w:t>
      </w:r>
      <w:r w:rsidR="00BC7F37" w:rsidRPr="00D51377">
        <w:rPr>
          <w:rFonts w:eastAsia="Times New Roman" w:cstheme="minorHAnsi"/>
          <w:bCs/>
          <w:noProof/>
          <w:lang w:val="es-ES" w:eastAsia="en-GB"/>
        </w:rPr>
        <w:t>Suiza</w:t>
      </w:r>
      <w:r w:rsidRPr="00D51377">
        <w:rPr>
          <w:rFonts w:eastAsia="Times New Roman" w:cstheme="minorHAnsi"/>
          <w:bCs/>
          <w:noProof/>
          <w:lang w:val="es-ES" w:eastAsia="en-GB"/>
        </w:rPr>
        <w:t>, 2</w:t>
      </w:r>
      <w:r w:rsidR="009757B9" w:rsidRPr="00D51377">
        <w:rPr>
          <w:rFonts w:eastAsia="Times New Roman" w:cstheme="minorHAnsi"/>
          <w:bCs/>
          <w:noProof/>
          <w:lang w:val="es-ES" w:eastAsia="en-GB"/>
        </w:rPr>
        <w:t>3</w:t>
      </w:r>
      <w:r w:rsidR="00BC7F37" w:rsidRPr="00D51377">
        <w:rPr>
          <w:rFonts w:eastAsia="Times New Roman" w:cstheme="minorHAnsi"/>
          <w:bCs/>
          <w:noProof/>
          <w:lang w:val="es-ES" w:eastAsia="en-GB"/>
        </w:rPr>
        <w:t xml:space="preserve"> a </w:t>
      </w:r>
      <w:r w:rsidRPr="00D51377">
        <w:rPr>
          <w:rFonts w:eastAsia="Times New Roman" w:cstheme="minorHAnsi"/>
          <w:bCs/>
          <w:noProof/>
          <w:lang w:val="es-ES" w:eastAsia="en-GB"/>
        </w:rPr>
        <w:t>2</w:t>
      </w:r>
      <w:r w:rsidR="009757B9" w:rsidRPr="00D51377">
        <w:rPr>
          <w:rFonts w:eastAsia="Times New Roman" w:cstheme="minorHAnsi"/>
          <w:bCs/>
          <w:noProof/>
          <w:lang w:val="es-ES" w:eastAsia="en-GB"/>
        </w:rPr>
        <w:t>7</w:t>
      </w:r>
      <w:r w:rsidRPr="00D51377">
        <w:rPr>
          <w:rFonts w:eastAsia="Times New Roman" w:cstheme="minorHAnsi"/>
          <w:bCs/>
          <w:noProof/>
          <w:lang w:val="es-ES" w:eastAsia="en-GB"/>
        </w:rPr>
        <w:t xml:space="preserve"> </w:t>
      </w:r>
      <w:r w:rsidR="00BC7F37" w:rsidRPr="00D51377">
        <w:rPr>
          <w:rFonts w:eastAsia="Times New Roman" w:cstheme="minorHAnsi"/>
          <w:bCs/>
          <w:noProof/>
          <w:lang w:val="es-ES" w:eastAsia="en-GB"/>
        </w:rPr>
        <w:t xml:space="preserve">de mayo de </w:t>
      </w:r>
      <w:r w:rsidRPr="00D51377">
        <w:rPr>
          <w:rFonts w:eastAsia="Times New Roman" w:cstheme="minorHAnsi"/>
          <w:bCs/>
          <w:noProof/>
          <w:lang w:val="es-ES" w:eastAsia="en-GB"/>
        </w:rPr>
        <w:t>202</w:t>
      </w:r>
      <w:r w:rsidR="009757B9" w:rsidRPr="00D51377">
        <w:rPr>
          <w:rFonts w:eastAsia="Times New Roman" w:cstheme="minorHAnsi"/>
          <w:bCs/>
          <w:noProof/>
          <w:lang w:val="es-ES" w:eastAsia="en-GB"/>
        </w:rPr>
        <w:t>2</w:t>
      </w:r>
    </w:p>
    <w:p w14:paraId="271797E3" w14:textId="77777777" w:rsidR="00043524" w:rsidRPr="00D51377" w:rsidRDefault="00043524" w:rsidP="00166ADC">
      <w:pPr>
        <w:spacing w:after="0" w:line="240" w:lineRule="auto"/>
        <w:jc w:val="both"/>
        <w:rPr>
          <w:rFonts w:eastAsia="Times New Roman" w:cstheme="minorHAnsi"/>
          <w:noProof/>
          <w:sz w:val="28"/>
          <w:szCs w:val="28"/>
          <w:lang w:val="es-ES" w:eastAsia="en-GB"/>
        </w:rPr>
      </w:pPr>
    </w:p>
    <w:p w14:paraId="4F2A9BC8" w14:textId="77777777" w:rsidR="00043524" w:rsidRPr="00D51377" w:rsidRDefault="00043524" w:rsidP="00166ADC">
      <w:pPr>
        <w:spacing w:after="0" w:line="240" w:lineRule="auto"/>
        <w:jc w:val="right"/>
        <w:rPr>
          <w:rFonts w:eastAsia="Times New Roman" w:cstheme="minorHAnsi"/>
          <w:b/>
          <w:noProof/>
          <w:sz w:val="28"/>
          <w:szCs w:val="28"/>
          <w:lang w:val="es-ES" w:eastAsia="en-GB"/>
        </w:rPr>
      </w:pPr>
      <w:bookmarkStart w:id="0" w:name="_GoBack"/>
      <w:r w:rsidRPr="00D51377">
        <w:rPr>
          <w:rFonts w:eastAsia="Times New Roman" w:cstheme="minorHAnsi"/>
          <w:b/>
          <w:noProof/>
          <w:sz w:val="28"/>
          <w:szCs w:val="28"/>
          <w:lang w:val="es-ES" w:eastAsia="en-GB"/>
        </w:rPr>
        <w:t>SC59</w:t>
      </w:r>
      <w:r w:rsidR="00236658" w:rsidRPr="00D51377">
        <w:rPr>
          <w:rFonts w:eastAsia="Times New Roman" w:cstheme="minorHAnsi"/>
          <w:b/>
          <w:noProof/>
          <w:sz w:val="28"/>
          <w:szCs w:val="28"/>
          <w:lang w:val="es-ES" w:eastAsia="en-GB"/>
        </w:rPr>
        <w:t>/2022</w:t>
      </w:r>
      <w:r w:rsidRPr="00D51377">
        <w:rPr>
          <w:rFonts w:eastAsia="Times New Roman" w:cstheme="minorHAnsi"/>
          <w:b/>
          <w:noProof/>
          <w:sz w:val="28"/>
          <w:szCs w:val="28"/>
          <w:lang w:val="es-ES" w:eastAsia="en-GB"/>
        </w:rPr>
        <w:t xml:space="preserve"> Doc.</w:t>
      </w:r>
      <w:r w:rsidR="004349EE" w:rsidRPr="00D51377">
        <w:rPr>
          <w:rFonts w:eastAsia="Times New Roman" w:cstheme="minorHAnsi"/>
          <w:b/>
          <w:noProof/>
          <w:sz w:val="28"/>
          <w:szCs w:val="28"/>
          <w:lang w:val="es-ES" w:eastAsia="en-GB"/>
        </w:rPr>
        <w:t>14</w:t>
      </w:r>
    </w:p>
    <w:p w14:paraId="30A729F7" w14:textId="77777777" w:rsidR="00043524" w:rsidRPr="00D51377" w:rsidRDefault="00043524" w:rsidP="00166ADC">
      <w:pPr>
        <w:spacing w:after="0" w:line="240" w:lineRule="auto"/>
        <w:jc w:val="right"/>
        <w:rPr>
          <w:rFonts w:eastAsia="Times New Roman" w:cstheme="minorHAnsi"/>
          <w:b/>
          <w:noProof/>
          <w:sz w:val="28"/>
          <w:szCs w:val="28"/>
          <w:lang w:val="es-ES" w:eastAsia="en-GB"/>
        </w:rPr>
      </w:pPr>
    </w:p>
    <w:p w14:paraId="4BB3854E" w14:textId="2ACB94EF" w:rsidR="004434B4" w:rsidRPr="00D51377" w:rsidRDefault="004434B4" w:rsidP="00166A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000000"/>
          <w:sz w:val="28"/>
          <w:szCs w:val="28"/>
          <w:lang w:val="es-ES"/>
        </w:rPr>
      </w:pPr>
      <w:r w:rsidRPr="00D51377">
        <w:rPr>
          <w:rFonts w:cstheme="minorHAnsi"/>
          <w:b/>
          <w:bCs/>
          <w:noProof/>
          <w:color w:val="000000"/>
          <w:sz w:val="28"/>
          <w:szCs w:val="28"/>
          <w:lang w:val="es-ES"/>
        </w:rPr>
        <w:t xml:space="preserve">Informe del Grupo de </w:t>
      </w:r>
      <w:r w:rsidR="00BB6240" w:rsidRPr="00D51377">
        <w:rPr>
          <w:rFonts w:cstheme="minorHAnsi"/>
          <w:b/>
          <w:bCs/>
          <w:noProof/>
          <w:color w:val="000000"/>
          <w:sz w:val="28"/>
          <w:szCs w:val="28"/>
          <w:lang w:val="es-ES"/>
        </w:rPr>
        <w:t>t</w:t>
      </w:r>
      <w:r w:rsidRPr="00D51377">
        <w:rPr>
          <w:rFonts w:cstheme="minorHAnsi"/>
          <w:b/>
          <w:bCs/>
          <w:noProof/>
          <w:color w:val="000000"/>
          <w:sz w:val="28"/>
          <w:szCs w:val="28"/>
          <w:lang w:val="es-ES"/>
        </w:rPr>
        <w:t>rabajo sobre la condición de observador</w:t>
      </w:r>
    </w:p>
    <w:bookmarkEnd w:id="0"/>
    <w:p w14:paraId="129E5A3D" w14:textId="77777777" w:rsidR="00043524" w:rsidRPr="00D51377" w:rsidRDefault="00043524" w:rsidP="00166ADC">
      <w:pPr>
        <w:spacing w:after="0" w:line="240" w:lineRule="auto"/>
        <w:jc w:val="both"/>
        <w:rPr>
          <w:rFonts w:eastAsia="Times New Roman" w:cstheme="minorHAnsi"/>
          <w:b/>
          <w:noProof/>
          <w:sz w:val="28"/>
          <w:szCs w:val="28"/>
          <w:lang w:val="es-ES" w:eastAsia="en-GB"/>
        </w:rPr>
      </w:pPr>
    </w:p>
    <w:p w14:paraId="5FF881FE" w14:textId="77777777" w:rsidR="00043524" w:rsidRPr="00D51377" w:rsidRDefault="00043524" w:rsidP="00166AD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  <w:noProof/>
          <w:lang w:val="es-ES"/>
        </w:rPr>
      </w:pPr>
      <w:r w:rsidRPr="00D51377">
        <w:rPr>
          <w:rFonts w:eastAsia="Times New Roman" w:cstheme="minorHAnsi"/>
          <w:noProof/>
          <w:lang w:eastAsia="en-GB"/>
        </w:rPr>
        <mc:AlternateContent>
          <mc:Choice Requires="wps">
            <w:drawing>
              <wp:inline distT="0" distB="0" distL="0" distR="0" wp14:anchorId="6DF585DE" wp14:editId="015D8351">
                <wp:extent cx="5854535" cy="1731364"/>
                <wp:effectExtent l="0" t="0" r="13335" b="889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535" cy="1731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0D3E1" w14:textId="23242DB3" w:rsidR="00043524" w:rsidRPr="004D789F" w:rsidRDefault="00043524" w:rsidP="007D79AF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lang w:val="es-ES"/>
                              </w:rPr>
                            </w:pPr>
                            <w:r w:rsidRPr="004D789F"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lang w:val="es-ES"/>
                              </w:rPr>
                              <w:t>Action</w:t>
                            </w:r>
                            <w:r w:rsidR="004434B4" w:rsidRPr="004D789F"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lang w:val="es-ES"/>
                              </w:rPr>
                              <w:t>es</w:t>
                            </w:r>
                            <w:r w:rsidRPr="004D789F"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="004434B4" w:rsidRPr="004D789F"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lang w:val="es-ES"/>
                              </w:rPr>
                              <w:t>solicitadas</w:t>
                            </w:r>
                            <w:r w:rsidRPr="004D789F"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lang w:val="es-ES"/>
                              </w:rPr>
                              <w:t>:</w:t>
                            </w:r>
                          </w:p>
                          <w:p w14:paraId="72288E32" w14:textId="77777777" w:rsidR="007B3592" w:rsidRPr="004D789F" w:rsidRDefault="007B3592" w:rsidP="007D79AF">
                            <w:pPr>
                              <w:spacing w:after="0" w:line="240" w:lineRule="auto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01F5C8F9" w14:textId="77777777" w:rsidR="004434B4" w:rsidRPr="004D789F" w:rsidRDefault="004434B4" w:rsidP="004434B4">
                            <w:pPr>
                              <w:spacing w:after="0" w:line="240" w:lineRule="auto"/>
                              <w:rPr>
                                <w:noProof/>
                                <w:lang w:val="es-ES"/>
                              </w:rPr>
                            </w:pPr>
                            <w:r w:rsidRPr="004D789F">
                              <w:rPr>
                                <w:noProof/>
                                <w:lang w:val="es-ES"/>
                              </w:rPr>
                              <w:t xml:space="preserve">Se invita al Comité Permanente a hacer lo siguiente: </w:t>
                            </w:r>
                          </w:p>
                          <w:p w14:paraId="4D2BB91F" w14:textId="77777777" w:rsidR="004434B4" w:rsidRPr="004D789F" w:rsidRDefault="004434B4" w:rsidP="004434B4">
                            <w:pPr>
                              <w:spacing w:after="0" w:line="240" w:lineRule="auto"/>
                              <w:ind w:left="425" w:hanging="425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2169AABD" w14:textId="6FFE7E9B" w:rsidR="004434B4" w:rsidRPr="004D789F" w:rsidRDefault="004434B4" w:rsidP="004434B4">
                            <w:pPr>
                              <w:spacing w:after="0" w:line="240" w:lineRule="auto"/>
                              <w:ind w:left="425" w:hanging="425"/>
                              <w:rPr>
                                <w:noProof/>
                                <w:lang w:val="es-ES"/>
                              </w:rPr>
                            </w:pPr>
                            <w:r w:rsidRPr="004D789F">
                              <w:rPr>
                                <w:noProof/>
                                <w:lang w:val="es-ES"/>
                              </w:rPr>
                              <w:t>i.</w:t>
                            </w:r>
                            <w:r w:rsidRPr="004D789F">
                              <w:rPr>
                                <w:noProof/>
                                <w:lang w:val="es-ES"/>
                              </w:rPr>
                              <w:tab/>
                              <w:t>tomar nota del progreso de la labor del Grupo de trabajo sobre la condición de observador, de conformidad con el mandato del Comité Permanente; y</w:t>
                            </w:r>
                          </w:p>
                          <w:p w14:paraId="114C0396" w14:textId="77777777" w:rsidR="004434B4" w:rsidRPr="004D789F" w:rsidRDefault="004434B4" w:rsidP="004434B4">
                            <w:pPr>
                              <w:spacing w:after="0" w:line="240" w:lineRule="auto"/>
                              <w:ind w:left="425" w:hanging="425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22C6C922" w14:textId="7357EA15" w:rsidR="004434B4" w:rsidRPr="004D789F" w:rsidRDefault="004434B4" w:rsidP="004434B4">
                            <w:pPr>
                              <w:spacing w:after="0" w:line="240" w:lineRule="auto"/>
                              <w:ind w:left="425" w:hanging="425"/>
                              <w:rPr>
                                <w:noProof/>
                                <w:lang w:val="es-ES"/>
                              </w:rPr>
                            </w:pPr>
                            <w:r w:rsidRPr="004D789F">
                              <w:rPr>
                                <w:noProof/>
                                <w:lang w:val="es-ES"/>
                              </w:rPr>
                              <w:t xml:space="preserve">ii. </w:t>
                            </w:r>
                            <w:r w:rsidRPr="004D789F">
                              <w:rPr>
                                <w:noProof/>
                                <w:lang w:val="es-ES"/>
                              </w:rPr>
                              <w:tab/>
                              <w:t xml:space="preserve">analizar y acordar los </w:t>
                            </w:r>
                            <w:r w:rsidR="004D789F" w:rsidRPr="004D789F">
                              <w:rPr>
                                <w:noProof/>
                                <w:lang w:val="es-ES"/>
                              </w:rPr>
                              <w:t xml:space="preserve">próximos </w:t>
                            </w:r>
                            <w:r w:rsidRPr="004D789F">
                              <w:rPr>
                                <w:noProof/>
                                <w:lang w:val="es-ES"/>
                              </w:rPr>
                              <w:t xml:space="preserve">pasos </w:t>
                            </w:r>
                            <w:r w:rsidR="001E1DC6">
                              <w:rPr>
                                <w:noProof/>
                                <w:lang w:val="es-ES"/>
                              </w:rPr>
                              <w:t>en los asuntos</w:t>
                            </w:r>
                            <w:r w:rsidR="004D789F" w:rsidRPr="004D789F">
                              <w:rPr>
                                <w:noProof/>
                                <w:lang w:val="es-ES"/>
                              </w:rPr>
                              <w:t xml:space="preserve"> relacionad</w:t>
                            </w:r>
                            <w:r w:rsidR="001E1DC6">
                              <w:rPr>
                                <w:noProof/>
                                <w:lang w:val="es-ES"/>
                              </w:rPr>
                              <w:t>o</w:t>
                            </w:r>
                            <w:r w:rsidR="004D789F" w:rsidRPr="004D789F">
                              <w:rPr>
                                <w:noProof/>
                                <w:lang w:val="es-ES"/>
                              </w:rPr>
                              <w:t>s</w:t>
                            </w:r>
                            <w:r w:rsidRPr="004D789F">
                              <w:rPr>
                                <w:noProof/>
                                <w:lang w:val="es-ES"/>
                              </w:rPr>
                              <w:t xml:space="preserve"> con la condición de observador</w:t>
                            </w:r>
                            <w:r w:rsidR="004D789F" w:rsidRPr="004D789F">
                              <w:rPr>
                                <w:noProof/>
                                <w:lang w:val="es-ES"/>
                              </w:rPr>
                              <w:t>,</w:t>
                            </w:r>
                            <w:r w:rsidRPr="004D789F">
                              <w:rPr>
                                <w:noProof/>
                                <w:lang w:val="es-ES"/>
                              </w:rPr>
                              <w:t xml:space="preserve"> teniendo en cuenta las </w:t>
                            </w:r>
                            <w:r w:rsidR="008D3A93">
                              <w:rPr>
                                <w:noProof/>
                                <w:lang w:val="es-ES"/>
                              </w:rPr>
                              <w:t>consideraciones</w:t>
                            </w:r>
                            <w:r w:rsidR="001E1DC6" w:rsidRPr="004D789F">
                              <w:rPr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4D789F">
                              <w:rPr>
                                <w:noProof/>
                                <w:lang w:val="es-ES"/>
                              </w:rPr>
                              <w:t>del grupo de trabajo.</w:t>
                            </w:r>
                          </w:p>
                          <w:p w14:paraId="7BCF9497" w14:textId="77777777" w:rsidR="007D79AF" w:rsidRPr="004D789F" w:rsidRDefault="007D79AF" w:rsidP="007D79AF">
                            <w:pPr>
                              <w:spacing w:after="0" w:line="240" w:lineRule="auto"/>
                              <w:ind w:left="425" w:hanging="425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45C86D84" w14:textId="52107A9C" w:rsidR="0031116C" w:rsidRPr="004D789F" w:rsidRDefault="0031116C" w:rsidP="007D79AF">
                            <w:pPr>
                              <w:spacing w:after="0" w:line="240" w:lineRule="auto"/>
                              <w:ind w:left="425" w:hanging="425"/>
                              <w:rPr>
                                <w:rFonts w:cs="Garamond"/>
                                <w:noProof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F585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1pt;height:1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">
                <v:textbox>
                  <w:txbxContent>
                    <w:p w14:paraId="2910D3E1" w14:textId="23242DB3" w:rsidR="00043524" w:rsidRPr="004D789F" w:rsidRDefault="00043524" w:rsidP="007D79AF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noProof/>
                          <w:lang w:val="es-ES"/>
                        </w:rPr>
                      </w:pPr>
                      <w:r w:rsidRPr="004D789F">
                        <w:rPr>
                          <w:rFonts w:ascii="Calibri" w:hAnsi="Calibri"/>
                          <w:b/>
                          <w:bCs/>
                          <w:noProof/>
                          <w:lang w:val="es-ES"/>
                        </w:rPr>
                        <w:t>Action</w:t>
                      </w:r>
                      <w:r w:rsidR="004434B4" w:rsidRPr="004D789F">
                        <w:rPr>
                          <w:rFonts w:ascii="Calibri" w:hAnsi="Calibri"/>
                          <w:b/>
                          <w:bCs/>
                          <w:noProof/>
                          <w:lang w:val="es-ES"/>
                        </w:rPr>
                        <w:t>es</w:t>
                      </w:r>
                      <w:r w:rsidRPr="004D789F">
                        <w:rPr>
                          <w:rFonts w:ascii="Calibri" w:hAnsi="Calibri"/>
                          <w:b/>
                          <w:bCs/>
                          <w:noProof/>
                          <w:lang w:val="es-ES"/>
                        </w:rPr>
                        <w:t xml:space="preserve"> </w:t>
                      </w:r>
                      <w:r w:rsidR="004434B4" w:rsidRPr="004D789F">
                        <w:rPr>
                          <w:rFonts w:ascii="Calibri" w:hAnsi="Calibri"/>
                          <w:b/>
                          <w:bCs/>
                          <w:noProof/>
                          <w:lang w:val="es-ES"/>
                        </w:rPr>
                        <w:t>solicitadas</w:t>
                      </w:r>
                      <w:r w:rsidRPr="004D789F">
                        <w:rPr>
                          <w:rFonts w:ascii="Calibri" w:hAnsi="Calibri"/>
                          <w:b/>
                          <w:bCs/>
                          <w:noProof/>
                          <w:lang w:val="es-ES"/>
                        </w:rPr>
                        <w:t>:</w:t>
                      </w:r>
                    </w:p>
                    <w:p w14:paraId="72288E32" w14:textId="77777777" w:rsidR="007B3592" w:rsidRPr="004D789F" w:rsidRDefault="007B3592" w:rsidP="007D79AF">
                      <w:pPr>
                        <w:spacing w:after="0" w:line="240" w:lineRule="auto"/>
                        <w:rPr>
                          <w:noProof/>
                          <w:lang w:val="es-ES"/>
                        </w:rPr>
                      </w:pPr>
                    </w:p>
                    <w:p w14:paraId="01F5C8F9" w14:textId="77777777" w:rsidR="004434B4" w:rsidRPr="004D789F" w:rsidRDefault="004434B4" w:rsidP="004434B4">
                      <w:pPr>
                        <w:spacing w:after="0" w:line="240" w:lineRule="auto"/>
                        <w:rPr>
                          <w:noProof/>
                          <w:lang w:val="es-ES"/>
                        </w:rPr>
                      </w:pPr>
                      <w:r w:rsidRPr="004D789F">
                        <w:rPr>
                          <w:noProof/>
                          <w:lang w:val="es-ES"/>
                        </w:rPr>
                        <w:t xml:space="preserve">Se invita al Comité Permanente a hacer lo siguiente: </w:t>
                      </w:r>
                    </w:p>
                    <w:p w14:paraId="4D2BB91F" w14:textId="77777777" w:rsidR="004434B4" w:rsidRPr="004D789F" w:rsidRDefault="004434B4" w:rsidP="004434B4">
                      <w:pPr>
                        <w:spacing w:after="0" w:line="240" w:lineRule="auto"/>
                        <w:ind w:left="425" w:hanging="425"/>
                        <w:rPr>
                          <w:noProof/>
                          <w:lang w:val="es-ES"/>
                        </w:rPr>
                      </w:pPr>
                    </w:p>
                    <w:p w14:paraId="2169AABD" w14:textId="6FFE7E9B" w:rsidR="004434B4" w:rsidRPr="004D789F" w:rsidRDefault="004434B4" w:rsidP="004434B4">
                      <w:pPr>
                        <w:spacing w:after="0" w:line="240" w:lineRule="auto"/>
                        <w:ind w:left="425" w:hanging="425"/>
                        <w:rPr>
                          <w:noProof/>
                          <w:lang w:val="es-ES"/>
                        </w:rPr>
                      </w:pPr>
                      <w:r w:rsidRPr="004D789F">
                        <w:rPr>
                          <w:noProof/>
                          <w:lang w:val="es-ES"/>
                        </w:rPr>
                        <w:t>i.</w:t>
                      </w:r>
                      <w:r w:rsidRPr="004D789F">
                        <w:rPr>
                          <w:noProof/>
                          <w:lang w:val="es-ES"/>
                        </w:rPr>
                        <w:tab/>
                        <w:t>tomar nota del progreso de la labor del Grupo de trabajo sobre la condición de observador, de conformidad con el mandato del Comité Permanente; y</w:t>
                      </w:r>
                    </w:p>
                    <w:p w14:paraId="114C0396" w14:textId="77777777" w:rsidR="004434B4" w:rsidRPr="004D789F" w:rsidRDefault="004434B4" w:rsidP="004434B4">
                      <w:pPr>
                        <w:spacing w:after="0" w:line="240" w:lineRule="auto"/>
                        <w:ind w:left="425" w:hanging="425"/>
                        <w:rPr>
                          <w:noProof/>
                          <w:lang w:val="es-ES"/>
                        </w:rPr>
                      </w:pPr>
                    </w:p>
                    <w:p w14:paraId="22C6C922" w14:textId="7357EA15" w:rsidR="004434B4" w:rsidRPr="004D789F" w:rsidRDefault="004434B4" w:rsidP="004434B4">
                      <w:pPr>
                        <w:spacing w:after="0" w:line="240" w:lineRule="auto"/>
                        <w:ind w:left="425" w:hanging="425"/>
                        <w:rPr>
                          <w:noProof/>
                          <w:lang w:val="es-ES"/>
                        </w:rPr>
                      </w:pPr>
                      <w:r w:rsidRPr="004D789F">
                        <w:rPr>
                          <w:noProof/>
                          <w:lang w:val="es-ES"/>
                        </w:rPr>
                        <w:t xml:space="preserve">ii. </w:t>
                      </w:r>
                      <w:r w:rsidRPr="004D789F">
                        <w:rPr>
                          <w:noProof/>
                          <w:lang w:val="es-ES"/>
                        </w:rPr>
                        <w:tab/>
                        <w:t xml:space="preserve">analizar y acordar los </w:t>
                      </w:r>
                      <w:r w:rsidR="004D789F" w:rsidRPr="004D789F">
                        <w:rPr>
                          <w:noProof/>
                          <w:lang w:val="es-ES"/>
                        </w:rPr>
                        <w:t xml:space="preserve">próximos </w:t>
                      </w:r>
                      <w:r w:rsidRPr="004D789F">
                        <w:rPr>
                          <w:noProof/>
                          <w:lang w:val="es-ES"/>
                        </w:rPr>
                        <w:t xml:space="preserve">pasos </w:t>
                      </w:r>
                      <w:r w:rsidR="001E1DC6">
                        <w:rPr>
                          <w:noProof/>
                          <w:lang w:val="es-ES"/>
                        </w:rPr>
                        <w:t>en los asuntos</w:t>
                      </w:r>
                      <w:r w:rsidR="004D789F" w:rsidRPr="004D789F">
                        <w:rPr>
                          <w:noProof/>
                          <w:lang w:val="es-ES"/>
                        </w:rPr>
                        <w:t xml:space="preserve"> relacionad</w:t>
                      </w:r>
                      <w:r w:rsidR="001E1DC6">
                        <w:rPr>
                          <w:noProof/>
                          <w:lang w:val="es-ES"/>
                        </w:rPr>
                        <w:t>o</w:t>
                      </w:r>
                      <w:r w:rsidR="004D789F" w:rsidRPr="004D789F">
                        <w:rPr>
                          <w:noProof/>
                          <w:lang w:val="es-ES"/>
                        </w:rPr>
                        <w:t>s</w:t>
                      </w:r>
                      <w:r w:rsidRPr="004D789F">
                        <w:rPr>
                          <w:noProof/>
                          <w:lang w:val="es-ES"/>
                        </w:rPr>
                        <w:t xml:space="preserve"> con la condición de observador</w:t>
                      </w:r>
                      <w:r w:rsidR="004D789F" w:rsidRPr="004D789F">
                        <w:rPr>
                          <w:noProof/>
                          <w:lang w:val="es-ES"/>
                        </w:rPr>
                        <w:t>,</w:t>
                      </w:r>
                      <w:r w:rsidRPr="004D789F">
                        <w:rPr>
                          <w:noProof/>
                          <w:lang w:val="es-ES"/>
                        </w:rPr>
                        <w:t xml:space="preserve"> teniendo en cuenta las </w:t>
                      </w:r>
                      <w:r w:rsidR="008D3A93">
                        <w:rPr>
                          <w:noProof/>
                          <w:lang w:val="es-ES"/>
                        </w:rPr>
                        <w:t>consideraciones</w:t>
                      </w:r>
                      <w:r w:rsidR="001E1DC6" w:rsidRPr="004D789F">
                        <w:rPr>
                          <w:noProof/>
                          <w:lang w:val="es-ES"/>
                        </w:rPr>
                        <w:t xml:space="preserve"> </w:t>
                      </w:r>
                      <w:r w:rsidRPr="004D789F">
                        <w:rPr>
                          <w:noProof/>
                          <w:lang w:val="es-ES"/>
                        </w:rPr>
                        <w:t>del grupo de trabajo.</w:t>
                      </w:r>
                    </w:p>
                    <w:p w14:paraId="7BCF9497" w14:textId="77777777" w:rsidR="007D79AF" w:rsidRPr="004D789F" w:rsidRDefault="007D79AF" w:rsidP="007D79AF">
                      <w:pPr>
                        <w:spacing w:after="0" w:line="240" w:lineRule="auto"/>
                        <w:ind w:left="425" w:hanging="425"/>
                        <w:rPr>
                          <w:noProof/>
                          <w:lang w:val="es-ES"/>
                        </w:rPr>
                      </w:pPr>
                    </w:p>
                    <w:p w14:paraId="45C86D84" w14:textId="52107A9C" w:rsidR="0031116C" w:rsidRPr="004D789F" w:rsidRDefault="0031116C" w:rsidP="007D79AF">
                      <w:pPr>
                        <w:spacing w:after="0" w:line="240" w:lineRule="auto"/>
                        <w:ind w:left="425" w:hanging="425"/>
                        <w:rPr>
                          <w:rFonts w:cs="Garamond"/>
                          <w:noProof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9FD114" w14:textId="0B85E2EF" w:rsidR="00043524" w:rsidRDefault="00043524" w:rsidP="00166ADC">
      <w:pPr>
        <w:spacing w:after="0" w:line="240" w:lineRule="auto"/>
        <w:rPr>
          <w:rFonts w:cstheme="minorHAnsi"/>
          <w:noProof/>
          <w:lang w:val="es-ES"/>
        </w:rPr>
      </w:pPr>
    </w:p>
    <w:p w14:paraId="2A5F9682" w14:textId="77777777" w:rsidR="00EE4CB1" w:rsidRPr="00D51377" w:rsidRDefault="00EE4CB1" w:rsidP="00166ADC">
      <w:pPr>
        <w:spacing w:after="0" w:line="240" w:lineRule="auto"/>
        <w:rPr>
          <w:rFonts w:cstheme="minorHAnsi"/>
          <w:noProof/>
          <w:lang w:val="es-ES"/>
        </w:rPr>
      </w:pPr>
    </w:p>
    <w:p w14:paraId="77B6C188" w14:textId="77777777" w:rsidR="004D789F" w:rsidRPr="00D51377" w:rsidRDefault="004D789F" w:rsidP="004D789F">
      <w:pPr>
        <w:spacing w:after="0" w:line="240" w:lineRule="auto"/>
        <w:rPr>
          <w:rFonts w:cstheme="minorHAnsi"/>
          <w:b/>
          <w:bCs/>
          <w:noProof/>
          <w:lang w:val="es-ES"/>
        </w:rPr>
      </w:pPr>
      <w:r w:rsidRPr="00D51377">
        <w:rPr>
          <w:rFonts w:cstheme="minorHAnsi"/>
          <w:b/>
          <w:bCs/>
          <w:noProof/>
          <w:lang w:val="es-ES"/>
        </w:rPr>
        <w:t>Antecedentes</w:t>
      </w:r>
    </w:p>
    <w:p w14:paraId="392B68CE" w14:textId="77777777" w:rsidR="004D789F" w:rsidRPr="00D51377" w:rsidRDefault="004D789F" w:rsidP="004D789F">
      <w:pPr>
        <w:spacing w:after="0" w:line="240" w:lineRule="auto"/>
        <w:rPr>
          <w:rFonts w:cstheme="minorHAnsi"/>
          <w:noProof/>
          <w:lang w:val="es-ES"/>
        </w:rPr>
      </w:pPr>
    </w:p>
    <w:p w14:paraId="1D24C402" w14:textId="39095940" w:rsidR="007D79AF" w:rsidRPr="00D51377" w:rsidRDefault="004D789F" w:rsidP="001E1DC6">
      <w:pPr>
        <w:pStyle w:val="ColorfulList-Accent11"/>
        <w:ind w:left="426" w:hanging="426"/>
        <w:contextualSpacing w:val="0"/>
        <w:rPr>
          <w:noProof/>
          <w:lang w:val="es-ES"/>
        </w:rPr>
      </w:pPr>
      <w:r w:rsidRPr="00D51377">
        <w:rPr>
          <w:rFonts w:cstheme="minorHAnsi"/>
          <w:noProof/>
          <w:lang w:val="es-ES"/>
        </w:rPr>
        <w:t>1.</w:t>
      </w:r>
      <w:r w:rsidRPr="00D51377">
        <w:rPr>
          <w:rFonts w:cstheme="minorHAnsi"/>
          <w:noProof/>
          <w:lang w:val="es-ES"/>
        </w:rPr>
        <w:tab/>
      </w:r>
      <w:r w:rsidRPr="00D51377">
        <w:rPr>
          <w:rFonts w:asciiTheme="minorHAnsi" w:hAnsiTheme="minorHAnsi" w:cstheme="minorHAnsi"/>
          <w:noProof/>
          <w:lang w:val="es-ES"/>
        </w:rPr>
        <w:t>En</w:t>
      </w:r>
      <w:r w:rsidRPr="00D51377">
        <w:rPr>
          <w:rFonts w:cstheme="minorHAnsi"/>
          <w:noProof/>
          <w:lang w:val="es-ES"/>
        </w:rPr>
        <w:t xml:space="preserve"> la Decisión SC55-12, </w:t>
      </w:r>
      <w:r w:rsidR="001E1DC6" w:rsidRPr="00D51377">
        <w:rPr>
          <w:noProof/>
          <w:lang w:val="es-ES"/>
        </w:rPr>
        <w:t>e</w:t>
      </w:r>
      <w:r w:rsidR="00724C02" w:rsidRPr="00D51377">
        <w:rPr>
          <w:noProof/>
          <w:lang w:val="es-ES"/>
        </w:rPr>
        <w:t xml:space="preserve">l Comité Permanente encargó a la Secretaría que, con el apoyo de un grupo informal de Partes Contratantes interesadas, presentara una propuesta estructurada </w:t>
      </w:r>
      <w:r w:rsidRPr="00D51377">
        <w:rPr>
          <w:rFonts w:cstheme="minorHAnsi"/>
          <w:noProof/>
          <w:lang w:val="es-ES"/>
        </w:rPr>
        <w:t xml:space="preserve">sobre la posibilidad de que </w:t>
      </w:r>
      <w:r w:rsidR="00724C02" w:rsidRPr="00D51377">
        <w:rPr>
          <w:rFonts w:cstheme="minorHAnsi"/>
          <w:noProof/>
          <w:lang w:val="es-ES"/>
        </w:rPr>
        <w:t>la Convención</w:t>
      </w:r>
      <w:r w:rsidRPr="00D51377">
        <w:rPr>
          <w:rFonts w:cstheme="minorHAnsi"/>
          <w:noProof/>
          <w:lang w:val="es-ES"/>
        </w:rPr>
        <w:t xml:space="preserve"> </w:t>
      </w:r>
      <w:r w:rsidR="001E1DC6" w:rsidRPr="00D51377">
        <w:rPr>
          <w:rFonts w:cstheme="minorHAnsi"/>
          <w:noProof/>
          <w:lang w:val="es-ES"/>
        </w:rPr>
        <w:t>adqui</w:t>
      </w:r>
      <w:r w:rsidR="00037E24" w:rsidRPr="00D51377">
        <w:rPr>
          <w:rFonts w:cstheme="minorHAnsi"/>
          <w:noProof/>
          <w:lang w:val="es-ES"/>
        </w:rPr>
        <w:t>ri</w:t>
      </w:r>
      <w:r w:rsidR="001E1DC6" w:rsidRPr="00D51377">
        <w:rPr>
          <w:rFonts w:cstheme="minorHAnsi"/>
          <w:noProof/>
          <w:lang w:val="es-ES"/>
        </w:rPr>
        <w:t xml:space="preserve">era </w:t>
      </w:r>
      <w:r w:rsidRPr="00D51377">
        <w:rPr>
          <w:rFonts w:cstheme="minorHAnsi"/>
          <w:noProof/>
          <w:lang w:val="es-ES"/>
        </w:rPr>
        <w:t xml:space="preserve">la condición de observador en la Asamblea General de las Naciones Unidas, </w:t>
      </w:r>
      <w:r w:rsidR="00724C02" w:rsidRPr="00D51377">
        <w:rPr>
          <w:noProof/>
          <w:lang w:val="es-ES"/>
        </w:rPr>
        <w:t xml:space="preserve">teniendo en cuenta las diversas opciones, para que fuera examinada en la reunión SC57. </w:t>
      </w:r>
    </w:p>
    <w:p w14:paraId="56575968" w14:textId="77777777" w:rsidR="00401270" w:rsidRPr="00D51377" w:rsidRDefault="00401270" w:rsidP="00724C02">
      <w:pPr>
        <w:pStyle w:val="ColorfulList-Accent11"/>
        <w:ind w:left="0" w:firstLine="0"/>
        <w:contextualSpacing w:val="0"/>
        <w:rPr>
          <w:rFonts w:asciiTheme="minorHAnsi" w:hAnsiTheme="minorHAnsi" w:cstheme="minorHAnsi"/>
          <w:noProof/>
          <w:lang w:val="es-ES"/>
        </w:rPr>
      </w:pPr>
    </w:p>
    <w:p w14:paraId="4C922E32" w14:textId="6C9C2B12" w:rsidR="00724C02" w:rsidRPr="00D51377" w:rsidRDefault="00CF758B" w:rsidP="00166ADC">
      <w:pPr>
        <w:pStyle w:val="ColorfulList-Accent11"/>
        <w:ind w:left="426" w:hanging="426"/>
        <w:contextualSpacing w:val="0"/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>2.</w:t>
      </w:r>
      <w:r w:rsidRPr="00D51377">
        <w:rPr>
          <w:rFonts w:asciiTheme="minorHAnsi" w:hAnsiTheme="minorHAnsi" w:cstheme="minorHAnsi"/>
          <w:noProof/>
          <w:lang w:val="es-ES"/>
        </w:rPr>
        <w:tab/>
      </w:r>
      <w:r w:rsidR="00724C02" w:rsidRPr="00D51377">
        <w:rPr>
          <w:rFonts w:asciiTheme="minorHAnsi" w:hAnsiTheme="minorHAnsi" w:cstheme="minorHAnsi"/>
          <w:noProof/>
          <w:lang w:val="es-ES"/>
        </w:rPr>
        <w:t xml:space="preserve">La Secretaría se puso en contacto con todas las Partes para determinar si </w:t>
      </w:r>
      <w:r w:rsidR="00037E24" w:rsidRPr="00D51377">
        <w:rPr>
          <w:rFonts w:asciiTheme="minorHAnsi" w:hAnsiTheme="minorHAnsi" w:cstheme="minorHAnsi"/>
          <w:noProof/>
          <w:lang w:val="es-ES"/>
        </w:rPr>
        <w:t>alguna tenía interés</w:t>
      </w:r>
      <w:r w:rsidR="00150B09" w:rsidRPr="00D51377">
        <w:rPr>
          <w:rFonts w:asciiTheme="minorHAnsi" w:hAnsiTheme="minorHAnsi" w:cstheme="minorHAnsi"/>
          <w:noProof/>
          <w:lang w:val="es-ES"/>
        </w:rPr>
        <w:t xml:space="preserve"> </w:t>
      </w:r>
      <w:r w:rsidR="00724C02" w:rsidRPr="00D51377">
        <w:rPr>
          <w:rFonts w:asciiTheme="minorHAnsi" w:hAnsiTheme="minorHAnsi" w:cstheme="minorHAnsi"/>
          <w:noProof/>
          <w:lang w:val="es-ES"/>
        </w:rPr>
        <w:t xml:space="preserve">en </w:t>
      </w:r>
      <w:r w:rsidR="00C43C05" w:rsidRPr="00D51377">
        <w:rPr>
          <w:rFonts w:asciiTheme="minorHAnsi" w:hAnsiTheme="minorHAnsi" w:cstheme="minorHAnsi"/>
          <w:noProof/>
          <w:lang w:val="es-ES"/>
        </w:rPr>
        <w:t xml:space="preserve">iniciar </w:t>
      </w:r>
      <w:r w:rsidR="00724C02" w:rsidRPr="00D51377">
        <w:rPr>
          <w:rFonts w:asciiTheme="minorHAnsi" w:hAnsiTheme="minorHAnsi" w:cstheme="minorHAnsi"/>
          <w:noProof/>
          <w:lang w:val="es-ES"/>
        </w:rPr>
        <w:t>el proceso. Como resultado, se convocó un pequeño grupo informal, compuesto por Bolivia (Estado Plurinacional de), el Chad, Colombia, los Estados Unidos de América</w:t>
      </w:r>
      <w:r w:rsidR="000707DB" w:rsidRPr="00D51377">
        <w:rPr>
          <w:rFonts w:asciiTheme="minorHAnsi" w:hAnsiTheme="minorHAnsi" w:cstheme="minorHAnsi"/>
          <w:noProof/>
          <w:lang w:val="es-ES"/>
        </w:rPr>
        <w:t>,</w:t>
      </w:r>
      <w:r w:rsidR="00724C02" w:rsidRPr="00D51377">
        <w:rPr>
          <w:rFonts w:asciiTheme="minorHAnsi" w:hAnsiTheme="minorHAnsi" w:cstheme="minorHAnsi"/>
          <w:noProof/>
          <w:lang w:val="es-ES"/>
        </w:rPr>
        <w:t xml:space="preserve"> Guinea y el Uruguay.</w:t>
      </w:r>
    </w:p>
    <w:p w14:paraId="5F224C8E" w14:textId="77777777" w:rsidR="00401270" w:rsidRPr="00D51377" w:rsidRDefault="00401270" w:rsidP="00166ADC">
      <w:pPr>
        <w:pStyle w:val="ColorfulList-Accent11"/>
        <w:ind w:left="426" w:hanging="426"/>
        <w:contextualSpacing w:val="0"/>
        <w:rPr>
          <w:rFonts w:asciiTheme="minorHAnsi" w:hAnsiTheme="minorHAnsi" w:cstheme="minorHAnsi"/>
          <w:noProof/>
          <w:lang w:val="es-ES"/>
        </w:rPr>
      </w:pPr>
    </w:p>
    <w:p w14:paraId="4C7C7B79" w14:textId="673EEA77" w:rsidR="000707DB" w:rsidRPr="00D51377" w:rsidRDefault="00CF758B" w:rsidP="00166ADC">
      <w:pPr>
        <w:pStyle w:val="ColorfulList-Accent11"/>
        <w:ind w:left="426" w:hanging="426"/>
        <w:contextualSpacing w:val="0"/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>3.</w:t>
      </w:r>
      <w:r w:rsidRPr="00D51377">
        <w:rPr>
          <w:rFonts w:asciiTheme="minorHAnsi" w:hAnsiTheme="minorHAnsi" w:cstheme="minorHAnsi"/>
          <w:noProof/>
          <w:lang w:val="es-ES"/>
        </w:rPr>
        <w:tab/>
      </w:r>
      <w:r w:rsidR="000707DB" w:rsidRPr="00D51377">
        <w:rPr>
          <w:rFonts w:asciiTheme="minorHAnsi" w:hAnsiTheme="minorHAnsi" w:cstheme="minorHAnsi"/>
          <w:noProof/>
          <w:lang w:val="es-ES"/>
        </w:rPr>
        <w:t xml:space="preserve">Bolivia (Estado Plurinacional de) presentó el informe del grupo informal en la reunión SC57, con tres recomendaciones </w:t>
      </w:r>
      <w:r w:rsidR="00150B09" w:rsidRPr="00D51377">
        <w:rPr>
          <w:rFonts w:asciiTheme="minorHAnsi" w:hAnsiTheme="minorHAnsi" w:cstheme="minorHAnsi"/>
          <w:noProof/>
          <w:lang w:val="es-ES"/>
        </w:rPr>
        <w:t xml:space="preserve">que se sometieron a </w:t>
      </w:r>
      <w:r w:rsidR="000707DB" w:rsidRPr="00D51377">
        <w:rPr>
          <w:rFonts w:asciiTheme="minorHAnsi" w:hAnsiTheme="minorHAnsi" w:cstheme="minorHAnsi"/>
          <w:noProof/>
          <w:lang w:val="es-ES"/>
        </w:rPr>
        <w:t xml:space="preserve">la consideración del Comité Permanente sobre el </w:t>
      </w:r>
      <w:r w:rsidR="00DE7DE2" w:rsidRPr="00D51377">
        <w:rPr>
          <w:rFonts w:asciiTheme="minorHAnsi" w:hAnsiTheme="minorHAnsi" w:cstheme="minorHAnsi"/>
          <w:noProof/>
          <w:lang w:val="es-ES"/>
        </w:rPr>
        <w:t xml:space="preserve">camino </w:t>
      </w:r>
      <w:r w:rsidR="000707DB" w:rsidRPr="00D51377">
        <w:rPr>
          <w:rFonts w:asciiTheme="minorHAnsi" w:hAnsiTheme="minorHAnsi" w:cstheme="minorHAnsi"/>
          <w:noProof/>
          <w:lang w:val="es-ES"/>
        </w:rPr>
        <w:t>a seguir en relación con la condición de observador.</w:t>
      </w:r>
    </w:p>
    <w:p w14:paraId="438EE0F0" w14:textId="77777777" w:rsidR="00401270" w:rsidRPr="00D51377" w:rsidRDefault="00401270" w:rsidP="00166ADC">
      <w:pPr>
        <w:pStyle w:val="ColorfulList-Accent11"/>
        <w:ind w:left="426" w:hanging="426"/>
        <w:contextualSpacing w:val="0"/>
        <w:rPr>
          <w:rFonts w:asciiTheme="minorHAnsi" w:hAnsiTheme="minorHAnsi" w:cstheme="minorHAnsi"/>
          <w:noProof/>
          <w:lang w:val="es-ES"/>
        </w:rPr>
      </w:pPr>
    </w:p>
    <w:p w14:paraId="59B426C0" w14:textId="0AA41CCC" w:rsidR="000707DB" w:rsidRPr="00D51377" w:rsidRDefault="00CF758B" w:rsidP="00166ADC">
      <w:pPr>
        <w:pStyle w:val="ColorfulList-Accent11"/>
        <w:ind w:left="426" w:hanging="426"/>
        <w:contextualSpacing w:val="0"/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>4.</w:t>
      </w:r>
      <w:r w:rsidRPr="00D51377">
        <w:rPr>
          <w:rFonts w:asciiTheme="minorHAnsi" w:hAnsiTheme="minorHAnsi" w:cstheme="minorHAnsi"/>
          <w:noProof/>
          <w:lang w:val="es-ES"/>
        </w:rPr>
        <w:tab/>
      </w:r>
      <w:r w:rsidR="00DE7DE2" w:rsidRPr="00D51377">
        <w:rPr>
          <w:rFonts w:asciiTheme="minorHAnsi" w:hAnsiTheme="minorHAnsi" w:cstheme="minorHAnsi"/>
          <w:noProof/>
          <w:lang w:val="es-ES"/>
        </w:rPr>
        <w:t xml:space="preserve">Mediante la Decisión SC57-14, el </w:t>
      </w:r>
      <w:r w:rsidR="000707DB" w:rsidRPr="00D51377">
        <w:rPr>
          <w:rFonts w:asciiTheme="minorHAnsi" w:hAnsiTheme="minorHAnsi" w:cstheme="minorHAnsi"/>
          <w:noProof/>
          <w:lang w:val="es-ES"/>
        </w:rPr>
        <w:t>Comité Permanente</w:t>
      </w:r>
      <w:r w:rsidR="00DE7DE2" w:rsidRPr="00D51377">
        <w:rPr>
          <w:rFonts w:asciiTheme="minorHAnsi" w:hAnsiTheme="minorHAnsi" w:cstheme="minorHAnsi"/>
          <w:noProof/>
          <w:lang w:val="es-ES"/>
        </w:rPr>
        <w:t xml:space="preserve"> </w:t>
      </w:r>
      <w:r w:rsidR="000707DB" w:rsidRPr="00D51377">
        <w:rPr>
          <w:rFonts w:asciiTheme="minorHAnsi" w:hAnsiTheme="minorHAnsi" w:cstheme="minorHAnsi"/>
          <w:noProof/>
          <w:lang w:val="es-ES"/>
        </w:rPr>
        <w:t xml:space="preserve">acordó </w:t>
      </w:r>
      <w:r w:rsidR="00DE7DE2" w:rsidRPr="00D51377">
        <w:rPr>
          <w:rFonts w:asciiTheme="minorHAnsi" w:hAnsiTheme="minorHAnsi" w:cstheme="minorHAnsi"/>
          <w:noProof/>
          <w:lang w:val="es-ES"/>
        </w:rPr>
        <w:t>el camino a seguir</w:t>
      </w:r>
      <w:r w:rsidR="000707DB" w:rsidRPr="00D51377">
        <w:rPr>
          <w:rFonts w:asciiTheme="minorHAnsi" w:hAnsiTheme="minorHAnsi" w:cstheme="minorHAnsi"/>
          <w:noProof/>
          <w:lang w:val="es-ES"/>
        </w:rPr>
        <w:t xml:space="preserve"> </w:t>
      </w:r>
      <w:r w:rsidR="00150B09" w:rsidRPr="00D51377">
        <w:rPr>
          <w:rFonts w:asciiTheme="minorHAnsi" w:hAnsiTheme="minorHAnsi" w:cstheme="minorHAnsi"/>
          <w:noProof/>
          <w:lang w:val="es-ES"/>
        </w:rPr>
        <w:t xml:space="preserve">respecto a </w:t>
      </w:r>
      <w:r w:rsidR="000707DB" w:rsidRPr="00D51377">
        <w:rPr>
          <w:rFonts w:asciiTheme="minorHAnsi" w:hAnsiTheme="minorHAnsi" w:cstheme="minorHAnsi"/>
          <w:noProof/>
          <w:lang w:val="es-ES"/>
        </w:rPr>
        <w:t>la condición de observador</w:t>
      </w:r>
      <w:r w:rsidR="00150B09" w:rsidRPr="00D51377">
        <w:rPr>
          <w:rFonts w:asciiTheme="minorHAnsi" w:hAnsiTheme="minorHAnsi" w:cstheme="minorHAnsi"/>
          <w:noProof/>
          <w:lang w:val="es-ES"/>
        </w:rPr>
        <w:t>, como sigue</w:t>
      </w:r>
      <w:r w:rsidR="000707DB" w:rsidRPr="00D51377">
        <w:rPr>
          <w:rFonts w:asciiTheme="minorHAnsi" w:hAnsiTheme="minorHAnsi" w:cstheme="minorHAnsi"/>
          <w:noProof/>
          <w:lang w:val="es-ES"/>
        </w:rPr>
        <w:t>:</w:t>
      </w:r>
    </w:p>
    <w:p w14:paraId="5F7AC0F1" w14:textId="77777777" w:rsidR="007916F1" w:rsidRPr="00D51377" w:rsidRDefault="007916F1" w:rsidP="00166ADC">
      <w:pPr>
        <w:pStyle w:val="ColorfulList-Accent11"/>
        <w:ind w:left="0" w:firstLine="0"/>
        <w:contextualSpacing w:val="0"/>
        <w:rPr>
          <w:rFonts w:asciiTheme="minorHAnsi" w:hAnsiTheme="minorHAnsi" w:cstheme="minorHAnsi"/>
          <w:noProof/>
          <w:lang w:val="es-ES"/>
        </w:rPr>
      </w:pPr>
    </w:p>
    <w:p w14:paraId="0082A96E" w14:textId="6056004E" w:rsidR="00702E19" w:rsidRPr="00D51377" w:rsidRDefault="00702E19" w:rsidP="00702E19">
      <w:pPr>
        <w:spacing w:after="0" w:line="240" w:lineRule="auto"/>
        <w:ind w:left="851" w:hanging="425"/>
        <w:rPr>
          <w:rFonts w:cstheme="minorHAnsi"/>
          <w:bCs/>
          <w:noProof/>
          <w:lang w:val="es-ES"/>
        </w:rPr>
      </w:pPr>
      <w:r w:rsidRPr="00D51377">
        <w:rPr>
          <w:rFonts w:cstheme="minorHAnsi"/>
          <w:bCs/>
          <w:noProof/>
          <w:lang w:val="es-ES"/>
        </w:rPr>
        <w:t>a.</w:t>
      </w:r>
      <w:r w:rsidRPr="00D51377">
        <w:rPr>
          <w:rFonts w:cstheme="minorHAnsi"/>
          <w:bCs/>
          <w:noProof/>
          <w:lang w:val="es-ES"/>
        </w:rPr>
        <w:tab/>
        <w:t>Aprobación por la reunión SC57 de la continuidad del Grupo de trabajo sobre la condición de observador (anteriormente llamado “grupo informal”) con la inclusión de la Federación de Rusia, México y Suiza;</w:t>
      </w:r>
    </w:p>
    <w:p w14:paraId="5E56A526" w14:textId="77777777" w:rsidR="00702E19" w:rsidRPr="00D51377" w:rsidRDefault="00702E19" w:rsidP="00702E19">
      <w:pPr>
        <w:spacing w:after="0" w:line="240" w:lineRule="auto"/>
        <w:ind w:left="851" w:hanging="425"/>
        <w:rPr>
          <w:rFonts w:cstheme="minorHAnsi"/>
          <w:bCs/>
          <w:noProof/>
          <w:lang w:val="es-ES"/>
        </w:rPr>
      </w:pPr>
    </w:p>
    <w:p w14:paraId="2FAA8C7F" w14:textId="4D155F5F" w:rsidR="00702E19" w:rsidRPr="00D51377" w:rsidRDefault="00702E19" w:rsidP="00702E19">
      <w:pPr>
        <w:spacing w:after="0" w:line="240" w:lineRule="auto"/>
        <w:ind w:left="851" w:hanging="425"/>
        <w:rPr>
          <w:rFonts w:cstheme="minorHAnsi"/>
          <w:bCs/>
          <w:noProof/>
          <w:lang w:val="es-ES"/>
        </w:rPr>
      </w:pPr>
      <w:r w:rsidRPr="00D51377">
        <w:rPr>
          <w:rFonts w:cstheme="minorHAnsi"/>
          <w:bCs/>
          <w:noProof/>
          <w:lang w:val="es-ES"/>
        </w:rPr>
        <w:t>b.</w:t>
      </w:r>
      <w:r w:rsidRPr="00D51377">
        <w:rPr>
          <w:rFonts w:cstheme="minorHAnsi"/>
          <w:bCs/>
          <w:noProof/>
          <w:lang w:val="es-ES"/>
        </w:rPr>
        <w:tab/>
        <w:t xml:space="preserve">Análisis de las diferentes opciones y de otras opciones que aún no se han abordado, entre estas los aportes de la asesora jurídica y los aportes que las Partes </w:t>
      </w:r>
      <w:r w:rsidR="00F6139E" w:rsidRPr="00D51377">
        <w:rPr>
          <w:rFonts w:cstheme="minorHAnsi"/>
          <w:bCs/>
          <w:noProof/>
          <w:lang w:val="es-ES"/>
        </w:rPr>
        <w:t xml:space="preserve">realizaron </w:t>
      </w:r>
      <w:r w:rsidRPr="00D51377">
        <w:rPr>
          <w:rFonts w:cstheme="minorHAnsi"/>
          <w:bCs/>
          <w:noProof/>
          <w:lang w:val="es-ES"/>
        </w:rPr>
        <w:t>durante la reunión;</w:t>
      </w:r>
    </w:p>
    <w:p w14:paraId="519E6F1B" w14:textId="77777777" w:rsidR="00702E19" w:rsidRPr="00D51377" w:rsidRDefault="00702E19" w:rsidP="00702E19">
      <w:pPr>
        <w:spacing w:after="0" w:line="240" w:lineRule="auto"/>
        <w:ind w:left="851" w:hanging="425"/>
        <w:rPr>
          <w:rFonts w:cstheme="minorHAnsi"/>
          <w:bCs/>
          <w:noProof/>
          <w:lang w:val="es-ES"/>
        </w:rPr>
      </w:pPr>
    </w:p>
    <w:p w14:paraId="1C161C79" w14:textId="0713B95E" w:rsidR="00702E19" w:rsidRPr="00D51377" w:rsidRDefault="00702E19" w:rsidP="00702E19">
      <w:pPr>
        <w:spacing w:after="0" w:line="240" w:lineRule="auto"/>
        <w:ind w:left="851" w:hanging="425"/>
        <w:rPr>
          <w:rFonts w:cstheme="minorHAnsi"/>
          <w:bCs/>
          <w:noProof/>
          <w:lang w:val="es-ES"/>
        </w:rPr>
      </w:pPr>
      <w:r w:rsidRPr="00D51377">
        <w:rPr>
          <w:rFonts w:cstheme="minorHAnsi"/>
          <w:bCs/>
          <w:noProof/>
          <w:lang w:val="es-ES"/>
        </w:rPr>
        <w:lastRenderedPageBreak/>
        <w:t>c.</w:t>
      </w:r>
      <w:r w:rsidRPr="00D51377">
        <w:rPr>
          <w:rFonts w:cstheme="minorHAnsi"/>
          <w:bCs/>
          <w:noProof/>
          <w:lang w:val="es-ES"/>
        </w:rPr>
        <w:tab/>
      </w:r>
      <w:r w:rsidR="00150B09" w:rsidRPr="00D51377">
        <w:rPr>
          <w:rFonts w:cstheme="minorHAnsi"/>
          <w:bCs/>
          <w:noProof/>
          <w:lang w:val="es-ES"/>
        </w:rPr>
        <w:t>A</w:t>
      </w:r>
      <w:r w:rsidRPr="00D51377">
        <w:rPr>
          <w:rFonts w:cstheme="minorHAnsi"/>
          <w:bCs/>
          <w:noProof/>
          <w:lang w:val="es-ES"/>
        </w:rPr>
        <w:t xml:space="preserve">signación de fondos del excedente </w:t>
      </w:r>
      <w:r w:rsidR="00DF3563" w:rsidRPr="00D51377">
        <w:rPr>
          <w:rFonts w:cstheme="minorHAnsi"/>
          <w:bCs/>
          <w:noProof/>
          <w:lang w:val="es-ES"/>
        </w:rPr>
        <w:t xml:space="preserve">del presupuesto básico </w:t>
      </w:r>
      <w:r w:rsidRPr="00D51377">
        <w:rPr>
          <w:rFonts w:cstheme="minorHAnsi"/>
          <w:bCs/>
          <w:noProof/>
          <w:lang w:val="es-ES"/>
        </w:rPr>
        <w:t>para el análisis independiente</w:t>
      </w:r>
      <w:r w:rsidR="00150B09" w:rsidRPr="00D51377">
        <w:rPr>
          <w:rFonts w:cstheme="minorHAnsi"/>
          <w:bCs/>
          <w:noProof/>
          <w:lang w:val="es-ES"/>
        </w:rPr>
        <w:t>, a presentarse en</w:t>
      </w:r>
      <w:r w:rsidRPr="00D51377">
        <w:rPr>
          <w:rFonts w:cstheme="minorHAnsi"/>
          <w:bCs/>
          <w:noProof/>
          <w:lang w:val="es-ES"/>
        </w:rPr>
        <w:t xml:space="preserve"> la </w:t>
      </w:r>
      <w:r w:rsidR="00150B09" w:rsidRPr="00D51377">
        <w:rPr>
          <w:rFonts w:cstheme="minorHAnsi"/>
          <w:bCs/>
          <w:noProof/>
          <w:lang w:val="es-ES"/>
        </w:rPr>
        <w:t>reunión SC58</w:t>
      </w:r>
      <w:r w:rsidRPr="00D51377">
        <w:rPr>
          <w:rStyle w:val="FootnoteReference"/>
          <w:rFonts w:cstheme="minorHAnsi"/>
          <w:bCs/>
          <w:noProof/>
          <w:lang w:val="es-ES"/>
        </w:rPr>
        <w:footnoteReference w:id="1"/>
      </w:r>
      <w:r w:rsidRPr="00D51377">
        <w:rPr>
          <w:rFonts w:cstheme="minorHAnsi"/>
          <w:bCs/>
          <w:noProof/>
          <w:lang w:val="es-ES"/>
        </w:rPr>
        <w:t>.</w:t>
      </w:r>
    </w:p>
    <w:p w14:paraId="2DF4DD55" w14:textId="77777777" w:rsidR="007916F1" w:rsidRPr="00D51377" w:rsidRDefault="007916F1" w:rsidP="00702E19">
      <w:pPr>
        <w:tabs>
          <w:tab w:val="left" w:pos="426"/>
        </w:tabs>
        <w:spacing w:after="0" w:line="240" w:lineRule="auto"/>
        <w:rPr>
          <w:rFonts w:cstheme="minorHAnsi"/>
          <w:noProof/>
          <w:lang w:val="es-ES"/>
        </w:rPr>
      </w:pPr>
    </w:p>
    <w:p w14:paraId="58BE146D" w14:textId="10963D5D" w:rsidR="008B7C9F" w:rsidRPr="00D51377" w:rsidRDefault="008B7C9F" w:rsidP="00166ADC">
      <w:pPr>
        <w:spacing w:after="0" w:line="240" w:lineRule="auto"/>
        <w:ind w:left="284" w:hanging="284"/>
        <w:rPr>
          <w:rFonts w:cstheme="minorHAnsi"/>
          <w:b/>
          <w:noProof/>
          <w:lang w:val="es-ES"/>
        </w:rPr>
      </w:pPr>
      <w:r w:rsidRPr="00D51377">
        <w:rPr>
          <w:rFonts w:cstheme="minorHAnsi"/>
          <w:b/>
          <w:noProof/>
          <w:lang w:val="es-ES"/>
        </w:rPr>
        <w:t xml:space="preserve">Resumen del proceso </w:t>
      </w:r>
      <w:r w:rsidR="003A23BD" w:rsidRPr="00D51377">
        <w:rPr>
          <w:rFonts w:cstheme="minorHAnsi"/>
          <w:b/>
          <w:noProof/>
          <w:lang w:val="es-ES"/>
        </w:rPr>
        <w:t>realizado</w:t>
      </w:r>
      <w:r w:rsidRPr="00D51377">
        <w:rPr>
          <w:rFonts w:cstheme="minorHAnsi"/>
          <w:b/>
          <w:noProof/>
          <w:lang w:val="es-ES"/>
        </w:rPr>
        <w:t xml:space="preserve"> por el Grupo de trabajo sobre el análisis jurídico </w:t>
      </w:r>
    </w:p>
    <w:p w14:paraId="7F7B8381" w14:textId="77777777" w:rsidR="007D79AF" w:rsidRPr="00D51377" w:rsidRDefault="007D79AF" w:rsidP="008B7C9F">
      <w:pPr>
        <w:spacing w:after="0" w:line="240" w:lineRule="auto"/>
        <w:ind w:left="284" w:hanging="284"/>
        <w:rPr>
          <w:rFonts w:cstheme="minorHAnsi"/>
          <w:b/>
          <w:noProof/>
          <w:lang w:val="es-ES"/>
        </w:rPr>
      </w:pPr>
    </w:p>
    <w:p w14:paraId="635D033D" w14:textId="67375CB6" w:rsidR="008B7C9F" w:rsidRPr="00D51377" w:rsidRDefault="00CF758B" w:rsidP="00166ADC">
      <w:pPr>
        <w:spacing w:after="0" w:line="240" w:lineRule="auto"/>
        <w:ind w:left="426" w:hanging="426"/>
        <w:rPr>
          <w:rFonts w:cstheme="minorHAnsi"/>
          <w:noProof/>
          <w:lang w:val="es-ES"/>
        </w:rPr>
      </w:pPr>
      <w:r w:rsidRPr="00D51377">
        <w:rPr>
          <w:rFonts w:cstheme="minorHAnsi"/>
          <w:noProof/>
          <w:lang w:val="es-ES"/>
        </w:rPr>
        <w:t>5.</w:t>
      </w:r>
      <w:r w:rsidRPr="00D51377">
        <w:rPr>
          <w:rFonts w:cstheme="minorHAnsi"/>
          <w:noProof/>
          <w:lang w:val="es-ES"/>
        </w:rPr>
        <w:tab/>
      </w:r>
      <w:r w:rsidR="008B7C9F" w:rsidRPr="00D51377">
        <w:rPr>
          <w:rFonts w:cstheme="minorHAnsi"/>
          <w:noProof/>
          <w:lang w:val="es-ES"/>
        </w:rPr>
        <w:t xml:space="preserve">Como se señala en el informe del grupo de trabajo </w:t>
      </w:r>
      <w:r w:rsidR="00DF3563" w:rsidRPr="00D51377">
        <w:rPr>
          <w:rFonts w:cstheme="minorHAnsi"/>
          <w:noProof/>
          <w:lang w:val="es-ES"/>
        </w:rPr>
        <w:t xml:space="preserve">presentado </w:t>
      </w:r>
      <w:r w:rsidR="008B7C9F" w:rsidRPr="00D51377">
        <w:rPr>
          <w:rFonts w:cstheme="minorHAnsi"/>
          <w:noProof/>
          <w:lang w:val="es-ES"/>
        </w:rPr>
        <w:t xml:space="preserve">a la </w:t>
      </w:r>
      <w:r w:rsidR="00DF3563" w:rsidRPr="00D51377">
        <w:rPr>
          <w:rFonts w:cstheme="minorHAnsi"/>
          <w:noProof/>
          <w:lang w:val="es-ES"/>
        </w:rPr>
        <w:t xml:space="preserve">reunión </w:t>
      </w:r>
      <w:r w:rsidR="008B7C9F" w:rsidRPr="00D51377">
        <w:rPr>
          <w:rFonts w:cstheme="minorHAnsi"/>
          <w:noProof/>
          <w:lang w:val="es-ES"/>
        </w:rPr>
        <w:t>SC59</w:t>
      </w:r>
      <w:r w:rsidR="00DF3563" w:rsidRPr="00D51377">
        <w:rPr>
          <w:rFonts w:cstheme="minorHAnsi"/>
          <w:noProof/>
          <w:lang w:val="es-ES"/>
        </w:rPr>
        <w:t xml:space="preserve"> (</w:t>
      </w:r>
      <w:r w:rsidR="008B7C9F" w:rsidRPr="00D51377">
        <w:rPr>
          <w:rFonts w:cstheme="minorHAnsi"/>
          <w:noProof/>
          <w:lang w:val="es-ES"/>
        </w:rPr>
        <w:t>documento SC59 Doc.14</w:t>
      </w:r>
      <w:r w:rsidR="00DF3563" w:rsidRPr="00D51377">
        <w:rPr>
          <w:rFonts w:cstheme="minorHAnsi"/>
          <w:noProof/>
          <w:lang w:val="es-ES"/>
        </w:rPr>
        <w:t>),</w:t>
      </w:r>
      <w:r w:rsidR="008B7C9F" w:rsidRPr="00D51377">
        <w:rPr>
          <w:rFonts w:cstheme="minorHAnsi"/>
          <w:noProof/>
          <w:lang w:val="es-ES"/>
        </w:rPr>
        <w:t xml:space="preserve"> durante 2020 y 2021 el grupo </w:t>
      </w:r>
      <w:r w:rsidR="003A23BD" w:rsidRPr="00D51377">
        <w:rPr>
          <w:rFonts w:cstheme="minorHAnsi"/>
          <w:noProof/>
          <w:lang w:val="es-ES"/>
        </w:rPr>
        <w:t>celebró</w:t>
      </w:r>
      <w:r w:rsidR="008B7C9F" w:rsidRPr="00D51377">
        <w:rPr>
          <w:rFonts w:cstheme="minorHAnsi"/>
          <w:noProof/>
          <w:lang w:val="es-ES"/>
        </w:rPr>
        <w:t xml:space="preserve"> cuatro conferencias telefónicas y </w:t>
      </w:r>
      <w:r w:rsidR="003A23BD" w:rsidRPr="00D51377">
        <w:rPr>
          <w:rFonts w:cstheme="minorHAnsi"/>
          <w:noProof/>
          <w:lang w:val="es-ES"/>
        </w:rPr>
        <w:t>preparó</w:t>
      </w:r>
      <w:r w:rsidR="008B7C9F" w:rsidRPr="00D51377">
        <w:rPr>
          <w:rFonts w:cstheme="minorHAnsi"/>
          <w:noProof/>
          <w:lang w:val="es-ES"/>
        </w:rPr>
        <w:t xml:space="preserve"> su plan de trabajo de acuerdo con el mandato del Comité Permanente.</w:t>
      </w:r>
    </w:p>
    <w:p w14:paraId="4526107B" w14:textId="77777777" w:rsidR="00ED13E3" w:rsidRPr="00D51377" w:rsidRDefault="00ED13E3" w:rsidP="00166ADC">
      <w:pPr>
        <w:spacing w:after="0" w:line="240" w:lineRule="auto"/>
        <w:ind w:left="426" w:hanging="426"/>
        <w:rPr>
          <w:rFonts w:cstheme="minorHAnsi"/>
          <w:noProof/>
          <w:lang w:val="es-ES"/>
        </w:rPr>
      </w:pPr>
    </w:p>
    <w:p w14:paraId="6053105B" w14:textId="7DA7A64E" w:rsidR="00A464D6" w:rsidRPr="00D51377" w:rsidRDefault="00CF758B" w:rsidP="00166ADC">
      <w:pPr>
        <w:pStyle w:val="wordsection1"/>
        <w:spacing w:before="0" w:beforeAutospacing="0" w:after="0" w:afterAutospacing="0"/>
        <w:ind w:left="426" w:hanging="426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6.</w:t>
      </w:r>
      <w:r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3A23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El informe también </w:t>
      </w:r>
      <w:r w:rsidR="00DF3563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aportó </w:t>
      </w:r>
      <w:r w:rsidR="0006070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lo siguiente</w:t>
      </w:r>
      <w:r w:rsidR="00A464D6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:</w:t>
      </w:r>
    </w:p>
    <w:p w14:paraId="6DA74C72" w14:textId="77777777" w:rsidR="00A464D6" w:rsidRPr="00D51377" w:rsidRDefault="00A464D6" w:rsidP="00166ADC">
      <w:pPr>
        <w:pStyle w:val="ListParagraph"/>
        <w:jc w:val="left"/>
        <w:rPr>
          <w:rFonts w:asciiTheme="minorHAnsi" w:hAnsiTheme="minorHAnsi" w:cstheme="minorHAnsi"/>
          <w:noProof/>
          <w:lang w:val="es-ES"/>
        </w:rPr>
      </w:pPr>
    </w:p>
    <w:p w14:paraId="462CA601" w14:textId="4897F644" w:rsidR="00ED13E3" w:rsidRPr="00D51377" w:rsidRDefault="00A464D6" w:rsidP="00166ADC">
      <w:pPr>
        <w:pStyle w:val="wordsection1"/>
        <w:spacing w:before="0" w:beforeAutospacing="0" w:after="0" w:afterAutospacing="0"/>
        <w:ind w:left="851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a</w:t>
      </w:r>
      <w:r w:rsidR="002315B6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.</w:t>
      </w:r>
      <w:r w:rsidR="002315B6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3A23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Una </w:t>
      </w:r>
      <w:r w:rsidR="00994C6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guía</w:t>
      </w:r>
      <w:r w:rsidR="003A23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que incluye la elaboración de un análisis jurídico</w:t>
      </w:r>
      <w:r w:rsidR="00994C6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,</w:t>
      </w:r>
      <w:r w:rsidR="003A23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en cumplimiento </w:t>
      </w:r>
      <w:r w:rsidR="00DF3563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del</w:t>
      </w:r>
      <w:r w:rsidR="003A23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mandato </w:t>
      </w:r>
      <w:r w:rsidR="00DF3563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del grupo </w:t>
      </w:r>
      <w:r w:rsidR="003A23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de </w:t>
      </w:r>
      <w:r w:rsidR="00994C6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analizar las </w:t>
      </w:r>
      <w:r w:rsidR="003A23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diferentes opciones y otras opciones que aún no se han abordado</w:t>
      </w:r>
      <w:r w:rsidR="00994C6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y </w:t>
      </w:r>
      <w:r w:rsidR="003A23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que </w:t>
      </w:r>
      <w:r w:rsidR="00994C6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se adapt</w:t>
      </w:r>
      <w:r w:rsidR="006D3B5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a</w:t>
      </w:r>
      <w:r w:rsidR="00994C6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n </w:t>
      </w:r>
      <w:r w:rsidR="003A23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mejor </w:t>
      </w:r>
      <w:r w:rsidR="00994C6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a la situación</w:t>
      </w:r>
      <w:r w:rsidR="003A23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jurídica de la Secretaría, la participación en foros internacionales y las prioridades en materia de visibilidad</w:t>
      </w:r>
      <w:r w:rsidR="008747D7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;</w:t>
      </w:r>
    </w:p>
    <w:p w14:paraId="39E9401E" w14:textId="77777777" w:rsidR="00ED13E3" w:rsidRPr="00D51377" w:rsidRDefault="00ED13E3" w:rsidP="00166ADC">
      <w:pPr>
        <w:pStyle w:val="wordsection1"/>
        <w:spacing w:before="0" w:beforeAutospacing="0" w:after="0" w:afterAutospacing="0"/>
        <w:ind w:left="851" w:hanging="425"/>
        <w:rPr>
          <w:rFonts w:asciiTheme="minorHAnsi" w:hAnsiTheme="minorHAnsi" w:cstheme="minorHAnsi"/>
          <w:noProof/>
          <w:sz w:val="22"/>
          <w:szCs w:val="22"/>
          <w:lang w:val="es-ES" w:eastAsia="en-US"/>
        </w:rPr>
      </w:pPr>
    </w:p>
    <w:p w14:paraId="444D8AE0" w14:textId="07BEBB76" w:rsidR="001D3BBC" w:rsidRPr="00D51377" w:rsidRDefault="00047914" w:rsidP="00166ADC">
      <w:pPr>
        <w:pStyle w:val="Default"/>
        <w:ind w:left="851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b</w:t>
      </w:r>
      <w:r w:rsidR="002315B6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.</w:t>
      </w:r>
      <w:r w:rsidR="002315B6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El mandato acordado por el </w:t>
      </w:r>
      <w:r w:rsidR="0029353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grupo </w:t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de </w:t>
      </w:r>
      <w:r w:rsidR="0029353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trabajo </w:t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para </w:t>
      </w:r>
      <w:r w:rsidR="00986557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una </w:t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consultoría sobre el análisis independiente de la </w:t>
      </w:r>
      <w:r w:rsidR="0029353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situación </w:t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jurídica</w:t>
      </w:r>
      <w:r w:rsidR="008747D7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;</w:t>
      </w:r>
    </w:p>
    <w:p w14:paraId="6DD59441" w14:textId="77777777" w:rsidR="001D3BBC" w:rsidRPr="00D51377" w:rsidRDefault="001D3BBC" w:rsidP="00166ADC">
      <w:pPr>
        <w:pStyle w:val="Default"/>
        <w:ind w:left="851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2CF9106A" w14:textId="62798363" w:rsidR="00DA58B8" w:rsidRPr="00D51377" w:rsidRDefault="00047914" w:rsidP="00166ADC">
      <w:pPr>
        <w:pStyle w:val="Default"/>
        <w:ind w:left="851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c</w:t>
      </w:r>
      <w:r w:rsidR="002315B6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.</w:t>
      </w:r>
      <w:r w:rsidR="00E22049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ab/>
        <w:t>A</w:t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nálisis de otras opciones</w:t>
      </w:r>
      <w:r w:rsidR="00D51233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: </w:t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i) la condición de observador en la Asamblea General de las Naciones Unidas, ii) la solicitud de condición de observador en el Consejo Económico y Social (ECOSOC) y iii) el proceso de examen del Foro Político de Alto Nivel sobre Desarrollo Sostenible (FPAN o HLPF por sus siglas en inglés).</w:t>
      </w:r>
    </w:p>
    <w:p w14:paraId="28A5E9C8" w14:textId="77777777" w:rsidR="001D3BBC" w:rsidRPr="00D51377" w:rsidRDefault="001D3BBC" w:rsidP="00166ADC">
      <w:pPr>
        <w:pStyle w:val="Default"/>
        <w:ind w:left="851" w:hanging="425"/>
        <w:rPr>
          <w:rFonts w:asciiTheme="minorHAnsi" w:hAnsiTheme="minorHAnsi" w:cstheme="minorHAnsi"/>
          <w:noProof/>
          <w:sz w:val="22"/>
          <w:szCs w:val="22"/>
          <w:highlight w:val="yellow"/>
          <w:lang w:val="es-ES" w:eastAsia="zh-CN"/>
        </w:rPr>
      </w:pPr>
    </w:p>
    <w:p w14:paraId="02EE685C" w14:textId="5804D3F5" w:rsidR="00DA58B8" w:rsidRPr="00D51377" w:rsidRDefault="00047914" w:rsidP="00166ADC">
      <w:pPr>
        <w:pStyle w:val="Default"/>
        <w:ind w:left="851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d.</w:t>
      </w:r>
      <w:r w:rsidR="002315B6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Un resumen de las principales conclusiones de la consultoría jurídica con cinco opciones específicas para abordar las principales </w:t>
      </w:r>
      <w:r w:rsidR="00393884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inquietudes </w:t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sobre </w:t>
      </w:r>
      <w:r w:rsidR="00994C6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la situación jurídica</w:t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 la Secretaría y su funcionamiento, y tres opciones adicionales destinadas a mejorar la participación en los foros y procesos de alto nivel de 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las Naciones Unidas</w:t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en el marco de la AGNU, la solicitud de 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condición</w:t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 observador ante el ECOSOC y el proceso de 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examen</w:t>
      </w:r>
      <w:r w:rsidR="00DA58B8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del HLPF.</w:t>
      </w:r>
    </w:p>
    <w:p w14:paraId="10ECCE4A" w14:textId="77777777" w:rsidR="00D51233" w:rsidRPr="00D51377" w:rsidRDefault="00D51233" w:rsidP="00166ADC">
      <w:pPr>
        <w:pStyle w:val="Default"/>
        <w:ind w:firstLine="426"/>
        <w:rPr>
          <w:rFonts w:asciiTheme="minorHAnsi" w:hAnsiTheme="minorHAnsi" w:cstheme="minorHAnsi"/>
          <w:noProof/>
          <w:sz w:val="22"/>
          <w:szCs w:val="22"/>
          <w:lang w:val="es-ES" w:eastAsia="zh-CN"/>
        </w:rPr>
      </w:pPr>
    </w:p>
    <w:p w14:paraId="67B2A621" w14:textId="490F67F3" w:rsidR="001D3BBC" w:rsidRPr="00D51377" w:rsidRDefault="0054549F" w:rsidP="00DC50E6">
      <w:pPr>
        <w:spacing w:after="0" w:line="240" w:lineRule="auto"/>
        <w:ind w:left="426"/>
        <w:rPr>
          <w:rFonts w:cstheme="minorHAnsi"/>
          <w:noProof/>
          <w:color w:val="000000"/>
          <w:lang w:val="es-ES"/>
        </w:rPr>
      </w:pPr>
      <w:r w:rsidRPr="00D51377">
        <w:rPr>
          <w:rFonts w:cstheme="minorHAnsi"/>
          <w:noProof/>
          <w:color w:val="000000"/>
          <w:lang w:val="es-ES"/>
        </w:rPr>
        <w:t>El informe sobre el análisis jurídico puede consultar</w:t>
      </w:r>
      <w:r w:rsidR="00871E8F" w:rsidRPr="00D51377">
        <w:rPr>
          <w:rFonts w:cstheme="minorHAnsi"/>
          <w:noProof/>
          <w:color w:val="000000"/>
          <w:lang w:val="es-ES"/>
        </w:rPr>
        <w:t>se</w:t>
      </w:r>
      <w:r w:rsidRPr="00D51377">
        <w:rPr>
          <w:rFonts w:cstheme="minorHAnsi"/>
          <w:noProof/>
          <w:color w:val="000000"/>
          <w:lang w:val="es-ES"/>
        </w:rPr>
        <w:t xml:space="preserve"> en</w:t>
      </w:r>
      <w:r w:rsidR="00871E8F" w:rsidRPr="00D51377">
        <w:rPr>
          <w:rFonts w:cstheme="minorHAnsi"/>
          <w:noProof/>
          <w:color w:val="000000"/>
          <w:lang w:val="es-ES"/>
        </w:rPr>
        <w:t xml:space="preserve"> el siguiente enlace</w:t>
      </w:r>
      <w:r w:rsidRPr="00D51377">
        <w:rPr>
          <w:rFonts w:cstheme="minorHAnsi"/>
          <w:noProof/>
          <w:color w:val="000000"/>
          <w:lang w:val="es-ES"/>
        </w:rPr>
        <w:t xml:space="preserve">: </w:t>
      </w:r>
      <w:hyperlink r:id="rId11" w:history="1">
        <w:r w:rsidR="00DC50E6" w:rsidRPr="00DC50E6">
          <w:rPr>
            <w:rStyle w:val="Hyperlink"/>
            <w:rFonts w:cstheme="minorHAnsi"/>
            <w:lang w:val="fr-FR"/>
          </w:rPr>
          <w:t>https://www.ramsar.org/sites/default/files/documents/library/independent_analysis_legal_status_secretariat_2020_e.pdf</w:t>
        </w:r>
      </w:hyperlink>
    </w:p>
    <w:p w14:paraId="4B9C1ECA" w14:textId="77777777" w:rsidR="007935A5" w:rsidRPr="00D51377" w:rsidRDefault="007935A5" w:rsidP="00166ADC">
      <w:pPr>
        <w:spacing w:after="0" w:line="240" w:lineRule="auto"/>
        <w:rPr>
          <w:rFonts w:cstheme="minorHAnsi"/>
          <w:noProof/>
          <w:color w:val="000000"/>
          <w:lang w:val="es-ES"/>
        </w:rPr>
      </w:pPr>
    </w:p>
    <w:p w14:paraId="009E57D8" w14:textId="0BD1C748" w:rsidR="0054549F" w:rsidRPr="00D51377" w:rsidRDefault="00CF758B" w:rsidP="00166ADC">
      <w:pPr>
        <w:pStyle w:val="wordsection1"/>
        <w:spacing w:before="0" w:beforeAutospacing="0" w:after="0" w:afterAutospacing="0"/>
        <w:ind w:left="426" w:hanging="426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7.</w:t>
      </w:r>
      <w:r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A partir de las cinco opciones principales para abordar las principales </w:t>
      </w:r>
      <w:r w:rsidR="00393884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inquietudes 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sobre </w:t>
      </w:r>
      <w:r w:rsidR="00994C6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la situación jurídica 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de la Secretaría y su funcionamiento, el </w:t>
      </w:r>
      <w:r w:rsidR="00393884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g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rupo de </w:t>
      </w:r>
      <w:r w:rsidR="00393884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t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rabajo acordó realizar un análisis financiero </w:t>
      </w:r>
      <w:r w:rsidR="00393884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exhaustivo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 las opciones seleccionadas con el apoyo de un consultor que podría presentarse como parte del informe del </w:t>
      </w:r>
      <w:r w:rsidR="00DF05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g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rupo de </w:t>
      </w:r>
      <w:r w:rsidR="00DF05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t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rabajo y de sus recomendaciones a la </w:t>
      </w:r>
      <w:r w:rsidR="00DF05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reunión 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SC59. El </w:t>
      </w:r>
      <w:r w:rsidR="00DF05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grupo 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de </w:t>
      </w:r>
      <w:r w:rsidR="00DF05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trabajo 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acordó </w:t>
      </w:r>
      <w:r w:rsidR="00DF05BD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el mandato</w:t>
      </w:r>
      <w:r w:rsidR="0054549F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para esta consultoría.</w:t>
      </w:r>
    </w:p>
    <w:p w14:paraId="655A879D" w14:textId="77777777" w:rsidR="00DB04CC" w:rsidRPr="00D51377" w:rsidRDefault="00DB04CC" w:rsidP="00DF05BD">
      <w:pPr>
        <w:pStyle w:val="wordsection1"/>
        <w:spacing w:before="0" w:beforeAutospacing="0" w:after="0" w:afterAutospacing="0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35B5D4F2" w14:textId="3794F15C" w:rsidR="00DF05BD" w:rsidRPr="00D51377" w:rsidRDefault="00CF758B" w:rsidP="00DF05BD">
      <w:pPr>
        <w:spacing w:after="0" w:line="240" w:lineRule="auto"/>
        <w:ind w:left="426" w:hanging="426"/>
        <w:rPr>
          <w:rFonts w:cstheme="minorHAnsi"/>
          <w:noProof/>
          <w:lang w:val="es-ES"/>
        </w:rPr>
      </w:pPr>
      <w:r w:rsidRPr="00D51377">
        <w:rPr>
          <w:rFonts w:cstheme="minorHAnsi"/>
          <w:noProof/>
          <w:lang w:val="es-ES"/>
        </w:rPr>
        <w:t>8.</w:t>
      </w:r>
      <w:r w:rsidRPr="00D51377">
        <w:rPr>
          <w:rFonts w:cstheme="minorHAnsi"/>
          <w:noProof/>
          <w:lang w:val="es-ES"/>
        </w:rPr>
        <w:tab/>
      </w:r>
      <w:r w:rsidR="00DF05BD" w:rsidRPr="00D51377">
        <w:rPr>
          <w:rFonts w:cstheme="minorHAnsi"/>
          <w:noProof/>
          <w:lang w:val="es-ES"/>
        </w:rPr>
        <w:t xml:space="preserve">Teniendo en cuenta los progresos que el grupo de trabajo </w:t>
      </w:r>
      <w:r w:rsidR="00A63EA9" w:rsidRPr="00D51377">
        <w:rPr>
          <w:rFonts w:cstheme="minorHAnsi"/>
          <w:noProof/>
          <w:lang w:val="es-ES"/>
        </w:rPr>
        <w:t>ha realizado en el marco</w:t>
      </w:r>
      <w:r w:rsidR="00DF05BD" w:rsidRPr="00D51377">
        <w:rPr>
          <w:rFonts w:cstheme="minorHAnsi"/>
          <w:noProof/>
          <w:lang w:val="es-ES"/>
        </w:rPr>
        <w:t xml:space="preserve"> </w:t>
      </w:r>
      <w:r w:rsidR="00A63EA9" w:rsidRPr="00D51377">
        <w:rPr>
          <w:rFonts w:cstheme="minorHAnsi"/>
          <w:noProof/>
          <w:lang w:val="es-ES"/>
        </w:rPr>
        <w:t>d</w:t>
      </w:r>
      <w:r w:rsidR="00DF05BD" w:rsidRPr="00D51377">
        <w:rPr>
          <w:rFonts w:cstheme="minorHAnsi"/>
          <w:noProof/>
          <w:lang w:val="es-ES"/>
        </w:rPr>
        <w:t xml:space="preserve">el mandato otorgado por el Comité Permanente, </w:t>
      </w:r>
      <w:r w:rsidR="00800734" w:rsidRPr="00D51377">
        <w:rPr>
          <w:rFonts w:cstheme="minorHAnsi"/>
          <w:noProof/>
          <w:lang w:val="es-ES"/>
        </w:rPr>
        <w:t>este recomendó</w:t>
      </w:r>
      <w:r w:rsidR="00DF05BD" w:rsidRPr="00D51377">
        <w:rPr>
          <w:rFonts w:cstheme="minorHAnsi"/>
          <w:noProof/>
          <w:lang w:val="es-ES"/>
        </w:rPr>
        <w:t xml:space="preserve"> mediante la Decisión SC59-23 que el grupo de trabajo continuara su labor hasta la finalización del análisis financiero de las opciones identificadas como las más viables, </w:t>
      </w:r>
      <w:r w:rsidR="00252CB2" w:rsidRPr="00D51377">
        <w:rPr>
          <w:rFonts w:cstheme="minorHAnsi"/>
          <w:noProof/>
          <w:lang w:val="es-ES"/>
        </w:rPr>
        <w:t>y que</w:t>
      </w:r>
      <w:r w:rsidR="00DF05BD" w:rsidRPr="00D51377">
        <w:rPr>
          <w:rFonts w:cstheme="minorHAnsi"/>
          <w:noProof/>
          <w:lang w:val="es-ES"/>
        </w:rPr>
        <w:t xml:space="preserve"> informara al respecto durante la </w:t>
      </w:r>
      <w:r w:rsidR="00800734" w:rsidRPr="00D51377">
        <w:rPr>
          <w:rFonts w:cstheme="minorHAnsi"/>
          <w:noProof/>
          <w:lang w:val="es-ES"/>
        </w:rPr>
        <w:t>reanud</w:t>
      </w:r>
      <w:r w:rsidR="00DF05BD" w:rsidRPr="00D51377">
        <w:rPr>
          <w:rFonts w:cstheme="minorHAnsi"/>
          <w:noProof/>
          <w:lang w:val="es-ES"/>
        </w:rPr>
        <w:t>ación de la reunión del Comité</w:t>
      </w:r>
      <w:r w:rsidR="00800734" w:rsidRPr="00D51377">
        <w:rPr>
          <w:rFonts w:cstheme="minorHAnsi"/>
          <w:noProof/>
          <w:lang w:val="es-ES"/>
        </w:rPr>
        <w:t xml:space="preserve"> Permanente</w:t>
      </w:r>
      <w:r w:rsidR="00DF05BD" w:rsidRPr="00D51377">
        <w:rPr>
          <w:rFonts w:cstheme="minorHAnsi"/>
          <w:noProof/>
          <w:lang w:val="es-ES"/>
        </w:rPr>
        <w:t>.</w:t>
      </w:r>
    </w:p>
    <w:p w14:paraId="03F658ED" w14:textId="68DD67EE" w:rsidR="00487DF3" w:rsidRPr="00D51377" w:rsidRDefault="00487DF3" w:rsidP="00DF05BD">
      <w:pPr>
        <w:spacing w:after="0" w:line="240" w:lineRule="auto"/>
        <w:rPr>
          <w:rFonts w:cstheme="minorHAnsi"/>
          <w:noProof/>
          <w:lang w:val="es-ES"/>
        </w:rPr>
      </w:pPr>
    </w:p>
    <w:p w14:paraId="534B1CE9" w14:textId="77777777" w:rsidR="009E0D92" w:rsidRPr="00D51377" w:rsidRDefault="009E0D92" w:rsidP="00166A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lang w:val="es-ES"/>
        </w:rPr>
      </w:pPr>
    </w:p>
    <w:p w14:paraId="553CECD2" w14:textId="77777777" w:rsidR="009E0D92" w:rsidRPr="00D51377" w:rsidRDefault="009E0D92" w:rsidP="00166A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lang w:val="es-ES"/>
        </w:rPr>
      </w:pPr>
    </w:p>
    <w:p w14:paraId="31518BF0" w14:textId="77777777" w:rsidR="009E0D92" w:rsidRPr="00D51377" w:rsidRDefault="009E0D92" w:rsidP="00166A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lang w:val="es-ES"/>
        </w:rPr>
      </w:pPr>
    </w:p>
    <w:p w14:paraId="12E1A92B" w14:textId="77777777" w:rsidR="009E0D92" w:rsidRPr="00D51377" w:rsidRDefault="009E0D92" w:rsidP="00166A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lang w:val="es-ES"/>
        </w:rPr>
      </w:pPr>
    </w:p>
    <w:p w14:paraId="23EE5B68" w14:textId="0AC06B51" w:rsidR="00DF05BD" w:rsidRPr="00D51377" w:rsidRDefault="00DF05BD" w:rsidP="00166A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lang w:val="es-ES"/>
        </w:rPr>
      </w:pPr>
      <w:r w:rsidRPr="00D51377">
        <w:rPr>
          <w:rFonts w:cstheme="minorHAnsi"/>
          <w:b/>
          <w:noProof/>
          <w:lang w:val="es-ES"/>
        </w:rPr>
        <w:t>Resumen de las principales conclusiones de la consultoría sobre el análisis financiero</w:t>
      </w:r>
    </w:p>
    <w:p w14:paraId="46F453A4" w14:textId="6CE695B0" w:rsidR="00111B69" w:rsidRPr="00D51377" w:rsidRDefault="00111B69" w:rsidP="009E0D92">
      <w:pPr>
        <w:spacing w:after="0" w:line="240" w:lineRule="auto"/>
        <w:rPr>
          <w:rFonts w:cstheme="minorHAnsi"/>
          <w:noProof/>
          <w:lang w:val="es-ES"/>
        </w:rPr>
      </w:pPr>
    </w:p>
    <w:p w14:paraId="54B4FC90" w14:textId="0275FDD8" w:rsidR="00111B69" w:rsidRPr="00D51377" w:rsidRDefault="00111B69" w:rsidP="009E0D92">
      <w:pPr>
        <w:spacing w:after="0" w:line="240" w:lineRule="auto"/>
        <w:ind w:left="425" w:hanging="425"/>
        <w:rPr>
          <w:rFonts w:cstheme="minorHAnsi"/>
          <w:noProof/>
          <w:lang w:val="es-ES"/>
        </w:rPr>
      </w:pPr>
      <w:r w:rsidRPr="00D51377">
        <w:rPr>
          <w:rFonts w:cstheme="minorHAnsi"/>
          <w:noProof/>
          <w:lang w:val="es-ES"/>
        </w:rPr>
        <w:t>9.</w:t>
      </w:r>
      <w:r w:rsidRPr="00D51377">
        <w:rPr>
          <w:rFonts w:cstheme="minorHAnsi"/>
          <w:noProof/>
          <w:lang w:val="es-ES"/>
        </w:rPr>
        <w:tab/>
        <w:t>La consultoría elaboró un análisis comparativo de las tres opciones que el grupo de trabajo identificó</w:t>
      </w:r>
      <w:r w:rsidR="00FA43D9" w:rsidRPr="00D51377">
        <w:rPr>
          <w:rFonts w:cstheme="minorHAnsi"/>
          <w:noProof/>
          <w:lang w:val="es-ES"/>
        </w:rPr>
        <w:t xml:space="preserve"> como las más viables</w:t>
      </w:r>
      <w:r w:rsidRPr="00D51377">
        <w:rPr>
          <w:rFonts w:cstheme="minorHAnsi"/>
          <w:noProof/>
          <w:lang w:val="es-ES"/>
        </w:rPr>
        <w:t>, además del acuerdo actual de la Secretaría de la Convención con sede en la UICN, como sigue:</w:t>
      </w:r>
    </w:p>
    <w:p w14:paraId="37AB3B70" w14:textId="019ED435" w:rsidR="006B7411" w:rsidRPr="00D51377" w:rsidRDefault="00111B69" w:rsidP="009E0D92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 xml:space="preserve">Secretaría de </w:t>
      </w:r>
      <w:r w:rsidR="006C6771" w:rsidRPr="00D51377">
        <w:rPr>
          <w:rFonts w:asciiTheme="minorHAnsi" w:hAnsiTheme="minorHAnsi" w:cstheme="minorHAnsi"/>
          <w:noProof/>
          <w:lang w:val="es-ES"/>
        </w:rPr>
        <w:t>organización intergubernamental (</w:t>
      </w:r>
      <w:r w:rsidRPr="00D51377">
        <w:rPr>
          <w:rFonts w:asciiTheme="minorHAnsi" w:hAnsiTheme="minorHAnsi" w:cstheme="minorHAnsi"/>
          <w:noProof/>
          <w:lang w:val="es-ES"/>
        </w:rPr>
        <w:t>OIG</w:t>
      </w:r>
      <w:r w:rsidR="006C6771" w:rsidRPr="00D51377">
        <w:rPr>
          <w:rFonts w:asciiTheme="minorHAnsi" w:hAnsiTheme="minorHAnsi" w:cstheme="minorHAnsi"/>
          <w:noProof/>
          <w:lang w:val="es-ES"/>
        </w:rPr>
        <w:t>)</w:t>
      </w:r>
      <w:r w:rsidRPr="00D51377">
        <w:rPr>
          <w:rFonts w:asciiTheme="minorHAnsi" w:hAnsiTheme="minorHAnsi" w:cstheme="minorHAnsi"/>
          <w:noProof/>
          <w:lang w:val="es-ES"/>
        </w:rPr>
        <w:t xml:space="preserve"> tradicional (A1);</w:t>
      </w:r>
    </w:p>
    <w:p w14:paraId="6A20F466" w14:textId="56CFB6B9" w:rsidR="00047914" w:rsidRPr="00D51377" w:rsidRDefault="00111B69" w:rsidP="009E0D92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 xml:space="preserve">Acuerdo </w:t>
      </w:r>
      <w:r w:rsidR="00187B2D" w:rsidRPr="00D51377">
        <w:rPr>
          <w:rFonts w:asciiTheme="minorHAnsi" w:hAnsiTheme="minorHAnsi" w:cstheme="minorHAnsi"/>
          <w:noProof/>
          <w:lang w:val="es-ES"/>
        </w:rPr>
        <w:t>multilateral</w:t>
      </w:r>
      <w:r w:rsidR="006C6771" w:rsidRPr="00D51377">
        <w:rPr>
          <w:rFonts w:asciiTheme="minorHAnsi" w:hAnsiTheme="minorHAnsi" w:cstheme="minorHAnsi"/>
          <w:noProof/>
          <w:lang w:val="es-ES"/>
        </w:rPr>
        <w:t xml:space="preserve"> </w:t>
      </w:r>
      <w:r w:rsidRPr="00D51377">
        <w:rPr>
          <w:rFonts w:asciiTheme="minorHAnsi" w:hAnsiTheme="minorHAnsi" w:cstheme="minorHAnsi"/>
          <w:noProof/>
          <w:lang w:val="es-ES"/>
        </w:rPr>
        <w:t>sobre el medio ambiente</w:t>
      </w:r>
      <w:r w:rsidR="00047914" w:rsidRPr="00D51377">
        <w:rPr>
          <w:rFonts w:asciiTheme="minorHAnsi" w:hAnsiTheme="minorHAnsi" w:cstheme="minorHAnsi"/>
          <w:noProof/>
          <w:lang w:val="es-ES"/>
        </w:rPr>
        <w:t xml:space="preserve"> (</w:t>
      </w:r>
      <w:r w:rsidRPr="00D51377">
        <w:rPr>
          <w:rFonts w:asciiTheme="minorHAnsi" w:hAnsiTheme="minorHAnsi" w:cstheme="minorHAnsi"/>
          <w:noProof/>
          <w:lang w:val="es-ES"/>
        </w:rPr>
        <w:t>AMMA</w:t>
      </w:r>
      <w:r w:rsidR="00047914" w:rsidRPr="00D51377">
        <w:rPr>
          <w:rFonts w:asciiTheme="minorHAnsi" w:hAnsiTheme="minorHAnsi" w:cstheme="minorHAnsi"/>
          <w:noProof/>
          <w:lang w:val="es-ES"/>
        </w:rPr>
        <w:t xml:space="preserve">), </w:t>
      </w:r>
      <w:r w:rsidR="006B7411" w:rsidRPr="00D51377">
        <w:rPr>
          <w:rFonts w:asciiTheme="minorHAnsi" w:hAnsiTheme="minorHAnsi" w:cstheme="minorHAnsi"/>
          <w:noProof/>
          <w:lang w:val="es-ES"/>
        </w:rPr>
        <w:t xml:space="preserve">vínculo institucional con las Naciones Unidas </w:t>
      </w:r>
      <w:r w:rsidR="00047914" w:rsidRPr="00D51377">
        <w:rPr>
          <w:rFonts w:asciiTheme="minorHAnsi" w:hAnsiTheme="minorHAnsi" w:cstheme="minorHAnsi"/>
          <w:noProof/>
          <w:lang w:val="es-ES"/>
        </w:rPr>
        <w:t>(A3)</w:t>
      </w:r>
      <w:r w:rsidR="00B25DF0" w:rsidRPr="00D51377">
        <w:rPr>
          <w:rFonts w:asciiTheme="minorHAnsi" w:hAnsiTheme="minorHAnsi" w:cstheme="minorHAnsi"/>
          <w:noProof/>
          <w:lang w:val="es-ES"/>
        </w:rPr>
        <w:t>;</w:t>
      </w:r>
    </w:p>
    <w:p w14:paraId="36C5BA73" w14:textId="3197D064" w:rsidR="00BA504D" w:rsidRPr="00D51377" w:rsidRDefault="008F0021" w:rsidP="009E0D92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>Incorporación en el</w:t>
      </w:r>
      <w:r w:rsidR="006B7411" w:rsidRPr="00D51377">
        <w:rPr>
          <w:rFonts w:asciiTheme="minorHAnsi" w:hAnsiTheme="minorHAnsi" w:cstheme="minorHAnsi"/>
          <w:noProof/>
          <w:lang w:val="es-ES"/>
        </w:rPr>
        <w:t xml:space="preserve"> PNUMA (Opción B1);</w:t>
      </w:r>
    </w:p>
    <w:p w14:paraId="4057BDF8" w14:textId="79A1BD2E" w:rsidR="00BA504D" w:rsidRPr="00D51377" w:rsidRDefault="006B7411" w:rsidP="009E0D92">
      <w:pPr>
        <w:pStyle w:val="ListParagraph"/>
        <w:numPr>
          <w:ilvl w:val="0"/>
          <w:numId w:val="20"/>
        </w:numPr>
        <w:jc w:val="left"/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 xml:space="preserve">El escenario actual </w:t>
      </w:r>
      <w:r w:rsidR="002E54E9" w:rsidRPr="00D51377">
        <w:rPr>
          <w:rFonts w:asciiTheme="minorHAnsi" w:hAnsiTheme="minorHAnsi" w:cstheme="minorHAnsi"/>
          <w:noProof/>
          <w:lang w:val="es-ES"/>
        </w:rPr>
        <w:t>(</w:t>
      </w:r>
      <w:r w:rsidRPr="00D51377">
        <w:rPr>
          <w:rFonts w:asciiTheme="minorHAnsi" w:hAnsiTheme="minorHAnsi" w:cstheme="minorHAnsi"/>
          <w:noProof/>
          <w:lang w:val="es-ES"/>
        </w:rPr>
        <w:t>Secretaría de la Convención/UICN</w:t>
      </w:r>
      <w:r w:rsidR="002E54E9" w:rsidRPr="00D51377">
        <w:rPr>
          <w:rFonts w:asciiTheme="minorHAnsi" w:hAnsiTheme="minorHAnsi" w:cstheme="minorHAnsi"/>
          <w:noProof/>
          <w:lang w:val="es-ES"/>
        </w:rPr>
        <w:t>)</w:t>
      </w:r>
      <w:r w:rsidRPr="00D51377">
        <w:rPr>
          <w:rFonts w:asciiTheme="minorHAnsi" w:hAnsiTheme="minorHAnsi" w:cstheme="minorHAnsi"/>
          <w:noProof/>
          <w:lang w:val="es-ES"/>
        </w:rPr>
        <w:t>, inclu</w:t>
      </w:r>
      <w:r w:rsidR="00FA43D9" w:rsidRPr="00D51377">
        <w:rPr>
          <w:rFonts w:asciiTheme="minorHAnsi" w:hAnsiTheme="minorHAnsi" w:cstheme="minorHAnsi"/>
          <w:noProof/>
          <w:lang w:val="es-ES"/>
        </w:rPr>
        <w:t>ye</w:t>
      </w:r>
      <w:r w:rsidRPr="00D51377">
        <w:rPr>
          <w:rFonts w:asciiTheme="minorHAnsi" w:hAnsiTheme="minorHAnsi" w:cstheme="minorHAnsi"/>
          <w:noProof/>
          <w:lang w:val="es-ES"/>
        </w:rPr>
        <w:t xml:space="preserve"> un análisis comparativo de los salarios y prestaciones </w:t>
      </w:r>
      <w:r w:rsidR="00FA43D9" w:rsidRPr="00D51377">
        <w:rPr>
          <w:rFonts w:asciiTheme="minorHAnsi" w:hAnsiTheme="minorHAnsi" w:cstheme="minorHAnsi"/>
          <w:noProof/>
          <w:lang w:val="es-ES"/>
        </w:rPr>
        <w:t>de</w:t>
      </w:r>
      <w:r w:rsidRPr="00D51377">
        <w:rPr>
          <w:rFonts w:asciiTheme="minorHAnsi" w:hAnsiTheme="minorHAnsi" w:cstheme="minorHAnsi"/>
          <w:noProof/>
          <w:lang w:val="es-ES"/>
        </w:rPr>
        <w:t xml:space="preserve"> la UICN y </w:t>
      </w:r>
      <w:r w:rsidR="002E54E9" w:rsidRPr="00D51377">
        <w:rPr>
          <w:rFonts w:asciiTheme="minorHAnsi" w:hAnsiTheme="minorHAnsi" w:cstheme="minorHAnsi"/>
          <w:noProof/>
          <w:lang w:val="es-ES"/>
        </w:rPr>
        <w:t>d</w:t>
      </w:r>
      <w:r w:rsidRPr="00D51377">
        <w:rPr>
          <w:rFonts w:asciiTheme="minorHAnsi" w:hAnsiTheme="minorHAnsi" w:cstheme="minorHAnsi"/>
          <w:noProof/>
          <w:lang w:val="es-ES"/>
        </w:rPr>
        <w:t xml:space="preserve">el Sistema de las Naciones Unidas. </w:t>
      </w:r>
    </w:p>
    <w:p w14:paraId="744309DD" w14:textId="77777777" w:rsidR="001738F2" w:rsidRPr="00D51377" w:rsidRDefault="001738F2" w:rsidP="00BA504D">
      <w:pPr>
        <w:pStyle w:val="ListParagraph"/>
        <w:rPr>
          <w:rFonts w:asciiTheme="minorHAnsi" w:hAnsiTheme="minorHAnsi" w:cstheme="minorHAnsi"/>
          <w:noProof/>
          <w:lang w:val="es-ES"/>
        </w:rPr>
      </w:pPr>
    </w:p>
    <w:p w14:paraId="094238CB" w14:textId="1F7A837C" w:rsidR="00BE5A0C" w:rsidRPr="00D51377" w:rsidRDefault="00B73F3B" w:rsidP="003B49A8">
      <w:pPr>
        <w:spacing w:after="0" w:line="240" w:lineRule="auto"/>
        <w:ind w:left="426" w:hanging="426"/>
        <w:rPr>
          <w:rFonts w:cstheme="minorHAnsi"/>
          <w:noProof/>
          <w:lang w:val="es-ES"/>
        </w:rPr>
      </w:pPr>
      <w:r w:rsidRPr="00D51377">
        <w:rPr>
          <w:rFonts w:cstheme="minorHAnsi"/>
          <w:noProof/>
          <w:lang w:val="es-ES"/>
        </w:rPr>
        <w:t>10.</w:t>
      </w:r>
      <w:r w:rsidR="00BA504D" w:rsidRPr="00D51377">
        <w:rPr>
          <w:rFonts w:cstheme="minorHAnsi"/>
          <w:noProof/>
          <w:lang w:val="es-ES"/>
        </w:rPr>
        <w:t xml:space="preserve">  </w:t>
      </w:r>
      <w:r w:rsidR="006B7411" w:rsidRPr="00D51377">
        <w:rPr>
          <w:rFonts w:cstheme="minorHAnsi"/>
          <w:noProof/>
          <w:lang w:val="es-ES"/>
        </w:rPr>
        <w:t>El análisis comparativo abarca lo siguiente</w:t>
      </w:r>
      <w:r w:rsidR="00DA1078" w:rsidRPr="00D51377">
        <w:rPr>
          <w:rFonts w:cstheme="minorHAnsi"/>
          <w:noProof/>
          <w:lang w:val="es-ES"/>
        </w:rPr>
        <w:t>:</w:t>
      </w:r>
    </w:p>
    <w:p w14:paraId="54305B73" w14:textId="630EDAB9" w:rsidR="002E54E9" w:rsidRPr="00D51377" w:rsidRDefault="006B7411" w:rsidP="002E54E9">
      <w:pPr>
        <w:pStyle w:val="ListParagraph"/>
        <w:numPr>
          <w:ilvl w:val="0"/>
          <w:numId w:val="22"/>
        </w:numPr>
        <w:jc w:val="left"/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 xml:space="preserve">Los </w:t>
      </w:r>
      <w:r w:rsidR="00D90EEF" w:rsidRPr="00D51377">
        <w:rPr>
          <w:rFonts w:asciiTheme="minorHAnsi" w:hAnsiTheme="minorHAnsi" w:cstheme="minorHAnsi"/>
          <w:noProof/>
          <w:lang w:val="es-ES"/>
        </w:rPr>
        <w:t>costos</w:t>
      </w:r>
      <w:r w:rsidRPr="00D51377">
        <w:rPr>
          <w:rFonts w:asciiTheme="minorHAnsi" w:hAnsiTheme="minorHAnsi" w:cstheme="minorHAnsi"/>
          <w:noProof/>
          <w:lang w:val="es-ES"/>
        </w:rPr>
        <w:t xml:space="preserve"> de funcionamiento y los acuerdos de servicios administrativos (incluidos los honorarios </w:t>
      </w:r>
      <w:r w:rsidR="00682490" w:rsidRPr="00D51377">
        <w:rPr>
          <w:rFonts w:asciiTheme="minorHAnsi" w:hAnsiTheme="minorHAnsi" w:cstheme="minorHAnsi"/>
          <w:noProof/>
          <w:lang w:val="es-ES"/>
        </w:rPr>
        <w:t>que se pagan a</w:t>
      </w:r>
      <w:r w:rsidRPr="00D51377">
        <w:rPr>
          <w:rFonts w:asciiTheme="minorHAnsi" w:hAnsiTheme="minorHAnsi" w:cstheme="minorHAnsi"/>
          <w:noProof/>
          <w:lang w:val="es-ES"/>
        </w:rPr>
        <w:t xml:space="preserve"> la organización anfitriona</w:t>
      </w:r>
      <w:r w:rsidR="00682490" w:rsidRPr="00D51377">
        <w:rPr>
          <w:rFonts w:asciiTheme="minorHAnsi" w:hAnsiTheme="minorHAnsi" w:cstheme="minorHAnsi"/>
          <w:noProof/>
          <w:lang w:val="es-ES"/>
        </w:rPr>
        <w:t xml:space="preserve">, lo que incluye </w:t>
      </w:r>
      <w:r w:rsidRPr="00D51377">
        <w:rPr>
          <w:rFonts w:asciiTheme="minorHAnsi" w:hAnsiTheme="minorHAnsi" w:cstheme="minorHAnsi"/>
          <w:noProof/>
          <w:lang w:val="es-ES"/>
        </w:rPr>
        <w:t xml:space="preserve">servicios y personal proporcionados por la organización anfitriona, cuando </w:t>
      </w:r>
      <w:r w:rsidR="00682490" w:rsidRPr="00D51377">
        <w:rPr>
          <w:rFonts w:asciiTheme="minorHAnsi" w:hAnsiTheme="minorHAnsi" w:cstheme="minorHAnsi"/>
          <w:noProof/>
          <w:lang w:val="es-ES"/>
        </w:rPr>
        <w:t>procede</w:t>
      </w:r>
      <w:r w:rsidR="002E54E9" w:rsidRPr="00D51377">
        <w:rPr>
          <w:rFonts w:asciiTheme="minorHAnsi" w:hAnsiTheme="minorHAnsi" w:cstheme="minorHAnsi"/>
          <w:noProof/>
          <w:lang w:val="es-ES"/>
        </w:rPr>
        <w:t>)</w:t>
      </w:r>
      <w:r w:rsidR="00682490" w:rsidRPr="00D51377">
        <w:rPr>
          <w:rFonts w:asciiTheme="minorHAnsi" w:hAnsiTheme="minorHAnsi" w:cstheme="minorHAnsi"/>
          <w:noProof/>
          <w:lang w:val="es-ES"/>
        </w:rPr>
        <w:t>;</w:t>
      </w:r>
    </w:p>
    <w:p w14:paraId="2E51B7EA" w14:textId="65C86608" w:rsidR="00BA504D" w:rsidRPr="00D51377" w:rsidRDefault="00D90EEF" w:rsidP="002E54E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>Costos</w:t>
      </w:r>
      <w:r w:rsidR="00682490" w:rsidRPr="00D51377">
        <w:rPr>
          <w:rFonts w:asciiTheme="minorHAnsi" w:hAnsiTheme="minorHAnsi" w:cstheme="minorHAnsi"/>
          <w:noProof/>
          <w:lang w:val="es-ES"/>
        </w:rPr>
        <w:t xml:space="preserve"> de personal e implicaciones de las prestaciones; y</w:t>
      </w:r>
      <w:r w:rsidR="00682490" w:rsidRPr="00D51377" w:rsidDel="00682490">
        <w:rPr>
          <w:rFonts w:asciiTheme="minorHAnsi" w:hAnsiTheme="minorHAnsi" w:cstheme="minorHAnsi"/>
          <w:noProof/>
          <w:lang w:val="es-ES"/>
        </w:rPr>
        <w:t xml:space="preserve"> </w:t>
      </w:r>
      <w:r w:rsidR="00BA504D" w:rsidRPr="00D51377">
        <w:rPr>
          <w:rFonts w:asciiTheme="minorHAnsi" w:hAnsiTheme="minorHAnsi" w:cstheme="minorHAnsi"/>
          <w:noProof/>
          <w:lang w:val="es-ES"/>
        </w:rPr>
        <w:t xml:space="preserve"> </w:t>
      </w:r>
    </w:p>
    <w:p w14:paraId="1365AC58" w14:textId="1628D59A" w:rsidR="00682490" w:rsidRPr="00D51377" w:rsidRDefault="00682490" w:rsidP="002E54E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>Los procedimientos y el tiempo aproximado para cada opción.</w:t>
      </w:r>
    </w:p>
    <w:p w14:paraId="5F91CF4B" w14:textId="77777777" w:rsidR="00CF758B" w:rsidRPr="00D51377" w:rsidRDefault="00CF758B" w:rsidP="00166A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noProof/>
          <w:lang w:val="es-ES"/>
        </w:rPr>
      </w:pPr>
    </w:p>
    <w:p w14:paraId="1AE26A83" w14:textId="00751869" w:rsidR="00BE5A0C" w:rsidRPr="00D51377" w:rsidRDefault="00B73F3B" w:rsidP="00166ADC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noProof/>
          <w:lang w:val="es-ES"/>
        </w:rPr>
      </w:pPr>
      <w:r w:rsidRPr="00D51377">
        <w:rPr>
          <w:rFonts w:cstheme="minorHAnsi"/>
          <w:noProof/>
          <w:lang w:val="es-ES"/>
        </w:rPr>
        <w:t>11</w:t>
      </w:r>
      <w:r w:rsidR="007935A5" w:rsidRPr="00D51377">
        <w:rPr>
          <w:rFonts w:cstheme="minorHAnsi"/>
          <w:noProof/>
          <w:lang w:val="es-ES"/>
        </w:rPr>
        <w:t xml:space="preserve">. </w:t>
      </w:r>
      <w:r w:rsidRPr="00D51377">
        <w:rPr>
          <w:rFonts w:cstheme="minorHAnsi"/>
          <w:noProof/>
          <w:lang w:val="es-ES"/>
        </w:rPr>
        <w:tab/>
      </w:r>
      <w:r w:rsidR="00BA504D" w:rsidRPr="00D51377">
        <w:rPr>
          <w:rFonts w:cstheme="minorHAnsi"/>
          <w:noProof/>
          <w:lang w:val="es-ES"/>
        </w:rPr>
        <w:t xml:space="preserve">El informe determina los </w:t>
      </w:r>
      <w:r w:rsidR="007D3782" w:rsidRPr="00D51377">
        <w:rPr>
          <w:rFonts w:cstheme="minorHAnsi"/>
          <w:noProof/>
          <w:lang w:val="es-ES"/>
        </w:rPr>
        <w:t>costos</w:t>
      </w:r>
      <w:r w:rsidR="00BA504D" w:rsidRPr="00D51377">
        <w:rPr>
          <w:rFonts w:cstheme="minorHAnsi"/>
          <w:noProof/>
          <w:lang w:val="es-ES"/>
        </w:rPr>
        <w:t xml:space="preserve"> en el escenario actual y en las opciones A1, A3 y B1 identificadas por el análisis independiente sobre </w:t>
      </w:r>
      <w:r w:rsidR="00994C6D" w:rsidRPr="00D51377">
        <w:rPr>
          <w:rFonts w:cstheme="minorHAnsi"/>
          <w:noProof/>
          <w:lang w:val="es-ES"/>
        </w:rPr>
        <w:t>la situación jurídica</w:t>
      </w:r>
      <w:r w:rsidR="00BA504D" w:rsidRPr="00D51377">
        <w:rPr>
          <w:rFonts w:cstheme="minorHAnsi"/>
          <w:noProof/>
          <w:lang w:val="es-ES"/>
        </w:rPr>
        <w:t xml:space="preserve"> de la Secretaría, </w:t>
      </w:r>
      <w:r w:rsidR="007D3782" w:rsidRPr="00D51377">
        <w:rPr>
          <w:rFonts w:cstheme="minorHAnsi"/>
          <w:noProof/>
          <w:lang w:val="es-ES"/>
        </w:rPr>
        <w:t>recurriendo a la comparación con</w:t>
      </w:r>
      <w:r w:rsidR="00BA504D" w:rsidRPr="00D51377">
        <w:rPr>
          <w:rFonts w:cstheme="minorHAnsi"/>
          <w:noProof/>
          <w:lang w:val="es-ES"/>
        </w:rPr>
        <w:t xml:space="preserve"> organizaciones </w:t>
      </w:r>
      <w:r w:rsidR="007D3782" w:rsidRPr="00D51377">
        <w:rPr>
          <w:rFonts w:cstheme="minorHAnsi"/>
          <w:noProof/>
          <w:lang w:val="es-ES"/>
        </w:rPr>
        <w:t>similares</w:t>
      </w:r>
      <w:r w:rsidR="00BA504D" w:rsidRPr="00D51377">
        <w:rPr>
          <w:rFonts w:cstheme="minorHAnsi"/>
          <w:noProof/>
          <w:lang w:val="es-ES"/>
        </w:rPr>
        <w:t>. El análisis se basa en un ampli</w:t>
      </w:r>
      <w:r w:rsidR="00FC2065" w:rsidRPr="00D51377">
        <w:rPr>
          <w:rFonts w:cstheme="minorHAnsi"/>
          <w:noProof/>
          <w:lang w:val="es-ES"/>
        </w:rPr>
        <w:t>o</w:t>
      </w:r>
      <w:r w:rsidR="00BA504D" w:rsidRPr="00D51377">
        <w:rPr>
          <w:rFonts w:cstheme="minorHAnsi"/>
          <w:noProof/>
          <w:lang w:val="es-ES"/>
        </w:rPr>
        <w:t xml:space="preserve"> </w:t>
      </w:r>
      <w:r w:rsidR="007D3782" w:rsidRPr="00D51377">
        <w:rPr>
          <w:rFonts w:cstheme="minorHAnsi"/>
          <w:noProof/>
          <w:lang w:val="es-ES"/>
        </w:rPr>
        <w:t>estudio</w:t>
      </w:r>
      <w:r w:rsidR="00BA504D" w:rsidRPr="00D51377">
        <w:rPr>
          <w:rFonts w:cstheme="minorHAnsi"/>
          <w:noProof/>
          <w:lang w:val="es-ES"/>
        </w:rPr>
        <w:t xml:space="preserve"> bibliográfic</w:t>
      </w:r>
      <w:r w:rsidR="00FC2065" w:rsidRPr="00D51377">
        <w:rPr>
          <w:rFonts w:cstheme="minorHAnsi"/>
          <w:noProof/>
          <w:lang w:val="es-ES"/>
        </w:rPr>
        <w:t>o</w:t>
      </w:r>
      <w:r w:rsidR="00BA504D" w:rsidRPr="00D51377">
        <w:rPr>
          <w:rFonts w:cstheme="minorHAnsi"/>
          <w:noProof/>
          <w:lang w:val="es-ES"/>
        </w:rPr>
        <w:t xml:space="preserve"> y en entrevistas con funcionarios </w:t>
      </w:r>
      <w:r w:rsidR="007D3782" w:rsidRPr="00D51377">
        <w:rPr>
          <w:rFonts w:cstheme="minorHAnsi"/>
          <w:noProof/>
          <w:lang w:val="es-ES"/>
        </w:rPr>
        <w:t>de</w:t>
      </w:r>
      <w:r w:rsidR="00BA504D" w:rsidRPr="00D51377">
        <w:rPr>
          <w:rFonts w:cstheme="minorHAnsi"/>
          <w:noProof/>
          <w:lang w:val="es-ES"/>
        </w:rPr>
        <w:t xml:space="preserve"> organizaciones y secretarías </w:t>
      </w:r>
      <w:r w:rsidR="007D3782" w:rsidRPr="00D51377">
        <w:rPr>
          <w:rFonts w:cstheme="minorHAnsi"/>
          <w:noProof/>
          <w:lang w:val="es-ES"/>
        </w:rPr>
        <w:t>similares</w:t>
      </w:r>
      <w:r w:rsidR="00BA504D" w:rsidRPr="00D51377">
        <w:rPr>
          <w:rFonts w:cstheme="minorHAnsi"/>
          <w:noProof/>
          <w:lang w:val="es-ES"/>
        </w:rPr>
        <w:t>.</w:t>
      </w:r>
    </w:p>
    <w:p w14:paraId="7D0090AF" w14:textId="19BB867B" w:rsidR="00694C51" w:rsidRPr="00D51377" w:rsidRDefault="00694C51" w:rsidP="00FC20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noProof/>
          <w:lang w:val="es-ES"/>
        </w:rPr>
      </w:pPr>
    </w:p>
    <w:p w14:paraId="153E481E" w14:textId="53BE8A49" w:rsidR="003B4941" w:rsidRPr="00D51377" w:rsidRDefault="00B73F3B" w:rsidP="003B4941">
      <w:pPr>
        <w:rPr>
          <w:rFonts w:cstheme="minorHAnsi"/>
          <w:noProof/>
          <w:lang w:val="es-ES"/>
        </w:rPr>
      </w:pPr>
      <w:r w:rsidRPr="00D51377">
        <w:rPr>
          <w:rFonts w:cstheme="minorHAnsi"/>
          <w:noProof/>
          <w:lang w:val="es-ES"/>
        </w:rPr>
        <w:t>12.</w:t>
      </w:r>
      <w:r w:rsidR="003B4941" w:rsidRPr="00D51377">
        <w:rPr>
          <w:rFonts w:cstheme="minorHAnsi"/>
          <w:noProof/>
          <w:lang w:val="es-ES"/>
        </w:rPr>
        <w:t xml:space="preserve">   </w:t>
      </w:r>
      <w:r w:rsidR="00FC2065" w:rsidRPr="00D51377">
        <w:rPr>
          <w:rFonts w:cstheme="minorHAnsi"/>
          <w:noProof/>
          <w:lang w:val="es-ES"/>
        </w:rPr>
        <w:t>En consonancia con lo anterior, el informe ofrece información sobre</w:t>
      </w:r>
      <w:r w:rsidR="003B4941" w:rsidRPr="00D51377">
        <w:rPr>
          <w:rFonts w:cstheme="minorHAnsi"/>
          <w:noProof/>
          <w:lang w:val="es-ES"/>
        </w:rPr>
        <w:t xml:space="preserve"> lo siguiente</w:t>
      </w:r>
      <w:r w:rsidR="00FC2065" w:rsidRPr="00D51377">
        <w:rPr>
          <w:rFonts w:cstheme="minorHAnsi"/>
          <w:noProof/>
          <w:lang w:val="es-ES"/>
        </w:rPr>
        <w:t>:</w:t>
      </w:r>
    </w:p>
    <w:p w14:paraId="6F9AA656" w14:textId="507A4115" w:rsidR="003B4941" w:rsidRPr="00D51377" w:rsidRDefault="003B4941" w:rsidP="003B494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 xml:space="preserve">Los </w:t>
      </w:r>
      <w:r w:rsidR="00997C6D" w:rsidRPr="00D51377">
        <w:rPr>
          <w:rFonts w:asciiTheme="minorHAnsi" w:hAnsiTheme="minorHAnsi" w:cstheme="minorHAnsi"/>
          <w:noProof/>
          <w:lang w:val="es-ES"/>
        </w:rPr>
        <w:t>costos</w:t>
      </w:r>
      <w:r w:rsidRPr="00D51377">
        <w:rPr>
          <w:rFonts w:asciiTheme="minorHAnsi" w:hAnsiTheme="minorHAnsi" w:cstheme="minorHAnsi"/>
          <w:noProof/>
          <w:lang w:val="es-ES"/>
        </w:rPr>
        <w:t xml:space="preserve"> relativos </w:t>
      </w:r>
      <w:r w:rsidR="00E82C63" w:rsidRPr="00D51377">
        <w:rPr>
          <w:rFonts w:asciiTheme="minorHAnsi" w:hAnsiTheme="minorHAnsi" w:cstheme="minorHAnsi"/>
          <w:noProof/>
          <w:lang w:val="es-ES"/>
        </w:rPr>
        <w:t>de</w:t>
      </w:r>
      <w:r w:rsidRPr="00D51377">
        <w:rPr>
          <w:rFonts w:asciiTheme="minorHAnsi" w:hAnsiTheme="minorHAnsi" w:cstheme="minorHAnsi"/>
          <w:noProof/>
          <w:lang w:val="es-ES"/>
        </w:rPr>
        <w:t xml:space="preserve"> cada opción; </w:t>
      </w:r>
    </w:p>
    <w:p w14:paraId="1C99C24D" w14:textId="4556D301" w:rsidR="003B4941" w:rsidRPr="00D51377" w:rsidRDefault="003B4941" w:rsidP="003B494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 xml:space="preserve">Las prestaciones </w:t>
      </w:r>
      <w:r w:rsidR="00E82C63" w:rsidRPr="00D51377">
        <w:rPr>
          <w:rFonts w:asciiTheme="minorHAnsi" w:hAnsiTheme="minorHAnsi" w:cstheme="minorHAnsi"/>
          <w:noProof/>
          <w:lang w:val="es-ES"/>
        </w:rPr>
        <w:t>de</w:t>
      </w:r>
      <w:r w:rsidRPr="00D51377">
        <w:rPr>
          <w:rFonts w:asciiTheme="minorHAnsi" w:hAnsiTheme="minorHAnsi" w:cstheme="minorHAnsi"/>
          <w:noProof/>
          <w:lang w:val="es-ES"/>
        </w:rPr>
        <w:t xml:space="preserve"> cada opción;</w:t>
      </w:r>
    </w:p>
    <w:p w14:paraId="01A5868B" w14:textId="587DD54A" w:rsidR="003B4941" w:rsidRPr="00D51377" w:rsidRDefault="003B4941" w:rsidP="003B494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>Los procesos de transición para cada opción;</w:t>
      </w:r>
    </w:p>
    <w:p w14:paraId="6E6C619B" w14:textId="2582F380" w:rsidR="003B4941" w:rsidRPr="00D51377" w:rsidRDefault="003B4941" w:rsidP="003B494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>Estimaciones e hipótesis;</w:t>
      </w:r>
    </w:p>
    <w:p w14:paraId="2BC44C45" w14:textId="35BF2996" w:rsidR="003B4941" w:rsidRPr="00D51377" w:rsidRDefault="003B4941" w:rsidP="003B494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>Cuadro comparativo de los tres escenarios y su posible significado para la Secretaría;</w:t>
      </w:r>
    </w:p>
    <w:p w14:paraId="01AB3956" w14:textId="4E510F02" w:rsidR="003B4941" w:rsidRPr="00D51377" w:rsidRDefault="003B4941" w:rsidP="003B494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 xml:space="preserve">Cuadro comparativo de </w:t>
      </w:r>
      <w:r w:rsidR="00E82C63" w:rsidRPr="00D51377">
        <w:rPr>
          <w:rFonts w:asciiTheme="minorHAnsi" w:hAnsiTheme="minorHAnsi" w:cstheme="minorHAnsi"/>
          <w:noProof/>
          <w:lang w:val="es-ES"/>
        </w:rPr>
        <w:t>las ventajas y desventajas</w:t>
      </w:r>
      <w:r w:rsidRPr="00D51377">
        <w:rPr>
          <w:rFonts w:asciiTheme="minorHAnsi" w:hAnsiTheme="minorHAnsi" w:cstheme="minorHAnsi"/>
          <w:noProof/>
          <w:lang w:val="es-ES"/>
        </w:rPr>
        <w:t xml:space="preserve"> de las cuatro opciones evaluadas;</w:t>
      </w:r>
    </w:p>
    <w:p w14:paraId="55F7F6D5" w14:textId="1AEB14ED" w:rsidR="00E65D18" w:rsidRPr="00D51377" w:rsidRDefault="003B4941" w:rsidP="00997C6D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 xml:space="preserve">Cuadro comparativo de los </w:t>
      </w:r>
      <w:r w:rsidR="00997C6D" w:rsidRPr="00D51377">
        <w:rPr>
          <w:rFonts w:asciiTheme="minorHAnsi" w:hAnsiTheme="minorHAnsi" w:cstheme="minorHAnsi"/>
          <w:noProof/>
          <w:lang w:val="es-ES"/>
        </w:rPr>
        <w:t>costos</w:t>
      </w:r>
      <w:r w:rsidRPr="00D51377">
        <w:rPr>
          <w:rFonts w:asciiTheme="minorHAnsi" w:hAnsiTheme="minorHAnsi" w:cstheme="minorHAnsi"/>
          <w:noProof/>
          <w:lang w:val="es-ES"/>
        </w:rPr>
        <w:t xml:space="preserve"> anuales </w:t>
      </w:r>
      <w:r w:rsidR="00997C6D" w:rsidRPr="00D51377">
        <w:rPr>
          <w:rFonts w:asciiTheme="minorHAnsi" w:hAnsiTheme="minorHAnsi" w:cstheme="minorHAnsi"/>
          <w:noProof/>
          <w:lang w:val="es-ES"/>
        </w:rPr>
        <w:t>en el marco de</w:t>
      </w:r>
      <w:r w:rsidRPr="00D51377">
        <w:rPr>
          <w:rFonts w:asciiTheme="minorHAnsi" w:hAnsiTheme="minorHAnsi" w:cstheme="minorHAnsi"/>
          <w:noProof/>
          <w:lang w:val="es-ES"/>
        </w:rPr>
        <w:t xml:space="preserve"> la UICN, la opción A1, la opción A3 y la opción B1;</w:t>
      </w:r>
      <w:r w:rsidR="00997C6D" w:rsidRPr="00D51377">
        <w:rPr>
          <w:rFonts w:asciiTheme="minorHAnsi" w:hAnsiTheme="minorHAnsi" w:cstheme="minorHAnsi"/>
          <w:noProof/>
          <w:lang w:val="es-ES"/>
        </w:rPr>
        <w:t xml:space="preserve"> y</w:t>
      </w:r>
    </w:p>
    <w:p w14:paraId="2F24A78A" w14:textId="2B090AC5" w:rsidR="00E65D18" w:rsidRPr="00D51377" w:rsidRDefault="00E65D18" w:rsidP="00E65D1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 xml:space="preserve">Cálculos relativos al personal. </w:t>
      </w:r>
    </w:p>
    <w:p w14:paraId="139F6EEC" w14:textId="77777777" w:rsidR="001738F2" w:rsidRPr="00D51377" w:rsidRDefault="001738F2" w:rsidP="00E65D18">
      <w:pPr>
        <w:pStyle w:val="ListParagraph"/>
        <w:rPr>
          <w:rFonts w:cstheme="minorHAnsi"/>
          <w:noProof/>
          <w:lang w:val="es-ES"/>
        </w:rPr>
      </w:pPr>
    </w:p>
    <w:p w14:paraId="7E062DD1" w14:textId="28C588D6" w:rsidR="0056277E" w:rsidRPr="00D51377" w:rsidRDefault="00B25DF0" w:rsidP="0056277E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noProof/>
          <w:lang w:val="es-ES"/>
        </w:rPr>
      </w:pPr>
      <w:r w:rsidRPr="00D51377">
        <w:rPr>
          <w:rFonts w:cstheme="minorHAnsi"/>
          <w:noProof/>
          <w:lang w:val="es-ES"/>
        </w:rPr>
        <w:t>13.</w:t>
      </w:r>
      <w:r w:rsidRPr="00D51377">
        <w:rPr>
          <w:rFonts w:cstheme="minorHAnsi"/>
          <w:noProof/>
          <w:lang w:val="es-ES"/>
        </w:rPr>
        <w:tab/>
      </w:r>
      <w:r w:rsidR="00105030" w:rsidRPr="00D51377">
        <w:rPr>
          <w:rFonts w:cstheme="minorHAnsi"/>
          <w:noProof/>
          <w:lang w:val="es-ES"/>
        </w:rPr>
        <w:t xml:space="preserve">En cuanto a los </w:t>
      </w:r>
      <w:r w:rsidR="00266B4F" w:rsidRPr="00D51377">
        <w:rPr>
          <w:rFonts w:cstheme="minorHAnsi"/>
          <w:noProof/>
          <w:lang w:val="es-ES"/>
        </w:rPr>
        <w:t>costos</w:t>
      </w:r>
      <w:r w:rsidR="00105030" w:rsidRPr="00D51377">
        <w:rPr>
          <w:rFonts w:cstheme="minorHAnsi"/>
          <w:noProof/>
          <w:lang w:val="es-ES"/>
        </w:rPr>
        <w:t xml:space="preserve"> relativos de cada opción, el informe señala </w:t>
      </w:r>
      <w:r w:rsidR="008F0021" w:rsidRPr="00D51377">
        <w:rPr>
          <w:rFonts w:cstheme="minorHAnsi"/>
          <w:noProof/>
          <w:lang w:val="es-ES"/>
        </w:rPr>
        <w:t>que,</w:t>
      </w:r>
      <w:r w:rsidR="00105030" w:rsidRPr="00D51377">
        <w:rPr>
          <w:rFonts w:cstheme="minorHAnsi"/>
          <w:noProof/>
          <w:lang w:val="es-ES"/>
        </w:rPr>
        <w:t xml:space="preserve"> en 2008, tras realizar un análisis de las implicaciones financieras derivadas de la incorporación de la Secretaría en el PNUMA o su conversión en una organización </w:t>
      </w:r>
      <w:r w:rsidR="00741180" w:rsidRPr="00D51377">
        <w:rPr>
          <w:rFonts w:cstheme="minorHAnsi"/>
          <w:noProof/>
          <w:lang w:val="es-ES"/>
        </w:rPr>
        <w:t>intergubernamental</w:t>
      </w:r>
      <w:r w:rsidR="00105030" w:rsidRPr="00D51377">
        <w:rPr>
          <w:rFonts w:cstheme="minorHAnsi"/>
          <w:noProof/>
          <w:lang w:val="es-ES"/>
        </w:rPr>
        <w:t xml:space="preserve"> independiente, se concluyó que la incorporación en el PNUMA implicaría un aumento de al menos </w:t>
      </w:r>
      <w:r w:rsidR="004C0325" w:rsidRPr="00D51377">
        <w:rPr>
          <w:rFonts w:cstheme="minorHAnsi"/>
          <w:noProof/>
          <w:lang w:val="es-ES"/>
        </w:rPr>
        <w:t>un</w:t>
      </w:r>
      <w:r w:rsidR="00105030" w:rsidRPr="00D51377">
        <w:rPr>
          <w:rFonts w:cstheme="minorHAnsi"/>
          <w:noProof/>
          <w:lang w:val="es-ES"/>
        </w:rPr>
        <w:t xml:space="preserve"> 24 % del presupuesto anual. En aquel momento, la principal diferencia </w:t>
      </w:r>
      <w:r w:rsidR="00D90EEF" w:rsidRPr="00D51377">
        <w:rPr>
          <w:rFonts w:cstheme="minorHAnsi"/>
          <w:noProof/>
          <w:lang w:val="es-ES"/>
        </w:rPr>
        <w:t>radicaba</w:t>
      </w:r>
      <w:r w:rsidR="00105030" w:rsidRPr="00D51377">
        <w:rPr>
          <w:rFonts w:cstheme="minorHAnsi"/>
          <w:noProof/>
          <w:lang w:val="es-ES"/>
        </w:rPr>
        <w:t xml:space="preserve"> en los costos de personal, pero en la actualidad esta diferencia parece ser mucho menor. En 2008, </w:t>
      </w:r>
      <w:r w:rsidR="005D57B8" w:rsidRPr="00D51377">
        <w:rPr>
          <w:rFonts w:cstheme="minorHAnsi"/>
          <w:noProof/>
          <w:lang w:val="es-ES"/>
        </w:rPr>
        <w:t xml:space="preserve">los </w:t>
      </w:r>
      <w:r w:rsidR="00F525C4" w:rsidRPr="00D51377">
        <w:rPr>
          <w:rFonts w:cstheme="minorHAnsi"/>
          <w:noProof/>
          <w:lang w:val="es-ES"/>
        </w:rPr>
        <w:t>costos</w:t>
      </w:r>
      <w:r w:rsidR="00105030" w:rsidRPr="00D51377">
        <w:rPr>
          <w:rFonts w:cstheme="minorHAnsi"/>
          <w:noProof/>
          <w:lang w:val="es-ES"/>
        </w:rPr>
        <w:t xml:space="preserve"> anual</w:t>
      </w:r>
      <w:r w:rsidR="005D57B8" w:rsidRPr="00D51377">
        <w:rPr>
          <w:rFonts w:cstheme="minorHAnsi"/>
          <w:noProof/>
          <w:lang w:val="es-ES"/>
        </w:rPr>
        <w:t xml:space="preserve">es </w:t>
      </w:r>
      <w:r w:rsidR="00105030" w:rsidRPr="00D51377">
        <w:rPr>
          <w:rFonts w:cstheme="minorHAnsi"/>
          <w:noProof/>
          <w:lang w:val="es-ES"/>
        </w:rPr>
        <w:t>de personal calculado</w:t>
      </w:r>
      <w:r w:rsidR="005D57B8" w:rsidRPr="00D51377">
        <w:rPr>
          <w:rFonts w:cstheme="minorHAnsi"/>
          <w:noProof/>
          <w:lang w:val="es-ES"/>
        </w:rPr>
        <w:t>s</w:t>
      </w:r>
      <w:r w:rsidR="00105030" w:rsidRPr="00D51377">
        <w:rPr>
          <w:rFonts w:cstheme="minorHAnsi"/>
          <w:noProof/>
          <w:lang w:val="es-ES"/>
        </w:rPr>
        <w:t xml:space="preserve"> </w:t>
      </w:r>
      <w:r w:rsidR="005D57B8" w:rsidRPr="00D51377">
        <w:rPr>
          <w:rFonts w:cstheme="minorHAnsi"/>
          <w:noProof/>
          <w:lang w:val="es-ES"/>
        </w:rPr>
        <w:t>sobre la base de</w:t>
      </w:r>
      <w:r w:rsidR="00105030" w:rsidRPr="00D51377">
        <w:rPr>
          <w:rFonts w:cstheme="minorHAnsi"/>
          <w:noProof/>
          <w:lang w:val="es-ES"/>
        </w:rPr>
        <w:t xml:space="preserve"> los salarios</w:t>
      </w:r>
      <w:r w:rsidR="005D57B8" w:rsidRPr="00D51377">
        <w:rPr>
          <w:rFonts w:cstheme="minorHAnsi"/>
          <w:noProof/>
          <w:lang w:val="es-ES"/>
        </w:rPr>
        <w:t xml:space="preserve"> </w:t>
      </w:r>
      <w:r w:rsidR="00105030" w:rsidRPr="00D51377">
        <w:rPr>
          <w:rFonts w:cstheme="minorHAnsi"/>
          <w:noProof/>
          <w:lang w:val="es-ES"/>
        </w:rPr>
        <w:t>y prestaciones de la UICN era</w:t>
      </w:r>
      <w:r w:rsidR="005D57B8" w:rsidRPr="00D51377">
        <w:rPr>
          <w:rFonts w:cstheme="minorHAnsi"/>
          <w:noProof/>
          <w:lang w:val="es-ES"/>
        </w:rPr>
        <w:t>n</w:t>
      </w:r>
      <w:r w:rsidR="00105030" w:rsidRPr="00D51377">
        <w:rPr>
          <w:rFonts w:cstheme="minorHAnsi"/>
          <w:noProof/>
          <w:lang w:val="es-ES"/>
        </w:rPr>
        <w:t xml:space="preserve"> </w:t>
      </w:r>
      <w:r w:rsidR="00F525C4" w:rsidRPr="00D51377">
        <w:rPr>
          <w:rFonts w:cstheme="minorHAnsi"/>
          <w:noProof/>
          <w:lang w:val="es-ES"/>
        </w:rPr>
        <w:t>muy inferiores a</w:t>
      </w:r>
      <w:r w:rsidR="00105030" w:rsidRPr="00D51377">
        <w:rPr>
          <w:rFonts w:cstheme="minorHAnsi"/>
          <w:noProof/>
          <w:lang w:val="es-ES"/>
        </w:rPr>
        <w:t xml:space="preserve"> </w:t>
      </w:r>
      <w:r w:rsidR="005D57B8" w:rsidRPr="00D51377">
        <w:rPr>
          <w:rFonts w:cstheme="minorHAnsi"/>
          <w:noProof/>
          <w:lang w:val="es-ES"/>
        </w:rPr>
        <w:t xml:space="preserve">los </w:t>
      </w:r>
      <w:r w:rsidR="004C0325" w:rsidRPr="00D51377">
        <w:rPr>
          <w:rFonts w:cstheme="minorHAnsi"/>
          <w:noProof/>
          <w:lang w:val="es-ES"/>
        </w:rPr>
        <w:t>costos</w:t>
      </w:r>
      <w:r w:rsidR="005D57B8" w:rsidRPr="00D51377">
        <w:rPr>
          <w:rFonts w:cstheme="minorHAnsi"/>
          <w:noProof/>
          <w:lang w:val="es-ES"/>
        </w:rPr>
        <w:t xml:space="preserve"> calculados sobre la base de los salarios y prestaciones </w:t>
      </w:r>
      <w:r w:rsidR="00105030" w:rsidRPr="00D51377">
        <w:rPr>
          <w:rFonts w:cstheme="minorHAnsi"/>
          <w:noProof/>
          <w:lang w:val="es-ES"/>
        </w:rPr>
        <w:t>de l</w:t>
      </w:r>
      <w:r w:rsidR="005D57B8" w:rsidRPr="00D51377">
        <w:rPr>
          <w:rFonts w:cstheme="minorHAnsi"/>
          <w:noProof/>
          <w:lang w:val="es-ES"/>
        </w:rPr>
        <w:t>as Naciones Unidas</w:t>
      </w:r>
      <w:r w:rsidR="00105030" w:rsidRPr="00D51377">
        <w:rPr>
          <w:rFonts w:cstheme="minorHAnsi"/>
          <w:noProof/>
          <w:lang w:val="es-ES"/>
        </w:rPr>
        <w:t xml:space="preserve">. </w:t>
      </w:r>
      <w:r w:rsidR="005D57B8" w:rsidRPr="00D51377">
        <w:rPr>
          <w:rFonts w:cstheme="minorHAnsi"/>
          <w:noProof/>
          <w:lang w:val="es-ES"/>
        </w:rPr>
        <w:t>En la actualidad,</w:t>
      </w:r>
      <w:r w:rsidR="00105030" w:rsidRPr="00D51377">
        <w:rPr>
          <w:rFonts w:cstheme="minorHAnsi"/>
          <w:noProof/>
          <w:lang w:val="es-ES"/>
        </w:rPr>
        <w:t xml:space="preserve"> </w:t>
      </w:r>
      <w:r w:rsidR="005D57B8" w:rsidRPr="00D51377">
        <w:rPr>
          <w:rFonts w:cstheme="minorHAnsi"/>
          <w:noProof/>
          <w:lang w:val="es-ES"/>
        </w:rPr>
        <w:t xml:space="preserve">los </w:t>
      </w:r>
      <w:r w:rsidR="004C0325" w:rsidRPr="00D51377">
        <w:rPr>
          <w:rFonts w:cstheme="minorHAnsi"/>
          <w:noProof/>
          <w:lang w:val="es-ES"/>
        </w:rPr>
        <w:t>costos</w:t>
      </w:r>
      <w:r w:rsidR="005D57B8" w:rsidRPr="00D51377">
        <w:rPr>
          <w:rFonts w:cstheme="minorHAnsi"/>
          <w:noProof/>
          <w:lang w:val="es-ES"/>
        </w:rPr>
        <w:t xml:space="preserve"> de personal </w:t>
      </w:r>
      <w:r w:rsidR="00F525C4" w:rsidRPr="00D51377">
        <w:rPr>
          <w:rFonts w:cstheme="minorHAnsi"/>
          <w:noProof/>
          <w:lang w:val="es-ES"/>
        </w:rPr>
        <w:t xml:space="preserve">calculados </w:t>
      </w:r>
      <w:r w:rsidR="005D57B8" w:rsidRPr="00D51377">
        <w:rPr>
          <w:rFonts w:cstheme="minorHAnsi"/>
          <w:noProof/>
          <w:lang w:val="es-ES"/>
        </w:rPr>
        <w:t xml:space="preserve">sobre la base de </w:t>
      </w:r>
      <w:r w:rsidR="00105030" w:rsidRPr="00D51377">
        <w:rPr>
          <w:rFonts w:cstheme="minorHAnsi"/>
          <w:noProof/>
          <w:lang w:val="es-ES"/>
        </w:rPr>
        <w:t xml:space="preserve">los salarios </w:t>
      </w:r>
      <w:r w:rsidR="005D57B8" w:rsidRPr="00D51377">
        <w:rPr>
          <w:rFonts w:cstheme="minorHAnsi"/>
          <w:noProof/>
          <w:lang w:val="es-ES"/>
        </w:rPr>
        <w:t xml:space="preserve">de las Naciones Unidas </w:t>
      </w:r>
      <w:r w:rsidR="00105030" w:rsidRPr="00D51377">
        <w:rPr>
          <w:rFonts w:cstheme="minorHAnsi"/>
          <w:noProof/>
          <w:lang w:val="es-ES"/>
        </w:rPr>
        <w:t xml:space="preserve">vigentes hasta 2022, </w:t>
      </w:r>
      <w:r w:rsidR="00266B4F" w:rsidRPr="00D51377">
        <w:rPr>
          <w:rFonts w:cstheme="minorHAnsi"/>
          <w:noProof/>
          <w:lang w:val="es-ES"/>
        </w:rPr>
        <w:t>con</w:t>
      </w:r>
      <w:r w:rsidR="00105030" w:rsidRPr="00D51377">
        <w:rPr>
          <w:rFonts w:cstheme="minorHAnsi"/>
          <w:noProof/>
          <w:lang w:val="es-ES"/>
        </w:rPr>
        <w:t xml:space="preserve"> un ajuste</w:t>
      </w:r>
      <w:r w:rsidR="00266B4F" w:rsidRPr="00D51377">
        <w:rPr>
          <w:rFonts w:cstheme="minorHAnsi"/>
          <w:noProof/>
          <w:lang w:val="es-ES"/>
        </w:rPr>
        <w:t xml:space="preserve"> del 74,7 %</w:t>
      </w:r>
      <w:r w:rsidR="00105030" w:rsidRPr="00D51377">
        <w:rPr>
          <w:rFonts w:cstheme="minorHAnsi"/>
          <w:noProof/>
          <w:lang w:val="es-ES"/>
        </w:rPr>
        <w:t xml:space="preserve"> </w:t>
      </w:r>
      <w:r w:rsidR="005D57B8" w:rsidRPr="00D51377">
        <w:rPr>
          <w:rFonts w:cstheme="minorHAnsi"/>
          <w:noProof/>
          <w:lang w:val="es-ES"/>
        </w:rPr>
        <w:t xml:space="preserve">por </w:t>
      </w:r>
      <w:r w:rsidR="00F525C4" w:rsidRPr="00D51377">
        <w:rPr>
          <w:rFonts w:cstheme="minorHAnsi"/>
          <w:noProof/>
          <w:lang w:val="es-ES"/>
        </w:rPr>
        <w:t xml:space="preserve">desempeño de un cargo </w:t>
      </w:r>
      <w:r w:rsidR="005D57B8" w:rsidRPr="00D51377">
        <w:rPr>
          <w:rFonts w:cstheme="minorHAnsi"/>
          <w:noProof/>
          <w:lang w:val="es-ES"/>
        </w:rPr>
        <w:t>en Ginebra</w:t>
      </w:r>
      <w:r w:rsidR="00F525C4" w:rsidRPr="00D51377">
        <w:rPr>
          <w:rFonts w:cstheme="minorHAnsi"/>
          <w:noProof/>
          <w:lang w:val="es-ES"/>
        </w:rPr>
        <w:t>,</w:t>
      </w:r>
      <w:r w:rsidR="00105030" w:rsidRPr="00D51377">
        <w:rPr>
          <w:rFonts w:cstheme="minorHAnsi"/>
          <w:noProof/>
          <w:lang w:val="es-ES"/>
        </w:rPr>
        <w:t xml:space="preserve"> </w:t>
      </w:r>
      <w:r w:rsidR="0056277E" w:rsidRPr="00D51377">
        <w:rPr>
          <w:rFonts w:cstheme="minorHAnsi"/>
          <w:noProof/>
          <w:lang w:val="es-ES"/>
        </w:rPr>
        <w:t>inclu</w:t>
      </w:r>
      <w:r w:rsidR="00266B4F" w:rsidRPr="00D51377">
        <w:rPr>
          <w:rFonts w:cstheme="minorHAnsi"/>
          <w:noProof/>
          <w:lang w:val="es-ES"/>
        </w:rPr>
        <w:t xml:space="preserve">idos </w:t>
      </w:r>
      <w:r w:rsidR="00105030" w:rsidRPr="00D51377">
        <w:rPr>
          <w:rFonts w:cstheme="minorHAnsi"/>
          <w:noProof/>
          <w:lang w:val="es-ES"/>
        </w:rPr>
        <w:t xml:space="preserve">un cónyuge </w:t>
      </w:r>
      <w:r w:rsidR="005D57B8" w:rsidRPr="00D51377">
        <w:rPr>
          <w:rFonts w:cstheme="minorHAnsi"/>
          <w:noProof/>
          <w:lang w:val="es-ES"/>
        </w:rPr>
        <w:t>dependiente</w:t>
      </w:r>
      <w:r w:rsidR="00105030" w:rsidRPr="00D51377">
        <w:rPr>
          <w:rFonts w:cstheme="minorHAnsi"/>
          <w:noProof/>
          <w:lang w:val="es-ES"/>
        </w:rPr>
        <w:t xml:space="preserve">, un hijo </w:t>
      </w:r>
      <w:r w:rsidR="005D57B8" w:rsidRPr="00D51377">
        <w:rPr>
          <w:rFonts w:cstheme="minorHAnsi"/>
          <w:noProof/>
          <w:lang w:val="es-ES"/>
        </w:rPr>
        <w:t>dependiente</w:t>
      </w:r>
      <w:r w:rsidR="00105030" w:rsidRPr="00D51377">
        <w:rPr>
          <w:rFonts w:cstheme="minorHAnsi"/>
          <w:noProof/>
          <w:lang w:val="es-ES"/>
        </w:rPr>
        <w:t xml:space="preserve"> y una </w:t>
      </w:r>
      <w:r w:rsidR="00F525C4" w:rsidRPr="00D51377">
        <w:rPr>
          <w:rFonts w:cstheme="minorHAnsi"/>
          <w:noProof/>
          <w:lang w:val="es-ES"/>
        </w:rPr>
        <w:t>jubilación</w:t>
      </w:r>
      <w:r w:rsidR="00105030" w:rsidRPr="00D51377">
        <w:rPr>
          <w:rFonts w:cstheme="minorHAnsi"/>
          <w:noProof/>
          <w:lang w:val="es-ES"/>
        </w:rPr>
        <w:t xml:space="preserve">, son solo ligeramente superiores a los </w:t>
      </w:r>
      <w:r w:rsidR="00266B4F" w:rsidRPr="00D51377">
        <w:rPr>
          <w:rFonts w:cstheme="minorHAnsi"/>
          <w:noProof/>
          <w:lang w:val="es-ES"/>
        </w:rPr>
        <w:t>costos</w:t>
      </w:r>
      <w:r w:rsidR="00105030" w:rsidRPr="00D51377">
        <w:rPr>
          <w:rFonts w:cstheme="minorHAnsi"/>
          <w:noProof/>
          <w:lang w:val="es-ES"/>
        </w:rPr>
        <w:t xml:space="preserve"> actuales de personal </w:t>
      </w:r>
      <w:r w:rsidR="00F525C4" w:rsidRPr="00D51377">
        <w:rPr>
          <w:rFonts w:cstheme="minorHAnsi"/>
          <w:noProof/>
          <w:lang w:val="es-ES"/>
        </w:rPr>
        <w:t>sobre la base de</w:t>
      </w:r>
      <w:r w:rsidR="00105030" w:rsidRPr="00D51377">
        <w:rPr>
          <w:rFonts w:cstheme="minorHAnsi"/>
          <w:noProof/>
          <w:lang w:val="es-ES"/>
        </w:rPr>
        <w:t xml:space="preserve"> los salarios</w:t>
      </w:r>
      <w:r w:rsidR="00F525C4" w:rsidRPr="00D51377">
        <w:rPr>
          <w:rFonts w:cstheme="minorHAnsi"/>
          <w:noProof/>
          <w:lang w:val="es-ES"/>
        </w:rPr>
        <w:t xml:space="preserve"> </w:t>
      </w:r>
      <w:r w:rsidR="00105030" w:rsidRPr="00D51377">
        <w:rPr>
          <w:rFonts w:cstheme="minorHAnsi"/>
          <w:noProof/>
          <w:lang w:val="es-ES"/>
        </w:rPr>
        <w:t>y prestaciones de la UICN</w:t>
      </w:r>
      <w:r w:rsidR="0056277E" w:rsidRPr="00D51377">
        <w:rPr>
          <w:rFonts w:cstheme="minorHAnsi"/>
          <w:noProof/>
          <w:lang w:val="es-ES"/>
        </w:rPr>
        <w:t>.</w:t>
      </w:r>
    </w:p>
    <w:p w14:paraId="18694466" w14:textId="4AE1DC0A" w:rsidR="0056277E" w:rsidRPr="00D51377" w:rsidRDefault="0056277E" w:rsidP="0056277E">
      <w:pPr>
        <w:spacing w:after="0" w:line="240" w:lineRule="auto"/>
        <w:rPr>
          <w:rFonts w:cstheme="minorHAnsi"/>
          <w:noProof/>
          <w:lang w:val="es-ES"/>
        </w:rPr>
      </w:pPr>
    </w:p>
    <w:p w14:paraId="50365EC5" w14:textId="2399912A" w:rsidR="00F84371" w:rsidRPr="00D51377" w:rsidRDefault="0056277E" w:rsidP="00166ADC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noProof/>
          <w:lang w:val="es-ES"/>
        </w:rPr>
      </w:pPr>
      <w:r w:rsidRPr="00D51377">
        <w:rPr>
          <w:rFonts w:cstheme="minorHAnsi"/>
          <w:noProof/>
          <w:lang w:val="es-ES"/>
        </w:rPr>
        <w:lastRenderedPageBreak/>
        <w:t>14.</w:t>
      </w:r>
      <w:r w:rsidRPr="00D51377">
        <w:rPr>
          <w:rFonts w:cstheme="minorHAnsi"/>
          <w:noProof/>
          <w:lang w:val="es-ES"/>
        </w:rPr>
        <w:tab/>
      </w:r>
      <w:r w:rsidR="009E0D92" w:rsidRPr="00D51377">
        <w:rPr>
          <w:rFonts w:cstheme="minorHAnsi"/>
          <w:noProof/>
          <w:lang w:val="es-ES"/>
        </w:rPr>
        <w:t>Asimismo, el</w:t>
      </w:r>
      <w:r w:rsidRPr="00D51377">
        <w:rPr>
          <w:rFonts w:cstheme="minorHAnsi"/>
          <w:noProof/>
          <w:lang w:val="es-ES"/>
        </w:rPr>
        <w:t xml:space="preserve"> informe </w:t>
      </w:r>
      <w:r w:rsidR="009E0D92" w:rsidRPr="00D51377">
        <w:rPr>
          <w:rFonts w:cstheme="minorHAnsi"/>
          <w:noProof/>
          <w:lang w:val="es-ES"/>
        </w:rPr>
        <w:t>indica</w:t>
      </w:r>
      <w:r w:rsidRPr="00D51377">
        <w:rPr>
          <w:rFonts w:cstheme="minorHAnsi"/>
          <w:noProof/>
          <w:lang w:val="es-ES"/>
        </w:rPr>
        <w:t xml:space="preserve"> que las conclusiones deben examinarse </w:t>
      </w:r>
      <w:r w:rsidR="00F2690B" w:rsidRPr="00D51377">
        <w:rPr>
          <w:rFonts w:cstheme="minorHAnsi"/>
          <w:noProof/>
          <w:lang w:val="es-ES"/>
        </w:rPr>
        <w:t>teniendo en cuenta</w:t>
      </w:r>
      <w:r w:rsidRPr="00D51377">
        <w:rPr>
          <w:rFonts w:cstheme="minorHAnsi"/>
          <w:noProof/>
          <w:lang w:val="es-ES"/>
        </w:rPr>
        <w:t xml:space="preserve"> las estimaciones y suposiciones </w:t>
      </w:r>
      <w:r w:rsidR="00421A32" w:rsidRPr="00D51377">
        <w:rPr>
          <w:rFonts w:cstheme="minorHAnsi"/>
          <w:noProof/>
          <w:lang w:val="es-ES"/>
        </w:rPr>
        <w:t>relacionadas</w:t>
      </w:r>
      <w:r w:rsidRPr="00D51377">
        <w:rPr>
          <w:rFonts w:cstheme="minorHAnsi"/>
          <w:noProof/>
          <w:lang w:val="es-ES"/>
        </w:rPr>
        <w:t xml:space="preserve"> con los costos de personal. </w:t>
      </w:r>
    </w:p>
    <w:p w14:paraId="50DE7C30" w14:textId="77777777" w:rsidR="00F84371" w:rsidRPr="00D51377" w:rsidRDefault="00F84371" w:rsidP="00166ADC">
      <w:pPr>
        <w:pStyle w:val="ListParagraph"/>
        <w:ind w:left="426" w:hanging="426"/>
        <w:jc w:val="left"/>
        <w:rPr>
          <w:rFonts w:asciiTheme="minorHAnsi" w:hAnsiTheme="minorHAnsi" w:cstheme="minorHAnsi"/>
          <w:noProof/>
          <w:lang w:val="es-ES"/>
        </w:rPr>
      </w:pPr>
    </w:p>
    <w:p w14:paraId="4EE9D763" w14:textId="3AB7551A" w:rsidR="00421A32" w:rsidRPr="00D51377" w:rsidRDefault="00B25DF0" w:rsidP="00166ADC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noProof/>
          <w:lang w:val="es-ES"/>
        </w:rPr>
      </w:pPr>
      <w:r w:rsidRPr="00D51377">
        <w:rPr>
          <w:rFonts w:cstheme="minorHAnsi"/>
          <w:noProof/>
          <w:lang w:val="es-ES"/>
        </w:rPr>
        <w:t>15.</w:t>
      </w:r>
      <w:r w:rsidRPr="00D51377">
        <w:rPr>
          <w:rFonts w:cstheme="minorHAnsi"/>
          <w:noProof/>
          <w:lang w:val="es-ES"/>
        </w:rPr>
        <w:tab/>
      </w:r>
      <w:r w:rsidR="00421A32" w:rsidRPr="00D51377">
        <w:rPr>
          <w:rFonts w:cstheme="minorHAnsi"/>
          <w:noProof/>
          <w:lang w:val="es-ES"/>
        </w:rPr>
        <w:t xml:space="preserve">El informe refleja que </w:t>
      </w:r>
      <w:r w:rsidR="00871E8F" w:rsidRPr="00D51377">
        <w:rPr>
          <w:rFonts w:cstheme="minorHAnsi"/>
          <w:noProof/>
          <w:lang w:val="es-ES"/>
        </w:rPr>
        <w:t>en</w:t>
      </w:r>
      <w:r w:rsidR="00421A32" w:rsidRPr="00D51377">
        <w:rPr>
          <w:rFonts w:cstheme="minorHAnsi"/>
          <w:noProof/>
          <w:lang w:val="es-ES"/>
        </w:rPr>
        <w:t xml:space="preserve"> las opciones A1, A3 y B1 sería importante tener en cuenta el costo de las reuniones de los órganos subsidiarios</w:t>
      </w:r>
      <w:r w:rsidR="00871E8F" w:rsidRPr="00D51377">
        <w:rPr>
          <w:rFonts w:cstheme="minorHAnsi"/>
          <w:noProof/>
          <w:lang w:val="es-ES"/>
        </w:rPr>
        <w:t>. E</w:t>
      </w:r>
      <w:r w:rsidR="00421A32" w:rsidRPr="00D51377">
        <w:rPr>
          <w:rFonts w:cstheme="minorHAnsi"/>
          <w:noProof/>
          <w:lang w:val="es-ES"/>
        </w:rPr>
        <w:t xml:space="preserve">n la UICN, la Convención no tiene que pagar alquiler </w:t>
      </w:r>
      <w:r w:rsidR="00F2690B" w:rsidRPr="00D51377">
        <w:rPr>
          <w:rFonts w:cstheme="minorHAnsi"/>
          <w:noProof/>
          <w:lang w:val="es-ES"/>
        </w:rPr>
        <w:t>por los</w:t>
      </w:r>
      <w:r w:rsidR="00421A32" w:rsidRPr="00D51377">
        <w:rPr>
          <w:rFonts w:cstheme="minorHAnsi"/>
          <w:noProof/>
          <w:lang w:val="es-ES"/>
        </w:rPr>
        <w:t xml:space="preserve"> espacios </w:t>
      </w:r>
      <w:r w:rsidR="00CE3ABE" w:rsidRPr="00D51377">
        <w:rPr>
          <w:rFonts w:cstheme="minorHAnsi"/>
          <w:noProof/>
          <w:lang w:val="es-ES"/>
        </w:rPr>
        <w:t>y el</w:t>
      </w:r>
      <w:r w:rsidR="00421A32" w:rsidRPr="00D51377">
        <w:rPr>
          <w:rFonts w:cstheme="minorHAnsi"/>
          <w:noProof/>
          <w:lang w:val="es-ES"/>
        </w:rPr>
        <w:t xml:space="preserve"> equipo </w:t>
      </w:r>
      <w:r w:rsidR="00CE3ABE" w:rsidRPr="00D51377">
        <w:rPr>
          <w:rFonts w:cstheme="minorHAnsi"/>
          <w:noProof/>
          <w:lang w:val="es-ES"/>
        </w:rPr>
        <w:t xml:space="preserve">necesarios </w:t>
      </w:r>
      <w:r w:rsidR="00421A32" w:rsidRPr="00D51377">
        <w:rPr>
          <w:rFonts w:cstheme="minorHAnsi"/>
          <w:noProof/>
          <w:lang w:val="es-ES"/>
        </w:rPr>
        <w:t xml:space="preserve">para </w:t>
      </w:r>
      <w:r w:rsidR="00871E8F" w:rsidRPr="00D51377">
        <w:rPr>
          <w:rFonts w:cstheme="minorHAnsi"/>
          <w:noProof/>
          <w:lang w:val="es-ES"/>
        </w:rPr>
        <w:t xml:space="preserve">realizar </w:t>
      </w:r>
      <w:r w:rsidR="00421A32" w:rsidRPr="00D51377">
        <w:rPr>
          <w:rFonts w:cstheme="minorHAnsi"/>
          <w:noProof/>
          <w:lang w:val="es-ES"/>
        </w:rPr>
        <w:t>reuniones de los órganos subsidiari</w:t>
      </w:r>
      <w:r w:rsidR="00CE3ABE" w:rsidRPr="00D51377">
        <w:rPr>
          <w:rFonts w:cstheme="minorHAnsi"/>
          <w:noProof/>
          <w:lang w:val="es-ES"/>
        </w:rPr>
        <w:t>o</w:t>
      </w:r>
      <w:r w:rsidR="00421A32" w:rsidRPr="00D51377">
        <w:rPr>
          <w:rFonts w:cstheme="minorHAnsi"/>
          <w:noProof/>
          <w:lang w:val="es-ES"/>
        </w:rPr>
        <w:t xml:space="preserve">s. Según las demás opciones y </w:t>
      </w:r>
      <w:r w:rsidR="00F2690B" w:rsidRPr="00D51377">
        <w:rPr>
          <w:rFonts w:cstheme="minorHAnsi"/>
          <w:noProof/>
          <w:lang w:val="es-ES"/>
        </w:rPr>
        <w:t>en el supuesto</w:t>
      </w:r>
      <w:r w:rsidR="00421A32" w:rsidRPr="00D51377">
        <w:rPr>
          <w:rFonts w:cstheme="minorHAnsi"/>
          <w:noProof/>
          <w:lang w:val="es-ES"/>
        </w:rPr>
        <w:t xml:space="preserve"> </w:t>
      </w:r>
      <w:r w:rsidR="001C4E6C" w:rsidRPr="00D51377">
        <w:rPr>
          <w:rFonts w:cstheme="minorHAnsi"/>
          <w:noProof/>
          <w:lang w:val="es-ES"/>
        </w:rPr>
        <w:t xml:space="preserve">de </w:t>
      </w:r>
      <w:r w:rsidR="00421A32" w:rsidRPr="00D51377">
        <w:rPr>
          <w:rFonts w:cstheme="minorHAnsi"/>
          <w:noProof/>
          <w:lang w:val="es-ES"/>
        </w:rPr>
        <w:t xml:space="preserve">que la Secretaría </w:t>
      </w:r>
      <w:r w:rsidR="00CE3ABE" w:rsidRPr="00D51377">
        <w:rPr>
          <w:rFonts w:cstheme="minorHAnsi"/>
          <w:noProof/>
          <w:lang w:val="es-ES"/>
        </w:rPr>
        <w:t>permanezca</w:t>
      </w:r>
      <w:r w:rsidR="00421A32" w:rsidRPr="00D51377">
        <w:rPr>
          <w:rFonts w:cstheme="minorHAnsi"/>
          <w:noProof/>
          <w:lang w:val="es-ES"/>
        </w:rPr>
        <w:t xml:space="preserve"> en Suiza, </w:t>
      </w:r>
      <w:r w:rsidR="00871E8F" w:rsidRPr="00D51377">
        <w:rPr>
          <w:rFonts w:cstheme="minorHAnsi"/>
          <w:noProof/>
          <w:lang w:val="es-ES"/>
        </w:rPr>
        <w:t xml:space="preserve">es posible que </w:t>
      </w:r>
      <w:r w:rsidR="00421A32" w:rsidRPr="00D51377">
        <w:rPr>
          <w:rFonts w:cstheme="minorHAnsi"/>
          <w:noProof/>
          <w:lang w:val="es-ES"/>
        </w:rPr>
        <w:t xml:space="preserve">la Convención </w:t>
      </w:r>
      <w:r w:rsidR="00871E8F" w:rsidRPr="00D51377">
        <w:rPr>
          <w:rFonts w:cstheme="minorHAnsi"/>
          <w:noProof/>
          <w:lang w:val="es-ES"/>
        </w:rPr>
        <w:t>tenga</w:t>
      </w:r>
      <w:r w:rsidR="00421A32" w:rsidRPr="00D51377">
        <w:rPr>
          <w:rFonts w:cstheme="minorHAnsi"/>
          <w:noProof/>
          <w:lang w:val="es-ES"/>
        </w:rPr>
        <w:t xml:space="preserve"> que</w:t>
      </w:r>
      <w:r w:rsidR="00871E8F" w:rsidRPr="00D51377">
        <w:rPr>
          <w:rFonts w:cstheme="minorHAnsi"/>
          <w:noProof/>
          <w:lang w:val="es-ES"/>
        </w:rPr>
        <w:t xml:space="preserve"> </w:t>
      </w:r>
      <w:r w:rsidR="00421A32" w:rsidRPr="00D51377">
        <w:rPr>
          <w:rFonts w:cstheme="minorHAnsi"/>
          <w:noProof/>
          <w:lang w:val="es-ES"/>
        </w:rPr>
        <w:t>pagar alquil</w:t>
      </w:r>
      <w:r w:rsidR="00871E8F" w:rsidRPr="00D51377">
        <w:rPr>
          <w:rFonts w:cstheme="minorHAnsi"/>
          <w:noProof/>
          <w:lang w:val="es-ES"/>
        </w:rPr>
        <w:t>e</w:t>
      </w:r>
      <w:r w:rsidR="00421A32" w:rsidRPr="00D51377">
        <w:rPr>
          <w:rFonts w:cstheme="minorHAnsi"/>
          <w:noProof/>
          <w:lang w:val="es-ES"/>
        </w:rPr>
        <w:t xml:space="preserve">r </w:t>
      </w:r>
      <w:r w:rsidR="00F2690B" w:rsidRPr="00D51377">
        <w:rPr>
          <w:rFonts w:cstheme="minorHAnsi"/>
          <w:noProof/>
          <w:lang w:val="es-ES"/>
        </w:rPr>
        <w:t xml:space="preserve">por </w:t>
      </w:r>
      <w:r w:rsidR="00CE3ABE" w:rsidRPr="00D51377">
        <w:rPr>
          <w:rFonts w:cstheme="minorHAnsi"/>
          <w:noProof/>
          <w:lang w:val="es-ES"/>
        </w:rPr>
        <w:t>los</w:t>
      </w:r>
      <w:r w:rsidR="00421A32" w:rsidRPr="00D51377">
        <w:rPr>
          <w:rFonts w:cstheme="minorHAnsi"/>
          <w:noProof/>
          <w:lang w:val="es-ES"/>
        </w:rPr>
        <w:t xml:space="preserve"> espacio</w:t>
      </w:r>
      <w:r w:rsidR="00CE3ABE" w:rsidRPr="00D51377">
        <w:rPr>
          <w:rFonts w:cstheme="minorHAnsi"/>
          <w:noProof/>
          <w:lang w:val="es-ES"/>
        </w:rPr>
        <w:t>s</w:t>
      </w:r>
      <w:r w:rsidR="00421A32" w:rsidRPr="00D51377">
        <w:rPr>
          <w:rFonts w:cstheme="minorHAnsi"/>
          <w:noProof/>
          <w:lang w:val="es-ES"/>
        </w:rPr>
        <w:t xml:space="preserve"> y el equipo necesarios para las reuniones. El cálculo de estos cost</w:t>
      </w:r>
      <w:r w:rsidR="00871E8F" w:rsidRPr="00D51377">
        <w:rPr>
          <w:rFonts w:cstheme="minorHAnsi"/>
          <w:noProof/>
          <w:lang w:val="es-ES"/>
        </w:rPr>
        <w:t>o</w:t>
      </w:r>
      <w:r w:rsidR="00421A32" w:rsidRPr="00D51377">
        <w:rPr>
          <w:rFonts w:cstheme="minorHAnsi"/>
          <w:noProof/>
          <w:lang w:val="es-ES"/>
        </w:rPr>
        <w:t xml:space="preserve">s requeriría un </w:t>
      </w:r>
      <w:r w:rsidR="00871E8F" w:rsidRPr="00D51377">
        <w:rPr>
          <w:rFonts w:cstheme="minorHAnsi"/>
          <w:noProof/>
          <w:lang w:val="es-ES"/>
        </w:rPr>
        <w:t>examen</w:t>
      </w:r>
      <w:r w:rsidR="00421A32" w:rsidRPr="00D51377">
        <w:rPr>
          <w:rFonts w:cstheme="minorHAnsi"/>
          <w:noProof/>
          <w:lang w:val="es-ES"/>
        </w:rPr>
        <w:t xml:space="preserve"> más detallado.</w:t>
      </w:r>
    </w:p>
    <w:p w14:paraId="39621824" w14:textId="77777777" w:rsidR="000E38AF" w:rsidRPr="00D51377" w:rsidRDefault="000E38AF" w:rsidP="00871E8F">
      <w:pPr>
        <w:pStyle w:val="ListParagraph"/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noProof/>
          <w:lang w:val="es-ES"/>
        </w:rPr>
      </w:pPr>
    </w:p>
    <w:p w14:paraId="01CC8DB3" w14:textId="10ADDB91" w:rsidR="00DA1078" w:rsidRPr="00D51377" w:rsidRDefault="00871E8F" w:rsidP="00166AD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noProof/>
          <w:lang w:val="es-ES"/>
        </w:rPr>
      </w:pPr>
      <w:r w:rsidRPr="00D51377">
        <w:rPr>
          <w:rFonts w:cstheme="minorHAnsi"/>
          <w:noProof/>
          <w:lang w:val="es-ES"/>
        </w:rPr>
        <w:t xml:space="preserve">El informe y el análisis pueden consultarse en este enlace: </w:t>
      </w:r>
      <w:hyperlink r:id="rId12" w:history="1">
        <w:r w:rsidR="00B74B1A" w:rsidRPr="00790433">
          <w:rPr>
            <w:rStyle w:val="Hyperlink"/>
            <w:rFonts w:cstheme="minorHAnsi"/>
            <w:noProof/>
            <w:lang w:val="es-ES"/>
          </w:rPr>
          <w:t>https://www.ramsar.org/sites/default/files/documents/library/financial_analysis_legal_status_secretariat_2020_e.pdf</w:t>
        </w:r>
      </w:hyperlink>
      <w:r w:rsidR="00B74B1A">
        <w:rPr>
          <w:rFonts w:cstheme="minorHAnsi"/>
          <w:noProof/>
          <w:lang w:val="es-ES"/>
        </w:rPr>
        <w:t xml:space="preserve"> </w:t>
      </w:r>
    </w:p>
    <w:p w14:paraId="1F64AD39" w14:textId="77777777" w:rsidR="004715F2" w:rsidRPr="00D51377" w:rsidRDefault="004715F2" w:rsidP="00166AD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lang w:val="es-ES"/>
        </w:rPr>
      </w:pPr>
    </w:p>
    <w:p w14:paraId="1CCA6460" w14:textId="49DD9248" w:rsidR="00E111D5" w:rsidRPr="00D51377" w:rsidRDefault="009E0D92" w:rsidP="00166ADC">
      <w:pPr>
        <w:pStyle w:val="Default"/>
        <w:ind w:left="-11"/>
        <w:rPr>
          <w:rFonts w:asciiTheme="minorHAnsi" w:hAnsiTheme="minorHAnsi" w:cstheme="minorHAnsi"/>
          <w:b/>
          <w:noProof/>
          <w:sz w:val="22"/>
          <w:szCs w:val="22"/>
          <w:lang w:val="es-ES"/>
        </w:rPr>
      </w:pPr>
      <w:r w:rsidRPr="00D51377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En cuanto</w:t>
      </w:r>
      <w:r w:rsidR="00E111D5" w:rsidRPr="00D51377">
        <w:rPr>
          <w:rFonts w:asciiTheme="minorHAnsi" w:hAnsiTheme="minorHAnsi" w:cstheme="minorHAnsi"/>
          <w:b/>
          <w:noProof/>
          <w:sz w:val="22"/>
          <w:szCs w:val="22"/>
          <w:lang w:val="es-ES"/>
        </w:rPr>
        <w:t xml:space="preserve"> a las </w:t>
      </w:r>
      <w:r w:rsidRPr="00D51377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demás</w:t>
      </w:r>
      <w:r w:rsidR="00E111D5" w:rsidRPr="00D51377">
        <w:rPr>
          <w:rFonts w:asciiTheme="minorHAnsi" w:hAnsiTheme="minorHAnsi" w:cstheme="minorHAnsi"/>
          <w:b/>
          <w:noProof/>
          <w:sz w:val="22"/>
          <w:szCs w:val="22"/>
          <w:lang w:val="es-ES"/>
        </w:rPr>
        <w:t xml:space="preserve"> opciones incluidas en el informe del Grupo de trabajo para la reunión SC57 y la reunión SC59 </w:t>
      </w:r>
      <w:r w:rsidR="00CE3ABE" w:rsidRPr="00D51377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de</w:t>
      </w:r>
      <w:r w:rsidR="00E111D5" w:rsidRPr="00D51377">
        <w:rPr>
          <w:rFonts w:asciiTheme="minorHAnsi" w:hAnsiTheme="minorHAnsi" w:cstheme="minorHAnsi"/>
          <w:b/>
          <w:noProof/>
          <w:sz w:val="22"/>
          <w:szCs w:val="22"/>
          <w:lang w:val="es-ES"/>
        </w:rPr>
        <w:t xml:space="preserve"> 2021 </w:t>
      </w:r>
    </w:p>
    <w:p w14:paraId="28734FD8" w14:textId="77777777" w:rsidR="008857F0" w:rsidRPr="00D51377" w:rsidRDefault="008857F0" w:rsidP="00166ADC">
      <w:pPr>
        <w:pStyle w:val="Default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3CBA5D5F" w14:textId="2E2A3D07" w:rsidR="00E111D5" w:rsidRPr="00D51377" w:rsidRDefault="00E111D5" w:rsidP="00166ADC">
      <w:pPr>
        <w:spacing w:after="0" w:line="240" w:lineRule="auto"/>
        <w:rPr>
          <w:rFonts w:cstheme="minorHAnsi"/>
          <w:noProof/>
          <w:u w:val="single"/>
          <w:lang w:val="es-ES"/>
        </w:rPr>
      </w:pPr>
      <w:r w:rsidRPr="00D51377">
        <w:rPr>
          <w:rFonts w:cstheme="minorHAnsi"/>
          <w:noProof/>
          <w:u w:val="single"/>
          <w:lang w:val="es-ES"/>
        </w:rPr>
        <w:t xml:space="preserve">Condición de observador en el marco de la Asamblea General de las Naciones Unidas </w:t>
      </w:r>
      <w:r w:rsidR="004715F2" w:rsidRPr="00D51377">
        <w:rPr>
          <w:rFonts w:cstheme="minorHAnsi"/>
          <w:i/>
          <w:iCs/>
          <w:noProof/>
          <w:u w:val="single"/>
          <w:lang w:val="es-ES"/>
        </w:rPr>
        <w:t>(</w:t>
      </w:r>
      <w:r w:rsidRPr="00D51377">
        <w:rPr>
          <w:rFonts w:cstheme="minorHAnsi"/>
          <w:i/>
          <w:iCs/>
          <w:noProof/>
          <w:u w:val="single"/>
          <w:lang w:val="es-ES"/>
        </w:rPr>
        <w:t>documento de referencia presentado por el Uruguay el 11 de agosto de 2017: Colombia se sumó como copatrocinador)</w:t>
      </w:r>
      <w:r w:rsidRPr="00D51377">
        <w:rPr>
          <w:rFonts w:cstheme="minorHAnsi"/>
          <w:noProof/>
          <w:u w:val="single"/>
          <w:lang w:val="es-ES"/>
        </w:rPr>
        <w:t xml:space="preserve"> </w:t>
      </w:r>
    </w:p>
    <w:p w14:paraId="0065446B" w14:textId="77777777" w:rsidR="004715F2" w:rsidRPr="00D51377" w:rsidRDefault="004715F2" w:rsidP="00166ADC">
      <w:pPr>
        <w:spacing w:after="0" w:line="240" w:lineRule="auto"/>
        <w:ind w:left="284"/>
        <w:rPr>
          <w:rFonts w:cstheme="minorHAnsi"/>
          <w:noProof/>
          <w:lang w:val="es-ES"/>
        </w:rPr>
      </w:pPr>
    </w:p>
    <w:p w14:paraId="7B0CBD0C" w14:textId="37747798" w:rsidR="009E0D92" w:rsidRPr="00D51377" w:rsidRDefault="00166ADC" w:rsidP="00166ADC">
      <w:pPr>
        <w:pStyle w:val="ListParagraph"/>
        <w:ind w:left="426" w:hanging="426"/>
        <w:jc w:val="left"/>
        <w:rPr>
          <w:rFonts w:asciiTheme="minorHAnsi" w:hAnsiTheme="minorHAnsi" w:cstheme="minorHAnsi"/>
          <w:noProof/>
          <w:lang w:val="es-ES"/>
        </w:rPr>
      </w:pPr>
      <w:r w:rsidRPr="00D51377">
        <w:rPr>
          <w:rFonts w:asciiTheme="minorHAnsi" w:hAnsiTheme="minorHAnsi" w:cstheme="minorHAnsi"/>
          <w:noProof/>
          <w:lang w:val="es-ES"/>
        </w:rPr>
        <w:t>16.</w:t>
      </w:r>
      <w:r w:rsidRPr="00D51377">
        <w:rPr>
          <w:rFonts w:asciiTheme="minorHAnsi" w:hAnsiTheme="minorHAnsi" w:cstheme="minorHAnsi"/>
          <w:noProof/>
          <w:lang w:val="es-ES"/>
        </w:rPr>
        <w:tab/>
      </w:r>
      <w:r w:rsidR="009E0D92" w:rsidRPr="00D51377">
        <w:rPr>
          <w:rFonts w:asciiTheme="minorHAnsi" w:hAnsiTheme="minorHAnsi" w:cstheme="minorHAnsi"/>
          <w:noProof/>
          <w:lang w:val="es-ES"/>
        </w:rPr>
        <w:t xml:space="preserve">Después de que este proyecto de resolución se debatiera en el 72º período de sesiones de la Asamblea General, su examen </w:t>
      </w:r>
      <w:r w:rsidR="000B6EF1" w:rsidRPr="00D51377">
        <w:rPr>
          <w:rFonts w:asciiTheme="minorHAnsi" w:hAnsiTheme="minorHAnsi" w:cstheme="minorHAnsi"/>
          <w:noProof/>
          <w:lang w:val="es-ES"/>
        </w:rPr>
        <w:t>se postergó para</w:t>
      </w:r>
      <w:r w:rsidR="009E0D92" w:rsidRPr="00D51377">
        <w:rPr>
          <w:rFonts w:asciiTheme="minorHAnsi" w:hAnsiTheme="minorHAnsi" w:cstheme="minorHAnsi"/>
          <w:noProof/>
          <w:lang w:val="es-ES"/>
        </w:rPr>
        <w:t xml:space="preserve"> el 73º período de sesiones. En</w:t>
      </w:r>
      <w:r w:rsidR="000B6EF1" w:rsidRPr="00D51377">
        <w:rPr>
          <w:rFonts w:asciiTheme="minorHAnsi" w:hAnsiTheme="minorHAnsi" w:cstheme="minorHAnsi"/>
          <w:noProof/>
          <w:lang w:val="es-ES"/>
        </w:rPr>
        <w:t xml:space="preserve"> el 74º y 75º</w:t>
      </w:r>
      <w:r w:rsidR="009E0D92" w:rsidRPr="00D51377">
        <w:rPr>
          <w:rFonts w:asciiTheme="minorHAnsi" w:hAnsiTheme="minorHAnsi" w:cstheme="minorHAnsi"/>
          <w:noProof/>
          <w:lang w:val="es-ES"/>
        </w:rPr>
        <w:t xml:space="preserve"> per</w:t>
      </w:r>
      <w:r w:rsidR="000B6EF1" w:rsidRPr="00D51377">
        <w:rPr>
          <w:rFonts w:asciiTheme="minorHAnsi" w:hAnsiTheme="minorHAnsi" w:cstheme="minorHAnsi"/>
          <w:noProof/>
          <w:lang w:val="es-ES"/>
        </w:rPr>
        <w:t>í</w:t>
      </w:r>
      <w:r w:rsidR="009E0D92" w:rsidRPr="00D51377">
        <w:rPr>
          <w:rFonts w:asciiTheme="minorHAnsi" w:hAnsiTheme="minorHAnsi" w:cstheme="minorHAnsi"/>
          <w:noProof/>
          <w:lang w:val="es-ES"/>
        </w:rPr>
        <w:t xml:space="preserve">odo de sesiones </w:t>
      </w:r>
      <w:r w:rsidR="000B6EF1" w:rsidRPr="00D51377">
        <w:rPr>
          <w:rFonts w:asciiTheme="minorHAnsi" w:hAnsiTheme="minorHAnsi" w:cstheme="minorHAnsi"/>
          <w:noProof/>
          <w:lang w:val="es-ES"/>
        </w:rPr>
        <w:t xml:space="preserve">el tema </w:t>
      </w:r>
      <w:r w:rsidR="009E0D92" w:rsidRPr="00D51377">
        <w:rPr>
          <w:rFonts w:asciiTheme="minorHAnsi" w:hAnsiTheme="minorHAnsi" w:cstheme="minorHAnsi"/>
          <w:noProof/>
          <w:lang w:val="es-ES"/>
        </w:rPr>
        <w:t xml:space="preserve">se volvió a </w:t>
      </w:r>
      <w:r w:rsidR="000B6EF1" w:rsidRPr="00D51377">
        <w:rPr>
          <w:rFonts w:asciiTheme="minorHAnsi" w:hAnsiTheme="minorHAnsi" w:cstheme="minorHAnsi"/>
          <w:noProof/>
          <w:lang w:val="es-ES"/>
        </w:rPr>
        <w:t>aplazar</w:t>
      </w:r>
      <w:r w:rsidR="009E0D92" w:rsidRPr="00D51377">
        <w:rPr>
          <w:rFonts w:asciiTheme="minorHAnsi" w:hAnsiTheme="minorHAnsi" w:cstheme="minorHAnsi"/>
          <w:noProof/>
          <w:lang w:val="es-ES"/>
        </w:rPr>
        <w:t xml:space="preserve"> </w:t>
      </w:r>
      <w:r w:rsidR="000B6EF1" w:rsidRPr="00D51377">
        <w:rPr>
          <w:rFonts w:asciiTheme="minorHAnsi" w:hAnsiTheme="minorHAnsi" w:cstheme="minorHAnsi"/>
          <w:noProof/>
          <w:lang w:val="es-ES"/>
        </w:rPr>
        <w:t>por falta de</w:t>
      </w:r>
      <w:r w:rsidR="009E0D92" w:rsidRPr="00D51377">
        <w:rPr>
          <w:rFonts w:asciiTheme="minorHAnsi" w:hAnsiTheme="minorHAnsi" w:cstheme="minorHAnsi"/>
          <w:noProof/>
          <w:lang w:val="es-ES"/>
        </w:rPr>
        <w:t xml:space="preserve"> consenso. Esta opción requiere</w:t>
      </w:r>
      <w:r w:rsidR="00CE3ABE" w:rsidRPr="00D51377">
        <w:rPr>
          <w:rFonts w:asciiTheme="minorHAnsi" w:hAnsiTheme="minorHAnsi" w:cstheme="minorHAnsi"/>
          <w:noProof/>
          <w:lang w:val="es-ES"/>
        </w:rPr>
        <w:t xml:space="preserve"> de</w:t>
      </w:r>
      <w:r w:rsidR="009E0D92" w:rsidRPr="00D51377">
        <w:rPr>
          <w:rFonts w:asciiTheme="minorHAnsi" w:hAnsiTheme="minorHAnsi" w:cstheme="minorHAnsi"/>
          <w:noProof/>
          <w:lang w:val="es-ES"/>
        </w:rPr>
        <w:t xml:space="preserve"> un mayor seguimiento. </w:t>
      </w:r>
    </w:p>
    <w:p w14:paraId="05686C2F" w14:textId="77777777" w:rsidR="006238ED" w:rsidRPr="00D51377" w:rsidRDefault="006238ED" w:rsidP="00166ADC">
      <w:pPr>
        <w:spacing w:after="0" w:line="240" w:lineRule="auto"/>
        <w:ind w:left="284"/>
        <w:rPr>
          <w:rFonts w:cstheme="minorHAnsi"/>
          <w:noProof/>
          <w:lang w:val="es-ES"/>
        </w:rPr>
      </w:pPr>
    </w:p>
    <w:p w14:paraId="4D15C0ED" w14:textId="77777777" w:rsidR="000B6EF1" w:rsidRPr="00D51377" w:rsidRDefault="000B6EF1" w:rsidP="00166ADC">
      <w:pPr>
        <w:pStyle w:val="Default"/>
        <w:tabs>
          <w:tab w:val="left" w:pos="284"/>
        </w:tabs>
        <w:rPr>
          <w:rFonts w:asciiTheme="minorHAnsi" w:hAnsiTheme="minorHAnsi" w:cstheme="minorHAnsi"/>
          <w:noProof/>
          <w:sz w:val="22"/>
          <w:szCs w:val="22"/>
          <w:u w:val="single"/>
          <w:lang w:val="es-ES" w:eastAsia="zh-CN"/>
        </w:rPr>
      </w:pPr>
      <w:r w:rsidRPr="00D51377">
        <w:rPr>
          <w:rFonts w:asciiTheme="minorHAnsi" w:hAnsiTheme="minorHAnsi" w:cstheme="minorHAnsi"/>
          <w:noProof/>
          <w:sz w:val="22"/>
          <w:szCs w:val="22"/>
          <w:u w:val="single"/>
          <w:lang w:val="es-ES" w:eastAsia="zh-CN"/>
        </w:rPr>
        <w:t>Solicitud de la condición de observador ante el Consejo Económico y Social (ECOSOC)</w:t>
      </w:r>
    </w:p>
    <w:p w14:paraId="4AECFCE0" w14:textId="77777777" w:rsidR="006238ED" w:rsidRPr="00D51377" w:rsidRDefault="006238ED" w:rsidP="00166ADC">
      <w:pPr>
        <w:pStyle w:val="Default"/>
        <w:tabs>
          <w:tab w:val="left" w:pos="284"/>
        </w:tabs>
        <w:rPr>
          <w:rFonts w:asciiTheme="minorHAnsi" w:hAnsiTheme="minorHAnsi" w:cstheme="minorHAnsi"/>
          <w:noProof/>
          <w:sz w:val="22"/>
          <w:szCs w:val="22"/>
          <w:highlight w:val="yellow"/>
          <w:lang w:val="es-ES"/>
        </w:rPr>
      </w:pPr>
    </w:p>
    <w:p w14:paraId="20FBFB91" w14:textId="0A453D36" w:rsidR="000B6EF1" w:rsidRPr="00D51377" w:rsidRDefault="00166ADC" w:rsidP="00166ADC">
      <w:pPr>
        <w:pStyle w:val="Default"/>
        <w:ind w:left="426" w:hanging="426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17.</w:t>
      </w:r>
      <w:r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0B6EF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Las consultas informales realizadas entre las Partes Contratantes y los miembros del ECOSOC y entre la Secretaría y el ECOSOC </w:t>
      </w:r>
      <w:r w:rsidR="00C3729E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mostraron</w:t>
      </w:r>
      <w:r w:rsidR="000B6EF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que será difícil </w:t>
      </w:r>
      <w:r w:rsidR="00CE3ABE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que se logre adquirir</w:t>
      </w:r>
      <w:r w:rsidR="000B6EF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la condición de observador en dicho Consejo, </w:t>
      </w:r>
      <w:r w:rsidR="00C3729E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dado</w:t>
      </w:r>
      <w:r w:rsidR="000B6EF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que</w:t>
      </w:r>
      <w:r w:rsidR="00C3729E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ya</w:t>
      </w:r>
      <w:r w:rsidR="000B6EF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C3729E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se ha solicitado la</w:t>
      </w:r>
      <w:r w:rsidR="000B6EF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C3729E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condición</w:t>
      </w:r>
      <w:r w:rsidR="000B6EF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 observador en la </w:t>
      </w:r>
      <w:r w:rsidR="00C3729E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Asamblea General de las Naciones Unidas</w:t>
      </w:r>
      <w:r w:rsidR="000B6EF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. Al igual que la opción sobre </w:t>
      </w:r>
      <w:r w:rsidR="00C3729E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>la condición</w:t>
      </w:r>
      <w:r w:rsidR="000B6EF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 observador, esta opción también requiere </w:t>
      </w:r>
      <w:r w:rsidR="00745874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de </w:t>
      </w:r>
      <w:r w:rsidR="000B6EF1" w:rsidRPr="00D5137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un mayor seguimiento. </w:t>
      </w:r>
    </w:p>
    <w:p w14:paraId="2ED4B4ED" w14:textId="77777777" w:rsidR="004715F2" w:rsidRPr="00D51377" w:rsidRDefault="004715F2" w:rsidP="00166ADC">
      <w:pPr>
        <w:pStyle w:val="Default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791B0689" w14:textId="665CEED2" w:rsidR="00C3729E" w:rsidRPr="00D51377" w:rsidRDefault="00C3729E" w:rsidP="00166ADC">
      <w:pPr>
        <w:pStyle w:val="Default"/>
        <w:tabs>
          <w:tab w:val="left" w:pos="142"/>
        </w:tabs>
        <w:rPr>
          <w:rFonts w:asciiTheme="minorHAnsi" w:hAnsiTheme="minorHAnsi" w:cstheme="minorHAnsi"/>
          <w:noProof/>
          <w:sz w:val="22"/>
          <w:szCs w:val="22"/>
          <w:u w:val="single"/>
          <w:lang w:val="es-ES" w:eastAsia="zh-CN"/>
        </w:rPr>
      </w:pPr>
      <w:r w:rsidRPr="00D51377">
        <w:rPr>
          <w:rFonts w:asciiTheme="minorHAnsi" w:hAnsiTheme="minorHAnsi" w:cstheme="minorHAnsi"/>
          <w:noProof/>
          <w:sz w:val="22"/>
          <w:szCs w:val="22"/>
          <w:u w:val="single"/>
          <w:lang w:val="es-ES" w:eastAsia="zh-CN"/>
        </w:rPr>
        <w:t xml:space="preserve">El proceso de examen del Foro Político de Alto Nivel sobre Desarrollo Sostenible </w:t>
      </w:r>
    </w:p>
    <w:p w14:paraId="431FB53E" w14:textId="77777777" w:rsidR="00FE539C" w:rsidRPr="00D51377" w:rsidRDefault="00FE539C" w:rsidP="00166ADC">
      <w:pPr>
        <w:pStyle w:val="Default"/>
        <w:tabs>
          <w:tab w:val="left" w:pos="142"/>
        </w:tabs>
        <w:rPr>
          <w:rFonts w:asciiTheme="minorHAnsi" w:hAnsiTheme="minorHAnsi" w:cstheme="minorHAnsi"/>
          <w:noProof/>
          <w:sz w:val="22"/>
          <w:szCs w:val="22"/>
          <w:highlight w:val="yellow"/>
          <w:lang w:val="es-ES" w:eastAsia="zh-CN"/>
        </w:rPr>
      </w:pPr>
    </w:p>
    <w:p w14:paraId="11FAA421" w14:textId="084DCF57" w:rsidR="00C3729E" w:rsidRPr="00D51377" w:rsidRDefault="00166ADC" w:rsidP="003C3A70">
      <w:pPr>
        <w:pStyle w:val="Default"/>
        <w:ind w:left="426" w:hanging="426"/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</w:pPr>
      <w:r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18.</w:t>
      </w:r>
      <w:r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ab/>
      </w:r>
      <w:r w:rsidR="00B869DB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Además, el 25 de junio de 2021, la Asamblea General aprobó la resolución 75/290 A (sobre el </w:t>
      </w:r>
      <w:r w:rsidR="00B869DB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>Examen de la aplicación de la resolución 72/305 de la Asamblea General, relativa al fortalecimiento del Consejo Económico y Social</w:t>
      </w:r>
      <w:r w:rsidR="00B869DB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) y la resolución 75/290 B (sobre el </w:t>
      </w:r>
      <w:r w:rsidR="00B869DB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 xml:space="preserve">Examen de la aplicación de las resoluciones de la Asamblea General 67/290, sobre el formato y los aspectos organizativos del </w:t>
      </w:r>
      <w:r w:rsidR="0081771D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>F</w:t>
      </w:r>
      <w:r w:rsidR="00B869DB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 xml:space="preserve">oro </w:t>
      </w:r>
      <w:r w:rsidR="0081771D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>P</w:t>
      </w:r>
      <w:r w:rsidR="00B869DB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 xml:space="preserve">olítico de </w:t>
      </w:r>
      <w:r w:rsidR="0081771D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>A</w:t>
      </w:r>
      <w:r w:rsidR="00B869DB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 xml:space="preserve">lto </w:t>
      </w:r>
      <w:r w:rsidR="0081771D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>N</w:t>
      </w:r>
      <w:r w:rsidR="00B869DB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 xml:space="preserve">ivel sobre el </w:t>
      </w:r>
      <w:r w:rsidR="0081771D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>D</w:t>
      </w:r>
      <w:r w:rsidR="00B869DB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 xml:space="preserve">esarrollo </w:t>
      </w:r>
      <w:r w:rsidR="0081771D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>S</w:t>
      </w:r>
      <w:r w:rsidR="00B869DB" w:rsidRPr="00D51377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shd w:val="clear" w:color="auto" w:fill="FFFFFF"/>
          <w:lang w:val="es-ES"/>
        </w:rPr>
        <w:t>ostenible, y 70/299, sobre el seguimiento y examen de la Agenda 2030 para el Desarrollo Sostenible a nivel mundial</w:t>
      </w:r>
      <w:r w:rsidR="00B869DB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). A este respecto, la participación de la sociedad civil y de las partes interesadas pertinentes en el Consejo Económico y Social debe seguir organizándose de conformidad con los párrafos 19, 20 y 21 del anexo de la resolución 72/305 de la Asamblea General y </w:t>
      </w:r>
      <w:r w:rsidR="00591F60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con arreglo a</w:t>
      </w:r>
      <w:r w:rsidR="00B869DB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 las disposiciones de sus respectivos reglamentos y las disposiciones de las resoluciones 67/290 y 72/305 de la Asamblea General. </w:t>
      </w:r>
      <w:r w:rsidR="00591F60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Este examen</w:t>
      </w:r>
      <w:r w:rsidR="00B869DB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 no 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modifica</w:t>
      </w:r>
      <w:r w:rsidR="00B869DB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 las limitaciones actuales </w:t>
      </w:r>
      <w:r w:rsidR="00591F60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que impiden</w:t>
      </w:r>
      <w:r w:rsidR="00B869DB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 que la Secretaría </w:t>
      </w:r>
      <w:r w:rsidR="00591F60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participe</w:t>
      </w:r>
      <w:r w:rsidR="00B869DB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 como observador en el </w:t>
      </w:r>
      <w:r w:rsidR="00591F60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Foro Político de Alto Nivel sobre el Desarrollo Sostenible</w:t>
      </w:r>
      <w:r w:rsidR="00B869DB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.</w:t>
      </w:r>
      <w:r w:rsidR="00B869DB" w:rsidRPr="00D51377" w:rsidDel="00B869DB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 </w:t>
      </w:r>
    </w:p>
    <w:p w14:paraId="60AC9D75" w14:textId="77777777" w:rsidR="00C40712" w:rsidRPr="00D51377" w:rsidRDefault="00C40712" w:rsidP="000E1DA2">
      <w:pPr>
        <w:spacing w:after="0" w:line="240" w:lineRule="auto"/>
        <w:rPr>
          <w:rFonts w:cstheme="minorHAnsi"/>
          <w:b/>
          <w:noProof/>
          <w:lang w:val="es-ES"/>
        </w:rPr>
      </w:pPr>
    </w:p>
    <w:p w14:paraId="30A13714" w14:textId="77777777" w:rsidR="000E1DA2" w:rsidRPr="00B74B1A" w:rsidRDefault="000E1DA2" w:rsidP="00DC50E6">
      <w:pPr>
        <w:keepNext/>
        <w:spacing w:after="0" w:line="240" w:lineRule="auto"/>
        <w:rPr>
          <w:rFonts w:cstheme="minorHAnsi"/>
          <w:b/>
          <w:lang w:val="fr-FR"/>
        </w:rPr>
      </w:pPr>
      <w:r w:rsidRPr="00B74B1A">
        <w:rPr>
          <w:rFonts w:cstheme="minorHAnsi"/>
          <w:b/>
          <w:lang w:val="fr-FR"/>
        </w:rPr>
        <w:lastRenderedPageBreak/>
        <w:t xml:space="preserve">Recomendaciones del grupo de trabajo </w:t>
      </w:r>
    </w:p>
    <w:p w14:paraId="4AFC88B7" w14:textId="77777777" w:rsidR="0086715B" w:rsidRPr="00D51377" w:rsidRDefault="0086715B" w:rsidP="00DC50E6">
      <w:pPr>
        <w:keepNext/>
        <w:spacing w:after="0" w:line="240" w:lineRule="auto"/>
        <w:ind w:left="-284" w:firstLine="142"/>
        <w:rPr>
          <w:rFonts w:cstheme="minorHAnsi"/>
          <w:b/>
          <w:noProof/>
          <w:lang w:val="es-ES"/>
        </w:rPr>
      </w:pPr>
    </w:p>
    <w:p w14:paraId="1548BDB4" w14:textId="3B32A98A" w:rsidR="0086715B" w:rsidRPr="00D51377" w:rsidRDefault="00166ADC" w:rsidP="00192A81">
      <w:pPr>
        <w:pStyle w:val="Default"/>
        <w:ind w:left="426" w:hanging="426"/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</w:pPr>
      <w:r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19.</w:t>
      </w:r>
      <w:r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ab/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En su reunión del 6 de mayo de 2022, el grupo de trabajo examinó los resultados del análisis financiero y acordó solicitar </w:t>
      </w:r>
      <w:r w:rsidR="00F9080D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durante la reanudación 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la reunión SC59 </w:t>
      </w:r>
      <w:r w:rsidR="00F9080D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instrucciones sobre el camino a seguir, 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teniendo en cuenta los resultados del análisis jurídico y financiero y </w:t>
      </w:r>
      <w:r w:rsidR="00192A81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la 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información valiosa </w:t>
      </w:r>
      <w:r w:rsidR="00192A81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que ambos informes proporcionan, 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para </w:t>
      </w:r>
      <w:r w:rsidR="00F9080D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continuar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 </w:t>
      </w:r>
      <w:r w:rsidR="00F9080D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deliberando sobre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 diferentes opciones </w:t>
      </w:r>
      <w:r w:rsidR="008D3A93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que sean 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financieramente viables</w:t>
      </w:r>
      <w:r w:rsidR="00192A81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. Sin embargo, 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los debates debe</w:t>
      </w:r>
      <w:r w:rsidR="00F9080D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ría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n </w:t>
      </w:r>
      <w:r w:rsidR="00F9080D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realizarse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 en un grupo </w:t>
      </w:r>
      <w:r w:rsidR="00192A81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en el que la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 xml:space="preserve"> representación regional </w:t>
      </w:r>
      <w:r w:rsidR="00192A81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sea equilibrada</w:t>
      </w:r>
      <w:r w:rsidR="000E1DA2" w:rsidRPr="00D51377">
        <w:rPr>
          <w:rFonts w:asciiTheme="minorHAnsi" w:hAnsiTheme="minorHAnsi" w:cstheme="minorHAnsi"/>
          <w:noProof/>
          <w:color w:val="333333"/>
          <w:sz w:val="22"/>
          <w:szCs w:val="22"/>
          <w:shd w:val="clear" w:color="auto" w:fill="FFFFFF"/>
          <w:lang w:val="es-ES"/>
        </w:rPr>
        <w:t>.</w:t>
      </w:r>
    </w:p>
    <w:sectPr w:rsidR="0086715B" w:rsidRPr="00D51377" w:rsidSect="007D79AF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90CC" w14:textId="77777777" w:rsidR="00E65D2E" w:rsidRDefault="00E65D2E" w:rsidP="002805FE">
      <w:pPr>
        <w:spacing w:after="0" w:line="240" w:lineRule="auto"/>
      </w:pPr>
      <w:r>
        <w:separator/>
      </w:r>
    </w:p>
  </w:endnote>
  <w:endnote w:type="continuationSeparator" w:id="0">
    <w:p w14:paraId="0140862B" w14:textId="77777777" w:rsidR="00E65D2E" w:rsidRDefault="00E65D2E" w:rsidP="002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2E71" w14:textId="70DD76D6" w:rsidR="007D79AF" w:rsidRPr="007D79AF" w:rsidRDefault="007D79AF">
    <w:pPr>
      <w:pStyle w:val="Footer"/>
      <w:rPr>
        <w:sz w:val="20"/>
        <w:szCs w:val="20"/>
      </w:rPr>
    </w:pPr>
    <w:r w:rsidRPr="007D79AF">
      <w:rPr>
        <w:sz w:val="20"/>
        <w:szCs w:val="20"/>
      </w:rPr>
      <w:t>SC59</w:t>
    </w:r>
    <w:r w:rsidR="00065438">
      <w:rPr>
        <w:sz w:val="20"/>
        <w:szCs w:val="20"/>
      </w:rPr>
      <w:t>/2022</w:t>
    </w:r>
    <w:r w:rsidRPr="007D79AF">
      <w:rPr>
        <w:sz w:val="20"/>
        <w:szCs w:val="20"/>
      </w:rPr>
      <w:t xml:space="preserve"> Doc.14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7D79AF">
      <w:rPr>
        <w:sz w:val="20"/>
        <w:szCs w:val="20"/>
      </w:rPr>
      <w:fldChar w:fldCharType="begin"/>
    </w:r>
    <w:r w:rsidRPr="007D79AF">
      <w:rPr>
        <w:sz w:val="20"/>
        <w:szCs w:val="20"/>
      </w:rPr>
      <w:instrText xml:space="preserve"> PAGE   \* MERGEFORMAT </w:instrText>
    </w:r>
    <w:r w:rsidRPr="007D79AF">
      <w:rPr>
        <w:sz w:val="20"/>
        <w:szCs w:val="20"/>
      </w:rPr>
      <w:fldChar w:fldCharType="separate"/>
    </w:r>
    <w:r w:rsidR="00B74B1A">
      <w:rPr>
        <w:noProof/>
        <w:sz w:val="20"/>
        <w:szCs w:val="20"/>
      </w:rPr>
      <w:t>2</w:t>
    </w:r>
    <w:r w:rsidRPr="007D79A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9FFFC" w14:textId="77777777" w:rsidR="00E65D2E" w:rsidRDefault="00E65D2E" w:rsidP="002805FE">
      <w:pPr>
        <w:spacing w:after="0" w:line="240" w:lineRule="auto"/>
      </w:pPr>
      <w:r>
        <w:separator/>
      </w:r>
    </w:p>
  </w:footnote>
  <w:footnote w:type="continuationSeparator" w:id="0">
    <w:p w14:paraId="48898339" w14:textId="77777777" w:rsidR="00E65D2E" w:rsidRDefault="00E65D2E" w:rsidP="002805FE">
      <w:pPr>
        <w:spacing w:after="0" w:line="240" w:lineRule="auto"/>
      </w:pPr>
      <w:r>
        <w:continuationSeparator/>
      </w:r>
    </w:p>
  </w:footnote>
  <w:footnote w:id="1">
    <w:p w14:paraId="4A8CB3A1" w14:textId="219EDD50" w:rsidR="00702E19" w:rsidRPr="00702E19" w:rsidRDefault="00702E19">
      <w:pPr>
        <w:pStyle w:val="FootnoteText"/>
        <w:rPr>
          <w:noProof/>
          <w:lang w:val="es-ES"/>
        </w:rPr>
      </w:pPr>
      <w:r w:rsidRPr="00702E19">
        <w:rPr>
          <w:rStyle w:val="FootnoteReference"/>
          <w:noProof/>
          <w:lang w:val="es-ES"/>
        </w:rPr>
        <w:footnoteRef/>
      </w:r>
      <w:r w:rsidRPr="00702E19">
        <w:rPr>
          <w:noProof/>
          <w:lang w:val="es-ES"/>
        </w:rPr>
        <w:t xml:space="preserve"> Mediante la Decisión SC57-45, el Comité Permanente aprobó posteriormente la asignación de 15 000 francos suizos del excedente del presupuesto básico de 2018 para el “Análisis y consultoría de la condición jurídica”.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D7FF36"/>
    <w:multiLevelType w:val="hybridMultilevel"/>
    <w:tmpl w:val="CE86A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1DEC71"/>
    <w:multiLevelType w:val="hybridMultilevel"/>
    <w:tmpl w:val="FA91E8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0647F6"/>
    <w:multiLevelType w:val="hybridMultilevel"/>
    <w:tmpl w:val="E88CF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7B8"/>
    <w:multiLevelType w:val="hybridMultilevel"/>
    <w:tmpl w:val="FF808706"/>
    <w:lvl w:ilvl="0" w:tplc="940AD05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63584"/>
    <w:multiLevelType w:val="hybridMultilevel"/>
    <w:tmpl w:val="8C169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34C08"/>
    <w:multiLevelType w:val="hybridMultilevel"/>
    <w:tmpl w:val="0D942D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04E8"/>
    <w:multiLevelType w:val="hybridMultilevel"/>
    <w:tmpl w:val="DC80DD8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21B"/>
    <w:multiLevelType w:val="hybridMultilevel"/>
    <w:tmpl w:val="8CD42986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A22F1"/>
    <w:multiLevelType w:val="hybridMultilevel"/>
    <w:tmpl w:val="7430F3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13F97"/>
    <w:multiLevelType w:val="hybridMultilevel"/>
    <w:tmpl w:val="6B7E2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1826"/>
    <w:multiLevelType w:val="hybridMultilevel"/>
    <w:tmpl w:val="63286D80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13803"/>
    <w:multiLevelType w:val="hybridMultilevel"/>
    <w:tmpl w:val="FA06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070D3"/>
    <w:multiLevelType w:val="hybridMultilevel"/>
    <w:tmpl w:val="547803DA"/>
    <w:lvl w:ilvl="0" w:tplc="249278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41" w:hanging="360"/>
      </w:pPr>
    </w:lvl>
    <w:lvl w:ilvl="2" w:tplc="0809001B" w:tentative="1">
      <w:start w:val="1"/>
      <w:numFmt w:val="lowerRoman"/>
      <w:lvlText w:val="%3."/>
      <w:lvlJc w:val="right"/>
      <w:pPr>
        <w:ind w:left="5061" w:hanging="180"/>
      </w:pPr>
    </w:lvl>
    <w:lvl w:ilvl="3" w:tplc="0809000F" w:tentative="1">
      <w:start w:val="1"/>
      <w:numFmt w:val="decimal"/>
      <w:lvlText w:val="%4."/>
      <w:lvlJc w:val="left"/>
      <w:pPr>
        <w:ind w:left="5781" w:hanging="360"/>
      </w:pPr>
    </w:lvl>
    <w:lvl w:ilvl="4" w:tplc="08090019" w:tentative="1">
      <w:start w:val="1"/>
      <w:numFmt w:val="lowerLetter"/>
      <w:lvlText w:val="%5."/>
      <w:lvlJc w:val="left"/>
      <w:pPr>
        <w:ind w:left="6501" w:hanging="360"/>
      </w:pPr>
    </w:lvl>
    <w:lvl w:ilvl="5" w:tplc="0809001B" w:tentative="1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BEB1AFA"/>
    <w:multiLevelType w:val="hybridMultilevel"/>
    <w:tmpl w:val="3878D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4239"/>
    <w:multiLevelType w:val="hybridMultilevel"/>
    <w:tmpl w:val="92820D9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2152"/>
    <w:multiLevelType w:val="hybridMultilevel"/>
    <w:tmpl w:val="F9A27B76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41" w:hanging="360"/>
      </w:pPr>
    </w:lvl>
    <w:lvl w:ilvl="2" w:tplc="0809001B" w:tentative="1">
      <w:start w:val="1"/>
      <w:numFmt w:val="lowerRoman"/>
      <w:lvlText w:val="%3."/>
      <w:lvlJc w:val="right"/>
      <w:pPr>
        <w:ind w:left="5061" w:hanging="180"/>
      </w:pPr>
    </w:lvl>
    <w:lvl w:ilvl="3" w:tplc="0809000F" w:tentative="1">
      <w:start w:val="1"/>
      <w:numFmt w:val="decimal"/>
      <w:lvlText w:val="%4."/>
      <w:lvlJc w:val="left"/>
      <w:pPr>
        <w:ind w:left="5781" w:hanging="360"/>
      </w:pPr>
    </w:lvl>
    <w:lvl w:ilvl="4" w:tplc="08090019" w:tentative="1">
      <w:start w:val="1"/>
      <w:numFmt w:val="lowerLetter"/>
      <w:lvlText w:val="%5."/>
      <w:lvlJc w:val="left"/>
      <w:pPr>
        <w:ind w:left="6501" w:hanging="360"/>
      </w:pPr>
    </w:lvl>
    <w:lvl w:ilvl="5" w:tplc="0809001B" w:tentative="1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 w15:restartNumberingAfterBreak="0">
    <w:nsid w:val="66D00C0D"/>
    <w:multiLevelType w:val="hybridMultilevel"/>
    <w:tmpl w:val="178EFF9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94F2A"/>
    <w:multiLevelType w:val="hybridMultilevel"/>
    <w:tmpl w:val="7D74674A"/>
    <w:lvl w:ilvl="0" w:tplc="0E260F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023A5"/>
    <w:multiLevelType w:val="hybridMultilevel"/>
    <w:tmpl w:val="4394E942"/>
    <w:lvl w:ilvl="0" w:tplc="87207C5C">
      <w:start w:val="1"/>
      <w:numFmt w:val="decimal"/>
      <w:lvlText w:val="%1."/>
      <w:lvlJc w:val="left"/>
      <w:pPr>
        <w:ind w:left="411" w:hanging="360"/>
      </w:pPr>
    </w:lvl>
    <w:lvl w:ilvl="1" w:tplc="08090019">
      <w:start w:val="1"/>
      <w:numFmt w:val="lowerLetter"/>
      <w:lvlText w:val="%2."/>
      <w:lvlJc w:val="left"/>
      <w:pPr>
        <w:ind w:left="1131" w:hanging="360"/>
      </w:pPr>
    </w:lvl>
    <w:lvl w:ilvl="2" w:tplc="0809001B">
      <w:start w:val="1"/>
      <w:numFmt w:val="lowerRoman"/>
      <w:lvlText w:val="%3."/>
      <w:lvlJc w:val="right"/>
      <w:pPr>
        <w:ind w:left="1851" w:hanging="180"/>
      </w:pPr>
    </w:lvl>
    <w:lvl w:ilvl="3" w:tplc="0809000F">
      <w:start w:val="1"/>
      <w:numFmt w:val="decimal"/>
      <w:lvlText w:val="%4."/>
      <w:lvlJc w:val="left"/>
      <w:pPr>
        <w:ind w:left="2571" w:hanging="360"/>
      </w:pPr>
    </w:lvl>
    <w:lvl w:ilvl="4" w:tplc="08090019">
      <w:start w:val="1"/>
      <w:numFmt w:val="lowerLetter"/>
      <w:lvlText w:val="%5."/>
      <w:lvlJc w:val="left"/>
      <w:pPr>
        <w:ind w:left="3291" w:hanging="360"/>
      </w:pPr>
    </w:lvl>
    <w:lvl w:ilvl="5" w:tplc="0809001B">
      <w:start w:val="1"/>
      <w:numFmt w:val="lowerRoman"/>
      <w:lvlText w:val="%6."/>
      <w:lvlJc w:val="right"/>
      <w:pPr>
        <w:ind w:left="4011" w:hanging="180"/>
      </w:pPr>
    </w:lvl>
    <w:lvl w:ilvl="6" w:tplc="0809000F">
      <w:start w:val="1"/>
      <w:numFmt w:val="decimal"/>
      <w:lvlText w:val="%7."/>
      <w:lvlJc w:val="left"/>
      <w:pPr>
        <w:ind w:left="4731" w:hanging="360"/>
      </w:pPr>
    </w:lvl>
    <w:lvl w:ilvl="7" w:tplc="08090019">
      <w:start w:val="1"/>
      <w:numFmt w:val="lowerLetter"/>
      <w:lvlText w:val="%8."/>
      <w:lvlJc w:val="left"/>
      <w:pPr>
        <w:ind w:left="5451" w:hanging="360"/>
      </w:pPr>
    </w:lvl>
    <w:lvl w:ilvl="8" w:tplc="0809001B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7893600E"/>
    <w:multiLevelType w:val="hybridMultilevel"/>
    <w:tmpl w:val="89FE56DC"/>
    <w:lvl w:ilvl="0" w:tplc="040A0019">
      <w:start w:val="1"/>
      <w:numFmt w:val="lowerLetter"/>
      <w:lvlText w:val="%1.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D933EBD"/>
    <w:multiLevelType w:val="hybridMultilevel"/>
    <w:tmpl w:val="2ED890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5"/>
  </w:num>
  <w:num w:numId="7">
    <w:abstractNumId w:val="17"/>
  </w:num>
  <w:num w:numId="8">
    <w:abstractNumId w:val="13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15"/>
  </w:num>
  <w:num w:numId="14">
    <w:abstractNumId w:val="8"/>
  </w:num>
  <w:num w:numId="15">
    <w:abstractNumId w:val="7"/>
  </w:num>
  <w:num w:numId="16">
    <w:abstractNumId w:val="20"/>
  </w:num>
  <w:num w:numId="17">
    <w:abstractNumId w:val="6"/>
  </w:num>
  <w:num w:numId="18">
    <w:abstractNumId w:val="10"/>
  </w:num>
  <w:num w:numId="19">
    <w:abstractNumId w:val="19"/>
  </w:num>
  <w:num w:numId="20">
    <w:abstractNumId w:val="16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7E"/>
    <w:rsid w:val="00030EA4"/>
    <w:rsid w:val="000349B9"/>
    <w:rsid w:val="0003654E"/>
    <w:rsid w:val="00037E24"/>
    <w:rsid w:val="00043524"/>
    <w:rsid w:val="00044B1C"/>
    <w:rsid w:val="00047914"/>
    <w:rsid w:val="000507AC"/>
    <w:rsid w:val="00056586"/>
    <w:rsid w:val="0006070F"/>
    <w:rsid w:val="00065438"/>
    <w:rsid w:val="000707DB"/>
    <w:rsid w:val="00070EBD"/>
    <w:rsid w:val="00084622"/>
    <w:rsid w:val="000B6EF1"/>
    <w:rsid w:val="000E1DA2"/>
    <w:rsid w:val="000E38AF"/>
    <w:rsid w:val="00105030"/>
    <w:rsid w:val="00111B69"/>
    <w:rsid w:val="00111C67"/>
    <w:rsid w:val="00122719"/>
    <w:rsid w:val="00132658"/>
    <w:rsid w:val="001333AC"/>
    <w:rsid w:val="00143B3F"/>
    <w:rsid w:val="00150B09"/>
    <w:rsid w:val="0016683F"/>
    <w:rsid w:val="00166ADC"/>
    <w:rsid w:val="001738F2"/>
    <w:rsid w:val="00187B2D"/>
    <w:rsid w:val="00190CFF"/>
    <w:rsid w:val="00192A81"/>
    <w:rsid w:val="00193027"/>
    <w:rsid w:val="001B4324"/>
    <w:rsid w:val="001C2C34"/>
    <w:rsid w:val="001C4E6C"/>
    <w:rsid w:val="001D3BBC"/>
    <w:rsid w:val="001E1DC6"/>
    <w:rsid w:val="00215218"/>
    <w:rsid w:val="00220E5C"/>
    <w:rsid w:val="002315B6"/>
    <w:rsid w:val="00236658"/>
    <w:rsid w:val="00252B9C"/>
    <w:rsid w:val="00252CB2"/>
    <w:rsid w:val="002546A1"/>
    <w:rsid w:val="00263FE8"/>
    <w:rsid w:val="00266B4F"/>
    <w:rsid w:val="002805FE"/>
    <w:rsid w:val="00281059"/>
    <w:rsid w:val="00293531"/>
    <w:rsid w:val="002A3B0E"/>
    <w:rsid w:val="002B0DE1"/>
    <w:rsid w:val="002B30C2"/>
    <w:rsid w:val="002C781B"/>
    <w:rsid w:val="002C7929"/>
    <w:rsid w:val="002C7D19"/>
    <w:rsid w:val="002D2E7E"/>
    <w:rsid w:val="002D4D5F"/>
    <w:rsid w:val="002E3E6F"/>
    <w:rsid w:val="002E54E9"/>
    <w:rsid w:val="003031B2"/>
    <w:rsid w:val="00307B7E"/>
    <w:rsid w:val="0031116C"/>
    <w:rsid w:val="0032193E"/>
    <w:rsid w:val="00334EA6"/>
    <w:rsid w:val="003429DD"/>
    <w:rsid w:val="0035685A"/>
    <w:rsid w:val="00356A11"/>
    <w:rsid w:val="003657F1"/>
    <w:rsid w:val="00393884"/>
    <w:rsid w:val="003A23BD"/>
    <w:rsid w:val="003A2CD4"/>
    <w:rsid w:val="003B106A"/>
    <w:rsid w:val="003B4941"/>
    <w:rsid w:val="003B49A8"/>
    <w:rsid w:val="003C3A70"/>
    <w:rsid w:val="003D43D1"/>
    <w:rsid w:val="003F0B77"/>
    <w:rsid w:val="00401270"/>
    <w:rsid w:val="00407EE7"/>
    <w:rsid w:val="00415C53"/>
    <w:rsid w:val="00421A32"/>
    <w:rsid w:val="0042627C"/>
    <w:rsid w:val="004315AB"/>
    <w:rsid w:val="004349EE"/>
    <w:rsid w:val="00437AB5"/>
    <w:rsid w:val="004434B4"/>
    <w:rsid w:val="00446534"/>
    <w:rsid w:val="00465A3C"/>
    <w:rsid w:val="00467FF3"/>
    <w:rsid w:val="004715F2"/>
    <w:rsid w:val="00487DF3"/>
    <w:rsid w:val="004C0325"/>
    <w:rsid w:val="004C2C9E"/>
    <w:rsid w:val="004D789F"/>
    <w:rsid w:val="004F13E5"/>
    <w:rsid w:val="005066C2"/>
    <w:rsid w:val="00524ED8"/>
    <w:rsid w:val="00532C68"/>
    <w:rsid w:val="0054549F"/>
    <w:rsid w:val="00560D12"/>
    <w:rsid w:val="0056277E"/>
    <w:rsid w:val="00591F60"/>
    <w:rsid w:val="005925FA"/>
    <w:rsid w:val="00593969"/>
    <w:rsid w:val="005C59FE"/>
    <w:rsid w:val="005D0512"/>
    <w:rsid w:val="005D57B8"/>
    <w:rsid w:val="00622B44"/>
    <w:rsid w:val="006238ED"/>
    <w:rsid w:val="00682490"/>
    <w:rsid w:val="0069139D"/>
    <w:rsid w:val="00694C51"/>
    <w:rsid w:val="006B1CF4"/>
    <w:rsid w:val="006B7411"/>
    <w:rsid w:val="006C2F3D"/>
    <w:rsid w:val="006C6771"/>
    <w:rsid w:val="006D3B5D"/>
    <w:rsid w:val="006D5EA2"/>
    <w:rsid w:val="006F1674"/>
    <w:rsid w:val="006F2953"/>
    <w:rsid w:val="00702E19"/>
    <w:rsid w:val="007106B9"/>
    <w:rsid w:val="00724C02"/>
    <w:rsid w:val="00741180"/>
    <w:rsid w:val="00741821"/>
    <w:rsid w:val="00745874"/>
    <w:rsid w:val="007750F6"/>
    <w:rsid w:val="007916F1"/>
    <w:rsid w:val="007935A5"/>
    <w:rsid w:val="007B3592"/>
    <w:rsid w:val="007D3782"/>
    <w:rsid w:val="007D79AF"/>
    <w:rsid w:val="007E04F2"/>
    <w:rsid w:val="007F3CF8"/>
    <w:rsid w:val="00800734"/>
    <w:rsid w:val="0081771D"/>
    <w:rsid w:val="0082610D"/>
    <w:rsid w:val="00832DC4"/>
    <w:rsid w:val="00840BE2"/>
    <w:rsid w:val="00865C88"/>
    <w:rsid w:val="0086715B"/>
    <w:rsid w:val="00871E8F"/>
    <w:rsid w:val="008747D7"/>
    <w:rsid w:val="00884714"/>
    <w:rsid w:val="008857F0"/>
    <w:rsid w:val="00894AC3"/>
    <w:rsid w:val="008A48CE"/>
    <w:rsid w:val="008B064A"/>
    <w:rsid w:val="008B18F4"/>
    <w:rsid w:val="008B7C9F"/>
    <w:rsid w:val="008D3A93"/>
    <w:rsid w:val="008F0021"/>
    <w:rsid w:val="00905292"/>
    <w:rsid w:val="009076D7"/>
    <w:rsid w:val="00912F2F"/>
    <w:rsid w:val="00920C59"/>
    <w:rsid w:val="00957113"/>
    <w:rsid w:val="00971F46"/>
    <w:rsid w:val="009757B9"/>
    <w:rsid w:val="009821C3"/>
    <w:rsid w:val="00982AE6"/>
    <w:rsid w:val="00986557"/>
    <w:rsid w:val="00994C6D"/>
    <w:rsid w:val="00997C6D"/>
    <w:rsid w:val="009A170D"/>
    <w:rsid w:val="009C4299"/>
    <w:rsid w:val="009C5D04"/>
    <w:rsid w:val="009E0D92"/>
    <w:rsid w:val="009F1F36"/>
    <w:rsid w:val="00A06FB1"/>
    <w:rsid w:val="00A259BE"/>
    <w:rsid w:val="00A464D6"/>
    <w:rsid w:val="00A52E04"/>
    <w:rsid w:val="00A57B99"/>
    <w:rsid w:val="00A615A8"/>
    <w:rsid w:val="00A63EA9"/>
    <w:rsid w:val="00A812F1"/>
    <w:rsid w:val="00AF1634"/>
    <w:rsid w:val="00AF76DC"/>
    <w:rsid w:val="00B0706F"/>
    <w:rsid w:val="00B11C44"/>
    <w:rsid w:val="00B25DF0"/>
    <w:rsid w:val="00B440E3"/>
    <w:rsid w:val="00B500C9"/>
    <w:rsid w:val="00B525F0"/>
    <w:rsid w:val="00B73F3B"/>
    <w:rsid w:val="00B74B1A"/>
    <w:rsid w:val="00B84558"/>
    <w:rsid w:val="00B869DB"/>
    <w:rsid w:val="00B87A7A"/>
    <w:rsid w:val="00B90D52"/>
    <w:rsid w:val="00B921ED"/>
    <w:rsid w:val="00BA504D"/>
    <w:rsid w:val="00BB2B2F"/>
    <w:rsid w:val="00BB6240"/>
    <w:rsid w:val="00BC247E"/>
    <w:rsid w:val="00BC7F37"/>
    <w:rsid w:val="00BE5A0C"/>
    <w:rsid w:val="00C118F1"/>
    <w:rsid w:val="00C176A3"/>
    <w:rsid w:val="00C21673"/>
    <w:rsid w:val="00C23881"/>
    <w:rsid w:val="00C3729E"/>
    <w:rsid w:val="00C40712"/>
    <w:rsid w:val="00C43C05"/>
    <w:rsid w:val="00C64F80"/>
    <w:rsid w:val="00CA5BAD"/>
    <w:rsid w:val="00CB10F7"/>
    <w:rsid w:val="00CC715D"/>
    <w:rsid w:val="00CD0C2B"/>
    <w:rsid w:val="00CE15C1"/>
    <w:rsid w:val="00CE3969"/>
    <w:rsid w:val="00CE3ABE"/>
    <w:rsid w:val="00CE4497"/>
    <w:rsid w:val="00CF758B"/>
    <w:rsid w:val="00D03879"/>
    <w:rsid w:val="00D138D8"/>
    <w:rsid w:val="00D15AFB"/>
    <w:rsid w:val="00D2518D"/>
    <w:rsid w:val="00D41F93"/>
    <w:rsid w:val="00D43BBE"/>
    <w:rsid w:val="00D46422"/>
    <w:rsid w:val="00D47055"/>
    <w:rsid w:val="00D51233"/>
    <w:rsid w:val="00D51377"/>
    <w:rsid w:val="00D90EEF"/>
    <w:rsid w:val="00D95516"/>
    <w:rsid w:val="00DA1078"/>
    <w:rsid w:val="00DA58B8"/>
    <w:rsid w:val="00DB04CC"/>
    <w:rsid w:val="00DB2771"/>
    <w:rsid w:val="00DC50E6"/>
    <w:rsid w:val="00DE153C"/>
    <w:rsid w:val="00DE4B12"/>
    <w:rsid w:val="00DE71A4"/>
    <w:rsid w:val="00DE7DE2"/>
    <w:rsid w:val="00DF05BD"/>
    <w:rsid w:val="00DF3563"/>
    <w:rsid w:val="00DF38E5"/>
    <w:rsid w:val="00E111D5"/>
    <w:rsid w:val="00E22049"/>
    <w:rsid w:val="00E22F50"/>
    <w:rsid w:val="00E414F9"/>
    <w:rsid w:val="00E45434"/>
    <w:rsid w:val="00E65D18"/>
    <w:rsid w:val="00E65D2E"/>
    <w:rsid w:val="00E6724A"/>
    <w:rsid w:val="00E81E2A"/>
    <w:rsid w:val="00E82C63"/>
    <w:rsid w:val="00E92C39"/>
    <w:rsid w:val="00ED13E3"/>
    <w:rsid w:val="00ED498F"/>
    <w:rsid w:val="00EE128A"/>
    <w:rsid w:val="00EE4CB1"/>
    <w:rsid w:val="00EF3AC0"/>
    <w:rsid w:val="00F23744"/>
    <w:rsid w:val="00F2674D"/>
    <w:rsid w:val="00F2690B"/>
    <w:rsid w:val="00F525C4"/>
    <w:rsid w:val="00F6139E"/>
    <w:rsid w:val="00F67DF4"/>
    <w:rsid w:val="00F84371"/>
    <w:rsid w:val="00F9080D"/>
    <w:rsid w:val="00F928C3"/>
    <w:rsid w:val="00F93583"/>
    <w:rsid w:val="00F94DC0"/>
    <w:rsid w:val="00FA43D9"/>
    <w:rsid w:val="00FC2065"/>
    <w:rsid w:val="00FD3F67"/>
    <w:rsid w:val="00FE539C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3BF7"/>
  <w15:chartTrackingRefBased/>
  <w15:docId w15:val="{B6F956D4-1B34-4EEF-9A00-9CB37C3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Párrafo de lista1,Paragraphe de liste,List Paragraph12,MAIN CONTENT,List Paragraph2,Rec para,List Paragraph1,Recommendation,List Paragraph11,F5 List Paragraph,List Paragraph Char Char Char,Indicator Text"/>
    <w:basedOn w:val="Normal"/>
    <w:link w:val="ListParagraphChar"/>
    <w:uiPriority w:val="34"/>
    <w:qFormat/>
    <w:rsid w:val="00043524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</w:rPr>
  </w:style>
  <w:style w:type="character" w:customStyle="1" w:styleId="ListParagraphChar">
    <w:name w:val="List Paragraph Char"/>
    <w:aliases w:val="Dot pt Char,Párrafo de lista1 Char,Paragraphe de liste Char,List Paragraph12 Char,MAIN CONTENT Char,List Paragraph2 Char,Rec para Char,List Paragraph1 Char,Recommendation Char,List Paragraph11 Char,F5 List Paragraph Char"/>
    <w:link w:val="ListParagraph"/>
    <w:uiPriority w:val="34"/>
    <w:qFormat/>
    <w:locked/>
    <w:rsid w:val="00043524"/>
    <w:rPr>
      <w:rFonts w:ascii="Tahoma" w:eastAsia="Calibri" w:hAnsi="Tahoma" w:cs="Times New Roman"/>
    </w:rPr>
  </w:style>
  <w:style w:type="paragraph" w:customStyle="1" w:styleId="Default">
    <w:name w:val="Default"/>
    <w:rsid w:val="00920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01270"/>
    <w:pPr>
      <w:spacing w:after="0" w:line="240" w:lineRule="auto"/>
      <w:ind w:left="720" w:hanging="425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2805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05F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805FE"/>
    <w:rPr>
      <w:vertAlign w:val="superscript"/>
    </w:rPr>
  </w:style>
  <w:style w:type="paragraph" w:customStyle="1" w:styleId="wordsection1">
    <w:name w:val="wordsection1"/>
    <w:basedOn w:val="Normal"/>
    <w:rsid w:val="00ED1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7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9AF"/>
  </w:style>
  <w:style w:type="paragraph" w:styleId="Footer">
    <w:name w:val="footer"/>
    <w:basedOn w:val="Normal"/>
    <w:link w:val="FooterChar"/>
    <w:uiPriority w:val="99"/>
    <w:unhideWhenUsed/>
    <w:rsid w:val="007D7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9AF"/>
  </w:style>
  <w:style w:type="character" w:styleId="CommentReference">
    <w:name w:val="annotation reference"/>
    <w:basedOn w:val="DefaultParagraphFont"/>
    <w:uiPriority w:val="99"/>
    <w:semiHidden/>
    <w:unhideWhenUsed/>
    <w:rsid w:val="00710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6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B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E539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7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674D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B070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5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msar.org/sites/default/files/documents/library/financial_analysis_legal_status_secretariat_2020_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msar.org/sites/default/files/documents/library/independent_analysis_legal_status_secretariat_2020_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DD1A-6DF9-42C9-8D43-5ED99080E731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75035800-fbd9-4494-bf62-86cc10c5d50d"/>
    <ds:schemaRef ds:uri="682f1ccd-e5c5-43c9-b9d9-dd72e0a643d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AEEC28-2992-42F7-AA2D-032801C78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BDF2F-00F2-4F8A-A863-629DFF692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6801B-1F52-48FC-8899-430878EC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IUCN</Company>
  <LinksUpToDate>false</LinksUpToDate>
  <CharactersWithSpaces>11746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on Wetlands</dc:creator>
  <cp:keywords/>
  <dc:description/>
  <cp:lastModifiedBy>Ed Jennings</cp:lastModifiedBy>
  <cp:revision>2</cp:revision>
  <dcterms:created xsi:type="dcterms:W3CDTF">2022-05-20T14:02:00Z</dcterms:created>
  <dcterms:modified xsi:type="dcterms:W3CDTF">2022-05-20T14:02:00Z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