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578C" w14:textId="6868B12D" w:rsidR="00043524" w:rsidRPr="00D64AA0" w:rsidRDefault="00065FE3"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val="fr-CH" w:eastAsia="en-GB"/>
        </w:rPr>
      </w:pPr>
      <w:r>
        <w:rPr>
          <w:rFonts w:eastAsia="Times New Roman" w:cstheme="minorHAnsi"/>
          <w:bCs/>
          <w:lang w:val="fr-CH" w:eastAsia="en-GB"/>
        </w:rPr>
        <w:t>CONVENTION SUR LES ZONES HUMIDES</w:t>
      </w:r>
    </w:p>
    <w:p w14:paraId="0F3E5447" w14:textId="63FC9407" w:rsidR="00043524" w:rsidRPr="00D64AA0" w:rsidRDefault="00043524"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val="fr-CH" w:eastAsia="en-GB"/>
        </w:rPr>
      </w:pPr>
      <w:r w:rsidRPr="00D64AA0">
        <w:rPr>
          <w:rFonts w:eastAsia="Times New Roman" w:cstheme="minorHAnsi"/>
          <w:bCs/>
          <w:lang w:val="fr-CH" w:eastAsia="en-GB"/>
        </w:rPr>
        <w:t>59</w:t>
      </w:r>
      <w:r w:rsidR="00065FE3" w:rsidRPr="00065FE3">
        <w:rPr>
          <w:rFonts w:eastAsia="Times New Roman" w:cstheme="minorHAnsi"/>
          <w:bCs/>
          <w:vertAlign w:val="superscript"/>
          <w:lang w:val="fr-CH" w:eastAsia="en-GB"/>
        </w:rPr>
        <w:t>e</w:t>
      </w:r>
      <w:r w:rsidR="00065FE3">
        <w:rPr>
          <w:rFonts w:eastAsia="Times New Roman" w:cstheme="minorHAnsi"/>
          <w:bCs/>
          <w:lang w:val="fr-CH" w:eastAsia="en-GB"/>
        </w:rPr>
        <w:t> Réunion du Comité permanent</w:t>
      </w:r>
    </w:p>
    <w:p w14:paraId="6533E708" w14:textId="05769067" w:rsidR="009757B9" w:rsidRPr="00D64AA0" w:rsidRDefault="00065FE3"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val="fr-CH" w:eastAsia="en-GB"/>
        </w:rPr>
      </w:pPr>
      <w:r>
        <w:rPr>
          <w:rFonts w:eastAsia="Times New Roman" w:cstheme="minorHAnsi"/>
          <w:bCs/>
          <w:lang w:val="fr-CH" w:eastAsia="en-GB"/>
        </w:rPr>
        <w:t>Reprise de séance</w:t>
      </w:r>
    </w:p>
    <w:p w14:paraId="13330370" w14:textId="50EFA677" w:rsidR="00043524" w:rsidRPr="00D64AA0" w:rsidRDefault="00043524"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lang w:val="fr-CH" w:eastAsia="en-GB"/>
        </w:rPr>
      </w:pPr>
      <w:r w:rsidRPr="00D64AA0">
        <w:rPr>
          <w:rFonts w:eastAsia="Times New Roman" w:cstheme="minorHAnsi"/>
          <w:bCs/>
          <w:lang w:val="fr-CH" w:eastAsia="en-GB"/>
        </w:rPr>
        <w:t xml:space="preserve">Gland, </w:t>
      </w:r>
      <w:r w:rsidR="00065FE3">
        <w:rPr>
          <w:rFonts w:eastAsia="Times New Roman" w:cstheme="minorHAnsi"/>
          <w:bCs/>
          <w:lang w:val="fr-CH" w:eastAsia="en-GB"/>
        </w:rPr>
        <w:t>Suisse</w:t>
      </w:r>
      <w:r w:rsidRPr="00D64AA0">
        <w:rPr>
          <w:rFonts w:eastAsia="Times New Roman" w:cstheme="minorHAnsi"/>
          <w:bCs/>
          <w:lang w:val="fr-CH" w:eastAsia="en-GB"/>
        </w:rPr>
        <w:t>, 2</w:t>
      </w:r>
      <w:r w:rsidR="009757B9" w:rsidRPr="00D64AA0">
        <w:rPr>
          <w:rFonts w:eastAsia="Times New Roman" w:cstheme="minorHAnsi"/>
          <w:bCs/>
          <w:lang w:val="fr-CH" w:eastAsia="en-GB"/>
        </w:rPr>
        <w:t>3</w:t>
      </w:r>
      <w:r w:rsidR="00065FE3">
        <w:rPr>
          <w:rFonts w:eastAsia="Times New Roman" w:cstheme="minorHAnsi"/>
          <w:bCs/>
          <w:lang w:val="fr-CH" w:eastAsia="en-GB"/>
        </w:rPr>
        <w:t xml:space="preserve"> au </w:t>
      </w:r>
      <w:r w:rsidRPr="00D64AA0">
        <w:rPr>
          <w:rFonts w:eastAsia="Times New Roman" w:cstheme="minorHAnsi"/>
          <w:bCs/>
          <w:lang w:val="fr-CH" w:eastAsia="en-GB"/>
        </w:rPr>
        <w:t>2</w:t>
      </w:r>
      <w:r w:rsidR="009757B9" w:rsidRPr="00D64AA0">
        <w:rPr>
          <w:rFonts w:eastAsia="Times New Roman" w:cstheme="minorHAnsi"/>
          <w:bCs/>
          <w:lang w:val="fr-CH" w:eastAsia="en-GB"/>
        </w:rPr>
        <w:t>7</w:t>
      </w:r>
      <w:r w:rsidRPr="00D64AA0">
        <w:rPr>
          <w:rFonts w:eastAsia="Times New Roman" w:cstheme="minorHAnsi"/>
          <w:bCs/>
          <w:lang w:val="fr-CH" w:eastAsia="en-GB"/>
        </w:rPr>
        <w:t xml:space="preserve"> </w:t>
      </w:r>
      <w:r w:rsidR="00065FE3">
        <w:rPr>
          <w:rFonts w:eastAsia="Times New Roman" w:cstheme="minorHAnsi"/>
          <w:bCs/>
          <w:lang w:val="fr-CH" w:eastAsia="en-GB"/>
        </w:rPr>
        <w:t>mai</w:t>
      </w:r>
      <w:r w:rsidR="009757B9" w:rsidRPr="00D64AA0">
        <w:rPr>
          <w:rFonts w:eastAsia="Times New Roman" w:cstheme="minorHAnsi"/>
          <w:bCs/>
          <w:lang w:val="fr-CH" w:eastAsia="en-GB"/>
        </w:rPr>
        <w:t xml:space="preserve"> </w:t>
      </w:r>
      <w:r w:rsidRPr="00D64AA0">
        <w:rPr>
          <w:rFonts w:eastAsia="Times New Roman" w:cstheme="minorHAnsi"/>
          <w:bCs/>
          <w:lang w:val="fr-CH" w:eastAsia="en-GB"/>
        </w:rPr>
        <w:t>202</w:t>
      </w:r>
      <w:r w:rsidR="009757B9" w:rsidRPr="00D64AA0">
        <w:rPr>
          <w:rFonts w:eastAsia="Times New Roman" w:cstheme="minorHAnsi"/>
          <w:bCs/>
          <w:lang w:val="fr-CH" w:eastAsia="en-GB"/>
        </w:rPr>
        <w:t>2</w:t>
      </w:r>
    </w:p>
    <w:p w14:paraId="271797E3" w14:textId="77777777" w:rsidR="00043524" w:rsidRPr="00D64AA0" w:rsidRDefault="00043524" w:rsidP="00166ADC">
      <w:pPr>
        <w:spacing w:after="0" w:line="240" w:lineRule="auto"/>
        <w:jc w:val="both"/>
        <w:rPr>
          <w:rFonts w:eastAsia="Times New Roman" w:cstheme="minorHAnsi"/>
          <w:sz w:val="28"/>
          <w:szCs w:val="28"/>
          <w:lang w:val="fr-CH" w:eastAsia="en-GB"/>
        </w:rPr>
      </w:pPr>
    </w:p>
    <w:p w14:paraId="4F2A9BC8" w14:textId="77777777" w:rsidR="00043524" w:rsidRPr="00D64AA0" w:rsidRDefault="00043524" w:rsidP="00166ADC">
      <w:pPr>
        <w:spacing w:after="0" w:line="240" w:lineRule="auto"/>
        <w:jc w:val="right"/>
        <w:rPr>
          <w:rFonts w:eastAsia="Times New Roman" w:cstheme="minorHAnsi"/>
          <w:b/>
          <w:sz w:val="28"/>
          <w:szCs w:val="28"/>
          <w:lang w:val="fr-CH" w:eastAsia="en-GB"/>
        </w:rPr>
      </w:pPr>
      <w:r w:rsidRPr="00D64AA0">
        <w:rPr>
          <w:rFonts w:eastAsia="Times New Roman" w:cstheme="minorHAnsi"/>
          <w:b/>
          <w:sz w:val="28"/>
          <w:szCs w:val="28"/>
          <w:lang w:val="fr-CH" w:eastAsia="en-GB"/>
        </w:rPr>
        <w:t>SC59</w:t>
      </w:r>
      <w:r w:rsidR="00236658" w:rsidRPr="00D64AA0">
        <w:rPr>
          <w:rFonts w:eastAsia="Times New Roman" w:cstheme="minorHAnsi"/>
          <w:b/>
          <w:sz w:val="28"/>
          <w:szCs w:val="28"/>
          <w:lang w:val="fr-CH" w:eastAsia="en-GB"/>
        </w:rPr>
        <w:t>/2022</w:t>
      </w:r>
      <w:r w:rsidRPr="00D64AA0">
        <w:rPr>
          <w:rFonts w:eastAsia="Times New Roman" w:cstheme="minorHAnsi"/>
          <w:b/>
          <w:sz w:val="28"/>
          <w:szCs w:val="28"/>
          <w:lang w:val="fr-CH" w:eastAsia="en-GB"/>
        </w:rPr>
        <w:t xml:space="preserve"> Doc.</w:t>
      </w:r>
      <w:r w:rsidR="004349EE" w:rsidRPr="00D64AA0">
        <w:rPr>
          <w:rFonts w:eastAsia="Times New Roman" w:cstheme="minorHAnsi"/>
          <w:b/>
          <w:sz w:val="28"/>
          <w:szCs w:val="28"/>
          <w:lang w:val="fr-CH" w:eastAsia="en-GB"/>
        </w:rPr>
        <w:t>14</w:t>
      </w:r>
    </w:p>
    <w:p w14:paraId="30A729F7" w14:textId="77777777" w:rsidR="00043524" w:rsidRPr="00D64AA0" w:rsidRDefault="00043524" w:rsidP="00166ADC">
      <w:pPr>
        <w:spacing w:after="0" w:line="240" w:lineRule="auto"/>
        <w:jc w:val="right"/>
        <w:rPr>
          <w:rFonts w:eastAsia="Times New Roman" w:cstheme="minorHAnsi"/>
          <w:b/>
          <w:sz w:val="28"/>
          <w:szCs w:val="28"/>
          <w:lang w:val="fr-CH" w:eastAsia="en-GB"/>
        </w:rPr>
      </w:pPr>
    </w:p>
    <w:p w14:paraId="1801A833" w14:textId="14A46176" w:rsidR="00043524" w:rsidRPr="00D64AA0" w:rsidRDefault="00043524" w:rsidP="00166ADC">
      <w:pPr>
        <w:autoSpaceDE w:val="0"/>
        <w:autoSpaceDN w:val="0"/>
        <w:adjustRightInd w:val="0"/>
        <w:spacing w:after="0" w:line="240" w:lineRule="auto"/>
        <w:jc w:val="center"/>
        <w:rPr>
          <w:rFonts w:cstheme="minorHAnsi"/>
          <w:b/>
          <w:color w:val="000000"/>
          <w:sz w:val="28"/>
          <w:szCs w:val="28"/>
          <w:lang w:val="fr-CH"/>
        </w:rPr>
      </w:pPr>
      <w:r w:rsidRPr="00D64AA0">
        <w:rPr>
          <w:rFonts w:cstheme="minorHAnsi"/>
          <w:b/>
          <w:bCs/>
          <w:color w:val="000000"/>
          <w:sz w:val="28"/>
          <w:szCs w:val="28"/>
          <w:lang w:val="fr-CH"/>
        </w:rPr>
        <w:t>R</w:t>
      </w:r>
      <w:r w:rsidR="00065FE3">
        <w:rPr>
          <w:rFonts w:cstheme="minorHAnsi"/>
          <w:b/>
          <w:bCs/>
          <w:color w:val="000000"/>
          <w:sz w:val="28"/>
          <w:szCs w:val="28"/>
          <w:lang w:val="fr-CH"/>
        </w:rPr>
        <w:t>apport du Groupe de travail sur le statut d’observateur</w:t>
      </w:r>
      <w:r w:rsidRPr="00D64AA0">
        <w:rPr>
          <w:rFonts w:cstheme="minorHAnsi"/>
          <w:b/>
          <w:bCs/>
          <w:color w:val="000000"/>
          <w:sz w:val="28"/>
          <w:szCs w:val="28"/>
          <w:lang w:val="fr-CH"/>
        </w:rPr>
        <w:t xml:space="preserve"> </w:t>
      </w:r>
    </w:p>
    <w:p w14:paraId="129E5A3D" w14:textId="77777777" w:rsidR="00043524" w:rsidRPr="00D64AA0" w:rsidRDefault="00043524" w:rsidP="00166ADC">
      <w:pPr>
        <w:spacing w:after="0" w:line="240" w:lineRule="auto"/>
        <w:jc w:val="both"/>
        <w:rPr>
          <w:rFonts w:eastAsia="Times New Roman" w:cstheme="minorHAnsi"/>
          <w:b/>
          <w:sz w:val="28"/>
          <w:szCs w:val="28"/>
          <w:lang w:val="fr-CH" w:eastAsia="en-GB"/>
        </w:rPr>
      </w:pPr>
    </w:p>
    <w:p w14:paraId="5FF881FE" w14:textId="77777777" w:rsidR="00043524" w:rsidRPr="00D64AA0" w:rsidRDefault="00043524" w:rsidP="00166ADC">
      <w:pPr>
        <w:autoSpaceDE w:val="0"/>
        <w:autoSpaceDN w:val="0"/>
        <w:adjustRightInd w:val="0"/>
        <w:spacing w:after="0" w:line="240" w:lineRule="auto"/>
        <w:ind w:left="357" w:hanging="357"/>
        <w:jc w:val="both"/>
        <w:rPr>
          <w:rFonts w:cstheme="minorHAnsi"/>
          <w:lang w:val="fr-CH"/>
        </w:rPr>
      </w:pPr>
      <w:r w:rsidRPr="00D64AA0">
        <w:rPr>
          <w:rFonts w:eastAsia="Times New Roman" w:cstheme="minorHAnsi"/>
          <w:noProof/>
          <w:lang w:eastAsia="en-GB"/>
        </w:rPr>
        <mc:AlternateContent>
          <mc:Choice Requires="wps">
            <w:drawing>
              <wp:inline distT="0" distB="0" distL="0" distR="0" wp14:anchorId="6DF585DE" wp14:editId="0EFAC307">
                <wp:extent cx="5854535" cy="1746913"/>
                <wp:effectExtent l="0" t="0" r="13335" b="247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746913"/>
                        </a:xfrm>
                        <a:prstGeom prst="rect">
                          <a:avLst/>
                        </a:prstGeom>
                        <a:solidFill>
                          <a:srgbClr val="FFFFFF"/>
                        </a:solidFill>
                        <a:ln w="9525">
                          <a:solidFill>
                            <a:srgbClr val="000000"/>
                          </a:solidFill>
                          <a:miter lim="800000"/>
                          <a:headEnd/>
                          <a:tailEnd/>
                        </a:ln>
                      </wps:spPr>
                      <wps:txbx>
                        <w:txbxContent>
                          <w:p w14:paraId="2910D3E1" w14:textId="4289B0CC" w:rsidR="00043524" w:rsidRPr="00D64AA0" w:rsidRDefault="00065FE3" w:rsidP="007D79AF">
                            <w:pPr>
                              <w:spacing w:after="0" w:line="240" w:lineRule="auto"/>
                              <w:rPr>
                                <w:rFonts w:ascii="Calibri" w:hAnsi="Calibri"/>
                                <w:b/>
                                <w:bCs/>
                                <w:lang w:val="fr-CH"/>
                              </w:rPr>
                            </w:pPr>
                            <w:r>
                              <w:rPr>
                                <w:rFonts w:ascii="Calibri" w:hAnsi="Calibri"/>
                                <w:b/>
                                <w:bCs/>
                                <w:lang w:val="fr-CH"/>
                              </w:rPr>
                              <w:t>Mesures requises </w:t>
                            </w:r>
                            <w:r w:rsidR="00043524" w:rsidRPr="00D64AA0">
                              <w:rPr>
                                <w:rFonts w:ascii="Calibri" w:hAnsi="Calibri"/>
                                <w:b/>
                                <w:bCs/>
                                <w:lang w:val="fr-CH"/>
                              </w:rPr>
                              <w:t>:</w:t>
                            </w:r>
                          </w:p>
                          <w:p w14:paraId="72288E32" w14:textId="77777777" w:rsidR="007B3592" w:rsidRPr="00D64AA0" w:rsidRDefault="007B3592" w:rsidP="007D79AF">
                            <w:pPr>
                              <w:spacing w:after="0" w:line="240" w:lineRule="auto"/>
                              <w:rPr>
                                <w:lang w:val="fr-CH"/>
                              </w:rPr>
                            </w:pPr>
                          </w:p>
                          <w:p w14:paraId="059D3A3B" w14:textId="7E7A8DC9" w:rsidR="00043524" w:rsidRPr="00D64AA0" w:rsidRDefault="00065FE3" w:rsidP="007D79AF">
                            <w:pPr>
                              <w:spacing w:after="0" w:line="240" w:lineRule="auto"/>
                              <w:rPr>
                                <w:lang w:val="fr-CH"/>
                              </w:rPr>
                            </w:pPr>
                            <w:r>
                              <w:rPr>
                                <w:lang w:val="fr-CH"/>
                              </w:rPr>
                              <w:t>Le Comité permanent est invité à :</w:t>
                            </w:r>
                            <w:r w:rsidR="00043524" w:rsidRPr="00D64AA0">
                              <w:rPr>
                                <w:lang w:val="fr-CH"/>
                              </w:rPr>
                              <w:t xml:space="preserve"> </w:t>
                            </w:r>
                          </w:p>
                          <w:p w14:paraId="7BCF9497" w14:textId="77777777" w:rsidR="007D79AF" w:rsidRPr="00D64AA0" w:rsidRDefault="007D79AF" w:rsidP="007D79AF">
                            <w:pPr>
                              <w:spacing w:after="0" w:line="240" w:lineRule="auto"/>
                              <w:ind w:left="425" w:hanging="425"/>
                              <w:rPr>
                                <w:lang w:val="fr-CH"/>
                              </w:rPr>
                            </w:pPr>
                          </w:p>
                          <w:p w14:paraId="658456AB" w14:textId="62DAA58D" w:rsidR="00A615A8" w:rsidRPr="00D64AA0" w:rsidRDefault="00043524" w:rsidP="007D79AF">
                            <w:pPr>
                              <w:spacing w:after="0" w:line="240" w:lineRule="auto"/>
                              <w:ind w:left="425" w:hanging="425"/>
                              <w:rPr>
                                <w:lang w:val="fr-CH"/>
                              </w:rPr>
                            </w:pPr>
                            <w:r w:rsidRPr="00D64AA0">
                              <w:rPr>
                                <w:lang w:val="fr-CH"/>
                              </w:rPr>
                              <w:t>i</w:t>
                            </w:r>
                            <w:r w:rsidR="00065FE3">
                              <w:rPr>
                                <w:lang w:val="fr-CH"/>
                              </w:rPr>
                              <w:t>)</w:t>
                            </w:r>
                            <w:r w:rsidRPr="00D64AA0">
                              <w:rPr>
                                <w:lang w:val="fr-CH"/>
                              </w:rPr>
                              <w:tab/>
                            </w:r>
                            <w:r w:rsidR="00065FE3">
                              <w:rPr>
                                <w:lang w:val="fr-CH"/>
                              </w:rPr>
                              <w:t xml:space="preserve">prendre note des progrès des travaux du Groupe de travail sur le statut d’observateur, dans le cadre du mandat </w:t>
                            </w:r>
                            <w:r w:rsidR="00A973B0">
                              <w:rPr>
                                <w:lang w:val="fr-CH"/>
                              </w:rPr>
                              <w:t>confié par le</w:t>
                            </w:r>
                            <w:r w:rsidR="00065FE3">
                              <w:rPr>
                                <w:lang w:val="fr-CH"/>
                              </w:rPr>
                              <w:t xml:space="preserve"> Comité permanent ; et </w:t>
                            </w:r>
                          </w:p>
                          <w:p w14:paraId="20FDDB07" w14:textId="77777777" w:rsidR="00D2518D" w:rsidRPr="00D64AA0" w:rsidRDefault="00D2518D" w:rsidP="007D79AF">
                            <w:pPr>
                              <w:spacing w:after="0" w:line="240" w:lineRule="auto"/>
                              <w:ind w:left="425" w:hanging="425"/>
                              <w:rPr>
                                <w:lang w:val="fr-CH"/>
                              </w:rPr>
                            </w:pPr>
                          </w:p>
                          <w:p w14:paraId="45C86D84" w14:textId="6D538BFF" w:rsidR="0031116C" w:rsidRPr="00D64AA0" w:rsidRDefault="00A615A8" w:rsidP="007D79AF">
                            <w:pPr>
                              <w:spacing w:after="0" w:line="240" w:lineRule="auto"/>
                              <w:ind w:left="425" w:hanging="425"/>
                              <w:rPr>
                                <w:rFonts w:cs="Garamond"/>
                                <w:lang w:val="fr-CH"/>
                              </w:rPr>
                            </w:pPr>
                            <w:r w:rsidRPr="00D64AA0">
                              <w:rPr>
                                <w:rFonts w:cs="Garamond"/>
                                <w:lang w:val="fr-CH"/>
                              </w:rPr>
                              <w:t xml:space="preserve"> </w:t>
                            </w:r>
                            <w:r w:rsidR="00043524" w:rsidRPr="00D64AA0">
                              <w:rPr>
                                <w:rFonts w:cs="Garamond"/>
                                <w:lang w:val="fr-CH"/>
                              </w:rPr>
                              <w:t>ii</w:t>
                            </w:r>
                            <w:r w:rsidR="00065FE3">
                              <w:rPr>
                                <w:rFonts w:cs="Garamond"/>
                                <w:lang w:val="fr-CH"/>
                              </w:rPr>
                              <w:t>)</w:t>
                            </w:r>
                            <w:r w:rsidR="00043524" w:rsidRPr="00D64AA0">
                              <w:rPr>
                                <w:rFonts w:cs="Garamond"/>
                                <w:lang w:val="fr-CH"/>
                              </w:rPr>
                              <w:tab/>
                            </w:r>
                            <w:r w:rsidR="00065FE3">
                              <w:rPr>
                                <w:rFonts w:cs="Garamond"/>
                                <w:lang w:val="fr-CH"/>
                              </w:rPr>
                              <w:t xml:space="preserve">discuter et convenir </w:t>
                            </w:r>
                            <w:r w:rsidR="00A973B0">
                              <w:rPr>
                                <w:rFonts w:cs="Garamond"/>
                                <w:lang w:val="fr-CH"/>
                              </w:rPr>
                              <w:t>de la</w:t>
                            </w:r>
                            <w:r w:rsidR="00065FE3">
                              <w:rPr>
                                <w:rFonts w:cs="Garamond"/>
                                <w:lang w:val="fr-CH"/>
                              </w:rPr>
                              <w:t xml:space="preserve"> </w:t>
                            </w:r>
                            <w:r w:rsidR="000B26E0">
                              <w:rPr>
                                <w:rFonts w:cs="Garamond"/>
                                <w:lang w:val="fr-CH"/>
                              </w:rPr>
                              <w:t>voie à suivre</w:t>
                            </w:r>
                            <w:r w:rsidR="00065FE3">
                              <w:rPr>
                                <w:rFonts w:cs="Garamond"/>
                                <w:lang w:val="fr-CH"/>
                              </w:rPr>
                              <w:t xml:space="preserve"> </w:t>
                            </w:r>
                            <w:r w:rsidR="00A973B0">
                              <w:rPr>
                                <w:rFonts w:cs="Garamond"/>
                                <w:lang w:val="fr-CH"/>
                              </w:rPr>
                              <w:t xml:space="preserve">sur </w:t>
                            </w:r>
                            <w:r w:rsidR="00065FE3">
                              <w:rPr>
                                <w:rFonts w:cs="Garamond"/>
                                <w:lang w:val="fr-CH"/>
                              </w:rPr>
                              <w:t>les questions relatives au statut d’observateur</w:t>
                            </w:r>
                            <w:r w:rsidR="000B26E0">
                              <w:rPr>
                                <w:rFonts w:cs="Garamond"/>
                                <w:lang w:val="fr-CH"/>
                              </w:rPr>
                              <w:t>,</w:t>
                            </w:r>
                            <w:r w:rsidR="00065FE3">
                              <w:rPr>
                                <w:rFonts w:cs="Garamond"/>
                                <w:lang w:val="fr-CH"/>
                              </w:rPr>
                              <w:t xml:space="preserve"> en tenant compte des commentaires du Groupe de travail.</w:t>
                            </w:r>
                          </w:p>
                        </w:txbxContent>
                      </wps:txbx>
                      <wps:bodyPr rot="0" vert="horz" wrap="square" lIns="91440" tIns="45720" rIns="91440" bIns="45720" anchor="t" anchorCtr="0" upright="1">
                        <a:noAutofit/>
                      </wps:bodyPr>
                    </wps:wsp>
                  </a:graphicData>
                </a:graphic>
              </wp:inline>
            </w:drawing>
          </mc:Choice>
          <mc:Fallback>
            <w:pict>
              <v:shapetype w14:anchorId="6DF585DE" id="_x0000_t202" coordsize="21600,21600" o:spt="202" path="m,l,21600r21600,l21600,xe">
                <v:stroke joinstyle="miter"/>
                <v:path gradientshapeok="t" o:connecttype="rect"/>
              </v:shapetype>
              <v:shape id="Text Box 5" o:spid="_x0000_s1026" type="#_x0000_t202" style="width:461pt;height:1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">
                <v:textbox>
                  <w:txbxContent>
                    <w:p w14:paraId="2910D3E1" w14:textId="4289B0CC" w:rsidR="00043524" w:rsidRPr="00D64AA0" w:rsidRDefault="00065FE3" w:rsidP="007D79AF">
                      <w:pPr>
                        <w:spacing w:after="0" w:line="240" w:lineRule="auto"/>
                        <w:rPr>
                          <w:rFonts w:ascii="Calibri" w:hAnsi="Calibri"/>
                          <w:b/>
                          <w:bCs/>
                          <w:lang w:val="fr-CH"/>
                        </w:rPr>
                      </w:pPr>
                      <w:r>
                        <w:rPr>
                          <w:rFonts w:ascii="Calibri" w:hAnsi="Calibri"/>
                          <w:b/>
                          <w:bCs/>
                          <w:lang w:val="fr-CH"/>
                        </w:rPr>
                        <w:t>Mesures requises </w:t>
                      </w:r>
                      <w:r w:rsidR="00043524" w:rsidRPr="00D64AA0">
                        <w:rPr>
                          <w:rFonts w:ascii="Calibri" w:hAnsi="Calibri"/>
                          <w:b/>
                          <w:bCs/>
                          <w:lang w:val="fr-CH"/>
                        </w:rPr>
                        <w:t>:</w:t>
                      </w:r>
                    </w:p>
                    <w:p w14:paraId="72288E32" w14:textId="77777777" w:rsidR="007B3592" w:rsidRPr="00D64AA0" w:rsidRDefault="007B3592" w:rsidP="007D79AF">
                      <w:pPr>
                        <w:spacing w:after="0" w:line="240" w:lineRule="auto"/>
                        <w:rPr>
                          <w:lang w:val="fr-CH"/>
                        </w:rPr>
                      </w:pPr>
                    </w:p>
                    <w:p w14:paraId="059D3A3B" w14:textId="7E7A8DC9" w:rsidR="00043524" w:rsidRPr="00D64AA0" w:rsidRDefault="00065FE3" w:rsidP="007D79AF">
                      <w:pPr>
                        <w:spacing w:after="0" w:line="240" w:lineRule="auto"/>
                        <w:rPr>
                          <w:lang w:val="fr-CH"/>
                        </w:rPr>
                      </w:pPr>
                      <w:r>
                        <w:rPr>
                          <w:lang w:val="fr-CH"/>
                        </w:rPr>
                        <w:t>Le Comité permanent est invité à :</w:t>
                      </w:r>
                      <w:r w:rsidR="00043524" w:rsidRPr="00D64AA0">
                        <w:rPr>
                          <w:lang w:val="fr-CH"/>
                        </w:rPr>
                        <w:t xml:space="preserve"> </w:t>
                      </w:r>
                    </w:p>
                    <w:p w14:paraId="7BCF9497" w14:textId="77777777" w:rsidR="007D79AF" w:rsidRPr="00D64AA0" w:rsidRDefault="007D79AF" w:rsidP="007D79AF">
                      <w:pPr>
                        <w:spacing w:after="0" w:line="240" w:lineRule="auto"/>
                        <w:ind w:left="425" w:hanging="425"/>
                        <w:rPr>
                          <w:lang w:val="fr-CH"/>
                        </w:rPr>
                      </w:pPr>
                    </w:p>
                    <w:p w14:paraId="658456AB" w14:textId="62DAA58D" w:rsidR="00A615A8" w:rsidRPr="00D64AA0" w:rsidRDefault="00043524" w:rsidP="007D79AF">
                      <w:pPr>
                        <w:spacing w:after="0" w:line="240" w:lineRule="auto"/>
                        <w:ind w:left="425" w:hanging="425"/>
                        <w:rPr>
                          <w:lang w:val="fr-CH"/>
                        </w:rPr>
                      </w:pPr>
                      <w:r w:rsidRPr="00D64AA0">
                        <w:rPr>
                          <w:lang w:val="fr-CH"/>
                        </w:rPr>
                        <w:t>i</w:t>
                      </w:r>
                      <w:r w:rsidR="00065FE3">
                        <w:rPr>
                          <w:lang w:val="fr-CH"/>
                        </w:rPr>
                        <w:t>)</w:t>
                      </w:r>
                      <w:r w:rsidRPr="00D64AA0">
                        <w:rPr>
                          <w:lang w:val="fr-CH"/>
                        </w:rPr>
                        <w:tab/>
                      </w:r>
                      <w:r w:rsidR="00065FE3">
                        <w:rPr>
                          <w:lang w:val="fr-CH"/>
                        </w:rPr>
                        <w:t xml:space="preserve">prendre note des progrès des travaux du Groupe de travail sur le statut d’observateur, dans le cadre du mandat </w:t>
                      </w:r>
                      <w:r w:rsidR="00A973B0">
                        <w:rPr>
                          <w:lang w:val="fr-CH"/>
                        </w:rPr>
                        <w:t>confié par le</w:t>
                      </w:r>
                      <w:r w:rsidR="00065FE3">
                        <w:rPr>
                          <w:lang w:val="fr-CH"/>
                        </w:rPr>
                        <w:t xml:space="preserve"> Comité permanent ; et </w:t>
                      </w:r>
                    </w:p>
                    <w:p w14:paraId="20FDDB07" w14:textId="77777777" w:rsidR="00D2518D" w:rsidRPr="00D64AA0" w:rsidRDefault="00D2518D" w:rsidP="007D79AF">
                      <w:pPr>
                        <w:spacing w:after="0" w:line="240" w:lineRule="auto"/>
                        <w:ind w:left="425" w:hanging="425"/>
                        <w:rPr>
                          <w:lang w:val="fr-CH"/>
                        </w:rPr>
                      </w:pPr>
                    </w:p>
                    <w:p w14:paraId="45C86D84" w14:textId="6D538BFF" w:rsidR="0031116C" w:rsidRPr="00D64AA0" w:rsidRDefault="00A615A8" w:rsidP="007D79AF">
                      <w:pPr>
                        <w:spacing w:after="0" w:line="240" w:lineRule="auto"/>
                        <w:ind w:left="425" w:hanging="425"/>
                        <w:rPr>
                          <w:rFonts w:cs="Garamond"/>
                          <w:lang w:val="fr-CH"/>
                        </w:rPr>
                      </w:pPr>
                      <w:r w:rsidRPr="00D64AA0">
                        <w:rPr>
                          <w:rFonts w:cs="Garamond"/>
                          <w:lang w:val="fr-CH"/>
                        </w:rPr>
                        <w:t xml:space="preserve"> </w:t>
                      </w:r>
                      <w:r w:rsidR="00043524" w:rsidRPr="00D64AA0">
                        <w:rPr>
                          <w:rFonts w:cs="Garamond"/>
                          <w:lang w:val="fr-CH"/>
                        </w:rPr>
                        <w:t>ii</w:t>
                      </w:r>
                      <w:r w:rsidR="00065FE3">
                        <w:rPr>
                          <w:rFonts w:cs="Garamond"/>
                          <w:lang w:val="fr-CH"/>
                        </w:rPr>
                        <w:t>)</w:t>
                      </w:r>
                      <w:r w:rsidR="00043524" w:rsidRPr="00D64AA0">
                        <w:rPr>
                          <w:rFonts w:cs="Garamond"/>
                          <w:lang w:val="fr-CH"/>
                        </w:rPr>
                        <w:tab/>
                      </w:r>
                      <w:r w:rsidR="00065FE3">
                        <w:rPr>
                          <w:rFonts w:cs="Garamond"/>
                          <w:lang w:val="fr-CH"/>
                        </w:rPr>
                        <w:t xml:space="preserve">discuter et convenir </w:t>
                      </w:r>
                      <w:r w:rsidR="00A973B0">
                        <w:rPr>
                          <w:rFonts w:cs="Garamond"/>
                          <w:lang w:val="fr-CH"/>
                        </w:rPr>
                        <w:t>de la</w:t>
                      </w:r>
                      <w:r w:rsidR="00065FE3">
                        <w:rPr>
                          <w:rFonts w:cs="Garamond"/>
                          <w:lang w:val="fr-CH"/>
                        </w:rPr>
                        <w:t xml:space="preserve"> </w:t>
                      </w:r>
                      <w:r w:rsidR="000B26E0">
                        <w:rPr>
                          <w:rFonts w:cs="Garamond"/>
                          <w:lang w:val="fr-CH"/>
                        </w:rPr>
                        <w:t>voie à suivre</w:t>
                      </w:r>
                      <w:r w:rsidR="00065FE3">
                        <w:rPr>
                          <w:rFonts w:cs="Garamond"/>
                          <w:lang w:val="fr-CH"/>
                        </w:rPr>
                        <w:t xml:space="preserve"> </w:t>
                      </w:r>
                      <w:r w:rsidR="00A973B0">
                        <w:rPr>
                          <w:rFonts w:cs="Garamond"/>
                          <w:lang w:val="fr-CH"/>
                        </w:rPr>
                        <w:t xml:space="preserve">sur </w:t>
                      </w:r>
                      <w:r w:rsidR="00065FE3">
                        <w:rPr>
                          <w:rFonts w:cs="Garamond"/>
                          <w:lang w:val="fr-CH"/>
                        </w:rPr>
                        <w:t>les questions relatives au statut d’observateur</w:t>
                      </w:r>
                      <w:r w:rsidR="000B26E0">
                        <w:rPr>
                          <w:rFonts w:cs="Garamond"/>
                          <w:lang w:val="fr-CH"/>
                        </w:rPr>
                        <w:t>,</w:t>
                      </w:r>
                      <w:r w:rsidR="00065FE3">
                        <w:rPr>
                          <w:rFonts w:cs="Garamond"/>
                          <w:lang w:val="fr-CH"/>
                        </w:rPr>
                        <w:t xml:space="preserve"> en tenant compte des commentaires du Groupe de travail.</w:t>
                      </w:r>
                    </w:p>
                  </w:txbxContent>
                </v:textbox>
                <w10:anchorlock/>
              </v:shape>
            </w:pict>
          </mc:Fallback>
        </mc:AlternateContent>
      </w:r>
    </w:p>
    <w:p w14:paraId="5B9FD114" w14:textId="77777777" w:rsidR="00043524" w:rsidRPr="00D64AA0" w:rsidRDefault="00043524" w:rsidP="00166ADC">
      <w:pPr>
        <w:spacing w:after="0" w:line="240" w:lineRule="auto"/>
        <w:rPr>
          <w:rFonts w:cstheme="minorHAnsi"/>
          <w:lang w:val="fr-CH"/>
        </w:rPr>
      </w:pPr>
    </w:p>
    <w:p w14:paraId="1D24C402" w14:textId="77777777" w:rsidR="007D79AF" w:rsidRPr="00D64AA0" w:rsidRDefault="007D79AF" w:rsidP="00166ADC">
      <w:pPr>
        <w:spacing w:after="0" w:line="240" w:lineRule="auto"/>
        <w:rPr>
          <w:rFonts w:cstheme="minorHAnsi"/>
          <w:lang w:val="fr-CH"/>
        </w:rPr>
      </w:pPr>
    </w:p>
    <w:p w14:paraId="26804F1A" w14:textId="792F7734" w:rsidR="00E92C39" w:rsidRPr="00D64AA0" w:rsidRDefault="00065FE3" w:rsidP="00166ADC">
      <w:pPr>
        <w:spacing w:after="0" w:line="240" w:lineRule="auto"/>
        <w:rPr>
          <w:rFonts w:cstheme="minorHAnsi"/>
          <w:b/>
          <w:lang w:val="fr-CH"/>
        </w:rPr>
      </w:pPr>
      <w:r>
        <w:rPr>
          <w:rFonts w:cstheme="minorHAnsi"/>
          <w:b/>
          <w:lang w:val="fr-CH"/>
        </w:rPr>
        <w:t>Contexte</w:t>
      </w:r>
    </w:p>
    <w:p w14:paraId="23677223" w14:textId="77777777" w:rsidR="00401270" w:rsidRPr="00D64AA0" w:rsidRDefault="00401270" w:rsidP="00166ADC">
      <w:pPr>
        <w:spacing w:after="0" w:line="240" w:lineRule="auto"/>
        <w:rPr>
          <w:rFonts w:cstheme="minorHAnsi"/>
          <w:lang w:val="fr-CH"/>
        </w:rPr>
      </w:pPr>
    </w:p>
    <w:p w14:paraId="52926C73" w14:textId="4508DFA2" w:rsidR="00401270" w:rsidRPr="00D64AA0" w:rsidRDefault="00CF758B" w:rsidP="00D257BA">
      <w:pPr>
        <w:pStyle w:val="ColorfulList-Accent11"/>
        <w:ind w:left="426" w:hanging="426"/>
        <w:rPr>
          <w:rFonts w:asciiTheme="minorHAnsi" w:hAnsiTheme="minorHAnsi" w:cstheme="minorHAnsi"/>
          <w:lang w:val="fr-CH"/>
        </w:rPr>
      </w:pPr>
      <w:r w:rsidRPr="00D64AA0">
        <w:rPr>
          <w:rFonts w:asciiTheme="minorHAnsi" w:hAnsiTheme="minorHAnsi" w:cstheme="minorHAnsi"/>
          <w:lang w:val="fr-CH"/>
        </w:rPr>
        <w:t>1.</w:t>
      </w:r>
      <w:r w:rsidRPr="00D64AA0">
        <w:rPr>
          <w:rFonts w:asciiTheme="minorHAnsi" w:hAnsiTheme="minorHAnsi" w:cstheme="minorHAnsi"/>
          <w:lang w:val="fr-CH"/>
        </w:rPr>
        <w:tab/>
      </w:r>
      <w:r w:rsidR="00065FE3">
        <w:rPr>
          <w:rFonts w:asciiTheme="minorHAnsi" w:hAnsiTheme="minorHAnsi" w:cstheme="minorHAnsi"/>
          <w:lang w:val="fr-CH"/>
        </w:rPr>
        <w:t xml:space="preserve">Dans </w:t>
      </w:r>
      <w:r w:rsidR="00403EA5">
        <w:rPr>
          <w:rFonts w:asciiTheme="minorHAnsi" w:hAnsiTheme="minorHAnsi" w:cstheme="minorHAnsi"/>
          <w:lang w:val="fr-CH"/>
        </w:rPr>
        <w:t>s</w:t>
      </w:r>
      <w:r w:rsidR="00065FE3">
        <w:rPr>
          <w:rFonts w:asciiTheme="minorHAnsi" w:hAnsiTheme="minorHAnsi" w:cstheme="minorHAnsi"/>
          <w:lang w:val="fr-CH"/>
        </w:rPr>
        <w:t>a Décision</w:t>
      </w:r>
      <w:r w:rsidR="00401270" w:rsidRPr="00D64AA0">
        <w:rPr>
          <w:rFonts w:asciiTheme="minorHAnsi" w:hAnsiTheme="minorHAnsi" w:cstheme="minorHAnsi"/>
          <w:lang w:val="fr-CH"/>
        </w:rPr>
        <w:t xml:space="preserve"> SC55-12, </w:t>
      </w:r>
      <w:r w:rsidR="00065FE3">
        <w:rPr>
          <w:rFonts w:asciiTheme="minorHAnsi" w:hAnsiTheme="minorHAnsi" w:cstheme="minorHAnsi"/>
          <w:lang w:val="fr-CH"/>
        </w:rPr>
        <w:t xml:space="preserve">le Comité permanent a donné instruction au Secrétariat, </w:t>
      </w:r>
      <w:r w:rsidR="00D257BA" w:rsidRPr="00D257BA">
        <w:rPr>
          <w:rFonts w:asciiTheme="minorHAnsi" w:hAnsiTheme="minorHAnsi" w:cstheme="minorHAnsi"/>
          <w:lang w:val="fr-CH"/>
        </w:rPr>
        <w:t>avec le soutien d'un groupe</w:t>
      </w:r>
      <w:r w:rsidR="00D257BA">
        <w:rPr>
          <w:rFonts w:asciiTheme="minorHAnsi" w:hAnsiTheme="minorHAnsi" w:cstheme="minorHAnsi"/>
          <w:lang w:val="fr-CH"/>
        </w:rPr>
        <w:t xml:space="preserve"> </w:t>
      </w:r>
      <w:r w:rsidR="00D257BA" w:rsidRPr="00D257BA">
        <w:rPr>
          <w:rFonts w:asciiTheme="minorHAnsi" w:hAnsiTheme="minorHAnsi" w:cstheme="minorHAnsi"/>
          <w:lang w:val="fr-CH"/>
        </w:rPr>
        <w:t>informel de Parties contractantes intéressées, de présenter une proposition structurée,</w:t>
      </w:r>
      <w:r w:rsidR="00D257BA">
        <w:rPr>
          <w:rFonts w:asciiTheme="minorHAnsi" w:hAnsiTheme="minorHAnsi" w:cstheme="minorHAnsi"/>
          <w:lang w:val="fr-CH"/>
        </w:rPr>
        <w:t xml:space="preserve"> </w:t>
      </w:r>
      <w:r w:rsidR="00065FE3">
        <w:rPr>
          <w:rFonts w:asciiTheme="minorHAnsi" w:hAnsiTheme="minorHAnsi" w:cstheme="minorHAnsi"/>
          <w:lang w:val="fr-CH"/>
        </w:rPr>
        <w:t>relative à la possibilité pour la Convention d’obtenir le statut d’observateur auprès de l’Assemblée générale des Nations Unies</w:t>
      </w:r>
      <w:r w:rsidR="00D257BA">
        <w:rPr>
          <w:rFonts w:asciiTheme="minorHAnsi" w:hAnsiTheme="minorHAnsi" w:cstheme="minorHAnsi"/>
          <w:lang w:val="fr-CH"/>
        </w:rPr>
        <w:t xml:space="preserve"> et</w:t>
      </w:r>
      <w:r w:rsidR="00065FE3">
        <w:rPr>
          <w:rFonts w:asciiTheme="minorHAnsi" w:hAnsiTheme="minorHAnsi" w:cstheme="minorHAnsi"/>
          <w:lang w:val="fr-CH"/>
        </w:rPr>
        <w:t xml:space="preserve"> tenant compte de différentes options, pour examen à sa 57</w:t>
      </w:r>
      <w:r w:rsidR="00065FE3" w:rsidRPr="00065FE3">
        <w:rPr>
          <w:rFonts w:asciiTheme="minorHAnsi" w:hAnsiTheme="minorHAnsi" w:cstheme="minorHAnsi"/>
          <w:vertAlign w:val="superscript"/>
          <w:lang w:val="fr-CH"/>
        </w:rPr>
        <w:t>e</w:t>
      </w:r>
      <w:r w:rsidR="00065FE3">
        <w:rPr>
          <w:rFonts w:asciiTheme="minorHAnsi" w:hAnsiTheme="minorHAnsi" w:cstheme="minorHAnsi"/>
          <w:lang w:val="fr-CH"/>
        </w:rPr>
        <w:t xml:space="preserve"> Réunion (SC57). </w:t>
      </w:r>
    </w:p>
    <w:p w14:paraId="56575968" w14:textId="77777777" w:rsidR="00401270" w:rsidRPr="00D64AA0" w:rsidRDefault="00401270" w:rsidP="00166ADC">
      <w:pPr>
        <w:pStyle w:val="ColorfulList-Accent11"/>
        <w:ind w:left="426" w:hanging="426"/>
        <w:contextualSpacing w:val="0"/>
        <w:rPr>
          <w:rFonts w:asciiTheme="minorHAnsi" w:hAnsiTheme="minorHAnsi" w:cstheme="minorHAnsi"/>
          <w:lang w:val="fr-CH"/>
        </w:rPr>
      </w:pPr>
    </w:p>
    <w:p w14:paraId="700DDE9E" w14:textId="7602CBEE" w:rsidR="00401270" w:rsidRPr="00D64AA0" w:rsidRDefault="00CF758B" w:rsidP="00166ADC">
      <w:pPr>
        <w:pStyle w:val="ColorfulList-Accent11"/>
        <w:ind w:left="426" w:hanging="426"/>
        <w:contextualSpacing w:val="0"/>
        <w:rPr>
          <w:rFonts w:asciiTheme="minorHAnsi" w:hAnsiTheme="minorHAnsi" w:cstheme="minorHAnsi"/>
          <w:lang w:val="fr-CH"/>
        </w:rPr>
      </w:pPr>
      <w:r w:rsidRPr="00D64AA0">
        <w:rPr>
          <w:rFonts w:asciiTheme="minorHAnsi" w:hAnsiTheme="minorHAnsi" w:cstheme="minorHAnsi"/>
          <w:lang w:val="fr-CH"/>
        </w:rPr>
        <w:t>2.</w:t>
      </w:r>
      <w:r w:rsidRPr="00D64AA0">
        <w:rPr>
          <w:rFonts w:asciiTheme="minorHAnsi" w:hAnsiTheme="minorHAnsi" w:cstheme="minorHAnsi"/>
          <w:lang w:val="fr-CH"/>
        </w:rPr>
        <w:tab/>
      </w:r>
      <w:r w:rsidR="00065FE3">
        <w:rPr>
          <w:rFonts w:asciiTheme="minorHAnsi" w:hAnsiTheme="minorHAnsi" w:cstheme="minorHAnsi"/>
          <w:lang w:val="fr-CH"/>
        </w:rPr>
        <w:t xml:space="preserve">Le Secrétariat a </w:t>
      </w:r>
      <w:r w:rsidR="00A93227">
        <w:rPr>
          <w:rFonts w:asciiTheme="minorHAnsi" w:hAnsiTheme="minorHAnsi" w:cstheme="minorHAnsi"/>
          <w:lang w:val="fr-CH"/>
        </w:rPr>
        <w:t>demandé à</w:t>
      </w:r>
      <w:r w:rsidR="00065FE3">
        <w:rPr>
          <w:rFonts w:asciiTheme="minorHAnsi" w:hAnsiTheme="minorHAnsi" w:cstheme="minorHAnsi"/>
          <w:lang w:val="fr-CH"/>
        </w:rPr>
        <w:t xml:space="preserve"> toutes les Parties </w:t>
      </w:r>
      <w:r w:rsidR="00A93227">
        <w:rPr>
          <w:rFonts w:asciiTheme="minorHAnsi" w:hAnsiTheme="minorHAnsi" w:cstheme="minorHAnsi"/>
          <w:lang w:val="fr-CH"/>
        </w:rPr>
        <w:t>si elles</w:t>
      </w:r>
      <w:r w:rsidR="00065FE3">
        <w:rPr>
          <w:rFonts w:asciiTheme="minorHAnsi" w:hAnsiTheme="minorHAnsi" w:cstheme="minorHAnsi"/>
          <w:lang w:val="fr-CH"/>
        </w:rPr>
        <w:t xml:space="preserve"> souhaitaient </w:t>
      </w:r>
      <w:r w:rsidR="00A93227">
        <w:rPr>
          <w:rFonts w:asciiTheme="minorHAnsi" w:hAnsiTheme="minorHAnsi" w:cstheme="minorHAnsi"/>
          <w:lang w:val="fr-CH"/>
        </w:rPr>
        <w:t>participer au</w:t>
      </w:r>
      <w:r w:rsidR="00065FE3">
        <w:rPr>
          <w:rFonts w:asciiTheme="minorHAnsi" w:hAnsiTheme="minorHAnsi" w:cstheme="minorHAnsi"/>
          <w:lang w:val="fr-CH"/>
        </w:rPr>
        <w:t xml:space="preserve"> processus. Un petit groupe informel a donc été réuni, comprenant</w:t>
      </w:r>
      <w:r w:rsidR="00B5351B">
        <w:rPr>
          <w:rFonts w:asciiTheme="minorHAnsi" w:hAnsiTheme="minorHAnsi" w:cstheme="minorHAnsi"/>
          <w:lang w:val="fr-CH"/>
        </w:rPr>
        <w:t xml:space="preserve"> la Bolivie (État </w:t>
      </w:r>
      <w:r w:rsidR="00065FE3">
        <w:rPr>
          <w:rFonts w:asciiTheme="minorHAnsi" w:hAnsiTheme="minorHAnsi" w:cstheme="minorHAnsi"/>
          <w:lang w:val="fr-CH"/>
        </w:rPr>
        <w:t xml:space="preserve">plurinational de), la Colombie, </w:t>
      </w:r>
      <w:r w:rsidR="00B5351B">
        <w:rPr>
          <w:rFonts w:asciiTheme="minorHAnsi" w:hAnsiTheme="minorHAnsi" w:cstheme="minorHAnsi"/>
          <w:lang w:val="fr-CH"/>
        </w:rPr>
        <w:t>les États</w:t>
      </w:r>
      <w:r w:rsidR="00B5351B">
        <w:rPr>
          <w:rFonts w:asciiTheme="minorHAnsi" w:hAnsiTheme="minorHAnsi" w:cstheme="minorHAnsi"/>
          <w:lang w:val="fr-CH"/>
        </w:rPr>
        <w:noBreakHyphen/>
        <w:t xml:space="preserve">Unis d’Amérique, </w:t>
      </w:r>
      <w:r w:rsidR="00065FE3">
        <w:rPr>
          <w:rFonts w:asciiTheme="minorHAnsi" w:hAnsiTheme="minorHAnsi" w:cstheme="minorHAnsi"/>
          <w:lang w:val="fr-CH"/>
        </w:rPr>
        <w:t xml:space="preserve">la Guinée, </w:t>
      </w:r>
      <w:r w:rsidR="00B5351B">
        <w:rPr>
          <w:rFonts w:asciiTheme="minorHAnsi" w:hAnsiTheme="minorHAnsi" w:cstheme="minorHAnsi"/>
          <w:lang w:val="fr-CH"/>
        </w:rPr>
        <w:t xml:space="preserve">le Tchad </w:t>
      </w:r>
      <w:r w:rsidR="00065FE3">
        <w:rPr>
          <w:rFonts w:asciiTheme="minorHAnsi" w:hAnsiTheme="minorHAnsi" w:cstheme="minorHAnsi"/>
          <w:lang w:val="fr-CH"/>
        </w:rPr>
        <w:t>et l’Uruguay.</w:t>
      </w:r>
      <w:r w:rsidR="00401270" w:rsidRPr="00D64AA0">
        <w:rPr>
          <w:rFonts w:asciiTheme="minorHAnsi" w:hAnsiTheme="minorHAnsi" w:cstheme="minorHAnsi"/>
          <w:lang w:val="fr-CH"/>
        </w:rPr>
        <w:t xml:space="preserve"> </w:t>
      </w:r>
    </w:p>
    <w:p w14:paraId="5F224C8E" w14:textId="77777777" w:rsidR="00401270" w:rsidRPr="00D64AA0" w:rsidRDefault="00401270" w:rsidP="00166ADC">
      <w:pPr>
        <w:pStyle w:val="ColorfulList-Accent11"/>
        <w:ind w:left="426" w:hanging="426"/>
        <w:contextualSpacing w:val="0"/>
        <w:rPr>
          <w:rFonts w:asciiTheme="minorHAnsi" w:hAnsiTheme="minorHAnsi" w:cstheme="minorHAnsi"/>
          <w:lang w:val="fr-CH"/>
        </w:rPr>
      </w:pPr>
    </w:p>
    <w:p w14:paraId="41DFD8D9" w14:textId="05170D96" w:rsidR="00401270" w:rsidRPr="00D64AA0" w:rsidRDefault="00CF758B" w:rsidP="00166ADC">
      <w:pPr>
        <w:pStyle w:val="ColorfulList-Accent11"/>
        <w:ind w:left="426" w:hanging="426"/>
        <w:contextualSpacing w:val="0"/>
        <w:rPr>
          <w:rFonts w:asciiTheme="minorHAnsi" w:hAnsiTheme="minorHAnsi" w:cstheme="minorHAnsi"/>
          <w:lang w:val="fr-CH"/>
        </w:rPr>
      </w:pPr>
      <w:r w:rsidRPr="00D64AA0">
        <w:rPr>
          <w:rFonts w:asciiTheme="minorHAnsi" w:hAnsiTheme="minorHAnsi" w:cstheme="minorHAnsi"/>
          <w:lang w:val="fr-CH"/>
        </w:rPr>
        <w:t>3.</w:t>
      </w:r>
      <w:r w:rsidRPr="00D64AA0">
        <w:rPr>
          <w:rFonts w:asciiTheme="minorHAnsi" w:hAnsiTheme="minorHAnsi" w:cstheme="minorHAnsi"/>
          <w:lang w:val="fr-CH"/>
        </w:rPr>
        <w:tab/>
      </w:r>
      <w:r w:rsidR="00FA556A">
        <w:rPr>
          <w:rFonts w:asciiTheme="minorHAnsi" w:hAnsiTheme="minorHAnsi" w:cstheme="minorHAnsi"/>
          <w:lang w:val="fr-CH"/>
        </w:rPr>
        <w:t>La Bolivie</w:t>
      </w:r>
      <w:r w:rsidR="00401270" w:rsidRPr="00D64AA0">
        <w:rPr>
          <w:rFonts w:asciiTheme="minorHAnsi" w:hAnsiTheme="minorHAnsi" w:cstheme="minorHAnsi"/>
          <w:lang w:val="fr-CH"/>
        </w:rPr>
        <w:t xml:space="preserve"> (</w:t>
      </w:r>
      <w:r w:rsidR="00FA556A">
        <w:rPr>
          <w:rFonts w:asciiTheme="minorHAnsi" w:hAnsiTheme="minorHAnsi" w:cstheme="minorHAnsi"/>
          <w:lang w:val="fr-CH"/>
        </w:rPr>
        <w:t>État plurinational de) a présenté le rapport du groupe informel à la 57</w:t>
      </w:r>
      <w:r w:rsidR="00FA556A" w:rsidRPr="00FA556A">
        <w:rPr>
          <w:rFonts w:asciiTheme="minorHAnsi" w:hAnsiTheme="minorHAnsi" w:cstheme="minorHAnsi"/>
          <w:vertAlign w:val="superscript"/>
          <w:lang w:val="fr-CH"/>
        </w:rPr>
        <w:t>e</w:t>
      </w:r>
      <w:r w:rsidR="00FA556A">
        <w:rPr>
          <w:rFonts w:asciiTheme="minorHAnsi" w:hAnsiTheme="minorHAnsi" w:cstheme="minorHAnsi"/>
          <w:lang w:val="fr-CH"/>
        </w:rPr>
        <w:t xml:space="preserve"> Réunion du Comité permanent, avec trois recommandations pour examen par le Comité permanent sur </w:t>
      </w:r>
      <w:r w:rsidR="00A93227">
        <w:rPr>
          <w:rFonts w:asciiTheme="minorHAnsi" w:hAnsiTheme="minorHAnsi" w:cstheme="minorHAnsi"/>
          <w:lang w:val="fr-CH"/>
        </w:rPr>
        <w:t>la manière de procéder pour</w:t>
      </w:r>
      <w:r w:rsidR="00FA556A">
        <w:rPr>
          <w:rFonts w:asciiTheme="minorHAnsi" w:hAnsiTheme="minorHAnsi" w:cstheme="minorHAnsi"/>
          <w:lang w:val="fr-CH"/>
        </w:rPr>
        <w:t xml:space="preserve"> faire avancer le statut d’observateur.</w:t>
      </w:r>
    </w:p>
    <w:p w14:paraId="438EE0F0" w14:textId="77777777" w:rsidR="00401270" w:rsidRPr="00D64AA0" w:rsidRDefault="00401270" w:rsidP="00166ADC">
      <w:pPr>
        <w:pStyle w:val="ColorfulList-Accent11"/>
        <w:ind w:left="426" w:hanging="426"/>
        <w:contextualSpacing w:val="0"/>
        <w:rPr>
          <w:rFonts w:asciiTheme="minorHAnsi" w:hAnsiTheme="minorHAnsi" w:cstheme="minorHAnsi"/>
          <w:lang w:val="fr-CH"/>
        </w:rPr>
      </w:pPr>
    </w:p>
    <w:p w14:paraId="5B582470" w14:textId="78E3BCA9" w:rsidR="00401270" w:rsidRPr="00D64AA0" w:rsidRDefault="00CF758B" w:rsidP="00166ADC">
      <w:pPr>
        <w:pStyle w:val="ColorfulList-Accent11"/>
        <w:ind w:left="426" w:hanging="426"/>
        <w:contextualSpacing w:val="0"/>
        <w:rPr>
          <w:rFonts w:asciiTheme="minorHAnsi" w:hAnsiTheme="minorHAnsi" w:cstheme="minorHAnsi"/>
          <w:lang w:val="fr-CH"/>
        </w:rPr>
      </w:pPr>
      <w:r w:rsidRPr="00D64AA0">
        <w:rPr>
          <w:rFonts w:asciiTheme="minorHAnsi" w:hAnsiTheme="minorHAnsi" w:cstheme="minorHAnsi"/>
          <w:lang w:val="fr-CH"/>
        </w:rPr>
        <w:t>4.</w:t>
      </w:r>
      <w:r w:rsidRPr="00D64AA0">
        <w:rPr>
          <w:rFonts w:asciiTheme="minorHAnsi" w:hAnsiTheme="minorHAnsi" w:cstheme="minorHAnsi"/>
          <w:lang w:val="fr-CH"/>
        </w:rPr>
        <w:tab/>
      </w:r>
      <w:r w:rsidR="00FA556A">
        <w:rPr>
          <w:rFonts w:asciiTheme="minorHAnsi" w:hAnsiTheme="minorHAnsi" w:cstheme="minorHAnsi"/>
          <w:lang w:val="fr-CH"/>
        </w:rPr>
        <w:t>Le Comité permanent (dans la Décision</w:t>
      </w:r>
      <w:r w:rsidR="00401270" w:rsidRPr="00D64AA0">
        <w:rPr>
          <w:rFonts w:asciiTheme="minorHAnsi" w:hAnsiTheme="minorHAnsi" w:cstheme="minorHAnsi"/>
          <w:lang w:val="fr-CH"/>
        </w:rPr>
        <w:t xml:space="preserve"> SC57-14</w:t>
      </w:r>
      <w:r w:rsidR="007916F1" w:rsidRPr="00D64AA0">
        <w:rPr>
          <w:rFonts w:asciiTheme="minorHAnsi" w:hAnsiTheme="minorHAnsi" w:cstheme="minorHAnsi"/>
          <w:lang w:val="fr-CH"/>
        </w:rPr>
        <w:t xml:space="preserve">) </w:t>
      </w:r>
      <w:r w:rsidR="00FA556A">
        <w:rPr>
          <w:rFonts w:asciiTheme="minorHAnsi" w:hAnsiTheme="minorHAnsi" w:cstheme="minorHAnsi"/>
          <w:lang w:val="fr-CH"/>
        </w:rPr>
        <w:t xml:space="preserve">a décidé </w:t>
      </w:r>
      <w:r w:rsidR="00A93227">
        <w:rPr>
          <w:rFonts w:asciiTheme="minorHAnsi" w:hAnsiTheme="minorHAnsi" w:cstheme="minorHAnsi"/>
          <w:lang w:val="fr-CH"/>
        </w:rPr>
        <w:t>de procéder comme suit,</w:t>
      </w:r>
      <w:r w:rsidR="00FA556A">
        <w:rPr>
          <w:rFonts w:asciiTheme="minorHAnsi" w:hAnsiTheme="minorHAnsi" w:cstheme="minorHAnsi"/>
          <w:lang w:val="fr-CH"/>
        </w:rPr>
        <w:t xml:space="preserve"> </w:t>
      </w:r>
      <w:r w:rsidR="00A93227">
        <w:rPr>
          <w:rFonts w:asciiTheme="minorHAnsi" w:hAnsiTheme="minorHAnsi" w:cstheme="minorHAnsi"/>
          <w:lang w:val="fr-CH"/>
        </w:rPr>
        <w:t>concernant le statut</w:t>
      </w:r>
      <w:r w:rsidR="00FA556A">
        <w:rPr>
          <w:rFonts w:asciiTheme="minorHAnsi" w:hAnsiTheme="minorHAnsi" w:cstheme="minorHAnsi"/>
          <w:lang w:val="fr-CH"/>
        </w:rPr>
        <w:t xml:space="preserve"> d’observateur :</w:t>
      </w:r>
    </w:p>
    <w:p w14:paraId="5F7AC0F1" w14:textId="77777777" w:rsidR="007916F1" w:rsidRPr="00D64AA0" w:rsidRDefault="007916F1" w:rsidP="00166ADC">
      <w:pPr>
        <w:pStyle w:val="ColorfulList-Accent11"/>
        <w:ind w:left="0" w:firstLine="0"/>
        <w:contextualSpacing w:val="0"/>
        <w:rPr>
          <w:rFonts w:asciiTheme="minorHAnsi" w:hAnsiTheme="minorHAnsi" w:cstheme="minorHAnsi"/>
          <w:lang w:val="fr-CH"/>
        </w:rPr>
      </w:pPr>
    </w:p>
    <w:p w14:paraId="0348B8BE" w14:textId="5BBF6EF0" w:rsidR="00401270" w:rsidRPr="00D64AA0" w:rsidRDefault="00401270" w:rsidP="00166ADC">
      <w:pPr>
        <w:spacing w:after="0" w:line="240" w:lineRule="auto"/>
        <w:ind w:left="851" w:hanging="425"/>
        <w:rPr>
          <w:rFonts w:cstheme="minorHAnsi"/>
          <w:lang w:val="fr-CH"/>
        </w:rPr>
      </w:pPr>
      <w:r w:rsidRPr="00D64AA0">
        <w:rPr>
          <w:rFonts w:cstheme="minorHAnsi"/>
          <w:lang w:val="fr-CH"/>
        </w:rPr>
        <w:t>a</w:t>
      </w:r>
      <w:r w:rsidR="00FA556A">
        <w:rPr>
          <w:rFonts w:cstheme="minorHAnsi"/>
          <w:lang w:val="fr-CH"/>
        </w:rPr>
        <w:t>)</w:t>
      </w:r>
      <w:r w:rsidRPr="00D64AA0">
        <w:rPr>
          <w:rFonts w:cstheme="minorHAnsi"/>
          <w:lang w:val="fr-CH"/>
        </w:rPr>
        <w:tab/>
      </w:r>
      <w:r w:rsidR="00FA556A">
        <w:rPr>
          <w:rFonts w:cstheme="minorHAnsi"/>
          <w:lang w:val="fr-CH"/>
        </w:rPr>
        <w:t>adoption par la 57</w:t>
      </w:r>
      <w:r w:rsidR="00FA556A" w:rsidRPr="00FA556A">
        <w:rPr>
          <w:rFonts w:cstheme="minorHAnsi"/>
          <w:vertAlign w:val="superscript"/>
          <w:lang w:val="fr-CH"/>
        </w:rPr>
        <w:t>e</w:t>
      </w:r>
      <w:r w:rsidR="00FA556A">
        <w:rPr>
          <w:rFonts w:cstheme="minorHAnsi"/>
          <w:lang w:val="fr-CH"/>
        </w:rPr>
        <w:t> Réunion du Comité permanent de la continuité du Groupe de travail sur le statut d’observateur (précédemment groupe informel) avec l’</w:t>
      </w:r>
      <w:r w:rsidR="00DB7DD6">
        <w:rPr>
          <w:rFonts w:cstheme="minorHAnsi"/>
          <w:lang w:val="fr-CH"/>
        </w:rPr>
        <w:t>entrée dans le groupe</w:t>
      </w:r>
      <w:r w:rsidR="00FA556A">
        <w:rPr>
          <w:rFonts w:cstheme="minorHAnsi"/>
          <w:lang w:val="fr-CH"/>
        </w:rPr>
        <w:t xml:space="preserve"> de la Fédération de Russie, du Mexique et de la Suisse ; </w:t>
      </w:r>
    </w:p>
    <w:p w14:paraId="17E406AD" w14:textId="77777777" w:rsidR="0031116C" w:rsidRPr="00D64AA0" w:rsidRDefault="0031116C" w:rsidP="00166ADC">
      <w:pPr>
        <w:spacing w:after="0" w:line="240" w:lineRule="auto"/>
        <w:ind w:left="851" w:hanging="425"/>
        <w:rPr>
          <w:rFonts w:cstheme="minorHAnsi"/>
          <w:lang w:val="fr-CH"/>
        </w:rPr>
      </w:pPr>
    </w:p>
    <w:p w14:paraId="21E0D06D" w14:textId="4E36B354" w:rsidR="00401270" w:rsidRPr="00D64AA0" w:rsidRDefault="00401270" w:rsidP="00166ADC">
      <w:pPr>
        <w:spacing w:after="0" w:line="240" w:lineRule="auto"/>
        <w:ind w:left="851" w:hanging="425"/>
        <w:rPr>
          <w:rFonts w:cstheme="minorHAnsi"/>
          <w:lang w:val="fr-CH"/>
        </w:rPr>
      </w:pPr>
      <w:r w:rsidRPr="00D64AA0">
        <w:rPr>
          <w:rFonts w:cstheme="minorHAnsi"/>
          <w:lang w:val="fr-CH"/>
        </w:rPr>
        <w:t>b</w:t>
      </w:r>
      <w:r w:rsidR="00FA556A">
        <w:rPr>
          <w:rFonts w:cstheme="minorHAnsi"/>
          <w:lang w:val="fr-CH"/>
        </w:rPr>
        <w:t>)</w:t>
      </w:r>
      <w:r w:rsidRPr="00D64AA0">
        <w:rPr>
          <w:rFonts w:cstheme="minorHAnsi"/>
          <w:lang w:val="fr-CH"/>
        </w:rPr>
        <w:tab/>
      </w:r>
      <w:r w:rsidR="00DB7DD6" w:rsidRPr="00DB7DD6">
        <w:rPr>
          <w:rFonts w:cstheme="minorHAnsi"/>
          <w:lang w:val="fr-FR"/>
        </w:rPr>
        <w:t xml:space="preserve">analyse des différentes options, et d’autres options </w:t>
      </w:r>
      <w:r w:rsidR="000B26E0">
        <w:rPr>
          <w:rFonts w:cstheme="minorHAnsi"/>
          <w:lang w:val="fr-FR"/>
        </w:rPr>
        <w:t>n’ayant</w:t>
      </w:r>
      <w:r w:rsidR="00DB7DD6" w:rsidRPr="00DB7DD6">
        <w:rPr>
          <w:rFonts w:cstheme="minorHAnsi"/>
          <w:lang w:val="fr-FR"/>
        </w:rPr>
        <w:t xml:space="preserve"> peut-être pas été examinées, y compris la contribution de la Conseillère juridique et celles qui ont été reçues des Parties contractantes durant la réunion</w:t>
      </w:r>
      <w:r w:rsidR="00DB7DD6">
        <w:rPr>
          <w:rFonts w:cstheme="minorHAnsi"/>
          <w:lang w:val="fr-FR"/>
        </w:rPr>
        <w:t xml:space="preserve"> </w:t>
      </w:r>
      <w:r w:rsidR="00FA556A" w:rsidRPr="00DB7DD6">
        <w:rPr>
          <w:rFonts w:cstheme="minorHAnsi"/>
          <w:lang w:val="fr-FR"/>
        </w:rPr>
        <w:t>; et</w:t>
      </w:r>
      <w:r w:rsidR="00FA556A">
        <w:rPr>
          <w:rFonts w:cstheme="minorHAnsi"/>
          <w:lang w:val="fr-CH"/>
        </w:rPr>
        <w:t xml:space="preserve"> </w:t>
      </w:r>
    </w:p>
    <w:p w14:paraId="48A8AB35" w14:textId="77777777" w:rsidR="00D15AFB" w:rsidRPr="00D64AA0" w:rsidRDefault="00D15AFB" w:rsidP="00166ADC">
      <w:pPr>
        <w:spacing w:after="0" w:line="240" w:lineRule="auto"/>
        <w:ind w:left="851" w:hanging="425"/>
        <w:rPr>
          <w:rFonts w:cstheme="minorHAnsi"/>
          <w:lang w:val="fr-CH"/>
        </w:rPr>
      </w:pPr>
    </w:p>
    <w:p w14:paraId="09BCE048" w14:textId="11E831FC" w:rsidR="007916F1" w:rsidRPr="00D64AA0" w:rsidRDefault="00401270" w:rsidP="00166ADC">
      <w:pPr>
        <w:tabs>
          <w:tab w:val="left" w:pos="709"/>
        </w:tabs>
        <w:spacing w:after="0" w:line="240" w:lineRule="auto"/>
        <w:ind w:left="851" w:hanging="425"/>
        <w:rPr>
          <w:rFonts w:cstheme="minorHAnsi"/>
          <w:lang w:val="fr-CH"/>
        </w:rPr>
      </w:pPr>
      <w:r w:rsidRPr="00D64AA0">
        <w:rPr>
          <w:rFonts w:cstheme="minorHAnsi"/>
          <w:lang w:val="fr-CH"/>
        </w:rPr>
        <w:lastRenderedPageBreak/>
        <w:t>c</w:t>
      </w:r>
      <w:r w:rsidR="00FA556A">
        <w:rPr>
          <w:rFonts w:cstheme="minorHAnsi"/>
          <w:lang w:val="fr-CH"/>
        </w:rPr>
        <w:t>)</w:t>
      </w:r>
      <w:r w:rsidRPr="00D64AA0">
        <w:rPr>
          <w:rFonts w:cstheme="minorHAnsi"/>
          <w:lang w:val="fr-CH"/>
        </w:rPr>
        <w:tab/>
      </w:r>
      <w:r w:rsidR="00E45434" w:rsidRPr="00D64AA0">
        <w:rPr>
          <w:rFonts w:cstheme="minorHAnsi"/>
          <w:lang w:val="fr-CH"/>
        </w:rPr>
        <w:tab/>
      </w:r>
      <w:r w:rsidR="00DB7DD6" w:rsidRPr="00DB7DD6">
        <w:rPr>
          <w:rFonts w:cstheme="minorHAnsi"/>
          <w:lang w:val="fr-FR"/>
        </w:rPr>
        <w:t>attribution de fonds de l’excédent du budget administratif pour l’analyse indépendante à présenter à la 58</w:t>
      </w:r>
      <w:r w:rsidR="00DB7DD6" w:rsidRPr="00DB7DD6">
        <w:rPr>
          <w:rFonts w:cstheme="minorHAnsi"/>
          <w:vertAlign w:val="superscript"/>
          <w:lang w:val="fr-FR"/>
        </w:rPr>
        <w:t>e</w:t>
      </w:r>
      <w:r w:rsidR="00DB7DD6" w:rsidRPr="00DB7DD6">
        <w:rPr>
          <w:rFonts w:cstheme="minorHAnsi"/>
          <w:lang w:val="fr-FR"/>
        </w:rPr>
        <w:t xml:space="preserve"> Réunion du Comité </w:t>
      </w:r>
      <w:r w:rsidR="00FA556A" w:rsidRPr="00DB7DD6">
        <w:rPr>
          <w:rFonts w:cstheme="minorHAnsi"/>
          <w:lang w:val="fr-FR"/>
        </w:rPr>
        <w:t>permanent</w:t>
      </w:r>
      <w:r w:rsidR="002805FE" w:rsidRPr="00D64AA0">
        <w:rPr>
          <w:rStyle w:val="FootnoteReference"/>
          <w:rFonts w:cstheme="minorHAnsi"/>
          <w:lang w:val="fr-CH"/>
        </w:rPr>
        <w:footnoteReference w:id="1"/>
      </w:r>
      <w:r w:rsidR="00FA556A">
        <w:rPr>
          <w:rFonts w:cstheme="minorHAnsi"/>
          <w:lang w:val="fr-CH"/>
        </w:rPr>
        <w:t>.</w:t>
      </w:r>
    </w:p>
    <w:p w14:paraId="2DF4DD55" w14:textId="77777777" w:rsidR="007916F1" w:rsidRPr="00D64AA0" w:rsidRDefault="007916F1" w:rsidP="00166ADC">
      <w:pPr>
        <w:tabs>
          <w:tab w:val="left" w:pos="426"/>
        </w:tabs>
        <w:spacing w:after="0" w:line="240" w:lineRule="auto"/>
        <w:ind w:left="567" w:hanging="567"/>
        <w:rPr>
          <w:rFonts w:cstheme="minorHAnsi"/>
          <w:lang w:val="fr-CH"/>
        </w:rPr>
      </w:pPr>
    </w:p>
    <w:p w14:paraId="25DBE20B" w14:textId="05D83F50" w:rsidR="00982AE6" w:rsidRPr="00D64AA0" w:rsidRDefault="00FB7D03" w:rsidP="00166ADC">
      <w:pPr>
        <w:spacing w:after="0" w:line="240" w:lineRule="auto"/>
        <w:ind w:left="284" w:hanging="284"/>
        <w:rPr>
          <w:rFonts w:cstheme="minorHAnsi"/>
          <w:b/>
          <w:lang w:val="fr-CH"/>
        </w:rPr>
      </w:pPr>
      <w:r>
        <w:rPr>
          <w:rFonts w:cstheme="minorHAnsi"/>
          <w:b/>
          <w:lang w:val="fr-CH"/>
        </w:rPr>
        <w:t xml:space="preserve">Résumé du processus entrepris par le Groupe de travail concernant l’analyse juridique </w:t>
      </w:r>
    </w:p>
    <w:p w14:paraId="7F7B8381" w14:textId="77777777" w:rsidR="007D79AF" w:rsidRPr="00D64AA0" w:rsidRDefault="007D79AF" w:rsidP="00166ADC">
      <w:pPr>
        <w:spacing w:after="0" w:line="240" w:lineRule="auto"/>
        <w:ind w:left="284" w:hanging="284"/>
        <w:rPr>
          <w:rFonts w:cstheme="minorHAnsi"/>
          <w:b/>
          <w:lang w:val="fr-CH"/>
        </w:rPr>
      </w:pPr>
    </w:p>
    <w:p w14:paraId="4070DEF4" w14:textId="2A0AEF18" w:rsidR="009076D7" w:rsidRPr="00D64AA0" w:rsidRDefault="00CF758B" w:rsidP="00166ADC">
      <w:pPr>
        <w:spacing w:after="0" w:line="240" w:lineRule="auto"/>
        <w:ind w:left="426" w:hanging="426"/>
        <w:rPr>
          <w:rFonts w:cstheme="minorHAnsi"/>
          <w:lang w:val="fr-CH"/>
        </w:rPr>
      </w:pPr>
      <w:r w:rsidRPr="00D64AA0">
        <w:rPr>
          <w:rFonts w:cstheme="minorHAnsi"/>
          <w:lang w:val="fr-CH"/>
        </w:rPr>
        <w:t>5.</w:t>
      </w:r>
      <w:r w:rsidRPr="00D64AA0">
        <w:rPr>
          <w:rFonts w:cstheme="minorHAnsi"/>
          <w:lang w:val="fr-CH"/>
        </w:rPr>
        <w:tab/>
      </w:r>
      <w:r w:rsidR="00FB7D03">
        <w:rPr>
          <w:rFonts w:cstheme="minorHAnsi"/>
          <w:lang w:val="fr-CH"/>
        </w:rPr>
        <w:t>Comme indiqué dans le rapport du Groupe de travail à la 59</w:t>
      </w:r>
      <w:r w:rsidR="00FB7D03" w:rsidRPr="00FB7D03">
        <w:rPr>
          <w:rFonts w:cstheme="minorHAnsi"/>
          <w:vertAlign w:val="superscript"/>
          <w:lang w:val="fr-CH"/>
        </w:rPr>
        <w:t>e</w:t>
      </w:r>
      <w:r w:rsidR="00FB7D03">
        <w:rPr>
          <w:rFonts w:cstheme="minorHAnsi"/>
          <w:lang w:val="fr-CH"/>
        </w:rPr>
        <w:t xml:space="preserve"> Réunion du Comité permanent, </w:t>
      </w:r>
      <w:r w:rsidR="009757B9" w:rsidRPr="00D64AA0">
        <w:rPr>
          <w:rFonts w:cstheme="minorHAnsi"/>
          <w:lang w:val="fr-CH"/>
        </w:rPr>
        <w:t>document SC59</w:t>
      </w:r>
      <w:r w:rsidR="002315B6" w:rsidRPr="00D64AA0">
        <w:rPr>
          <w:rFonts w:cstheme="minorHAnsi"/>
          <w:lang w:val="fr-CH"/>
        </w:rPr>
        <w:t xml:space="preserve"> </w:t>
      </w:r>
      <w:r w:rsidR="009757B9" w:rsidRPr="00D64AA0">
        <w:rPr>
          <w:rFonts w:cstheme="minorHAnsi"/>
          <w:lang w:val="fr-CH"/>
        </w:rPr>
        <w:t>Doc</w:t>
      </w:r>
      <w:r w:rsidR="002315B6" w:rsidRPr="00D64AA0">
        <w:rPr>
          <w:rFonts w:cstheme="minorHAnsi"/>
          <w:lang w:val="fr-CH"/>
        </w:rPr>
        <w:t>.</w:t>
      </w:r>
      <w:r w:rsidR="009757B9" w:rsidRPr="00D64AA0">
        <w:rPr>
          <w:rFonts w:cstheme="minorHAnsi"/>
          <w:lang w:val="fr-CH"/>
        </w:rPr>
        <w:t xml:space="preserve">14, </w:t>
      </w:r>
      <w:r w:rsidR="00FB7D03">
        <w:rPr>
          <w:rFonts w:cstheme="minorHAnsi"/>
          <w:lang w:val="fr-CH"/>
        </w:rPr>
        <w:t>en </w:t>
      </w:r>
      <w:r w:rsidR="009076D7" w:rsidRPr="00D64AA0">
        <w:rPr>
          <w:rFonts w:cstheme="minorHAnsi"/>
          <w:lang w:val="fr-CH"/>
        </w:rPr>
        <w:t>20</w:t>
      </w:r>
      <w:r w:rsidR="002805FE" w:rsidRPr="00D64AA0">
        <w:rPr>
          <w:rFonts w:cstheme="minorHAnsi"/>
          <w:lang w:val="fr-CH"/>
        </w:rPr>
        <w:t>20</w:t>
      </w:r>
      <w:r w:rsidR="009076D7" w:rsidRPr="00D64AA0">
        <w:rPr>
          <w:rFonts w:cstheme="minorHAnsi"/>
          <w:lang w:val="fr-CH"/>
        </w:rPr>
        <w:t xml:space="preserve"> </w:t>
      </w:r>
      <w:r w:rsidR="00FB7D03">
        <w:rPr>
          <w:rFonts w:cstheme="minorHAnsi"/>
          <w:lang w:val="fr-CH"/>
        </w:rPr>
        <w:t>et </w:t>
      </w:r>
      <w:r w:rsidR="00356A11" w:rsidRPr="00D64AA0">
        <w:rPr>
          <w:rFonts w:cstheme="minorHAnsi"/>
          <w:lang w:val="fr-CH"/>
        </w:rPr>
        <w:t>2021</w:t>
      </w:r>
      <w:r w:rsidR="00FB7D03">
        <w:rPr>
          <w:rFonts w:cstheme="minorHAnsi"/>
          <w:lang w:val="fr-CH"/>
        </w:rPr>
        <w:t xml:space="preserve">, le Groupe a tenu quatre </w:t>
      </w:r>
      <w:r w:rsidR="00747F1F">
        <w:rPr>
          <w:rFonts w:cstheme="minorHAnsi"/>
          <w:lang w:val="fr-CH"/>
        </w:rPr>
        <w:t>appels conférence et a préparé son plan de travail conformément au mandat</w:t>
      </w:r>
      <w:r w:rsidR="00105D89">
        <w:rPr>
          <w:rFonts w:cstheme="minorHAnsi"/>
          <w:lang w:val="fr-CH"/>
        </w:rPr>
        <w:t xml:space="preserve"> confié par le</w:t>
      </w:r>
      <w:r w:rsidR="00747F1F">
        <w:rPr>
          <w:rFonts w:cstheme="minorHAnsi"/>
          <w:lang w:val="fr-CH"/>
        </w:rPr>
        <w:t xml:space="preserve"> Comité permanent. </w:t>
      </w:r>
      <w:r w:rsidR="00356A11" w:rsidRPr="00D64AA0">
        <w:rPr>
          <w:rFonts w:cstheme="minorHAnsi"/>
          <w:lang w:val="fr-CH"/>
        </w:rPr>
        <w:t xml:space="preserve"> </w:t>
      </w:r>
    </w:p>
    <w:p w14:paraId="4526107B" w14:textId="77777777" w:rsidR="00ED13E3" w:rsidRPr="00D64AA0" w:rsidRDefault="00ED13E3" w:rsidP="00166ADC">
      <w:pPr>
        <w:spacing w:after="0" w:line="240" w:lineRule="auto"/>
        <w:ind w:left="426" w:hanging="426"/>
        <w:rPr>
          <w:rFonts w:cstheme="minorHAnsi"/>
          <w:lang w:val="fr-CH"/>
        </w:rPr>
      </w:pPr>
    </w:p>
    <w:p w14:paraId="6053105B" w14:textId="1EE1E8DF" w:rsidR="00A464D6" w:rsidRPr="00D64AA0" w:rsidRDefault="00CF758B" w:rsidP="00166ADC">
      <w:pPr>
        <w:pStyle w:val="wordsection1"/>
        <w:spacing w:before="0" w:beforeAutospacing="0" w:after="0" w:afterAutospacing="0"/>
        <w:ind w:left="426" w:hanging="426"/>
        <w:rPr>
          <w:rFonts w:asciiTheme="minorHAnsi" w:hAnsiTheme="minorHAnsi" w:cstheme="minorHAnsi"/>
          <w:sz w:val="22"/>
          <w:szCs w:val="22"/>
          <w:lang w:val="fr-CH"/>
        </w:rPr>
      </w:pPr>
      <w:r w:rsidRPr="00D64AA0">
        <w:rPr>
          <w:rFonts w:asciiTheme="minorHAnsi" w:hAnsiTheme="minorHAnsi" w:cstheme="minorHAnsi"/>
          <w:sz w:val="22"/>
          <w:szCs w:val="22"/>
          <w:lang w:val="fr-CH"/>
        </w:rPr>
        <w:t>6.</w:t>
      </w:r>
      <w:r w:rsidRPr="00D64AA0">
        <w:rPr>
          <w:rFonts w:asciiTheme="minorHAnsi" w:hAnsiTheme="minorHAnsi" w:cstheme="minorHAnsi"/>
          <w:sz w:val="22"/>
          <w:szCs w:val="22"/>
          <w:lang w:val="fr-CH"/>
        </w:rPr>
        <w:tab/>
      </w:r>
      <w:r w:rsidR="00747F1F">
        <w:rPr>
          <w:rFonts w:asciiTheme="minorHAnsi" w:hAnsiTheme="minorHAnsi" w:cstheme="minorHAnsi"/>
          <w:sz w:val="22"/>
          <w:szCs w:val="22"/>
          <w:lang w:val="fr-CH"/>
        </w:rPr>
        <w:t>Le rapport prévoyait aussi :</w:t>
      </w:r>
    </w:p>
    <w:p w14:paraId="6DA74C72" w14:textId="77777777" w:rsidR="00A464D6" w:rsidRPr="00D64AA0" w:rsidRDefault="00A464D6" w:rsidP="00166ADC">
      <w:pPr>
        <w:pStyle w:val="ListParagraph"/>
        <w:jc w:val="left"/>
        <w:rPr>
          <w:rFonts w:asciiTheme="minorHAnsi" w:hAnsiTheme="minorHAnsi" w:cstheme="minorHAnsi"/>
          <w:lang w:val="fr-CH"/>
        </w:rPr>
      </w:pPr>
    </w:p>
    <w:p w14:paraId="462CA601" w14:textId="5EDA356E" w:rsidR="00ED13E3" w:rsidRPr="00D64AA0" w:rsidRDefault="00A464D6" w:rsidP="00166ADC">
      <w:pPr>
        <w:pStyle w:val="wordsection1"/>
        <w:spacing w:before="0" w:beforeAutospacing="0" w:after="0" w:afterAutospacing="0"/>
        <w:ind w:left="851" w:hanging="425"/>
        <w:rPr>
          <w:rFonts w:asciiTheme="minorHAnsi" w:hAnsiTheme="minorHAnsi" w:cstheme="minorHAnsi"/>
          <w:sz w:val="22"/>
          <w:szCs w:val="22"/>
          <w:lang w:val="fr-CH"/>
        </w:rPr>
      </w:pPr>
      <w:r w:rsidRPr="00D64AA0">
        <w:rPr>
          <w:rFonts w:asciiTheme="minorHAnsi" w:hAnsiTheme="minorHAnsi" w:cstheme="minorHAnsi"/>
          <w:sz w:val="22"/>
          <w:szCs w:val="22"/>
          <w:lang w:val="fr-CH"/>
        </w:rPr>
        <w:t>a</w:t>
      </w:r>
      <w:r w:rsidR="00FA556A">
        <w:rPr>
          <w:rFonts w:asciiTheme="minorHAnsi" w:hAnsiTheme="minorHAnsi" w:cstheme="minorHAnsi"/>
          <w:sz w:val="22"/>
          <w:szCs w:val="22"/>
          <w:lang w:val="fr-CH"/>
        </w:rPr>
        <w:t>)</w:t>
      </w:r>
      <w:r w:rsidR="002315B6" w:rsidRPr="00D64AA0">
        <w:rPr>
          <w:rFonts w:asciiTheme="minorHAnsi" w:hAnsiTheme="minorHAnsi" w:cstheme="minorHAnsi"/>
          <w:sz w:val="22"/>
          <w:szCs w:val="22"/>
          <w:lang w:val="fr-CH"/>
        </w:rPr>
        <w:tab/>
      </w:r>
      <w:r w:rsidR="00CE496F">
        <w:rPr>
          <w:rFonts w:asciiTheme="minorHAnsi" w:hAnsiTheme="minorHAnsi" w:cstheme="minorHAnsi"/>
          <w:sz w:val="22"/>
          <w:szCs w:val="22"/>
          <w:lang w:val="fr-CH"/>
        </w:rPr>
        <w:t xml:space="preserve">une feuille de route </w:t>
      </w:r>
      <w:r w:rsidR="00283815">
        <w:rPr>
          <w:rFonts w:asciiTheme="minorHAnsi" w:hAnsiTheme="minorHAnsi" w:cstheme="minorHAnsi"/>
          <w:sz w:val="22"/>
          <w:szCs w:val="22"/>
          <w:lang w:val="fr-CH"/>
        </w:rPr>
        <w:t>prévoyant</w:t>
      </w:r>
      <w:r w:rsidR="00CE496F">
        <w:rPr>
          <w:rFonts w:asciiTheme="minorHAnsi" w:hAnsiTheme="minorHAnsi" w:cstheme="minorHAnsi"/>
          <w:sz w:val="22"/>
          <w:szCs w:val="22"/>
          <w:lang w:val="fr-CH"/>
        </w:rPr>
        <w:t xml:space="preserve"> l’élaboration d’une analyse juridique conformément au mandat du Groupe</w:t>
      </w:r>
      <w:r w:rsidR="00283815">
        <w:rPr>
          <w:rFonts w:asciiTheme="minorHAnsi" w:hAnsiTheme="minorHAnsi" w:cstheme="minorHAnsi"/>
          <w:sz w:val="22"/>
          <w:szCs w:val="22"/>
          <w:lang w:val="fr-CH"/>
        </w:rPr>
        <w:t xml:space="preserve"> consistant à</w:t>
      </w:r>
      <w:r w:rsidR="00CE496F">
        <w:rPr>
          <w:rFonts w:asciiTheme="minorHAnsi" w:hAnsiTheme="minorHAnsi" w:cstheme="minorHAnsi"/>
          <w:sz w:val="22"/>
          <w:szCs w:val="22"/>
          <w:lang w:val="fr-CH"/>
        </w:rPr>
        <w:t xml:space="preserve"> analyser </w:t>
      </w:r>
      <w:r w:rsidR="00283815">
        <w:rPr>
          <w:rFonts w:asciiTheme="minorHAnsi" w:hAnsiTheme="minorHAnsi" w:cstheme="minorHAnsi"/>
          <w:sz w:val="22"/>
          <w:szCs w:val="22"/>
          <w:lang w:val="fr-CH"/>
        </w:rPr>
        <w:t xml:space="preserve">les </w:t>
      </w:r>
      <w:r w:rsidR="00CE496F">
        <w:rPr>
          <w:rFonts w:asciiTheme="minorHAnsi" w:hAnsiTheme="minorHAnsi" w:cstheme="minorHAnsi"/>
          <w:sz w:val="22"/>
          <w:szCs w:val="22"/>
          <w:lang w:val="fr-CH"/>
        </w:rPr>
        <w:t xml:space="preserve">différentes options et des options supplémentaires </w:t>
      </w:r>
      <w:r w:rsidR="00283815">
        <w:rPr>
          <w:rFonts w:asciiTheme="minorHAnsi" w:hAnsiTheme="minorHAnsi" w:cstheme="minorHAnsi"/>
          <w:sz w:val="22"/>
          <w:szCs w:val="22"/>
          <w:lang w:val="fr-CH"/>
        </w:rPr>
        <w:t>n’ayant</w:t>
      </w:r>
      <w:r w:rsidR="00283815" w:rsidRPr="00283815">
        <w:rPr>
          <w:rFonts w:asciiTheme="minorHAnsi" w:hAnsiTheme="minorHAnsi" w:cstheme="minorHAnsi"/>
          <w:sz w:val="22"/>
          <w:szCs w:val="22"/>
          <w:lang w:val="fr-CH"/>
        </w:rPr>
        <w:t xml:space="preserve"> peut-être pas</w:t>
      </w:r>
      <w:r w:rsidR="00283815">
        <w:rPr>
          <w:rFonts w:asciiTheme="minorHAnsi" w:hAnsiTheme="minorHAnsi" w:cstheme="minorHAnsi"/>
          <w:sz w:val="22"/>
          <w:szCs w:val="22"/>
          <w:lang w:val="fr-CH"/>
        </w:rPr>
        <w:t xml:space="preserve"> encore</w:t>
      </w:r>
      <w:r w:rsidR="00283815" w:rsidRPr="00283815">
        <w:rPr>
          <w:rFonts w:asciiTheme="minorHAnsi" w:hAnsiTheme="minorHAnsi" w:cstheme="minorHAnsi"/>
          <w:sz w:val="22"/>
          <w:szCs w:val="22"/>
          <w:lang w:val="fr-CH"/>
        </w:rPr>
        <w:t xml:space="preserve"> été examinées</w:t>
      </w:r>
      <w:r w:rsidR="00283815">
        <w:rPr>
          <w:rFonts w:asciiTheme="minorHAnsi" w:hAnsiTheme="minorHAnsi" w:cstheme="minorHAnsi"/>
          <w:sz w:val="22"/>
          <w:szCs w:val="22"/>
          <w:lang w:val="fr-CH"/>
        </w:rPr>
        <w:t>,</w:t>
      </w:r>
      <w:r w:rsidR="00283815" w:rsidRPr="00283815">
        <w:rPr>
          <w:rFonts w:asciiTheme="minorHAnsi" w:hAnsiTheme="minorHAnsi" w:cstheme="minorHAnsi"/>
          <w:sz w:val="22"/>
          <w:szCs w:val="22"/>
          <w:lang w:val="fr-CH"/>
        </w:rPr>
        <w:t xml:space="preserve"> </w:t>
      </w:r>
      <w:r w:rsidR="00283815">
        <w:rPr>
          <w:rFonts w:asciiTheme="minorHAnsi" w:hAnsiTheme="minorHAnsi" w:cstheme="minorHAnsi"/>
          <w:sz w:val="22"/>
          <w:szCs w:val="22"/>
          <w:lang w:val="fr-CH"/>
        </w:rPr>
        <w:t>pour traiter</w:t>
      </w:r>
      <w:r w:rsidR="00CE496F">
        <w:rPr>
          <w:rFonts w:asciiTheme="minorHAnsi" w:hAnsiTheme="minorHAnsi" w:cstheme="minorHAnsi"/>
          <w:sz w:val="22"/>
          <w:szCs w:val="22"/>
          <w:lang w:val="fr-CH"/>
        </w:rPr>
        <w:t xml:space="preserve"> </w:t>
      </w:r>
      <w:r w:rsidR="00283815">
        <w:rPr>
          <w:rFonts w:asciiTheme="minorHAnsi" w:hAnsiTheme="minorHAnsi" w:cstheme="minorHAnsi"/>
          <w:sz w:val="22"/>
          <w:szCs w:val="22"/>
          <w:lang w:val="fr-CH"/>
        </w:rPr>
        <w:t>du</w:t>
      </w:r>
      <w:r w:rsidR="00CE496F">
        <w:rPr>
          <w:rFonts w:asciiTheme="minorHAnsi" w:hAnsiTheme="minorHAnsi" w:cstheme="minorHAnsi"/>
          <w:sz w:val="22"/>
          <w:szCs w:val="22"/>
          <w:lang w:val="fr-CH"/>
        </w:rPr>
        <w:t xml:space="preserve"> mieux </w:t>
      </w:r>
      <w:r w:rsidR="00283815">
        <w:rPr>
          <w:rFonts w:asciiTheme="minorHAnsi" w:hAnsiTheme="minorHAnsi" w:cstheme="minorHAnsi"/>
          <w:sz w:val="22"/>
          <w:szCs w:val="22"/>
          <w:lang w:val="fr-CH"/>
        </w:rPr>
        <w:t xml:space="preserve">possible </w:t>
      </w:r>
      <w:r w:rsidR="00CE496F">
        <w:rPr>
          <w:rFonts w:asciiTheme="minorHAnsi" w:hAnsiTheme="minorHAnsi" w:cstheme="minorHAnsi"/>
          <w:sz w:val="22"/>
          <w:szCs w:val="22"/>
          <w:lang w:val="fr-CH"/>
        </w:rPr>
        <w:t xml:space="preserve">le statut juridique du Secrétariat, la participation aux forums internationaux et </w:t>
      </w:r>
      <w:r w:rsidR="00283815">
        <w:rPr>
          <w:rFonts w:asciiTheme="minorHAnsi" w:hAnsiTheme="minorHAnsi" w:cstheme="minorHAnsi"/>
          <w:sz w:val="22"/>
          <w:szCs w:val="22"/>
          <w:lang w:val="fr-CH"/>
        </w:rPr>
        <w:t>les</w:t>
      </w:r>
      <w:r w:rsidR="00CE496F">
        <w:rPr>
          <w:rFonts w:asciiTheme="minorHAnsi" w:hAnsiTheme="minorHAnsi" w:cstheme="minorHAnsi"/>
          <w:sz w:val="22"/>
          <w:szCs w:val="22"/>
          <w:lang w:val="fr-CH"/>
        </w:rPr>
        <w:t xml:space="preserve"> priorités </w:t>
      </w:r>
      <w:r w:rsidR="00283815">
        <w:rPr>
          <w:rFonts w:asciiTheme="minorHAnsi" w:hAnsiTheme="minorHAnsi" w:cstheme="minorHAnsi"/>
          <w:sz w:val="22"/>
          <w:szCs w:val="22"/>
          <w:lang w:val="fr-CH"/>
        </w:rPr>
        <w:t>relatives à la</w:t>
      </w:r>
      <w:r w:rsidR="00CE496F">
        <w:rPr>
          <w:rFonts w:asciiTheme="minorHAnsi" w:hAnsiTheme="minorHAnsi" w:cstheme="minorHAnsi"/>
          <w:sz w:val="22"/>
          <w:szCs w:val="22"/>
          <w:lang w:val="fr-CH"/>
        </w:rPr>
        <w:t xml:space="preserve"> visibilité ; </w:t>
      </w:r>
    </w:p>
    <w:p w14:paraId="39E9401E" w14:textId="77777777" w:rsidR="00ED13E3" w:rsidRPr="00D64AA0" w:rsidRDefault="00ED13E3" w:rsidP="00166ADC">
      <w:pPr>
        <w:pStyle w:val="wordsection1"/>
        <w:spacing w:before="0" w:beforeAutospacing="0" w:after="0" w:afterAutospacing="0"/>
        <w:ind w:left="851" w:hanging="425"/>
        <w:rPr>
          <w:rFonts w:asciiTheme="minorHAnsi" w:hAnsiTheme="minorHAnsi" w:cstheme="minorHAnsi"/>
          <w:sz w:val="22"/>
          <w:szCs w:val="22"/>
          <w:lang w:val="fr-CH" w:eastAsia="en-US"/>
        </w:rPr>
      </w:pPr>
    </w:p>
    <w:p w14:paraId="444D8AE0" w14:textId="4DF44DB8" w:rsidR="001D3BBC" w:rsidRPr="00D64AA0" w:rsidRDefault="00047914" w:rsidP="00166ADC">
      <w:pPr>
        <w:pStyle w:val="Default"/>
        <w:ind w:left="851" w:hanging="425"/>
        <w:rPr>
          <w:rFonts w:asciiTheme="minorHAnsi" w:hAnsiTheme="minorHAnsi" w:cstheme="minorHAnsi"/>
          <w:sz w:val="22"/>
          <w:szCs w:val="22"/>
          <w:lang w:val="fr-CH"/>
        </w:rPr>
      </w:pPr>
      <w:r w:rsidRPr="00D64AA0">
        <w:rPr>
          <w:rFonts w:asciiTheme="minorHAnsi" w:hAnsiTheme="minorHAnsi" w:cstheme="minorHAnsi"/>
          <w:sz w:val="22"/>
          <w:szCs w:val="22"/>
          <w:lang w:val="fr-CH"/>
        </w:rPr>
        <w:t>b</w:t>
      </w:r>
      <w:r w:rsidR="00FA556A">
        <w:rPr>
          <w:rFonts w:asciiTheme="minorHAnsi" w:hAnsiTheme="minorHAnsi" w:cstheme="minorHAnsi"/>
          <w:sz w:val="22"/>
          <w:szCs w:val="22"/>
          <w:lang w:val="fr-CH"/>
        </w:rPr>
        <w:t>)</w:t>
      </w:r>
      <w:r w:rsidR="002315B6" w:rsidRPr="00D64AA0">
        <w:rPr>
          <w:rFonts w:asciiTheme="minorHAnsi" w:hAnsiTheme="minorHAnsi" w:cstheme="minorHAnsi"/>
          <w:sz w:val="22"/>
          <w:szCs w:val="22"/>
          <w:lang w:val="fr-CH"/>
        </w:rPr>
        <w:tab/>
      </w:r>
      <w:r w:rsidR="00CE496F">
        <w:rPr>
          <w:rFonts w:asciiTheme="minorHAnsi" w:hAnsiTheme="minorHAnsi" w:cstheme="minorHAnsi"/>
          <w:sz w:val="22"/>
          <w:szCs w:val="22"/>
          <w:lang w:val="fr-CH"/>
        </w:rPr>
        <w:t xml:space="preserve">le cahier des charges </w:t>
      </w:r>
      <w:r w:rsidR="00E84007">
        <w:rPr>
          <w:rFonts w:asciiTheme="minorHAnsi" w:hAnsiTheme="minorHAnsi" w:cstheme="minorHAnsi"/>
          <w:sz w:val="22"/>
          <w:szCs w:val="22"/>
          <w:lang w:val="fr-CH"/>
        </w:rPr>
        <w:t xml:space="preserve">d’un </w:t>
      </w:r>
      <w:bookmarkStart w:id="0" w:name="_Hlk103764737"/>
      <w:r w:rsidR="00AF5E53">
        <w:rPr>
          <w:rFonts w:asciiTheme="minorHAnsi" w:hAnsiTheme="minorHAnsi" w:cstheme="minorHAnsi"/>
          <w:sz w:val="22"/>
          <w:szCs w:val="22"/>
          <w:lang w:val="fr-CH"/>
        </w:rPr>
        <w:t>consultant</w:t>
      </w:r>
      <w:bookmarkEnd w:id="0"/>
      <w:r w:rsidR="00E84007">
        <w:rPr>
          <w:rFonts w:asciiTheme="minorHAnsi" w:hAnsiTheme="minorHAnsi" w:cstheme="minorHAnsi"/>
          <w:sz w:val="22"/>
          <w:szCs w:val="22"/>
          <w:lang w:val="fr-CH"/>
        </w:rPr>
        <w:t xml:space="preserve">, </w:t>
      </w:r>
      <w:r w:rsidR="00CE496F">
        <w:rPr>
          <w:rFonts w:asciiTheme="minorHAnsi" w:hAnsiTheme="minorHAnsi" w:cstheme="minorHAnsi"/>
          <w:sz w:val="22"/>
          <w:szCs w:val="22"/>
          <w:lang w:val="fr-CH"/>
        </w:rPr>
        <w:t>convenu par le Groupe de travail pour l’analyse indépendante du statut juridique ;</w:t>
      </w:r>
    </w:p>
    <w:p w14:paraId="6DD59441" w14:textId="77777777" w:rsidR="001D3BBC" w:rsidRPr="00D64AA0" w:rsidRDefault="001D3BBC" w:rsidP="00166ADC">
      <w:pPr>
        <w:pStyle w:val="Default"/>
        <w:ind w:left="851" w:hanging="425"/>
        <w:rPr>
          <w:rFonts w:asciiTheme="minorHAnsi" w:hAnsiTheme="minorHAnsi" w:cstheme="minorHAnsi"/>
          <w:sz w:val="22"/>
          <w:szCs w:val="22"/>
          <w:lang w:val="fr-CH"/>
        </w:rPr>
      </w:pPr>
    </w:p>
    <w:p w14:paraId="35A57C7F" w14:textId="2615CAFD" w:rsidR="001D3BBC" w:rsidRPr="00D64AA0" w:rsidRDefault="00047914" w:rsidP="00166ADC">
      <w:pPr>
        <w:pStyle w:val="Default"/>
        <w:ind w:left="851" w:hanging="425"/>
        <w:rPr>
          <w:rFonts w:asciiTheme="minorHAnsi" w:hAnsiTheme="minorHAnsi" w:cstheme="minorHAnsi"/>
          <w:sz w:val="22"/>
          <w:szCs w:val="22"/>
          <w:lang w:val="fr-CH" w:eastAsia="zh-CN"/>
        </w:rPr>
      </w:pPr>
      <w:r w:rsidRPr="00D64AA0">
        <w:rPr>
          <w:rFonts w:asciiTheme="minorHAnsi" w:hAnsiTheme="minorHAnsi" w:cstheme="minorHAnsi"/>
          <w:sz w:val="22"/>
          <w:szCs w:val="22"/>
          <w:lang w:val="fr-CH"/>
        </w:rPr>
        <w:t>c</w:t>
      </w:r>
      <w:r w:rsidR="00FA556A">
        <w:rPr>
          <w:rFonts w:asciiTheme="minorHAnsi" w:hAnsiTheme="minorHAnsi" w:cstheme="minorHAnsi"/>
          <w:sz w:val="22"/>
          <w:szCs w:val="22"/>
          <w:lang w:val="fr-CH"/>
        </w:rPr>
        <w:t>)</w:t>
      </w:r>
      <w:r w:rsidR="002315B6" w:rsidRPr="00D64AA0">
        <w:rPr>
          <w:rFonts w:asciiTheme="minorHAnsi" w:hAnsiTheme="minorHAnsi" w:cstheme="minorHAnsi"/>
          <w:sz w:val="22"/>
          <w:szCs w:val="22"/>
          <w:lang w:val="fr-CH"/>
        </w:rPr>
        <w:tab/>
      </w:r>
      <w:r w:rsidR="00CE496F">
        <w:rPr>
          <w:rFonts w:asciiTheme="minorHAnsi" w:hAnsiTheme="minorHAnsi" w:cstheme="minorHAnsi"/>
          <w:sz w:val="22"/>
          <w:szCs w:val="22"/>
          <w:lang w:val="fr-CH"/>
        </w:rPr>
        <w:t>l’analyse d’autres options : i) le statut d’observateur auprès de l’Assemblée générale des Nations Unies, ii) la demande de statut d’observateur auprès du Conseil économique et social (ECOSOC) et iii) le processus d’examen</w:t>
      </w:r>
      <w:r w:rsidR="00905D44">
        <w:rPr>
          <w:rFonts w:asciiTheme="minorHAnsi" w:hAnsiTheme="minorHAnsi" w:cstheme="minorHAnsi"/>
          <w:sz w:val="22"/>
          <w:szCs w:val="22"/>
          <w:lang w:val="fr-CH"/>
        </w:rPr>
        <w:t>s</w:t>
      </w:r>
      <w:r w:rsidR="00CE496F">
        <w:rPr>
          <w:rFonts w:asciiTheme="minorHAnsi" w:hAnsiTheme="minorHAnsi" w:cstheme="minorHAnsi"/>
          <w:sz w:val="22"/>
          <w:szCs w:val="22"/>
          <w:lang w:val="fr-CH"/>
        </w:rPr>
        <w:t xml:space="preserve"> du Forum politique de haut niveau </w:t>
      </w:r>
      <w:r w:rsidR="00905D44">
        <w:rPr>
          <w:rFonts w:asciiTheme="minorHAnsi" w:hAnsiTheme="minorHAnsi" w:cstheme="minorHAnsi"/>
          <w:sz w:val="22"/>
          <w:szCs w:val="22"/>
          <w:lang w:val="fr-CH"/>
        </w:rPr>
        <w:t>pour</w:t>
      </w:r>
      <w:r w:rsidR="00CE496F">
        <w:rPr>
          <w:rFonts w:asciiTheme="minorHAnsi" w:hAnsiTheme="minorHAnsi" w:cstheme="minorHAnsi"/>
          <w:sz w:val="22"/>
          <w:szCs w:val="22"/>
          <w:lang w:val="fr-CH"/>
        </w:rPr>
        <w:t xml:space="preserve"> le développement durable (HLPF) ; </w:t>
      </w:r>
    </w:p>
    <w:p w14:paraId="28A5E9C8" w14:textId="77777777" w:rsidR="001D3BBC" w:rsidRPr="00D64AA0" w:rsidRDefault="001D3BBC" w:rsidP="00166ADC">
      <w:pPr>
        <w:pStyle w:val="Default"/>
        <w:ind w:left="851" w:hanging="425"/>
        <w:rPr>
          <w:rFonts w:asciiTheme="minorHAnsi" w:hAnsiTheme="minorHAnsi" w:cstheme="minorHAnsi"/>
          <w:sz w:val="22"/>
          <w:szCs w:val="22"/>
          <w:highlight w:val="yellow"/>
          <w:lang w:val="fr-CH" w:eastAsia="zh-CN"/>
        </w:rPr>
      </w:pPr>
    </w:p>
    <w:p w14:paraId="000668BD" w14:textId="072A6A85" w:rsidR="00D51233" w:rsidRPr="00D64AA0" w:rsidRDefault="00047914" w:rsidP="00166ADC">
      <w:pPr>
        <w:pStyle w:val="Default"/>
        <w:ind w:left="851" w:hanging="425"/>
        <w:rPr>
          <w:rFonts w:asciiTheme="minorHAnsi" w:hAnsiTheme="minorHAnsi" w:cstheme="minorHAnsi"/>
          <w:sz w:val="22"/>
          <w:szCs w:val="22"/>
          <w:lang w:val="fr-CH" w:eastAsia="zh-CN"/>
        </w:rPr>
      </w:pPr>
      <w:r w:rsidRPr="00D64AA0">
        <w:rPr>
          <w:rFonts w:asciiTheme="minorHAnsi" w:hAnsiTheme="minorHAnsi" w:cstheme="minorHAnsi"/>
          <w:sz w:val="22"/>
          <w:szCs w:val="22"/>
          <w:lang w:val="fr-CH"/>
        </w:rPr>
        <w:t>d</w:t>
      </w:r>
      <w:r w:rsidR="00FA556A">
        <w:rPr>
          <w:rFonts w:asciiTheme="minorHAnsi" w:hAnsiTheme="minorHAnsi" w:cstheme="minorHAnsi"/>
          <w:sz w:val="22"/>
          <w:szCs w:val="22"/>
          <w:lang w:val="fr-CH"/>
        </w:rPr>
        <w:t>)</w:t>
      </w:r>
      <w:r w:rsidR="002315B6" w:rsidRPr="00D64AA0">
        <w:rPr>
          <w:rFonts w:asciiTheme="minorHAnsi" w:hAnsiTheme="minorHAnsi" w:cstheme="minorHAnsi"/>
          <w:sz w:val="22"/>
          <w:szCs w:val="22"/>
          <w:lang w:val="fr-CH"/>
        </w:rPr>
        <w:tab/>
      </w:r>
      <w:r w:rsidR="00700C22">
        <w:rPr>
          <w:rFonts w:asciiTheme="minorHAnsi" w:hAnsiTheme="minorHAnsi" w:cstheme="minorHAnsi"/>
          <w:sz w:val="22"/>
          <w:szCs w:val="22"/>
          <w:lang w:val="fr-CH"/>
        </w:rPr>
        <w:t xml:space="preserve">un résumé des conclusions essentielles </w:t>
      </w:r>
      <w:r w:rsidR="005C0A89">
        <w:rPr>
          <w:rFonts w:asciiTheme="minorHAnsi" w:hAnsiTheme="minorHAnsi" w:cstheme="minorHAnsi"/>
          <w:sz w:val="22"/>
          <w:szCs w:val="22"/>
          <w:lang w:val="fr-CH"/>
        </w:rPr>
        <w:t xml:space="preserve">du </w:t>
      </w:r>
      <w:r w:rsidR="00AF5E53">
        <w:rPr>
          <w:rFonts w:asciiTheme="minorHAnsi" w:hAnsiTheme="minorHAnsi" w:cstheme="minorHAnsi"/>
          <w:sz w:val="22"/>
          <w:szCs w:val="22"/>
          <w:lang w:val="fr-CH"/>
        </w:rPr>
        <w:t xml:space="preserve">consultant sur l’analyse </w:t>
      </w:r>
      <w:r w:rsidR="00700C22">
        <w:rPr>
          <w:rFonts w:asciiTheme="minorHAnsi" w:hAnsiTheme="minorHAnsi" w:cstheme="minorHAnsi"/>
          <w:sz w:val="22"/>
          <w:szCs w:val="22"/>
          <w:lang w:val="fr-CH"/>
        </w:rPr>
        <w:t>juridique</w:t>
      </w:r>
      <w:r w:rsidR="00AF5E53">
        <w:rPr>
          <w:rFonts w:asciiTheme="minorHAnsi" w:hAnsiTheme="minorHAnsi" w:cstheme="minorHAnsi"/>
          <w:sz w:val="22"/>
          <w:szCs w:val="22"/>
          <w:lang w:val="fr-CH"/>
        </w:rPr>
        <w:t>,</w:t>
      </w:r>
      <w:r w:rsidR="00700C22">
        <w:rPr>
          <w:rFonts w:asciiTheme="minorHAnsi" w:hAnsiTheme="minorHAnsi" w:cstheme="minorHAnsi"/>
          <w:sz w:val="22"/>
          <w:szCs w:val="22"/>
          <w:lang w:val="fr-CH"/>
        </w:rPr>
        <w:t xml:space="preserve"> avec cinq options spécifiques </w:t>
      </w:r>
      <w:r w:rsidR="00905D44">
        <w:rPr>
          <w:rFonts w:asciiTheme="minorHAnsi" w:hAnsiTheme="minorHAnsi" w:cstheme="minorHAnsi"/>
          <w:sz w:val="22"/>
          <w:szCs w:val="22"/>
          <w:lang w:val="fr-CH"/>
        </w:rPr>
        <w:t>en vue de traiter les</w:t>
      </w:r>
      <w:r w:rsidR="00700C22">
        <w:rPr>
          <w:rFonts w:asciiTheme="minorHAnsi" w:hAnsiTheme="minorHAnsi" w:cstheme="minorHAnsi"/>
          <w:sz w:val="22"/>
          <w:szCs w:val="22"/>
          <w:lang w:val="fr-CH"/>
        </w:rPr>
        <w:t xml:space="preserve"> préoccupations majeures </w:t>
      </w:r>
      <w:r w:rsidR="00905D44">
        <w:rPr>
          <w:rFonts w:asciiTheme="minorHAnsi" w:hAnsiTheme="minorHAnsi" w:cstheme="minorHAnsi"/>
          <w:sz w:val="22"/>
          <w:szCs w:val="22"/>
          <w:lang w:val="fr-CH"/>
        </w:rPr>
        <w:t>relatives au</w:t>
      </w:r>
      <w:r w:rsidR="00700C22">
        <w:rPr>
          <w:rFonts w:asciiTheme="minorHAnsi" w:hAnsiTheme="minorHAnsi" w:cstheme="minorHAnsi"/>
          <w:sz w:val="22"/>
          <w:szCs w:val="22"/>
          <w:lang w:val="fr-CH"/>
        </w:rPr>
        <w:t xml:space="preserve"> statut juridique du Secrétariat et </w:t>
      </w:r>
      <w:r w:rsidR="007260C6">
        <w:rPr>
          <w:rFonts w:asciiTheme="minorHAnsi" w:hAnsiTheme="minorHAnsi" w:cstheme="minorHAnsi"/>
          <w:sz w:val="22"/>
          <w:szCs w:val="22"/>
          <w:lang w:val="fr-CH"/>
        </w:rPr>
        <w:t>à</w:t>
      </w:r>
      <w:r w:rsidR="00905D44">
        <w:rPr>
          <w:rFonts w:asciiTheme="minorHAnsi" w:hAnsiTheme="minorHAnsi" w:cstheme="minorHAnsi"/>
          <w:sz w:val="22"/>
          <w:szCs w:val="22"/>
          <w:lang w:val="fr-CH"/>
        </w:rPr>
        <w:t xml:space="preserve"> </w:t>
      </w:r>
      <w:r w:rsidR="00700C22">
        <w:rPr>
          <w:rFonts w:asciiTheme="minorHAnsi" w:hAnsiTheme="minorHAnsi" w:cstheme="minorHAnsi"/>
          <w:sz w:val="22"/>
          <w:szCs w:val="22"/>
          <w:lang w:val="fr-CH"/>
        </w:rPr>
        <w:t>son fonctionnement et trois options additionnelles visant à améliorer la participation aux forums de haut niveau des Nations Unies et processus placés sous l’égide de l’Assemblée générale des Nations Unies, la demande de statut d’observateur auprès de l’ECOSOC et le processus d’examen</w:t>
      </w:r>
      <w:r w:rsidR="00905D44">
        <w:rPr>
          <w:rFonts w:asciiTheme="minorHAnsi" w:hAnsiTheme="minorHAnsi" w:cstheme="minorHAnsi"/>
          <w:sz w:val="22"/>
          <w:szCs w:val="22"/>
          <w:lang w:val="fr-CH"/>
        </w:rPr>
        <w:t>s</w:t>
      </w:r>
      <w:r w:rsidR="00700C22">
        <w:rPr>
          <w:rFonts w:asciiTheme="minorHAnsi" w:hAnsiTheme="minorHAnsi" w:cstheme="minorHAnsi"/>
          <w:sz w:val="22"/>
          <w:szCs w:val="22"/>
          <w:lang w:val="fr-CH"/>
        </w:rPr>
        <w:t xml:space="preserve"> du HLPF.</w:t>
      </w:r>
    </w:p>
    <w:p w14:paraId="10ECCE4A" w14:textId="77777777" w:rsidR="00D51233" w:rsidRPr="00D64AA0" w:rsidRDefault="00D51233" w:rsidP="00166ADC">
      <w:pPr>
        <w:pStyle w:val="Default"/>
        <w:ind w:firstLine="426"/>
        <w:rPr>
          <w:rFonts w:asciiTheme="minorHAnsi" w:hAnsiTheme="minorHAnsi" w:cstheme="minorHAnsi"/>
          <w:sz w:val="22"/>
          <w:szCs w:val="22"/>
          <w:lang w:val="fr-CH" w:eastAsia="zh-CN"/>
        </w:rPr>
      </w:pPr>
    </w:p>
    <w:p w14:paraId="67B2A621" w14:textId="60FF1872" w:rsidR="001D3BBC" w:rsidRPr="00D64AA0" w:rsidRDefault="00700C22" w:rsidP="00454EBC">
      <w:pPr>
        <w:spacing w:after="0" w:line="240" w:lineRule="auto"/>
        <w:ind w:left="426"/>
        <w:rPr>
          <w:rFonts w:cstheme="minorHAnsi"/>
          <w:color w:val="000000"/>
          <w:lang w:val="fr-CH"/>
        </w:rPr>
      </w:pPr>
      <w:r>
        <w:rPr>
          <w:rFonts w:cstheme="minorHAnsi"/>
          <w:color w:val="000000"/>
          <w:lang w:val="fr-CH"/>
        </w:rPr>
        <w:t xml:space="preserve">Le rapport de l’analyse juridique est disponible à l’adresse : </w:t>
      </w:r>
      <w:hyperlink r:id="rId11" w:history="1">
        <w:r w:rsidR="00454EBC" w:rsidRPr="00DC6514">
          <w:rPr>
            <w:rStyle w:val="Hyperlink"/>
            <w:rFonts w:cstheme="minorHAnsi"/>
            <w:lang w:val="fr-FR"/>
          </w:rPr>
          <w:t>https://www.ramsar.org/sites/default/files/documents/library/independent_analysis_legal_status_secretariat_2020_e.pdf</w:t>
        </w:r>
      </w:hyperlink>
    </w:p>
    <w:p w14:paraId="4B9C1ECA" w14:textId="77777777" w:rsidR="007935A5" w:rsidRPr="00D64AA0" w:rsidRDefault="007935A5" w:rsidP="00166ADC">
      <w:pPr>
        <w:spacing w:after="0" w:line="240" w:lineRule="auto"/>
        <w:rPr>
          <w:rFonts w:cstheme="minorHAnsi"/>
          <w:color w:val="000000"/>
          <w:lang w:val="fr-CH"/>
        </w:rPr>
      </w:pPr>
    </w:p>
    <w:p w14:paraId="3F561B1A" w14:textId="468C4535" w:rsidR="00047914" w:rsidRPr="00D64AA0" w:rsidRDefault="00CF758B" w:rsidP="00166ADC">
      <w:pPr>
        <w:pStyle w:val="wordsection1"/>
        <w:spacing w:before="0" w:beforeAutospacing="0" w:after="0" w:afterAutospacing="0"/>
        <w:ind w:left="426" w:hanging="426"/>
        <w:rPr>
          <w:rFonts w:asciiTheme="minorHAnsi" w:hAnsiTheme="minorHAnsi" w:cstheme="minorHAnsi"/>
          <w:sz w:val="22"/>
          <w:szCs w:val="22"/>
          <w:lang w:val="fr-CH"/>
        </w:rPr>
      </w:pPr>
      <w:r w:rsidRPr="00D64AA0">
        <w:rPr>
          <w:rFonts w:asciiTheme="minorHAnsi" w:hAnsiTheme="minorHAnsi" w:cstheme="minorHAnsi"/>
          <w:sz w:val="22"/>
          <w:szCs w:val="22"/>
          <w:lang w:val="fr-CH"/>
        </w:rPr>
        <w:t>7.</w:t>
      </w:r>
      <w:r w:rsidRPr="00D64AA0">
        <w:rPr>
          <w:rFonts w:asciiTheme="minorHAnsi" w:hAnsiTheme="minorHAnsi" w:cstheme="minorHAnsi"/>
          <w:sz w:val="22"/>
          <w:szCs w:val="22"/>
          <w:lang w:val="fr-CH"/>
        </w:rPr>
        <w:tab/>
      </w:r>
      <w:r w:rsidR="006D42CA">
        <w:rPr>
          <w:rFonts w:asciiTheme="minorHAnsi" w:hAnsiTheme="minorHAnsi" w:cstheme="minorHAnsi"/>
          <w:sz w:val="22"/>
          <w:szCs w:val="22"/>
          <w:lang w:val="fr-CH"/>
        </w:rPr>
        <w:t>P</w:t>
      </w:r>
      <w:r w:rsidR="00AF5E53">
        <w:rPr>
          <w:rFonts w:asciiTheme="minorHAnsi" w:hAnsiTheme="minorHAnsi" w:cstheme="minorHAnsi"/>
          <w:sz w:val="22"/>
          <w:szCs w:val="22"/>
          <w:lang w:val="fr-CH"/>
        </w:rPr>
        <w:t>our</w:t>
      </w:r>
      <w:r w:rsidR="006D42CA">
        <w:rPr>
          <w:rFonts w:asciiTheme="minorHAnsi" w:hAnsiTheme="minorHAnsi" w:cstheme="minorHAnsi"/>
          <w:sz w:val="22"/>
          <w:szCs w:val="22"/>
          <w:lang w:val="fr-CH"/>
        </w:rPr>
        <w:t xml:space="preserve"> les cinq options principales </w:t>
      </w:r>
      <w:r w:rsidR="007260C6">
        <w:rPr>
          <w:rFonts w:asciiTheme="minorHAnsi" w:hAnsiTheme="minorHAnsi" w:cstheme="minorHAnsi"/>
          <w:sz w:val="22"/>
          <w:szCs w:val="22"/>
          <w:lang w:val="fr-CH"/>
        </w:rPr>
        <w:t>en vue</w:t>
      </w:r>
      <w:r w:rsidR="006D42CA">
        <w:rPr>
          <w:rFonts w:asciiTheme="minorHAnsi" w:hAnsiTheme="minorHAnsi" w:cstheme="minorHAnsi"/>
          <w:sz w:val="22"/>
          <w:szCs w:val="22"/>
          <w:lang w:val="fr-CH"/>
        </w:rPr>
        <w:t xml:space="preserve"> de traiter les préoccupations majeures relatives au statut juridique du Secrétariat et à son fonctionnement, le Groupe de travail a décidé d’entreprendre une analyse financière approfondie des options choisies</w:t>
      </w:r>
      <w:r w:rsidR="007260C6">
        <w:rPr>
          <w:rFonts w:asciiTheme="minorHAnsi" w:hAnsiTheme="minorHAnsi" w:cstheme="minorHAnsi"/>
          <w:sz w:val="22"/>
          <w:szCs w:val="22"/>
          <w:lang w:val="fr-CH"/>
        </w:rPr>
        <w:t>,</w:t>
      </w:r>
      <w:r w:rsidR="006D42CA">
        <w:rPr>
          <w:rFonts w:asciiTheme="minorHAnsi" w:hAnsiTheme="minorHAnsi" w:cstheme="minorHAnsi"/>
          <w:sz w:val="22"/>
          <w:szCs w:val="22"/>
          <w:lang w:val="fr-CH"/>
        </w:rPr>
        <w:t xml:space="preserve"> avec </w:t>
      </w:r>
      <w:r w:rsidR="007260C6">
        <w:rPr>
          <w:rFonts w:asciiTheme="minorHAnsi" w:hAnsiTheme="minorHAnsi" w:cstheme="minorHAnsi"/>
          <w:sz w:val="22"/>
          <w:szCs w:val="22"/>
          <w:lang w:val="fr-CH"/>
        </w:rPr>
        <w:t>le soutien</w:t>
      </w:r>
      <w:r w:rsidR="006D42CA">
        <w:rPr>
          <w:rFonts w:asciiTheme="minorHAnsi" w:hAnsiTheme="minorHAnsi" w:cstheme="minorHAnsi"/>
          <w:sz w:val="22"/>
          <w:szCs w:val="22"/>
          <w:lang w:val="fr-CH"/>
        </w:rPr>
        <w:t xml:space="preserve"> </w:t>
      </w:r>
      <w:r w:rsidR="005C0A89">
        <w:rPr>
          <w:rFonts w:asciiTheme="minorHAnsi" w:hAnsiTheme="minorHAnsi" w:cstheme="minorHAnsi"/>
          <w:sz w:val="22"/>
          <w:szCs w:val="22"/>
          <w:lang w:val="fr-CH"/>
        </w:rPr>
        <w:t xml:space="preserve">d’un </w:t>
      </w:r>
      <w:r w:rsidR="00AF5E53">
        <w:rPr>
          <w:rFonts w:asciiTheme="minorHAnsi" w:hAnsiTheme="minorHAnsi" w:cstheme="minorHAnsi"/>
          <w:sz w:val="22"/>
          <w:szCs w:val="22"/>
          <w:lang w:val="fr-CH"/>
        </w:rPr>
        <w:t>consultant</w:t>
      </w:r>
      <w:r w:rsidR="007260C6">
        <w:rPr>
          <w:rFonts w:asciiTheme="minorHAnsi" w:hAnsiTheme="minorHAnsi" w:cstheme="minorHAnsi"/>
          <w:sz w:val="22"/>
          <w:szCs w:val="22"/>
          <w:lang w:val="fr-CH"/>
        </w:rPr>
        <w:t>,</w:t>
      </w:r>
      <w:r w:rsidR="006D42CA">
        <w:rPr>
          <w:rFonts w:asciiTheme="minorHAnsi" w:hAnsiTheme="minorHAnsi" w:cstheme="minorHAnsi"/>
          <w:sz w:val="22"/>
          <w:szCs w:val="22"/>
          <w:lang w:val="fr-CH"/>
        </w:rPr>
        <w:t xml:space="preserve"> qui pourrait être présentée dans le cadre du rapport et des recommandations du Groupe de travail à la 59</w:t>
      </w:r>
      <w:r w:rsidR="006D42CA" w:rsidRPr="006D42CA">
        <w:rPr>
          <w:rFonts w:asciiTheme="minorHAnsi" w:hAnsiTheme="minorHAnsi" w:cstheme="minorHAnsi"/>
          <w:sz w:val="22"/>
          <w:szCs w:val="22"/>
          <w:vertAlign w:val="superscript"/>
          <w:lang w:val="fr-CH"/>
        </w:rPr>
        <w:t>e</w:t>
      </w:r>
      <w:r w:rsidR="006D42CA">
        <w:rPr>
          <w:rFonts w:asciiTheme="minorHAnsi" w:hAnsiTheme="minorHAnsi" w:cstheme="minorHAnsi"/>
          <w:sz w:val="22"/>
          <w:szCs w:val="22"/>
          <w:lang w:val="fr-CH"/>
        </w:rPr>
        <w:t xml:space="preserve"> Réunion du Comité permanent. Le Groupe de travail a convenu du cahier des charges de </w:t>
      </w:r>
      <w:r w:rsidR="005C0A89">
        <w:rPr>
          <w:rFonts w:asciiTheme="minorHAnsi" w:hAnsiTheme="minorHAnsi" w:cstheme="minorHAnsi"/>
          <w:sz w:val="22"/>
          <w:szCs w:val="22"/>
          <w:lang w:val="fr-CH"/>
        </w:rPr>
        <w:t xml:space="preserve">ce </w:t>
      </w:r>
      <w:r w:rsidR="00AF5E53">
        <w:rPr>
          <w:rFonts w:asciiTheme="minorHAnsi" w:hAnsiTheme="minorHAnsi" w:cstheme="minorHAnsi"/>
          <w:sz w:val="22"/>
          <w:szCs w:val="22"/>
          <w:lang w:val="fr-CH"/>
        </w:rPr>
        <w:t>consultant</w:t>
      </w:r>
      <w:r w:rsidR="006D42CA">
        <w:rPr>
          <w:rFonts w:asciiTheme="minorHAnsi" w:hAnsiTheme="minorHAnsi" w:cstheme="minorHAnsi"/>
          <w:sz w:val="22"/>
          <w:szCs w:val="22"/>
          <w:lang w:val="fr-CH"/>
        </w:rPr>
        <w:t>.</w:t>
      </w:r>
    </w:p>
    <w:p w14:paraId="655A879D" w14:textId="77777777" w:rsidR="00DB04CC" w:rsidRPr="00D64AA0" w:rsidRDefault="00DB04CC" w:rsidP="00166ADC">
      <w:pPr>
        <w:pStyle w:val="wordsection1"/>
        <w:spacing w:before="0" w:beforeAutospacing="0" w:after="0" w:afterAutospacing="0"/>
        <w:ind w:left="426" w:hanging="426"/>
        <w:rPr>
          <w:rFonts w:asciiTheme="minorHAnsi" w:hAnsiTheme="minorHAnsi" w:cstheme="minorHAnsi"/>
          <w:sz w:val="22"/>
          <w:szCs w:val="22"/>
          <w:lang w:val="fr-CH"/>
        </w:rPr>
      </w:pPr>
    </w:p>
    <w:p w14:paraId="5D1183B3" w14:textId="2B8D2244" w:rsidR="00487DF3" w:rsidRPr="00D64AA0" w:rsidRDefault="00CF758B" w:rsidP="00166ADC">
      <w:pPr>
        <w:pStyle w:val="wordsection1"/>
        <w:spacing w:before="0" w:beforeAutospacing="0" w:after="0" w:afterAutospacing="0"/>
        <w:ind w:left="426" w:hanging="426"/>
        <w:rPr>
          <w:rFonts w:asciiTheme="minorHAnsi" w:hAnsiTheme="minorHAnsi" w:cstheme="minorHAnsi"/>
          <w:sz w:val="22"/>
          <w:szCs w:val="22"/>
          <w:lang w:val="fr-CH"/>
        </w:rPr>
      </w:pPr>
      <w:r w:rsidRPr="00D64AA0">
        <w:rPr>
          <w:rFonts w:asciiTheme="minorHAnsi" w:hAnsiTheme="minorHAnsi" w:cstheme="minorHAnsi"/>
          <w:sz w:val="22"/>
          <w:szCs w:val="22"/>
          <w:lang w:val="fr-CH"/>
        </w:rPr>
        <w:t>8.</w:t>
      </w:r>
      <w:r w:rsidRPr="00D64AA0">
        <w:rPr>
          <w:rFonts w:asciiTheme="minorHAnsi" w:hAnsiTheme="minorHAnsi" w:cstheme="minorHAnsi"/>
          <w:sz w:val="22"/>
          <w:szCs w:val="22"/>
          <w:lang w:val="fr-CH"/>
        </w:rPr>
        <w:tab/>
      </w:r>
      <w:r w:rsidR="006D42CA">
        <w:rPr>
          <w:rFonts w:asciiTheme="minorHAnsi" w:hAnsiTheme="minorHAnsi" w:cstheme="minorHAnsi"/>
          <w:sz w:val="22"/>
          <w:szCs w:val="22"/>
          <w:lang w:val="fr-CH"/>
        </w:rPr>
        <w:t xml:space="preserve">Tenant compte </w:t>
      </w:r>
      <w:r w:rsidR="001303D9">
        <w:rPr>
          <w:rFonts w:asciiTheme="minorHAnsi" w:hAnsiTheme="minorHAnsi" w:cstheme="minorHAnsi"/>
          <w:sz w:val="22"/>
          <w:szCs w:val="22"/>
          <w:lang w:val="fr-CH"/>
        </w:rPr>
        <w:t xml:space="preserve">de l’état des progrès du Groupe de travail </w:t>
      </w:r>
      <w:r w:rsidR="007260C6">
        <w:rPr>
          <w:rFonts w:asciiTheme="minorHAnsi" w:hAnsiTheme="minorHAnsi" w:cstheme="minorHAnsi"/>
          <w:sz w:val="22"/>
          <w:szCs w:val="22"/>
          <w:lang w:val="fr-CH"/>
        </w:rPr>
        <w:t>conformément au</w:t>
      </w:r>
      <w:r w:rsidR="001303D9">
        <w:rPr>
          <w:rFonts w:asciiTheme="minorHAnsi" w:hAnsiTheme="minorHAnsi" w:cstheme="minorHAnsi"/>
          <w:sz w:val="22"/>
          <w:szCs w:val="22"/>
          <w:lang w:val="fr-CH"/>
        </w:rPr>
        <w:t xml:space="preserve"> mandat confié par le Comité permanent, le Comité permanent, dans sa Décision </w:t>
      </w:r>
      <w:r w:rsidR="00487DF3" w:rsidRPr="00D64AA0">
        <w:rPr>
          <w:rFonts w:asciiTheme="minorHAnsi" w:hAnsiTheme="minorHAnsi" w:cstheme="minorHAnsi"/>
          <w:sz w:val="22"/>
          <w:szCs w:val="22"/>
          <w:lang w:val="fr-CH"/>
        </w:rPr>
        <w:t>SC59-23</w:t>
      </w:r>
      <w:r w:rsidR="001303D9">
        <w:rPr>
          <w:rFonts w:asciiTheme="minorHAnsi" w:hAnsiTheme="minorHAnsi" w:cstheme="minorHAnsi"/>
          <w:sz w:val="22"/>
          <w:szCs w:val="22"/>
          <w:lang w:val="fr-CH"/>
        </w:rPr>
        <w:t xml:space="preserve">, a recommandé que le Groupe de travail poursuive ses travaux jusqu’à la réalisation de l’analyse financière des options déterminées comme étant les plus viables et fasse rapport à la reprise de séance du Comité. </w:t>
      </w:r>
      <w:r w:rsidR="00487DF3" w:rsidRPr="00D64AA0">
        <w:rPr>
          <w:rFonts w:asciiTheme="minorHAnsi" w:hAnsiTheme="minorHAnsi" w:cstheme="minorHAnsi"/>
          <w:sz w:val="22"/>
          <w:szCs w:val="22"/>
          <w:lang w:val="fr-CH"/>
        </w:rPr>
        <w:t xml:space="preserve"> </w:t>
      </w:r>
    </w:p>
    <w:p w14:paraId="03F658ED" w14:textId="68DD67EE" w:rsidR="00487DF3" w:rsidRPr="00D64AA0" w:rsidRDefault="00487DF3" w:rsidP="00166ADC">
      <w:pPr>
        <w:spacing w:after="0" w:line="240" w:lineRule="auto"/>
        <w:ind w:left="-142"/>
        <w:rPr>
          <w:rFonts w:cstheme="minorHAnsi"/>
          <w:lang w:val="fr-CH"/>
        </w:rPr>
      </w:pPr>
    </w:p>
    <w:p w14:paraId="1CBE28FB" w14:textId="78AB5D23" w:rsidR="00FD3F67" w:rsidRPr="00D64AA0" w:rsidRDefault="00842FFF" w:rsidP="001303D9">
      <w:pPr>
        <w:keepNext/>
        <w:keepLines/>
        <w:autoSpaceDE w:val="0"/>
        <w:autoSpaceDN w:val="0"/>
        <w:adjustRightInd w:val="0"/>
        <w:spacing w:after="0" w:line="240" w:lineRule="auto"/>
        <w:rPr>
          <w:rFonts w:cstheme="minorHAnsi"/>
          <w:highlight w:val="yellow"/>
          <w:lang w:val="fr-CH"/>
        </w:rPr>
      </w:pPr>
      <w:r>
        <w:rPr>
          <w:rFonts w:cstheme="minorHAnsi"/>
          <w:b/>
          <w:lang w:val="fr-CH"/>
        </w:rPr>
        <w:lastRenderedPageBreak/>
        <w:t xml:space="preserve">Résumé </w:t>
      </w:r>
      <w:r w:rsidR="00AF5E53">
        <w:rPr>
          <w:rFonts w:cstheme="minorHAnsi"/>
          <w:b/>
          <w:lang w:val="fr-CH"/>
        </w:rPr>
        <w:t>du consultant sur l</w:t>
      </w:r>
      <w:r>
        <w:rPr>
          <w:rFonts w:cstheme="minorHAnsi"/>
          <w:b/>
          <w:lang w:val="fr-CH"/>
        </w:rPr>
        <w:t xml:space="preserve">es résultats essentiels </w:t>
      </w:r>
      <w:r w:rsidR="00AF5E53">
        <w:rPr>
          <w:rFonts w:cstheme="minorHAnsi"/>
          <w:b/>
          <w:lang w:val="fr-CH"/>
        </w:rPr>
        <w:t>de</w:t>
      </w:r>
      <w:r>
        <w:rPr>
          <w:rFonts w:cstheme="minorHAnsi"/>
          <w:b/>
          <w:lang w:val="fr-CH"/>
        </w:rPr>
        <w:t xml:space="preserve"> l’analyse financière</w:t>
      </w:r>
    </w:p>
    <w:p w14:paraId="4636F774" w14:textId="77777777" w:rsidR="00047914" w:rsidRPr="00D64AA0" w:rsidRDefault="00047914" w:rsidP="001303D9">
      <w:pPr>
        <w:keepNext/>
        <w:keepLines/>
        <w:autoSpaceDE w:val="0"/>
        <w:autoSpaceDN w:val="0"/>
        <w:adjustRightInd w:val="0"/>
        <w:spacing w:after="0" w:line="240" w:lineRule="auto"/>
        <w:rPr>
          <w:rFonts w:cstheme="minorHAnsi"/>
          <w:lang w:val="fr-CH"/>
        </w:rPr>
      </w:pPr>
    </w:p>
    <w:p w14:paraId="45C007EA" w14:textId="658BE220" w:rsidR="00047914" w:rsidRPr="00D64AA0" w:rsidRDefault="00CF758B" w:rsidP="001303D9">
      <w:pPr>
        <w:keepNext/>
        <w:keepLines/>
        <w:spacing w:after="0" w:line="240" w:lineRule="auto"/>
        <w:ind w:left="425" w:hanging="425"/>
        <w:rPr>
          <w:rFonts w:cstheme="minorHAnsi"/>
          <w:lang w:val="fr-CH"/>
        </w:rPr>
      </w:pPr>
      <w:r w:rsidRPr="00D64AA0">
        <w:rPr>
          <w:rFonts w:cstheme="minorHAnsi"/>
          <w:lang w:val="fr-CH"/>
        </w:rPr>
        <w:t>9.</w:t>
      </w:r>
      <w:r w:rsidRPr="00D64AA0">
        <w:rPr>
          <w:rFonts w:cstheme="minorHAnsi"/>
          <w:lang w:val="fr-CH"/>
        </w:rPr>
        <w:tab/>
      </w:r>
      <w:r w:rsidR="005C0A89">
        <w:rPr>
          <w:rFonts w:cstheme="minorHAnsi"/>
          <w:lang w:val="fr-CH"/>
        </w:rPr>
        <w:t xml:space="preserve">Le </w:t>
      </w:r>
      <w:r w:rsidR="00AF5E53">
        <w:rPr>
          <w:rFonts w:cstheme="minorHAnsi"/>
          <w:lang w:val="fr-CH"/>
        </w:rPr>
        <w:t xml:space="preserve">consultant </w:t>
      </w:r>
      <w:r w:rsidR="006F14A0">
        <w:rPr>
          <w:rFonts w:cstheme="minorHAnsi"/>
          <w:lang w:val="fr-CH"/>
        </w:rPr>
        <w:t xml:space="preserve">a préparé une analyse comparative des trois options déterminées </w:t>
      </w:r>
      <w:r w:rsidR="0033061F">
        <w:rPr>
          <w:rFonts w:cstheme="minorHAnsi"/>
          <w:lang w:val="fr-CH"/>
        </w:rPr>
        <w:t xml:space="preserve">par le Groupe de travail comme étant les plus viables ainsi que des dispositions actuelles </w:t>
      </w:r>
      <w:r w:rsidR="005C0A89">
        <w:rPr>
          <w:rFonts w:cstheme="minorHAnsi"/>
          <w:lang w:val="fr-CH"/>
        </w:rPr>
        <w:t xml:space="preserve">d’hébergement </w:t>
      </w:r>
      <w:r w:rsidR="0033061F">
        <w:rPr>
          <w:rFonts w:cstheme="minorHAnsi"/>
          <w:lang w:val="fr-CH"/>
        </w:rPr>
        <w:t>du Secrétariat de la Convention par l’UICN, comme suit :</w:t>
      </w:r>
    </w:p>
    <w:p w14:paraId="5953423D" w14:textId="03B8B8C5" w:rsidR="00047914" w:rsidRPr="00D64AA0" w:rsidRDefault="00292E5A" w:rsidP="00166ADC">
      <w:pPr>
        <w:pStyle w:val="Default"/>
        <w:numPr>
          <w:ilvl w:val="0"/>
          <w:numId w:val="14"/>
        </w:numPr>
        <w:ind w:left="851" w:hanging="425"/>
        <w:rPr>
          <w:rFonts w:asciiTheme="minorHAnsi" w:hAnsiTheme="minorHAnsi" w:cstheme="minorHAnsi"/>
          <w:bCs/>
          <w:color w:val="auto"/>
          <w:sz w:val="22"/>
          <w:szCs w:val="22"/>
          <w:lang w:val="fr-CH"/>
        </w:rPr>
      </w:pPr>
      <w:r>
        <w:rPr>
          <w:rFonts w:asciiTheme="minorHAnsi" w:hAnsiTheme="minorHAnsi" w:cstheme="minorHAnsi"/>
          <w:color w:val="auto"/>
          <w:sz w:val="22"/>
          <w:szCs w:val="22"/>
          <w:lang w:val="fr-CH"/>
        </w:rPr>
        <w:t>s</w:t>
      </w:r>
      <w:r w:rsidR="0033061F">
        <w:rPr>
          <w:rFonts w:asciiTheme="minorHAnsi" w:hAnsiTheme="minorHAnsi" w:cstheme="minorHAnsi"/>
          <w:color w:val="auto"/>
          <w:sz w:val="22"/>
          <w:szCs w:val="22"/>
          <w:lang w:val="fr-CH"/>
        </w:rPr>
        <w:t>ecrétariat d</w:t>
      </w:r>
      <w:r>
        <w:rPr>
          <w:rFonts w:asciiTheme="minorHAnsi" w:hAnsiTheme="minorHAnsi" w:cstheme="minorHAnsi"/>
          <w:color w:val="auto"/>
          <w:sz w:val="22"/>
          <w:szCs w:val="22"/>
          <w:lang w:val="fr-CH"/>
        </w:rPr>
        <w:t>’OIG</w:t>
      </w:r>
      <w:r w:rsidR="0033061F">
        <w:rPr>
          <w:rFonts w:asciiTheme="minorHAnsi" w:hAnsiTheme="minorHAnsi" w:cstheme="minorHAnsi"/>
          <w:color w:val="auto"/>
          <w:sz w:val="22"/>
          <w:szCs w:val="22"/>
          <w:lang w:val="fr-CH"/>
        </w:rPr>
        <w:t xml:space="preserve"> traditionnelles</w:t>
      </w:r>
      <w:r w:rsidR="00047914" w:rsidRPr="00D64AA0">
        <w:rPr>
          <w:rFonts w:asciiTheme="minorHAnsi" w:hAnsiTheme="minorHAnsi" w:cstheme="minorHAnsi"/>
          <w:bCs/>
          <w:color w:val="auto"/>
          <w:sz w:val="22"/>
          <w:szCs w:val="22"/>
          <w:lang w:val="fr-CH"/>
        </w:rPr>
        <w:t xml:space="preserve"> (A1)</w:t>
      </w:r>
      <w:r w:rsidR="0033061F">
        <w:rPr>
          <w:rFonts w:asciiTheme="minorHAnsi" w:hAnsiTheme="minorHAnsi" w:cstheme="minorHAnsi"/>
          <w:bCs/>
          <w:color w:val="auto"/>
          <w:sz w:val="22"/>
          <w:szCs w:val="22"/>
          <w:lang w:val="fr-CH"/>
        </w:rPr>
        <w:t> </w:t>
      </w:r>
      <w:r w:rsidR="00B25DF0" w:rsidRPr="00D64AA0">
        <w:rPr>
          <w:rFonts w:asciiTheme="minorHAnsi" w:hAnsiTheme="minorHAnsi" w:cstheme="minorHAnsi"/>
          <w:bCs/>
          <w:color w:val="auto"/>
          <w:sz w:val="22"/>
          <w:szCs w:val="22"/>
          <w:lang w:val="fr-CH"/>
        </w:rPr>
        <w:t>;</w:t>
      </w:r>
    </w:p>
    <w:p w14:paraId="6A20F466" w14:textId="0D5C267F" w:rsidR="00047914" w:rsidRPr="00D64AA0" w:rsidRDefault="00292E5A" w:rsidP="00166ADC">
      <w:pPr>
        <w:pStyle w:val="Default"/>
        <w:numPr>
          <w:ilvl w:val="0"/>
          <w:numId w:val="14"/>
        </w:numPr>
        <w:ind w:left="851" w:hanging="425"/>
        <w:rPr>
          <w:rFonts w:asciiTheme="minorHAnsi" w:hAnsiTheme="minorHAnsi" w:cstheme="minorHAnsi"/>
          <w:color w:val="auto"/>
          <w:sz w:val="22"/>
          <w:szCs w:val="22"/>
          <w:lang w:val="fr-CH"/>
        </w:rPr>
      </w:pPr>
      <w:r>
        <w:rPr>
          <w:rFonts w:asciiTheme="minorHAnsi" w:hAnsiTheme="minorHAnsi" w:cstheme="minorHAnsi"/>
          <w:color w:val="auto"/>
          <w:sz w:val="22"/>
          <w:szCs w:val="22"/>
          <w:lang w:val="fr-CH"/>
        </w:rPr>
        <w:t>a</w:t>
      </w:r>
      <w:r w:rsidR="0033061F">
        <w:rPr>
          <w:rFonts w:asciiTheme="minorHAnsi" w:hAnsiTheme="minorHAnsi" w:cstheme="minorHAnsi"/>
          <w:color w:val="auto"/>
          <w:sz w:val="22"/>
          <w:szCs w:val="22"/>
          <w:lang w:val="fr-CH"/>
        </w:rPr>
        <w:t>ccord multilatéral sur l’environnement (AME</w:t>
      </w:r>
      <w:r w:rsidR="00047914" w:rsidRPr="00D64AA0">
        <w:rPr>
          <w:rFonts w:asciiTheme="minorHAnsi" w:hAnsiTheme="minorHAnsi" w:cstheme="minorHAnsi"/>
          <w:color w:val="auto"/>
          <w:sz w:val="22"/>
          <w:szCs w:val="22"/>
          <w:lang w:val="fr-CH"/>
        </w:rPr>
        <w:t xml:space="preserve">), </w:t>
      </w:r>
      <w:r w:rsidR="0033061F">
        <w:rPr>
          <w:rFonts w:asciiTheme="minorHAnsi" w:hAnsiTheme="minorHAnsi" w:cstheme="minorHAnsi"/>
          <w:color w:val="auto"/>
          <w:sz w:val="22"/>
          <w:szCs w:val="22"/>
          <w:lang w:val="fr-CH"/>
        </w:rPr>
        <w:t xml:space="preserve">lien institutionnel à l’ONU </w:t>
      </w:r>
      <w:r w:rsidR="00047914" w:rsidRPr="00D64AA0">
        <w:rPr>
          <w:rFonts w:asciiTheme="minorHAnsi" w:hAnsiTheme="minorHAnsi" w:cstheme="minorHAnsi"/>
          <w:bCs/>
          <w:color w:val="auto"/>
          <w:sz w:val="22"/>
          <w:szCs w:val="22"/>
          <w:lang w:val="fr-CH"/>
        </w:rPr>
        <w:t>(A3)</w:t>
      </w:r>
      <w:r w:rsidR="0033061F">
        <w:rPr>
          <w:rFonts w:asciiTheme="minorHAnsi" w:hAnsiTheme="minorHAnsi" w:cstheme="minorHAnsi"/>
          <w:bCs/>
          <w:color w:val="auto"/>
          <w:sz w:val="22"/>
          <w:szCs w:val="22"/>
          <w:lang w:val="fr-CH"/>
        </w:rPr>
        <w:t> </w:t>
      </w:r>
      <w:r w:rsidR="00B25DF0" w:rsidRPr="00D64AA0">
        <w:rPr>
          <w:rFonts w:asciiTheme="minorHAnsi" w:hAnsiTheme="minorHAnsi" w:cstheme="minorHAnsi"/>
          <w:bCs/>
          <w:color w:val="auto"/>
          <w:sz w:val="22"/>
          <w:szCs w:val="22"/>
          <w:lang w:val="fr-CH"/>
        </w:rPr>
        <w:t>;</w:t>
      </w:r>
    </w:p>
    <w:p w14:paraId="0D4CEFE2" w14:textId="3663EAC1" w:rsidR="00047914" w:rsidRPr="00D64AA0" w:rsidRDefault="00292E5A" w:rsidP="00166ADC">
      <w:pPr>
        <w:pStyle w:val="Default"/>
        <w:numPr>
          <w:ilvl w:val="0"/>
          <w:numId w:val="14"/>
        </w:numPr>
        <w:ind w:left="851" w:hanging="425"/>
        <w:rPr>
          <w:rFonts w:asciiTheme="minorHAnsi" w:hAnsiTheme="minorHAnsi" w:cstheme="minorHAnsi"/>
          <w:color w:val="auto"/>
          <w:sz w:val="22"/>
          <w:szCs w:val="22"/>
          <w:lang w:val="fr-CH"/>
        </w:rPr>
      </w:pPr>
      <w:r>
        <w:rPr>
          <w:rFonts w:asciiTheme="minorHAnsi" w:hAnsiTheme="minorHAnsi" w:cstheme="minorHAnsi"/>
          <w:bCs/>
          <w:color w:val="auto"/>
          <w:sz w:val="22"/>
          <w:szCs w:val="22"/>
          <w:lang w:val="fr-CH"/>
        </w:rPr>
        <w:t>appartenance au</w:t>
      </w:r>
      <w:r w:rsidR="0033061F">
        <w:rPr>
          <w:rFonts w:asciiTheme="minorHAnsi" w:hAnsiTheme="minorHAnsi" w:cstheme="minorHAnsi"/>
          <w:bCs/>
          <w:color w:val="auto"/>
          <w:sz w:val="22"/>
          <w:szCs w:val="22"/>
          <w:lang w:val="fr-CH"/>
        </w:rPr>
        <w:t xml:space="preserve"> PNUE</w:t>
      </w:r>
      <w:r w:rsidR="00047914" w:rsidRPr="00D64AA0">
        <w:rPr>
          <w:rFonts w:asciiTheme="minorHAnsi" w:hAnsiTheme="minorHAnsi" w:cstheme="minorHAnsi"/>
          <w:bCs/>
          <w:color w:val="auto"/>
          <w:sz w:val="22"/>
          <w:szCs w:val="22"/>
          <w:lang w:val="fr-CH"/>
        </w:rPr>
        <w:t xml:space="preserve"> </w:t>
      </w:r>
      <w:r w:rsidR="00047914" w:rsidRPr="00D64AA0">
        <w:rPr>
          <w:rFonts w:asciiTheme="minorHAnsi" w:hAnsiTheme="minorHAnsi" w:cstheme="minorHAnsi"/>
          <w:color w:val="auto"/>
          <w:sz w:val="22"/>
          <w:szCs w:val="22"/>
          <w:lang w:val="fr-CH"/>
        </w:rPr>
        <w:t>(</w:t>
      </w:r>
      <w:r>
        <w:rPr>
          <w:rFonts w:asciiTheme="minorHAnsi" w:hAnsiTheme="minorHAnsi" w:cstheme="minorHAnsi"/>
          <w:color w:val="auto"/>
          <w:sz w:val="22"/>
          <w:szCs w:val="22"/>
          <w:lang w:val="fr-CH"/>
        </w:rPr>
        <w:t>o</w:t>
      </w:r>
      <w:r w:rsidR="00047914" w:rsidRPr="00D64AA0">
        <w:rPr>
          <w:rFonts w:asciiTheme="minorHAnsi" w:hAnsiTheme="minorHAnsi" w:cstheme="minorHAnsi"/>
          <w:color w:val="auto"/>
          <w:sz w:val="22"/>
          <w:szCs w:val="22"/>
          <w:lang w:val="fr-CH"/>
        </w:rPr>
        <w:t>ption B1)</w:t>
      </w:r>
      <w:r w:rsidR="0033061F">
        <w:rPr>
          <w:rFonts w:asciiTheme="minorHAnsi" w:hAnsiTheme="minorHAnsi" w:cstheme="minorHAnsi"/>
          <w:color w:val="auto"/>
          <w:sz w:val="22"/>
          <w:szCs w:val="22"/>
          <w:lang w:val="fr-CH"/>
        </w:rPr>
        <w:t> </w:t>
      </w:r>
      <w:r w:rsidR="00B25DF0" w:rsidRPr="00D64AA0">
        <w:rPr>
          <w:rFonts w:asciiTheme="minorHAnsi" w:hAnsiTheme="minorHAnsi" w:cstheme="minorHAnsi"/>
          <w:color w:val="auto"/>
          <w:sz w:val="22"/>
          <w:szCs w:val="22"/>
          <w:lang w:val="fr-CH"/>
        </w:rPr>
        <w:t>;</w:t>
      </w:r>
    </w:p>
    <w:p w14:paraId="5B9B6A1F" w14:textId="3C4B2CC9" w:rsidR="00047914" w:rsidRPr="00D64AA0" w:rsidRDefault="0033061F" w:rsidP="00166ADC">
      <w:pPr>
        <w:pStyle w:val="Default"/>
        <w:numPr>
          <w:ilvl w:val="0"/>
          <w:numId w:val="14"/>
        </w:numPr>
        <w:ind w:left="851" w:hanging="425"/>
        <w:rPr>
          <w:rFonts w:asciiTheme="minorHAnsi" w:hAnsiTheme="minorHAnsi" w:cstheme="minorHAnsi"/>
          <w:color w:val="auto"/>
          <w:sz w:val="22"/>
          <w:szCs w:val="22"/>
          <w:lang w:val="fr-CH"/>
        </w:rPr>
      </w:pPr>
      <w:r>
        <w:rPr>
          <w:rFonts w:asciiTheme="minorHAnsi" w:hAnsiTheme="minorHAnsi" w:cstheme="minorHAnsi"/>
          <w:color w:val="auto"/>
          <w:sz w:val="22"/>
          <w:szCs w:val="22"/>
          <w:lang w:val="fr-CH"/>
        </w:rPr>
        <w:t>scénario actuel, avec le Secrétariat de la Convention/UICN – y compris analyse comparative des salaires et avantages entre l’UICN et le</w:t>
      </w:r>
      <w:r w:rsidR="00292E5A">
        <w:rPr>
          <w:rFonts w:asciiTheme="minorHAnsi" w:hAnsiTheme="minorHAnsi" w:cstheme="minorHAnsi"/>
          <w:color w:val="auto"/>
          <w:sz w:val="22"/>
          <w:szCs w:val="22"/>
          <w:lang w:val="fr-CH"/>
        </w:rPr>
        <w:t xml:space="preserve">s organismes </w:t>
      </w:r>
      <w:r>
        <w:rPr>
          <w:rFonts w:asciiTheme="minorHAnsi" w:hAnsiTheme="minorHAnsi" w:cstheme="minorHAnsi"/>
          <w:color w:val="auto"/>
          <w:sz w:val="22"/>
          <w:szCs w:val="22"/>
          <w:lang w:val="fr-CH"/>
        </w:rPr>
        <w:t>des Nations Unies.</w:t>
      </w:r>
    </w:p>
    <w:p w14:paraId="744309DD" w14:textId="77777777" w:rsidR="001738F2" w:rsidRPr="00D64AA0" w:rsidRDefault="001738F2" w:rsidP="00166ADC">
      <w:pPr>
        <w:autoSpaceDE w:val="0"/>
        <w:autoSpaceDN w:val="0"/>
        <w:adjustRightInd w:val="0"/>
        <w:spacing w:after="0" w:line="240" w:lineRule="auto"/>
        <w:rPr>
          <w:rFonts w:cstheme="minorHAnsi"/>
          <w:lang w:val="fr-CH"/>
        </w:rPr>
      </w:pPr>
    </w:p>
    <w:p w14:paraId="4ADE64FC" w14:textId="74D5050E" w:rsidR="00DA1078" w:rsidRPr="00D64AA0" w:rsidRDefault="00B73F3B" w:rsidP="00166ADC">
      <w:pPr>
        <w:spacing w:after="0" w:line="240" w:lineRule="auto"/>
        <w:ind w:left="426" w:hanging="426"/>
        <w:rPr>
          <w:rFonts w:cstheme="minorHAnsi"/>
          <w:lang w:val="fr-CH"/>
        </w:rPr>
      </w:pPr>
      <w:r w:rsidRPr="00D64AA0">
        <w:rPr>
          <w:rFonts w:cstheme="minorHAnsi"/>
          <w:lang w:val="fr-CH"/>
        </w:rPr>
        <w:t>10.</w:t>
      </w:r>
      <w:r w:rsidRPr="00D64AA0">
        <w:rPr>
          <w:rFonts w:cstheme="minorHAnsi"/>
          <w:lang w:val="fr-CH"/>
        </w:rPr>
        <w:tab/>
      </w:r>
      <w:r w:rsidR="0033061F">
        <w:rPr>
          <w:rFonts w:cstheme="minorHAnsi"/>
          <w:lang w:val="fr-CH"/>
        </w:rPr>
        <w:t>L’analyse comparative comprend :</w:t>
      </w:r>
    </w:p>
    <w:p w14:paraId="16AA18B5" w14:textId="76AF2122" w:rsidR="0033061F" w:rsidRPr="00D64AA0" w:rsidRDefault="00DA1078" w:rsidP="0033061F">
      <w:pPr>
        <w:autoSpaceDE w:val="0"/>
        <w:autoSpaceDN w:val="0"/>
        <w:adjustRightInd w:val="0"/>
        <w:spacing w:after="0" w:line="240" w:lineRule="auto"/>
        <w:ind w:left="728" w:hanging="294"/>
        <w:rPr>
          <w:rFonts w:cstheme="minorHAnsi"/>
          <w:lang w:val="fr-CH"/>
        </w:rPr>
      </w:pPr>
      <w:r w:rsidRPr="00D64AA0">
        <w:rPr>
          <w:rFonts w:cstheme="minorHAnsi"/>
          <w:lang w:val="fr-CH"/>
        </w:rPr>
        <w:t>a</w:t>
      </w:r>
      <w:r w:rsidR="00842FFF">
        <w:rPr>
          <w:rFonts w:cstheme="minorHAnsi"/>
          <w:lang w:val="fr-CH"/>
        </w:rPr>
        <w:t>)</w:t>
      </w:r>
      <w:r w:rsidR="0033061F">
        <w:rPr>
          <w:rFonts w:cstheme="minorHAnsi"/>
          <w:lang w:val="fr-CH"/>
        </w:rPr>
        <w:tab/>
        <w:t xml:space="preserve">les </w:t>
      </w:r>
      <w:r w:rsidR="00ED2F6E">
        <w:rPr>
          <w:rFonts w:cstheme="minorHAnsi"/>
          <w:lang w:val="fr-CH"/>
        </w:rPr>
        <w:t>coûts</w:t>
      </w:r>
      <w:r w:rsidR="0033061F">
        <w:rPr>
          <w:rFonts w:cstheme="minorHAnsi"/>
          <w:lang w:val="fr-CH"/>
        </w:rPr>
        <w:t xml:space="preserve"> de fonctionnement et les dispositions administrati</w:t>
      </w:r>
      <w:r w:rsidR="00ED2F6E">
        <w:rPr>
          <w:rFonts w:cstheme="minorHAnsi"/>
          <w:lang w:val="fr-CH"/>
        </w:rPr>
        <w:t>ve</w:t>
      </w:r>
      <w:r w:rsidR="0033061F">
        <w:rPr>
          <w:rFonts w:cstheme="minorHAnsi"/>
          <w:lang w:val="fr-CH"/>
        </w:rPr>
        <w:t xml:space="preserve">s (y compris les frais requis par </w:t>
      </w:r>
      <w:r w:rsidR="0033061F" w:rsidRPr="00C0590A">
        <w:rPr>
          <w:rFonts w:cstheme="minorHAnsi"/>
          <w:lang w:val="fr-CH"/>
        </w:rPr>
        <w:t>l’organisation et les services hôtes</w:t>
      </w:r>
      <w:r w:rsidR="0033061F">
        <w:rPr>
          <w:rFonts w:cstheme="minorHAnsi"/>
          <w:lang w:val="fr-CH"/>
        </w:rPr>
        <w:t xml:space="preserve"> et le personnel fourni par l’organisation hôte en échange de </w:t>
      </w:r>
      <w:r w:rsidR="00ED2F6E">
        <w:rPr>
          <w:rFonts w:cstheme="minorHAnsi"/>
          <w:lang w:val="fr-CH"/>
        </w:rPr>
        <w:t>redevances</w:t>
      </w:r>
      <w:r w:rsidR="0033061F">
        <w:rPr>
          <w:rFonts w:cstheme="minorHAnsi"/>
          <w:lang w:val="fr-CH"/>
        </w:rPr>
        <w:t xml:space="preserve">, le cas échéant) ; </w:t>
      </w:r>
    </w:p>
    <w:p w14:paraId="08E1ED3B" w14:textId="5FFC1AFB" w:rsidR="00DA1078" w:rsidRPr="00D64AA0" w:rsidRDefault="00DA1078" w:rsidP="0033061F">
      <w:pPr>
        <w:autoSpaceDE w:val="0"/>
        <w:autoSpaceDN w:val="0"/>
        <w:adjustRightInd w:val="0"/>
        <w:spacing w:after="0" w:line="240" w:lineRule="auto"/>
        <w:ind w:left="728" w:hanging="294"/>
        <w:rPr>
          <w:rFonts w:cstheme="minorHAnsi"/>
          <w:lang w:val="fr-CH"/>
        </w:rPr>
      </w:pPr>
      <w:r w:rsidRPr="00D64AA0">
        <w:rPr>
          <w:rFonts w:cstheme="minorHAnsi"/>
          <w:lang w:val="fr-CH"/>
        </w:rPr>
        <w:t>b</w:t>
      </w:r>
      <w:r w:rsidR="00842FFF">
        <w:rPr>
          <w:rFonts w:cstheme="minorHAnsi"/>
          <w:lang w:val="fr-CH"/>
        </w:rPr>
        <w:t>)</w:t>
      </w:r>
      <w:r w:rsidR="0033061F">
        <w:rPr>
          <w:rFonts w:cstheme="minorHAnsi"/>
          <w:lang w:val="fr-CH"/>
        </w:rPr>
        <w:tab/>
        <w:t>les incidences en matière de coût</w:t>
      </w:r>
      <w:r w:rsidR="00E12FF1">
        <w:rPr>
          <w:rFonts w:cstheme="minorHAnsi"/>
          <w:lang w:val="fr-CH"/>
        </w:rPr>
        <w:t>s</w:t>
      </w:r>
      <w:r w:rsidR="0033061F">
        <w:rPr>
          <w:rFonts w:cstheme="minorHAnsi"/>
          <w:lang w:val="fr-CH"/>
        </w:rPr>
        <w:t xml:space="preserve"> et avantages du personnel ; et </w:t>
      </w:r>
    </w:p>
    <w:p w14:paraId="5E569572" w14:textId="7BE0427D" w:rsidR="00DA1078" w:rsidRPr="00D64AA0" w:rsidRDefault="00DA1078" w:rsidP="0033061F">
      <w:pPr>
        <w:autoSpaceDE w:val="0"/>
        <w:autoSpaceDN w:val="0"/>
        <w:adjustRightInd w:val="0"/>
        <w:spacing w:after="0" w:line="240" w:lineRule="auto"/>
        <w:ind w:left="728" w:hanging="294"/>
        <w:rPr>
          <w:rFonts w:cstheme="minorHAnsi"/>
          <w:lang w:val="fr-CH"/>
        </w:rPr>
      </w:pPr>
      <w:r w:rsidRPr="00D64AA0">
        <w:rPr>
          <w:rFonts w:cstheme="minorHAnsi"/>
          <w:lang w:val="fr-CH"/>
        </w:rPr>
        <w:t>c</w:t>
      </w:r>
      <w:r w:rsidR="00842FFF">
        <w:rPr>
          <w:rFonts w:cstheme="minorHAnsi"/>
          <w:lang w:val="fr-CH"/>
        </w:rPr>
        <w:t>)</w:t>
      </w:r>
      <w:r w:rsidR="0033061F">
        <w:rPr>
          <w:rFonts w:cstheme="minorHAnsi"/>
          <w:lang w:val="fr-CH"/>
        </w:rPr>
        <w:tab/>
      </w:r>
      <w:r w:rsidR="00C0590A">
        <w:rPr>
          <w:rFonts w:cstheme="minorHAnsi"/>
          <w:lang w:val="fr-CH"/>
        </w:rPr>
        <w:t xml:space="preserve">les étapes et la durée approximative </w:t>
      </w:r>
      <w:r w:rsidR="00AF5E53">
        <w:rPr>
          <w:rFonts w:cstheme="minorHAnsi"/>
          <w:lang w:val="fr-CH"/>
        </w:rPr>
        <w:t>pour</w:t>
      </w:r>
      <w:r w:rsidR="00C0590A">
        <w:rPr>
          <w:rFonts w:cstheme="minorHAnsi"/>
          <w:lang w:val="fr-CH"/>
        </w:rPr>
        <w:t xml:space="preserve"> chaque option. </w:t>
      </w:r>
    </w:p>
    <w:p w14:paraId="5F91CF4B" w14:textId="77777777" w:rsidR="00CF758B" w:rsidRPr="00D64AA0" w:rsidRDefault="00CF758B" w:rsidP="00166ADC">
      <w:pPr>
        <w:tabs>
          <w:tab w:val="left" w:pos="284"/>
        </w:tabs>
        <w:autoSpaceDE w:val="0"/>
        <w:autoSpaceDN w:val="0"/>
        <w:adjustRightInd w:val="0"/>
        <w:spacing w:after="0" w:line="240" w:lineRule="auto"/>
        <w:ind w:left="284" w:hanging="284"/>
        <w:rPr>
          <w:rFonts w:cstheme="minorHAnsi"/>
          <w:lang w:val="fr-CH"/>
        </w:rPr>
      </w:pPr>
    </w:p>
    <w:p w14:paraId="3AB02C47" w14:textId="4AE44454" w:rsidR="004715F2" w:rsidRPr="00D64AA0" w:rsidRDefault="00B73F3B" w:rsidP="00166ADC">
      <w:pPr>
        <w:autoSpaceDE w:val="0"/>
        <w:autoSpaceDN w:val="0"/>
        <w:adjustRightInd w:val="0"/>
        <w:spacing w:after="0" w:line="240" w:lineRule="auto"/>
        <w:ind w:left="426" w:hanging="426"/>
        <w:rPr>
          <w:rFonts w:cstheme="minorHAnsi"/>
          <w:lang w:val="fr-CH"/>
        </w:rPr>
      </w:pPr>
      <w:r w:rsidRPr="00D64AA0">
        <w:rPr>
          <w:rFonts w:cstheme="minorHAnsi"/>
          <w:lang w:val="fr-CH"/>
        </w:rPr>
        <w:t>11</w:t>
      </w:r>
      <w:r w:rsidR="007935A5" w:rsidRPr="00D64AA0">
        <w:rPr>
          <w:rFonts w:cstheme="minorHAnsi"/>
          <w:lang w:val="fr-CH"/>
        </w:rPr>
        <w:t xml:space="preserve">. </w:t>
      </w:r>
      <w:r w:rsidRPr="00D64AA0">
        <w:rPr>
          <w:rFonts w:cstheme="minorHAnsi"/>
          <w:lang w:val="fr-CH"/>
        </w:rPr>
        <w:tab/>
      </w:r>
      <w:r w:rsidR="00C0590A">
        <w:rPr>
          <w:rFonts w:cstheme="minorHAnsi"/>
          <w:lang w:val="fr-CH"/>
        </w:rPr>
        <w:t xml:space="preserve">Le rapport détermine les coûts dans le scénario actuel et </w:t>
      </w:r>
      <w:r w:rsidR="00F40D99">
        <w:rPr>
          <w:rFonts w:cstheme="minorHAnsi"/>
          <w:lang w:val="fr-CH"/>
        </w:rPr>
        <w:t xml:space="preserve">pour </w:t>
      </w:r>
      <w:r w:rsidR="00C0590A">
        <w:rPr>
          <w:rFonts w:cstheme="minorHAnsi"/>
          <w:lang w:val="fr-CH"/>
        </w:rPr>
        <w:t xml:space="preserve">les options </w:t>
      </w:r>
      <w:r w:rsidR="00DA1078" w:rsidRPr="00D64AA0">
        <w:rPr>
          <w:rFonts w:cstheme="minorHAnsi"/>
          <w:lang w:val="fr-CH"/>
        </w:rPr>
        <w:t xml:space="preserve">A1, A3 </w:t>
      </w:r>
      <w:r w:rsidR="00C0590A">
        <w:rPr>
          <w:rFonts w:cstheme="minorHAnsi"/>
          <w:lang w:val="fr-CH"/>
        </w:rPr>
        <w:t>et</w:t>
      </w:r>
      <w:r w:rsidR="00DA1078" w:rsidRPr="00D64AA0">
        <w:rPr>
          <w:rFonts w:cstheme="minorHAnsi"/>
          <w:lang w:val="fr-CH"/>
        </w:rPr>
        <w:t xml:space="preserve"> B1</w:t>
      </w:r>
      <w:r w:rsidR="001738F2" w:rsidRPr="00D64AA0">
        <w:rPr>
          <w:rFonts w:cstheme="minorHAnsi"/>
          <w:lang w:val="fr-CH"/>
        </w:rPr>
        <w:t xml:space="preserve"> </w:t>
      </w:r>
      <w:r w:rsidR="00C0590A">
        <w:rPr>
          <w:rFonts w:cstheme="minorHAnsi"/>
          <w:lang w:val="fr-CH"/>
        </w:rPr>
        <w:t>déterminées par l’analyse indépendante sur le statut juridique du Secrétariat, en utilisant des organisations compara</w:t>
      </w:r>
      <w:r w:rsidR="00F40D99">
        <w:rPr>
          <w:rFonts w:cstheme="minorHAnsi"/>
          <w:lang w:val="fr-CH"/>
        </w:rPr>
        <w:t>ble</w:t>
      </w:r>
      <w:r w:rsidR="00C0590A">
        <w:rPr>
          <w:rFonts w:cstheme="minorHAnsi"/>
          <w:lang w:val="fr-CH"/>
        </w:rPr>
        <w:t>s. L’analyse repose sur un</w:t>
      </w:r>
      <w:r w:rsidR="00F40D99">
        <w:rPr>
          <w:rFonts w:cstheme="minorHAnsi"/>
          <w:lang w:val="fr-CH"/>
        </w:rPr>
        <w:t>e</w:t>
      </w:r>
      <w:r w:rsidR="00C0590A">
        <w:rPr>
          <w:rFonts w:cstheme="minorHAnsi"/>
          <w:lang w:val="fr-CH"/>
        </w:rPr>
        <w:t xml:space="preserve"> vaste </w:t>
      </w:r>
      <w:r w:rsidR="00F40D99">
        <w:rPr>
          <w:rFonts w:cstheme="minorHAnsi"/>
          <w:lang w:val="fr-CH"/>
        </w:rPr>
        <w:t>étude</w:t>
      </w:r>
      <w:r w:rsidR="00C0590A">
        <w:rPr>
          <w:rFonts w:cstheme="minorHAnsi"/>
          <w:lang w:val="fr-CH"/>
        </w:rPr>
        <w:t xml:space="preserve"> de la littérature et </w:t>
      </w:r>
      <w:r w:rsidR="00F40D99">
        <w:rPr>
          <w:rFonts w:cstheme="minorHAnsi"/>
          <w:lang w:val="fr-CH"/>
        </w:rPr>
        <w:t xml:space="preserve">sur </w:t>
      </w:r>
      <w:r w:rsidR="00C0590A">
        <w:rPr>
          <w:rFonts w:cstheme="minorHAnsi"/>
          <w:lang w:val="fr-CH"/>
        </w:rPr>
        <w:t xml:space="preserve">des entretiens avec des fonctionnaires travaillant dans </w:t>
      </w:r>
      <w:r w:rsidR="00F40D99">
        <w:rPr>
          <w:rFonts w:cstheme="minorHAnsi"/>
          <w:lang w:val="fr-CH"/>
        </w:rPr>
        <w:t>l</w:t>
      </w:r>
      <w:r w:rsidR="00C0590A">
        <w:rPr>
          <w:rFonts w:cstheme="minorHAnsi"/>
          <w:lang w:val="fr-CH"/>
        </w:rPr>
        <w:t xml:space="preserve">es organisations et secrétariats comparés. </w:t>
      </w:r>
    </w:p>
    <w:p w14:paraId="7D0090AF" w14:textId="19BB867B" w:rsidR="00694C51" w:rsidRPr="00D64AA0" w:rsidRDefault="00694C51" w:rsidP="00166ADC">
      <w:pPr>
        <w:tabs>
          <w:tab w:val="left" w:pos="284"/>
        </w:tabs>
        <w:autoSpaceDE w:val="0"/>
        <w:autoSpaceDN w:val="0"/>
        <w:adjustRightInd w:val="0"/>
        <w:spacing w:after="0" w:line="240" w:lineRule="auto"/>
        <w:ind w:left="284" w:hanging="284"/>
        <w:rPr>
          <w:rFonts w:cstheme="minorHAnsi"/>
          <w:lang w:val="fr-CH"/>
        </w:rPr>
      </w:pPr>
    </w:p>
    <w:p w14:paraId="392D51CD" w14:textId="7C22B30A" w:rsidR="00694C51" w:rsidRPr="00D64AA0" w:rsidRDefault="00B73F3B" w:rsidP="00166ADC">
      <w:pPr>
        <w:spacing w:after="0" w:line="240" w:lineRule="auto"/>
        <w:ind w:left="426" w:hanging="426"/>
        <w:rPr>
          <w:rFonts w:cstheme="minorHAnsi"/>
          <w:lang w:val="fr-CH"/>
        </w:rPr>
      </w:pPr>
      <w:r w:rsidRPr="00D64AA0">
        <w:rPr>
          <w:rFonts w:cstheme="minorHAnsi"/>
          <w:lang w:val="fr-CH"/>
        </w:rPr>
        <w:t>12.</w:t>
      </w:r>
      <w:r w:rsidRPr="00D64AA0">
        <w:rPr>
          <w:rFonts w:cstheme="minorHAnsi"/>
          <w:lang w:val="fr-CH"/>
        </w:rPr>
        <w:tab/>
      </w:r>
      <w:r w:rsidR="00C0590A">
        <w:rPr>
          <w:rFonts w:cstheme="minorHAnsi"/>
          <w:lang w:val="fr-CH"/>
        </w:rPr>
        <w:t xml:space="preserve">Conformément à ce qui précède, le rapport fournit des informations sur : </w:t>
      </w:r>
    </w:p>
    <w:p w14:paraId="3AE62721" w14:textId="12979CD2" w:rsidR="00694C51" w:rsidRPr="00D64AA0" w:rsidRDefault="00C0590A"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les coûts relatifs de chaque option ;</w:t>
      </w:r>
    </w:p>
    <w:p w14:paraId="2A77FDB9" w14:textId="71AC3638" w:rsidR="00694C51" w:rsidRPr="00D64AA0" w:rsidRDefault="00C0590A"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les avantages relatifs de chaque option ;</w:t>
      </w:r>
    </w:p>
    <w:p w14:paraId="584D68CA" w14:textId="2464F081" w:rsidR="00694C51" w:rsidRPr="00D64AA0" w:rsidRDefault="00C0590A"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les processus de t</w:t>
      </w:r>
      <w:r w:rsidR="00694C51" w:rsidRPr="00D64AA0">
        <w:rPr>
          <w:rFonts w:asciiTheme="minorHAnsi" w:hAnsiTheme="minorHAnsi" w:cstheme="minorHAnsi"/>
          <w:lang w:val="fr-CH"/>
        </w:rPr>
        <w:t xml:space="preserve">ransition </w:t>
      </w:r>
      <w:r>
        <w:rPr>
          <w:rFonts w:asciiTheme="minorHAnsi" w:hAnsiTheme="minorHAnsi" w:cstheme="minorHAnsi"/>
          <w:lang w:val="fr-CH"/>
        </w:rPr>
        <w:t>pour chaque option ;</w:t>
      </w:r>
    </w:p>
    <w:p w14:paraId="2CB9EB45" w14:textId="02E9A1FC" w:rsidR="00694C51" w:rsidRPr="00D64AA0" w:rsidRDefault="00C0590A"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les estimations et les hypothèses ;</w:t>
      </w:r>
    </w:p>
    <w:p w14:paraId="73838064" w14:textId="4B3DD3F1" w:rsidR="00694C51" w:rsidRPr="00D64AA0" w:rsidRDefault="000049C6"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un tableau comparatif des trois scénarios et leur sens éventuel pour le Secrétariat ;</w:t>
      </w:r>
    </w:p>
    <w:p w14:paraId="16E183BA" w14:textId="60C60BB0" w:rsidR="00694C51" w:rsidRPr="00D64AA0" w:rsidRDefault="000049C6"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un tableau comparatif des pour et des contre des quatre options évaluées ;</w:t>
      </w:r>
    </w:p>
    <w:p w14:paraId="648732BC" w14:textId="011000B7" w:rsidR="00694C51" w:rsidRPr="00D64AA0" w:rsidRDefault="000049C6"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un tableau comparatif des coûts annuels vis</w:t>
      </w:r>
      <w:r>
        <w:rPr>
          <w:rFonts w:asciiTheme="minorHAnsi" w:hAnsiTheme="minorHAnsi" w:cstheme="minorHAnsi"/>
          <w:lang w:val="fr-CH"/>
        </w:rPr>
        <w:noBreakHyphen/>
        <w:t>à</w:t>
      </w:r>
      <w:r>
        <w:rPr>
          <w:rFonts w:asciiTheme="minorHAnsi" w:hAnsiTheme="minorHAnsi" w:cstheme="minorHAnsi"/>
          <w:lang w:val="fr-CH"/>
        </w:rPr>
        <w:noBreakHyphen/>
        <w:t xml:space="preserve">vis de l’UICN, l’option A1, l’option A3 et l’option B1 ; et </w:t>
      </w:r>
    </w:p>
    <w:p w14:paraId="31B25108" w14:textId="0DD7AB8A" w:rsidR="00694C51" w:rsidRPr="00D64AA0" w:rsidRDefault="000049C6" w:rsidP="00166ADC">
      <w:pPr>
        <w:pStyle w:val="ListParagraph"/>
        <w:numPr>
          <w:ilvl w:val="0"/>
          <w:numId w:val="16"/>
        </w:numPr>
        <w:autoSpaceDE w:val="0"/>
        <w:autoSpaceDN w:val="0"/>
        <w:adjustRightInd w:val="0"/>
        <w:ind w:left="851" w:hanging="437"/>
        <w:jc w:val="left"/>
        <w:rPr>
          <w:rFonts w:asciiTheme="minorHAnsi" w:hAnsiTheme="minorHAnsi" w:cstheme="minorHAnsi"/>
          <w:lang w:val="fr-CH"/>
        </w:rPr>
      </w:pPr>
      <w:r>
        <w:rPr>
          <w:rFonts w:asciiTheme="minorHAnsi" w:hAnsiTheme="minorHAnsi" w:cstheme="minorHAnsi"/>
          <w:lang w:val="fr-CH"/>
        </w:rPr>
        <w:t xml:space="preserve">le calcul </w:t>
      </w:r>
      <w:r w:rsidR="00F40D99">
        <w:rPr>
          <w:rFonts w:asciiTheme="minorHAnsi" w:hAnsiTheme="minorHAnsi" w:cstheme="minorHAnsi"/>
          <w:lang w:val="fr-CH"/>
        </w:rPr>
        <w:t>des coûts de</w:t>
      </w:r>
      <w:r>
        <w:rPr>
          <w:rFonts w:asciiTheme="minorHAnsi" w:hAnsiTheme="minorHAnsi" w:cstheme="minorHAnsi"/>
          <w:lang w:val="fr-CH"/>
        </w:rPr>
        <w:t xml:space="preserve"> personnel.</w:t>
      </w:r>
    </w:p>
    <w:p w14:paraId="139F6EEC" w14:textId="77777777" w:rsidR="001738F2" w:rsidRPr="00D64AA0" w:rsidRDefault="001738F2" w:rsidP="00166ADC">
      <w:pPr>
        <w:autoSpaceDE w:val="0"/>
        <w:autoSpaceDN w:val="0"/>
        <w:adjustRightInd w:val="0"/>
        <w:spacing w:after="0" w:line="240" w:lineRule="auto"/>
        <w:rPr>
          <w:rFonts w:cstheme="minorHAnsi"/>
          <w:lang w:val="fr-CH"/>
        </w:rPr>
      </w:pPr>
    </w:p>
    <w:p w14:paraId="666F0004" w14:textId="3C9F7E67" w:rsidR="004715F2" w:rsidRPr="00D64AA0" w:rsidRDefault="00B25DF0" w:rsidP="00166ADC">
      <w:pPr>
        <w:autoSpaceDE w:val="0"/>
        <w:autoSpaceDN w:val="0"/>
        <w:adjustRightInd w:val="0"/>
        <w:spacing w:after="0" w:line="240" w:lineRule="auto"/>
        <w:ind w:left="426" w:hanging="426"/>
        <w:rPr>
          <w:rFonts w:cstheme="minorHAnsi"/>
          <w:lang w:val="fr-CH"/>
        </w:rPr>
      </w:pPr>
      <w:r w:rsidRPr="00D64AA0">
        <w:rPr>
          <w:rFonts w:cstheme="minorHAnsi"/>
          <w:lang w:val="fr-CH"/>
        </w:rPr>
        <w:t>13.</w:t>
      </w:r>
      <w:r w:rsidRPr="00D64AA0">
        <w:rPr>
          <w:rFonts w:cstheme="minorHAnsi"/>
          <w:lang w:val="fr-CH"/>
        </w:rPr>
        <w:tab/>
      </w:r>
      <w:r w:rsidR="004715F2" w:rsidRPr="00D64AA0">
        <w:rPr>
          <w:rFonts w:cstheme="minorHAnsi"/>
          <w:lang w:val="fr-CH"/>
        </w:rPr>
        <w:t>Concern</w:t>
      </w:r>
      <w:r w:rsidR="00D31F25">
        <w:rPr>
          <w:rFonts w:cstheme="minorHAnsi"/>
          <w:lang w:val="fr-CH"/>
        </w:rPr>
        <w:t>ant les coûts relatifs de chaque option, le rapport note qu’en 2008, une analyse des incidences financières</w:t>
      </w:r>
      <w:r w:rsidR="00184345">
        <w:rPr>
          <w:rFonts w:cstheme="minorHAnsi"/>
          <w:lang w:val="fr-CH"/>
        </w:rPr>
        <w:t>,</w:t>
      </w:r>
      <w:r w:rsidR="00D31F25">
        <w:rPr>
          <w:rFonts w:cstheme="minorHAnsi"/>
          <w:lang w:val="fr-CH"/>
        </w:rPr>
        <w:t xml:space="preserve"> au cas où le Secrétariat rejoindrait le PNUE ou deviendrait une organisation internationale indépendante</w:t>
      </w:r>
      <w:r w:rsidR="00184345">
        <w:rPr>
          <w:rFonts w:cstheme="minorHAnsi"/>
          <w:lang w:val="fr-CH"/>
        </w:rPr>
        <w:t>,</w:t>
      </w:r>
      <w:r w:rsidR="00D31F25">
        <w:rPr>
          <w:rFonts w:cstheme="minorHAnsi"/>
          <w:lang w:val="fr-CH"/>
        </w:rPr>
        <w:t xml:space="preserve"> a conclu que rejoindre le PNUE supposerait une augmentation d’au moins 24 % du budget annuel. À cette époque, la principale différence concernait le</w:t>
      </w:r>
      <w:r w:rsidR="00184345">
        <w:rPr>
          <w:rFonts w:cstheme="minorHAnsi"/>
          <w:lang w:val="fr-CH"/>
        </w:rPr>
        <w:t>s</w:t>
      </w:r>
      <w:r w:rsidR="00D31F25">
        <w:rPr>
          <w:rFonts w:cstheme="minorHAnsi"/>
          <w:lang w:val="fr-CH"/>
        </w:rPr>
        <w:t xml:space="preserve"> coût</w:t>
      </w:r>
      <w:r w:rsidR="00184345">
        <w:rPr>
          <w:rFonts w:cstheme="minorHAnsi"/>
          <w:lang w:val="fr-CH"/>
        </w:rPr>
        <w:t>s</w:t>
      </w:r>
      <w:r w:rsidR="00D31F25">
        <w:rPr>
          <w:rFonts w:cstheme="minorHAnsi"/>
          <w:lang w:val="fr-CH"/>
        </w:rPr>
        <w:t xml:space="preserve"> </w:t>
      </w:r>
      <w:r w:rsidR="00184345">
        <w:rPr>
          <w:rFonts w:cstheme="minorHAnsi"/>
          <w:lang w:val="fr-CH"/>
        </w:rPr>
        <w:t>de</w:t>
      </w:r>
      <w:r w:rsidR="00D31F25">
        <w:rPr>
          <w:rFonts w:cstheme="minorHAnsi"/>
          <w:lang w:val="fr-CH"/>
        </w:rPr>
        <w:t xml:space="preserve"> personnel mais aujourd’hui, cette différence semble être inférieure. En 2008, les coûts annuels d</w:t>
      </w:r>
      <w:r w:rsidR="00184345">
        <w:rPr>
          <w:rFonts w:cstheme="minorHAnsi"/>
          <w:lang w:val="fr-CH"/>
        </w:rPr>
        <w:t>e</w:t>
      </w:r>
      <w:r w:rsidR="00D31F25">
        <w:rPr>
          <w:rFonts w:cstheme="minorHAnsi"/>
          <w:lang w:val="fr-CH"/>
        </w:rPr>
        <w:t xml:space="preserve"> personnel calculés à partir des salaires, des avantages et des prestations </w:t>
      </w:r>
      <w:r w:rsidR="006626D2">
        <w:rPr>
          <w:rFonts w:cstheme="minorHAnsi"/>
          <w:lang w:val="fr-CH"/>
        </w:rPr>
        <w:t xml:space="preserve">de l’UICN </w:t>
      </w:r>
      <w:r w:rsidR="00D31F25">
        <w:rPr>
          <w:rFonts w:cstheme="minorHAnsi"/>
          <w:lang w:val="fr-CH"/>
        </w:rPr>
        <w:t xml:space="preserve">étaient </w:t>
      </w:r>
      <w:r w:rsidR="00184345">
        <w:rPr>
          <w:rFonts w:cstheme="minorHAnsi"/>
          <w:lang w:val="fr-CH"/>
        </w:rPr>
        <w:t>nettement</w:t>
      </w:r>
      <w:r w:rsidR="00D31F25">
        <w:rPr>
          <w:rFonts w:cstheme="minorHAnsi"/>
          <w:lang w:val="fr-CH"/>
        </w:rPr>
        <w:t xml:space="preserve"> plus faibles que les coûts calculés en utilisant les salaires, les avantages </w:t>
      </w:r>
      <w:r w:rsidR="00083379">
        <w:rPr>
          <w:rFonts w:cstheme="minorHAnsi"/>
          <w:lang w:val="fr-CH"/>
        </w:rPr>
        <w:t>et les prestations</w:t>
      </w:r>
      <w:r w:rsidR="006626D2">
        <w:rPr>
          <w:rFonts w:cstheme="minorHAnsi"/>
          <w:lang w:val="fr-CH"/>
        </w:rPr>
        <w:t xml:space="preserve"> de l’ONU</w:t>
      </w:r>
      <w:r w:rsidR="004715F2" w:rsidRPr="00D64AA0">
        <w:rPr>
          <w:rFonts w:cstheme="minorHAnsi"/>
          <w:lang w:val="fr-CH"/>
        </w:rPr>
        <w:t xml:space="preserve">. </w:t>
      </w:r>
      <w:r w:rsidR="006626D2">
        <w:rPr>
          <w:rFonts w:cstheme="minorHAnsi"/>
          <w:lang w:val="fr-CH"/>
        </w:rPr>
        <w:t xml:space="preserve">Aujourd’hui, en utilisant les salaires de l’ONU effectifs en 2022, avec un ajustement de poste de 74,7 % pour Genève, </w:t>
      </w:r>
      <w:r w:rsidR="00184345">
        <w:rPr>
          <w:rFonts w:cstheme="minorHAnsi"/>
          <w:lang w:val="fr-CH"/>
        </w:rPr>
        <w:t>et comprenant</w:t>
      </w:r>
      <w:r w:rsidR="006626D2">
        <w:rPr>
          <w:rFonts w:cstheme="minorHAnsi"/>
          <w:lang w:val="fr-CH"/>
        </w:rPr>
        <w:t xml:space="preserve"> un conjoint dépendant, un enfant dépendant et la </w:t>
      </w:r>
      <w:r w:rsidR="00184345">
        <w:rPr>
          <w:rFonts w:cstheme="minorHAnsi"/>
          <w:lang w:val="fr-CH"/>
        </w:rPr>
        <w:t>retraire</w:t>
      </w:r>
      <w:r w:rsidR="006626D2">
        <w:rPr>
          <w:rFonts w:cstheme="minorHAnsi"/>
          <w:lang w:val="fr-CH"/>
        </w:rPr>
        <w:t xml:space="preserve">, les coûts </w:t>
      </w:r>
      <w:r w:rsidR="00184345">
        <w:rPr>
          <w:rFonts w:cstheme="minorHAnsi"/>
          <w:lang w:val="fr-CH"/>
        </w:rPr>
        <w:t>de</w:t>
      </w:r>
      <w:r w:rsidR="006626D2">
        <w:rPr>
          <w:rFonts w:cstheme="minorHAnsi"/>
          <w:lang w:val="fr-CH"/>
        </w:rPr>
        <w:t xml:space="preserve"> personnel ne sont que légèrement supérieurs aux coûts </w:t>
      </w:r>
      <w:r w:rsidR="00184345">
        <w:rPr>
          <w:rFonts w:cstheme="minorHAnsi"/>
          <w:lang w:val="fr-CH"/>
        </w:rPr>
        <w:t>de</w:t>
      </w:r>
      <w:r w:rsidR="006626D2">
        <w:rPr>
          <w:rFonts w:cstheme="minorHAnsi"/>
          <w:lang w:val="fr-CH"/>
        </w:rPr>
        <w:t xml:space="preserve"> personnel actuels en utilisant les salaires, les avantages et les prestations de l’UICN.</w:t>
      </w:r>
    </w:p>
    <w:p w14:paraId="4B6080B4" w14:textId="77777777" w:rsidR="004715F2" w:rsidRPr="00D64AA0" w:rsidRDefault="004715F2" w:rsidP="00166ADC">
      <w:pPr>
        <w:spacing w:after="0" w:line="240" w:lineRule="auto"/>
        <w:ind w:left="426" w:hanging="426"/>
        <w:rPr>
          <w:rFonts w:cstheme="minorHAnsi"/>
          <w:lang w:val="fr-CH"/>
        </w:rPr>
      </w:pPr>
    </w:p>
    <w:p w14:paraId="50365EC5" w14:textId="1786D33B" w:rsidR="00F84371" w:rsidRPr="00D64AA0" w:rsidRDefault="00B25DF0" w:rsidP="00166ADC">
      <w:pPr>
        <w:autoSpaceDE w:val="0"/>
        <w:autoSpaceDN w:val="0"/>
        <w:adjustRightInd w:val="0"/>
        <w:spacing w:after="0" w:line="240" w:lineRule="auto"/>
        <w:ind w:left="426" w:hanging="426"/>
        <w:rPr>
          <w:rFonts w:cstheme="minorHAnsi"/>
          <w:lang w:val="fr-CH"/>
        </w:rPr>
      </w:pPr>
      <w:r w:rsidRPr="00D64AA0">
        <w:rPr>
          <w:rFonts w:cstheme="minorHAnsi"/>
          <w:lang w:val="fr-CH"/>
        </w:rPr>
        <w:t>14.</w:t>
      </w:r>
      <w:r w:rsidRPr="00D64AA0">
        <w:rPr>
          <w:rFonts w:cstheme="minorHAnsi"/>
          <w:lang w:val="fr-CH"/>
        </w:rPr>
        <w:tab/>
      </w:r>
      <w:r w:rsidR="00EF1C95">
        <w:rPr>
          <w:rFonts w:cstheme="minorHAnsi"/>
          <w:lang w:val="fr-CH"/>
        </w:rPr>
        <w:t xml:space="preserve">Le rapport note aussi que les résultats doivent être examinés à la lueur des estimations et hypothèses concernant les coûts </w:t>
      </w:r>
      <w:r w:rsidR="00184345">
        <w:rPr>
          <w:rFonts w:cstheme="minorHAnsi"/>
          <w:lang w:val="fr-CH"/>
        </w:rPr>
        <w:t>de</w:t>
      </w:r>
      <w:r w:rsidR="00EF1C95">
        <w:rPr>
          <w:rFonts w:cstheme="minorHAnsi"/>
          <w:lang w:val="fr-CH"/>
        </w:rPr>
        <w:t xml:space="preserve"> personnel.</w:t>
      </w:r>
      <w:r w:rsidR="004715F2" w:rsidRPr="00D64AA0">
        <w:rPr>
          <w:rFonts w:cstheme="minorHAnsi"/>
          <w:bCs/>
          <w:lang w:val="fr-CH"/>
        </w:rPr>
        <w:t xml:space="preserve">  </w:t>
      </w:r>
    </w:p>
    <w:p w14:paraId="50DE7C30" w14:textId="77777777" w:rsidR="00F84371" w:rsidRPr="00D64AA0" w:rsidRDefault="00F84371" w:rsidP="00166ADC">
      <w:pPr>
        <w:pStyle w:val="ListParagraph"/>
        <w:ind w:left="426" w:hanging="426"/>
        <w:jc w:val="left"/>
        <w:rPr>
          <w:rFonts w:asciiTheme="minorHAnsi" w:hAnsiTheme="minorHAnsi" w:cstheme="minorHAnsi"/>
          <w:lang w:val="fr-CH"/>
        </w:rPr>
      </w:pPr>
    </w:p>
    <w:p w14:paraId="024F285D" w14:textId="1723E6A9" w:rsidR="00F84371" w:rsidRPr="00D64AA0" w:rsidRDefault="00B25DF0" w:rsidP="00166ADC">
      <w:pPr>
        <w:autoSpaceDE w:val="0"/>
        <w:autoSpaceDN w:val="0"/>
        <w:adjustRightInd w:val="0"/>
        <w:spacing w:after="0" w:line="240" w:lineRule="auto"/>
        <w:ind w:left="426" w:hanging="426"/>
        <w:rPr>
          <w:rFonts w:cstheme="minorHAnsi"/>
          <w:lang w:val="fr-CH"/>
        </w:rPr>
      </w:pPr>
      <w:r w:rsidRPr="00D64AA0">
        <w:rPr>
          <w:rFonts w:cstheme="minorHAnsi"/>
          <w:lang w:val="fr-CH"/>
        </w:rPr>
        <w:lastRenderedPageBreak/>
        <w:t>15.</w:t>
      </w:r>
      <w:r w:rsidRPr="00D64AA0">
        <w:rPr>
          <w:rFonts w:cstheme="minorHAnsi"/>
          <w:lang w:val="fr-CH"/>
        </w:rPr>
        <w:tab/>
      </w:r>
      <w:r w:rsidR="00EF1C95">
        <w:rPr>
          <w:rFonts w:cstheme="minorHAnsi"/>
          <w:lang w:val="fr-CH"/>
        </w:rPr>
        <w:t xml:space="preserve">Le rapport montre qu’avec les options </w:t>
      </w:r>
      <w:r w:rsidR="00F84371" w:rsidRPr="00D64AA0">
        <w:rPr>
          <w:rFonts w:cstheme="minorHAnsi"/>
          <w:lang w:val="fr-CH"/>
        </w:rPr>
        <w:t xml:space="preserve">A1, A3 </w:t>
      </w:r>
      <w:r w:rsidR="00EF1C95">
        <w:rPr>
          <w:rFonts w:cstheme="minorHAnsi"/>
          <w:lang w:val="fr-CH"/>
        </w:rPr>
        <w:t>et</w:t>
      </w:r>
      <w:r w:rsidR="00F84371" w:rsidRPr="00D64AA0">
        <w:rPr>
          <w:rFonts w:cstheme="minorHAnsi"/>
          <w:lang w:val="fr-CH"/>
        </w:rPr>
        <w:t xml:space="preserve"> B1, </w:t>
      </w:r>
      <w:r w:rsidR="00F868DE">
        <w:rPr>
          <w:rFonts w:cstheme="minorHAnsi"/>
          <w:lang w:val="fr-CH"/>
        </w:rPr>
        <w:t>il serait important de tenir compte des coûts de réunion des organes subsidiaires alors qu’avec l’UICN, la Convention n’a pas besoin de payer une location pour les esp</w:t>
      </w:r>
      <w:r w:rsidR="00CE5CC1">
        <w:rPr>
          <w:rFonts w:cstheme="minorHAnsi"/>
          <w:lang w:val="fr-CH"/>
        </w:rPr>
        <w:t>a</w:t>
      </w:r>
      <w:r w:rsidR="00F868DE">
        <w:rPr>
          <w:rFonts w:cstheme="minorHAnsi"/>
          <w:lang w:val="fr-CH"/>
        </w:rPr>
        <w:t xml:space="preserve">ces ou l’équipement pour les réunions des organes subsidiaires ; dans le cadre des autres options, si l’on présume que le Secrétariat reste en Suisse, la Convention pourrait avoir besoin de payer la location de l’espace et des équipements nécessaires aux réunions. Il serait nécessaire de tenir compte du calcul de ces coûts.  </w:t>
      </w:r>
    </w:p>
    <w:p w14:paraId="39621824" w14:textId="77777777" w:rsidR="000E38AF" w:rsidRPr="00D64AA0" w:rsidRDefault="000E38AF" w:rsidP="00166ADC">
      <w:pPr>
        <w:pStyle w:val="ListParagraph"/>
        <w:autoSpaceDE w:val="0"/>
        <w:autoSpaceDN w:val="0"/>
        <w:adjustRightInd w:val="0"/>
        <w:ind w:left="426" w:hanging="426"/>
        <w:jc w:val="left"/>
        <w:rPr>
          <w:rFonts w:asciiTheme="minorHAnsi" w:hAnsiTheme="minorHAnsi" w:cstheme="minorHAnsi"/>
          <w:lang w:val="fr-CH"/>
        </w:rPr>
      </w:pPr>
    </w:p>
    <w:p w14:paraId="01CC8DB3" w14:textId="4D4BC9F1" w:rsidR="00DA1078" w:rsidRPr="00D64AA0" w:rsidRDefault="00F868DE" w:rsidP="00166ADC">
      <w:pPr>
        <w:autoSpaceDE w:val="0"/>
        <w:autoSpaceDN w:val="0"/>
        <w:adjustRightInd w:val="0"/>
        <w:spacing w:after="0" w:line="240" w:lineRule="auto"/>
        <w:ind w:left="426"/>
        <w:rPr>
          <w:rFonts w:cstheme="minorHAnsi"/>
          <w:lang w:val="fr-CH"/>
        </w:rPr>
      </w:pPr>
      <w:r>
        <w:rPr>
          <w:rFonts w:cstheme="minorHAnsi"/>
          <w:lang w:val="fr-CH"/>
        </w:rPr>
        <w:t xml:space="preserve">Le rapport et l’analyse peuvent être consultés à l’adresse : </w:t>
      </w:r>
      <w:hyperlink r:id="rId12" w:history="1">
        <w:r w:rsidR="00DC6514" w:rsidRPr="00790433">
          <w:rPr>
            <w:rStyle w:val="Hyperlink"/>
            <w:rFonts w:cstheme="minorHAnsi"/>
            <w:lang w:val="fr-CH"/>
          </w:rPr>
          <w:t>https://www.ramsar.org/sites/default/files/documents/library/financial_analysis_legal_status_secretariat_2020_e.pdf</w:t>
        </w:r>
      </w:hyperlink>
      <w:r w:rsidR="00DC6514">
        <w:rPr>
          <w:rFonts w:cstheme="minorHAnsi"/>
          <w:lang w:val="fr-CH"/>
        </w:rPr>
        <w:t xml:space="preserve"> </w:t>
      </w:r>
      <w:bookmarkStart w:id="1" w:name="_GoBack"/>
      <w:bookmarkEnd w:id="1"/>
    </w:p>
    <w:p w14:paraId="1F64AD39" w14:textId="77777777" w:rsidR="004715F2" w:rsidRPr="00D64AA0" w:rsidRDefault="004715F2" w:rsidP="00166ADC">
      <w:pPr>
        <w:autoSpaceDE w:val="0"/>
        <w:autoSpaceDN w:val="0"/>
        <w:adjustRightInd w:val="0"/>
        <w:spacing w:after="0" w:line="240" w:lineRule="auto"/>
        <w:rPr>
          <w:rFonts w:cstheme="minorHAnsi"/>
          <w:lang w:val="fr-CH"/>
        </w:rPr>
      </w:pPr>
    </w:p>
    <w:p w14:paraId="74562917" w14:textId="63DE8F1E" w:rsidR="008857F0" w:rsidRPr="00D64AA0" w:rsidRDefault="004715F2" w:rsidP="00166ADC">
      <w:pPr>
        <w:pStyle w:val="Default"/>
        <w:ind w:left="-11"/>
        <w:rPr>
          <w:rFonts w:asciiTheme="minorHAnsi" w:hAnsiTheme="minorHAnsi" w:cstheme="minorHAnsi"/>
          <w:b/>
          <w:sz w:val="22"/>
          <w:szCs w:val="22"/>
          <w:lang w:val="fr-CH"/>
        </w:rPr>
      </w:pPr>
      <w:r w:rsidRPr="00D64AA0">
        <w:rPr>
          <w:rFonts w:asciiTheme="minorHAnsi" w:hAnsiTheme="minorHAnsi" w:cstheme="minorHAnsi"/>
          <w:b/>
          <w:sz w:val="22"/>
          <w:szCs w:val="22"/>
          <w:lang w:val="fr-CH"/>
        </w:rPr>
        <w:t>Concern</w:t>
      </w:r>
      <w:r w:rsidR="00BB7A6A">
        <w:rPr>
          <w:rFonts w:asciiTheme="minorHAnsi" w:hAnsiTheme="minorHAnsi" w:cstheme="minorHAnsi"/>
          <w:b/>
          <w:sz w:val="22"/>
          <w:szCs w:val="22"/>
          <w:lang w:val="fr-CH"/>
        </w:rPr>
        <w:t>ant les autres options figurant dans le rapport du Groupe de travail à la 57</w:t>
      </w:r>
      <w:r w:rsidR="00BB7A6A" w:rsidRPr="00BB7A6A">
        <w:rPr>
          <w:rFonts w:asciiTheme="minorHAnsi" w:hAnsiTheme="minorHAnsi" w:cstheme="minorHAnsi"/>
          <w:b/>
          <w:sz w:val="22"/>
          <w:szCs w:val="22"/>
          <w:vertAlign w:val="superscript"/>
          <w:lang w:val="fr-CH"/>
        </w:rPr>
        <w:t>e</w:t>
      </w:r>
      <w:r w:rsidR="00BB7A6A">
        <w:rPr>
          <w:rFonts w:asciiTheme="minorHAnsi" w:hAnsiTheme="minorHAnsi" w:cstheme="minorHAnsi"/>
          <w:b/>
          <w:sz w:val="22"/>
          <w:szCs w:val="22"/>
          <w:lang w:val="fr-CH"/>
        </w:rPr>
        <w:t> et à la 59</w:t>
      </w:r>
      <w:r w:rsidR="00BB7A6A" w:rsidRPr="00BB7A6A">
        <w:rPr>
          <w:rFonts w:asciiTheme="minorHAnsi" w:hAnsiTheme="minorHAnsi" w:cstheme="minorHAnsi"/>
          <w:b/>
          <w:sz w:val="22"/>
          <w:szCs w:val="22"/>
          <w:vertAlign w:val="superscript"/>
          <w:lang w:val="fr-CH"/>
        </w:rPr>
        <w:t>e</w:t>
      </w:r>
      <w:r w:rsidR="00BB7A6A">
        <w:rPr>
          <w:rFonts w:asciiTheme="minorHAnsi" w:hAnsiTheme="minorHAnsi" w:cstheme="minorHAnsi"/>
          <w:b/>
          <w:sz w:val="22"/>
          <w:szCs w:val="22"/>
          <w:lang w:val="fr-CH"/>
        </w:rPr>
        <w:t xml:space="preserve"> Réunion du Comité permanent en 2021 </w:t>
      </w:r>
    </w:p>
    <w:p w14:paraId="28734FD8" w14:textId="77777777" w:rsidR="008857F0" w:rsidRPr="00D64AA0" w:rsidRDefault="008857F0" w:rsidP="00166ADC">
      <w:pPr>
        <w:pStyle w:val="Default"/>
        <w:rPr>
          <w:rFonts w:asciiTheme="minorHAnsi" w:hAnsiTheme="minorHAnsi" w:cstheme="minorHAnsi"/>
          <w:sz w:val="22"/>
          <w:szCs w:val="22"/>
          <w:lang w:val="fr-CH"/>
        </w:rPr>
      </w:pPr>
    </w:p>
    <w:p w14:paraId="6ACAC7F0" w14:textId="11F4FF6D" w:rsidR="004715F2" w:rsidRPr="00D64AA0" w:rsidRDefault="00BB7A6A" w:rsidP="00166ADC">
      <w:pPr>
        <w:spacing w:after="0" w:line="240" w:lineRule="auto"/>
        <w:rPr>
          <w:rFonts w:cstheme="minorHAnsi"/>
          <w:u w:val="single"/>
          <w:lang w:val="fr-CH"/>
        </w:rPr>
      </w:pPr>
      <w:r>
        <w:rPr>
          <w:rFonts w:cstheme="minorHAnsi"/>
          <w:u w:val="single"/>
          <w:lang w:val="fr-CH"/>
        </w:rPr>
        <w:t xml:space="preserve">Le statut d’observateur auprès de l’Assemblée générale des Nations Unies </w:t>
      </w:r>
      <w:r w:rsidR="004715F2" w:rsidRPr="00D64AA0">
        <w:rPr>
          <w:rFonts w:cstheme="minorHAnsi"/>
          <w:u w:val="single"/>
          <w:lang w:val="fr-CH"/>
        </w:rPr>
        <w:t>(</w:t>
      </w:r>
      <w:r>
        <w:rPr>
          <w:rFonts w:cstheme="minorHAnsi"/>
          <w:i/>
          <w:iCs/>
          <w:u w:val="single"/>
          <w:lang w:val="fr-CH"/>
        </w:rPr>
        <w:t>document d’information : soumission de l’Uruguay 11 août 2017 – la Colombie est devenue co</w:t>
      </w:r>
      <w:r>
        <w:rPr>
          <w:rFonts w:cstheme="minorHAnsi"/>
          <w:i/>
          <w:iCs/>
          <w:u w:val="single"/>
          <w:lang w:val="fr-CH"/>
        </w:rPr>
        <w:noBreakHyphen/>
      </w:r>
      <w:r w:rsidR="007117FA">
        <w:rPr>
          <w:rFonts w:cstheme="minorHAnsi"/>
          <w:i/>
          <w:iCs/>
          <w:u w:val="single"/>
          <w:lang w:val="fr-CH"/>
        </w:rPr>
        <w:t>auteur</w:t>
      </w:r>
      <w:r>
        <w:rPr>
          <w:rFonts w:cstheme="minorHAnsi"/>
          <w:i/>
          <w:iCs/>
          <w:u w:val="single"/>
          <w:lang w:val="fr-CH"/>
        </w:rPr>
        <w:t xml:space="preserve">) </w:t>
      </w:r>
    </w:p>
    <w:p w14:paraId="0065446B" w14:textId="77777777" w:rsidR="004715F2" w:rsidRPr="00D64AA0" w:rsidRDefault="004715F2" w:rsidP="00166ADC">
      <w:pPr>
        <w:spacing w:after="0" w:line="240" w:lineRule="auto"/>
        <w:ind w:left="284"/>
        <w:rPr>
          <w:rFonts w:cstheme="minorHAnsi"/>
          <w:lang w:val="fr-CH"/>
        </w:rPr>
      </w:pPr>
    </w:p>
    <w:p w14:paraId="47FE64A8" w14:textId="0A279512" w:rsidR="006238ED" w:rsidRPr="00D64AA0" w:rsidRDefault="00166ADC" w:rsidP="00166ADC">
      <w:pPr>
        <w:pStyle w:val="ListParagraph"/>
        <w:ind w:left="426" w:hanging="426"/>
        <w:jc w:val="left"/>
        <w:rPr>
          <w:rFonts w:asciiTheme="minorHAnsi" w:hAnsiTheme="minorHAnsi" w:cstheme="minorHAnsi"/>
          <w:lang w:val="fr-CH"/>
        </w:rPr>
      </w:pPr>
      <w:r w:rsidRPr="00D64AA0">
        <w:rPr>
          <w:rFonts w:asciiTheme="minorHAnsi" w:hAnsiTheme="minorHAnsi" w:cstheme="minorHAnsi"/>
          <w:lang w:val="fr-CH"/>
        </w:rPr>
        <w:t>16.</w:t>
      </w:r>
      <w:r w:rsidRPr="00D64AA0">
        <w:rPr>
          <w:rFonts w:asciiTheme="minorHAnsi" w:hAnsiTheme="minorHAnsi" w:cstheme="minorHAnsi"/>
          <w:lang w:val="fr-CH"/>
        </w:rPr>
        <w:tab/>
      </w:r>
      <w:r w:rsidR="007117FA">
        <w:rPr>
          <w:rFonts w:asciiTheme="minorHAnsi" w:hAnsiTheme="minorHAnsi" w:cstheme="minorHAnsi"/>
          <w:lang w:val="fr-CH"/>
        </w:rPr>
        <w:t>Après discussion de ce projet de résolution à la 72</w:t>
      </w:r>
      <w:r w:rsidR="007117FA" w:rsidRPr="007117FA">
        <w:rPr>
          <w:rFonts w:asciiTheme="minorHAnsi" w:hAnsiTheme="minorHAnsi" w:cstheme="minorHAnsi"/>
          <w:vertAlign w:val="superscript"/>
          <w:lang w:val="fr-CH"/>
        </w:rPr>
        <w:t>e</w:t>
      </w:r>
      <w:r w:rsidR="007117FA">
        <w:rPr>
          <w:rFonts w:asciiTheme="minorHAnsi" w:hAnsiTheme="minorHAnsi" w:cstheme="minorHAnsi"/>
          <w:lang w:val="fr-CH"/>
        </w:rPr>
        <w:t> session de l’Assemblée générale, le projet a été reporté pour examen à la 73</w:t>
      </w:r>
      <w:r w:rsidR="007117FA" w:rsidRPr="007117FA">
        <w:rPr>
          <w:rFonts w:asciiTheme="minorHAnsi" w:hAnsiTheme="minorHAnsi" w:cstheme="minorHAnsi"/>
          <w:vertAlign w:val="superscript"/>
          <w:lang w:val="fr-CH"/>
        </w:rPr>
        <w:t>e</w:t>
      </w:r>
      <w:r w:rsidR="007117FA">
        <w:rPr>
          <w:rFonts w:asciiTheme="minorHAnsi" w:hAnsiTheme="minorHAnsi" w:cstheme="minorHAnsi"/>
          <w:lang w:val="fr-CH"/>
        </w:rPr>
        <w:t> session. À la 74</w:t>
      </w:r>
      <w:r w:rsidR="007117FA" w:rsidRPr="007117FA">
        <w:rPr>
          <w:rFonts w:asciiTheme="minorHAnsi" w:hAnsiTheme="minorHAnsi" w:cstheme="minorHAnsi"/>
          <w:vertAlign w:val="superscript"/>
          <w:lang w:val="fr-CH"/>
        </w:rPr>
        <w:t>e</w:t>
      </w:r>
      <w:r w:rsidR="007117FA">
        <w:rPr>
          <w:rFonts w:asciiTheme="minorHAnsi" w:hAnsiTheme="minorHAnsi" w:cstheme="minorHAnsi"/>
          <w:lang w:val="fr-CH"/>
        </w:rPr>
        <w:t xml:space="preserve"> et à la 75</w:t>
      </w:r>
      <w:r w:rsidR="007117FA" w:rsidRPr="007117FA">
        <w:rPr>
          <w:rFonts w:asciiTheme="minorHAnsi" w:hAnsiTheme="minorHAnsi" w:cstheme="minorHAnsi"/>
          <w:vertAlign w:val="superscript"/>
          <w:lang w:val="fr-CH"/>
        </w:rPr>
        <w:t>e</w:t>
      </w:r>
      <w:r w:rsidR="007117FA">
        <w:rPr>
          <w:rFonts w:asciiTheme="minorHAnsi" w:hAnsiTheme="minorHAnsi" w:cstheme="minorHAnsi"/>
          <w:lang w:val="fr-CH"/>
        </w:rPr>
        <w:t> session, le sujet a de nouveau été reporté car il n’y avait pas encore de consensus. Cette option doit être poursuivie.</w:t>
      </w:r>
      <w:r w:rsidR="007935A5" w:rsidRPr="00D64AA0">
        <w:rPr>
          <w:rFonts w:asciiTheme="minorHAnsi" w:hAnsiTheme="minorHAnsi" w:cstheme="minorHAnsi"/>
          <w:lang w:val="fr-CH"/>
        </w:rPr>
        <w:t xml:space="preserve"> </w:t>
      </w:r>
    </w:p>
    <w:p w14:paraId="05686C2F" w14:textId="77777777" w:rsidR="006238ED" w:rsidRPr="00D64AA0" w:rsidRDefault="006238ED" w:rsidP="00166ADC">
      <w:pPr>
        <w:spacing w:after="0" w:line="240" w:lineRule="auto"/>
        <w:ind w:left="284"/>
        <w:rPr>
          <w:rFonts w:cstheme="minorHAnsi"/>
          <w:lang w:val="fr-CH"/>
        </w:rPr>
      </w:pPr>
    </w:p>
    <w:p w14:paraId="120AFF33" w14:textId="035A8250" w:rsidR="004715F2" w:rsidRPr="00D64AA0" w:rsidRDefault="007117FA" w:rsidP="00166ADC">
      <w:pPr>
        <w:pStyle w:val="Default"/>
        <w:tabs>
          <w:tab w:val="left" w:pos="284"/>
        </w:tabs>
        <w:rPr>
          <w:rFonts w:asciiTheme="minorHAnsi" w:hAnsiTheme="minorHAnsi" w:cstheme="minorHAnsi"/>
          <w:sz w:val="22"/>
          <w:szCs w:val="22"/>
          <w:u w:val="single"/>
          <w:lang w:val="fr-CH"/>
        </w:rPr>
      </w:pPr>
      <w:r>
        <w:rPr>
          <w:rFonts w:asciiTheme="minorHAnsi" w:hAnsiTheme="minorHAnsi" w:cstheme="minorHAnsi"/>
          <w:sz w:val="22"/>
          <w:szCs w:val="22"/>
          <w:u w:val="single"/>
          <w:lang w:val="fr-CH" w:eastAsia="zh-CN"/>
        </w:rPr>
        <w:t xml:space="preserve">Demande de statut d’observateur auprès du Conseil économique et social (ECOSOC) </w:t>
      </w:r>
    </w:p>
    <w:p w14:paraId="4AECFCE0" w14:textId="77777777" w:rsidR="006238ED" w:rsidRPr="00D64AA0" w:rsidRDefault="006238ED" w:rsidP="00166ADC">
      <w:pPr>
        <w:pStyle w:val="Default"/>
        <w:tabs>
          <w:tab w:val="left" w:pos="284"/>
        </w:tabs>
        <w:rPr>
          <w:rFonts w:asciiTheme="minorHAnsi" w:hAnsiTheme="minorHAnsi" w:cstheme="minorHAnsi"/>
          <w:sz w:val="22"/>
          <w:szCs w:val="22"/>
          <w:highlight w:val="yellow"/>
          <w:lang w:val="fr-CH"/>
        </w:rPr>
      </w:pPr>
    </w:p>
    <w:p w14:paraId="00AE03CE" w14:textId="66024B0F" w:rsidR="006238ED" w:rsidRPr="00D64AA0" w:rsidRDefault="00166ADC" w:rsidP="00166ADC">
      <w:pPr>
        <w:pStyle w:val="Default"/>
        <w:ind w:left="426" w:hanging="426"/>
        <w:rPr>
          <w:rFonts w:asciiTheme="minorHAnsi" w:hAnsiTheme="minorHAnsi" w:cstheme="minorHAnsi"/>
          <w:sz w:val="22"/>
          <w:szCs w:val="22"/>
          <w:highlight w:val="yellow"/>
          <w:lang w:val="fr-CH"/>
        </w:rPr>
      </w:pPr>
      <w:r w:rsidRPr="00D64AA0">
        <w:rPr>
          <w:rFonts w:asciiTheme="minorHAnsi" w:hAnsiTheme="minorHAnsi" w:cstheme="minorHAnsi"/>
          <w:sz w:val="22"/>
          <w:szCs w:val="22"/>
          <w:lang w:val="fr-CH"/>
        </w:rPr>
        <w:t>17.</w:t>
      </w:r>
      <w:r w:rsidRPr="00D64AA0">
        <w:rPr>
          <w:rFonts w:asciiTheme="minorHAnsi" w:hAnsiTheme="minorHAnsi" w:cstheme="minorHAnsi"/>
          <w:sz w:val="22"/>
          <w:szCs w:val="22"/>
          <w:lang w:val="fr-CH"/>
        </w:rPr>
        <w:tab/>
      </w:r>
      <w:r w:rsidR="00A5060B">
        <w:rPr>
          <w:rFonts w:asciiTheme="minorHAnsi" w:hAnsiTheme="minorHAnsi" w:cstheme="minorHAnsi"/>
          <w:sz w:val="22"/>
          <w:szCs w:val="22"/>
          <w:lang w:val="fr-CH"/>
        </w:rPr>
        <w:t>Des consultations informelles entre les Parties contractantes et les membres de l’ECOSOC, et entre le Secrétariat et l’ECOSOC, indiquent qu’il serait difficile de faire progresser la demande de statut d’observateur auprès du Conseil car il y a déjà une demande de statut d’observateur auprès de l’Assemblée générale des Nations Unies. Cette option nécessite aussi d’être suivie.</w:t>
      </w:r>
      <w:r w:rsidR="007935A5" w:rsidRPr="00D64AA0">
        <w:rPr>
          <w:rFonts w:asciiTheme="minorHAnsi" w:hAnsiTheme="minorHAnsi" w:cstheme="minorHAnsi"/>
          <w:sz w:val="22"/>
          <w:szCs w:val="22"/>
          <w:lang w:val="fr-CH"/>
        </w:rPr>
        <w:t xml:space="preserve">    </w:t>
      </w:r>
    </w:p>
    <w:p w14:paraId="2ED4B4ED" w14:textId="77777777" w:rsidR="004715F2" w:rsidRPr="00D64AA0" w:rsidRDefault="004715F2" w:rsidP="00166ADC">
      <w:pPr>
        <w:pStyle w:val="Default"/>
        <w:rPr>
          <w:rFonts w:asciiTheme="minorHAnsi" w:hAnsiTheme="minorHAnsi" w:cstheme="minorHAnsi"/>
          <w:sz w:val="22"/>
          <w:szCs w:val="22"/>
          <w:lang w:val="fr-CH"/>
        </w:rPr>
      </w:pPr>
    </w:p>
    <w:p w14:paraId="312DBFB1" w14:textId="16FE8888" w:rsidR="004715F2" w:rsidRPr="00D64AA0" w:rsidRDefault="00A5060B" w:rsidP="00166ADC">
      <w:pPr>
        <w:pStyle w:val="Default"/>
        <w:tabs>
          <w:tab w:val="left" w:pos="142"/>
        </w:tabs>
        <w:rPr>
          <w:rFonts w:asciiTheme="minorHAnsi" w:hAnsiTheme="minorHAnsi" w:cstheme="minorHAnsi"/>
          <w:sz w:val="22"/>
          <w:szCs w:val="22"/>
          <w:u w:val="single"/>
          <w:lang w:val="fr-CH" w:eastAsia="zh-CN"/>
        </w:rPr>
      </w:pPr>
      <w:r>
        <w:rPr>
          <w:rFonts w:asciiTheme="minorHAnsi" w:hAnsiTheme="minorHAnsi" w:cstheme="minorHAnsi"/>
          <w:sz w:val="22"/>
          <w:szCs w:val="22"/>
          <w:u w:val="single"/>
          <w:lang w:val="fr-CH" w:eastAsia="zh-CN"/>
        </w:rPr>
        <w:t>Le processus d’examen</w:t>
      </w:r>
      <w:r w:rsidR="00B979A9">
        <w:rPr>
          <w:rFonts w:asciiTheme="minorHAnsi" w:hAnsiTheme="minorHAnsi" w:cstheme="minorHAnsi"/>
          <w:sz w:val="22"/>
          <w:szCs w:val="22"/>
          <w:u w:val="single"/>
          <w:lang w:val="fr-CH" w:eastAsia="zh-CN"/>
        </w:rPr>
        <w:t>s</w:t>
      </w:r>
      <w:r>
        <w:rPr>
          <w:rFonts w:asciiTheme="minorHAnsi" w:hAnsiTheme="minorHAnsi" w:cstheme="minorHAnsi"/>
          <w:sz w:val="22"/>
          <w:szCs w:val="22"/>
          <w:u w:val="single"/>
          <w:lang w:val="fr-CH" w:eastAsia="zh-CN"/>
        </w:rPr>
        <w:t xml:space="preserve"> du Forum politique de haut niveau </w:t>
      </w:r>
      <w:r w:rsidR="00B979A9">
        <w:rPr>
          <w:rFonts w:asciiTheme="minorHAnsi" w:hAnsiTheme="minorHAnsi" w:cstheme="minorHAnsi"/>
          <w:sz w:val="22"/>
          <w:szCs w:val="22"/>
          <w:u w:val="single"/>
          <w:lang w:val="fr-CH" w:eastAsia="zh-CN"/>
        </w:rPr>
        <w:t>po</w:t>
      </w:r>
      <w:r>
        <w:rPr>
          <w:rFonts w:asciiTheme="minorHAnsi" w:hAnsiTheme="minorHAnsi" w:cstheme="minorHAnsi"/>
          <w:sz w:val="22"/>
          <w:szCs w:val="22"/>
          <w:u w:val="single"/>
          <w:lang w:val="fr-CH" w:eastAsia="zh-CN"/>
        </w:rPr>
        <w:t xml:space="preserve">ur le développement durable </w:t>
      </w:r>
    </w:p>
    <w:p w14:paraId="431FB53E" w14:textId="77777777" w:rsidR="00FE539C" w:rsidRPr="00D64AA0" w:rsidRDefault="00FE539C" w:rsidP="00166ADC">
      <w:pPr>
        <w:pStyle w:val="Default"/>
        <w:tabs>
          <w:tab w:val="left" w:pos="142"/>
        </w:tabs>
        <w:rPr>
          <w:rFonts w:asciiTheme="minorHAnsi" w:hAnsiTheme="minorHAnsi" w:cstheme="minorHAnsi"/>
          <w:sz w:val="22"/>
          <w:szCs w:val="22"/>
          <w:highlight w:val="yellow"/>
          <w:lang w:val="fr-CH" w:eastAsia="zh-CN"/>
        </w:rPr>
      </w:pPr>
    </w:p>
    <w:p w14:paraId="3278D5BE" w14:textId="02255E8A" w:rsidR="00DE4B12" w:rsidRPr="00D64AA0" w:rsidRDefault="00166ADC" w:rsidP="003C3A70">
      <w:pPr>
        <w:pStyle w:val="Default"/>
        <w:ind w:left="426" w:hanging="426"/>
        <w:rPr>
          <w:rFonts w:asciiTheme="minorHAnsi" w:hAnsiTheme="minorHAnsi" w:cstheme="minorHAnsi"/>
          <w:b/>
          <w:sz w:val="22"/>
          <w:szCs w:val="22"/>
          <w:lang w:val="fr-CH"/>
        </w:rPr>
      </w:pPr>
      <w:r w:rsidRPr="00D64AA0">
        <w:rPr>
          <w:rFonts w:asciiTheme="minorHAnsi" w:hAnsiTheme="minorHAnsi" w:cstheme="minorHAnsi"/>
          <w:color w:val="333333"/>
          <w:sz w:val="22"/>
          <w:szCs w:val="22"/>
          <w:shd w:val="clear" w:color="auto" w:fill="FFFFFF"/>
          <w:lang w:val="fr-CH"/>
        </w:rPr>
        <w:t>18.</w:t>
      </w:r>
      <w:r w:rsidRPr="00D64AA0">
        <w:rPr>
          <w:rFonts w:asciiTheme="minorHAnsi" w:hAnsiTheme="minorHAnsi" w:cstheme="minorHAnsi"/>
          <w:color w:val="333333"/>
          <w:sz w:val="22"/>
          <w:szCs w:val="22"/>
          <w:shd w:val="clear" w:color="auto" w:fill="FFFFFF"/>
          <w:lang w:val="fr-CH"/>
        </w:rPr>
        <w:tab/>
      </w:r>
      <w:r w:rsidR="0098705F">
        <w:rPr>
          <w:rFonts w:asciiTheme="minorHAnsi" w:hAnsiTheme="minorHAnsi" w:cstheme="minorHAnsi"/>
          <w:color w:val="333333"/>
          <w:sz w:val="22"/>
          <w:szCs w:val="22"/>
          <w:shd w:val="clear" w:color="auto" w:fill="FFFFFF"/>
          <w:lang w:val="fr-CH"/>
        </w:rPr>
        <w:t xml:space="preserve">Le 25 juin 2021, l’Assemblée générale a adopté la résolution </w:t>
      </w:r>
      <w:r w:rsidR="00FE539C" w:rsidRPr="00D64AA0">
        <w:rPr>
          <w:rStyle w:val="Strong"/>
          <w:rFonts w:asciiTheme="minorHAnsi" w:hAnsiTheme="minorHAnsi" w:cstheme="minorHAnsi"/>
          <w:b w:val="0"/>
          <w:color w:val="333333"/>
          <w:sz w:val="22"/>
          <w:szCs w:val="22"/>
          <w:shd w:val="clear" w:color="auto" w:fill="FFFFFF"/>
          <w:lang w:val="fr-CH"/>
        </w:rPr>
        <w:t>75/290</w:t>
      </w:r>
      <w:r w:rsidR="0098705F">
        <w:rPr>
          <w:rFonts w:asciiTheme="minorHAnsi" w:hAnsiTheme="minorHAnsi" w:cstheme="minorHAnsi"/>
          <w:b/>
          <w:color w:val="333333"/>
          <w:sz w:val="22"/>
          <w:szCs w:val="22"/>
          <w:shd w:val="clear" w:color="auto" w:fill="FFFFFF"/>
          <w:lang w:val="fr-CH"/>
        </w:rPr>
        <w:t> </w:t>
      </w:r>
      <w:r w:rsidR="00FE539C" w:rsidRPr="00D64AA0">
        <w:rPr>
          <w:rStyle w:val="Strong"/>
          <w:rFonts w:asciiTheme="minorHAnsi" w:hAnsiTheme="minorHAnsi" w:cstheme="minorHAnsi"/>
          <w:b w:val="0"/>
          <w:color w:val="333333"/>
          <w:sz w:val="22"/>
          <w:szCs w:val="22"/>
          <w:shd w:val="clear" w:color="auto" w:fill="FFFFFF"/>
          <w:lang w:val="fr-CH"/>
        </w:rPr>
        <w:t>A</w:t>
      </w:r>
      <w:r w:rsidR="00FE539C" w:rsidRPr="00D64AA0">
        <w:rPr>
          <w:rFonts w:asciiTheme="minorHAnsi" w:hAnsiTheme="minorHAnsi" w:cstheme="minorHAnsi"/>
          <w:color w:val="333333"/>
          <w:sz w:val="22"/>
          <w:szCs w:val="22"/>
          <w:shd w:val="clear" w:color="auto" w:fill="FFFFFF"/>
          <w:lang w:val="fr-CH"/>
        </w:rPr>
        <w:t> </w:t>
      </w:r>
      <w:r w:rsidR="003C3A70" w:rsidRPr="00351D01">
        <w:rPr>
          <w:rFonts w:asciiTheme="minorHAnsi" w:hAnsiTheme="minorHAnsi" w:cstheme="minorHAnsi"/>
          <w:color w:val="333333"/>
          <w:sz w:val="22"/>
          <w:szCs w:val="22"/>
          <w:shd w:val="clear" w:color="auto" w:fill="FFFFFF"/>
          <w:lang w:val="fr-CH"/>
        </w:rPr>
        <w:t>(</w:t>
      </w:r>
      <w:r w:rsidR="0098705F" w:rsidRPr="00351D01">
        <w:rPr>
          <w:rFonts w:asciiTheme="minorHAnsi" w:hAnsiTheme="minorHAnsi" w:cstheme="minorHAnsi"/>
          <w:color w:val="333333"/>
          <w:sz w:val="22"/>
          <w:szCs w:val="22"/>
          <w:shd w:val="clear" w:color="auto" w:fill="FFFFFF"/>
          <w:lang w:val="fr-CH"/>
        </w:rPr>
        <w:t>sur</w:t>
      </w:r>
      <w:r w:rsidR="002F277F" w:rsidRPr="00351D01">
        <w:rPr>
          <w:rFonts w:asciiTheme="minorHAnsi" w:hAnsiTheme="minorHAnsi" w:cstheme="minorHAnsi"/>
          <w:color w:val="333333"/>
          <w:sz w:val="22"/>
          <w:szCs w:val="22"/>
          <w:shd w:val="clear" w:color="auto" w:fill="FFFFFF"/>
          <w:lang w:val="fr-CH"/>
        </w:rPr>
        <w:t xml:space="preserve"> l’</w:t>
      </w:r>
      <w:r w:rsidR="002F277F" w:rsidRPr="00351D01">
        <w:rPr>
          <w:rFonts w:asciiTheme="minorHAnsi" w:hAnsiTheme="minorHAnsi" w:cstheme="minorHAnsi"/>
          <w:i/>
          <w:iCs/>
          <w:color w:val="333333"/>
          <w:sz w:val="22"/>
          <w:szCs w:val="22"/>
          <w:shd w:val="clear" w:color="auto" w:fill="FFFFFF"/>
          <w:lang w:val="fr-CH"/>
        </w:rPr>
        <w:t>Examen de l'application de la résolution 72/305 de l'Assemblée générale sur le renforcement du Conseil économique et social</w:t>
      </w:r>
      <w:r w:rsidR="003C3A70" w:rsidRPr="00351D01">
        <w:rPr>
          <w:rFonts w:asciiTheme="minorHAnsi" w:hAnsiTheme="minorHAnsi" w:cstheme="minorHAnsi"/>
          <w:color w:val="333333"/>
          <w:sz w:val="22"/>
          <w:szCs w:val="22"/>
          <w:shd w:val="clear" w:color="auto" w:fill="FFFFFF"/>
          <w:lang w:val="fr-CH"/>
        </w:rPr>
        <w:t>)</w:t>
      </w:r>
      <w:r w:rsidR="006B1CF4" w:rsidRPr="00351D01">
        <w:rPr>
          <w:rFonts w:asciiTheme="minorHAnsi" w:hAnsiTheme="minorHAnsi" w:cstheme="minorHAnsi"/>
          <w:i/>
          <w:color w:val="333333"/>
          <w:sz w:val="22"/>
          <w:szCs w:val="22"/>
          <w:shd w:val="clear" w:color="auto" w:fill="FFFFFF"/>
          <w:lang w:val="fr-CH"/>
        </w:rPr>
        <w:t xml:space="preserve"> </w:t>
      </w:r>
      <w:r w:rsidR="0098705F" w:rsidRPr="00351D01">
        <w:rPr>
          <w:rFonts w:asciiTheme="minorHAnsi" w:hAnsiTheme="minorHAnsi" w:cstheme="minorHAnsi"/>
          <w:color w:val="333333"/>
          <w:sz w:val="22"/>
          <w:szCs w:val="22"/>
          <w:shd w:val="clear" w:color="auto" w:fill="FFFFFF"/>
          <w:lang w:val="fr-CH"/>
        </w:rPr>
        <w:t>et la résolution</w:t>
      </w:r>
      <w:r w:rsidR="0098705F" w:rsidRPr="00351D01">
        <w:rPr>
          <w:rStyle w:val="Strong"/>
          <w:rFonts w:asciiTheme="minorHAnsi" w:hAnsiTheme="minorHAnsi" w:cstheme="minorHAnsi"/>
          <w:b w:val="0"/>
          <w:color w:val="333333"/>
          <w:sz w:val="22"/>
          <w:szCs w:val="22"/>
          <w:shd w:val="clear" w:color="auto" w:fill="FFFFFF"/>
          <w:lang w:val="fr-CH"/>
        </w:rPr>
        <w:t xml:space="preserve"> 75/290 </w:t>
      </w:r>
      <w:r w:rsidR="00FE539C" w:rsidRPr="00351D01">
        <w:rPr>
          <w:rStyle w:val="Strong"/>
          <w:rFonts w:asciiTheme="minorHAnsi" w:hAnsiTheme="minorHAnsi" w:cstheme="minorHAnsi"/>
          <w:b w:val="0"/>
          <w:color w:val="333333"/>
          <w:sz w:val="22"/>
          <w:szCs w:val="22"/>
          <w:shd w:val="clear" w:color="auto" w:fill="FFFFFF"/>
          <w:lang w:val="fr-CH"/>
        </w:rPr>
        <w:t>B</w:t>
      </w:r>
      <w:r w:rsidR="00FE539C" w:rsidRPr="00351D01">
        <w:rPr>
          <w:rFonts w:asciiTheme="minorHAnsi" w:hAnsiTheme="minorHAnsi" w:cstheme="minorHAnsi"/>
          <w:color w:val="333333"/>
          <w:sz w:val="22"/>
          <w:szCs w:val="22"/>
          <w:shd w:val="clear" w:color="auto" w:fill="FFFFFF"/>
          <w:lang w:val="fr-CH"/>
        </w:rPr>
        <w:t> </w:t>
      </w:r>
      <w:r w:rsidR="003C3A70" w:rsidRPr="00351D01">
        <w:rPr>
          <w:rFonts w:asciiTheme="minorHAnsi" w:hAnsiTheme="minorHAnsi" w:cstheme="minorHAnsi"/>
          <w:color w:val="333333"/>
          <w:sz w:val="22"/>
          <w:szCs w:val="22"/>
          <w:shd w:val="clear" w:color="auto" w:fill="FFFFFF"/>
          <w:lang w:val="fr-CH"/>
        </w:rPr>
        <w:t>(</w:t>
      </w:r>
      <w:r w:rsidR="0098705F" w:rsidRPr="00351D01">
        <w:rPr>
          <w:rFonts w:asciiTheme="minorHAnsi" w:hAnsiTheme="minorHAnsi" w:cstheme="minorHAnsi"/>
          <w:color w:val="333333"/>
          <w:sz w:val="22"/>
          <w:szCs w:val="22"/>
          <w:shd w:val="clear" w:color="auto" w:fill="FFFFFF"/>
          <w:lang w:val="fr-CH"/>
        </w:rPr>
        <w:t>sur</w:t>
      </w:r>
      <w:r w:rsidR="00351D01" w:rsidRPr="00351D01">
        <w:rPr>
          <w:rFonts w:asciiTheme="minorHAnsi" w:hAnsiTheme="minorHAnsi" w:cstheme="minorHAnsi"/>
          <w:color w:val="333333"/>
          <w:sz w:val="22"/>
          <w:szCs w:val="22"/>
          <w:shd w:val="clear" w:color="auto" w:fill="FFFFFF"/>
          <w:lang w:val="fr-CH"/>
        </w:rPr>
        <w:t xml:space="preserve"> l’</w:t>
      </w:r>
      <w:r w:rsidR="00351D01" w:rsidRPr="00351D01">
        <w:rPr>
          <w:rFonts w:asciiTheme="minorHAnsi" w:hAnsiTheme="minorHAnsi" w:cstheme="minorHAnsi"/>
          <w:i/>
          <w:iCs/>
          <w:color w:val="333333"/>
          <w:sz w:val="22"/>
          <w:szCs w:val="22"/>
          <w:shd w:val="clear" w:color="auto" w:fill="FFFFFF"/>
          <w:lang w:val="fr-CH"/>
        </w:rPr>
        <w:t>Examen de l'application de la résolution 67/290 de l'Assemblée générale sur la structure et les modalités de fonctionnement du forum politique de haut niveau pour le développement durable et de sa résolution 70/299 sur le suivi et l'examen de la mise en œuvre du Programme de développement durable à l'horizon 2030 au niveau mondial</w:t>
      </w:r>
      <w:r w:rsidR="003C3A70" w:rsidRPr="00351D01">
        <w:rPr>
          <w:rFonts w:asciiTheme="minorHAnsi" w:hAnsiTheme="minorHAnsi" w:cstheme="minorHAnsi"/>
          <w:color w:val="333333"/>
          <w:sz w:val="22"/>
          <w:szCs w:val="22"/>
          <w:shd w:val="clear" w:color="auto" w:fill="FFFFFF"/>
          <w:lang w:val="fr-CH"/>
        </w:rPr>
        <w:t>)</w:t>
      </w:r>
      <w:r w:rsidR="00FE539C" w:rsidRPr="00351D01">
        <w:rPr>
          <w:rFonts w:asciiTheme="minorHAnsi" w:hAnsiTheme="minorHAnsi" w:cstheme="minorHAnsi"/>
          <w:color w:val="333333"/>
          <w:sz w:val="22"/>
          <w:szCs w:val="22"/>
          <w:shd w:val="clear" w:color="auto" w:fill="FFFFFF"/>
          <w:lang w:val="fr-CH"/>
        </w:rPr>
        <w:t>.</w:t>
      </w:r>
      <w:r w:rsidR="0098705F" w:rsidRPr="00351D01">
        <w:rPr>
          <w:rFonts w:asciiTheme="minorHAnsi" w:hAnsiTheme="minorHAnsi" w:cstheme="minorHAnsi"/>
          <w:color w:val="333333"/>
          <w:sz w:val="22"/>
          <w:szCs w:val="22"/>
          <w:shd w:val="clear" w:color="auto" w:fill="FFFFFF"/>
          <w:lang w:val="fr-CH"/>
        </w:rPr>
        <w:t xml:space="preserve"> À cet égard, l’engagement de la société civile et de</w:t>
      </w:r>
      <w:r w:rsidR="0098705F">
        <w:rPr>
          <w:rFonts w:asciiTheme="minorHAnsi" w:hAnsiTheme="minorHAnsi" w:cstheme="minorHAnsi"/>
          <w:color w:val="333333"/>
          <w:sz w:val="22"/>
          <w:szCs w:val="22"/>
          <w:shd w:val="clear" w:color="auto" w:fill="FFFFFF"/>
          <w:lang w:val="fr-CH"/>
        </w:rPr>
        <w:t xml:space="preserve"> plusieurs acteurs du Conseil économique et social devrait être poursuivi conformément aux paragraphes </w:t>
      </w:r>
      <w:r w:rsidR="0032193E" w:rsidRPr="00D64AA0">
        <w:rPr>
          <w:rFonts w:asciiTheme="minorHAnsi" w:hAnsiTheme="minorHAnsi" w:cstheme="minorHAnsi"/>
          <w:sz w:val="22"/>
          <w:szCs w:val="22"/>
          <w:lang w:val="fr-CH"/>
        </w:rPr>
        <w:t xml:space="preserve">19, 20 </w:t>
      </w:r>
      <w:r w:rsidR="0098705F">
        <w:rPr>
          <w:rFonts w:asciiTheme="minorHAnsi" w:hAnsiTheme="minorHAnsi" w:cstheme="minorHAnsi"/>
          <w:sz w:val="22"/>
          <w:szCs w:val="22"/>
          <w:lang w:val="fr-CH"/>
        </w:rPr>
        <w:t>et </w:t>
      </w:r>
      <w:r w:rsidR="0032193E" w:rsidRPr="00D64AA0">
        <w:rPr>
          <w:rFonts w:asciiTheme="minorHAnsi" w:hAnsiTheme="minorHAnsi" w:cstheme="minorHAnsi"/>
          <w:sz w:val="22"/>
          <w:szCs w:val="22"/>
          <w:lang w:val="fr-CH"/>
        </w:rPr>
        <w:t xml:space="preserve">21 </w:t>
      </w:r>
      <w:r w:rsidR="0098705F">
        <w:rPr>
          <w:rFonts w:asciiTheme="minorHAnsi" w:hAnsiTheme="minorHAnsi" w:cstheme="minorHAnsi"/>
          <w:sz w:val="22"/>
          <w:szCs w:val="22"/>
          <w:lang w:val="fr-CH"/>
        </w:rPr>
        <w:t xml:space="preserve">de l’annexe à la résolution </w:t>
      </w:r>
      <w:r w:rsidR="0032193E" w:rsidRPr="00D64AA0">
        <w:rPr>
          <w:rFonts w:asciiTheme="minorHAnsi" w:hAnsiTheme="minorHAnsi" w:cstheme="minorHAnsi"/>
          <w:color w:val="auto"/>
          <w:sz w:val="22"/>
          <w:szCs w:val="22"/>
          <w:lang w:val="fr-CH"/>
        </w:rPr>
        <w:t>72/305</w:t>
      </w:r>
      <w:r w:rsidR="00865C88" w:rsidRPr="00D64AA0">
        <w:rPr>
          <w:rFonts w:asciiTheme="minorHAnsi" w:hAnsiTheme="minorHAnsi" w:cstheme="minorHAnsi"/>
          <w:color w:val="auto"/>
          <w:sz w:val="22"/>
          <w:szCs w:val="22"/>
          <w:lang w:val="fr-CH"/>
        </w:rPr>
        <w:t xml:space="preserve"> </w:t>
      </w:r>
      <w:r w:rsidR="0098705F">
        <w:rPr>
          <w:rFonts w:asciiTheme="minorHAnsi" w:hAnsiTheme="minorHAnsi" w:cstheme="minorHAnsi"/>
          <w:color w:val="auto"/>
          <w:sz w:val="22"/>
          <w:szCs w:val="22"/>
          <w:lang w:val="fr-CH"/>
        </w:rPr>
        <w:t xml:space="preserve">de l’Assemblée générale et conformément aux dispositions des règlements intérieurs respectifs et aux dispositions des résolutions </w:t>
      </w:r>
      <w:r w:rsidR="00DE4B12" w:rsidRPr="00D64AA0">
        <w:rPr>
          <w:rFonts w:asciiTheme="minorHAnsi" w:hAnsiTheme="minorHAnsi" w:cstheme="minorHAnsi"/>
          <w:color w:val="auto"/>
          <w:sz w:val="22"/>
          <w:szCs w:val="22"/>
          <w:lang w:val="fr-CH"/>
        </w:rPr>
        <w:t xml:space="preserve">67/290 </w:t>
      </w:r>
      <w:r w:rsidR="0098705F">
        <w:rPr>
          <w:rFonts w:asciiTheme="minorHAnsi" w:hAnsiTheme="minorHAnsi" w:cstheme="minorHAnsi"/>
          <w:sz w:val="22"/>
          <w:szCs w:val="22"/>
          <w:lang w:val="fr-CH"/>
        </w:rPr>
        <w:t>et</w:t>
      </w:r>
      <w:r w:rsidR="00DE4B12" w:rsidRPr="00D64AA0">
        <w:rPr>
          <w:rFonts w:asciiTheme="minorHAnsi" w:hAnsiTheme="minorHAnsi" w:cstheme="minorHAnsi"/>
          <w:sz w:val="22"/>
          <w:szCs w:val="22"/>
          <w:lang w:val="fr-CH"/>
        </w:rPr>
        <w:t xml:space="preserve"> </w:t>
      </w:r>
      <w:r w:rsidR="00DE4B12" w:rsidRPr="00D64AA0">
        <w:rPr>
          <w:rFonts w:asciiTheme="minorHAnsi" w:hAnsiTheme="minorHAnsi" w:cstheme="minorHAnsi"/>
          <w:color w:val="auto"/>
          <w:sz w:val="22"/>
          <w:szCs w:val="22"/>
          <w:lang w:val="fr-CH"/>
        </w:rPr>
        <w:t>72/305</w:t>
      </w:r>
      <w:r w:rsidR="0098705F">
        <w:rPr>
          <w:rFonts w:asciiTheme="minorHAnsi" w:hAnsiTheme="minorHAnsi" w:cstheme="minorHAnsi"/>
          <w:color w:val="auto"/>
          <w:sz w:val="22"/>
          <w:szCs w:val="22"/>
          <w:lang w:val="fr-CH"/>
        </w:rPr>
        <w:t xml:space="preserve"> de l’Assemblée générale</w:t>
      </w:r>
      <w:r w:rsidR="00DE4B12" w:rsidRPr="00D64AA0">
        <w:rPr>
          <w:rFonts w:asciiTheme="minorHAnsi" w:hAnsiTheme="minorHAnsi" w:cstheme="minorHAnsi"/>
          <w:sz w:val="22"/>
          <w:szCs w:val="22"/>
          <w:lang w:val="fr-CH"/>
        </w:rPr>
        <w:t xml:space="preserve">. </w:t>
      </w:r>
      <w:r w:rsidR="0098705F">
        <w:rPr>
          <w:rFonts w:asciiTheme="minorHAnsi" w:hAnsiTheme="minorHAnsi" w:cstheme="minorHAnsi"/>
          <w:sz w:val="22"/>
          <w:szCs w:val="22"/>
          <w:lang w:val="fr-CH"/>
        </w:rPr>
        <w:t xml:space="preserve">Cet examen ne change rien aux limitations actuelles qui empêchent le Secrétariat de participer en tant qu’observateur </w:t>
      </w:r>
      <w:r w:rsidR="006D7525">
        <w:rPr>
          <w:rFonts w:asciiTheme="minorHAnsi" w:hAnsiTheme="minorHAnsi" w:cstheme="minorHAnsi"/>
          <w:sz w:val="22"/>
          <w:szCs w:val="22"/>
          <w:lang w:val="fr-CH"/>
        </w:rPr>
        <w:t>au</w:t>
      </w:r>
      <w:r w:rsidR="00B979A9">
        <w:rPr>
          <w:rFonts w:asciiTheme="minorHAnsi" w:hAnsiTheme="minorHAnsi" w:cstheme="minorHAnsi"/>
          <w:sz w:val="22"/>
          <w:szCs w:val="22"/>
          <w:lang w:val="fr-CH"/>
        </w:rPr>
        <w:t>près du</w:t>
      </w:r>
      <w:r w:rsidR="006D7525">
        <w:rPr>
          <w:rFonts w:asciiTheme="minorHAnsi" w:hAnsiTheme="minorHAnsi" w:cstheme="minorHAnsi"/>
          <w:sz w:val="22"/>
          <w:szCs w:val="22"/>
          <w:lang w:val="fr-CH"/>
        </w:rPr>
        <w:t xml:space="preserve"> </w:t>
      </w:r>
      <w:r w:rsidR="00DE4B12" w:rsidRPr="00D64AA0">
        <w:rPr>
          <w:rFonts w:asciiTheme="minorHAnsi" w:hAnsiTheme="minorHAnsi" w:cstheme="minorHAnsi"/>
          <w:sz w:val="22"/>
          <w:szCs w:val="22"/>
          <w:lang w:val="fr-CH"/>
        </w:rPr>
        <w:t xml:space="preserve">HLPF.   </w:t>
      </w:r>
    </w:p>
    <w:p w14:paraId="60AC9D75" w14:textId="77777777" w:rsidR="00C40712" w:rsidRPr="00D64AA0" w:rsidRDefault="00C40712" w:rsidP="00166ADC">
      <w:pPr>
        <w:spacing w:after="0" w:line="240" w:lineRule="auto"/>
        <w:ind w:left="-284" w:firstLine="142"/>
        <w:rPr>
          <w:rFonts w:cstheme="minorHAnsi"/>
          <w:b/>
          <w:lang w:val="fr-CH"/>
        </w:rPr>
      </w:pPr>
    </w:p>
    <w:p w14:paraId="74DD4115" w14:textId="74C70918" w:rsidR="001738F2" w:rsidRPr="00DC6514" w:rsidRDefault="001738F2" w:rsidP="00454EBC">
      <w:pPr>
        <w:keepNext/>
        <w:spacing w:after="0" w:line="240" w:lineRule="auto"/>
        <w:rPr>
          <w:rFonts w:cstheme="minorHAnsi"/>
          <w:b/>
          <w:lang w:val="fr-FR"/>
        </w:rPr>
      </w:pPr>
      <w:r w:rsidRPr="00DC6514">
        <w:rPr>
          <w:rFonts w:cstheme="minorHAnsi"/>
          <w:b/>
          <w:lang w:val="fr-FR"/>
        </w:rPr>
        <w:t>Recomm</w:t>
      </w:r>
      <w:r w:rsidR="005B4B89" w:rsidRPr="00DC6514">
        <w:rPr>
          <w:rFonts w:cstheme="minorHAnsi"/>
          <w:b/>
          <w:lang w:val="fr-FR"/>
        </w:rPr>
        <w:t>a</w:t>
      </w:r>
      <w:r w:rsidRPr="00DC6514">
        <w:rPr>
          <w:rFonts w:cstheme="minorHAnsi"/>
          <w:b/>
          <w:lang w:val="fr-FR"/>
        </w:rPr>
        <w:t xml:space="preserve">ndations </w:t>
      </w:r>
      <w:r w:rsidR="005B4B89" w:rsidRPr="00DC6514">
        <w:rPr>
          <w:rFonts w:cstheme="minorHAnsi"/>
          <w:b/>
          <w:lang w:val="fr-FR"/>
        </w:rPr>
        <w:t>du Groupe de travail</w:t>
      </w:r>
    </w:p>
    <w:p w14:paraId="4AFC88B7" w14:textId="77777777" w:rsidR="0086715B" w:rsidRPr="00D64AA0" w:rsidRDefault="0086715B" w:rsidP="00166ADC">
      <w:pPr>
        <w:spacing w:after="0" w:line="240" w:lineRule="auto"/>
        <w:ind w:left="-284" w:firstLine="142"/>
        <w:rPr>
          <w:rFonts w:cstheme="minorHAnsi"/>
          <w:b/>
          <w:lang w:val="fr-CH"/>
        </w:rPr>
      </w:pPr>
    </w:p>
    <w:p w14:paraId="1548BDB4" w14:textId="7BA50063" w:rsidR="0086715B" w:rsidRPr="00D64AA0" w:rsidRDefault="00166ADC" w:rsidP="00166ADC">
      <w:pPr>
        <w:pStyle w:val="Default"/>
        <w:ind w:left="426" w:hanging="426"/>
        <w:rPr>
          <w:rFonts w:asciiTheme="minorHAnsi" w:hAnsiTheme="minorHAnsi" w:cstheme="minorHAnsi"/>
          <w:color w:val="333333"/>
          <w:sz w:val="22"/>
          <w:szCs w:val="22"/>
          <w:shd w:val="clear" w:color="auto" w:fill="FFFFFF"/>
          <w:lang w:val="fr-CH"/>
        </w:rPr>
      </w:pPr>
      <w:r w:rsidRPr="00D64AA0">
        <w:rPr>
          <w:rFonts w:asciiTheme="minorHAnsi" w:hAnsiTheme="minorHAnsi" w:cstheme="minorHAnsi"/>
          <w:color w:val="333333"/>
          <w:sz w:val="22"/>
          <w:szCs w:val="22"/>
          <w:shd w:val="clear" w:color="auto" w:fill="FFFFFF"/>
          <w:lang w:val="fr-CH"/>
        </w:rPr>
        <w:t>19.</w:t>
      </w:r>
      <w:r w:rsidRPr="00D64AA0">
        <w:rPr>
          <w:rFonts w:asciiTheme="minorHAnsi" w:hAnsiTheme="minorHAnsi" w:cstheme="minorHAnsi"/>
          <w:color w:val="333333"/>
          <w:sz w:val="22"/>
          <w:szCs w:val="22"/>
          <w:shd w:val="clear" w:color="auto" w:fill="FFFFFF"/>
          <w:lang w:val="fr-CH"/>
        </w:rPr>
        <w:tab/>
      </w:r>
      <w:r w:rsidR="00FC055C">
        <w:rPr>
          <w:rFonts w:asciiTheme="minorHAnsi" w:hAnsiTheme="minorHAnsi" w:cstheme="minorHAnsi"/>
          <w:color w:val="333333"/>
          <w:sz w:val="22"/>
          <w:szCs w:val="22"/>
          <w:shd w:val="clear" w:color="auto" w:fill="FFFFFF"/>
          <w:lang w:val="fr-CH"/>
        </w:rPr>
        <w:t xml:space="preserve">À sa session du 6 mai 2022, le Groupe de travail a discuté des résultats de l’analyse financière et a convenu de </w:t>
      </w:r>
      <w:r w:rsidR="00B979A9">
        <w:rPr>
          <w:rFonts w:asciiTheme="minorHAnsi" w:hAnsiTheme="minorHAnsi" w:cstheme="minorHAnsi"/>
          <w:color w:val="333333"/>
          <w:sz w:val="22"/>
          <w:szCs w:val="22"/>
          <w:shd w:val="clear" w:color="auto" w:fill="FFFFFF"/>
          <w:lang w:val="fr-CH"/>
        </w:rPr>
        <w:t>demander</w:t>
      </w:r>
      <w:r w:rsidR="00FC055C">
        <w:rPr>
          <w:rFonts w:asciiTheme="minorHAnsi" w:hAnsiTheme="minorHAnsi" w:cstheme="minorHAnsi"/>
          <w:color w:val="333333"/>
          <w:sz w:val="22"/>
          <w:szCs w:val="22"/>
          <w:shd w:val="clear" w:color="auto" w:fill="FFFFFF"/>
          <w:lang w:val="fr-CH"/>
        </w:rPr>
        <w:t xml:space="preserve"> des instructions </w:t>
      </w:r>
      <w:r w:rsidR="00B979A9">
        <w:rPr>
          <w:rFonts w:asciiTheme="minorHAnsi" w:hAnsiTheme="minorHAnsi" w:cstheme="minorHAnsi"/>
          <w:color w:val="333333"/>
          <w:sz w:val="22"/>
          <w:szCs w:val="22"/>
          <w:shd w:val="clear" w:color="auto" w:fill="FFFFFF"/>
          <w:lang w:val="fr-CH"/>
        </w:rPr>
        <w:t>à</w:t>
      </w:r>
      <w:r w:rsidR="00FC055C">
        <w:rPr>
          <w:rFonts w:asciiTheme="minorHAnsi" w:hAnsiTheme="minorHAnsi" w:cstheme="minorHAnsi"/>
          <w:color w:val="333333"/>
          <w:sz w:val="22"/>
          <w:szCs w:val="22"/>
          <w:shd w:val="clear" w:color="auto" w:fill="FFFFFF"/>
          <w:lang w:val="fr-CH"/>
        </w:rPr>
        <w:t xml:space="preserve"> la 59</w:t>
      </w:r>
      <w:r w:rsidR="00FC055C" w:rsidRPr="00FC055C">
        <w:rPr>
          <w:rFonts w:asciiTheme="minorHAnsi" w:hAnsiTheme="minorHAnsi" w:cstheme="minorHAnsi"/>
          <w:color w:val="333333"/>
          <w:sz w:val="22"/>
          <w:szCs w:val="22"/>
          <w:shd w:val="clear" w:color="auto" w:fill="FFFFFF"/>
          <w:vertAlign w:val="superscript"/>
          <w:lang w:val="fr-CH"/>
        </w:rPr>
        <w:t>e</w:t>
      </w:r>
      <w:r w:rsidR="00FC055C">
        <w:rPr>
          <w:rFonts w:asciiTheme="minorHAnsi" w:hAnsiTheme="minorHAnsi" w:cstheme="minorHAnsi"/>
          <w:color w:val="333333"/>
          <w:sz w:val="22"/>
          <w:szCs w:val="22"/>
          <w:shd w:val="clear" w:color="auto" w:fill="FFFFFF"/>
          <w:lang w:val="fr-CH"/>
        </w:rPr>
        <w:t xml:space="preserve"> Réunion du Comité permanent lors de sa reprise de séance sur la voie à suivre, en tenant compte des résultats de l’analyse financière et juridique, et a convenu que les deux rapports fournissent des informations précieuses pour la poursuite des discussions des différentes options financièrement viables mais que ces discussions devraient avoir lieu dans un groupe </w:t>
      </w:r>
      <w:r w:rsidR="00B979A9">
        <w:rPr>
          <w:rFonts w:asciiTheme="minorHAnsi" w:hAnsiTheme="minorHAnsi" w:cstheme="minorHAnsi"/>
          <w:color w:val="333333"/>
          <w:sz w:val="22"/>
          <w:szCs w:val="22"/>
          <w:shd w:val="clear" w:color="auto" w:fill="FFFFFF"/>
          <w:lang w:val="fr-CH"/>
        </w:rPr>
        <w:t>à la</w:t>
      </w:r>
      <w:r w:rsidR="00FC055C">
        <w:rPr>
          <w:rFonts w:asciiTheme="minorHAnsi" w:hAnsiTheme="minorHAnsi" w:cstheme="minorHAnsi"/>
          <w:color w:val="333333"/>
          <w:sz w:val="22"/>
          <w:szCs w:val="22"/>
          <w:shd w:val="clear" w:color="auto" w:fill="FFFFFF"/>
          <w:lang w:val="fr-CH"/>
        </w:rPr>
        <w:t xml:space="preserve"> représentation régionale équilibrée.</w:t>
      </w:r>
    </w:p>
    <w:sectPr w:rsidR="0086715B" w:rsidRPr="00D64AA0" w:rsidSect="007D79AF">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6EB6" w14:textId="77777777" w:rsidR="008E7B00" w:rsidRDefault="008E7B00" w:rsidP="002805FE">
      <w:pPr>
        <w:spacing w:after="0" w:line="240" w:lineRule="auto"/>
      </w:pPr>
      <w:r>
        <w:separator/>
      </w:r>
    </w:p>
  </w:endnote>
  <w:endnote w:type="continuationSeparator" w:id="0">
    <w:p w14:paraId="123111F0" w14:textId="77777777" w:rsidR="008E7B00" w:rsidRDefault="008E7B00" w:rsidP="0028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2E71" w14:textId="3C480CCA" w:rsidR="007D79AF" w:rsidRPr="007D79AF" w:rsidRDefault="007D79AF">
    <w:pPr>
      <w:pStyle w:val="Footer"/>
      <w:rPr>
        <w:sz w:val="20"/>
        <w:szCs w:val="20"/>
      </w:rPr>
    </w:pPr>
    <w:r w:rsidRPr="007D79AF">
      <w:rPr>
        <w:sz w:val="20"/>
        <w:szCs w:val="20"/>
      </w:rPr>
      <w:t>SC59</w:t>
    </w:r>
    <w:r w:rsidR="00065438">
      <w:rPr>
        <w:sz w:val="20"/>
        <w:szCs w:val="20"/>
      </w:rPr>
      <w:t>/2022</w:t>
    </w:r>
    <w:r w:rsidRPr="007D79AF">
      <w:rPr>
        <w:sz w:val="20"/>
        <w:szCs w:val="20"/>
      </w:rPr>
      <w:t xml:space="preserve"> Doc.14</w:t>
    </w:r>
    <w:r>
      <w:rPr>
        <w:sz w:val="20"/>
        <w:szCs w:val="20"/>
      </w:rPr>
      <w:tab/>
    </w:r>
    <w:r>
      <w:rPr>
        <w:sz w:val="20"/>
        <w:szCs w:val="20"/>
      </w:rPr>
      <w:tab/>
    </w:r>
    <w:r w:rsidRPr="007D79AF">
      <w:rPr>
        <w:sz w:val="20"/>
        <w:szCs w:val="20"/>
      </w:rPr>
      <w:fldChar w:fldCharType="begin"/>
    </w:r>
    <w:r w:rsidRPr="007D79AF">
      <w:rPr>
        <w:sz w:val="20"/>
        <w:szCs w:val="20"/>
      </w:rPr>
      <w:instrText xml:space="preserve"> PAGE   \* MERGEFORMAT </w:instrText>
    </w:r>
    <w:r w:rsidRPr="007D79AF">
      <w:rPr>
        <w:sz w:val="20"/>
        <w:szCs w:val="20"/>
      </w:rPr>
      <w:fldChar w:fldCharType="separate"/>
    </w:r>
    <w:r w:rsidR="00DC6514">
      <w:rPr>
        <w:noProof/>
        <w:sz w:val="20"/>
        <w:szCs w:val="20"/>
      </w:rPr>
      <w:t>3</w:t>
    </w:r>
    <w:r w:rsidRPr="007D79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2052" w14:textId="77777777" w:rsidR="008E7B00" w:rsidRDefault="008E7B00" w:rsidP="002805FE">
      <w:pPr>
        <w:spacing w:after="0" w:line="240" w:lineRule="auto"/>
      </w:pPr>
      <w:r>
        <w:separator/>
      </w:r>
    </w:p>
  </w:footnote>
  <w:footnote w:type="continuationSeparator" w:id="0">
    <w:p w14:paraId="30CBD6CD" w14:textId="77777777" w:rsidR="008E7B00" w:rsidRDefault="008E7B00" w:rsidP="002805FE">
      <w:pPr>
        <w:spacing w:after="0" w:line="240" w:lineRule="auto"/>
      </w:pPr>
      <w:r>
        <w:continuationSeparator/>
      </w:r>
    </w:p>
  </w:footnote>
  <w:footnote w:id="1">
    <w:p w14:paraId="42E14A39" w14:textId="0BFA5203" w:rsidR="002805FE" w:rsidRPr="00FA556A" w:rsidRDefault="002805FE" w:rsidP="00E45434">
      <w:pPr>
        <w:pStyle w:val="FootnoteText"/>
        <w:rPr>
          <w:rFonts w:cstheme="minorHAnsi"/>
          <w:lang w:val="fr-CH"/>
        </w:rPr>
      </w:pPr>
      <w:r w:rsidRPr="00FA556A">
        <w:rPr>
          <w:rStyle w:val="FootnoteReference"/>
          <w:rFonts w:cstheme="minorHAnsi"/>
          <w:lang w:val="fr-CH"/>
        </w:rPr>
        <w:footnoteRef/>
      </w:r>
      <w:r w:rsidRPr="00FA556A">
        <w:rPr>
          <w:rFonts w:cstheme="minorHAnsi"/>
          <w:vertAlign w:val="superscript"/>
          <w:lang w:val="fr-CH"/>
        </w:rPr>
        <w:t xml:space="preserve"> </w:t>
      </w:r>
      <w:r w:rsidR="00FA556A">
        <w:rPr>
          <w:rFonts w:cstheme="minorHAnsi"/>
          <w:lang w:val="fr-CH"/>
        </w:rPr>
        <w:t>Dans la Décision</w:t>
      </w:r>
      <w:r w:rsidRPr="00FA556A">
        <w:rPr>
          <w:rFonts w:cstheme="minorHAnsi"/>
          <w:lang w:val="fr-CH"/>
        </w:rPr>
        <w:t xml:space="preserve"> SC57-47</w:t>
      </w:r>
      <w:r w:rsidR="003B106A" w:rsidRPr="00FA556A">
        <w:rPr>
          <w:rFonts w:cstheme="minorHAnsi"/>
          <w:lang w:val="fr-CH"/>
        </w:rPr>
        <w:t>,</w:t>
      </w:r>
      <w:r w:rsidRPr="00FA556A">
        <w:rPr>
          <w:rFonts w:cstheme="minorHAnsi"/>
          <w:lang w:val="fr-CH"/>
        </w:rPr>
        <w:t xml:space="preserve"> </w:t>
      </w:r>
      <w:r w:rsidR="00FA556A">
        <w:rPr>
          <w:rFonts w:cstheme="minorHAnsi"/>
          <w:lang w:val="fr-CH"/>
        </w:rPr>
        <w:t>le Comité permanent a ultérieurement approuvé l’attribution de 15 000 CHF de l’excédent du budget administratif de 2018 « </w:t>
      </w:r>
      <w:r w:rsidR="000B26E0">
        <w:rPr>
          <w:rFonts w:cstheme="minorHAnsi"/>
          <w:lang w:val="fr-CH"/>
        </w:rPr>
        <w:t>Consultation</w:t>
      </w:r>
      <w:r w:rsidR="00FA556A">
        <w:rPr>
          <w:rFonts w:cstheme="minorHAnsi"/>
          <w:lang w:val="fr-CH"/>
        </w:rPr>
        <w:t xml:space="preserve"> pour l’analyse du statut juridique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7FF36"/>
    <w:multiLevelType w:val="hybridMultilevel"/>
    <w:tmpl w:val="CE86A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EC71"/>
    <w:multiLevelType w:val="hybridMultilevel"/>
    <w:tmpl w:val="FA91E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647F6"/>
    <w:multiLevelType w:val="hybridMultilevel"/>
    <w:tmpl w:val="E88C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63584"/>
    <w:multiLevelType w:val="hybridMultilevel"/>
    <w:tmpl w:val="8C16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4C08"/>
    <w:multiLevelType w:val="hybridMultilevel"/>
    <w:tmpl w:val="0D942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F621B"/>
    <w:multiLevelType w:val="hybridMultilevel"/>
    <w:tmpl w:val="8CD4298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A22F1"/>
    <w:multiLevelType w:val="hybridMultilevel"/>
    <w:tmpl w:val="681EB55E"/>
    <w:lvl w:ilvl="0" w:tplc="175ED4FE">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13F97"/>
    <w:multiLevelType w:val="hybridMultilevel"/>
    <w:tmpl w:val="6B7E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13803"/>
    <w:multiLevelType w:val="hybridMultilevel"/>
    <w:tmpl w:val="FA06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070D3"/>
    <w:multiLevelType w:val="hybridMultilevel"/>
    <w:tmpl w:val="547803DA"/>
    <w:lvl w:ilvl="0" w:tplc="249278B0">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0" w15:restartNumberingAfterBreak="0">
    <w:nsid w:val="5BEB1AFA"/>
    <w:multiLevelType w:val="hybridMultilevel"/>
    <w:tmpl w:val="3878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02152"/>
    <w:multiLevelType w:val="hybridMultilevel"/>
    <w:tmpl w:val="F9A27B76"/>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2" w15:restartNumberingAfterBreak="0">
    <w:nsid w:val="66E94F2A"/>
    <w:multiLevelType w:val="hybridMultilevel"/>
    <w:tmpl w:val="7D74674A"/>
    <w:lvl w:ilvl="0" w:tplc="0E260F1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023A5"/>
    <w:multiLevelType w:val="hybridMultilevel"/>
    <w:tmpl w:val="4394E942"/>
    <w:lvl w:ilvl="0" w:tplc="87207C5C">
      <w:start w:val="1"/>
      <w:numFmt w:val="decimal"/>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abstractNum w:abstractNumId="14" w15:restartNumberingAfterBreak="0">
    <w:nsid w:val="7D933EBD"/>
    <w:multiLevelType w:val="hybridMultilevel"/>
    <w:tmpl w:val="2ED890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
  </w:num>
  <w:num w:numId="6">
    <w:abstractNumId w:val="4"/>
  </w:num>
  <w:num w:numId="7">
    <w:abstractNumId w:val="12"/>
  </w:num>
  <w:num w:numId="8">
    <w:abstractNumId w:val="10"/>
  </w:num>
  <w:num w:numId="9">
    <w:abstractNumId w:val="7"/>
  </w:num>
  <w:num w:numId="10">
    <w:abstractNumId w:val="3"/>
  </w:num>
  <w:num w:numId="11">
    <w:abstractNumId w:val="8"/>
  </w:num>
  <w:num w:numId="12">
    <w:abstractNumId w:val="2"/>
  </w:num>
  <w:num w:numId="13">
    <w:abstractNumId w:val="11"/>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7E"/>
    <w:rsid w:val="000049C6"/>
    <w:rsid w:val="00030EA4"/>
    <w:rsid w:val="000349B9"/>
    <w:rsid w:val="0003654E"/>
    <w:rsid w:val="00043524"/>
    <w:rsid w:val="00044B1C"/>
    <w:rsid w:val="00047914"/>
    <w:rsid w:val="000507AC"/>
    <w:rsid w:val="00056586"/>
    <w:rsid w:val="00065438"/>
    <w:rsid w:val="00065FE3"/>
    <w:rsid w:val="00070EBD"/>
    <w:rsid w:val="00083379"/>
    <w:rsid w:val="00084622"/>
    <w:rsid w:val="000B26E0"/>
    <w:rsid w:val="000E38AF"/>
    <w:rsid w:val="000F616B"/>
    <w:rsid w:val="00105D89"/>
    <w:rsid w:val="00111C67"/>
    <w:rsid w:val="00122719"/>
    <w:rsid w:val="001303D9"/>
    <w:rsid w:val="00132658"/>
    <w:rsid w:val="001333AC"/>
    <w:rsid w:val="00143B3F"/>
    <w:rsid w:val="0016683F"/>
    <w:rsid w:val="00166ADC"/>
    <w:rsid w:val="001738F2"/>
    <w:rsid w:val="00184345"/>
    <w:rsid w:val="0018524B"/>
    <w:rsid w:val="00190CFF"/>
    <w:rsid w:val="00193027"/>
    <w:rsid w:val="001B4324"/>
    <w:rsid w:val="001C2C34"/>
    <w:rsid w:val="001D3BBC"/>
    <w:rsid w:val="00215218"/>
    <w:rsid w:val="002315B6"/>
    <w:rsid w:val="00236658"/>
    <w:rsid w:val="00252B9C"/>
    <w:rsid w:val="002546A1"/>
    <w:rsid w:val="002805FE"/>
    <w:rsid w:val="00281059"/>
    <w:rsid w:val="00283815"/>
    <w:rsid w:val="0029057D"/>
    <w:rsid w:val="00292E5A"/>
    <w:rsid w:val="002B0DE1"/>
    <w:rsid w:val="002B30C2"/>
    <w:rsid w:val="002C781B"/>
    <w:rsid w:val="002C7929"/>
    <w:rsid w:val="002C7D19"/>
    <w:rsid w:val="002D4D5F"/>
    <w:rsid w:val="002F277F"/>
    <w:rsid w:val="003031B2"/>
    <w:rsid w:val="00307B7E"/>
    <w:rsid w:val="0031116C"/>
    <w:rsid w:val="0032193E"/>
    <w:rsid w:val="0033061F"/>
    <w:rsid w:val="00334EA6"/>
    <w:rsid w:val="003429DD"/>
    <w:rsid w:val="00351D01"/>
    <w:rsid w:val="0035685A"/>
    <w:rsid w:val="00356A11"/>
    <w:rsid w:val="003657F1"/>
    <w:rsid w:val="003A2CD4"/>
    <w:rsid w:val="003B106A"/>
    <w:rsid w:val="003C3A70"/>
    <w:rsid w:val="003D43D1"/>
    <w:rsid w:val="003F0B77"/>
    <w:rsid w:val="00401270"/>
    <w:rsid w:val="00403EA5"/>
    <w:rsid w:val="00415C53"/>
    <w:rsid w:val="0042627C"/>
    <w:rsid w:val="004315AB"/>
    <w:rsid w:val="004349EE"/>
    <w:rsid w:val="00446534"/>
    <w:rsid w:val="00454EBC"/>
    <w:rsid w:val="00465A3C"/>
    <w:rsid w:val="00467FF3"/>
    <w:rsid w:val="00470C70"/>
    <w:rsid w:val="004715F2"/>
    <w:rsid w:val="00487DF3"/>
    <w:rsid w:val="0049676C"/>
    <w:rsid w:val="004A6E35"/>
    <w:rsid w:val="004C2C9E"/>
    <w:rsid w:val="004F13E5"/>
    <w:rsid w:val="005066C2"/>
    <w:rsid w:val="00560D12"/>
    <w:rsid w:val="005925FA"/>
    <w:rsid w:val="00593969"/>
    <w:rsid w:val="005B4B89"/>
    <w:rsid w:val="005C0A89"/>
    <w:rsid w:val="005C59FE"/>
    <w:rsid w:val="005D0512"/>
    <w:rsid w:val="005F521E"/>
    <w:rsid w:val="00622B44"/>
    <w:rsid w:val="006238ED"/>
    <w:rsid w:val="00661A37"/>
    <w:rsid w:val="006626D2"/>
    <w:rsid w:val="0069139D"/>
    <w:rsid w:val="00694C51"/>
    <w:rsid w:val="006A784E"/>
    <w:rsid w:val="006B1CF4"/>
    <w:rsid w:val="006D42CA"/>
    <w:rsid w:val="006D5EA2"/>
    <w:rsid w:val="006D7525"/>
    <w:rsid w:val="006F14A0"/>
    <w:rsid w:val="006F1674"/>
    <w:rsid w:val="006F2953"/>
    <w:rsid w:val="00700C22"/>
    <w:rsid w:val="007106B9"/>
    <w:rsid w:val="007117FA"/>
    <w:rsid w:val="007260C6"/>
    <w:rsid w:val="00741821"/>
    <w:rsid w:val="00747F1F"/>
    <w:rsid w:val="007750F6"/>
    <w:rsid w:val="007916F1"/>
    <w:rsid w:val="007935A5"/>
    <w:rsid w:val="007B3592"/>
    <w:rsid w:val="007D79AF"/>
    <w:rsid w:val="007E04F2"/>
    <w:rsid w:val="007F3CF8"/>
    <w:rsid w:val="0082610D"/>
    <w:rsid w:val="00832DC4"/>
    <w:rsid w:val="00840BE2"/>
    <w:rsid w:val="00842FFF"/>
    <w:rsid w:val="00865C88"/>
    <w:rsid w:val="0086715B"/>
    <w:rsid w:val="008747D7"/>
    <w:rsid w:val="00884714"/>
    <w:rsid w:val="008857F0"/>
    <w:rsid w:val="00894AC3"/>
    <w:rsid w:val="008A48CE"/>
    <w:rsid w:val="008B064A"/>
    <w:rsid w:val="008B18F4"/>
    <w:rsid w:val="008E7B00"/>
    <w:rsid w:val="00903D4D"/>
    <w:rsid w:val="00905292"/>
    <w:rsid w:val="00905D44"/>
    <w:rsid w:val="009076D7"/>
    <w:rsid w:val="00912F2F"/>
    <w:rsid w:val="00920C59"/>
    <w:rsid w:val="00957113"/>
    <w:rsid w:val="00971F46"/>
    <w:rsid w:val="009757B9"/>
    <w:rsid w:val="009821C3"/>
    <w:rsid w:val="00982AE6"/>
    <w:rsid w:val="0098705F"/>
    <w:rsid w:val="009A170D"/>
    <w:rsid w:val="009C4299"/>
    <w:rsid w:val="009C5D04"/>
    <w:rsid w:val="009F1F36"/>
    <w:rsid w:val="00A06FB1"/>
    <w:rsid w:val="00A259BE"/>
    <w:rsid w:val="00A464D6"/>
    <w:rsid w:val="00A5060B"/>
    <w:rsid w:val="00A52E04"/>
    <w:rsid w:val="00A57B99"/>
    <w:rsid w:val="00A615A8"/>
    <w:rsid w:val="00A812F1"/>
    <w:rsid w:val="00A93227"/>
    <w:rsid w:val="00A973B0"/>
    <w:rsid w:val="00AF1634"/>
    <w:rsid w:val="00AF5E53"/>
    <w:rsid w:val="00AF76DC"/>
    <w:rsid w:val="00B11C44"/>
    <w:rsid w:val="00B25DF0"/>
    <w:rsid w:val="00B440E3"/>
    <w:rsid w:val="00B5351B"/>
    <w:rsid w:val="00B73F3B"/>
    <w:rsid w:val="00B84558"/>
    <w:rsid w:val="00B87A7A"/>
    <w:rsid w:val="00B90D52"/>
    <w:rsid w:val="00B921ED"/>
    <w:rsid w:val="00B979A9"/>
    <w:rsid w:val="00BB2B2F"/>
    <w:rsid w:val="00BB7A6A"/>
    <w:rsid w:val="00BC247E"/>
    <w:rsid w:val="00C0590A"/>
    <w:rsid w:val="00C118F1"/>
    <w:rsid w:val="00C176A3"/>
    <w:rsid w:val="00C21673"/>
    <w:rsid w:val="00C23881"/>
    <w:rsid w:val="00C40712"/>
    <w:rsid w:val="00C64F80"/>
    <w:rsid w:val="00CA5BAD"/>
    <w:rsid w:val="00CB10F7"/>
    <w:rsid w:val="00CC715D"/>
    <w:rsid w:val="00CD0C2B"/>
    <w:rsid w:val="00CE15C1"/>
    <w:rsid w:val="00CE3969"/>
    <w:rsid w:val="00CE4497"/>
    <w:rsid w:val="00CE496F"/>
    <w:rsid w:val="00CE5CC1"/>
    <w:rsid w:val="00CF758B"/>
    <w:rsid w:val="00D03879"/>
    <w:rsid w:val="00D138D8"/>
    <w:rsid w:val="00D15AFB"/>
    <w:rsid w:val="00D2518D"/>
    <w:rsid w:val="00D257BA"/>
    <w:rsid w:val="00D31F25"/>
    <w:rsid w:val="00D41F93"/>
    <w:rsid w:val="00D43BBE"/>
    <w:rsid w:val="00D46422"/>
    <w:rsid w:val="00D47055"/>
    <w:rsid w:val="00D51233"/>
    <w:rsid w:val="00D64AA0"/>
    <w:rsid w:val="00D95516"/>
    <w:rsid w:val="00DA1078"/>
    <w:rsid w:val="00DB04CC"/>
    <w:rsid w:val="00DB2771"/>
    <w:rsid w:val="00DB7DD6"/>
    <w:rsid w:val="00DC6514"/>
    <w:rsid w:val="00DE153C"/>
    <w:rsid w:val="00DE4B12"/>
    <w:rsid w:val="00DE71A4"/>
    <w:rsid w:val="00E12028"/>
    <w:rsid w:val="00E12FF1"/>
    <w:rsid w:val="00E22F50"/>
    <w:rsid w:val="00E414F9"/>
    <w:rsid w:val="00E45434"/>
    <w:rsid w:val="00E84007"/>
    <w:rsid w:val="00E91DD1"/>
    <w:rsid w:val="00E92C39"/>
    <w:rsid w:val="00ED13E3"/>
    <w:rsid w:val="00ED2F6E"/>
    <w:rsid w:val="00ED498F"/>
    <w:rsid w:val="00EF1C95"/>
    <w:rsid w:val="00EF3AC0"/>
    <w:rsid w:val="00F23744"/>
    <w:rsid w:val="00F2674D"/>
    <w:rsid w:val="00F40D99"/>
    <w:rsid w:val="00F67DF4"/>
    <w:rsid w:val="00F84371"/>
    <w:rsid w:val="00F868DE"/>
    <w:rsid w:val="00F928C3"/>
    <w:rsid w:val="00F93583"/>
    <w:rsid w:val="00F94DC0"/>
    <w:rsid w:val="00FA556A"/>
    <w:rsid w:val="00FB7D03"/>
    <w:rsid w:val="00FC055C"/>
    <w:rsid w:val="00FD3F67"/>
    <w:rsid w:val="00FE539C"/>
    <w:rsid w:val="00FE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3BF7"/>
  <w15:docId w15:val="{97B63644-2DE7-4192-A52A-DBAF6F0E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árrafo de lista1,List Paragraph12,MAIN CONTENT,List Paragraph2,Rec para,List Paragraph1,Recommendation,List Paragraph11,F5 List Paragraph,List Paragraph Char Char Char,Indicator Text"/>
    <w:basedOn w:val="Normal"/>
    <w:link w:val="ListParagraphChar"/>
    <w:uiPriority w:val="34"/>
    <w:qFormat/>
    <w:rsid w:val="00043524"/>
    <w:pPr>
      <w:spacing w:after="0" w:line="240" w:lineRule="auto"/>
      <w:ind w:left="720"/>
      <w:contextualSpacing/>
      <w:jc w:val="both"/>
    </w:pPr>
    <w:rPr>
      <w:rFonts w:ascii="Tahoma" w:eastAsia="Calibri" w:hAnsi="Tahoma" w:cs="Times New Roman"/>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043524"/>
    <w:rPr>
      <w:rFonts w:ascii="Tahoma" w:eastAsia="Calibri" w:hAnsi="Tahoma" w:cs="Times New Roman"/>
    </w:rPr>
  </w:style>
  <w:style w:type="paragraph" w:customStyle="1" w:styleId="Default">
    <w:name w:val="Default"/>
    <w:rsid w:val="00920C59"/>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401270"/>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nhideWhenUsed/>
    <w:rsid w:val="002805FE"/>
    <w:pPr>
      <w:spacing w:after="0" w:line="240" w:lineRule="auto"/>
    </w:pPr>
    <w:rPr>
      <w:sz w:val="20"/>
      <w:szCs w:val="20"/>
    </w:rPr>
  </w:style>
  <w:style w:type="character" w:customStyle="1" w:styleId="FootnoteTextChar">
    <w:name w:val="Footnote Text Char"/>
    <w:basedOn w:val="DefaultParagraphFont"/>
    <w:link w:val="FootnoteText"/>
    <w:rsid w:val="002805FE"/>
    <w:rPr>
      <w:sz w:val="20"/>
      <w:szCs w:val="20"/>
    </w:rPr>
  </w:style>
  <w:style w:type="character" w:styleId="FootnoteReference">
    <w:name w:val="footnote reference"/>
    <w:basedOn w:val="DefaultParagraphFont"/>
    <w:semiHidden/>
    <w:unhideWhenUsed/>
    <w:rsid w:val="002805FE"/>
    <w:rPr>
      <w:vertAlign w:val="superscript"/>
    </w:rPr>
  </w:style>
  <w:style w:type="paragraph" w:customStyle="1" w:styleId="wordsection1">
    <w:name w:val="wordsection1"/>
    <w:basedOn w:val="Normal"/>
    <w:rsid w:val="00ED13E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7D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AF"/>
  </w:style>
  <w:style w:type="paragraph" w:styleId="Footer">
    <w:name w:val="footer"/>
    <w:basedOn w:val="Normal"/>
    <w:link w:val="FooterChar"/>
    <w:uiPriority w:val="99"/>
    <w:unhideWhenUsed/>
    <w:rsid w:val="007D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AF"/>
  </w:style>
  <w:style w:type="character" w:styleId="CommentReference">
    <w:name w:val="annotation reference"/>
    <w:basedOn w:val="DefaultParagraphFont"/>
    <w:uiPriority w:val="99"/>
    <w:semiHidden/>
    <w:unhideWhenUsed/>
    <w:rsid w:val="007106B9"/>
    <w:rPr>
      <w:sz w:val="16"/>
      <w:szCs w:val="16"/>
    </w:rPr>
  </w:style>
  <w:style w:type="paragraph" w:styleId="CommentText">
    <w:name w:val="annotation text"/>
    <w:basedOn w:val="Normal"/>
    <w:link w:val="CommentTextChar"/>
    <w:uiPriority w:val="99"/>
    <w:semiHidden/>
    <w:unhideWhenUsed/>
    <w:rsid w:val="007106B9"/>
    <w:pPr>
      <w:spacing w:line="240" w:lineRule="auto"/>
    </w:pPr>
    <w:rPr>
      <w:sz w:val="20"/>
      <w:szCs w:val="20"/>
    </w:rPr>
  </w:style>
  <w:style w:type="character" w:customStyle="1" w:styleId="CommentTextChar">
    <w:name w:val="Comment Text Char"/>
    <w:basedOn w:val="DefaultParagraphFont"/>
    <w:link w:val="CommentText"/>
    <w:uiPriority w:val="99"/>
    <w:semiHidden/>
    <w:rsid w:val="007106B9"/>
    <w:rPr>
      <w:sz w:val="20"/>
      <w:szCs w:val="20"/>
    </w:rPr>
  </w:style>
  <w:style w:type="paragraph" w:styleId="CommentSubject">
    <w:name w:val="annotation subject"/>
    <w:basedOn w:val="CommentText"/>
    <w:next w:val="CommentText"/>
    <w:link w:val="CommentSubjectChar"/>
    <w:uiPriority w:val="99"/>
    <w:semiHidden/>
    <w:unhideWhenUsed/>
    <w:rsid w:val="007106B9"/>
    <w:rPr>
      <w:b/>
      <w:bCs/>
    </w:rPr>
  </w:style>
  <w:style w:type="character" w:customStyle="1" w:styleId="CommentSubjectChar">
    <w:name w:val="Comment Subject Char"/>
    <w:basedOn w:val="CommentTextChar"/>
    <w:link w:val="CommentSubject"/>
    <w:uiPriority w:val="99"/>
    <w:semiHidden/>
    <w:rsid w:val="007106B9"/>
    <w:rPr>
      <w:b/>
      <w:bCs/>
      <w:sz w:val="20"/>
      <w:szCs w:val="20"/>
    </w:rPr>
  </w:style>
  <w:style w:type="paragraph" w:styleId="BalloonText">
    <w:name w:val="Balloon Text"/>
    <w:basedOn w:val="Normal"/>
    <w:link w:val="BalloonTextChar"/>
    <w:uiPriority w:val="99"/>
    <w:semiHidden/>
    <w:unhideWhenUsed/>
    <w:rsid w:val="0071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9"/>
    <w:rPr>
      <w:rFonts w:ascii="Segoe UI" w:hAnsi="Segoe UI" w:cs="Segoe UI"/>
      <w:sz w:val="18"/>
      <w:szCs w:val="18"/>
    </w:rPr>
  </w:style>
  <w:style w:type="character" w:styleId="Strong">
    <w:name w:val="Strong"/>
    <w:basedOn w:val="DefaultParagraphFont"/>
    <w:uiPriority w:val="22"/>
    <w:qFormat/>
    <w:rsid w:val="00FE539C"/>
    <w:rPr>
      <w:b/>
      <w:bCs/>
    </w:rPr>
  </w:style>
  <w:style w:type="paragraph" w:styleId="Subtitle">
    <w:name w:val="Subtitle"/>
    <w:basedOn w:val="Normal"/>
    <w:next w:val="Normal"/>
    <w:link w:val="SubtitleChar"/>
    <w:uiPriority w:val="11"/>
    <w:qFormat/>
    <w:rsid w:val="00F267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74D"/>
    <w:rPr>
      <w:rFonts w:eastAsiaTheme="minorEastAsia"/>
      <w:color w:val="5A5A5A" w:themeColor="text1" w:themeTint="A5"/>
      <w:spacing w:val="15"/>
    </w:rPr>
  </w:style>
  <w:style w:type="character" w:styleId="Hyperlink">
    <w:name w:val="Hyperlink"/>
    <w:basedOn w:val="DefaultParagraphFont"/>
    <w:uiPriority w:val="99"/>
    <w:unhideWhenUsed/>
    <w:rsid w:val="00454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2439">
      <w:bodyDiv w:val="1"/>
      <w:marLeft w:val="0"/>
      <w:marRight w:val="0"/>
      <w:marTop w:val="0"/>
      <w:marBottom w:val="0"/>
      <w:divBdr>
        <w:top w:val="none" w:sz="0" w:space="0" w:color="auto"/>
        <w:left w:val="none" w:sz="0" w:space="0" w:color="auto"/>
        <w:bottom w:val="none" w:sz="0" w:space="0" w:color="auto"/>
        <w:right w:val="none" w:sz="0" w:space="0" w:color="auto"/>
      </w:divBdr>
    </w:div>
    <w:div w:id="1404328405">
      <w:bodyDiv w:val="1"/>
      <w:marLeft w:val="0"/>
      <w:marRight w:val="0"/>
      <w:marTop w:val="0"/>
      <w:marBottom w:val="0"/>
      <w:divBdr>
        <w:top w:val="none" w:sz="0" w:space="0" w:color="auto"/>
        <w:left w:val="none" w:sz="0" w:space="0" w:color="auto"/>
        <w:bottom w:val="none" w:sz="0" w:space="0" w:color="auto"/>
        <w:right w:val="none" w:sz="0" w:space="0" w:color="auto"/>
      </w:divBdr>
    </w:div>
    <w:div w:id="1556505191">
      <w:bodyDiv w:val="1"/>
      <w:marLeft w:val="0"/>
      <w:marRight w:val="0"/>
      <w:marTop w:val="0"/>
      <w:marBottom w:val="0"/>
      <w:divBdr>
        <w:top w:val="none" w:sz="0" w:space="0" w:color="auto"/>
        <w:left w:val="none" w:sz="0" w:space="0" w:color="auto"/>
        <w:bottom w:val="none" w:sz="0" w:space="0" w:color="auto"/>
        <w:right w:val="none" w:sz="0" w:space="0" w:color="auto"/>
      </w:divBdr>
    </w:div>
    <w:div w:id="21375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financial_analysis_legal_status_secretariat_2020_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independent_analysis_legal_status_secretariat_2020_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DD1A-6DF9-42C9-8D43-5ED99080E731}">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5035800-fbd9-4494-bf62-86cc10c5d50d"/>
    <ds:schemaRef ds:uri="682f1ccd-e5c5-43c9-b9d9-dd72e0a643d0"/>
  </ds:schemaRefs>
</ds:datastoreItem>
</file>

<file path=customXml/itemProps2.xml><?xml version="1.0" encoding="utf-8"?>
<ds:datastoreItem xmlns:ds="http://schemas.openxmlformats.org/officeDocument/2006/customXml" ds:itemID="{3BAEEC28-2992-42F7-AA2D-032801C78F41}">
  <ds:schemaRefs>
    <ds:schemaRef ds:uri="http://schemas.microsoft.com/sharepoint/v3/contenttype/forms"/>
  </ds:schemaRefs>
</ds:datastoreItem>
</file>

<file path=customXml/itemProps3.xml><?xml version="1.0" encoding="utf-8"?>
<ds:datastoreItem xmlns:ds="http://schemas.openxmlformats.org/officeDocument/2006/customXml" ds:itemID="{ACCBDF2F-00F2-4F8A-A863-629DFF69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88AEE-EE75-443C-AD99-89DB8F6B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9873</Characters>
  <Application>Microsoft Office Word</Application>
  <DocSecurity>0</DocSecurity>
  <Lines>82</Lines>
  <Paragraphs>23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IUCN</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on Wetlands</dc:creator>
  <cp:lastModifiedBy>Ed Jennings</cp:lastModifiedBy>
  <cp:revision>2</cp:revision>
  <dcterms:created xsi:type="dcterms:W3CDTF">2022-05-20T14:03:00Z</dcterms:created>
  <dcterms:modified xsi:type="dcterms:W3CDTF">2022-05-20T14:03:00Z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