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F578C" w14:textId="77777777" w:rsidR="00043524" w:rsidRPr="00CF758B" w:rsidRDefault="00043524" w:rsidP="00166ADC">
      <w:pPr>
        <w:pBdr>
          <w:top w:val="single" w:sz="12" w:space="0" w:color="auto" w:shadow="1"/>
          <w:left w:val="single" w:sz="12" w:space="4" w:color="auto" w:shadow="1"/>
          <w:bottom w:val="single" w:sz="12" w:space="1" w:color="auto" w:shadow="1"/>
          <w:right w:val="single" w:sz="12" w:space="0" w:color="auto" w:shadow="1"/>
        </w:pBdr>
        <w:spacing w:after="0" w:line="240" w:lineRule="auto"/>
        <w:ind w:right="3215"/>
        <w:jc w:val="both"/>
        <w:rPr>
          <w:rFonts w:eastAsia="Times New Roman" w:cstheme="minorHAnsi"/>
          <w:bCs/>
          <w:lang w:eastAsia="en-GB"/>
        </w:rPr>
      </w:pPr>
      <w:r w:rsidRPr="00CF758B">
        <w:rPr>
          <w:rFonts w:eastAsia="Times New Roman" w:cstheme="minorHAnsi"/>
          <w:bCs/>
          <w:lang w:eastAsia="en-GB"/>
        </w:rPr>
        <w:t>THE CONVENTION ON WETLANDS</w:t>
      </w:r>
    </w:p>
    <w:p w14:paraId="0F3E5447" w14:textId="77777777" w:rsidR="00043524" w:rsidRPr="00CF758B" w:rsidRDefault="00043524" w:rsidP="00166ADC">
      <w:pPr>
        <w:pBdr>
          <w:top w:val="single" w:sz="12" w:space="0" w:color="auto" w:shadow="1"/>
          <w:left w:val="single" w:sz="12" w:space="4" w:color="auto" w:shadow="1"/>
          <w:bottom w:val="single" w:sz="12" w:space="1" w:color="auto" w:shadow="1"/>
          <w:right w:val="single" w:sz="12" w:space="0" w:color="auto" w:shadow="1"/>
        </w:pBdr>
        <w:spacing w:after="0" w:line="240" w:lineRule="auto"/>
        <w:ind w:right="3215"/>
        <w:jc w:val="both"/>
        <w:rPr>
          <w:rFonts w:eastAsia="Times New Roman" w:cstheme="minorHAnsi"/>
          <w:bCs/>
          <w:lang w:eastAsia="en-GB"/>
        </w:rPr>
      </w:pPr>
      <w:r w:rsidRPr="00CF758B">
        <w:rPr>
          <w:rFonts w:eastAsia="Times New Roman" w:cstheme="minorHAnsi"/>
          <w:bCs/>
          <w:lang w:eastAsia="en-GB"/>
        </w:rPr>
        <w:t>59th Meeting of the Standing Committee</w:t>
      </w:r>
    </w:p>
    <w:p w14:paraId="6533E708" w14:textId="77777777" w:rsidR="009757B9" w:rsidRPr="00CF758B" w:rsidRDefault="009757B9" w:rsidP="00166ADC">
      <w:pPr>
        <w:pBdr>
          <w:top w:val="single" w:sz="12" w:space="0" w:color="auto" w:shadow="1"/>
          <w:left w:val="single" w:sz="12" w:space="4" w:color="auto" w:shadow="1"/>
          <w:bottom w:val="single" w:sz="12" w:space="1" w:color="auto" w:shadow="1"/>
          <w:right w:val="single" w:sz="12" w:space="0" w:color="auto" w:shadow="1"/>
        </w:pBdr>
        <w:spacing w:after="0" w:line="240" w:lineRule="auto"/>
        <w:ind w:right="3215"/>
        <w:jc w:val="both"/>
        <w:rPr>
          <w:rFonts w:eastAsia="Times New Roman" w:cstheme="minorHAnsi"/>
          <w:bCs/>
          <w:lang w:eastAsia="en-GB"/>
        </w:rPr>
      </w:pPr>
      <w:r w:rsidRPr="00CF758B">
        <w:rPr>
          <w:rFonts w:eastAsia="Times New Roman" w:cstheme="minorHAnsi"/>
          <w:bCs/>
          <w:lang w:eastAsia="en-GB"/>
        </w:rPr>
        <w:t>Resumed session</w:t>
      </w:r>
    </w:p>
    <w:p w14:paraId="13330370" w14:textId="77777777" w:rsidR="00043524" w:rsidRPr="00CF758B" w:rsidRDefault="00043524" w:rsidP="00166ADC">
      <w:pPr>
        <w:pBdr>
          <w:top w:val="single" w:sz="12" w:space="0" w:color="auto" w:shadow="1"/>
          <w:left w:val="single" w:sz="12" w:space="4" w:color="auto" w:shadow="1"/>
          <w:bottom w:val="single" w:sz="12" w:space="1" w:color="auto" w:shadow="1"/>
          <w:right w:val="single" w:sz="12" w:space="0" w:color="auto" w:shadow="1"/>
        </w:pBdr>
        <w:spacing w:after="0" w:line="240" w:lineRule="auto"/>
        <w:ind w:right="3215"/>
        <w:jc w:val="both"/>
        <w:rPr>
          <w:rFonts w:eastAsia="Times New Roman" w:cstheme="minorHAnsi"/>
          <w:lang w:val="de-CH" w:eastAsia="en-GB"/>
        </w:rPr>
      </w:pPr>
      <w:r w:rsidRPr="00CF758B">
        <w:rPr>
          <w:rFonts w:eastAsia="Times New Roman" w:cstheme="minorHAnsi"/>
          <w:bCs/>
          <w:lang w:val="de-CH" w:eastAsia="en-GB"/>
        </w:rPr>
        <w:t>Gland, Switzerland, 2</w:t>
      </w:r>
      <w:r w:rsidR="009757B9" w:rsidRPr="00CF758B">
        <w:rPr>
          <w:rFonts w:eastAsia="Times New Roman" w:cstheme="minorHAnsi"/>
          <w:bCs/>
          <w:lang w:val="de-CH" w:eastAsia="en-GB"/>
        </w:rPr>
        <w:t>3</w:t>
      </w:r>
      <w:r w:rsidRPr="00CF758B">
        <w:rPr>
          <w:rFonts w:eastAsia="Times New Roman" w:cstheme="minorHAnsi"/>
          <w:bCs/>
          <w:lang w:val="de-CH" w:eastAsia="en-GB"/>
        </w:rPr>
        <w:t>-2</w:t>
      </w:r>
      <w:r w:rsidR="009757B9" w:rsidRPr="00CF758B">
        <w:rPr>
          <w:rFonts w:eastAsia="Times New Roman" w:cstheme="minorHAnsi"/>
          <w:bCs/>
          <w:lang w:val="de-CH" w:eastAsia="en-GB"/>
        </w:rPr>
        <w:t>7</w:t>
      </w:r>
      <w:r w:rsidRPr="00CF758B">
        <w:rPr>
          <w:rFonts w:eastAsia="Times New Roman" w:cstheme="minorHAnsi"/>
          <w:bCs/>
          <w:lang w:val="de-CH" w:eastAsia="en-GB"/>
        </w:rPr>
        <w:t xml:space="preserve"> </w:t>
      </w:r>
      <w:r w:rsidR="009757B9" w:rsidRPr="00CF758B">
        <w:rPr>
          <w:rFonts w:eastAsia="Times New Roman" w:cstheme="minorHAnsi"/>
          <w:bCs/>
          <w:lang w:val="de-CH" w:eastAsia="en-GB"/>
        </w:rPr>
        <w:t xml:space="preserve">May </w:t>
      </w:r>
      <w:r w:rsidRPr="00CF758B">
        <w:rPr>
          <w:rFonts w:eastAsia="Times New Roman" w:cstheme="minorHAnsi"/>
          <w:bCs/>
          <w:lang w:val="de-CH" w:eastAsia="en-GB"/>
        </w:rPr>
        <w:t>202</w:t>
      </w:r>
      <w:r w:rsidR="009757B9" w:rsidRPr="00CF758B">
        <w:rPr>
          <w:rFonts w:eastAsia="Times New Roman" w:cstheme="minorHAnsi"/>
          <w:bCs/>
          <w:lang w:val="de-CH" w:eastAsia="en-GB"/>
        </w:rPr>
        <w:t>2</w:t>
      </w:r>
    </w:p>
    <w:p w14:paraId="271797E3" w14:textId="77777777" w:rsidR="00043524" w:rsidRPr="00CF758B" w:rsidRDefault="00043524" w:rsidP="00166ADC">
      <w:pPr>
        <w:spacing w:after="0" w:line="240" w:lineRule="auto"/>
        <w:jc w:val="both"/>
        <w:rPr>
          <w:rFonts w:eastAsia="Times New Roman" w:cstheme="minorHAnsi"/>
          <w:sz w:val="28"/>
          <w:szCs w:val="28"/>
          <w:lang w:val="de-CH" w:eastAsia="en-GB"/>
        </w:rPr>
      </w:pPr>
    </w:p>
    <w:p w14:paraId="4F2A9BC8" w14:textId="77777777" w:rsidR="00043524" w:rsidRPr="00CF758B" w:rsidRDefault="00043524" w:rsidP="00166ADC">
      <w:pPr>
        <w:spacing w:after="0" w:line="240" w:lineRule="auto"/>
        <w:jc w:val="right"/>
        <w:rPr>
          <w:rFonts w:eastAsia="Times New Roman" w:cstheme="minorHAnsi"/>
          <w:b/>
          <w:sz w:val="28"/>
          <w:szCs w:val="28"/>
          <w:lang w:val="de-CH" w:eastAsia="en-GB"/>
        </w:rPr>
      </w:pPr>
      <w:r w:rsidRPr="00CF758B">
        <w:rPr>
          <w:rFonts w:eastAsia="Times New Roman" w:cstheme="minorHAnsi"/>
          <w:b/>
          <w:sz w:val="28"/>
          <w:szCs w:val="28"/>
          <w:lang w:val="de-CH" w:eastAsia="en-GB"/>
        </w:rPr>
        <w:t>SC59</w:t>
      </w:r>
      <w:r w:rsidR="00236658" w:rsidRPr="00CF758B">
        <w:rPr>
          <w:rFonts w:eastAsia="Times New Roman" w:cstheme="minorHAnsi"/>
          <w:b/>
          <w:sz w:val="28"/>
          <w:szCs w:val="28"/>
          <w:lang w:val="de-CH" w:eastAsia="en-GB"/>
        </w:rPr>
        <w:t>/2022</w:t>
      </w:r>
      <w:r w:rsidRPr="00CF758B">
        <w:rPr>
          <w:rFonts w:eastAsia="Times New Roman" w:cstheme="minorHAnsi"/>
          <w:b/>
          <w:sz w:val="28"/>
          <w:szCs w:val="28"/>
          <w:lang w:val="de-CH" w:eastAsia="en-GB"/>
        </w:rPr>
        <w:t xml:space="preserve"> Doc.</w:t>
      </w:r>
      <w:r w:rsidR="004349EE" w:rsidRPr="00CF758B">
        <w:rPr>
          <w:rFonts w:eastAsia="Times New Roman" w:cstheme="minorHAnsi"/>
          <w:b/>
          <w:sz w:val="28"/>
          <w:szCs w:val="28"/>
          <w:lang w:val="de-CH" w:eastAsia="en-GB"/>
        </w:rPr>
        <w:t>14</w:t>
      </w:r>
    </w:p>
    <w:p w14:paraId="30A729F7" w14:textId="77777777" w:rsidR="00043524" w:rsidRPr="00CF758B" w:rsidRDefault="00043524" w:rsidP="00166ADC">
      <w:pPr>
        <w:spacing w:after="0" w:line="240" w:lineRule="auto"/>
        <w:jc w:val="right"/>
        <w:rPr>
          <w:rFonts w:eastAsia="Times New Roman" w:cstheme="minorHAnsi"/>
          <w:b/>
          <w:sz w:val="28"/>
          <w:szCs w:val="28"/>
          <w:lang w:val="de-CH" w:eastAsia="en-GB"/>
        </w:rPr>
      </w:pPr>
    </w:p>
    <w:p w14:paraId="1801A833" w14:textId="77777777" w:rsidR="00043524" w:rsidRPr="00CF758B" w:rsidRDefault="00043524" w:rsidP="00166ADC">
      <w:pPr>
        <w:autoSpaceDE w:val="0"/>
        <w:autoSpaceDN w:val="0"/>
        <w:adjustRightInd w:val="0"/>
        <w:spacing w:after="0" w:line="240" w:lineRule="auto"/>
        <w:jc w:val="center"/>
        <w:rPr>
          <w:rFonts w:cstheme="minorHAnsi"/>
          <w:b/>
          <w:color w:val="000000"/>
          <w:sz w:val="28"/>
          <w:szCs w:val="28"/>
        </w:rPr>
      </w:pPr>
      <w:r w:rsidRPr="00CF758B">
        <w:rPr>
          <w:rFonts w:cstheme="minorHAnsi"/>
          <w:b/>
          <w:bCs/>
          <w:color w:val="000000"/>
          <w:sz w:val="28"/>
          <w:szCs w:val="28"/>
        </w:rPr>
        <w:t xml:space="preserve">Report of the Observer Status Working Group </w:t>
      </w:r>
    </w:p>
    <w:p w14:paraId="129E5A3D" w14:textId="77777777" w:rsidR="00043524" w:rsidRPr="00CF758B" w:rsidRDefault="00043524" w:rsidP="00166ADC">
      <w:pPr>
        <w:spacing w:after="0" w:line="240" w:lineRule="auto"/>
        <w:jc w:val="both"/>
        <w:rPr>
          <w:rFonts w:eastAsia="Times New Roman" w:cstheme="minorHAnsi"/>
          <w:b/>
          <w:sz w:val="28"/>
          <w:szCs w:val="28"/>
          <w:lang w:eastAsia="en-GB"/>
        </w:rPr>
      </w:pPr>
    </w:p>
    <w:p w14:paraId="5FF881FE" w14:textId="77777777" w:rsidR="00043524" w:rsidRPr="00CF758B" w:rsidRDefault="00043524" w:rsidP="00166ADC">
      <w:pPr>
        <w:autoSpaceDE w:val="0"/>
        <w:autoSpaceDN w:val="0"/>
        <w:adjustRightInd w:val="0"/>
        <w:spacing w:after="0" w:line="240" w:lineRule="auto"/>
        <w:ind w:left="357" w:hanging="357"/>
        <w:jc w:val="both"/>
        <w:rPr>
          <w:rFonts w:cstheme="minorHAnsi"/>
        </w:rPr>
      </w:pPr>
      <w:r w:rsidRPr="00CF758B">
        <w:rPr>
          <w:rFonts w:eastAsia="Times New Roman" w:cstheme="minorHAnsi"/>
          <w:noProof/>
          <w:lang w:eastAsia="en-GB"/>
        </w:rPr>
        <mc:AlternateContent>
          <mc:Choice Requires="wps">
            <w:drawing>
              <wp:inline distT="0" distB="0" distL="0" distR="0" wp14:anchorId="6DF585DE" wp14:editId="0EFAC307">
                <wp:extent cx="5854535" cy="1746913"/>
                <wp:effectExtent l="0" t="0" r="13335" b="2476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746913"/>
                        </a:xfrm>
                        <a:prstGeom prst="rect">
                          <a:avLst/>
                        </a:prstGeom>
                        <a:solidFill>
                          <a:srgbClr val="FFFFFF"/>
                        </a:solidFill>
                        <a:ln w="9525">
                          <a:solidFill>
                            <a:srgbClr val="000000"/>
                          </a:solidFill>
                          <a:miter lim="800000"/>
                          <a:headEnd/>
                          <a:tailEnd/>
                        </a:ln>
                      </wps:spPr>
                      <wps:txbx>
                        <w:txbxContent>
                          <w:p w14:paraId="2910D3E1" w14:textId="77777777" w:rsidR="00043524" w:rsidRPr="00863119" w:rsidRDefault="00043524" w:rsidP="007D79AF">
                            <w:pPr>
                              <w:spacing w:after="0" w:line="240" w:lineRule="auto"/>
                              <w:rPr>
                                <w:rFonts w:ascii="Calibri" w:hAnsi="Calibri"/>
                                <w:b/>
                                <w:bCs/>
                              </w:rPr>
                            </w:pPr>
                            <w:r w:rsidRPr="00863119">
                              <w:rPr>
                                <w:rFonts w:ascii="Calibri" w:hAnsi="Calibri"/>
                                <w:b/>
                                <w:bCs/>
                              </w:rPr>
                              <w:t>Actions requested</w:t>
                            </w:r>
                            <w:r>
                              <w:rPr>
                                <w:rFonts w:ascii="Calibri" w:hAnsi="Calibri"/>
                                <w:b/>
                                <w:bCs/>
                              </w:rPr>
                              <w:t>:</w:t>
                            </w:r>
                          </w:p>
                          <w:p w14:paraId="72288E32" w14:textId="77777777" w:rsidR="007B3592" w:rsidRDefault="007B3592" w:rsidP="007D79AF">
                            <w:pPr>
                              <w:spacing w:after="0" w:line="240" w:lineRule="auto"/>
                            </w:pPr>
                          </w:p>
                          <w:p w14:paraId="059D3A3B" w14:textId="021170FF" w:rsidR="00043524" w:rsidRDefault="00043524" w:rsidP="007D79AF">
                            <w:pPr>
                              <w:spacing w:after="0" w:line="240" w:lineRule="auto"/>
                            </w:pPr>
                            <w:r w:rsidRPr="00863119">
                              <w:t>The Standing Committee is invited to</w:t>
                            </w:r>
                            <w:r>
                              <w:t>:</w:t>
                            </w:r>
                            <w:r w:rsidRPr="00863119">
                              <w:t xml:space="preserve"> </w:t>
                            </w:r>
                          </w:p>
                          <w:p w14:paraId="7BCF9497" w14:textId="77777777" w:rsidR="007D79AF" w:rsidRDefault="007D79AF" w:rsidP="007D79AF">
                            <w:pPr>
                              <w:spacing w:after="0" w:line="240" w:lineRule="auto"/>
                              <w:ind w:left="425" w:hanging="425"/>
                            </w:pPr>
                          </w:p>
                          <w:p w14:paraId="658456AB" w14:textId="5647064C" w:rsidR="00A615A8" w:rsidRDefault="00043524" w:rsidP="007D79AF">
                            <w:pPr>
                              <w:spacing w:after="0" w:line="240" w:lineRule="auto"/>
                              <w:ind w:left="425" w:hanging="425"/>
                            </w:pPr>
                            <w:r>
                              <w:t>i.</w:t>
                            </w:r>
                            <w:r>
                              <w:tab/>
                            </w:r>
                            <w:r w:rsidRPr="00AC0464">
                              <w:t>take note of the progress</w:t>
                            </w:r>
                            <w:r>
                              <w:t xml:space="preserve"> of the </w:t>
                            </w:r>
                            <w:r w:rsidR="00D2518D">
                              <w:t xml:space="preserve">work of the </w:t>
                            </w:r>
                            <w:r>
                              <w:t>Observer Status Working Group</w:t>
                            </w:r>
                            <w:r w:rsidRPr="00AC0464">
                              <w:t xml:space="preserve"> </w:t>
                            </w:r>
                            <w:r w:rsidR="00A615A8">
                              <w:t>according to the mandate of the Standing Committee.</w:t>
                            </w:r>
                            <w:r w:rsidR="00CD0C2B">
                              <w:t>; and</w:t>
                            </w:r>
                          </w:p>
                          <w:p w14:paraId="20FDDB07" w14:textId="77777777" w:rsidR="00D2518D" w:rsidRDefault="00D2518D" w:rsidP="007D79AF">
                            <w:pPr>
                              <w:spacing w:after="0" w:line="240" w:lineRule="auto"/>
                              <w:ind w:left="425" w:hanging="425"/>
                            </w:pPr>
                          </w:p>
                          <w:p w14:paraId="45C86D84" w14:textId="7180050E" w:rsidR="0031116C" w:rsidRDefault="00A615A8" w:rsidP="007D79AF">
                            <w:pPr>
                              <w:spacing w:after="0" w:line="240" w:lineRule="auto"/>
                              <w:ind w:left="425" w:hanging="425"/>
                              <w:rPr>
                                <w:rFonts w:cs="Garamond"/>
                              </w:rPr>
                            </w:pPr>
                            <w:r>
                              <w:rPr>
                                <w:rFonts w:cs="Garamond"/>
                              </w:rPr>
                              <w:t xml:space="preserve"> </w:t>
                            </w:r>
                            <w:r w:rsidR="00043524">
                              <w:rPr>
                                <w:rFonts w:cs="Garamond"/>
                              </w:rPr>
                              <w:t>ii.</w:t>
                            </w:r>
                            <w:r w:rsidR="00043524">
                              <w:rPr>
                                <w:rFonts w:cs="Garamond"/>
                              </w:rPr>
                              <w:tab/>
                            </w:r>
                            <w:r w:rsidR="0003654E">
                              <w:rPr>
                                <w:rFonts w:cs="Garamond"/>
                              </w:rPr>
                              <w:t xml:space="preserve">discuss and </w:t>
                            </w:r>
                            <w:r w:rsidR="0031116C" w:rsidRPr="0003654E">
                              <w:rPr>
                                <w:rFonts w:cs="Garamond"/>
                              </w:rPr>
                              <w:t xml:space="preserve">agree </w:t>
                            </w:r>
                            <w:r w:rsidR="00D2518D" w:rsidRPr="0003654E">
                              <w:rPr>
                                <w:rFonts w:cs="Garamond"/>
                              </w:rPr>
                              <w:t>o</w:t>
                            </w:r>
                            <w:r w:rsidR="00236658" w:rsidRPr="0003654E">
                              <w:rPr>
                                <w:rFonts w:cs="Garamond"/>
                              </w:rPr>
                              <w:t>n</w:t>
                            </w:r>
                            <w:r w:rsidR="00D2518D" w:rsidRPr="0003654E">
                              <w:rPr>
                                <w:rFonts w:cs="Garamond"/>
                              </w:rPr>
                              <w:t xml:space="preserve"> the</w:t>
                            </w:r>
                            <w:r w:rsidR="00236658" w:rsidRPr="0003654E">
                              <w:rPr>
                                <w:rFonts w:cs="Garamond"/>
                              </w:rPr>
                              <w:t xml:space="preserve"> way forward on the observer status matters</w:t>
                            </w:r>
                            <w:r w:rsidR="00215218" w:rsidRPr="0003654E">
                              <w:rPr>
                                <w:rFonts w:cs="Garamond"/>
                              </w:rPr>
                              <w:t xml:space="preserve"> taking into account considerations of the Working Group</w:t>
                            </w:r>
                            <w:r w:rsidR="00CD0C2B">
                              <w:rPr>
                                <w:rFonts w:cs="Garamond"/>
                              </w:rPr>
                              <w:t>.</w:t>
                            </w:r>
                          </w:p>
                        </w:txbxContent>
                      </wps:txbx>
                      <wps:bodyPr rot="0" vert="horz" wrap="square" lIns="91440" tIns="45720" rIns="91440" bIns="45720" anchor="t" anchorCtr="0" upright="1">
                        <a:noAutofit/>
                      </wps:bodyPr>
                    </wps:wsp>
                  </a:graphicData>
                </a:graphic>
              </wp:inline>
            </w:drawing>
          </mc:Choice>
          <mc:Fallback>
            <w:pict>
              <v:shapetype w14:anchorId="6DF585DE" id="_x0000_t202" coordsize="21600,21600" o:spt="202" path="m,l,21600r21600,l21600,xe">
                <v:stroke joinstyle="miter"/>
                <v:path gradientshapeok="t" o:connecttype="rect"/>
              </v:shapetype>
              <v:shape id="Text Box 5" o:spid="_x0000_s1026" type="#_x0000_t202" style="width:461pt;height:1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">
                <v:textbox>
                  <w:txbxContent>
                    <w:p w14:paraId="2910D3E1" w14:textId="77777777" w:rsidR="00043524" w:rsidRPr="00863119" w:rsidRDefault="00043524" w:rsidP="007D79AF">
                      <w:pPr>
                        <w:spacing w:after="0" w:line="240" w:lineRule="auto"/>
                        <w:rPr>
                          <w:rFonts w:ascii="Calibri" w:hAnsi="Calibri"/>
                          <w:b/>
                          <w:bCs/>
                        </w:rPr>
                      </w:pPr>
                      <w:r w:rsidRPr="00863119">
                        <w:rPr>
                          <w:rFonts w:ascii="Calibri" w:hAnsi="Calibri"/>
                          <w:b/>
                          <w:bCs/>
                        </w:rPr>
                        <w:t>Actions requested</w:t>
                      </w:r>
                      <w:r>
                        <w:rPr>
                          <w:rFonts w:ascii="Calibri" w:hAnsi="Calibri"/>
                          <w:b/>
                          <w:bCs/>
                        </w:rPr>
                        <w:t>:</w:t>
                      </w:r>
                    </w:p>
                    <w:p w14:paraId="72288E32" w14:textId="77777777" w:rsidR="007B3592" w:rsidRDefault="007B3592" w:rsidP="007D79AF">
                      <w:pPr>
                        <w:spacing w:after="0" w:line="240" w:lineRule="auto"/>
                      </w:pPr>
                    </w:p>
                    <w:p w14:paraId="059D3A3B" w14:textId="021170FF" w:rsidR="00043524" w:rsidRDefault="00043524" w:rsidP="007D79AF">
                      <w:pPr>
                        <w:spacing w:after="0" w:line="240" w:lineRule="auto"/>
                      </w:pPr>
                      <w:r w:rsidRPr="00863119">
                        <w:t>The Standing Committee is invited to</w:t>
                      </w:r>
                      <w:r>
                        <w:t>:</w:t>
                      </w:r>
                      <w:r w:rsidRPr="00863119">
                        <w:t xml:space="preserve"> </w:t>
                      </w:r>
                    </w:p>
                    <w:p w14:paraId="7BCF9497" w14:textId="77777777" w:rsidR="007D79AF" w:rsidRDefault="007D79AF" w:rsidP="007D79AF">
                      <w:pPr>
                        <w:spacing w:after="0" w:line="240" w:lineRule="auto"/>
                        <w:ind w:left="425" w:hanging="425"/>
                      </w:pPr>
                    </w:p>
                    <w:p w14:paraId="658456AB" w14:textId="5647064C" w:rsidR="00A615A8" w:rsidRDefault="00043524" w:rsidP="007D79AF">
                      <w:pPr>
                        <w:spacing w:after="0" w:line="240" w:lineRule="auto"/>
                        <w:ind w:left="425" w:hanging="425"/>
                      </w:pPr>
                      <w:r>
                        <w:t>i.</w:t>
                      </w:r>
                      <w:r>
                        <w:tab/>
                      </w:r>
                      <w:r w:rsidRPr="00AC0464">
                        <w:t>take note of the progress</w:t>
                      </w:r>
                      <w:r>
                        <w:t xml:space="preserve"> of the </w:t>
                      </w:r>
                      <w:r w:rsidR="00D2518D">
                        <w:t xml:space="preserve">work of the </w:t>
                      </w:r>
                      <w:r>
                        <w:t>Observer Status Working Group</w:t>
                      </w:r>
                      <w:r w:rsidRPr="00AC0464">
                        <w:t xml:space="preserve"> </w:t>
                      </w:r>
                      <w:r w:rsidR="00A615A8">
                        <w:t>according to the mandate of the Standing Committee.</w:t>
                      </w:r>
                      <w:r w:rsidR="00CD0C2B">
                        <w:t>; and</w:t>
                      </w:r>
                    </w:p>
                    <w:p w14:paraId="20FDDB07" w14:textId="77777777" w:rsidR="00D2518D" w:rsidRDefault="00D2518D" w:rsidP="007D79AF">
                      <w:pPr>
                        <w:spacing w:after="0" w:line="240" w:lineRule="auto"/>
                        <w:ind w:left="425" w:hanging="425"/>
                      </w:pPr>
                    </w:p>
                    <w:p w14:paraId="45C86D84" w14:textId="7180050E" w:rsidR="0031116C" w:rsidRDefault="00A615A8" w:rsidP="007D79AF">
                      <w:pPr>
                        <w:spacing w:after="0" w:line="240" w:lineRule="auto"/>
                        <w:ind w:left="425" w:hanging="425"/>
                        <w:rPr>
                          <w:rFonts w:cs="Garamond"/>
                        </w:rPr>
                      </w:pPr>
                      <w:r>
                        <w:rPr>
                          <w:rFonts w:cs="Garamond"/>
                        </w:rPr>
                        <w:t xml:space="preserve"> </w:t>
                      </w:r>
                      <w:r w:rsidR="00043524">
                        <w:rPr>
                          <w:rFonts w:cs="Garamond"/>
                        </w:rPr>
                        <w:t>ii.</w:t>
                      </w:r>
                      <w:r w:rsidR="00043524">
                        <w:rPr>
                          <w:rFonts w:cs="Garamond"/>
                        </w:rPr>
                        <w:tab/>
                      </w:r>
                      <w:r w:rsidR="0003654E">
                        <w:rPr>
                          <w:rFonts w:cs="Garamond"/>
                        </w:rPr>
                        <w:t xml:space="preserve">discuss and </w:t>
                      </w:r>
                      <w:r w:rsidR="0031116C" w:rsidRPr="0003654E">
                        <w:rPr>
                          <w:rFonts w:cs="Garamond"/>
                        </w:rPr>
                        <w:t xml:space="preserve">agree </w:t>
                      </w:r>
                      <w:r w:rsidR="00D2518D" w:rsidRPr="0003654E">
                        <w:rPr>
                          <w:rFonts w:cs="Garamond"/>
                        </w:rPr>
                        <w:t>o</w:t>
                      </w:r>
                      <w:r w:rsidR="00236658" w:rsidRPr="0003654E">
                        <w:rPr>
                          <w:rFonts w:cs="Garamond"/>
                        </w:rPr>
                        <w:t>n</w:t>
                      </w:r>
                      <w:r w:rsidR="00D2518D" w:rsidRPr="0003654E">
                        <w:rPr>
                          <w:rFonts w:cs="Garamond"/>
                        </w:rPr>
                        <w:t xml:space="preserve"> the</w:t>
                      </w:r>
                      <w:r w:rsidR="00236658" w:rsidRPr="0003654E">
                        <w:rPr>
                          <w:rFonts w:cs="Garamond"/>
                        </w:rPr>
                        <w:t xml:space="preserve"> way forward on the observer status matters</w:t>
                      </w:r>
                      <w:r w:rsidR="00215218" w:rsidRPr="0003654E">
                        <w:rPr>
                          <w:rFonts w:cs="Garamond"/>
                        </w:rPr>
                        <w:t xml:space="preserve"> taking into account considerations of the Working Group</w:t>
                      </w:r>
                      <w:r w:rsidR="00CD0C2B">
                        <w:rPr>
                          <w:rFonts w:cs="Garamond"/>
                        </w:rPr>
                        <w:t>.</w:t>
                      </w:r>
                    </w:p>
                  </w:txbxContent>
                </v:textbox>
                <w10:anchorlock/>
              </v:shape>
            </w:pict>
          </mc:Fallback>
        </mc:AlternateContent>
      </w:r>
    </w:p>
    <w:p w14:paraId="5B9FD114" w14:textId="77777777" w:rsidR="00043524" w:rsidRPr="00CF758B" w:rsidRDefault="00043524" w:rsidP="00166ADC">
      <w:pPr>
        <w:spacing w:after="0" w:line="240" w:lineRule="auto"/>
        <w:rPr>
          <w:rFonts w:cstheme="minorHAnsi"/>
        </w:rPr>
      </w:pPr>
    </w:p>
    <w:p w14:paraId="1D24C402" w14:textId="77777777" w:rsidR="007D79AF" w:rsidRPr="00CF758B" w:rsidRDefault="007D79AF" w:rsidP="00166ADC">
      <w:pPr>
        <w:spacing w:after="0" w:line="240" w:lineRule="auto"/>
        <w:rPr>
          <w:rFonts w:cstheme="minorHAnsi"/>
        </w:rPr>
      </w:pPr>
    </w:p>
    <w:p w14:paraId="26804F1A" w14:textId="77777777" w:rsidR="00E92C39" w:rsidRPr="00CF758B" w:rsidRDefault="00E92C39" w:rsidP="00166ADC">
      <w:pPr>
        <w:spacing w:after="0" w:line="240" w:lineRule="auto"/>
        <w:rPr>
          <w:rFonts w:cstheme="minorHAnsi"/>
          <w:b/>
        </w:rPr>
      </w:pPr>
      <w:r w:rsidRPr="00CF758B">
        <w:rPr>
          <w:rFonts w:cstheme="minorHAnsi"/>
          <w:b/>
        </w:rPr>
        <w:t>Background</w:t>
      </w:r>
    </w:p>
    <w:p w14:paraId="23677223" w14:textId="77777777" w:rsidR="00401270" w:rsidRPr="00CF758B" w:rsidRDefault="00401270" w:rsidP="00166ADC">
      <w:pPr>
        <w:spacing w:after="0" w:line="240" w:lineRule="auto"/>
        <w:rPr>
          <w:rFonts w:cstheme="minorHAnsi"/>
        </w:rPr>
      </w:pPr>
    </w:p>
    <w:p w14:paraId="52926C73" w14:textId="0CEFB435" w:rsidR="00401270" w:rsidRPr="00CF758B" w:rsidRDefault="00CF758B" w:rsidP="00166ADC">
      <w:pPr>
        <w:pStyle w:val="ColorfulList-Accent11"/>
        <w:ind w:left="426" w:hanging="426"/>
        <w:contextualSpacing w:val="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00401270" w:rsidRPr="00CF758B">
        <w:rPr>
          <w:rFonts w:asciiTheme="minorHAnsi" w:hAnsiTheme="minorHAnsi" w:cstheme="minorHAnsi"/>
        </w:rPr>
        <w:t xml:space="preserve">In Decision SC55-12, the Standing Committee instructed the Secretariat, with support from an informal group of interested Contracting Parties, to bring forward a structured proposal regarding the possibility of the Convention obtaining observer status at the United Nations General Assembly, taking into account the various options, for consideration at </w:t>
      </w:r>
      <w:r w:rsidR="009821C3" w:rsidRPr="00CF758B">
        <w:rPr>
          <w:rFonts w:asciiTheme="minorHAnsi" w:hAnsiTheme="minorHAnsi" w:cstheme="minorHAnsi"/>
        </w:rPr>
        <w:t>its 57th meeting (</w:t>
      </w:r>
      <w:r w:rsidR="00401270" w:rsidRPr="00CF758B">
        <w:rPr>
          <w:rFonts w:asciiTheme="minorHAnsi" w:hAnsiTheme="minorHAnsi" w:cstheme="minorHAnsi"/>
        </w:rPr>
        <w:t>SC57</w:t>
      </w:r>
      <w:r w:rsidR="009821C3" w:rsidRPr="00CF758B">
        <w:rPr>
          <w:rFonts w:asciiTheme="minorHAnsi" w:hAnsiTheme="minorHAnsi" w:cstheme="minorHAnsi"/>
        </w:rPr>
        <w:t>)</w:t>
      </w:r>
      <w:r w:rsidR="00401270" w:rsidRPr="00CF758B">
        <w:rPr>
          <w:rFonts w:asciiTheme="minorHAnsi" w:hAnsiTheme="minorHAnsi" w:cstheme="minorHAnsi"/>
        </w:rPr>
        <w:t>.</w:t>
      </w:r>
    </w:p>
    <w:p w14:paraId="56575968" w14:textId="77777777" w:rsidR="00401270" w:rsidRPr="00CF758B" w:rsidRDefault="00401270" w:rsidP="00166ADC">
      <w:pPr>
        <w:pStyle w:val="ColorfulList-Accent11"/>
        <w:ind w:left="426" w:hanging="426"/>
        <w:contextualSpacing w:val="0"/>
        <w:rPr>
          <w:rFonts w:asciiTheme="minorHAnsi" w:hAnsiTheme="minorHAnsi" w:cstheme="minorHAnsi"/>
        </w:rPr>
      </w:pPr>
    </w:p>
    <w:p w14:paraId="700DDE9E" w14:textId="5F05A6B2" w:rsidR="00401270" w:rsidRPr="00CF758B" w:rsidRDefault="00CF758B" w:rsidP="00166ADC">
      <w:pPr>
        <w:pStyle w:val="ColorfulList-Accent11"/>
        <w:ind w:left="426" w:hanging="426"/>
        <w:contextualSpacing w:val="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401270" w:rsidRPr="00CF758B">
        <w:rPr>
          <w:rFonts w:asciiTheme="minorHAnsi" w:hAnsiTheme="minorHAnsi" w:cstheme="minorHAnsi"/>
        </w:rPr>
        <w:t xml:space="preserve">The Secretariat contacted all Parties to determine if any were interested in pursuing the process. As a result a small informal group was convened, comprising Bolivia (Plurinational State of), Chad, Colombia, Guinea, the United States of America and Uruguay. </w:t>
      </w:r>
    </w:p>
    <w:p w14:paraId="5F224C8E" w14:textId="77777777" w:rsidR="00401270" w:rsidRPr="00CF758B" w:rsidRDefault="00401270" w:rsidP="00166ADC">
      <w:pPr>
        <w:pStyle w:val="ColorfulList-Accent11"/>
        <w:ind w:left="426" w:hanging="426"/>
        <w:contextualSpacing w:val="0"/>
        <w:rPr>
          <w:rFonts w:asciiTheme="minorHAnsi" w:hAnsiTheme="minorHAnsi" w:cstheme="minorHAnsi"/>
        </w:rPr>
      </w:pPr>
    </w:p>
    <w:p w14:paraId="41DFD8D9" w14:textId="585429EA" w:rsidR="00401270" w:rsidRPr="00CF758B" w:rsidRDefault="00CF758B" w:rsidP="00166ADC">
      <w:pPr>
        <w:pStyle w:val="ColorfulList-Accent11"/>
        <w:ind w:left="426" w:hanging="426"/>
        <w:contextualSpacing w:val="0"/>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401270" w:rsidRPr="00CF758B">
        <w:rPr>
          <w:rFonts w:asciiTheme="minorHAnsi" w:hAnsiTheme="minorHAnsi" w:cstheme="minorHAnsi"/>
        </w:rPr>
        <w:t>Bolivia (Plurinational State of) presented the report of the informal group</w:t>
      </w:r>
      <w:r w:rsidR="007916F1" w:rsidRPr="00CF758B">
        <w:rPr>
          <w:rFonts w:asciiTheme="minorHAnsi" w:hAnsiTheme="minorHAnsi" w:cstheme="minorHAnsi"/>
        </w:rPr>
        <w:t xml:space="preserve"> at </w:t>
      </w:r>
      <w:r w:rsidR="009821C3" w:rsidRPr="00CF758B">
        <w:rPr>
          <w:rFonts w:asciiTheme="minorHAnsi" w:hAnsiTheme="minorHAnsi" w:cstheme="minorHAnsi"/>
        </w:rPr>
        <w:t>SC</w:t>
      </w:r>
      <w:r w:rsidR="007916F1" w:rsidRPr="00CF758B">
        <w:rPr>
          <w:rFonts w:asciiTheme="minorHAnsi" w:hAnsiTheme="minorHAnsi" w:cstheme="minorHAnsi"/>
        </w:rPr>
        <w:t>57</w:t>
      </w:r>
      <w:r w:rsidR="00401270" w:rsidRPr="00CF758B">
        <w:rPr>
          <w:rFonts w:asciiTheme="minorHAnsi" w:hAnsiTheme="minorHAnsi" w:cstheme="minorHAnsi"/>
        </w:rPr>
        <w:t xml:space="preserve">, with three recommendations for Standing Committee consideration </w:t>
      </w:r>
      <w:r w:rsidR="009821C3" w:rsidRPr="00CF758B">
        <w:rPr>
          <w:rFonts w:asciiTheme="minorHAnsi" w:hAnsiTheme="minorHAnsi" w:cstheme="minorHAnsi"/>
        </w:rPr>
        <w:t xml:space="preserve">on </w:t>
      </w:r>
      <w:r w:rsidR="00401270" w:rsidRPr="00CF758B">
        <w:rPr>
          <w:rFonts w:asciiTheme="minorHAnsi" w:hAnsiTheme="minorHAnsi" w:cstheme="minorHAnsi"/>
        </w:rPr>
        <w:t>the way forward on the observer status.</w:t>
      </w:r>
    </w:p>
    <w:p w14:paraId="438EE0F0" w14:textId="77777777" w:rsidR="00401270" w:rsidRPr="00CF758B" w:rsidRDefault="00401270" w:rsidP="00166ADC">
      <w:pPr>
        <w:pStyle w:val="ColorfulList-Accent11"/>
        <w:ind w:left="426" w:hanging="426"/>
        <w:contextualSpacing w:val="0"/>
        <w:rPr>
          <w:rFonts w:asciiTheme="minorHAnsi" w:hAnsiTheme="minorHAnsi" w:cstheme="minorHAnsi"/>
        </w:rPr>
      </w:pPr>
    </w:p>
    <w:p w14:paraId="5B582470" w14:textId="2FD8D1F2" w:rsidR="00401270" w:rsidRPr="00CF758B" w:rsidRDefault="00CF758B" w:rsidP="00166ADC">
      <w:pPr>
        <w:pStyle w:val="ColorfulList-Accent11"/>
        <w:ind w:left="426" w:hanging="426"/>
        <w:contextualSpacing w:val="0"/>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9821C3" w:rsidRPr="00CF758B">
        <w:rPr>
          <w:rFonts w:asciiTheme="minorHAnsi" w:hAnsiTheme="minorHAnsi" w:cstheme="minorHAnsi"/>
        </w:rPr>
        <w:t xml:space="preserve">The </w:t>
      </w:r>
      <w:r w:rsidR="007916F1" w:rsidRPr="00CF758B">
        <w:rPr>
          <w:rFonts w:asciiTheme="minorHAnsi" w:hAnsiTheme="minorHAnsi" w:cstheme="minorHAnsi"/>
        </w:rPr>
        <w:t>Standing Committee (</w:t>
      </w:r>
      <w:r w:rsidR="009821C3" w:rsidRPr="00CF758B">
        <w:rPr>
          <w:rFonts w:asciiTheme="minorHAnsi" w:hAnsiTheme="minorHAnsi" w:cstheme="minorHAnsi"/>
        </w:rPr>
        <w:t xml:space="preserve">through </w:t>
      </w:r>
      <w:r w:rsidR="00401270" w:rsidRPr="00CF758B">
        <w:rPr>
          <w:rFonts w:asciiTheme="minorHAnsi" w:hAnsiTheme="minorHAnsi" w:cstheme="minorHAnsi"/>
        </w:rPr>
        <w:t>Decision SC57-14</w:t>
      </w:r>
      <w:r w:rsidR="007916F1" w:rsidRPr="00CF758B">
        <w:rPr>
          <w:rFonts w:asciiTheme="minorHAnsi" w:hAnsiTheme="minorHAnsi" w:cstheme="minorHAnsi"/>
        </w:rPr>
        <w:t xml:space="preserve">) </w:t>
      </w:r>
      <w:r w:rsidR="002805FE" w:rsidRPr="00CF758B">
        <w:rPr>
          <w:rFonts w:asciiTheme="minorHAnsi" w:hAnsiTheme="minorHAnsi" w:cstheme="minorHAnsi"/>
        </w:rPr>
        <w:t>a</w:t>
      </w:r>
      <w:r w:rsidR="00401270" w:rsidRPr="00CF758B">
        <w:rPr>
          <w:rFonts w:asciiTheme="minorHAnsi" w:hAnsiTheme="minorHAnsi" w:cstheme="minorHAnsi"/>
        </w:rPr>
        <w:t>greed the following way forward on the observer status:</w:t>
      </w:r>
    </w:p>
    <w:p w14:paraId="5F7AC0F1" w14:textId="77777777" w:rsidR="007916F1" w:rsidRPr="00CF758B" w:rsidRDefault="007916F1" w:rsidP="00166ADC">
      <w:pPr>
        <w:pStyle w:val="ColorfulList-Accent11"/>
        <w:ind w:left="0" w:firstLine="0"/>
        <w:contextualSpacing w:val="0"/>
        <w:rPr>
          <w:rFonts w:asciiTheme="minorHAnsi" w:hAnsiTheme="minorHAnsi" w:cstheme="minorHAnsi"/>
        </w:rPr>
      </w:pPr>
    </w:p>
    <w:p w14:paraId="0348B8BE" w14:textId="618E8A71" w:rsidR="00401270" w:rsidRPr="00CF758B" w:rsidRDefault="00401270" w:rsidP="00166ADC">
      <w:pPr>
        <w:spacing w:after="0" w:line="240" w:lineRule="auto"/>
        <w:ind w:left="851" w:hanging="425"/>
        <w:rPr>
          <w:rFonts w:cstheme="minorHAnsi"/>
        </w:rPr>
      </w:pPr>
      <w:r w:rsidRPr="00CF758B">
        <w:rPr>
          <w:rFonts w:cstheme="minorHAnsi"/>
        </w:rPr>
        <w:t>a.</w:t>
      </w:r>
      <w:r w:rsidRPr="00CF758B">
        <w:rPr>
          <w:rFonts w:cstheme="minorHAnsi"/>
        </w:rPr>
        <w:tab/>
        <w:t xml:space="preserve">Endorsement by SC57 of the continuity of the Observer Status Working Group (previously </w:t>
      </w:r>
      <w:r w:rsidR="009821C3" w:rsidRPr="00CF758B">
        <w:rPr>
          <w:rFonts w:cstheme="minorHAnsi"/>
        </w:rPr>
        <w:t xml:space="preserve">the </w:t>
      </w:r>
      <w:r w:rsidRPr="00CF758B">
        <w:rPr>
          <w:rFonts w:cstheme="minorHAnsi"/>
        </w:rPr>
        <w:t xml:space="preserve">informal group) with the inclusion of Mexico, the Russian Federation and Switzerland; </w:t>
      </w:r>
    </w:p>
    <w:p w14:paraId="17E406AD" w14:textId="77777777" w:rsidR="0031116C" w:rsidRPr="00CF758B" w:rsidRDefault="0031116C" w:rsidP="00166ADC">
      <w:pPr>
        <w:spacing w:after="0" w:line="240" w:lineRule="auto"/>
        <w:ind w:left="851" w:hanging="425"/>
        <w:rPr>
          <w:rFonts w:cstheme="minorHAnsi"/>
        </w:rPr>
      </w:pPr>
    </w:p>
    <w:p w14:paraId="21E0D06D" w14:textId="0195BF6C" w:rsidR="00401270" w:rsidRPr="00CF758B" w:rsidRDefault="00401270" w:rsidP="00166ADC">
      <w:pPr>
        <w:spacing w:after="0" w:line="240" w:lineRule="auto"/>
        <w:ind w:left="851" w:hanging="425"/>
        <w:rPr>
          <w:rFonts w:cstheme="minorHAnsi"/>
        </w:rPr>
      </w:pPr>
      <w:r w:rsidRPr="00CF758B">
        <w:rPr>
          <w:rFonts w:cstheme="minorHAnsi"/>
        </w:rPr>
        <w:t>b.</w:t>
      </w:r>
      <w:r w:rsidRPr="00CF758B">
        <w:rPr>
          <w:rFonts w:cstheme="minorHAnsi"/>
        </w:rPr>
        <w:tab/>
        <w:t xml:space="preserve">Analysis of the different options and other options that might not yet have been addressed including inputs from the Legal Adviser and </w:t>
      </w:r>
      <w:r w:rsidR="009821C3" w:rsidRPr="00CF758B">
        <w:rPr>
          <w:rFonts w:cstheme="minorHAnsi"/>
        </w:rPr>
        <w:t>those</w:t>
      </w:r>
      <w:r w:rsidRPr="00CF758B">
        <w:rPr>
          <w:rFonts w:cstheme="minorHAnsi"/>
        </w:rPr>
        <w:t xml:space="preserve"> received from Parties during the meeting;</w:t>
      </w:r>
      <w:r w:rsidR="009821C3" w:rsidRPr="00CF758B">
        <w:rPr>
          <w:rFonts w:cstheme="minorHAnsi"/>
        </w:rPr>
        <w:t xml:space="preserve"> and</w:t>
      </w:r>
    </w:p>
    <w:p w14:paraId="48A8AB35" w14:textId="77777777" w:rsidR="00D15AFB" w:rsidRPr="00CF758B" w:rsidRDefault="00D15AFB" w:rsidP="00166ADC">
      <w:pPr>
        <w:spacing w:after="0" w:line="240" w:lineRule="auto"/>
        <w:ind w:left="851" w:hanging="425"/>
        <w:rPr>
          <w:rFonts w:cstheme="minorHAnsi"/>
        </w:rPr>
      </w:pPr>
    </w:p>
    <w:p w14:paraId="09BCE048" w14:textId="75204BCD" w:rsidR="007916F1" w:rsidRPr="00CF758B" w:rsidRDefault="00401270" w:rsidP="00166ADC">
      <w:pPr>
        <w:tabs>
          <w:tab w:val="left" w:pos="709"/>
        </w:tabs>
        <w:spacing w:after="0" w:line="240" w:lineRule="auto"/>
        <w:ind w:left="851" w:hanging="425"/>
        <w:rPr>
          <w:rFonts w:cstheme="minorHAnsi"/>
        </w:rPr>
      </w:pPr>
      <w:r w:rsidRPr="00CF758B">
        <w:rPr>
          <w:rFonts w:cstheme="minorHAnsi"/>
        </w:rPr>
        <w:lastRenderedPageBreak/>
        <w:t>c.</w:t>
      </w:r>
      <w:r w:rsidRPr="00CF758B">
        <w:rPr>
          <w:rFonts w:cstheme="minorHAnsi"/>
        </w:rPr>
        <w:tab/>
      </w:r>
      <w:r w:rsidR="00E45434" w:rsidRPr="00CF758B">
        <w:rPr>
          <w:rFonts w:cstheme="minorHAnsi"/>
        </w:rPr>
        <w:tab/>
      </w:r>
      <w:r w:rsidR="002805FE" w:rsidRPr="00CF758B">
        <w:rPr>
          <w:rFonts w:cstheme="minorHAnsi"/>
        </w:rPr>
        <w:t xml:space="preserve">Allocation of funds from the </w:t>
      </w:r>
      <w:r w:rsidR="009821C3" w:rsidRPr="00CF758B">
        <w:rPr>
          <w:rFonts w:cstheme="minorHAnsi"/>
        </w:rPr>
        <w:t xml:space="preserve">core budget </w:t>
      </w:r>
      <w:r w:rsidR="002805FE" w:rsidRPr="00CF758B">
        <w:rPr>
          <w:rFonts w:cstheme="minorHAnsi"/>
        </w:rPr>
        <w:t xml:space="preserve">surplus for the independent analysis to be presented at </w:t>
      </w:r>
      <w:r w:rsidR="009821C3" w:rsidRPr="00CF758B">
        <w:rPr>
          <w:rFonts w:cstheme="minorHAnsi"/>
        </w:rPr>
        <w:t>SC58</w:t>
      </w:r>
      <w:r w:rsidR="002805FE" w:rsidRPr="00CF758B">
        <w:rPr>
          <w:rFonts w:cstheme="minorHAnsi"/>
        </w:rPr>
        <w:t>.</w:t>
      </w:r>
      <w:r w:rsidR="002805FE" w:rsidRPr="00CF758B">
        <w:rPr>
          <w:rStyle w:val="FootnoteReference"/>
          <w:rFonts w:cstheme="minorHAnsi"/>
        </w:rPr>
        <w:footnoteReference w:id="1"/>
      </w:r>
    </w:p>
    <w:p w14:paraId="2DF4DD55" w14:textId="77777777" w:rsidR="007916F1" w:rsidRPr="00CF758B" w:rsidRDefault="007916F1" w:rsidP="00166ADC">
      <w:pPr>
        <w:tabs>
          <w:tab w:val="left" w:pos="426"/>
        </w:tabs>
        <w:spacing w:after="0" w:line="240" w:lineRule="auto"/>
        <w:ind w:left="567" w:hanging="567"/>
        <w:rPr>
          <w:rFonts w:cstheme="minorHAnsi"/>
        </w:rPr>
      </w:pPr>
    </w:p>
    <w:p w14:paraId="25DBE20B" w14:textId="77777777" w:rsidR="00982AE6" w:rsidRPr="00CF758B" w:rsidRDefault="00982AE6" w:rsidP="00166ADC">
      <w:pPr>
        <w:spacing w:after="0" w:line="240" w:lineRule="auto"/>
        <w:ind w:left="284" w:hanging="284"/>
        <w:rPr>
          <w:rFonts w:cstheme="minorHAnsi"/>
          <w:b/>
        </w:rPr>
      </w:pPr>
      <w:r w:rsidRPr="00CF758B">
        <w:rPr>
          <w:rFonts w:cstheme="minorHAnsi"/>
          <w:b/>
        </w:rPr>
        <w:t xml:space="preserve">Summary of the process undertaken by the Working Group on the legal analysis </w:t>
      </w:r>
    </w:p>
    <w:p w14:paraId="7F7B8381" w14:textId="77777777" w:rsidR="007D79AF" w:rsidRPr="00CF758B" w:rsidRDefault="007D79AF" w:rsidP="00166ADC">
      <w:pPr>
        <w:spacing w:after="0" w:line="240" w:lineRule="auto"/>
        <w:ind w:left="284" w:hanging="284"/>
        <w:rPr>
          <w:rFonts w:cstheme="minorHAnsi"/>
          <w:b/>
        </w:rPr>
      </w:pPr>
    </w:p>
    <w:p w14:paraId="4070DEF4" w14:textId="6FD46A7E" w:rsidR="009076D7" w:rsidRPr="00CF758B" w:rsidRDefault="00CF758B" w:rsidP="00166ADC">
      <w:pPr>
        <w:spacing w:after="0" w:line="240" w:lineRule="auto"/>
        <w:ind w:left="426" w:hanging="426"/>
        <w:rPr>
          <w:rFonts w:cstheme="minorHAnsi"/>
        </w:rPr>
      </w:pPr>
      <w:r>
        <w:rPr>
          <w:rFonts w:cstheme="minorHAnsi"/>
        </w:rPr>
        <w:t>5.</w:t>
      </w:r>
      <w:r>
        <w:rPr>
          <w:rFonts w:cstheme="minorHAnsi"/>
        </w:rPr>
        <w:tab/>
      </w:r>
      <w:r w:rsidR="009757B9" w:rsidRPr="00CF758B">
        <w:rPr>
          <w:rFonts w:cstheme="minorHAnsi"/>
        </w:rPr>
        <w:t xml:space="preserve">As noted in the report of the Working Group to </w:t>
      </w:r>
      <w:r w:rsidR="002315B6" w:rsidRPr="00CF758B">
        <w:rPr>
          <w:rFonts w:cstheme="minorHAnsi"/>
        </w:rPr>
        <w:t>SC</w:t>
      </w:r>
      <w:r w:rsidR="009757B9" w:rsidRPr="00CF758B">
        <w:rPr>
          <w:rFonts w:cstheme="minorHAnsi"/>
        </w:rPr>
        <w:t>59</w:t>
      </w:r>
      <w:r w:rsidR="001D3BBC" w:rsidRPr="00CF758B">
        <w:rPr>
          <w:rFonts w:cstheme="minorHAnsi"/>
        </w:rPr>
        <w:t xml:space="preserve">, </w:t>
      </w:r>
      <w:r w:rsidR="009757B9" w:rsidRPr="00CF758B">
        <w:rPr>
          <w:rFonts w:cstheme="minorHAnsi"/>
        </w:rPr>
        <w:t>document SC59</w:t>
      </w:r>
      <w:r w:rsidR="002315B6" w:rsidRPr="00CF758B">
        <w:rPr>
          <w:rFonts w:cstheme="minorHAnsi"/>
        </w:rPr>
        <w:t xml:space="preserve"> </w:t>
      </w:r>
      <w:r w:rsidR="009757B9" w:rsidRPr="00CF758B">
        <w:rPr>
          <w:rFonts w:cstheme="minorHAnsi"/>
        </w:rPr>
        <w:t>Doc</w:t>
      </w:r>
      <w:r w:rsidR="002315B6" w:rsidRPr="00CF758B">
        <w:rPr>
          <w:rFonts w:cstheme="minorHAnsi"/>
        </w:rPr>
        <w:t>.</w:t>
      </w:r>
      <w:r w:rsidR="009757B9" w:rsidRPr="00CF758B">
        <w:rPr>
          <w:rFonts w:cstheme="minorHAnsi"/>
        </w:rPr>
        <w:t>14, d</w:t>
      </w:r>
      <w:r w:rsidR="009076D7" w:rsidRPr="00CF758B">
        <w:rPr>
          <w:rFonts w:cstheme="minorHAnsi"/>
        </w:rPr>
        <w:t>uring 20</w:t>
      </w:r>
      <w:r w:rsidR="002805FE" w:rsidRPr="00CF758B">
        <w:rPr>
          <w:rFonts w:cstheme="minorHAnsi"/>
        </w:rPr>
        <w:t>20</w:t>
      </w:r>
      <w:r w:rsidR="009076D7" w:rsidRPr="00CF758B">
        <w:rPr>
          <w:rFonts w:cstheme="minorHAnsi"/>
        </w:rPr>
        <w:t xml:space="preserve"> </w:t>
      </w:r>
      <w:r w:rsidR="00356A11" w:rsidRPr="00CF758B">
        <w:rPr>
          <w:rFonts w:cstheme="minorHAnsi"/>
        </w:rPr>
        <w:t xml:space="preserve">and 2021 </w:t>
      </w:r>
      <w:r w:rsidR="002805FE" w:rsidRPr="00CF758B">
        <w:rPr>
          <w:rFonts w:cstheme="minorHAnsi"/>
        </w:rPr>
        <w:t xml:space="preserve">the </w:t>
      </w:r>
      <w:r w:rsidR="002315B6" w:rsidRPr="00CF758B">
        <w:rPr>
          <w:rFonts w:cstheme="minorHAnsi"/>
        </w:rPr>
        <w:t xml:space="preserve">Group </w:t>
      </w:r>
      <w:r w:rsidR="002805FE" w:rsidRPr="00CF758B">
        <w:rPr>
          <w:rFonts w:cstheme="minorHAnsi"/>
        </w:rPr>
        <w:t xml:space="preserve">held </w:t>
      </w:r>
      <w:r w:rsidR="00ED13E3" w:rsidRPr="00CF758B">
        <w:rPr>
          <w:rFonts w:cstheme="minorHAnsi"/>
        </w:rPr>
        <w:t xml:space="preserve">four </w:t>
      </w:r>
      <w:r w:rsidR="002805FE" w:rsidRPr="00CF758B">
        <w:rPr>
          <w:rFonts w:cstheme="minorHAnsi"/>
        </w:rPr>
        <w:t>conference calls</w:t>
      </w:r>
      <w:r w:rsidR="009076D7" w:rsidRPr="00CF758B">
        <w:rPr>
          <w:rFonts w:cstheme="minorHAnsi"/>
        </w:rPr>
        <w:t xml:space="preserve"> and prepared its work plan according to the mandate of the Standing Committee.</w:t>
      </w:r>
    </w:p>
    <w:p w14:paraId="4526107B" w14:textId="77777777" w:rsidR="00ED13E3" w:rsidRPr="00CF758B" w:rsidRDefault="00ED13E3" w:rsidP="00166ADC">
      <w:pPr>
        <w:spacing w:after="0" w:line="240" w:lineRule="auto"/>
        <w:ind w:left="426" w:hanging="426"/>
        <w:rPr>
          <w:rFonts w:cstheme="minorHAnsi"/>
        </w:rPr>
      </w:pPr>
    </w:p>
    <w:p w14:paraId="6053105B" w14:textId="529803FE" w:rsidR="00A464D6" w:rsidRPr="00CF758B" w:rsidRDefault="00CF758B" w:rsidP="00166ADC">
      <w:pPr>
        <w:pStyle w:val="wordsection1"/>
        <w:spacing w:before="0" w:beforeAutospacing="0" w:after="0" w:afterAutospacing="0"/>
        <w:ind w:left="426" w:hanging="426"/>
        <w:rPr>
          <w:rFonts w:asciiTheme="minorHAnsi" w:hAnsiTheme="minorHAnsi" w:cstheme="minorHAnsi"/>
          <w:sz w:val="22"/>
          <w:szCs w:val="22"/>
        </w:rPr>
      </w:pPr>
      <w:r>
        <w:rPr>
          <w:rFonts w:asciiTheme="minorHAnsi" w:hAnsiTheme="minorHAnsi" w:cstheme="minorHAnsi"/>
          <w:sz w:val="22"/>
          <w:szCs w:val="22"/>
          <w:lang w:val="en-US"/>
        </w:rPr>
        <w:t>6.</w:t>
      </w:r>
      <w:r>
        <w:rPr>
          <w:rFonts w:asciiTheme="minorHAnsi" w:hAnsiTheme="minorHAnsi" w:cstheme="minorHAnsi"/>
          <w:sz w:val="22"/>
          <w:szCs w:val="22"/>
          <w:lang w:val="en-US"/>
        </w:rPr>
        <w:tab/>
      </w:r>
      <w:r w:rsidR="00ED13E3" w:rsidRPr="00CF758B">
        <w:rPr>
          <w:rFonts w:asciiTheme="minorHAnsi" w:hAnsiTheme="minorHAnsi" w:cstheme="minorHAnsi"/>
          <w:sz w:val="22"/>
          <w:szCs w:val="22"/>
          <w:lang w:val="en-US"/>
        </w:rPr>
        <w:t>T</w:t>
      </w:r>
      <w:r w:rsidR="00ED13E3" w:rsidRPr="00CF758B">
        <w:rPr>
          <w:rFonts w:asciiTheme="minorHAnsi" w:hAnsiTheme="minorHAnsi" w:cstheme="minorHAnsi"/>
          <w:sz w:val="22"/>
          <w:szCs w:val="22"/>
        </w:rPr>
        <w:t xml:space="preserve">he </w:t>
      </w:r>
      <w:r w:rsidR="00A464D6" w:rsidRPr="00CF758B">
        <w:rPr>
          <w:rFonts w:asciiTheme="minorHAnsi" w:hAnsiTheme="minorHAnsi" w:cstheme="minorHAnsi"/>
          <w:sz w:val="22"/>
          <w:szCs w:val="22"/>
        </w:rPr>
        <w:t xml:space="preserve">report also </w:t>
      </w:r>
      <w:r w:rsidR="002315B6" w:rsidRPr="00CF758B">
        <w:rPr>
          <w:rFonts w:asciiTheme="minorHAnsi" w:hAnsiTheme="minorHAnsi" w:cstheme="minorHAnsi"/>
          <w:sz w:val="22"/>
          <w:szCs w:val="22"/>
        </w:rPr>
        <w:t>provided</w:t>
      </w:r>
      <w:r w:rsidR="00A464D6" w:rsidRPr="00CF758B">
        <w:rPr>
          <w:rFonts w:asciiTheme="minorHAnsi" w:hAnsiTheme="minorHAnsi" w:cstheme="minorHAnsi"/>
          <w:sz w:val="22"/>
          <w:szCs w:val="22"/>
        </w:rPr>
        <w:t>:</w:t>
      </w:r>
    </w:p>
    <w:p w14:paraId="6DA74C72" w14:textId="77777777" w:rsidR="00A464D6" w:rsidRPr="00CF758B" w:rsidRDefault="00A464D6" w:rsidP="00166ADC">
      <w:pPr>
        <w:pStyle w:val="ListParagraph"/>
        <w:jc w:val="left"/>
        <w:rPr>
          <w:rFonts w:asciiTheme="minorHAnsi" w:hAnsiTheme="minorHAnsi" w:cstheme="minorHAnsi"/>
        </w:rPr>
      </w:pPr>
    </w:p>
    <w:p w14:paraId="462CA601" w14:textId="2CCD638D" w:rsidR="00ED13E3" w:rsidRPr="00CF758B" w:rsidRDefault="00A464D6" w:rsidP="00166ADC">
      <w:pPr>
        <w:pStyle w:val="wordsection1"/>
        <w:spacing w:before="0" w:beforeAutospacing="0" w:after="0" w:afterAutospacing="0"/>
        <w:ind w:left="851" w:hanging="425"/>
        <w:rPr>
          <w:rFonts w:asciiTheme="minorHAnsi" w:hAnsiTheme="minorHAnsi" w:cstheme="minorHAnsi"/>
          <w:sz w:val="22"/>
          <w:szCs w:val="22"/>
        </w:rPr>
      </w:pPr>
      <w:r w:rsidRPr="00CF758B">
        <w:rPr>
          <w:rFonts w:asciiTheme="minorHAnsi" w:hAnsiTheme="minorHAnsi" w:cstheme="minorHAnsi"/>
          <w:sz w:val="22"/>
          <w:szCs w:val="22"/>
        </w:rPr>
        <w:t>a</w:t>
      </w:r>
      <w:r w:rsidR="002315B6" w:rsidRPr="00CF758B">
        <w:rPr>
          <w:rFonts w:asciiTheme="minorHAnsi" w:hAnsiTheme="minorHAnsi" w:cstheme="minorHAnsi"/>
          <w:sz w:val="22"/>
          <w:szCs w:val="22"/>
        </w:rPr>
        <w:t>.</w:t>
      </w:r>
      <w:r w:rsidR="002315B6" w:rsidRPr="00CF758B">
        <w:rPr>
          <w:rFonts w:asciiTheme="minorHAnsi" w:hAnsiTheme="minorHAnsi" w:cstheme="minorHAnsi"/>
          <w:sz w:val="22"/>
          <w:szCs w:val="22"/>
        </w:rPr>
        <w:tab/>
      </w:r>
      <w:r w:rsidRPr="00CF758B">
        <w:rPr>
          <w:rFonts w:asciiTheme="minorHAnsi" w:hAnsiTheme="minorHAnsi" w:cstheme="minorHAnsi"/>
          <w:sz w:val="22"/>
          <w:szCs w:val="22"/>
        </w:rPr>
        <w:t>A r</w:t>
      </w:r>
      <w:r w:rsidR="00ED13E3" w:rsidRPr="00CF758B">
        <w:rPr>
          <w:rFonts w:asciiTheme="minorHAnsi" w:hAnsiTheme="minorHAnsi" w:cstheme="minorHAnsi"/>
          <w:sz w:val="22"/>
          <w:szCs w:val="22"/>
        </w:rPr>
        <w:t>oadmap that include</w:t>
      </w:r>
      <w:r w:rsidR="009757B9" w:rsidRPr="00CF758B">
        <w:rPr>
          <w:rFonts w:asciiTheme="minorHAnsi" w:hAnsiTheme="minorHAnsi" w:cstheme="minorHAnsi"/>
          <w:sz w:val="22"/>
          <w:szCs w:val="22"/>
        </w:rPr>
        <w:t>d</w:t>
      </w:r>
      <w:r w:rsidR="00ED13E3" w:rsidRPr="00CF758B">
        <w:rPr>
          <w:rFonts w:asciiTheme="minorHAnsi" w:hAnsiTheme="minorHAnsi" w:cstheme="minorHAnsi"/>
          <w:sz w:val="22"/>
          <w:szCs w:val="22"/>
        </w:rPr>
        <w:t xml:space="preserve"> the development of a legal analysis </w:t>
      </w:r>
      <w:r w:rsidR="00070EBD" w:rsidRPr="00CF758B">
        <w:rPr>
          <w:rFonts w:asciiTheme="minorHAnsi" w:hAnsiTheme="minorHAnsi" w:cstheme="minorHAnsi"/>
          <w:sz w:val="22"/>
          <w:szCs w:val="22"/>
        </w:rPr>
        <w:t xml:space="preserve">in compliance with </w:t>
      </w:r>
      <w:r w:rsidR="002315B6" w:rsidRPr="00CF758B">
        <w:rPr>
          <w:rFonts w:asciiTheme="minorHAnsi" w:hAnsiTheme="minorHAnsi" w:cstheme="minorHAnsi"/>
          <w:sz w:val="22"/>
          <w:szCs w:val="22"/>
        </w:rPr>
        <w:t xml:space="preserve">the Group’s </w:t>
      </w:r>
      <w:r w:rsidR="00070EBD" w:rsidRPr="00CF758B">
        <w:rPr>
          <w:rFonts w:asciiTheme="minorHAnsi" w:hAnsiTheme="minorHAnsi" w:cstheme="minorHAnsi"/>
          <w:sz w:val="22"/>
          <w:szCs w:val="22"/>
        </w:rPr>
        <w:t xml:space="preserve">mandate </w:t>
      </w:r>
      <w:r w:rsidR="00111C67" w:rsidRPr="00CF758B">
        <w:rPr>
          <w:rFonts w:asciiTheme="minorHAnsi" w:hAnsiTheme="minorHAnsi" w:cstheme="minorHAnsi"/>
          <w:sz w:val="22"/>
          <w:szCs w:val="22"/>
        </w:rPr>
        <w:t xml:space="preserve">of </w:t>
      </w:r>
      <w:r w:rsidR="008747D7" w:rsidRPr="00CF758B">
        <w:rPr>
          <w:rFonts w:asciiTheme="minorHAnsi" w:hAnsiTheme="minorHAnsi" w:cstheme="minorHAnsi"/>
          <w:sz w:val="22"/>
          <w:szCs w:val="22"/>
        </w:rPr>
        <w:t xml:space="preserve">analysing </w:t>
      </w:r>
      <w:r w:rsidR="00111C67" w:rsidRPr="00CF758B">
        <w:rPr>
          <w:rFonts w:asciiTheme="minorHAnsi" w:hAnsiTheme="minorHAnsi" w:cstheme="minorHAnsi"/>
          <w:sz w:val="22"/>
          <w:szCs w:val="22"/>
        </w:rPr>
        <w:t xml:space="preserve">different options and other options that might not yet have been </w:t>
      </w:r>
      <w:r w:rsidR="008747D7" w:rsidRPr="00CF758B">
        <w:rPr>
          <w:rFonts w:asciiTheme="minorHAnsi" w:hAnsiTheme="minorHAnsi" w:cstheme="minorHAnsi"/>
          <w:sz w:val="22"/>
          <w:szCs w:val="22"/>
        </w:rPr>
        <w:t>addressed</w:t>
      </w:r>
      <w:r w:rsidR="00190CFF" w:rsidRPr="00CF758B">
        <w:rPr>
          <w:rFonts w:asciiTheme="minorHAnsi" w:hAnsiTheme="minorHAnsi" w:cstheme="minorHAnsi"/>
          <w:sz w:val="22"/>
          <w:szCs w:val="22"/>
        </w:rPr>
        <w:t>,</w:t>
      </w:r>
      <w:r w:rsidR="00111C67" w:rsidRPr="00CF758B">
        <w:rPr>
          <w:rFonts w:asciiTheme="minorHAnsi" w:hAnsiTheme="minorHAnsi" w:cstheme="minorHAnsi"/>
          <w:sz w:val="22"/>
          <w:szCs w:val="22"/>
        </w:rPr>
        <w:t xml:space="preserve"> </w:t>
      </w:r>
      <w:r w:rsidR="00ED13E3" w:rsidRPr="00CF758B">
        <w:rPr>
          <w:rFonts w:asciiTheme="minorHAnsi" w:hAnsiTheme="minorHAnsi" w:cstheme="minorHAnsi"/>
          <w:sz w:val="22"/>
          <w:szCs w:val="22"/>
        </w:rPr>
        <w:t>that best address the Secretariat</w:t>
      </w:r>
      <w:r w:rsidR="008A48CE" w:rsidRPr="00CF758B">
        <w:rPr>
          <w:rFonts w:asciiTheme="minorHAnsi" w:hAnsiTheme="minorHAnsi" w:cstheme="minorHAnsi"/>
          <w:sz w:val="22"/>
          <w:szCs w:val="22"/>
        </w:rPr>
        <w:t>’</w:t>
      </w:r>
      <w:r w:rsidR="00ED13E3" w:rsidRPr="00CF758B">
        <w:rPr>
          <w:rFonts w:asciiTheme="minorHAnsi" w:hAnsiTheme="minorHAnsi" w:cstheme="minorHAnsi"/>
          <w:sz w:val="22"/>
          <w:szCs w:val="22"/>
        </w:rPr>
        <w:t>s</w:t>
      </w:r>
      <w:r w:rsidR="00A06FB1" w:rsidRPr="00CF758B">
        <w:rPr>
          <w:rFonts w:asciiTheme="minorHAnsi" w:hAnsiTheme="minorHAnsi" w:cstheme="minorHAnsi"/>
          <w:sz w:val="22"/>
          <w:szCs w:val="22"/>
        </w:rPr>
        <w:t xml:space="preserve"> legal status, </w:t>
      </w:r>
      <w:r w:rsidR="00ED13E3" w:rsidRPr="00CF758B">
        <w:rPr>
          <w:rFonts w:asciiTheme="minorHAnsi" w:hAnsiTheme="minorHAnsi" w:cstheme="minorHAnsi"/>
          <w:sz w:val="22"/>
          <w:szCs w:val="22"/>
        </w:rPr>
        <w:t>participation</w:t>
      </w:r>
      <w:r w:rsidR="00ED13E3" w:rsidRPr="00CF758B">
        <w:rPr>
          <w:rFonts w:asciiTheme="minorHAnsi" w:hAnsiTheme="minorHAnsi" w:cstheme="minorHAnsi"/>
          <w:sz w:val="22"/>
          <w:szCs w:val="22"/>
          <w:lang w:val="en-US"/>
        </w:rPr>
        <w:t xml:space="preserve"> in international fora</w:t>
      </w:r>
      <w:r w:rsidR="00ED13E3" w:rsidRPr="00CF758B">
        <w:rPr>
          <w:rFonts w:asciiTheme="minorHAnsi" w:hAnsiTheme="minorHAnsi" w:cstheme="minorHAnsi"/>
          <w:sz w:val="22"/>
          <w:szCs w:val="22"/>
        </w:rPr>
        <w:t xml:space="preserve"> and visibility priorities</w:t>
      </w:r>
      <w:r w:rsidR="008747D7" w:rsidRPr="00CF758B">
        <w:rPr>
          <w:rFonts w:asciiTheme="minorHAnsi" w:hAnsiTheme="minorHAnsi" w:cstheme="minorHAnsi"/>
          <w:sz w:val="22"/>
          <w:szCs w:val="22"/>
        </w:rPr>
        <w:t>;</w:t>
      </w:r>
    </w:p>
    <w:p w14:paraId="39E9401E" w14:textId="77777777" w:rsidR="00ED13E3" w:rsidRPr="00CF758B" w:rsidRDefault="00ED13E3" w:rsidP="00166ADC">
      <w:pPr>
        <w:pStyle w:val="wordsection1"/>
        <w:spacing w:before="0" w:beforeAutospacing="0" w:after="0" w:afterAutospacing="0"/>
        <w:ind w:left="851" w:hanging="425"/>
        <w:rPr>
          <w:rFonts w:asciiTheme="minorHAnsi" w:hAnsiTheme="minorHAnsi" w:cstheme="minorHAnsi"/>
          <w:sz w:val="22"/>
          <w:szCs w:val="22"/>
          <w:lang w:eastAsia="en-US"/>
        </w:rPr>
      </w:pPr>
    </w:p>
    <w:p w14:paraId="444D8AE0" w14:textId="2DDAE34C" w:rsidR="001D3BBC" w:rsidRPr="00CF758B" w:rsidRDefault="00047914" w:rsidP="00166ADC">
      <w:pPr>
        <w:pStyle w:val="Default"/>
        <w:ind w:left="851" w:hanging="425"/>
        <w:rPr>
          <w:rFonts w:asciiTheme="minorHAnsi" w:hAnsiTheme="minorHAnsi" w:cstheme="minorHAnsi"/>
          <w:sz w:val="22"/>
          <w:szCs w:val="22"/>
        </w:rPr>
      </w:pPr>
      <w:r w:rsidRPr="00CF758B">
        <w:rPr>
          <w:rFonts w:asciiTheme="minorHAnsi" w:hAnsiTheme="minorHAnsi" w:cstheme="minorHAnsi"/>
          <w:sz w:val="22"/>
          <w:szCs w:val="22"/>
        </w:rPr>
        <w:t>b</w:t>
      </w:r>
      <w:r w:rsidR="002315B6" w:rsidRPr="00CF758B">
        <w:rPr>
          <w:rFonts w:asciiTheme="minorHAnsi" w:hAnsiTheme="minorHAnsi" w:cstheme="minorHAnsi"/>
          <w:sz w:val="22"/>
          <w:szCs w:val="22"/>
        </w:rPr>
        <w:t>.</w:t>
      </w:r>
      <w:r w:rsidR="002315B6" w:rsidRPr="00CF758B">
        <w:rPr>
          <w:rFonts w:asciiTheme="minorHAnsi" w:hAnsiTheme="minorHAnsi" w:cstheme="minorHAnsi"/>
          <w:sz w:val="22"/>
          <w:szCs w:val="22"/>
        </w:rPr>
        <w:tab/>
      </w:r>
      <w:r w:rsidR="003031B2" w:rsidRPr="00CF758B">
        <w:rPr>
          <w:rFonts w:asciiTheme="minorHAnsi" w:hAnsiTheme="minorHAnsi" w:cstheme="minorHAnsi"/>
          <w:sz w:val="22"/>
          <w:szCs w:val="22"/>
        </w:rPr>
        <w:t>The</w:t>
      </w:r>
      <w:r w:rsidR="00A464D6" w:rsidRPr="00CF758B">
        <w:rPr>
          <w:rFonts w:asciiTheme="minorHAnsi" w:hAnsiTheme="minorHAnsi" w:cstheme="minorHAnsi"/>
          <w:sz w:val="22"/>
          <w:szCs w:val="22"/>
        </w:rPr>
        <w:t xml:space="preserve"> t</w:t>
      </w:r>
      <w:r w:rsidR="0042627C" w:rsidRPr="00CF758B">
        <w:rPr>
          <w:rFonts w:asciiTheme="minorHAnsi" w:hAnsiTheme="minorHAnsi" w:cstheme="minorHAnsi"/>
          <w:sz w:val="22"/>
          <w:szCs w:val="22"/>
        </w:rPr>
        <w:t xml:space="preserve">erms of reference </w:t>
      </w:r>
      <w:r w:rsidR="00F23744" w:rsidRPr="00CF758B">
        <w:rPr>
          <w:rFonts w:asciiTheme="minorHAnsi" w:hAnsiTheme="minorHAnsi" w:cstheme="minorHAnsi"/>
          <w:sz w:val="22"/>
          <w:szCs w:val="22"/>
        </w:rPr>
        <w:t xml:space="preserve">agreed by the Working Group </w:t>
      </w:r>
      <w:r w:rsidR="00A464D6" w:rsidRPr="00CF758B">
        <w:rPr>
          <w:rFonts w:asciiTheme="minorHAnsi" w:hAnsiTheme="minorHAnsi" w:cstheme="minorHAnsi"/>
          <w:sz w:val="22"/>
          <w:szCs w:val="22"/>
        </w:rPr>
        <w:t xml:space="preserve">for a consultancy </w:t>
      </w:r>
      <w:r w:rsidR="0042627C" w:rsidRPr="00CF758B">
        <w:rPr>
          <w:rFonts w:asciiTheme="minorHAnsi" w:hAnsiTheme="minorHAnsi" w:cstheme="minorHAnsi"/>
          <w:sz w:val="22"/>
          <w:szCs w:val="22"/>
        </w:rPr>
        <w:t>on the</w:t>
      </w:r>
      <w:r w:rsidR="001333AC" w:rsidRPr="00CF758B">
        <w:rPr>
          <w:rFonts w:asciiTheme="minorHAnsi" w:hAnsiTheme="minorHAnsi" w:cstheme="minorHAnsi"/>
          <w:sz w:val="22"/>
          <w:szCs w:val="22"/>
        </w:rPr>
        <w:t xml:space="preserve"> </w:t>
      </w:r>
      <w:r w:rsidR="00920C59" w:rsidRPr="00CF758B">
        <w:rPr>
          <w:rFonts w:asciiTheme="minorHAnsi" w:hAnsiTheme="minorHAnsi" w:cstheme="minorHAnsi"/>
          <w:sz w:val="22"/>
          <w:szCs w:val="22"/>
        </w:rPr>
        <w:t>independent analysis on the legal statu</w:t>
      </w:r>
      <w:r w:rsidR="001D3BBC" w:rsidRPr="00CF758B">
        <w:rPr>
          <w:rFonts w:asciiTheme="minorHAnsi" w:hAnsiTheme="minorHAnsi" w:cstheme="minorHAnsi"/>
          <w:sz w:val="22"/>
          <w:szCs w:val="22"/>
        </w:rPr>
        <w:t>s</w:t>
      </w:r>
      <w:r w:rsidR="008747D7" w:rsidRPr="00CF758B">
        <w:rPr>
          <w:rFonts w:asciiTheme="minorHAnsi" w:hAnsiTheme="minorHAnsi" w:cstheme="minorHAnsi"/>
          <w:sz w:val="22"/>
          <w:szCs w:val="22"/>
        </w:rPr>
        <w:t>;</w:t>
      </w:r>
    </w:p>
    <w:p w14:paraId="6DD59441" w14:textId="77777777" w:rsidR="001D3BBC" w:rsidRPr="00CF758B" w:rsidRDefault="001D3BBC" w:rsidP="00166ADC">
      <w:pPr>
        <w:pStyle w:val="Default"/>
        <w:ind w:left="851" w:hanging="425"/>
        <w:rPr>
          <w:rFonts w:asciiTheme="minorHAnsi" w:hAnsiTheme="minorHAnsi" w:cstheme="minorHAnsi"/>
          <w:sz w:val="22"/>
          <w:szCs w:val="22"/>
        </w:rPr>
      </w:pPr>
    </w:p>
    <w:p w14:paraId="35A57C7F" w14:textId="0105DDA0" w:rsidR="001D3BBC" w:rsidRPr="00CF758B" w:rsidRDefault="00047914" w:rsidP="00166ADC">
      <w:pPr>
        <w:pStyle w:val="Default"/>
        <w:ind w:left="851" w:hanging="425"/>
        <w:rPr>
          <w:rFonts w:asciiTheme="minorHAnsi" w:hAnsiTheme="minorHAnsi" w:cstheme="minorHAnsi"/>
          <w:sz w:val="22"/>
          <w:szCs w:val="22"/>
          <w:lang w:val="en-US" w:eastAsia="zh-CN"/>
        </w:rPr>
      </w:pPr>
      <w:r w:rsidRPr="00CF758B">
        <w:rPr>
          <w:rFonts w:asciiTheme="minorHAnsi" w:hAnsiTheme="minorHAnsi" w:cstheme="minorHAnsi"/>
          <w:sz w:val="22"/>
          <w:szCs w:val="22"/>
        </w:rPr>
        <w:t>c</w:t>
      </w:r>
      <w:r w:rsidR="002315B6" w:rsidRPr="00CF758B">
        <w:rPr>
          <w:rFonts w:asciiTheme="minorHAnsi" w:hAnsiTheme="minorHAnsi" w:cstheme="minorHAnsi"/>
          <w:sz w:val="22"/>
          <w:szCs w:val="22"/>
        </w:rPr>
        <w:t>.</w:t>
      </w:r>
      <w:r w:rsidR="002315B6" w:rsidRPr="00CF758B">
        <w:rPr>
          <w:rFonts w:asciiTheme="minorHAnsi" w:hAnsiTheme="minorHAnsi" w:cstheme="minorHAnsi"/>
          <w:sz w:val="22"/>
          <w:szCs w:val="22"/>
        </w:rPr>
        <w:tab/>
      </w:r>
      <w:r w:rsidR="00D51233" w:rsidRPr="00CF758B">
        <w:rPr>
          <w:rFonts w:asciiTheme="minorHAnsi" w:hAnsiTheme="minorHAnsi" w:cstheme="minorHAnsi"/>
          <w:sz w:val="22"/>
          <w:szCs w:val="22"/>
        </w:rPr>
        <w:t xml:space="preserve">The analysis of other </w:t>
      </w:r>
      <w:r w:rsidR="001D3BBC" w:rsidRPr="00CF758B">
        <w:rPr>
          <w:rFonts w:asciiTheme="minorHAnsi" w:hAnsiTheme="minorHAnsi" w:cstheme="minorHAnsi"/>
          <w:sz w:val="22"/>
          <w:szCs w:val="22"/>
        </w:rPr>
        <w:t>option</w:t>
      </w:r>
      <w:r w:rsidR="00D51233" w:rsidRPr="00CF758B">
        <w:rPr>
          <w:rFonts w:asciiTheme="minorHAnsi" w:hAnsiTheme="minorHAnsi" w:cstheme="minorHAnsi"/>
          <w:sz w:val="22"/>
          <w:szCs w:val="22"/>
        </w:rPr>
        <w:t xml:space="preserve">s: </w:t>
      </w:r>
      <w:r w:rsidR="00122719" w:rsidRPr="00CF758B">
        <w:rPr>
          <w:rFonts w:asciiTheme="minorHAnsi" w:hAnsiTheme="minorHAnsi" w:cstheme="minorHAnsi"/>
          <w:sz w:val="22"/>
          <w:szCs w:val="22"/>
        </w:rPr>
        <w:t>i</w:t>
      </w:r>
      <w:r w:rsidR="00D51233" w:rsidRPr="00CF758B">
        <w:rPr>
          <w:rFonts w:asciiTheme="minorHAnsi" w:hAnsiTheme="minorHAnsi" w:cstheme="minorHAnsi"/>
          <w:sz w:val="22"/>
          <w:szCs w:val="22"/>
        </w:rPr>
        <w:t xml:space="preserve">) </w:t>
      </w:r>
      <w:r w:rsidR="001D3BBC" w:rsidRPr="00CF758B">
        <w:rPr>
          <w:rFonts w:asciiTheme="minorHAnsi" w:hAnsiTheme="minorHAnsi" w:cstheme="minorHAnsi"/>
          <w:sz w:val="22"/>
          <w:szCs w:val="22"/>
        </w:rPr>
        <w:t xml:space="preserve">the </w:t>
      </w:r>
      <w:r w:rsidR="00C118F1">
        <w:rPr>
          <w:rFonts w:asciiTheme="minorHAnsi" w:hAnsiTheme="minorHAnsi" w:cstheme="minorHAnsi"/>
          <w:sz w:val="22"/>
          <w:szCs w:val="22"/>
        </w:rPr>
        <w:t>o</w:t>
      </w:r>
      <w:r w:rsidR="001D3BBC" w:rsidRPr="00CF758B">
        <w:rPr>
          <w:rFonts w:asciiTheme="minorHAnsi" w:hAnsiTheme="minorHAnsi" w:cstheme="minorHAnsi"/>
          <w:sz w:val="22"/>
          <w:szCs w:val="22"/>
        </w:rPr>
        <w:t xml:space="preserve">bserver status </w:t>
      </w:r>
      <w:r w:rsidR="00122719" w:rsidRPr="00CF758B">
        <w:rPr>
          <w:rFonts w:asciiTheme="minorHAnsi" w:hAnsiTheme="minorHAnsi" w:cstheme="minorHAnsi"/>
          <w:sz w:val="22"/>
          <w:szCs w:val="22"/>
        </w:rPr>
        <w:t xml:space="preserve">in </w:t>
      </w:r>
      <w:r w:rsidR="001D3BBC" w:rsidRPr="00CF758B">
        <w:rPr>
          <w:rFonts w:asciiTheme="minorHAnsi" w:hAnsiTheme="minorHAnsi" w:cstheme="minorHAnsi"/>
          <w:sz w:val="22"/>
          <w:szCs w:val="22"/>
        </w:rPr>
        <w:t xml:space="preserve">the UN General Assembly, </w:t>
      </w:r>
      <w:r w:rsidR="00122719" w:rsidRPr="00CF758B">
        <w:rPr>
          <w:rFonts w:asciiTheme="minorHAnsi" w:hAnsiTheme="minorHAnsi" w:cstheme="minorHAnsi"/>
          <w:sz w:val="22"/>
          <w:szCs w:val="22"/>
        </w:rPr>
        <w:t>ii</w:t>
      </w:r>
      <w:r w:rsidR="00D51233" w:rsidRPr="00CF758B">
        <w:rPr>
          <w:rFonts w:asciiTheme="minorHAnsi" w:hAnsiTheme="minorHAnsi" w:cstheme="minorHAnsi"/>
          <w:sz w:val="22"/>
          <w:szCs w:val="22"/>
        </w:rPr>
        <w:t xml:space="preserve">) </w:t>
      </w:r>
      <w:r w:rsidR="001D3BBC" w:rsidRPr="00CF758B">
        <w:rPr>
          <w:rFonts w:asciiTheme="minorHAnsi" w:hAnsiTheme="minorHAnsi" w:cstheme="minorHAnsi"/>
          <w:sz w:val="22"/>
          <w:szCs w:val="22"/>
        </w:rPr>
        <w:t xml:space="preserve">the </w:t>
      </w:r>
      <w:r w:rsidR="001D3BBC" w:rsidRPr="00CF758B">
        <w:rPr>
          <w:rFonts w:asciiTheme="minorHAnsi" w:hAnsiTheme="minorHAnsi" w:cstheme="minorHAnsi"/>
          <w:sz w:val="22"/>
          <w:szCs w:val="22"/>
          <w:lang w:val="en-US" w:eastAsia="zh-CN"/>
        </w:rPr>
        <w:t xml:space="preserve">application for </w:t>
      </w:r>
      <w:r w:rsidR="001D3BBC" w:rsidRPr="00CF758B">
        <w:rPr>
          <w:rFonts w:asciiTheme="minorHAnsi" w:hAnsiTheme="minorHAnsi" w:cstheme="minorHAnsi"/>
          <w:sz w:val="22"/>
          <w:szCs w:val="22"/>
          <w:lang w:val="en-US"/>
        </w:rPr>
        <w:t xml:space="preserve">observer status with the </w:t>
      </w:r>
      <w:r w:rsidR="001D3BBC" w:rsidRPr="00CF758B">
        <w:rPr>
          <w:rFonts w:asciiTheme="minorHAnsi" w:hAnsiTheme="minorHAnsi" w:cstheme="minorHAnsi"/>
          <w:sz w:val="22"/>
          <w:szCs w:val="22"/>
        </w:rPr>
        <w:t>Economic and Social Council (</w:t>
      </w:r>
      <w:r w:rsidR="001D3BBC" w:rsidRPr="00CF758B">
        <w:rPr>
          <w:rFonts w:asciiTheme="minorHAnsi" w:hAnsiTheme="minorHAnsi" w:cstheme="minorHAnsi"/>
          <w:sz w:val="22"/>
          <w:szCs w:val="22"/>
          <w:lang w:val="en-US"/>
        </w:rPr>
        <w:t xml:space="preserve">ECOSOC) and </w:t>
      </w:r>
      <w:r w:rsidR="00122719" w:rsidRPr="00CF758B">
        <w:rPr>
          <w:rFonts w:asciiTheme="minorHAnsi" w:hAnsiTheme="minorHAnsi" w:cstheme="minorHAnsi"/>
          <w:sz w:val="22"/>
          <w:szCs w:val="22"/>
          <w:lang w:val="en-US"/>
        </w:rPr>
        <w:t>iii</w:t>
      </w:r>
      <w:r w:rsidR="00D51233" w:rsidRPr="00CF758B">
        <w:rPr>
          <w:rFonts w:asciiTheme="minorHAnsi" w:hAnsiTheme="minorHAnsi" w:cstheme="minorHAnsi"/>
          <w:sz w:val="22"/>
          <w:szCs w:val="22"/>
          <w:lang w:val="en-US"/>
        </w:rPr>
        <w:t xml:space="preserve">) </w:t>
      </w:r>
      <w:r w:rsidR="001D3BBC" w:rsidRPr="00CF758B">
        <w:rPr>
          <w:rFonts w:asciiTheme="minorHAnsi" w:hAnsiTheme="minorHAnsi" w:cstheme="minorHAnsi"/>
          <w:sz w:val="22"/>
          <w:szCs w:val="22"/>
          <w:lang w:val="en-US"/>
        </w:rPr>
        <w:t>t</w:t>
      </w:r>
      <w:r w:rsidR="001D3BBC" w:rsidRPr="00CF758B">
        <w:rPr>
          <w:rFonts w:asciiTheme="minorHAnsi" w:hAnsiTheme="minorHAnsi" w:cstheme="minorHAnsi"/>
          <w:sz w:val="22"/>
          <w:szCs w:val="22"/>
          <w:lang w:val="en-US" w:eastAsia="zh-CN"/>
        </w:rPr>
        <w:t xml:space="preserve">he process of review of the </w:t>
      </w:r>
      <w:r w:rsidR="00E22F50" w:rsidRPr="00CF758B">
        <w:rPr>
          <w:rFonts w:asciiTheme="minorHAnsi" w:hAnsiTheme="minorHAnsi" w:cstheme="minorHAnsi"/>
          <w:sz w:val="22"/>
          <w:szCs w:val="22"/>
          <w:lang w:val="en-US" w:eastAsia="zh-CN"/>
        </w:rPr>
        <w:t>High-level Political Forum on Sustainable Development (HLPF)</w:t>
      </w:r>
      <w:r w:rsidR="001D3BBC" w:rsidRPr="00CF758B">
        <w:rPr>
          <w:rFonts w:asciiTheme="minorHAnsi" w:hAnsiTheme="minorHAnsi" w:cstheme="minorHAnsi"/>
          <w:sz w:val="22"/>
          <w:szCs w:val="22"/>
          <w:lang w:val="en-US" w:eastAsia="zh-CN"/>
        </w:rPr>
        <w:t>.</w:t>
      </w:r>
    </w:p>
    <w:p w14:paraId="28A5E9C8" w14:textId="77777777" w:rsidR="001D3BBC" w:rsidRPr="00CF758B" w:rsidRDefault="001D3BBC" w:rsidP="00166ADC">
      <w:pPr>
        <w:pStyle w:val="Default"/>
        <w:ind w:left="851" w:hanging="425"/>
        <w:rPr>
          <w:rFonts w:asciiTheme="minorHAnsi" w:hAnsiTheme="minorHAnsi" w:cstheme="minorHAnsi"/>
          <w:sz w:val="22"/>
          <w:szCs w:val="22"/>
          <w:highlight w:val="yellow"/>
          <w:lang w:val="en-US" w:eastAsia="zh-CN"/>
        </w:rPr>
      </w:pPr>
    </w:p>
    <w:p w14:paraId="000668BD" w14:textId="2FB7D81E" w:rsidR="00D51233" w:rsidRPr="00CF758B" w:rsidRDefault="00047914" w:rsidP="00166ADC">
      <w:pPr>
        <w:pStyle w:val="Default"/>
        <w:ind w:left="851" w:hanging="425"/>
        <w:rPr>
          <w:rFonts w:asciiTheme="minorHAnsi" w:hAnsiTheme="minorHAnsi" w:cstheme="minorHAnsi"/>
          <w:sz w:val="22"/>
          <w:szCs w:val="22"/>
          <w:lang w:val="en-US" w:eastAsia="zh-CN"/>
        </w:rPr>
      </w:pPr>
      <w:r w:rsidRPr="00CF758B">
        <w:rPr>
          <w:rFonts w:asciiTheme="minorHAnsi" w:hAnsiTheme="minorHAnsi" w:cstheme="minorHAnsi"/>
          <w:sz w:val="22"/>
          <w:szCs w:val="22"/>
        </w:rPr>
        <w:t>d.</w:t>
      </w:r>
      <w:r w:rsidR="002315B6" w:rsidRPr="00CF758B">
        <w:rPr>
          <w:rFonts w:asciiTheme="minorHAnsi" w:hAnsiTheme="minorHAnsi" w:cstheme="minorHAnsi"/>
          <w:sz w:val="22"/>
          <w:szCs w:val="22"/>
        </w:rPr>
        <w:tab/>
      </w:r>
      <w:r w:rsidR="00E22F50" w:rsidRPr="00CF758B">
        <w:rPr>
          <w:rFonts w:asciiTheme="minorHAnsi" w:hAnsiTheme="minorHAnsi" w:cstheme="minorHAnsi"/>
          <w:sz w:val="22"/>
          <w:szCs w:val="22"/>
        </w:rPr>
        <w:t>A s</w:t>
      </w:r>
      <w:r w:rsidR="001D3BBC" w:rsidRPr="00CF758B">
        <w:rPr>
          <w:rFonts w:asciiTheme="minorHAnsi" w:hAnsiTheme="minorHAnsi" w:cstheme="minorHAnsi"/>
          <w:sz w:val="22"/>
          <w:szCs w:val="22"/>
        </w:rPr>
        <w:t>ummary of key findings of the legal consultancy with five specific options to address the key concerns about the legal status of the Secretariat and its operation</w:t>
      </w:r>
      <w:r w:rsidR="00E22F50" w:rsidRPr="00CF758B">
        <w:rPr>
          <w:rFonts w:asciiTheme="minorHAnsi" w:hAnsiTheme="minorHAnsi" w:cstheme="minorHAnsi"/>
          <w:sz w:val="22"/>
          <w:szCs w:val="22"/>
        </w:rPr>
        <w:t>,</w:t>
      </w:r>
      <w:r w:rsidR="001D3BBC" w:rsidRPr="00CF758B">
        <w:rPr>
          <w:rFonts w:asciiTheme="minorHAnsi" w:hAnsiTheme="minorHAnsi" w:cstheme="minorHAnsi"/>
          <w:sz w:val="22"/>
          <w:szCs w:val="22"/>
        </w:rPr>
        <w:t xml:space="preserve"> and three additional </w:t>
      </w:r>
      <w:r w:rsidR="00E22F50" w:rsidRPr="00CF758B">
        <w:rPr>
          <w:rFonts w:asciiTheme="minorHAnsi" w:hAnsiTheme="minorHAnsi" w:cstheme="minorHAnsi"/>
          <w:sz w:val="22"/>
          <w:szCs w:val="22"/>
        </w:rPr>
        <w:t xml:space="preserve">options </w:t>
      </w:r>
      <w:r w:rsidR="001D3BBC" w:rsidRPr="00CF758B">
        <w:rPr>
          <w:rFonts w:asciiTheme="minorHAnsi" w:hAnsiTheme="minorHAnsi" w:cstheme="minorHAnsi"/>
          <w:sz w:val="22"/>
          <w:szCs w:val="22"/>
        </w:rPr>
        <w:t xml:space="preserve">aimed at enhancing participation in UN high-level fora and processes under the UNGA, </w:t>
      </w:r>
      <w:r w:rsidR="00D51233" w:rsidRPr="00CF758B">
        <w:rPr>
          <w:rFonts w:asciiTheme="minorHAnsi" w:hAnsiTheme="minorHAnsi" w:cstheme="minorHAnsi"/>
          <w:sz w:val="22"/>
          <w:szCs w:val="22"/>
        </w:rPr>
        <w:t xml:space="preserve">the application for observer </w:t>
      </w:r>
      <w:r w:rsidR="00D51233" w:rsidRPr="00CF758B">
        <w:rPr>
          <w:rFonts w:asciiTheme="minorHAnsi" w:hAnsiTheme="minorHAnsi" w:cstheme="minorHAnsi"/>
          <w:sz w:val="22"/>
          <w:szCs w:val="22"/>
          <w:lang w:val="en-US"/>
        </w:rPr>
        <w:t>status with ECOSOC and t</w:t>
      </w:r>
      <w:r w:rsidR="00D51233" w:rsidRPr="00CF758B">
        <w:rPr>
          <w:rFonts w:asciiTheme="minorHAnsi" w:hAnsiTheme="minorHAnsi" w:cstheme="minorHAnsi"/>
          <w:sz w:val="22"/>
          <w:szCs w:val="22"/>
          <w:lang w:val="en-US" w:eastAsia="zh-CN"/>
        </w:rPr>
        <w:t>he process of review of the HLPF.</w:t>
      </w:r>
    </w:p>
    <w:p w14:paraId="10ECCE4A" w14:textId="77777777" w:rsidR="00D51233" w:rsidRPr="00CF758B" w:rsidRDefault="00D51233" w:rsidP="00166ADC">
      <w:pPr>
        <w:pStyle w:val="Default"/>
        <w:ind w:firstLine="426"/>
        <w:rPr>
          <w:rFonts w:asciiTheme="minorHAnsi" w:hAnsiTheme="minorHAnsi" w:cstheme="minorHAnsi"/>
          <w:sz w:val="22"/>
          <w:szCs w:val="22"/>
          <w:lang w:val="en-US" w:eastAsia="zh-CN"/>
        </w:rPr>
      </w:pPr>
    </w:p>
    <w:p w14:paraId="67B2A621" w14:textId="057DE6AE" w:rsidR="001D3BBC" w:rsidRPr="00CF758B" w:rsidRDefault="001D3BBC" w:rsidP="00C7597B">
      <w:pPr>
        <w:spacing w:after="0" w:line="240" w:lineRule="auto"/>
        <w:ind w:left="426"/>
        <w:rPr>
          <w:rFonts w:cstheme="minorHAnsi"/>
          <w:color w:val="000000"/>
        </w:rPr>
      </w:pPr>
      <w:r w:rsidRPr="00CF758B">
        <w:rPr>
          <w:rFonts w:cstheme="minorHAnsi"/>
          <w:color w:val="000000"/>
        </w:rPr>
        <w:t>The report</w:t>
      </w:r>
      <w:r w:rsidR="00D51233" w:rsidRPr="00CF758B">
        <w:rPr>
          <w:rFonts w:cstheme="minorHAnsi"/>
          <w:color w:val="000000"/>
        </w:rPr>
        <w:t xml:space="preserve"> of the legal analysis </w:t>
      </w:r>
      <w:r w:rsidR="00E22F50" w:rsidRPr="00CF758B">
        <w:rPr>
          <w:rFonts w:cstheme="minorHAnsi"/>
          <w:color w:val="000000"/>
        </w:rPr>
        <w:t>is</w:t>
      </w:r>
      <w:r w:rsidRPr="00CF758B">
        <w:rPr>
          <w:rFonts w:cstheme="minorHAnsi"/>
          <w:color w:val="000000"/>
        </w:rPr>
        <w:t xml:space="preserve"> accessible at: </w:t>
      </w:r>
      <w:hyperlink r:id="rId11" w:history="1">
        <w:r w:rsidR="00C7597B" w:rsidRPr="002A7044">
          <w:rPr>
            <w:rStyle w:val="Hyperlink"/>
            <w:rFonts w:cstheme="minorHAnsi"/>
          </w:rPr>
          <w:t>https://www.ramsar.org/sites/default/files/documents/library/independent_analysis_legal_status_secretariat_2020_e.pdf</w:t>
        </w:r>
      </w:hyperlink>
      <w:r w:rsidR="00C7597B">
        <w:rPr>
          <w:rFonts w:cstheme="minorHAnsi"/>
          <w:color w:val="000000"/>
        </w:rPr>
        <w:t xml:space="preserve"> </w:t>
      </w:r>
    </w:p>
    <w:p w14:paraId="4B9C1ECA" w14:textId="77777777" w:rsidR="007935A5" w:rsidRPr="00CF758B" w:rsidRDefault="007935A5" w:rsidP="00166ADC">
      <w:pPr>
        <w:spacing w:after="0" w:line="240" w:lineRule="auto"/>
        <w:rPr>
          <w:rFonts w:cstheme="minorHAnsi"/>
          <w:color w:val="000000"/>
        </w:rPr>
      </w:pPr>
    </w:p>
    <w:p w14:paraId="3F561B1A" w14:textId="7B090AB2" w:rsidR="00047914" w:rsidRPr="00CF758B" w:rsidRDefault="00CF758B" w:rsidP="00166ADC">
      <w:pPr>
        <w:pStyle w:val="wordsection1"/>
        <w:spacing w:before="0" w:beforeAutospacing="0" w:after="0" w:afterAutospacing="0"/>
        <w:ind w:left="426" w:hanging="426"/>
        <w:rPr>
          <w:rFonts w:asciiTheme="minorHAnsi" w:hAnsiTheme="minorHAnsi" w:cstheme="minorHAnsi"/>
          <w:sz w:val="22"/>
          <w:szCs w:val="22"/>
          <w:lang w:val="en-US"/>
        </w:rPr>
      </w:pPr>
      <w:r>
        <w:rPr>
          <w:rFonts w:asciiTheme="minorHAnsi" w:hAnsiTheme="minorHAnsi" w:cstheme="minorHAnsi"/>
          <w:sz w:val="22"/>
          <w:szCs w:val="22"/>
          <w:lang w:val="en-US"/>
        </w:rPr>
        <w:t>7.</w:t>
      </w:r>
      <w:r>
        <w:rPr>
          <w:rFonts w:asciiTheme="minorHAnsi" w:hAnsiTheme="minorHAnsi" w:cstheme="minorHAnsi"/>
          <w:sz w:val="22"/>
          <w:szCs w:val="22"/>
          <w:lang w:val="en-US"/>
        </w:rPr>
        <w:tab/>
      </w:r>
      <w:r w:rsidR="00047914" w:rsidRPr="00CF758B">
        <w:rPr>
          <w:rFonts w:asciiTheme="minorHAnsi" w:hAnsiTheme="minorHAnsi" w:cstheme="minorHAnsi"/>
          <w:sz w:val="22"/>
          <w:szCs w:val="22"/>
          <w:lang w:val="en-US"/>
        </w:rPr>
        <w:t>From the five main options to address the key concerns about the legal status of the Secretariat and its operation</w:t>
      </w:r>
      <w:r w:rsidR="00D51233" w:rsidRPr="00CF758B">
        <w:rPr>
          <w:rFonts w:asciiTheme="minorHAnsi" w:hAnsiTheme="minorHAnsi" w:cstheme="minorHAnsi"/>
          <w:sz w:val="22"/>
          <w:szCs w:val="22"/>
          <w:lang w:val="en-US"/>
        </w:rPr>
        <w:t>,</w:t>
      </w:r>
      <w:r w:rsidR="00047914" w:rsidRPr="00CF758B">
        <w:rPr>
          <w:rFonts w:asciiTheme="minorHAnsi" w:hAnsiTheme="minorHAnsi" w:cstheme="minorHAnsi"/>
          <w:sz w:val="22"/>
          <w:szCs w:val="22"/>
          <w:lang w:val="en-US"/>
        </w:rPr>
        <w:t xml:space="preserve"> the Working Group agreed to undertake an in-depth financial analysis of the selected options with consultant’s support that could be presented as part of the report of, and the recommendations from, the Working Group to SC59. The Working Group agreed the terms of reference for this consultancy.</w:t>
      </w:r>
    </w:p>
    <w:p w14:paraId="655A879D" w14:textId="77777777" w:rsidR="00DB04CC" w:rsidRPr="00CF758B" w:rsidRDefault="00DB04CC" w:rsidP="00166ADC">
      <w:pPr>
        <w:pStyle w:val="wordsection1"/>
        <w:spacing w:before="0" w:beforeAutospacing="0" w:after="0" w:afterAutospacing="0"/>
        <w:ind w:left="426" w:hanging="426"/>
        <w:rPr>
          <w:rFonts w:asciiTheme="minorHAnsi" w:hAnsiTheme="minorHAnsi" w:cstheme="minorHAnsi"/>
          <w:sz w:val="22"/>
          <w:szCs w:val="22"/>
          <w:lang w:val="en-US"/>
        </w:rPr>
      </w:pPr>
    </w:p>
    <w:p w14:paraId="5D1183B3" w14:textId="67651621" w:rsidR="00487DF3" w:rsidRPr="00CF758B" w:rsidRDefault="00CF758B" w:rsidP="00166ADC">
      <w:pPr>
        <w:pStyle w:val="wordsection1"/>
        <w:spacing w:before="0" w:beforeAutospacing="0" w:after="0" w:afterAutospacing="0"/>
        <w:ind w:left="426" w:hanging="426"/>
        <w:rPr>
          <w:rFonts w:asciiTheme="minorHAnsi" w:hAnsiTheme="minorHAnsi" w:cstheme="minorHAnsi"/>
          <w:sz w:val="22"/>
          <w:szCs w:val="22"/>
          <w:lang w:val="en-US"/>
        </w:rPr>
      </w:pPr>
      <w:r>
        <w:rPr>
          <w:rFonts w:asciiTheme="minorHAnsi" w:hAnsiTheme="minorHAnsi" w:cstheme="minorHAnsi"/>
          <w:sz w:val="22"/>
          <w:szCs w:val="22"/>
          <w:lang w:val="en-US"/>
        </w:rPr>
        <w:t>8.</w:t>
      </w:r>
      <w:r>
        <w:rPr>
          <w:rFonts w:asciiTheme="minorHAnsi" w:hAnsiTheme="minorHAnsi" w:cstheme="minorHAnsi"/>
          <w:sz w:val="22"/>
          <w:szCs w:val="22"/>
          <w:lang w:val="en-US"/>
        </w:rPr>
        <w:tab/>
      </w:r>
      <w:r w:rsidR="00030EA4" w:rsidRPr="00CF758B">
        <w:rPr>
          <w:rFonts w:asciiTheme="minorHAnsi" w:hAnsiTheme="minorHAnsi" w:cstheme="minorHAnsi"/>
          <w:sz w:val="22"/>
          <w:szCs w:val="22"/>
          <w:lang w:val="en-US"/>
        </w:rPr>
        <w:t>Tak</w:t>
      </w:r>
      <w:r w:rsidR="00030EA4">
        <w:rPr>
          <w:rFonts w:asciiTheme="minorHAnsi" w:hAnsiTheme="minorHAnsi" w:cstheme="minorHAnsi"/>
          <w:sz w:val="22"/>
          <w:szCs w:val="22"/>
          <w:lang w:val="en-US"/>
        </w:rPr>
        <w:t>ing</w:t>
      </w:r>
      <w:r w:rsidR="00030EA4" w:rsidRPr="00CF758B">
        <w:rPr>
          <w:rFonts w:asciiTheme="minorHAnsi" w:hAnsiTheme="minorHAnsi" w:cstheme="minorHAnsi"/>
          <w:sz w:val="22"/>
          <w:szCs w:val="22"/>
          <w:lang w:val="en-US"/>
        </w:rPr>
        <w:t xml:space="preserve"> </w:t>
      </w:r>
      <w:r w:rsidR="00FD3F67" w:rsidRPr="00CF758B">
        <w:rPr>
          <w:rFonts w:asciiTheme="minorHAnsi" w:hAnsiTheme="minorHAnsi" w:cstheme="minorHAnsi"/>
          <w:sz w:val="22"/>
          <w:szCs w:val="22"/>
          <w:lang w:val="en-US"/>
        </w:rPr>
        <w:t>in</w:t>
      </w:r>
      <w:r w:rsidRPr="00CF758B">
        <w:rPr>
          <w:rFonts w:asciiTheme="minorHAnsi" w:hAnsiTheme="minorHAnsi" w:cstheme="minorHAnsi"/>
          <w:sz w:val="22"/>
          <w:szCs w:val="22"/>
          <w:lang w:val="en-US"/>
        </w:rPr>
        <w:t>to</w:t>
      </w:r>
      <w:r w:rsidR="00FD3F67" w:rsidRPr="00CF758B">
        <w:rPr>
          <w:rFonts w:asciiTheme="minorHAnsi" w:hAnsiTheme="minorHAnsi" w:cstheme="minorHAnsi"/>
          <w:sz w:val="22"/>
          <w:szCs w:val="22"/>
          <w:lang w:val="en-US"/>
        </w:rPr>
        <w:t xml:space="preserve"> consideration the status of progress of the Working Group on the mandate given by the Standing Committee, the</w:t>
      </w:r>
      <w:r w:rsidR="00487DF3" w:rsidRPr="00CF758B">
        <w:rPr>
          <w:rFonts w:asciiTheme="minorHAnsi" w:hAnsiTheme="minorHAnsi" w:cstheme="minorHAnsi"/>
          <w:sz w:val="22"/>
          <w:szCs w:val="22"/>
          <w:lang w:val="en-US"/>
        </w:rPr>
        <w:t xml:space="preserve"> Standing Committee through Decision SC59-23 recommended that the </w:t>
      </w:r>
      <w:r w:rsidR="00FD3F67" w:rsidRPr="00CF758B">
        <w:rPr>
          <w:rFonts w:asciiTheme="minorHAnsi" w:hAnsiTheme="minorHAnsi" w:cstheme="minorHAnsi"/>
          <w:sz w:val="22"/>
          <w:szCs w:val="22"/>
          <w:lang w:val="en-US"/>
        </w:rPr>
        <w:t xml:space="preserve">Working Group continue its work until the completion of the financial analysis </w:t>
      </w:r>
      <w:r w:rsidR="00F94DC0" w:rsidRPr="00CF758B">
        <w:rPr>
          <w:rFonts w:asciiTheme="minorHAnsi" w:hAnsiTheme="minorHAnsi" w:cstheme="minorHAnsi"/>
          <w:sz w:val="22"/>
          <w:szCs w:val="22"/>
          <w:lang w:val="en-US"/>
        </w:rPr>
        <w:t xml:space="preserve">of the options identified as the most viable, </w:t>
      </w:r>
      <w:r w:rsidR="00FD3F67" w:rsidRPr="00CF758B">
        <w:rPr>
          <w:rFonts w:asciiTheme="minorHAnsi" w:hAnsiTheme="minorHAnsi" w:cstheme="minorHAnsi"/>
          <w:sz w:val="22"/>
          <w:szCs w:val="22"/>
          <w:lang w:val="en-US"/>
        </w:rPr>
        <w:t xml:space="preserve">and </w:t>
      </w:r>
      <w:r w:rsidR="00487DF3" w:rsidRPr="00CF758B">
        <w:rPr>
          <w:rFonts w:asciiTheme="minorHAnsi" w:hAnsiTheme="minorHAnsi" w:cstheme="minorHAnsi"/>
          <w:sz w:val="22"/>
          <w:szCs w:val="22"/>
          <w:lang w:val="en-US"/>
        </w:rPr>
        <w:t>report back at the Committee’s resumed session.</w:t>
      </w:r>
    </w:p>
    <w:p w14:paraId="03F658ED" w14:textId="68DD67EE" w:rsidR="00487DF3" w:rsidRPr="00CF758B" w:rsidRDefault="00487DF3" w:rsidP="00166ADC">
      <w:pPr>
        <w:spacing w:after="0" w:line="240" w:lineRule="auto"/>
        <w:ind w:left="-142"/>
        <w:rPr>
          <w:rFonts w:cstheme="minorHAnsi"/>
        </w:rPr>
      </w:pPr>
    </w:p>
    <w:p w14:paraId="1CBE28FB" w14:textId="77777777" w:rsidR="00FD3F67" w:rsidRPr="00CF758B" w:rsidRDefault="00487DF3" w:rsidP="00166ADC">
      <w:pPr>
        <w:autoSpaceDE w:val="0"/>
        <w:autoSpaceDN w:val="0"/>
        <w:adjustRightInd w:val="0"/>
        <w:spacing w:after="0" w:line="240" w:lineRule="auto"/>
        <w:rPr>
          <w:rFonts w:cstheme="minorHAnsi"/>
          <w:highlight w:val="yellow"/>
        </w:rPr>
      </w:pPr>
      <w:r w:rsidRPr="00CF758B">
        <w:rPr>
          <w:rFonts w:cstheme="minorHAnsi"/>
          <w:b/>
        </w:rPr>
        <w:t>Summary of key findings of the financial analysis consultancy</w:t>
      </w:r>
    </w:p>
    <w:p w14:paraId="4636F774" w14:textId="77777777" w:rsidR="00047914" w:rsidRPr="00CF758B" w:rsidRDefault="00047914" w:rsidP="00166ADC">
      <w:pPr>
        <w:autoSpaceDE w:val="0"/>
        <w:autoSpaceDN w:val="0"/>
        <w:adjustRightInd w:val="0"/>
        <w:spacing w:after="0" w:line="240" w:lineRule="auto"/>
        <w:rPr>
          <w:rFonts w:cstheme="minorHAnsi"/>
        </w:rPr>
      </w:pPr>
    </w:p>
    <w:p w14:paraId="45C007EA" w14:textId="1B0B92C3" w:rsidR="00047914" w:rsidRPr="00CF758B" w:rsidRDefault="00CF758B" w:rsidP="00166ADC">
      <w:pPr>
        <w:spacing w:after="0" w:line="240" w:lineRule="auto"/>
        <w:ind w:left="425" w:hanging="425"/>
        <w:rPr>
          <w:rFonts w:cstheme="minorHAnsi"/>
        </w:rPr>
      </w:pPr>
      <w:r>
        <w:rPr>
          <w:rFonts w:cstheme="minorHAnsi"/>
        </w:rPr>
        <w:t>9.</w:t>
      </w:r>
      <w:r>
        <w:rPr>
          <w:rFonts w:cstheme="minorHAnsi"/>
        </w:rPr>
        <w:tab/>
      </w:r>
      <w:r w:rsidR="00047914" w:rsidRPr="00CF758B">
        <w:rPr>
          <w:rFonts w:cstheme="minorHAnsi"/>
        </w:rPr>
        <w:t>The consultancy prepare</w:t>
      </w:r>
      <w:r w:rsidR="00487DF3" w:rsidRPr="00CF758B">
        <w:rPr>
          <w:rFonts w:cstheme="minorHAnsi"/>
        </w:rPr>
        <w:t>d</w:t>
      </w:r>
      <w:r w:rsidR="00047914" w:rsidRPr="00CF758B">
        <w:rPr>
          <w:rFonts w:cstheme="minorHAnsi"/>
        </w:rPr>
        <w:t xml:space="preserve"> a comparative analysis of the three options identified by the Working Group as the most viable, plus the current arrangement of the Secretariat of the Convention hosted by IUCN, as follows:</w:t>
      </w:r>
    </w:p>
    <w:p w14:paraId="5953423D" w14:textId="538B33B2" w:rsidR="00047914" w:rsidRPr="00CF758B" w:rsidRDefault="00047914" w:rsidP="00166ADC">
      <w:pPr>
        <w:pStyle w:val="Default"/>
        <w:numPr>
          <w:ilvl w:val="0"/>
          <w:numId w:val="14"/>
        </w:numPr>
        <w:ind w:left="851" w:hanging="425"/>
        <w:rPr>
          <w:rFonts w:asciiTheme="minorHAnsi" w:hAnsiTheme="minorHAnsi" w:cstheme="minorHAnsi"/>
          <w:bCs/>
          <w:color w:val="auto"/>
          <w:sz w:val="22"/>
          <w:szCs w:val="22"/>
        </w:rPr>
      </w:pPr>
      <w:r w:rsidRPr="00CF758B">
        <w:rPr>
          <w:rFonts w:asciiTheme="minorHAnsi" w:hAnsiTheme="minorHAnsi" w:cstheme="minorHAnsi"/>
          <w:color w:val="auto"/>
          <w:sz w:val="22"/>
          <w:szCs w:val="22"/>
        </w:rPr>
        <w:lastRenderedPageBreak/>
        <w:t xml:space="preserve">Secretariat of </w:t>
      </w:r>
      <w:r w:rsidRPr="00CF758B">
        <w:rPr>
          <w:rFonts w:asciiTheme="minorHAnsi" w:hAnsiTheme="minorHAnsi" w:cstheme="minorHAnsi"/>
          <w:bCs/>
          <w:color w:val="auto"/>
          <w:sz w:val="22"/>
          <w:szCs w:val="22"/>
        </w:rPr>
        <w:t>traditional IGOs (A1)</w:t>
      </w:r>
      <w:r w:rsidR="00B25DF0">
        <w:rPr>
          <w:rFonts w:asciiTheme="minorHAnsi" w:hAnsiTheme="minorHAnsi" w:cstheme="minorHAnsi"/>
          <w:bCs/>
          <w:color w:val="auto"/>
          <w:sz w:val="22"/>
          <w:szCs w:val="22"/>
        </w:rPr>
        <w:t>;</w:t>
      </w:r>
    </w:p>
    <w:p w14:paraId="6A20F466" w14:textId="683F3AEE" w:rsidR="00047914" w:rsidRPr="00CF758B" w:rsidRDefault="00047914" w:rsidP="00166ADC">
      <w:pPr>
        <w:pStyle w:val="Default"/>
        <w:numPr>
          <w:ilvl w:val="0"/>
          <w:numId w:val="14"/>
        </w:numPr>
        <w:ind w:left="851" w:hanging="425"/>
        <w:rPr>
          <w:rFonts w:asciiTheme="minorHAnsi" w:hAnsiTheme="minorHAnsi" w:cstheme="minorHAnsi"/>
          <w:color w:val="auto"/>
          <w:sz w:val="22"/>
          <w:szCs w:val="22"/>
        </w:rPr>
      </w:pPr>
      <w:r w:rsidRPr="00CF758B">
        <w:rPr>
          <w:rFonts w:asciiTheme="minorHAnsi" w:hAnsiTheme="minorHAnsi" w:cstheme="minorHAnsi"/>
          <w:color w:val="auto"/>
          <w:sz w:val="22"/>
          <w:szCs w:val="22"/>
        </w:rPr>
        <w:t xml:space="preserve">Multilateral environmental agreement (MEA), </w:t>
      </w:r>
      <w:r w:rsidR="00CF758B">
        <w:rPr>
          <w:rFonts w:asciiTheme="minorHAnsi" w:hAnsiTheme="minorHAnsi" w:cstheme="minorHAnsi"/>
          <w:bCs/>
          <w:color w:val="auto"/>
          <w:sz w:val="22"/>
          <w:szCs w:val="22"/>
        </w:rPr>
        <w:t>i</w:t>
      </w:r>
      <w:r w:rsidR="00CF758B" w:rsidRPr="00CF758B">
        <w:rPr>
          <w:rFonts w:asciiTheme="minorHAnsi" w:hAnsiTheme="minorHAnsi" w:cstheme="minorHAnsi"/>
          <w:bCs/>
          <w:color w:val="auto"/>
          <w:sz w:val="22"/>
          <w:szCs w:val="22"/>
        </w:rPr>
        <w:t xml:space="preserve">nstitutional </w:t>
      </w:r>
      <w:r w:rsidRPr="00CF758B">
        <w:rPr>
          <w:rFonts w:asciiTheme="minorHAnsi" w:hAnsiTheme="minorHAnsi" w:cstheme="minorHAnsi"/>
          <w:bCs/>
          <w:color w:val="auto"/>
          <w:sz w:val="22"/>
          <w:szCs w:val="22"/>
        </w:rPr>
        <w:t>linkage to the UN (A3)</w:t>
      </w:r>
      <w:r w:rsidR="00B25DF0">
        <w:rPr>
          <w:rFonts w:asciiTheme="minorHAnsi" w:hAnsiTheme="minorHAnsi" w:cstheme="minorHAnsi"/>
          <w:bCs/>
          <w:color w:val="auto"/>
          <w:sz w:val="22"/>
          <w:szCs w:val="22"/>
        </w:rPr>
        <w:t>;</w:t>
      </w:r>
    </w:p>
    <w:p w14:paraId="0D4CEFE2" w14:textId="0E9A17A5" w:rsidR="00047914" w:rsidRPr="00CF758B" w:rsidRDefault="00047914" w:rsidP="00166ADC">
      <w:pPr>
        <w:pStyle w:val="Default"/>
        <w:numPr>
          <w:ilvl w:val="0"/>
          <w:numId w:val="14"/>
        </w:numPr>
        <w:ind w:left="851" w:hanging="425"/>
        <w:rPr>
          <w:rFonts w:asciiTheme="minorHAnsi" w:hAnsiTheme="minorHAnsi" w:cstheme="minorHAnsi"/>
          <w:color w:val="auto"/>
          <w:sz w:val="22"/>
          <w:szCs w:val="22"/>
        </w:rPr>
      </w:pPr>
      <w:r w:rsidRPr="00CF758B">
        <w:rPr>
          <w:rFonts w:asciiTheme="minorHAnsi" w:hAnsiTheme="minorHAnsi" w:cstheme="minorHAnsi"/>
          <w:bCs/>
          <w:color w:val="auto"/>
          <w:sz w:val="22"/>
          <w:szCs w:val="22"/>
        </w:rPr>
        <w:t xml:space="preserve">Part of UNEP </w:t>
      </w:r>
      <w:r w:rsidRPr="00CF758B">
        <w:rPr>
          <w:rFonts w:asciiTheme="minorHAnsi" w:hAnsiTheme="minorHAnsi" w:cstheme="minorHAnsi"/>
          <w:color w:val="auto"/>
          <w:sz w:val="22"/>
          <w:szCs w:val="22"/>
        </w:rPr>
        <w:t>(Option B1)</w:t>
      </w:r>
      <w:r w:rsidR="00B25DF0">
        <w:rPr>
          <w:rFonts w:asciiTheme="minorHAnsi" w:hAnsiTheme="minorHAnsi" w:cstheme="minorHAnsi"/>
          <w:color w:val="auto"/>
          <w:sz w:val="22"/>
          <w:szCs w:val="22"/>
        </w:rPr>
        <w:t>;</w:t>
      </w:r>
    </w:p>
    <w:p w14:paraId="5B9B6A1F" w14:textId="5CC49B52" w:rsidR="00047914" w:rsidRPr="00CF758B" w:rsidRDefault="00B25DF0" w:rsidP="00166ADC">
      <w:pPr>
        <w:pStyle w:val="Default"/>
        <w:numPr>
          <w:ilvl w:val="0"/>
          <w:numId w:val="14"/>
        </w:numPr>
        <w:ind w:left="851" w:hanging="425"/>
        <w:rPr>
          <w:rFonts w:asciiTheme="minorHAnsi" w:hAnsiTheme="minorHAnsi" w:cstheme="minorHAnsi"/>
          <w:color w:val="auto"/>
          <w:sz w:val="22"/>
          <w:szCs w:val="22"/>
        </w:rPr>
      </w:pPr>
      <w:r>
        <w:rPr>
          <w:rFonts w:asciiTheme="minorHAnsi" w:hAnsiTheme="minorHAnsi" w:cstheme="minorHAnsi"/>
          <w:color w:val="auto"/>
          <w:sz w:val="22"/>
          <w:szCs w:val="22"/>
        </w:rPr>
        <w:t>The c</w:t>
      </w:r>
      <w:r w:rsidRPr="00CF758B">
        <w:rPr>
          <w:rFonts w:asciiTheme="minorHAnsi" w:hAnsiTheme="minorHAnsi" w:cstheme="minorHAnsi"/>
          <w:color w:val="auto"/>
          <w:sz w:val="22"/>
          <w:szCs w:val="22"/>
        </w:rPr>
        <w:t xml:space="preserve">urrent </w:t>
      </w:r>
      <w:r w:rsidR="00047914" w:rsidRPr="00CF758B">
        <w:rPr>
          <w:rFonts w:asciiTheme="minorHAnsi" w:hAnsiTheme="minorHAnsi" w:cstheme="minorHAnsi"/>
          <w:color w:val="auto"/>
          <w:sz w:val="22"/>
          <w:szCs w:val="22"/>
        </w:rPr>
        <w:t>scenario</w:t>
      </w:r>
      <w:r>
        <w:rPr>
          <w:rFonts w:asciiTheme="minorHAnsi" w:hAnsiTheme="minorHAnsi" w:cstheme="minorHAnsi"/>
          <w:color w:val="auto"/>
          <w:sz w:val="22"/>
          <w:szCs w:val="22"/>
        </w:rPr>
        <w:t>,</w:t>
      </w:r>
      <w:r w:rsidR="00047914" w:rsidRPr="00CF758B">
        <w:rPr>
          <w:rFonts w:asciiTheme="minorHAnsi" w:hAnsiTheme="minorHAnsi" w:cstheme="minorHAnsi"/>
          <w:color w:val="auto"/>
          <w:sz w:val="22"/>
          <w:szCs w:val="22"/>
        </w:rPr>
        <w:t xml:space="preserve"> with Secretariat of the Convention/IUCN – including a </w:t>
      </w:r>
      <w:r w:rsidR="00047914" w:rsidRPr="00CF758B">
        <w:rPr>
          <w:rFonts w:asciiTheme="minorHAnsi" w:hAnsiTheme="minorHAnsi" w:cstheme="minorHAnsi"/>
          <w:sz w:val="22"/>
          <w:szCs w:val="22"/>
        </w:rPr>
        <w:t>comparative analysis of salaries and benefits between IUCN and the UN System</w:t>
      </w:r>
      <w:r>
        <w:rPr>
          <w:rFonts w:asciiTheme="minorHAnsi" w:hAnsiTheme="minorHAnsi" w:cstheme="minorHAnsi"/>
          <w:sz w:val="22"/>
          <w:szCs w:val="22"/>
        </w:rPr>
        <w:t>.</w:t>
      </w:r>
    </w:p>
    <w:p w14:paraId="744309DD" w14:textId="77777777" w:rsidR="001738F2" w:rsidRPr="00CF758B" w:rsidRDefault="001738F2" w:rsidP="00166ADC">
      <w:pPr>
        <w:autoSpaceDE w:val="0"/>
        <w:autoSpaceDN w:val="0"/>
        <w:adjustRightInd w:val="0"/>
        <w:spacing w:after="0" w:line="240" w:lineRule="auto"/>
        <w:rPr>
          <w:rFonts w:cstheme="minorHAnsi"/>
        </w:rPr>
      </w:pPr>
    </w:p>
    <w:p w14:paraId="4ADE64FC" w14:textId="12FBD77B" w:rsidR="00DA1078" w:rsidRPr="00CF758B" w:rsidRDefault="00B73F3B" w:rsidP="00166ADC">
      <w:pPr>
        <w:spacing w:after="0" w:line="240" w:lineRule="auto"/>
        <w:ind w:left="426" w:hanging="426"/>
        <w:rPr>
          <w:rFonts w:cstheme="minorHAnsi"/>
        </w:rPr>
      </w:pPr>
      <w:r>
        <w:rPr>
          <w:rFonts w:cstheme="minorHAnsi"/>
        </w:rPr>
        <w:t>10.</w:t>
      </w:r>
      <w:r>
        <w:rPr>
          <w:rFonts w:cstheme="minorHAnsi"/>
        </w:rPr>
        <w:tab/>
      </w:r>
      <w:r w:rsidR="00DA1078" w:rsidRPr="00CF758B">
        <w:rPr>
          <w:rFonts w:cstheme="minorHAnsi"/>
        </w:rPr>
        <w:t>The comparative analysis encompasses:</w:t>
      </w:r>
    </w:p>
    <w:p w14:paraId="16AA18B5" w14:textId="77777777" w:rsidR="00DA1078" w:rsidRPr="00CF758B" w:rsidRDefault="00DA1078" w:rsidP="00166ADC">
      <w:pPr>
        <w:autoSpaceDE w:val="0"/>
        <w:autoSpaceDN w:val="0"/>
        <w:adjustRightInd w:val="0"/>
        <w:spacing w:after="0" w:line="240" w:lineRule="auto"/>
        <w:ind w:left="426"/>
        <w:rPr>
          <w:rFonts w:cstheme="minorHAnsi"/>
        </w:rPr>
      </w:pPr>
      <w:r w:rsidRPr="00CF758B">
        <w:rPr>
          <w:rFonts w:cstheme="minorHAnsi"/>
        </w:rPr>
        <w:t>a</w:t>
      </w:r>
      <w:r w:rsidR="007935A5" w:rsidRPr="00CF758B">
        <w:rPr>
          <w:rFonts w:cstheme="minorHAnsi"/>
        </w:rPr>
        <w:t>.</w:t>
      </w:r>
      <w:r w:rsidRPr="00CF758B">
        <w:rPr>
          <w:rFonts w:cstheme="minorHAnsi"/>
        </w:rPr>
        <w:t xml:space="preserve"> </w:t>
      </w:r>
      <w:r w:rsidR="007935A5" w:rsidRPr="00CF758B">
        <w:rPr>
          <w:rFonts w:cstheme="minorHAnsi"/>
        </w:rPr>
        <w:t xml:space="preserve">    </w:t>
      </w:r>
      <w:r w:rsidRPr="00CF758B">
        <w:rPr>
          <w:rFonts w:cstheme="minorHAnsi"/>
        </w:rPr>
        <w:t>Costs of operation and administrative service arrangements (including fees</w:t>
      </w:r>
    </w:p>
    <w:p w14:paraId="168282FE" w14:textId="122DE9B4" w:rsidR="00DA1078" w:rsidRPr="00CF758B" w:rsidRDefault="00DA1078" w:rsidP="00166ADC">
      <w:pPr>
        <w:autoSpaceDE w:val="0"/>
        <w:autoSpaceDN w:val="0"/>
        <w:adjustRightInd w:val="0"/>
        <w:spacing w:after="0" w:line="240" w:lineRule="auto"/>
        <w:ind w:left="851"/>
        <w:rPr>
          <w:rFonts w:cstheme="minorHAnsi"/>
        </w:rPr>
      </w:pPr>
      <w:r w:rsidRPr="00CF758B">
        <w:rPr>
          <w:rFonts w:cstheme="minorHAnsi"/>
        </w:rPr>
        <w:t>required by the hosting organ</w:t>
      </w:r>
      <w:r w:rsidR="00B25DF0">
        <w:rPr>
          <w:rFonts w:cstheme="minorHAnsi"/>
        </w:rPr>
        <w:t>izat</w:t>
      </w:r>
      <w:r w:rsidRPr="00CF758B">
        <w:rPr>
          <w:rFonts w:cstheme="minorHAnsi"/>
        </w:rPr>
        <w:t>ion and services and staff provided by hosting</w:t>
      </w:r>
    </w:p>
    <w:p w14:paraId="27E7F655" w14:textId="60D6E4CC" w:rsidR="00DA1078" w:rsidRPr="00CF758B" w:rsidRDefault="00DA1078" w:rsidP="00166ADC">
      <w:pPr>
        <w:autoSpaceDE w:val="0"/>
        <w:autoSpaceDN w:val="0"/>
        <w:adjustRightInd w:val="0"/>
        <w:spacing w:after="0" w:line="240" w:lineRule="auto"/>
        <w:ind w:left="709" w:firstLine="142"/>
        <w:rPr>
          <w:rFonts w:cstheme="minorHAnsi"/>
        </w:rPr>
      </w:pPr>
      <w:r w:rsidRPr="00CF758B">
        <w:rPr>
          <w:rFonts w:cstheme="minorHAnsi"/>
        </w:rPr>
        <w:t>organ</w:t>
      </w:r>
      <w:r w:rsidR="00B25DF0">
        <w:rPr>
          <w:rFonts w:cstheme="minorHAnsi"/>
        </w:rPr>
        <w:t>izat</w:t>
      </w:r>
      <w:r w:rsidRPr="00CF758B">
        <w:rPr>
          <w:rFonts w:cstheme="minorHAnsi"/>
        </w:rPr>
        <w:t>ion in exchange for the fees when applicable)</w:t>
      </w:r>
      <w:r w:rsidR="00B73F3B">
        <w:rPr>
          <w:rFonts w:cstheme="minorHAnsi"/>
        </w:rPr>
        <w:t>;</w:t>
      </w:r>
    </w:p>
    <w:p w14:paraId="08E1ED3B" w14:textId="77777777" w:rsidR="00DA1078" w:rsidRPr="00CF758B" w:rsidRDefault="00DA1078" w:rsidP="00166ADC">
      <w:pPr>
        <w:autoSpaceDE w:val="0"/>
        <w:autoSpaceDN w:val="0"/>
        <w:adjustRightInd w:val="0"/>
        <w:spacing w:after="0" w:line="240" w:lineRule="auto"/>
        <w:ind w:firstLine="426"/>
        <w:rPr>
          <w:rFonts w:cstheme="minorHAnsi"/>
        </w:rPr>
      </w:pPr>
      <w:r w:rsidRPr="00CF758B">
        <w:rPr>
          <w:rFonts w:cstheme="minorHAnsi"/>
        </w:rPr>
        <w:t>b</w:t>
      </w:r>
      <w:r w:rsidR="007935A5" w:rsidRPr="00CF758B">
        <w:rPr>
          <w:rFonts w:cstheme="minorHAnsi"/>
        </w:rPr>
        <w:t>.</w:t>
      </w:r>
      <w:r w:rsidRPr="00CF758B">
        <w:rPr>
          <w:rFonts w:cstheme="minorHAnsi"/>
        </w:rPr>
        <w:t xml:space="preserve"> </w:t>
      </w:r>
      <w:r w:rsidR="007935A5" w:rsidRPr="00CF758B">
        <w:rPr>
          <w:rFonts w:cstheme="minorHAnsi"/>
        </w:rPr>
        <w:t xml:space="preserve">    </w:t>
      </w:r>
      <w:r w:rsidRPr="00CF758B">
        <w:rPr>
          <w:rFonts w:cstheme="minorHAnsi"/>
        </w:rPr>
        <w:t>Staff cost and benefits implications; and</w:t>
      </w:r>
    </w:p>
    <w:p w14:paraId="5E569572" w14:textId="7CF340C7" w:rsidR="00DA1078" w:rsidRPr="00CF758B" w:rsidRDefault="00DA1078" w:rsidP="00166ADC">
      <w:pPr>
        <w:spacing w:after="0" w:line="240" w:lineRule="auto"/>
        <w:ind w:firstLine="426"/>
        <w:rPr>
          <w:rFonts w:cstheme="minorHAnsi"/>
        </w:rPr>
      </w:pPr>
      <w:r w:rsidRPr="00CF758B">
        <w:rPr>
          <w:rFonts w:cstheme="minorHAnsi"/>
        </w:rPr>
        <w:t>c</w:t>
      </w:r>
      <w:r w:rsidR="007935A5" w:rsidRPr="00CF758B">
        <w:rPr>
          <w:rFonts w:cstheme="minorHAnsi"/>
        </w:rPr>
        <w:t>.</w:t>
      </w:r>
      <w:r w:rsidRPr="00CF758B">
        <w:rPr>
          <w:rFonts w:cstheme="minorHAnsi"/>
        </w:rPr>
        <w:t xml:space="preserve"> </w:t>
      </w:r>
      <w:r w:rsidR="007935A5" w:rsidRPr="00CF758B">
        <w:rPr>
          <w:rFonts w:cstheme="minorHAnsi"/>
        </w:rPr>
        <w:t xml:space="preserve">    </w:t>
      </w:r>
      <w:r w:rsidRPr="00CF758B">
        <w:rPr>
          <w:rFonts w:cstheme="minorHAnsi"/>
        </w:rPr>
        <w:t>The steps and approximate time of each option</w:t>
      </w:r>
      <w:r w:rsidR="00B73F3B">
        <w:rPr>
          <w:rFonts w:cstheme="minorHAnsi"/>
        </w:rPr>
        <w:t>.</w:t>
      </w:r>
    </w:p>
    <w:p w14:paraId="5F91CF4B" w14:textId="77777777" w:rsidR="00CF758B" w:rsidRDefault="00CF758B" w:rsidP="00166ADC">
      <w:pPr>
        <w:tabs>
          <w:tab w:val="left" w:pos="284"/>
        </w:tabs>
        <w:autoSpaceDE w:val="0"/>
        <w:autoSpaceDN w:val="0"/>
        <w:adjustRightInd w:val="0"/>
        <w:spacing w:after="0" w:line="240" w:lineRule="auto"/>
        <w:ind w:left="284" w:hanging="284"/>
        <w:rPr>
          <w:rFonts w:cstheme="minorHAnsi"/>
        </w:rPr>
      </w:pPr>
    </w:p>
    <w:p w14:paraId="3AB02C47" w14:textId="5FFF7572" w:rsidR="004715F2" w:rsidRPr="00CF758B" w:rsidRDefault="00B73F3B" w:rsidP="00166ADC">
      <w:pPr>
        <w:autoSpaceDE w:val="0"/>
        <w:autoSpaceDN w:val="0"/>
        <w:adjustRightInd w:val="0"/>
        <w:spacing w:after="0" w:line="240" w:lineRule="auto"/>
        <w:ind w:left="426" w:hanging="426"/>
        <w:rPr>
          <w:rFonts w:cstheme="minorHAnsi"/>
        </w:rPr>
      </w:pPr>
      <w:r w:rsidRPr="00CF758B">
        <w:rPr>
          <w:rFonts w:cstheme="minorHAnsi"/>
        </w:rPr>
        <w:t>1</w:t>
      </w:r>
      <w:r>
        <w:rPr>
          <w:rFonts w:cstheme="minorHAnsi"/>
        </w:rPr>
        <w:t>1</w:t>
      </w:r>
      <w:r w:rsidR="007935A5" w:rsidRPr="00CF758B">
        <w:rPr>
          <w:rFonts w:cstheme="minorHAnsi"/>
        </w:rPr>
        <w:t xml:space="preserve">. </w:t>
      </w:r>
      <w:r>
        <w:rPr>
          <w:rFonts w:cstheme="minorHAnsi"/>
        </w:rPr>
        <w:tab/>
      </w:r>
      <w:r w:rsidR="00DA1078" w:rsidRPr="00CF758B">
        <w:rPr>
          <w:rFonts w:cstheme="minorHAnsi"/>
        </w:rPr>
        <w:t xml:space="preserve">The report determines costs under </w:t>
      </w:r>
      <w:r w:rsidR="00B25DF0">
        <w:rPr>
          <w:rFonts w:cstheme="minorHAnsi"/>
        </w:rPr>
        <w:t xml:space="preserve">the </w:t>
      </w:r>
      <w:r w:rsidR="00DA1078" w:rsidRPr="00CF758B">
        <w:rPr>
          <w:rFonts w:cstheme="minorHAnsi"/>
        </w:rPr>
        <w:t>current scenario and options A1, A3 and B1</w:t>
      </w:r>
      <w:r w:rsidR="001738F2" w:rsidRPr="00CF758B">
        <w:rPr>
          <w:rFonts w:cstheme="minorHAnsi"/>
        </w:rPr>
        <w:t xml:space="preserve"> </w:t>
      </w:r>
      <w:r w:rsidR="00DA1078" w:rsidRPr="00CF758B">
        <w:rPr>
          <w:rFonts w:cstheme="minorHAnsi"/>
        </w:rPr>
        <w:t xml:space="preserve">identified by </w:t>
      </w:r>
      <w:r w:rsidR="00065438" w:rsidRPr="00CF758B">
        <w:rPr>
          <w:rFonts w:cstheme="minorHAnsi"/>
        </w:rPr>
        <w:t>the independent</w:t>
      </w:r>
      <w:r w:rsidR="00DA1078" w:rsidRPr="00CF758B">
        <w:rPr>
          <w:rFonts w:cstheme="minorHAnsi"/>
        </w:rPr>
        <w:t xml:space="preserve"> analysis on the legal status of the Secretariat,</w:t>
      </w:r>
      <w:r w:rsidR="001738F2" w:rsidRPr="00CF758B">
        <w:rPr>
          <w:rFonts w:cstheme="minorHAnsi"/>
        </w:rPr>
        <w:t xml:space="preserve"> </w:t>
      </w:r>
      <w:r w:rsidR="00DA1078" w:rsidRPr="00CF758B">
        <w:rPr>
          <w:rFonts w:cstheme="minorHAnsi"/>
        </w:rPr>
        <w:t>using comparative organ</w:t>
      </w:r>
      <w:r w:rsidR="00B25DF0">
        <w:rPr>
          <w:rFonts w:cstheme="minorHAnsi"/>
        </w:rPr>
        <w:t>izat</w:t>
      </w:r>
      <w:r w:rsidR="00DA1078" w:rsidRPr="00CF758B">
        <w:rPr>
          <w:rFonts w:cstheme="minorHAnsi"/>
        </w:rPr>
        <w:t>ions. The analysis is based on an</w:t>
      </w:r>
      <w:r w:rsidR="001738F2" w:rsidRPr="00CF758B">
        <w:rPr>
          <w:rFonts w:cstheme="minorHAnsi"/>
        </w:rPr>
        <w:t xml:space="preserve"> </w:t>
      </w:r>
      <w:r w:rsidR="00DA1078" w:rsidRPr="00CF758B">
        <w:rPr>
          <w:rFonts w:cstheme="minorHAnsi"/>
        </w:rPr>
        <w:t xml:space="preserve">extensive literature review and interviews with officers working at </w:t>
      </w:r>
      <w:r w:rsidR="00030EA4">
        <w:rPr>
          <w:rFonts w:cstheme="minorHAnsi"/>
        </w:rPr>
        <w:t xml:space="preserve">the </w:t>
      </w:r>
      <w:r w:rsidR="00DA1078" w:rsidRPr="00CF758B">
        <w:rPr>
          <w:rFonts w:cstheme="minorHAnsi"/>
        </w:rPr>
        <w:t>comparison</w:t>
      </w:r>
      <w:r w:rsidR="001738F2" w:rsidRPr="00CF758B">
        <w:rPr>
          <w:rFonts w:cstheme="minorHAnsi"/>
        </w:rPr>
        <w:t xml:space="preserve"> </w:t>
      </w:r>
      <w:r w:rsidR="00DA1078" w:rsidRPr="00CF758B">
        <w:rPr>
          <w:rFonts w:cstheme="minorHAnsi"/>
        </w:rPr>
        <w:t>organ</w:t>
      </w:r>
      <w:r w:rsidR="00B25DF0">
        <w:rPr>
          <w:rFonts w:cstheme="minorHAnsi"/>
        </w:rPr>
        <w:t>izat</w:t>
      </w:r>
      <w:r w:rsidR="00DA1078" w:rsidRPr="00CF758B">
        <w:rPr>
          <w:rFonts w:cstheme="minorHAnsi"/>
        </w:rPr>
        <w:t xml:space="preserve">ions and Secretariats. </w:t>
      </w:r>
    </w:p>
    <w:p w14:paraId="7D0090AF" w14:textId="19BB867B" w:rsidR="00694C51" w:rsidRPr="00CF758B" w:rsidRDefault="00694C51" w:rsidP="00166ADC">
      <w:pPr>
        <w:tabs>
          <w:tab w:val="left" w:pos="284"/>
        </w:tabs>
        <w:autoSpaceDE w:val="0"/>
        <w:autoSpaceDN w:val="0"/>
        <w:adjustRightInd w:val="0"/>
        <w:spacing w:after="0" w:line="240" w:lineRule="auto"/>
        <w:ind w:left="284" w:hanging="284"/>
        <w:rPr>
          <w:rFonts w:cstheme="minorHAnsi"/>
        </w:rPr>
      </w:pPr>
    </w:p>
    <w:p w14:paraId="392D51CD" w14:textId="11ADFD6C" w:rsidR="00694C51" w:rsidRPr="00CF758B" w:rsidRDefault="00B73F3B" w:rsidP="00166ADC">
      <w:pPr>
        <w:spacing w:after="0" w:line="240" w:lineRule="auto"/>
        <w:ind w:left="426" w:hanging="426"/>
        <w:rPr>
          <w:rFonts w:cstheme="minorHAnsi"/>
        </w:rPr>
      </w:pPr>
      <w:r>
        <w:rPr>
          <w:rFonts w:cstheme="minorHAnsi"/>
        </w:rPr>
        <w:t>12.</w:t>
      </w:r>
      <w:r>
        <w:rPr>
          <w:rFonts w:cstheme="minorHAnsi"/>
        </w:rPr>
        <w:tab/>
      </w:r>
      <w:r w:rsidR="00694C51" w:rsidRPr="00CF758B">
        <w:rPr>
          <w:rFonts w:cstheme="minorHAnsi"/>
        </w:rPr>
        <w:t>In line with the above</w:t>
      </w:r>
      <w:r w:rsidR="00030EA4">
        <w:rPr>
          <w:rFonts w:cstheme="minorHAnsi"/>
        </w:rPr>
        <w:t>,</w:t>
      </w:r>
      <w:r w:rsidR="00694C51" w:rsidRPr="00CF758B">
        <w:rPr>
          <w:rFonts w:cstheme="minorHAnsi"/>
        </w:rPr>
        <w:t xml:space="preserve"> the report provides information on:</w:t>
      </w:r>
    </w:p>
    <w:p w14:paraId="3AE62721" w14:textId="6F3F5978" w:rsidR="00694C51" w:rsidRPr="00CF758B" w:rsidRDefault="00694C51" w:rsidP="00166ADC">
      <w:pPr>
        <w:pStyle w:val="ListParagraph"/>
        <w:numPr>
          <w:ilvl w:val="0"/>
          <w:numId w:val="16"/>
        </w:numPr>
        <w:autoSpaceDE w:val="0"/>
        <w:autoSpaceDN w:val="0"/>
        <w:adjustRightInd w:val="0"/>
        <w:ind w:left="851" w:hanging="437"/>
        <w:jc w:val="left"/>
        <w:rPr>
          <w:rFonts w:asciiTheme="minorHAnsi" w:hAnsiTheme="minorHAnsi" w:cstheme="minorHAnsi"/>
        </w:rPr>
      </w:pPr>
      <w:r w:rsidRPr="00CF758B">
        <w:rPr>
          <w:rFonts w:asciiTheme="minorHAnsi" w:hAnsiTheme="minorHAnsi" w:cstheme="minorHAnsi"/>
        </w:rPr>
        <w:t>Relative costs of each option</w:t>
      </w:r>
      <w:r w:rsidR="002C7929">
        <w:rPr>
          <w:rFonts w:asciiTheme="minorHAnsi" w:hAnsiTheme="minorHAnsi" w:cstheme="minorHAnsi"/>
        </w:rPr>
        <w:t>;</w:t>
      </w:r>
    </w:p>
    <w:p w14:paraId="2A77FDB9" w14:textId="371E4482" w:rsidR="00694C51" w:rsidRPr="00CF758B" w:rsidRDefault="00694C51" w:rsidP="00166ADC">
      <w:pPr>
        <w:pStyle w:val="ListParagraph"/>
        <w:numPr>
          <w:ilvl w:val="0"/>
          <w:numId w:val="16"/>
        </w:numPr>
        <w:autoSpaceDE w:val="0"/>
        <w:autoSpaceDN w:val="0"/>
        <w:adjustRightInd w:val="0"/>
        <w:ind w:left="851" w:hanging="437"/>
        <w:jc w:val="left"/>
        <w:rPr>
          <w:rFonts w:asciiTheme="minorHAnsi" w:hAnsiTheme="minorHAnsi" w:cstheme="minorHAnsi"/>
        </w:rPr>
      </w:pPr>
      <w:r w:rsidRPr="00CF758B">
        <w:rPr>
          <w:rFonts w:asciiTheme="minorHAnsi" w:hAnsiTheme="minorHAnsi" w:cstheme="minorHAnsi"/>
        </w:rPr>
        <w:t>Relative benefits of each option</w:t>
      </w:r>
      <w:r w:rsidR="002C7929">
        <w:rPr>
          <w:rFonts w:asciiTheme="minorHAnsi" w:hAnsiTheme="minorHAnsi" w:cstheme="minorHAnsi"/>
        </w:rPr>
        <w:t>;</w:t>
      </w:r>
    </w:p>
    <w:p w14:paraId="584D68CA" w14:textId="63418771" w:rsidR="00694C51" w:rsidRPr="00CF758B" w:rsidRDefault="00694C51" w:rsidP="00166ADC">
      <w:pPr>
        <w:pStyle w:val="ListParagraph"/>
        <w:numPr>
          <w:ilvl w:val="0"/>
          <w:numId w:val="16"/>
        </w:numPr>
        <w:autoSpaceDE w:val="0"/>
        <w:autoSpaceDN w:val="0"/>
        <w:adjustRightInd w:val="0"/>
        <w:ind w:left="851" w:hanging="437"/>
        <w:jc w:val="left"/>
        <w:rPr>
          <w:rFonts w:asciiTheme="minorHAnsi" w:hAnsiTheme="minorHAnsi" w:cstheme="minorHAnsi"/>
        </w:rPr>
      </w:pPr>
      <w:r w:rsidRPr="00CF758B">
        <w:rPr>
          <w:rFonts w:asciiTheme="minorHAnsi" w:hAnsiTheme="minorHAnsi" w:cstheme="minorHAnsi"/>
        </w:rPr>
        <w:t>Transition processes for each option</w:t>
      </w:r>
      <w:r w:rsidR="002C7929">
        <w:rPr>
          <w:rFonts w:asciiTheme="minorHAnsi" w:hAnsiTheme="minorHAnsi" w:cstheme="minorHAnsi"/>
        </w:rPr>
        <w:t>;</w:t>
      </w:r>
    </w:p>
    <w:p w14:paraId="2CB9EB45" w14:textId="7F1023C3" w:rsidR="00694C51" w:rsidRPr="00CF758B" w:rsidRDefault="00694C51" w:rsidP="00166ADC">
      <w:pPr>
        <w:pStyle w:val="ListParagraph"/>
        <w:numPr>
          <w:ilvl w:val="0"/>
          <w:numId w:val="16"/>
        </w:numPr>
        <w:autoSpaceDE w:val="0"/>
        <w:autoSpaceDN w:val="0"/>
        <w:adjustRightInd w:val="0"/>
        <w:ind w:left="851" w:hanging="437"/>
        <w:jc w:val="left"/>
        <w:rPr>
          <w:rFonts w:asciiTheme="minorHAnsi" w:hAnsiTheme="minorHAnsi" w:cstheme="minorHAnsi"/>
        </w:rPr>
      </w:pPr>
      <w:r w:rsidRPr="00CF758B">
        <w:rPr>
          <w:rFonts w:asciiTheme="minorHAnsi" w:hAnsiTheme="minorHAnsi" w:cstheme="minorHAnsi"/>
        </w:rPr>
        <w:t>Estimations and assumptions</w:t>
      </w:r>
      <w:r w:rsidR="002C7929">
        <w:rPr>
          <w:rFonts w:asciiTheme="minorHAnsi" w:hAnsiTheme="minorHAnsi" w:cstheme="minorHAnsi"/>
        </w:rPr>
        <w:t>;</w:t>
      </w:r>
    </w:p>
    <w:p w14:paraId="73838064" w14:textId="47871B0D" w:rsidR="00694C51" w:rsidRPr="00CF758B" w:rsidRDefault="00694C51" w:rsidP="00166ADC">
      <w:pPr>
        <w:pStyle w:val="ListParagraph"/>
        <w:numPr>
          <w:ilvl w:val="0"/>
          <w:numId w:val="16"/>
        </w:numPr>
        <w:autoSpaceDE w:val="0"/>
        <w:autoSpaceDN w:val="0"/>
        <w:adjustRightInd w:val="0"/>
        <w:ind w:left="851" w:hanging="437"/>
        <w:jc w:val="left"/>
        <w:rPr>
          <w:rFonts w:asciiTheme="minorHAnsi" w:hAnsiTheme="minorHAnsi" w:cstheme="minorHAnsi"/>
        </w:rPr>
      </w:pPr>
      <w:r w:rsidRPr="00CF758B">
        <w:rPr>
          <w:rFonts w:asciiTheme="minorHAnsi" w:hAnsiTheme="minorHAnsi" w:cstheme="minorHAnsi"/>
        </w:rPr>
        <w:t>Comparative table of the three scenarios and their potential meaning for the Secretariat</w:t>
      </w:r>
      <w:r w:rsidR="00030EA4">
        <w:rPr>
          <w:rFonts w:asciiTheme="minorHAnsi" w:hAnsiTheme="minorHAnsi" w:cstheme="minorHAnsi"/>
        </w:rPr>
        <w:t>;</w:t>
      </w:r>
    </w:p>
    <w:p w14:paraId="16E183BA" w14:textId="3A89B67F" w:rsidR="00694C51" w:rsidRPr="00CF758B" w:rsidRDefault="00694C51" w:rsidP="00166ADC">
      <w:pPr>
        <w:pStyle w:val="ListParagraph"/>
        <w:numPr>
          <w:ilvl w:val="0"/>
          <w:numId w:val="16"/>
        </w:numPr>
        <w:autoSpaceDE w:val="0"/>
        <w:autoSpaceDN w:val="0"/>
        <w:adjustRightInd w:val="0"/>
        <w:ind w:left="851" w:hanging="437"/>
        <w:jc w:val="left"/>
        <w:rPr>
          <w:rFonts w:asciiTheme="minorHAnsi" w:hAnsiTheme="minorHAnsi" w:cstheme="minorHAnsi"/>
        </w:rPr>
      </w:pPr>
      <w:r w:rsidRPr="00CF758B">
        <w:rPr>
          <w:rFonts w:asciiTheme="minorHAnsi" w:hAnsiTheme="minorHAnsi" w:cstheme="minorHAnsi"/>
        </w:rPr>
        <w:t xml:space="preserve">Comparative table of </w:t>
      </w:r>
      <w:r w:rsidR="00030EA4">
        <w:rPr>
          <w:rFonts w:asciiTheme="minorHAnsi" w:hAnsiTheme="minorHAnsi" w:cstheme="minorHAnsi"/>
        </w:rPr>
        <w:t>p</w:t>
      </w:r>
      <w:r w:rsidR="00030EA4" w:rsidRPr="00CF758B">
        <w:rPr>
          <w:rFonts w:asciiTheme="minorHAnsi" w:hAnsiTheme="minorHAnsi" w:cstheme="minorHAnsi"/>
        </w:rPr>
        <w:t xml:space="preserve">ros </w:t>
      </w:r>
      <w:r w:rsidRPr="00CF758B">
        <w:rPr>
          <w:rFonts w:asciiTheme="minorHAnsi" w:hAnsiTheme="minorHAnsi" w:cstheme="minorHAnsi"/>
        </w:rPr>
        <w:t xml:space="preserve">and </w:t>
      </w:r>
      <w:r w:rsidR="00030EA4">
        <w:rPr>
          <w:rFonts w:asciiTheme="minorHAnsi" w:hAnsiTheme="minorHAnsi" w:cstheme="minorHAnsi"/>
        </w:rPr>
        <w:t>c</w:t>
      </w:r>
      <w:r w:rsidR="00030EA4" w:rsidRPr="00CF758B">
        <w:rPr>
          <w:rFonts w:asciiTheme="minorHAnsi" w:hAnsiTheme="minorHAnsi" w:cstheme="minorHAnsi"/>
        </w:rPr>
        <w:t xml:space="preserve">ons </w:t>
      </w:r>
      <w:r w:rsidRPr="00CF758B">
        <w:rPr>
          <w:rFonts w:asciiTheme="minorHAnsi" w:hAnsiTheme="minorHAnsi" w:cstheme="minorHAnsi"/>
        </w:rPr>
        <w:t xml:space="preserve">for the </w:t>
      </w:r>
      <w:r w:rsidR="00030EA4">
        <w:rPr>
          <w:rFonts w:asciiTheme="minorHAnsi" w:hAnsiTheme="minorHAnsi" w:cstheme="minorHAnsi"/>
        </w:rPr>
        <w:t>f</w:t>
      </w:r>
      <w:r w:rsidR="00030EA4" w:rsidRPr="00CF758B">
        <w:rPr>
          <w:rFonts w:asciiTheme="minorHAnsi" w:hAnsiTheme="minorHAnsi" w:cstheme="minorHAnsi"/>
        </w:rPr>
        <w:t xml:space="preserve">our </w:t>
      </w:r>
      <w:r w:rsidRPr="00CF758B">
        <w:rPr>
          <w:rFonts w:asciiTheme="minorHAnsi" w:hAnsiTheme="minorHAnsi" w:cstheme="minorHAnsi"/>
        </w:rPr>
        <w:t>assessed options</w:t>
      </w:r>
      <w:r w:rsidR="00030EA4">
        <w:rPr>
          <w:rFonts w:asciiTheme="minorHAnsi" w:hAnsiTheme="minorHAnsi" w:cstheme="minorHAnsi"/>
        </w:rPr>
        <w:t>;</w:t>
      </w:r>
    </w:p>
    <w:p w14:paraId="648732BC" w14:textId="6BFE77FB" w:rsidR="00694C51" w:rsidRPr="00CF758B" w:rsidRDefault="00694C51" w:rsidP="00166ADC">
      <w:pPr>
        <w:pStyle w:val="ListParagraph"/>
        <w:numPr>
          <w:ilvl w:val="0"/>
          <w:numId w:val="16"/>
        </w:numPr>
        <w:autoSpaceDE w:val="0"/>
        <w:autoSpaceDN w:val="0"/>
        <w:adjustRightInd w:val="0"/>
        <w:ind w:left="851" w:hanging="437"/>
        <w:jc w:val="left"/>
        <w:rPr>
          <w:rFonts w:asciiTheme="minorHAnsi" w:hAnsiTheme="minorHAnsi" w:cstheme="minorHAnsi"/>
        </w:rPr>
      </w:pPr>
      <w:r w:rsidRPr="00CF758B">
        <w:rPr>
          <w:rFonts w:asciiTheme="minorHAnsi" w:hAnsiTheme="minorHAnsi" w:cstheme="minorHAnsi"/>
        </w:rPr>
        <w:t>Comparative table on the annual costs under IUCN, Option A1, Option A3 and Option B1</w:t>
      </w:r>
      <w:r w:rsidR="00030EA4">
        <w:rPr>
          <w:rFonts w:asciiTheme="minorHAnsi" w:hAnsiTheme="minorHAnsi" w:cstheme="minorHAnsi"/>
        </w:rPr>
        <w:t>; and</w:t>
      </w:r>
    </w:p>
    <w:p w14:paraId="31B25108" w14:textId="1371C3F4" w:rsidR="00694C51" w:rsidRPr="00CF758B" w:rsidRDefault="00694C51" w:rsidP="00166ADC">
      <w:pPr>
        <w:pStyle w:val="ListParagraph"/>
        <w:numPr>
          <w:ilvl w:val="0"/>
          <w:numId w:val="16"/>
        </w:numPr>
        <w:autoSpaceDE w:val="0"/>
        <w:autoSpaceDN w:val="0"/>
        <w:adjustRightInd w:val="0"/>
        <w:ind w:left="851" w:hanging="437"/>
        <w:jc w:val="left"/>
        <w:rPr>
          <w:rFonts w:asciiTheme="minorHAnsi" w:hAnsiTheme="minorHAnsi" w:cstheme="minorHAnsi"/>
        </w:rPr>
      </w:pPr>
      <w:r w:rsidRPr="00CF758B">
        <w:rPr>
          <w:rFonts w:asciiTheme="minorHAnsi" w:hAnsiTheme="minorHAnsi" w:cstheme="minorHAnsi"/>
        </w:rPr>
        <w:t>Staff calculations</w:t>
      </w:r>
      <w:r w:rsidR="00030EA4">
        <w:rPr>
          <w:rFonts w:asciiTheme="minorHAnsi" w:hAnsiTheme="minorHAnsi" w:cstheme="minorHAnsi"/>
        </w:rPr>
        <w:t>.</w:t>
      </w:r>
    </w:p>
    <w:p w14:paraId="139F6EEC" w14:textId="77777777" w:rsidR="001738F2" w:rsidRPr="00CF758B" w:rsidRDefault="001738F2" w:rsidP="00166ADC">
      <w:pPr>
        <w:autoSpaceDE w:val="0"/>
        <w:autoSpaceDN w:val="0"/>
        <w:adjustRightInd w:val="0"/>
        <w:spacing w:after="0" w:line="240" w:lineRule="auto"/>
        <w:rPr>
          <w:rFonts w:cstheme="minorHAnsi"/>
        </w:rPr>
      </w:pPr>
    </w:p>
    <w:p w14:paraId="666F0004" w14:textId="3626827E" w:rsidR="004715F2" w:rsidRPr="00B73F3B" w:rsidRDefault="00B25DF0" w:rsidP="00166ADC">
      <w:pPr>
        <w:autoSpaceDE w:val="0"/>
        <w:autoSpaceDN w:val="0"/>
        <w:adjustRightInd w:val="0"/>
        <w:spacing w:after="0" w:line="240" w:lineRule="auto"/>
        <w:ind w:left="426" w:hanging="426"/>
        <w:rPr>
          <w:rFonts w:cstheme="minorHAnsi"/>
        </w:rPr>
      </w:pPr>
      <w:r>
        <w:rPr>
          <w:rFonts w:cstheme="minorHAnsi"/>
        </w:rPr>
        <w:t>13.</w:t>
      </w:r>
      <w:r>
        <w:rPr>
          <w:rFonts w:cstheme="minorHAnsi"/>
        </w:rPr>
        <w:tab/>
      </w:r>
      <w:r w:rsidR="004715F2" w:rsidRPr="00B73F3B">
        <w:rPr>
          <w:rFonts w:cstheme="minorHAnsi"/>
        </w:rPr>
        <w:t xml:space="preserve">Concerning relative costs of each option the report notes that </w:t>
      </w:r>
      <w:r w:rsidR="006F1674">
        <w:t xml:space="preserve">in 2008, an analysis of the financial implications of the Secretariat joining UNEP or becoming an independent international organization concluded </w:t>
      </w:r>
      <w:r w:rsidR="004715F2" w:rsidRPr="00B73F3B">
        <w:rPr>
          <w:rFonts w:cstheme="minorHAnsi"/>
        </w:rPr>
        <w:t>that joining UNEP would imply an increase of at least 24% of</w:t>
      </w:r>
      <w:r w:rsidR="007935A5" w:rsidRPr="00B73F3B">
        <w:rPr>
          <w:rFonts w:cstheme="minorHAnsi"/>
        </w:rPr>
        <w:t xml:space="preserve"> </w:t>
      </w:r>
      <w:r w:rsidR="004715F2" w:rsidRPr="00B73F3B">
        <w:rPr>
          <w:rFonts w:cstheme="minorHAnsi"/>
        </w:rPr>
        <w:t xml:space="preserve">the annual budget. At that time, the main difference was in staff costs, but </w:t>
      </w:r>
      <w:r w:rsidR="004715F2" w:rsidRPr="00B73F3B">
        <w:rPr>
          <w:rFonts w:cstheme="minorHAnsi"/>
          <w:bCs/>
        </w:rPr>
        <w:t>today this difference</w:t>
      </w:r>
      <w:r w:rsidR="007935A5" w:rsidRPr="00B73F3B">
        <w:rPr>
          <w:rFonts w:cstheme="minorHAnsi"/>
          <w:bCs/>
        </w:rPr>
        <w:t xml:space="preserve"> </w:t>
      </w:r>
      <w:r w:rsidR="004715F2" w:rsidRPr="00B73F3B">
        <w:rPr>
          <w:rFonts w:cstheme="minorHAnsi"/>
          <w:bCs/>
        </w:rPr>
        <w:t>seems to be much lower.</w:t>
      </w:r>
      <w:r w:rsidR="004715F2" w:rsidRPr="00B73F3B">
        <w:rPr>
          <w:rFonts w:cstheme="minorHAnsi"/>
          <w:b/>
          <w:bCs/>
        </w:rPr>
        <w:t xml:space="preserve"> </w:t>
      </w:r>
      <w:r w:rsidR="004715F2" w:rsidRPr="00B73F3B">
        <w:rPr>
          <w:rFonts w:cstheme="minorHAnsi"/>
        </w:rPr>
        <w:t xml:space="preserve">In 2008, annual staff costs calculated using IUCN salaries, benefits and allowances were much lower than those costs calculated using UN salaries, benefits and allowances. Today, staff costs using UN salaries as effective to 2022, with a post adjustment of 74.7% for Geneva duty station, including </w:t>
      </w:r>
      <w:r w:rsidR="00905292">
        <w:rPr>
          <w:rFonts w:cstheme="minorHAnsi"/>
        </w:rPr>
        <w:t>one</w:t>
      </w:r>
      <w:r w:rsidR="00905292" w:rsidRPr="00B73F3B">
        <w:rPr>
          <w:rFonts w:cstheme="minorHAnsi"/>
        </w:rPr>
        <w:t xml:space="preserve"> </w:t>
      </w:r>
      <w:r w:rsidR="004715F2" w:rsidRPr="00B73F3B">
        <w:rPr>
          <w:rFonts w:cstheme="minorHAnsi"/>
        </w:rPr>
        <w:t xml:space="preserve">dependent spouse, </w:t>
      </w:r>
      <w:r w:rsidR="00905292">
        <w:rPr>
          <w:rFonts w:cstheme="minorHAnsi"/>
        </w:rPr>
        <w:t>one</w:t>
      </w:r>
      <w:r w:rsidR="004715F2" w:rsidRPr="00B73F3B">
        <w:rPr>
          <w:rFonts w:cstheme="minorHAnsi"/>
        </w:rPr>
        <w:t xml:space="preserve"> dependent child, and pension, are only slightly higher than current staff costs using IUCN salaries, benefits and allowances.</w:t>
      </w:r>
    </w:p>
    <w:p w14:paraId="4B6080B4" w14:textId="77777777" w:rsidR="004715F2" w:rsidRPr="00CF758B" w:rsidRDefault="004715F2" w:rsidP="00166ADC">
      <w:pPr>
        <w:spacing w:after="0" w:line="240" w:lineRule="auto"/>
        <w:ind w:left="426" w:hanging="426"/>
        <w:rPr>
          <w:rFonts w:cstheme="minorHAnsi"/>
        </w:rPr>
      </w:pPr>
    </w:p>
    <w:p w14:paraId="50365EC5" w14:textId="673B287A" w:rsidR="00F84371" w:rsidRPr="00B73F3B" w:rsidRDefault="00B25DF0" w:rsidP="00166ADC">
      <w:pPr>
        <w:autoSpaceDE w:val="0"/>
        <w:autoSpaceDN w:val="0"/>
        <w:adjustRightInd w:val="0"/>
        <w:spacing w:after="0" w:line="240" w:lineRule="auto"/>
        <w:ind w:left="426" w:hanging="426"/>
        <w:rPr>
          <w:rFonts w:cstheme="minorHAnsi"/>
        </w:rPr>
      </w:pPr>
      <w:r>
        <w:rPr>
          <w:rFonts w:cstheme="minorHAnsi"/>
        </w:rPr>
        <w:t>14.</w:t>
      </w:r>
      <w:r>
        <w:rPr>
          <w:rFonts w:cstheme="minorHAnsi"/>
        </w:rPr>
        <w:tab/>
      </w:r>
      <w:r w:rsidR="004715F2" w:rsidRPr="00B73F3B">
        <w:rPr>
          <w:rFonts w:cstheme="minorHAnsi"/>
        </w:rPr>
        <w:t>The report also notes that the findings must be considered in light of estimations and assumption</w:t>
      </w:r>
      <w:r w:rsidR="00905292">
        <w:rPr>
          <w:rFonts w:cstheme="minorHAnsi"/>
        </w:rPr>
        <w:t>s</w:t>
      </w:r>
      <w:r w:rsidR="004715F2" w:rsidRPr="00B73F3B">
        <w:rPr>
          <w:rFonts w:cstheme="minorHAnsi"/>
        </w:rPr>
        <w:t xml:space="preserve"> </w:t>
      </w:r>
      <w:r w:rsidR="004715F2" w:rsidRPr="00B73F3B">
        <w:rPr>
          <w:rFonts w:cstheme="minorHAnsi"/>
          <w:bCs/>
        </w:rPr>
        <w:t xml:space="preserve">in relation to staff costs.  </w:t>
      </w:r>
    </w:p>
    <w:p w14:paraId="50DE7C30" w14:textId="77777777" w:rsidR="00F84371" w:rsidRPr="00CF758B" w:rsidRDefault="00F84371" w:rsidP="00166ADC">
      <w:pPr>
        <w:pStyle w:val="ListParagraph"/>
        <w:ind w:left="426" w:hanging="426"/>
        <w:jc w:val="left"/>
        <w:rPr>
          <w:rFonts w:asciiTheme="minorHAnsi" w:hAnsiTheme="minorHAnsi" w:cstheme="minorHAnsi"/>
        </w:rPr>
      </w:pPr>
    </w:p>
    <w:p w14:paraId="024F285D" w14:textId="42412AAE" w:rsidR="00F84371" w:rsidRPr="00B73F3B" w:rsidRDefault="00B25DF0" w:rsidP="00166ADC">
      <w:pPr>
        <w:autoSpaceDE w:val="0"/>
        <w:autoSpaceDN w:val="0"/>
        <w:adjustRightInd w:val="0"/>
        <w:spacing w:after="0" w:line="240" w:lineRule="auto"/>
        <w:ind w:left="426" w:hanging="426"/>
        <w:rPr>
          <w:rFonts w:cstheme="minorHAnsi"/>
        </w:rPr>
      </w:pPr>
      <w:r>
        <w:rPr>
          <w:rFonts w:cstheme="minorHAnsi"/>
        </w:rPr>
        <w:t>15.</w:t>
      </w:r>
      <w:r>
        <w:rPr>
          <w:rFonts w:cstheme="minorHAnsi"/>
        </w:rPr>
        <w:tab/>
      </w:r>
      <w:r w:rsidR="00A57B99" w:rsidRPr="00B73F3B">
        <w:rPr>
          <w:rFonts w:cstheme="minorHAnsi"/>
        </w:rPr>
        <w:t xml:space="preserve">The report shows that </w:t>
      </w:r>
      <w:r w:rsidR="00CA5BAD" w:rsidRPr="00B73F3B">
        <w:rPr>
          <w:rFonts w:cstheme="minorHAnsi"/>
        </w:rPr>
        <w:t>u</w:t>
      </w:r>
      <w:r w:rsidR="00F84371" w:rsidRPr="00B73F3B">
        <w:rPr>
          <w:rFonts w:cstheme="minorHAnsi"/>
        </w:rPr>
        <w:t>nder options A1, A3 and B1, it would be important to consider the cost of the meetings of the subsidiary bodies</w:t>
      </w:r>
      <w:r w:rsidR="00CA5BAD" w:rsidRPr="00B73F3B">
        <w:rPr>
          <w:rFonts w:cstheme="minorHAnsi"/>
        </w:rPr>
        <w:t xml:space="preserve">, while </w:t>
      </w:r>
      <w:r w:rsidR="00F84371" w:rsidRPr="00B73F3B">
        <w:rPr>
          <w:rFonts w:cstheme="minorHAnsi"/>
        </w:rPr>
        <w:t xml:space="preserve">under IUCN, the Convention does not need to pay </w:t>
      </w:r>
      <w:r w:rsidR="00905292">
        <w:rPr>
          <w:rFonts w:cstheme="minorHAnsi"/>
        </w:rPr>
        <w:t>to rent</w:t>
      </w:r>
      <w:r w:rsidR="00F84371" w:rsidRPr="00B73F3B">
        <w:rPr>
          <w:rFonts w:cstheme="minorHAnsi"/>
        </w:rPr>
        <w:t xml:space="preserve"> spaces or equipment for the meetings of the subsidiary bodies</w:t>
      </w:r>
      <w:r w:rsidR="00CA5BAD" w:rsidRPr="00B73F3B">
        <w:rPr>
          <w:rFonts w:cstheme="minorHAnsi"/>
        </w:rPr>
        <w:t>;</w:t>
      </w:r>
      <w:r w:rsidR="00F84371" w:rsidRPr="00B73F3B">
        <w:rPr>
          <w:rFonts w:cstheme="minorHAnsi"/>
        </w:rPr>
        <w:t xml:space="preserve"> under the other options, assuming that the Secretariat remains in Switzerland, the Convention may need to pay </w:t>
      </w:r>
      <w:r w:rsidR="00905292">
        <w:rPr>
          <w:rFonts w:cstheme="minorHAnsi"/>
        </w:rPr>
        <w:t>to rent</w:t>
      </w:r>
      <w:r w:rsidR="00F84371" w:rsidRPr="00B73F3B">
        <w:rPr>
          <w:rFonts w:cstheme="minorHAnsi"/>
        </w:rPr>
        <w:t xml:space="preserve"> the necessary </w:t>
      </w:r>
      <w:r w:rsidR="006F1674">
        <w:rPr>
          <w:rFonts w:cstheme="minorHAnsi"/>
        </w:rPr>
        <w:t xml:space="preserve">space and </w:t>
      </w:r>
      <w:r w:rsidR="00F84371" w:rsidRPr="00B73F3B">
        <w:rPr>
          <w:rFonts w:cstheme="minorHAnsi"/>
        </w:rPr>
        <w:t>equipment for meetings. The calculation of these costs would need further consideration.</w:t>
      </w:r>
    </w:p>
    <w:p w14:paraId="39621824" w14:textId="77777777" w:rsidR="000E38AF" w:rsidRPr="00CF758B" w:rsidRDefault="000E38AF" w:rsidP="00166ADC">
      <w:pPr>
        <w:pStyle w:val="ListParagraph"/>
        <w:autoSpaceDE w:val="0"/>
        <w:autoSpaceDN w:val="0"/>
        <w:adjustRightInd w:val="0"/>
        <w:ind w:left="426" w:hanging="426"/>
        <w:jc w:val="left"/>
        <w:rPr>
          <w:rFonts w:asciiTheme="minorHAnsi" w:hAnsiTheme="minorHAnsi" w:cstheme="minorHAnsi"/>
        </w:rPr>
      </w:pPr>
    </w:p>
    <w:p w14:paraId="01CC8DB3" w14:textId="3BAAC6DE" w:rsidR="00DA1078" w:rsidRPr="00B73F3B" w:rsidRDefault="00DA1078" w:rsidP="00166ADC">
      <w:pPr>
        <w:autoSpaceDE w:val="0"/>
        <w:autoSpaceDN w:val="0"/>
        <w:adjustRightInd w:val="0"/>
        <w:spacing w:after="0" w:line="240" w:lineRule="auto"/>
        <w:ind w:left="426"/>
        <w:rPr>
          <w:rFonts w:cstheme="minorHAnsi"/>
        </w:rPr>
      </w:pPr>
      <w:r w:rsidRPr="00B73F3B">
        <w:rPr>
          <w:rFonts w:cstheme="minorHAnsi"/>
        </w:rPr>
        <w:lastRenderedPageBreak/>
        <w:t xml:space="preserve">The report and analysis can be consulted </w:t>
      </w:r>
      <w:r w:rsidR="00B25DF0">
        <w:rPr>
          <w:rFonts w:cstheme="minorHAnsi"/>
        </w:rPr>
        <w:t>at</w:t>
      </w:r>
      <w:r w:rsidR="00B25DF0" w:rsidRPr="00B73F3B">
        <w:rPr>
          <w:rFonts w:cstheme="minorHAnsi"/>
        </w:rPr>
        <w:t xml:space="preserve"> </w:t>
      </w:r>
      <w:r w:rsidRPr="00B73F3B">
        <w:rPr>
          <w:rFonts w:cstheme="minorHAnsi"/>
        </w:rPr>
        <w:t xml:space="preserve">this </w:t>
      </w:r>
      <w:r w:rsidRPr="005C6C1A">
        <w:rPr>
          <w:rFonts w:cstheme="minorHAnsi"/>
        </w:rPr>
        <w:t>link</w:t>
      </w:r>
      <w:r w:rsidRPr="00B73F3B">
        <w:rPr>
          <w:rFonts w:cstheme="minorHAnsi"/>
        </w:rPr>
        <w:t>:</w:t>
      </w:r>
      <w:r w:rsidR="00905292">
        <w:rPr>
          <w:rFonts w:cstheme="minorHAnsi"/>
        </w:rPr>
        <w:t xml:space="preserve"> </w:t>
      </w:r>
      <w:hyperlink r:id="rId12" w:history="1">
        <w:r w:rsidR="003719B0" w:rsidRPr="00790433">
          <w:rPr>
            <w:rStyle w:val="Hyperlink"/>
            <w:rFonts w:cstheme="minorHAnsi"/>
          </w:rPr>
          <w:t>https://www.ramsar.org/sites/default/files/documents/library/financial_analysis_legal_status_secretariat_2020_e.pdf</w:t>
        </w:r>
      </w:hyperlink>
      <w:r w:rsidR="003719B0">
        <w:rPr>
          <w:rFonts w:cstheme="minorHAnsi"/>
        </w:rPr>
        <w:t xml:space="preserve"> </w:t>
      </w:r>
      <w:bookmarkStart w:id="0" w:name="_GoBack"/>
      <w:bookmarkEnd w:id="0"/>
    </w:p>
    <w:p w14:paraId="1F64AD39" w14:textId="77777777" w:rsidR="004715F2" w:rsidRPr="00CF758B" w:rsidRDefault="004715F2" w:rsidP="00166ADC">
      <w:pPr>
        <w:autoSpaceDE w:val="0"/>
        <w:autoSpaceDN w:val="0"/>
        <w:adjustRightInd w:val="0"/>
        <w:spacing w:after="0" w:line="240" w:lineRule="auto"/>
        <w:rPr>
          <w:rFonts w:cstheme="minorHAnsi"/>
        </w:rPr>
      </w:pPr>
    </w:p>
    <w:p w14:paraId="74562917" w14:textId="1536B60B" w:rsidR="008857F0" w:rsidRPr="00CF758B" w:rsidRDefault="004715F2" w:rsidP="00166ADC">
      <w:pPr>
        <w:pStyle w:val="Default"/>
        <w:ind w:left="-11"/>
        <w:rPr>
          <w:rFonts w:asciiTheme="minorHAnsi" w:hAnsiTheme="minorHAnsi" w:cstheme="minorHAnsi"/>
          <w:b/>
          <w:sz w:val="22"/>
          <w:szCs w:val="22"/>
        </w:rPr>
      </w:pPr>
      <w:r w:rsidRPr="00CF758B">
        <w:rPr>
          <w:rFonts w:asciiTheme="minorHAnsi" w:hAnsiTheme="minorHAnsi" w:cstheme="minorHAnsi"/>
          <w:b/>
          <w:sz w:val="22"/>
          <w:szCs w:val="22"/>
        </w:rPr>
        <w:t xml:space="preserve">Concerning </w:t>
      </w:r>
      <w:r w:rsidR="008857F0" w:rsidRPr="00CF758B">
        <w:rPr>
          <w:rFonts w:asciiTheme="minorHAnsi" w:hAnsiTheme="minorHAnsi" w:cstheme="minorHAnsi"/>
          <w:b/>
          <w:sz w:val="22"/>
          <w:szCs w:val="22"/>
        </w:rPr>
        <w:t>the other options included in the report of the W</w:t>
      </w:r>
      <w:r w:rsidR="00905292">
        <w:rPr>
          <w:rFonts w:asciiTheme="minorHAnsi" w:hAnsiTheme="minorHAnsi" w:cstheme="minorHAnsi"/>
          <w:b/>
          <w:sz w:val="22"/>
          <w:szCs w:val="22"/>
        </w:rPr>
        <w:t xml:space="preserve">orking </w:t>
      </w:r>
      <w:r w:rsidR="008857F0" w:rsidRPr="00CF758B">
        <w:rPr>
          <w:rFonts w:asciiTheme="minorHAnsi" w:hAnsiTheme="minorHAnsi" w:cstheme="minorHAnsi"/>
          <w:b/>
          <w:sz w:val="22"/>
          <w:szCs w:val="22"/>
        </w:rPr>
        <w:t>G</w:t>
      </w:r>
      <w:r w:rsidR="00905292">
        <w:rPr>
          <w:rFonts w:asciiTheme="minorHAnsi" w:hAnsiTheme="minorHAnsi" w:cstheme="minorHAnsi"/>
          <w:b/>
          <w:sz w:val="22"/>
          <w:szCs w:val="22"/>
        </w:rPr>
        <w:t>roup</w:t>
      </w:r>
      <w:r w:rsidR="008857F0" w:rsidRPr="00CF758B">
        <w:rPr>
          <w:rFonts w:asciiTheme="minorHAnsi" w:hAnsiTheme="minorHAnsi" w:cstheme="minorHAnsi"/>
          <w:b/>
          <w:sz w:val="22"/>
          <w:szCs w:val="22"/>
        </w:rPr>
        <w:t xml:space="preserve"> to SC57 and SC59 in 2021 </w:t>
      </w:r>
    </w:p>
    <w:p w14:paraId="28734FD8" w14:textId="77777777" w:rsidR="008857F0" w:rsidRPr="00CF758B" w:rsidRDefault="008857F0" w:rsidP="00166ADC">
      <w:pPr>
        <w:pStyle w:val="Default"/>
        <w:rPr>
          <w:rFonts w:asciiTheme="minorHAnsi" w:hAnsiTheme="minorHAnsi" w:cstheme="minorHAnsi"/>
          <w:sz w:val="22"/>
          <w:szCs w:val="22"/>
        </w:rPr>
      </w:pPr>
    </w:p>
    <w:p w14:paraId="6ACAC7F0" w14:textId="77777777" w:rsidR="004715F2" w:rsidRPr="00166ADC" w:rsidRDefault="004715F2" w:rsidP="00166ADC">
      <w:pPr>
        <w:spacing w:after="0" w:line="240" w:lineRule="auto"/>
        <w:rPr>
          <w:rFonts w:cstheme="minorHAnsi"/>
          <w:u w:val="single"/>
        </w:rPr>
      </w:pPr>
      <w:r w:rsidRPr="00166ADC">
        <w:rPr>
          <w:rFonts w:cstheme="minorHAnsi"/>
          <w:u w:val="single"/>
        </w:rPr>
        <w:t>Observer status under the UN General Assembly (</w:t>
      </w:r>
      <w:r w:rsidRPr="00166ADC">
        <w:rPr>
          <w:rFonts w:cstheme="minorHAnsi"/>
          <w:i/>
          <w:iCs/>
          <w:u w:val="single"/>
        </w:rPr>
        <w:t>background document</w:t>
      </w:r>
      <w:r w:rsidRPr="00166ADC">
        <w:rPr>
          <w:rFonts w:cstheme="minorHAnsi"/>
          <w:u w:val="single"/>
        </w:rPr>
        <w:t xml:space="preserve">: </w:t>
      </w:r>
      <w:r w:rsidRPr="00166ADC">
        <w:rPr>
          <w:rFonts w:cstheme="minorHAnsi"/>
          <w:i/>
          <w:iCs/>
          <w:u w:val="single"/>
        </w:rPr>
        <w:t>submission from Uruguay 11 August 2017 – Colombia joined as co-sponsor</w:t>
      </w:r>
      <w:r w:rsidRPr="00166ADC">
        <w:rPr>
          <w:rFonts w:cstheme="minorHAnsi"/>
          <w:u w:val="single"/>
        </w:rPr>
        <w:t>)</w:t>
      </w:r>
    </w:p>
    <w:p w14:paraId="0065446B" w14:textId="77777777" w:rsidR="004715F2" w:rsidRPr="00CF758B" w:rsidRDefault="004715F2" w:rsidP="00166ADC">
      <w:pPr>
        <w:spacing w:after="0" w:line="240" w:lineRule="auto"/>
        <w:ind w:left="284"/>
        <w:rPr>
          <w:rFonts w:cstheme="minorHAnsi"/>
        </w:rPr>
      </w:pPr>
    </w:p>
    <w:p w14:paraId="47FE64A8" w14:textId="3FC1C4BE" w:rsidR="006238ED" w:rsidRPr="00CF758B" w:rsidRDefault="00166ADC" w:rsidP="00166ADC">
      <w:pPr>
        <w:pStyle w:val="ListParagraph"/>
        <w:ind w:left="426" w:hanging="426"/>
        <w:jc w:val="left"/>
        <w:rPr>
          <w:rFonts w:asciiTheme="minorHAnsi" w:hAnsiTheme="minorHAnsi" w:cstheme="minorHAnsi"/>
        </w:rPr>
      </w:pPr>
      <w:r>
        <w:rPr>
          <w:rFonts w:asciiTheme="minorHAnsi" w:hAnsiTheme="minorHAnsi" w:cstheme="minorHAnsi"/>
        </w:rPr>
        <w:t>16.</w:t>
      </w:r>
      <w:r>
        <w:rPr>
          <w:rFonts w:asciiTheme="minorHAnsi" w:hAnsiTheme="minorHAnsi" w:cstheme="minorHAnsi"/>
        </w:rPr>
        <w:tab/>
      </w:r>
      <w:r w:rsidR="006238ED" w:rsidRPr="00CF758B">
        <w:rPr>
          <w:rFonts w:asciiTheme="minorHAnsi" w:hAnsiTheme="minorHAnsi" w:cstheme="minorHAnsi"/>
        </w:rPr>
        <w:t>After this draft resolution was discussed at the 72nd session of the General Assembly, it was postponed for further consideration at the 73rd session. At the 74th and 75th sessions the subject was postponed again as there was not yet consensus.</w:t>
      </w:r>
      <w:r w:rsidR="007935A5" w:rsidRPr="00CF758B">
        <w:rPr>
          <w:rFonts w:asciiTheme="minorHAnsi" w:hAnsiTheme="minorHAnsi" w:cstheme="minorHAnsi"/>
        </w:rPr>
        <w:t xml:space="preserve"> This option requires further </w:t>
      </w:r>
      <w:r w:rsidRPr="00CF758B">
        <w:rPr>
          <w:rFonts w:asciiTheme="minorHAnsi" w:hAnsiTheme="minorHAnsi" w:cstheme="minorHAnsi"/>
        </w:rPr>
        <w:t>follow</w:t>
      </w:r>
      <w:r>
        <w:rPr>
          <w:rFonts w:asciiTheme="minorHAnsi" w:hAnsiTheme="minorHAnsi" w:cstheme="minorHAnsi"/>
        </w:rPr>
        <w:t>-</w:t>
      </w:r>
      <w:r w:rsidR="007935A5" w:rsidRPr="00CF758B">
        <w:rPr>
          <w:rFonts w:asciiTheme="minorHAnsi" w:hAnsiTheme="minorHAnsi" w:cstheme="minorHAnsi"/>
        </w:rPr>
        <w:t xml:space="preserve">up. </w:t>
      </w:r>
    </w:p>
    <w:p w14:paraId="05686C2F" w14:textId="77777777" w:rsidR="006238ED" w:rsidRPr="00CF758B" w:rsidRDefault="006238ED" w:rsidP="00166ADC">
      <w:pPr>
        <w:spacing w:after="0" w:line="240" w:lineRule="auto"/>
        <w:ind w:left="284"/>
        <w:rPr>
          <w:rFonts w:cstheme="minorHAnsi"/>
        </w:rPr>
      </w:pPr>
    </w:p>
    <w:p w14:paraId="120AFF33" w14:textId="07A590FB" w:rsidR="004715F2" w:rsidRPr="00166ADC" w:rsidRDefault="004715F2" w:rsidP="00166ADC">
      <w:pPr>
        <w:pStyle w:val="Default"/>
        <w:tabs>
          <w:tab w:val="left" w:pos="284"/>
        </w:tabs>
        <w:rPr>
          <w:rFonts w:asciiTheme="minorHAnsi" w:hAnsiTheme="minorHAnsi" w:cstheme="minorHAnsi"/>
          <w:sz w:val="22"/>
          <w:szCs w:val="22"/>
          <w:u w:val="single"/>
          <w:lang w:val="en-US"/>
        </w:rPr>
      </w:pPr>
      <w:r w:rsidRPr="00166ADC">
        <w:rPr>
          <w:rFonts w:asciiTheme="minorHAnsi" w:hAnsiTheme="minorHAnsi" w:cstheme="minorHAnsi"/>
          <w:sz w:val="22"/>
          <w:szCs w:val="22"/>
          <w:u w:val="single"/>
          <w:lang w:val="en-US" w:eastAsia="zh-CN"/>
        </w:rPr>
        <w:t xml:space="preserve">Application for </w:t>
      </w:r>
      <w:r w:rsidRPr="00166ADC">
        <w:rPr>
          <w:rFonts w:asciiTheme="minorHAnsi" w:hAnsiTheme="minorHAnsi" w:cstheme="minorHAnsi"/>
          <w:sz w:val="22"/>
          <w:szCs w:val="22"/>
          <w:u w:val="single"/>
          <w:lang w:val="en-US"/>
        </w:rPr>
        <w:t xml:space="preserve">observer status with the </w:t>
      </w:r>
      <w:r w:rsidRPr="00166ADC">
        <w:rPr>
          <w:rFonts w:asciiTheme="minorHAnsi" w:hAnsiTheme="minorHAnsi" w:cstheme="minorHAnsi"/>
          <w:sz w:val="22"/>
          <w:szCs w:val="22"/>
          <w:u w:val="single"/>
        </w:rPr>
        <w:t>Economic and Social Council (</w:t>
      </w:r>
      <w:r w:rsidRPr="00166ADC">
        <w:rPr>
          <w:rFonts w:asciiTheme="minorHAnsi" w:hAnsiTheme="minorHAnsi" w:cstheme="minorHAnsi"/>
          <w:sz w:val="22"/>
          <w:szCs w:val="22"/>
          <w:u w:val="single"/>
          <w:lang w:val="en-US"/>
        </w:rPr>
        <w:t>ECOSOC)</w:t>
      </w:r>
    </w:p>
    <w:p w14:paraId="4AECFCE0" w14:textId="77777777" w:rsidR="006238ED" w:rsidRPr="00CF758B" w:rsidRDefault="006238ED" w:rsidP="00166ADC">
      <w:pPr>
        <w:pStyle w:val="Default"/>
        <w:tabs>
          <w:tab w:val="left" w:pos="284"/>
        </w:tabs>
        <w:rPr>
          <w:rFonts w:asciiTheme="minorHAnsi" w:hAnsiTheme="minorHAnsi" w:cstheme="minorHAnsi"/>
          <w:sz w:val="22"/>
          <w:szCs w:val="22"/>
          <w:highlight w:val="yellow"/>
          <w:lang w:val="en-US"/>
        </w:rPr>
      </w:pPr>
    </w:p>
    <w:p w14:paraId="00AE03CE" w14:textId="32C1D4CE" w:rsidR="006238ED" w:rsidRPr="00CF758B" w:rsidRDefault="00166ADC" w:rsidP="00166ADC">
      <w:pPr>
        <w:pStyle w:val="Default"/>
        <w:ind w:left="426" w:hanging="426"/>
        <w:rPr>
          <w:rFonts w:asciiTheme="minorHAnsi" w:hAnsiTheme="minorHAnsi" w:cstheme="minorHAnsi"/>
          <w:sz w:val="22"/>
          <w:szCs w:val="22"/>
          <w:highlight w:val="yellow"/>
          <w:lang w:val="en-US"/>
        </w:rPr>
      </w:pPr>
      <w:r>
        <w:rPr>
          <w:rFonts w:asciiTheme="minorHAnsi" w:hAnsiTheme="minorHAnsi" w:cstheme="minorHAnsi"/>
          <w:sz w:val="22"/>
          <w:szCs w:val="22"/>
          <w:lang w:val="en-US"/>
        </w:rPr>
        <w:t>17.</w:t>
      </w:r>
      <w:r>
        <w:rPr>
          <w:rFonts w:asciiTheme="minorHAnsi" w:hAnsiTheme="minorHAnsi" w:cstheme="minorHAnsi"/>
          <w:sz w:val="22"/>
          <w:szCs w:val="22"/>
          <w:lang w:val="en-US"/>
        </w:rPr>
        <w:tab/>
      </w:r>
      <w:r w:rsidR="006238ED" w:rsidRPr="00CF758B">
        <w:rPr>
          <w:rFonts w:asciiTheme="minorHAnsi" w:hAnsiTheme="minorHAnsi" w:cstheme="minorHAnsi"/>
          <w:sz w:val="22"/>
          <w:szCs w:val="22"/>
        </w:rPr>
        <w:t xml:space="preserve">Informal consultations </w:t>
      </w:r>
      <w:r w:rsidR="006B1CF4">
        <w:rPr>
          <w:rFonts w:asciiTheme="minorHAnsi" w:hAnsiTheme="minorHAnsi" w:cstheme="minorHAnsi"/>
          <w:sz w:val="22"/>
          <w:szCs w:val="22"/>
        </w:rPr>
        <w:t>between Contracting</w:t>
      </w:r>
      <w:r w:rsidR="006B1CF4" w:rsidRPr="00CF758B">
        <w:rPr>
          <w:rFonts w:asciiTheme="minorHAnsi" w:hAnsiTheme="minorHAnsi" w:cstheme="minorHAnsi"/>
          <w:sz w:val="22"/>
          <w:szCs w:val="22"/>
        </w:rPr>
        <w:t xml:space="preserve"> </w:t>
      </w:r>
      <w:r w:rsidR="006238ED" w:rsidRPr="00CF758B">
        <w:rPr>
          <w:rFonts w:asciiTheme="minorHAnsi" w:hAnsiTheme="minorHAnsi" w:cstheme="minorHAnsi"/>
          <w:sz w:val="22"/>
          <w:szCs w:val="22"/>
        </w:rPr>
        <w:t xml:space="preserve">Parties </w:t>
      </w:r>
      <w:r w:rsidR="006B1CF4">
        <w:rPr>
          <w:rFonts w:asciiTheme="minorHAnsi" w:hAnsiTheme="minorHAnsi" w:cstheme="minorHAnsi"/>
          <w:sz w:val="22"/>
          <w:szCs w:val="22"/>
        </w:rPr>
        <w:t xml:space="preserve">and </w:t>
      </w:r>
      <w:r w:rsidR="006238ED" w:rsidRPr="00CF758B">
        <w:rPr>
          <w:rFonts w:asciiTheme="minorHAnsi" w:hAnsiTheme="minorHAnsi" w:cstheme="minorHAnsi"/>
          <w:sz w:val="22"/>
          <w:szCs w:val="22"/>
        </w:rPr>
        <w:t>members of ECOSOC</w:t>
      </w:r>
      <w:r w:rsidR="006B1CF4">
        <w:rPr>
          <w:rFonts w:asciiTheme="minorHAnsi" w:hAnsiTheme="minorHAnsi" w:cstheme="minorHAnsi"/>
          <w:sz w:val="22"/>
          <w:szCs w:val="22"/>
        </w:rPr>
        <w:t>,</w:t>
      </w:r>
      <w:r w:rsidR="006238ED" w:rsidRPr="00CF758B">
        <w:rPr>
          <w:rFonts w:asciiTheme="minorHAnsi" w:hAnsiTheme="minorHAnsi" w:cstheme="minorHAnsi"/>
          <w:sz w:val="22"/>
          <w:szCs w:val="22"/>
        </w:rPr>
        <w:t xml:space="preserve"> and </w:t>
      </w:r>
      <w:r w:rsidR="006B1CF4">
        <w:rPr>
          <w:rFonts w:asciiTheme="minorHAnsi" w:hAnsiTheme="minorHAnsi" w:cstheme="minorHAnsi"/>
          <w:sz w:val="22"/>
          <w:szCs w:val="22"/>
        </w:rPr>
        <w:t xml:space="preserve">between </w:t>
      </w:r>
      <w:r w:rsidR="006238ED" w:rsidRPr="00CF758B">
        <w:rPr>
          <w:rFonts w:asciiTheme="minorHAnsi" w:hAnsiTheme="minorHAnsi" w:cstheme="minorHAnsi"/>
          <w:sz w:val="22"/>
          <w:szCs w:val="22"/>
        </w:rPr>
        <w:t xml:space="preserve">the Secretariat </w:t>
      </w:r>
      <w:r w:rsidR="006B1CF4">
        <w:rPr>
          <w:rFonts w:asciiTheme="minorHAnsi" w:hAnsiTheme="minorHAnsi" w:cstheme="minorHAnsi"/>
          <w:sz w:val="22"/>
          <w:szCs w:val="22"/>
        </w:rPr>
        <w:t xml:space="preserve">and </w:t>
      </w:r>
      <w:r w:rsidR="006238ED" w:rsidRPr="00CF758B">
        <w:rPr>
          <w:rFonts w:asciiTheme="minorHAnsi" w:hAnsiTheme="minorHAnsi" w:cstheme="minorHAnsi"/>
          <w:sz w:val="22"/>
          <w:szCs w:val="22"/>
        </w:rPr>
        <w:t>ECOSO</w:t>
      </w:r>
      <w:r w:rsidR="006B1CF4">
        <w:rPr>
          <w:rFonts w:asciiTheme="minorHAnsi" w:hAnsiTheme="minorHAnsi" w:cstheme="minorHAnsi"/>
          <w:sz w:val="22"/>
          <w:szCs w:val="22"/>
        </w:rPr>
        <w:t>C,</w:t>
      </w:r>
      <w:r w:rsidR="006238ED" w:rsidRPr="00CF758B">
        <w:rPr>
          <w:rFonts w:asciiTheme="minorHAnsi" w:hAnsiTheme="minorHAnsi" w:cstheme="minorHAnsi"/>
          <w:sz w:val="22"/>
          <w:szCs w:val="22"/>
        </w:rPr>
        <w:t xml:space="preserve"> had indicated that progress in obtaining observer status at that Council would be difficult as there was a request for </w:t>
      </w:r>
      <w:r w:rsidR="00C118F1">
        <w:rPr>
          <w:rFonts w:asciiTheme="minorHAnsi" w:hAnsiTheme="minorHAnsi" w:cstheme="minorHAnsi"/>
          <w:sz w:val="22"/>
          <w:szCs w:val="22"/>
        </w:rPr>
        <w:t>o</w:t>
      </w:r>
      <w:r w:rsidR="00C118F1" w:rsidRPr="00CF758B">
        <w:rPr>
          <w:rFonts w:asciiTheme="minorHAnsi" w:hAnsiTheme="minorHAnsi" w:cstheme="minorHAnsi"/>
          <w:sz w:val="22"/>
          <w:szCs w:val="22"/>
        </w:rPr>
        <w:t xml:space="preserve">bserver </w:t>
      </w:r>
      <w:r w:rsidR="00C118F1">
        <w:rPr>
          <w:rFonts w:asciiTheme="minorHAnsi" w:hAnsiTheme="minorHAnsi" w:cstheme="minorHAnsi"/>
          <w:sz w:val="22"/>
          <w:szCs w:val="22"/>
        </w:rPr>
        <w:t>s</w:t>
      </w:r>
      <w:r w:rsidR="00C118F1" w:rsidRPr="00CF758B">
        <w:rPr>
          <w:rFonts w:asciiTheme="minorHAnsi" w:hAnsiTheme="minorHAnsi" w:cstheme="minorHAnsi"/>
          <w:sz w:val="22"/>
          <w:szCs w:val="22"/>
        </w:rPr>
        <w:t xml:space="preserve">tatus </w:t>
      </w:r>
      <w:r w:rsidR="006238ED" w:rsidRPr="00CF758B">
        <w:rPr>
          <w:rFonts w:asciiTheme="minorHAnsi" w:hAnsiTheme="minorHAnsi" w:cstheme="minorHAnsi"/>
          <w:sz w:val="22"/>
          <w:szCs w:val="22"/>
        </w:rPr>
        <w:t>in the UNGA.</w:t>
      </w:r>
      <w:r w:rsidR="007935A5" w:rsidRPr="00CF758B">
        <w:rPr>
          <w:rFonts w:asciiTheme="minorHAnsi" w:hAnsiTheme="minorHAnsi" w:cstheme="minorHAnsi"/>
          <w:sz w:val="22"/>
          <w:szCs w:val="22"/>
        </w:rPr>
        <w:t xml:space="preserve"> As the option on the observer status this option also requires further </w:t>
      </w:r>
      <w:r w:rsidR="006B1CF4" w:rsidRPr="00CF758B">
        <w:rPr>
          <w:rFonts w:asciiTheme="minorHAnsi" w:hAnsiTheme="minorHAnsi" w:cstheme="minorHAnsi"/>
          <w:sz w:val="22"/>
          <w:szCs w:val="22"/>
        </w:rPr>
        <w:t>follow</w:t>
      </w:r>
      <w:r w:rsidR="006B1CF4">
        <w:rPr>
          <w:rFonts w:asciiTheme="minorHAnsi" w:hAnsiTheme="minorHAnsi" w:cstheme="minorHAnsi"/>
          <w:sz w:val="22"/>
          <w:szCs w:val="22"/>
        </w:rPr>
        <w:t>-</w:t>
      </w:r>
      <w:r w:rsidR="007935A5" w:rsidRPr="00CF758B">
        <w:rPr>
          <w:rFonts w:asciiTheme="minorHAnsi" w:hAnsiTheme="minorHAnsi" w:cstheme="minorHAnsi"/>
          <w:sz w:val="22"/>
          <w:szCs w:val="22"/>
        </w:rPr>
        <w:t xml:space="preserve">up.    </w:t>
      </w:r>
    </w:p>
    <w:p w14:paraId="2ED4B4ED" w14:textId="77777777" w:rsidR="004715F2" w:rsidRPr="00CF758B" w:rsidRDefault="004715F2" w:rsidP="00166ADC">
      <w:pPr>
        <w:pStyle w:val="Default"/>
        <w:rPr>
          <w:rFonts w:asciiTheme="minorHAnsi" w:hAnsiTheme="minorHAnsi" w:cstheme="minorHAnsi"/>
          <w:sz w:val="22"/>
          <w:szCs w:val="22"/>
          <w:lang w:val="en-US"/>
        </w:rPr>
      </w:pPr>
    </w:p>
    <w:p w14:paraId="312DBFB1" w14:textId="5CA4354A" w:rsidR="004715F2" w:rsidRPr="00166ADC" w:rsidRDefault="004715F2" w:rsidP="00166ADC">
      <w:pPr>
        <w:pStyle w:val="Default"/>
        <w:tabs>
          <w:tab w:val="left" w:pos="142"/>
        </w:tabs>
        <w:rPr>
          <w:rFonts w:asciiTheme="minorHAnsi" w:hAnsiTheme="minorHAnsi" w:cstheme="minorHAnsi"/>
          <w:sz w:val="22"/>
          <w:szCs w:val="22"/>
          <w:u w:val="single"/>
          <w:lang w:val="en-US" w:eastAsia="zh-CN"/>
        </w:rPr>
      </w:pPr>
      <w:r w:rsidRPr="00166ADC">
        <w:rPr>
          <w:rFonts w:asciiTheme="minorHAnsi" w:hAnsiTheme="minorHAnsi" w:cstheme="minorHAnsi"/>
          <w:sz w:val="22"/>
          <w:szCs w:val="22"/>
          <w:u w:val="single"/>
          <w:lang w:val="en-US" w:eastAsia="zh-CN"/>
        </w:rPr>
        <w:t xml:space="preserve">The process of review of the </w:t>
      </w:r>
      <w:r w:rsidR="00CB10F7" w:rsidRPr="00CB10F7">
        <w:rPr>
          <w:rFonts w:asciiTheme="minorHAnsi" w:hAnsiTheme="minorHAnsi" w:cstheme="minorHAnsi"/>
          <w:sz w:val="22"/>
          <w:szCs w:val="22"/>
          <w:u w:val="single"/>
          <w:lang w:val="en-US" w:eastAsia="zh-CN"/>
        </w:rPr>
        <w:t xml:space="preserve">High-level Political Forum on Sustainable Development </w:t>
      </w:r>
    </w:p>
    <w:p w14:paraId="431FB53E" w14:textId="77777777" w:rsidR="00FE539C" w:rsidRPr="00CF758B" w:rsidRDefault="00FE539C" w:rsidP="00166ADC">
      <w:pPr>
        <w:pStyle w:val="Default"/>
        <w:tabs>
          <w:tab w:val="left" w:pos="142"/>
        </w:tabs>
        <w:rPr>
          <w:rFonts w:asciiTheme="minorHAnsi" w:hAnsiTheme="minorHAnsi" w:cstheme="minorHAnsi"/>
          <w:sz w:val="22"/>
          <w:szCs w:val="22"/>
          <w:highlight w:val="yellow"/>
          <w:lang w:val="en-US" w:eastAsia="zh-CN"/>
        </w:rPr>
      </w:pPr>
    </w:p>
    <w:p w14:paraId="3278D5BE" w14:textId="1F20A640" w:rsidR="00DE4B12" w:rsidRPr="00CF758B" w:rsidRDefault="00166ADC" w:rsidP="003C3A70">
      <w:pPr>
        <w:pStyle w:val="Default"/>
        <w:ind w:left="426" w:hanging="426"/>
        <w:rPr>
          <w:rFonts w:asciiTheme="minorHAnsi" w:hAnsiTheme="minorHAnsi" w:cstheme="minorHAnsi"/>
          <w:b/>
          <w:sz w:val="22"/>
          <w:szCs w:val="22"/>
        </w:rPr>
      </w:pPr>
      <w:r>
        <w:rPr>
          <w:rFonts w:asciiTheme="minorHAnsi" w:hAnsiTheme="minorHAnsi" w:cstheme="minorHAnsi"/>
          <w:color w:val="333333"/>
          <w:sz w:val="22"/>
          <w:szCs w:val="22"/>
          <w:shd w:val="clear" w:color="auto" w:fill="FFFFFF"/>
        </w:rPr>
        <w:t>18.</w:t>
      </w:r>
      <w:r>
        <w:rPr>
          <w:rFonts w:asciiTheme="minorHAnsi" w:hAnsiTheme="minorHAnsi" w:cstheme="minorHAnsi"/>
          <w:color w:val="333333"/>
          <w:sz w:val="22"/>
          <w:szCs w:val="22"/>
          <w:shd w:val="clear" w:color="auto" w:fill="FFFFFF"/>
        </w:rPr>
        <w:tab/>
      </w:r>
      <w:r w:rsidR="00FE539C" w:rsidRPr="00CF758B">
        <w:rPr>
          <w:rFonts w:asciiTheme="minorHAnsi" w:hAnsiTheme="minorHAnsi" w:cstheme="minorHAnsi"/>
          <w:color w:val="333333"/>
          <w:sz w:val="22"/>
          <w:szCs w:val="22"/>
          <w:shd w:val="clear" w:color="auto" w:fill="FFFFFF"/>
        </w:rPr>
        <w:t>The General Assembly further adopted, on 25 June 2021, </w:t>
      </w:r>
      <w:r w:rsidR="00FE539C" w:rsidRPr="00CF758B">
        <w:rPr>
          <w:rStyle w:val="Strong"/>
          <w:rFonts w:asciiTheme="minorHAnsi" w:hAnsiTheme="minorHAnsi" w:cstheme="minorHAnsi"/>
          <w:b w:val="0"/>
          <w:color w:val="333333"/>
          <w:sz w:val="22"/>
          <w:szCs w:val="22"/>
          <w:shd w:val="clear" w:color="auto" w:fill="FFFFFF"/>
        </w:rPr>
        <w:t>resolution</w:t>
      </w:r>
      <w:r w:rsidR="00FE539C" w:rsidRPr="00CF758B">
        <w:rPr>
          <w:rFonts w:asciiTheme="minorHAnsi" w:hAnsiTheme="minorHAnsi" w:cstheme="minorHAnsi"/>
          <w:b/>
          <w:color w:val="333333"/>
          <w:sz w:val="22"/>
          <w:szCs w:val="22"/>
          <w:shd w:val="clear" w:color="auto" w:fill="FFFFFF"/>
        </w:rPr>
        <w:t> </w:t>
      </w:r>
      <w:r w:rsidR="00FE539C" w:rsidRPr="00CF758B">
        <w:rPr>
          <w:rStyle w:val="Strong"/>
          <w:rFonts w:asciiTheme="minorHAnsi" w:hAnsiTheme="minorHAnsi" w:cstheme="minorHAnsi"/>
          <w:b w:val="0"/>
          <w:color w:val="333333"/>
          <w:sz w:val="22"/>
          <w:szCs w:val="22"/>
          <w:shd w:val="clear" w:color="auto" w:fill="FFFFFF"/>
        </w:rPr>
        <w:t>75/290</w:t>
      </w:r>
      <w:r w:rsidR="00FE539C" w:rsidRPr="00CF758B">
        <w:rPr>
          <w:rFonts w:asciiTheme="minorHAnsi" w:hAnsiTheme="minorHAnsi" w:cstheme="minorHAnsi"/>
          <w:b/>
          <w:color w:val="333333"/>
          <w:sz w:val="22"/>
          <w:szCs w:val="22"/>
          <w:shd w:val="clear" w:color="auto" w:fill="FFFFFF"/>
        </w:rPr>
        <w:t> </w:t>
      </w:r>
      <w:r w:rsidR="00FE539C" w:rsidRPr="00CF758B">
        <w:rPr>
          <w:rStyle w:val="Strong"/>
          <w:rFonts w:asciiTheme="minorHAnsi" w:hAnsiTheme="minorHAnsi" w:cstheme="minorHAnsi"/>
          <w:b w:val="0"/>
          <w:color w:val="333333"/>
          <w:sz w:val="22"/>
          <w:szCs w:val="22"/>
          <w:shd w:val="clear" w:color="auto" w:fill="FFFFFF"/>
        </w:rPr>
        <w:t>A</w:t>
      </w:r>
      <w:r w:rsidR="00FE539C" w:rsidRPr="00CF758B">
        <w:rPr>
          <w:rFonts w:asciiTheme="minorHAnsi" w:hAnsiTheme="minorHAnsi" w:cstheme="minorHAnsi"/>
          <w:color w:val="333333"/>
          <w:sz w:val="22"/>
          <w:szCs w:val="22"/>
          <w:shd w:val="clear" w:color="auto" w:fill="FFFFFF"/>
        </w:rPr>
        <w:t> </w:t>
      </w:r>
      <w:r w:rsidR="003C3A70">
        <w:rPr>
          <w:rFonts w:asciiTheme="minorHAnsi" w:hAnsiTheme="minorHAnsi" w:cstheme="minorHAnsi"/>
          <w:color w:val="333333"/>
          <w:sz w:val="22"/>
          <w:szCs w:val="22"/>
          <w:shd w:val="clear" w:color="auto" w:fill="FFFFFF"/>
        </w:rPr>
        <w:t>(</w:t>
      </w:r>
      <w:r w:rsidR="00FE539C" w:rsidRPr="00CF758B">
        <w:rPr>
          <w:rFonts w:asciiTheme="minorHAnsi" w:hAnsiTheme="minorHAnsi" w:cstheme="minorHAnsi"/>
          <w:color w:val="333333"/>
          <w:sz w:val="22"/>
          <w:szCs w:val="22"/>
          <w:shd w:val="clear" w:color="auto" w:fill="FFFFFF"/>
        </w:rPr>
        <w:t xml:space="preserve">on the </w:t>
      </w:r>
      <w:r w:rsidR="00FE539C" w:rsidRPr="006B1CF4">
        <w:rPr>
          <w:rFonts w:asciiTheme="minorHAnsi" w:hAnsiTheme="minorHAnsi" w:cstheme="minorHAnsi"/>
          <w:i/>
          <w:color w:val="333333"/>
          <w:sz w:val="22"/>
          <w:szCs w:val="22"/>
          <w:shd w:val="clear" w:color="auto" w:fill="FFFFFF"/>
        </w:rPr>
        <w:t xml:space="preserve">Review of the implementation of </w:t>
      </w:r>
      <w:r w:rsidR="003C3A70" w:rsidRPr="003C3A70">
        <w:rPr>
          <w:rFonts w:asciiTheme="minorHAnsi" w:hAnsiTheme="minorHAnsi" w:cstheme="minorHAnsi"/>
          <w:i/>
          <w:color w:val="333333"/>
          <w:sz w:val="22"/>
          <w:szCs w:val="22"/>
          <w:shd w:val="clear" w:color="auto" w:fill="FFFFFF"/>
        </w:rPr>
        <w:t xml:space="preserve">General Assembly </w:t>
      </w:r>
      <w:r w:rsidR="00FE539C" w:rsidRPr="006B1CF4">
        <w:rPr>
          <w:rFonts w:asciiTheme="minorHAnsi" w:hAnsiTheme="minorHAnsi" w:cstheme="minorHAnsi"/>
          <w:i/>
          <w:color w:val="333333"/>
          <w:sz w:val="22"/>
          <w:szCs w:val="22"/>
          <w:shd w:val="clear" w:color="auto" w:fill="FFFFFF"/>
        </w:rPr>
        <w:t xml:space="preserve">resolution 72/305 on the strengthening of </w:t>
      </w:r>
      <w:r w:rsidR="006B1CF4">
        <w:rPr>
          <w:rFonts w:asciiTheme="minorHAnsi" w:hAnsiTheme="minorHAnsi" w:cstheme="minorHAnsi"/>
          <w:i/>
          <w:color w:val="333333"/>
          <w:sz w:val="22"/>
          <w:szCs w:val="22"/>
          <w:shd w:val="clear" w:color="auto" w:fill="FFFFFF"/>
        </w:rPr>
        <w:t>the Economic and Social Council</w:t>
      </w:r>
      <w:r w:rsidR="003C3A70" w:rsidRPr="003C3A70">
        <w:rPr>
          <w:rFonts w:asciiTheme="minorHAnsi" w:hAnsiTheme="minorHAnsi" w:cstheme="minorHAnsi"/>
          <w:color w:val="333333"/>
          <w:sz w:val="22"/>
          <w:szCs w:val="22"/>
          <w:shd w:val="clear" w:color="auto" w:fill="FFFFFF"/>
        </w:rPr>
        <w:t>)</w:t>
      </w:r>
      <w:r w:rsidR="006B1CF4">
        <w:rPr>
          <w:rFonts w:asciiTheme="minorHAnsi" w:hAnsiTheme="minorHAnsi" w:cstheme="minorHAnsi"/>
          <w:i/>
          <w:color w:val="333333"/>
          <w:sz w:val="22"/>
          <w:szCs w:val="22"/>
          <w:shd w:val="clear" w:color="auto" w:fill="FFFFFF"/>
        </w:rPr>
        <w:t xml:space="preserve"> </w:t>
      </w:r>
      <w:r w:rsidR="00FE539C" w:rsidRPr="00CF758B">
        <w:rPr>
          <w:rFonts w:asciiTheme="minorHAnsi" w:hAnsiTheme="minorHAnsi" w:cstheme="minorHAnsi"/>
          <w:color w:val="333333"/>
          <w:sz w:val="22"/>
          <w:szCs w:val="22"/>
          <w:shd w:val="clear" w:color="auto" w:fill="FFFFFF"/>
        </w:rPr>
        <w:t>and </w:t>
      </w:r>
      <w:r w:rsidR="00FE539C" w:rsidRPr="00CF758B">
        <w:rPr>
          <w:rStyle w:val="Strong"/>
          <w:rFonts w:asciiTheme="minorHAnsi" w:hAnsiTheme="minorHAnsi" w:cstheme="minorHAnsi"/>
          <w:b w:val="0"/>
          <w:color w:val="333333"/>
          <w:sz w:val="22"/>
          <w:szCs w:val="22"/>
          <w:shd w:val="clear" w:color="auto" w:fill="FFFFFF"/>
        </w:rPr>
        <w:t>resolution 75/290 B</w:t>
      </w:r>
      <w:r w:rsidR="00FE539C" w:rsidRPr="00CF758B">
        <w:rPr>
          <w:rFonts w:asciiTheme="minorHAnsi" w:hAnsiTheme="minorHAnsi" w:cstheme="minorHAnsi"/>
          <w:color w:val="333333"/>
          <w:sz w:val="22"/>
          <w:szCs w:val="22"/>
          <w:shd w:val="clear" w:color="auto" w:fill="FFFFFF"/>
        </w:rPr>
        <w:t> </w:t>
      </w:r>
      <w:r w:rsidR="003C3A70">
        <w:rPr>
          <w:rFonts w:asciiTheme="minorHAnsi" w:hAnsiTheme="minorHAnsi" w:cstheme="minorHAnsi"/>
          <w:color w:val="333333"/>
          <w:sz w:val="22"/>
          <w:szCs w:val="22"/>
          <w:shd w:val="clear" w:color="auto" w:fill="FFFFFF"/>
        </w:rPr>
        <w:t>(</w:t>
      </w:r>
      <w:r w:rsidR="00FE539C" w:rsidRPr="00CF758B">
        <w:rPr>
          <w:rFonts w:asciiTheme="minorHAnsi" w:hAnsiTheme="minorHAnsi" w:cstheme="minorHAnsi"/>
          <w:color w:val="333333"/>
          <w:sz w:val="22"/>
          <w:szCs w:val="22"/>
          <w:shd w:val="clear" w:color="auto" w:fill="FFFFFF"/>
        </w:rPr>
        <w:t xml:space="preserve">on the </w:t>
      </w:r>
      <w:r w:rsidR="00FE539C" w:rsidRPr="006B1CF4">
        <w:rPr>
          <w:rFonts w:asciiTheme="minorHAnsi" w:hAnsiTheme="minorHAnsi" w:cstheme="minorHAnsi"/>
          <w:i/>
          <w:color w:val="333333"/>
          <w:sz w:val="22"/>
          <w:szCs w:val="22"/>
          <w:shd w:val="clear" w:color="auto" w:fill="FFFFFF"/>
        </w:rPr>
        <w:t xml:space="preserve">Review of the implementation of </w:t>
      </w:r>
      <w:r w:rsidR="003C3A70" w:rsidRPr="003C3A70">
        <w:rPr>
          <w:rFonts w:asciiTheme="minorHAnsi" w:hAnsiTheme="minorHAnsi" w:cstheme="minorHAnsi"/>
          <w:i/>
          <w:color w:val="333333"/>
          <w:sz w:val="22"/>
          <w:szCs w:val="22"/>
          <w:shd w:val="clear" w:color="auto" w:fill="FFFFFF"/>
        </w:rPr>
        <w:t xml:space="preserve">General Assembly </w:t>
      </w:r>
      <w:r w:rsidR="00FE539C" w:rsidRPr="006B1CF4">
        <w:rPr>
          <w:rFonts w:asciiTheme="minorHAnsi" w:hAnsiTheme="minorHAnsi" w:cstheme="minorHAnsi"/>
          <w:i/>
          <w:color w:val="333333"/>
          <w:sz w:val="22"/>
          <w:szCs w:val="22"/>
          <w:shd w:val="clear" w:color="auto" w:fill="FFFFFF"/>
        </w:rPr>
        <w:t>resolutions 67/290 on the format and organizational aspects of the</w:t>
      </w:r>
      <w:r w:rsidR="003C3A70">
        <w:rPr>
          <w:rFonts w:asciiTheme="minorHAnsi" w:hAnsiTheme="minorHAnsi" w:cstheme="minorHAnsi"/>
          <w:i/>
          <w:color w:val="333333"/>
          <w:sz w:val="22"/>
          <w:szCs w:val="22"/>
          <w:shd w:val="clear" w:color="auto" w:fill="FFFFFF"/>
        </w:rPr>
        <w:t xml:space="preserve"> </w:t>
      </w:r>
      <w:r w:rsidR="003C3A70" w:rsidRPr="003C3A70">
        <w:rPr>
          <w:rFonts w:asciiTheme="minorHAnsi" w:hAnsiTheme="minorHAnsi" w:cstheme="minorHAnsi"/>
          <w:i/>
          <w:color w:val="333333"/>
          <w:sz w:val="22"/>
          <w:szCs w:val="22"/>
          <w:shd w:val="clear" w:color="auto" w:fill="FFFFFF"/>
        </w:rPr>
        <w:t>high-level</w:t>
      </w:r>
      <w:r w:rsidR="003C3A70">
        <w:rPr>
          <w:rFonts w:asciiTheme="minorHAnsi" w:hAnsiTheme="minorHAnsi" w:cstheme="minorHAnsi"/>
          <w:i/>
          <w:color w:val="333333"/>
          <w:sz w:val="22"/>
          <w:szCs w:val="22"/>
          <w:shd w:val="clear" w:color="auto" w:fill="FFFFFF"/>
        </w:rPr>
        <w:t xml:space="preserve"> </w:t>
      </w:r>
      <w:r w:rsidR="003C3A70" w:rsidRPr="003C3A70">
        <w:rPr>
          <w:rFonts w:asciiTheme="minorHAnsi" w:hAnsiTheme="minorHAnsi" w:cstheme="minorHAnsi"/>
          <w:i/>
          <w:color w:val="333333"/>
          <w:sz w:val="22"/>
          <w:szCs w:val="22"/>
          <w:shd w:val="clear" w:color="auto" w:fill="FFFFFF"/>
        </w:rPr>
        <w:t>political forum on sustainable development</w:t>
      </w:r>
      <w:r w:rsidR="003C3A70" w:rsidRPr="003C3A70" w:rsidDel="003C3A70">
        <w:rPr>
          <w:rFonts w:asciiTheme="minorHAnsi" w:hAnsiTheme="minorHAnsi" w:cstheme="minorHAnsi"/>
          <w:i/>
          <w:color w:val="333333"/>
          <w:sz w:val="22"/>
          <w:szCs w:val="22"/>
          <w:shd w:val="clear" w:color="auto" w:fill="FFFFFF"/>
        </w:rPr>
        <w:t xml:space="preserve"> </w:t>
      </w:r>
      <w:r w:rsidR="00FE539C" w:rsidRPr="003C3A70">
        <w:rPr>
          <w:rFonts w:asciiTheme="minorHAnsi" w:hAnsiTheme="minorHAnsi" w:cstheme="minorHAnsi"/>
          <w:i/>
          <w:color w:val="333333"/>
          <w:sz w:val="22"/>
          <w:szCs w:val="22"/>
          <w:shd w:val="clear" w:color="auto" w:fill="FFFFFF"/>
        </w:rPr>
        <w:t>and 70/299 on the</w:t>
      </w:r>
      <w:r w:rsidR="00FE539C" w:rsidRPr="00CF758B">
        <w:rPr>
          <w:rFonts w:asciiTheme="minorHAnsi" w:hAnsiTheme="minorHAnsi" w:cstheme="minorHAnsi"/>
          <w:color w:val="333333"/>
          <w:sz w:val="22"/>
          <w:szCs w:val="22"/>
          <w:shd w:val="clear" w:color="auto" w:fill="FFFFFF"/>
        </w:rPr>
        <w:t xml:space="preserve"> </w:t>
      </w:r>
      <w:r w:rsidR="00FE539C" w:rsidRPr="006B1CF4">
        <w:rPr>
          <w:rFonts w:asciiTheme="minorHAnsi" w:hAnsiTheme="minorHAnsi" w:cstheme="minorHAnsi"/>
          <w:i/>
          <w:color w:val="333333"/>
          <w:sz w:val="22"/>
          <w:szCs w:val="22"/>
          <w:shd w:val="clear" w:color="auto" w:fill="FFFFFF"/>
        </w:rPr>
        <w:t>follow-up and review of the 2030 Agenda for Sustainable Development at the global level</w:t>
      </w:r>
      <w:r w:rsidR="003C3A70">
        <w:rPr>
          <w:rFonts w:asciiTheme="minorHAnsi" w:hAnsiTheme="minorHAnsi" w:cstheme="minorHAnsi"/>
          <w:color w:val="333333"/>
          <w:sz w:val="22"/>
          <w:szCs w:val="22"/>
          <w:shd w:val="clear" w:color="auto" w:fill="FFFFFF"/>
        </w:rPr>
        <w:t>)</w:t>
      </w:r>
      <w:r w:rsidR="00FE539C" w:rsidRPr="00CF758B">
        <w:rPr>
          <w:rFonts w:asciiTheme="minorHAnsi" w:hAnsiTheme="minorHAnsi" w:cstheme="minorHAnsi"/>
          <w:color w:val="333333"/>
          <w:sz w:val="22"/>
          <w:szCs w:val="22"/>
          <w:shd w:val="clear" w:color="auto" w:fill="FFFFFF"/>
        </w:rPr>
        <w:t>.</w:t>
      </w:r>
      <w:r w:rsidR="00C40712" w:rsidRPr="00CF758B">
        <w:rPr>
          <w:rFonts w:asciiTheme="minorHAnsi" w:hAnsiTheme="minorHAnsi" w:cstheme="minorHAnsi"/>
          <w:color w:val="333333"/>
          <w:sz w:val="22"/>
          <w:szCs w:val="22"/>
          <w:shd w:val="clear" w:color="auto" w:fill="FFFFFF"/>
        </w:rPr>
        <w:t xml:space="preserve"> In this regard, t</w:t>
      </w:r>
      <w:r w:rsidR="0032193E" w:rsidRPr="00CF758B">
        <w:rPr>
          <w:rFonts w:asciiTheme="minorHAnsi" w:hAnsiTheme="minorHAnsi" w:cstheme="minorHAnsi"/>
          <w:sz w:val="22"/>
          <w:szCs w:val="22"/>
        </w:rPr>
        <w:t xml:space="preserve">he engagement of civil society and relevant stakeholders in the Economic and Social Council should continue to be arranged in accordance with paragraphs 19, 20 and 21 of the annex to General Assembly resolution </w:t>
      </w:r>
      <w:r w:rsidR="0032193E" w:rsidRPr="00CF758B">
        <w:rPr>
          <w:rFonts w:asciiTheme="minorHAnsi" w:hAnsiTheme="minorHAnsi" w:cstheme="minorHAnsi"/>
          <w:color w:val="auto"/>
          <w:sz w:val="22"/>
          <w:szCs w:val="22"/>
        </w:rPr>
        <w:t>72/305</w:t>
      </w:r>
      <w:r w:rsidR="00865C88" w:rsidRPr="00CF758B">
        <w:rPr>
          <w:rFonts w:asciiTheme="minorHAnsi" w:hAnsiTheme="minorHAnsi" w:cstheme="minorHAnsi"/>
          <w:color w:val="auto"/>
          <w:sz w:val="22"/>
          <w:szCs w:val="22"/>
        </w:rPr>
        <w:t xml:space="preserve"> and in accordance </w:t>
      </w:r>
      <w:r w:rsidR="00DE4B12" w:rsidRPr="00CF758B">
        <w:rPr>
          <w:rFonts w:asciiTheme="minorHAnsi" w:hAnsiTheme="minorHAnsi" w:cstheme="minorHAnsi"/>
          <w:sz w:val="22"/>
          <w:szCs w:val="22"/>
        </w:rPr>
        <w:t xml:space="preserve">with the provisions of their respective rules of procedure and the provisions of General Assembly resolutions </w:t>
      </w:r>
      <w:r w:rsidR="00DE4B12" w:rsidRPr="00CF758B">
        <w:rPr>
          <w:rFonts w:asciiTheme="minorHAnsi" w:hAnsiTheme="minorHAnsi" w:cstheme="minorHAnsi"/>
          <w:color w:val="auto"/>
          <w:sz w:val="22"/>
          <w:szCs w:val="22"/>
        </w:rPr>
        <w:t xml:space="preserve">67/290 </w:t>
      </w:r>
      <w:r w:rsidR="00DE4B12" w:rsidRPr="00CF758B">
        <w:rPr>
          <w:rFonts w:asciiTheme="minorHAnsi" w:hAnsiTheme="minorHAnsi" w:cstheme="minorHAnsi"/>
          <w:sz w:val="22"/>
          <w:szCs w:val="22"/>
        </w:rPr>
        <w:t xml:space="preserve">and </w:t>
      </w:r>
      <w:r w:rsidR="00DE4B12" w:rsidRPr="00CF758B">
        <w:rPr>
          <w:rFonts w:asciiTheme="minorHAnsi" w:hAnsiTheme="minorHAnsi" w:cstheme="minorHAnsi"/>
          <w:color w:val="auto"/>
          <w:sz w:val="22"/>
          <w:szCs w:val="22"/>
        </w:rPr>
        <w:t>72/305</w:t>
      </w:r>
      <w:r w:rsidR="00DE4B12" w:rsidRPr="00CF758B">
        <w:rPr>
          <w:rFonts w:asciiTheme="minorHAnsi" w:hAnsiTheme="minorHAnsi" w:cstheme="minorHAnsi"/>
          <w:sz w:val="22"/>
          <w:szCs w:val="22"/>
        </w:rPr>
        <w:t xml:space="preserve">. This review does not change the current limitations that the Secretariat cannot participate as an observer to the HLPF.   </w:t>
      </w:r>
    </w:p>
    <w:p w14:paraId="60AC9D75" w14:textId="77777777" w:rsidR="00C40712" w:rsidRPr="00CF758B" w:rsidRDefault="00C40712" w:rsidP="00166ADC">
      <w:pPr>
        <w:spacing w:after="0" w:line="240" w:lineRule="auto"/>
        <w:ind w:left="-284" w:firstLine="142"/>
        <w:rPr>
          <w:rFonts w:cstheme="minorHAnsi"/>
          <w:b/>
        </w:rPr>
      </w:pPr>
    </w:p>
    <w:p w14:paraId="74DD4115" w14:textId="52776F7A" w:rsidR="001738F2" w:rsidRPr="00CF758B" w:rsidRDefault="001738F2" w:rsidP="00C7597B">
      <w:pPr>
        <w:spacing w:after="0" w:line="240" w:lineRule="auto"/>
        <w:rPr>
          <w:rFonts w:cstheme="minorHAnsi"/>
          <w:b/>
        </w:rPr>
      </w:pPr>
      <w:r w:rsidRPr="00CF758B">
        <w:rPr>
          <w:rFonts w:cstheme="minorHAnsi"/>
          <w:b/>
        </w:rPr>
        <w:t>Recommendations of the Working Group</w:t>
      </w:r>
    </w:p>
    <w:p w14:paraId="4AFC88B7" w14:textId="77777777" w:rsidR="0086715B" w:rsidRPr="00CF758B" w:rsidRDefault="0086715B" w:rsidP="00166ADC">
      <w:pPr>
        <w:spacing w:after="0" w:line="240" w:lineRule="auto"/>
        <w:ind w:left="-284" w:firstLine="142"/>
        <w:rPr>
          <w:rFonts w:cstheme="minorHAnsi"/>
          <w:b/>
        </w:rPr>
      </w:pPr>
    </w:p>
    <w:p w14:paraId="1548BDB4" w14:textId="5B9F5D86" w:rsidR="0086715B" w:rsidRPr="00166ADC" w:rsidRDefault="00166ADC" w:rsidP="00166ADC">
      <w:pPr>
        <w:pStyle w:val="Default"/>
        <w:ind w:left="426" w:hanging="426"/>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19.</w:t>
      </w:r>
      <w:r>
        <w:rPr>
          <w:rFonts w:asciiTheme="minorHAnsi" w:hAnsiTheme="minorHAnsi" w:cstheme="minorHAnsi"/>
          <w:color w:val="333333"/>
          <w:sz w:val="22"/>
          <w:szCs w:val="22"/>
          <w:shd w:val="clear" w:color="auto" w:fill="FFFFFF"/>
        </w:rPr>
        <w:tab/>
      </w:r>
      <w:r w:rsidR="001738F2" w:rsidRPr="00166ADC">
        <w:rPr>
          <w:rFonts w:asciiTheme="minorHAnsi" w:hAnsiTheme="minorHAnsi" w:cstheme="minorHAnsi"/>
          <w:color w:val="333333"/>
          <w:sz w:val="22"/>
          <w:szCs w:val="22"/>
          <w:shd w:val="clear" w:color="auto" w:fill="FFFFFF"/>
        </w:rPr>
        <w:t xml:space="preserve">At its meeting on 6 May 2022 the Working Group discussed the results of the financial analysis and agreed to seek instructions from </w:t>
      </w:r>
      <w:r w:rsidR="003C3A70">
        <w:rPr>
          <w:rFonts w:asciiTheme="minorHAnsi" w:hAnsiTheme="minorHAnsi" w:cstheme="minorHAnsi"/>
          <w:color w:val="333333"/>
          <w:sz w:val="22"/>
          <w:szCs w:val="22"/>
          <w:shd w:val="clear" w:color="auto" w:fill="FFFFFF"/>
        </w:rPr>
        <w:t>SC</w:t>
      </w:r>
      <w:r w:rsidR="001738F2" w:rsidRPr="00166ADC">
        <w:rPr>
          <w:rFonts w:asciiTheme="minorHAnsi" w:hAnsiTheme="minorHAnsi" w:cstheme="minorHAnsi"/>
          <w:color w:val="333333"/>
          <w:sz w:val="22"/>
          <w:szCs w:val="22"/>
          <w:shd w:val="clear" w:color="auto" w:fill="FFFFFF"/>
        </w:rPr>
        <w:t>59 at its resumed session on the way forward</w:t>
      </w:r>
      <w:r w:rsidR="00D43BBE">
        <w:rPr>
          <w:rFonts w:asciiTheme="minorHAnsi" w:hAnsiTheme="minorHAnsi" w:cstheme="minorHAnsi"/>
          <w:color w:val="333333"/>
          <w:sz w:val="22"/>
          <w:szCs w:val="22"/>
          <w:shd w:val="clear" w:color="auto" w:fill="FFFFFF"/>
        </w:rPr>
        <w:t>,</w:t>
      </w:r>
      <w:r w:rsidR="001738F2" w:rsidRPr="00166ADC">
        <w:rPr>
          <w:rFonts w:asciiTheme="minorHAnsi" w:hAnsiTheme="minorHAnsi" w:cstheme="minorHAnsi"/>
          <w:color w:val="333333"/>
          <w:sz w:val="22"/>
          <w:szCs w:val="22"/>
          <w:shd w:val="clear" w:color="auto" w:fill="FFFFFF"/>
        </w:rPr>
        <w:t xml:space="preserve"> </w:t>
      </w:r>
      <w:r w:rsidR="00D43BBE">
        <w:rPr>
          <w:rFonts w:asciiTheme="minorHAnsi" w:hAnsiTheme="minorHAnsi" w:cstheme="minorHAnsi"/>
          <w:color w:val="333333"/>
          <w:sz w:val="22"/>
          <w:szCs w:val="22"/>
          <w:shd w:val="clear" w:color="auto" w:fill="FFFFFF"/>
        </w:rPr>
        <w:t xml:space="preserve">taking into </w:t>
      </w:r>
      <w:r w:rsidR="001738F2" w:rsidRPr="00166ADC">
        <w:rPr>
          <w:rFonts w:asciiTheme="minorHAnsi" w:hAnsiTheme="minorHAnsi" w:cstheme="minorHAnsi"/>
          <w:color w:val="333333"/>
          <w:sz w:val="22"/>
          <w:szCs w:val="22"/>
          <w:shd w:val="clear" w:color="auto" w:fill="FFFFFF"/>
        </w:rPr>
        <w:t>consideration the results of the legal and financial analysis</w:t>
      </w:r>
      <w:r w:rsidR="00CE3969" w:rsidRPr="00166ADC">
        <w:rPr>
          <w:rFonts w:asciiTheme="minorHAnsi" w:hAnsiTheme="minorHAnsi" w:cstheme="minorHAnsi"/>
          <w:color w:val="333333"/>
          <w:sz w:val="22"/>
          <w:szCs w:val="22"/>
          <w:shd w:val="clear" w:color="auto" w:fill="FFFFFF"/>
        </w:rPr>
        <w:t xml:space="preserve">, and </w:t>
      </w:r>
      <w:r w:rsidR="00832DC4" w:rsidRPr="00166ADC">
        <w:rPr>
          <w:rFonts w:asciiTheme="minorHAnsi" w:hAnsiTheme="minorHAnsi" w:cstheme="minorHAnsi"/>
          <w:color w:val="333333"/>
          <w:sz w:val="22"/>
          <w:szCs w:val="22"/>
          <w:shd w:val="clear" w:color="auto" w:fill="FFFFFF"/>
        </w:rPr>
        <w:t xml:space="preserve">that both reports </w:t>
      </w:r>
      <w:r w:rsidR="003429DD" w:rsidRPr="00166ADC">
        <w:rPr>
          <w:rFonts w:asciiTheme="minorHAnsi" w:hAnsiTheme="minorHAnsi" w:cstheme="minorHAnsi"/>
          <w:color w:val="333333"/>
          <w:sz w:val="22"/>
          <w:szCs w:val="22"/>
          <w:shd w:val="clear" w:color="auto" w:fill="FFFFFF"/>
        </w:rPr>
        <w:t>provide</w:t>
      </w:r>
      <w:r w:rsidR="00832DC4" w:rsidRPr="00166ADC">
        <w:rPr>
          <w:rFonts w:asciiTheme="minorHAnsi" w:hAnsiTheme="minorHAnsi" w:cstheme="minorHAnsi"/>
          <w:color w:val="333333"/>
          <w:sz w:val="22"/>
          <w:szCs w:val="22"/>
          <w:shd w:val="clear" w:color="auto" w:fill="FFFFFF"/>
        </w:rPr>
        <w:t xml:space="preserve"> </w:t>
      </w:r>
      <w:r w:rsidR="003A2CD4" w:rsidRPr="00166ADC">
        <w:rPr>
          <w:rFonts w:asciiTheme="minorHAnsi" w:hAnsiTheme="minorHAnsi" w:cstheme="minorHAnsi"/>
          <w:color w:val="333333"/>
          <w:sz w:val="22"/>
          <w:szCs w:val="22"/>
          <w:shd w:val="clear" w:color="auto" w:fill="FFFFFF"/>
        </w:rPr>
        <w:t>valuable information to further discuss</w:t>
      </w:r>
      <w:r w:rsidR="00832DC4" w:rsidRPr="00166ADC">
        <w:rPr>
          <w:rFonts w:asciiTheme="minorHAnsi" w:hAnsiTheme="minorHAnsi" w:cstheme="minorHAnsi"/>
          <w:color w:val="333333"/>
          <w:sz w:val="22"/>
          <w:szCs w:val="22"/>
          <w:shd w:val="clear" w:color="auto" w:fill="FFFFFF"/>
        </w:rPr>
        <w:t xml:space="preserve"> </w:t>
      </w:r>
      <w:r w:rsidR="003A2CD4" w:rsidRPr="00166ADC">
        <w:rPr>
          <w:rFonts w:asciiTheme="minorHAnsi" w:hAnsiTheme="minorHAnsi" w:cstheme="minorHAnsi"/>
          <w:color w:val="333333"/>
          <w:sz w:val="22"/>
          <w:szCs w:val="22"/>
          <w:shd w:val="clear" w:color="auto" w:fill="FFFFFF"/>
        </w:rPr>
        <w:t xml:space="preserve">different </w:t>
      </w:r>
      <w:r w:rsidR="00CE3969" w:rsidRPr="00166ADC">
        <w:rPr>
          <w:rFonts w:asciiTheme="minorHAnsi" w:hAnsiTheme="minorHAnsi" w:cstheme="minorHAnsi"/>
          <w:color w:val="333333"/>
          <w:sz w:val="22"/>
          <w:szCs w:val="22"/>
          <w:shd w:val="clear" w:color="auto" w:fill="FFFFFF"/>
        </w:rPr>
        <w:t xml:space="preserve">options </w:t>
      </w:r>
      <w:r w:rsidR="003A2CD4" w:rsidRPr="00166ADC">
        <w:rPr>
          <w:rFonts w:asciiTheme="minorHAnsi" w:hAnsiTheme="minorHAnsi" w:cstheme="minorHAnsi"/>
          <w:color w:val="333333"/>
          <w:sz w:val="22"/>
          <w:szCs w:val="22"/>
          <w:shd w:val="clear" w:color="auto" w:fill="FFFFFF"/>
        </w:rPr>
        <w:t>that are financially viable</w:t>
      </w:r>
      <w:r w:rsidR="00D43BBE">
        <w:rPr>
          <w:rFonts w:asciiTheme="minorHAnsi" w:hAnsiTheme="minorHAnsi" w:cstheme="minorHAnsi"/>
          <w:color w:val="333333"/>
          <w:sz w:val="22"/>
          <w:szCs w:val="22"/>
          <w:shd w:val="clear" w:color="auto" w:fill="FFFFFF"/>
        </w:rPr>
        <w:t>,</w:t>
      </w:r>
      <w:r w:rsidR="003A2CD4" w:rsidRPr="00166ADC">
        <w:rPr>
          <w:rFonts w:asciiTheme="minorHAnsi" w:hAnsiTheme="minorHAnsi" w:cstheme="minorHAnsi"/>
          <w:color w:val="333333"/>
          <w:sz w:val="22"/>
          <w:szCs w:val="22"/>
          <w:shd w:val="clear" w:color="auto" w:fill="FFFFFF"/>
        </w:rPr>
        <w:t xml:space="preserve"> but </w:t>
      </w:r>
      <w:r w:rsidR="00D43BBE">
        <w:rPr>
          <w:rFonts w:asciiTheme="minorHAnsi" w:hAnsiTheme="minorHAnsi" w:cstheme="minorHAnsi"/>
          <w:color w:val="333333"/>
          <w:sz w:val="22"/>
          <w:szCs w:val="22"/>
          <w:shd w:val="clear" w:color="auto" w:fill="FFFFFF"/>
        </w:rPr>
        <w:t xml:space="preserve">that </w:t>
      </w:r>
      <w:r w:rsidR="00832DC4" w:rsidRPr="00166ADC">
        <w:rPr>
          <w:rFonts w:asciiTheme="minorHAnsi" w:hAnsiTheme="minorHAnsi" w:cstheme="minorHAnsi"/>
          <w:color w:val="333333"/>
          <w:sz w:val="22"/>
          <w:szCs w:val="22"/>
          <w:shd w:val="clear" w:color="auto" w:fill="FFFFFF"/>
        </w:rPr>
        <w:t>discussions should take place within a group with balanced regional representation.</w:t>
      </w:r>
    </w:p>
    <w:sectPr w:rsidR="0086715B" w:rsidRPr="00166ADC" w:rsidSect="007D79AF">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E0261" w14:textId="77777777" w:rsidR="00CC715D" w:rsidRDefault="00CC715D" w:rsidP="002805FE">
      <w:pPr>
        <w:spacing w:after="0" w:line="240" w:lineRule="auto"/>
      </w:pPr>
      <w:r>
        <w:separator/>
      </w:r>
    </w:p>
  </w:endnote>
  <w:endnote w:type="continuationSeparator" w:id="0">
    <w:p w14:paraId="48E90605" w14:textId="77777777" w:rsidR="00CC715D" w:rsidRDefault="00CC715D" w:rsidP="0028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2E71" w14:textId="316FDD85" w:rsidR="007D79AF" w:rsidRPr="007D79AF" w:rsidRDefault="007D79AF">
    <w:pPr>
      <w:pStyle w:val="Footer"/>
      <w:rPr>
        <w:sz w:val="20"/>
        <w:szCs w:val="20"/>
      </w:rPr>
    </w:pPr>
    <w:r w:rsidRPr="007D79AF">
      <w:rPr>
        <w:sz w:val="20"/>
        <w:szCs w:val="20"/>
      </w:rPr>
      <w:t>SC59</w:t>
    </w:r>
    <w:r w:rsidR="00065438">
      <w:rPr>
        <w:sz w:val="20"/>
        <w:szCs w:val="20"/>
      </w:rPr>
      <w:t>/2022</w:t>
    </w:r>
    <w:r w:rsidRPr="007D79AF">
      <w:rPr>
        <w:sz w:val="20"/>
        <w:szCs w:val="20"/>
      </w:rPr>
      <w:t xml:space="preserve"> Doc.14</w:t>
    </w:r>
    <w:r>
      <w:rPr>
        <w:sz w:val="20"/>
        <w:szCs w:val="20"/>
      </w:rPr>
      <w:tab/>
    </w:r>
    <w:r>
      <w:rPr>
        <w:sz w:val="20"/>
        <w:szCs w:val="20"/>
      </w:rPr>
      <w:tab/>
    </w:r>
    <w:r w:rsidRPr="007D79AF">
      <w:rPr>
        <w:sz w:val="20"/>
        <w:szCs w:val="20"/>
      </w:rPr>
      <w:fldChar w:fldCharType="begin"/>
    </w:r>
    <w:r w:rsidRPr="007D79AF">
      <w:rPr>
        <w:sz w:val="20"/>
        <w:szCs w:val="20"/>
      </w:rPr>
      <w:instrText xml:space="preserve"> PAGE   \* MERGEFORMAT </w:instrText>
    </w:r>
    <w:r w:rsidRPr="007D79AF">
      <w:rPr>
        <w:sz w:val="20"/>
        <w:szCs w:val="20"/>
      </w:rPr>
      <w:fldChar w:fldCharType="separate"/>
    </w:r>
    <w:r w:rsidR="003719B0">
      <w:rPr>
        <w:noProof/>
        <w:sz w:val="20"/>
        <w:szCs w:val="20"/>
      </w:rPr>
      <w:t>4</w:t>
    </w:r>
    <w:r w:rsidRPr="007D79A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2490" w14:textId="77777777" w:rsidR="00CC715D" w:rsidRDefault="00CC715D" w:rsidP="002805FE">
      <w:pPr>
        <w:spacing w:after="0" w:line="240" w:lineRule="auto"/>
      </w:pPr>
      <w:r>
        <w:separator/>
      </w:r>
    </w:p>
  </w:footnote>
  <w:footnote w:type="continuationSeparator" w:id="0">
    <w:p w14:paraId="55BF35B0" w14:textId="77777777" w:rsidR="00CC715D" w:rsidRDefault="00CC715D" w:rsidP="002805FE">
      <w:pPr>
        <w:spacing w:after="0" w:line="240" w:lineRule="auto"/>
      </w:pPr>
      <w:r>
        <w:continuationSeparator/>
      </w:r>
    </w:p>
  </w:footnote>
  <w:footnote w:id="1">
    <w:p w14:paraId="42E14A39" w14:textId="77777777" w:rsidR="002805FE" w:rsidRPr="00E45434" w:rsidRDefault="002805FE" w:rsidP="00E45434">
      <w:pPr>
        <w:pStyle w:val="FootnoteText"/>
        <w:rPr>
          <w:rFonts w:cstheme="minorHAnsi"/>
        </w:rPr>
      </w:pPr>
      <w:r w:rsidRPr="00E45434">
        <w:rPr>
          <w:rStyle w:val="FootnoteReference"/>
          <w:rFonts w:cstheme="minorHAnsi"/>
        </w:rPr>
        <w:footnoteRef/>
      </w:r>
      <w:r w:rsidRPr="00E45434">
        <w:rPr>
          <w:rFonts w:cstheme="minorHAnsi"/>
          <w:vertAlign w:val="superscript"/>
        </w:rPr>
        <w:t xml:space="preserve"> </w:t>
      </w:r>
      <w:r w:rsidRPr="00E45434">
        <w:rPr>
          <w:rFonts w:cstheme="minorHAnsi"/>
        </w:rPr>
        <w:t>Through Decision SC57-47</w:t>
      </w:r>
      <w:r w:rsidR="003B106A" w:rsidRPr="00E45434">
        <w:rPr>
          <w:rFonts w:cstheme="minorHAnsi"/>
        </w:rPr>
        <w:t>,</w:t>
      </w:r>
      <w:r w:rsidRPr="00E45434">
        <w:rPr>
          <w:rFonts w:cstheme="minorHAnsi"/>
        </w:rPr>
        <w:t xml:space="preserve"> the Standing Committee subsequently approved the allocation of CHF 15,000 from the 2018 core budget surplus to “Legal status analysis consultancy”.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7FF36"/>
    <w:multiLevelType w:val="hybridMultilevel"/>
    <w:tmpl w:val="CE86A7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1DEC71"/>
    <w:multiLevelType w:val="hybridMultilevel"/>
    <w:tmpl w:val="FA91E8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647F6"/>
    <w:multiLevelType w:val="hybridMultilevel"/>
    <w:tmpl w:val="E88CF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63584"/>
    <w:multiLevelType w:val="hybridMultilevel"/>
    <w:tmpl w:val="8C169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34C08"/>
    <w:multiLevelType w:val="hybridMultilevel"/>
    <w:tmpl w:val="0D942D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F621B"/>
    <w:multiLevelType w:val="hybridMultilevel"/>
    <w:tmpl w:val="8CD4298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A22F1"/>
    <w:multiLevelType w:val="hybridMultilevel"/>
    <w:tmpl w:val="7430F3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13F97"/>
    <w:multiLevelType w:val="hybridMultilevel"/>
    <w:tmpl w:val="6B7E2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713803"/>
    <w:multiLevelType w:val="hybridMultilevel"/>
    <w:tmpl w:val="FA06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4070D3"/>
    <w:multiLevelType w:val="hybridMultilevel"/>
    <w:tmpl w:val="547803DA"/>
    <w:lvl w:ilvl="0" w:tplc="249278B0">
      <w:start w:val="1"/>
      <w:numFmt w:val="lowerLetter"/>
      <w:lvlText w:val="%1)"/>
      <w:lvlJc w:val="left"/>
      <w:pPr>
        <w:ind w:left="1353"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0" w15:restartNumberingAfterBreak="0">
    <w:nsid w:val="5BEB1AFA"/>
    <w:multiLevelType w:val="hybridMultilevel"/>
    <w:tmpl w:val="3878D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E02152"/>
    <w:multiLevelType w:val="hybridMultilevel"/>
    <w:tmpl w:val="F9A27B76"/>
    <w:lvl w:ilvl="0" w:tplc="08090019">
      <w:start w:val="1"/>
      <w:numFmt w:val="lowerLetter"/>
      <w:lvlText w:val="%1."/>
      <w:lvlJc w:val="left"/>
      <w:pPr>
        <w:ind w:left="1353"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2" w15:restartNumberingAfterBreak="0">
    <w:nsid w:val="66E94F2A"/>
    <w:multiLevelType w:val="hybridMultilevel"/>
    <w:tmpl w:val="7D74674A"/>
    <w:lvl w:ilvl="0" w:tplc="0E260F1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F023A5"/>
    <w:multiLevelType w:val="hybridMultilevel"/>
    <w:tmpl w:val="4394E942"/>
    <w:lvl w:ilvl="0" w:tplc="87207C5C">
      <w:start w:val="1"/>
      <w:numFmt w:val="decimal"/>
      <w:lvlText w:val="%1."/>
      <w:lvlJc w:val="left"/>
      <w:pPr>
        <w:ind w:left="411" w:hanging="360"/>
      </w:pPr>
    </w:lvl>
    <w:lvl w:ilvl="1" w:tplc="08090019">
      <w:start w:val="1"/>
      <w:numFmt w:val="lowerLetter"/>
      <w:lvlText w:val="%2."/>
      <w:lvlJc w:val="left"/>
      <w:pPr>
        <w:ind w:left="1131" w:hanging="360"/>
      </w:pPr>
    </w:lvl>
    <w:lvl w:ilvl="2" w:tplc="0809001B">
      <w:start w:val="1"/>
      <w:numFmt w:val="lowerRoman"/>
      <w:lvlText w:val="%3."/>
      <w:lvlJc w:val="right"/>
      <w:pPr>
        <w:ind w:left="1851" w:hanging="180"/>
      </w:pPr>
    </w:lvl>
    <w:lvl w:ilvl="3" w:tplc="0809000F">
      <w:start w:val="1"/>
      <w:numFmt w:val="decimal"/>
      <w:lvlText w:val="%4."/>
      <w:lvlJc w:val="left"/>
      <w:pPr>
        <w:ind w:left="2571" w:hanging="360"/>
      </w:pPr>
    </w:lvl>
    <w:lvl w:ilvl="4" w:tplc="08090019">
      <w:start w:val="1"/>
      <w:numFmt w:val="lowerLetter"/>
      <w:lvlText w:val="%5."/>
      <w:lvlJc w:val="left"/>
      <w:pPr>
        <w:ind w:left="3291" w:hanging="360"/>
      </w:pPr>
    </w:lvl>
    <w:lvl w:ilvl="5" w:tplc="0809001B">
      <w:start w:val="1"/>
      <w:numFmt w:val="lowerRoman"/>
      <w:lvlText w:val="%6."/>
      <w:lvlJc w:val="right"/>
      <w:pPr>
        <w:ind w:left="4011" w:hanging="180"/>
      </w:pPr>
    </w:lvl>
    <w:lvl w:ilvl="6" w:tplc="0809000F">
      <w:start w:val="1"/>
      <w:numFmt w:val="decimal"/>
      <w:lvlText w:val="%7."/>
      <w:lvlJc w:val="left"/>
      <w:pPr>
        <w:ind w:left="4731" w:hanging="360"/>
      </w:pPr>
    </w:lvl>
    <w:lvl w:ilvl="7" w:tplc="08090019">
      <w:start w:val="1"/>
      <w:numFmt w:val="lowerLetter"/>
      <w:lvlText w:val="%8."/>
      <w:lvlJc w:val="left"/>
      <w:pPr>
        <w:ind w:left="5451" w:hanging="360"/>
      </w:pPr>
    </w:lvl>
    <w:lvl w:ilvl="8" w:tplc="0809001B">
      <w:start w:val="1"/>
      <w:numFmt w:val="lowerRoman"/>
      <w:lvlText w:val="%9."/>
      <w:lvlJc w:val="right"/>
      <w:pPr>
        <w:ind w:left="6171" w:hanging="180"/>
      </w:pPr>
    </w:lvl>
  </w:abstractNum>
  <w:abstractNum w:abstractNumId="14" w15:restartNumberingAfterBreak="0">
    <w:nsid w:val="7D933EBD"/>
    <w:multiLevelType w:val="hybridMultilevel"/>
    <w:tmpl w:val="2ED890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
  </w:num>
  <w:num w:numId="6">
    <w:abstractNumId w:val="4"/>
  </w:num>
  <w:num w:numId="7">
    <w:abstractNumId w:val="12"/>
  </w:num>
  <w:num w:numId="8">
    <w:abstractNumId w:val="10"/>
  </w:num>
  <w:num w:numId="9">
    <w:abstractNumId w:val="7"/>
  </w:num>
  <w:num w:numId="10">
    <w:abstractNumId w:val="3"/>
  </w:num>
  <w:num w:numId="11">
    <w:abstractNumId w:val="8"/>
  </w:num>
  <w:num w:numId="12">
    <w:abstractNumId w:val="2"/>
  </w:num>
  <w:num w:numId="13">
    <w:abstractNumId w:val="11"/>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7E"/>
    <w:rsid w:val="00030EA4"/>
    <w:rsid w:val="000349B9"/>
    <w:rsid w:val="0003654E"/>
    <w:rsid w:val="00043524"/>
    <w:rsid w:val="00044B1C"/>
    <w:rsid w:val="00047914"/>
    <w:rsid w:val="000507AC"/>
    <w:rsid w:val="00056586"/>
    <w:rsid w:val="00065438"/>
    <w:rsid w:val="00070EBD"/>
    <w:rsid w:val="00084622"/>
    <w:rsid w:val="000E38AF"/>
    <w:rsid w:val="00111C67"/>
    <w:rsid w:val="00122719"/>
    <w:rsid w:val="00132658"/>
    <w:rsid w:val="001333AC"/>
    <w:rsid w:val="00143B3F"/>
    <w:rsid w:val="0016683F"/>
    <w:rsid w:val="00166ADC"/>
    <w:rsid w:val="001738F2"/>
    <w:rsid w:val="00190CFF"/>
    <w:rsid w:val="00193027"/>
    <w:rsid w:val="001B4324"/>
    <w:rsid w:val="001C2C34"/>
    <w:rsid w:val="001D3BBC"/>
    <w:rsid w:val="00205664"/>
    <w:rsid w:val="00215218"/>
    <w:rsid w:val="002315B6"/>
    <w:rsid w:val="00236658"/>
    <w:rsid w:val="00252B9C"/>
    <w:rsid w:val="002546A1"/>
    <w:rsid w:val="002805FE"/>
    <w:rsid w:val="00281059"/>
    <w:rsid w:val="002B0DE1"/>
    <w:rsid w:val="002B30C2"/>
    <w:rsid w:val="002C781B"/>
    <w:rsid w:val="002C7929"/>
    <w:rsid w:val="002C7D19"/>
    <w:rsid w:val="002D4D5F"/>
    <w:rsid w:val="003031B2"/>
    <w:rsid w:val="00307B7E"/>
    <w:rsid w:val="0031116C"/>
    <w:rsid w:val="0032193E"/>
    <w:rsid w:val="00334EA6"/>
    <w:rsid w:val="003429DD"/>
    <w:rsid w:val="0035685A"/>
    <w:rsid w:val="00356A11"/>
    <w:rsid w:val="003657F1"/>
    <w:rsid w:val="003719B0"/>
    <w:rsid w:val="003A2CD4"/>
    <w:rsid w:val="003B106A"/>
    <w:rsid w:val="003C3A70"/>
    <w:rsid w:val="003D43D1"/>
    <w:rsid w:val="003F0B77"/>
    <w:rsid w:val="00401270"/>
    <w:rsid w:val="00415C53"/>
    <w:rsid w:val="0042627C"/>
    <w:rsid w:val="004315AB"/>
    <w:rsid w:val="004349EE"/>
    <w:rsid w:val="00446534"/>
    <w:rsid w:val="00465A3C"/>
    <w:rsid w:val="00467FF3"/>
    <w:rsid w:val="004715F2"/>
    <w:rsid w:val="00487DF3"/>
    <w:rsid w:val="004C2C9E"/>
    <w:rsid w:val="004F13E5"/>
    <w:rsid w:val="005066C2"/>
    <w:rsid w:val="00560D12"/>
    <w:rsid w:val="005925FA"/>
    <w:rsid w:val="00593969"/>
    <w:rsid w:val="005C59FE"/>
    <w:rsid w:val="005C6C1A"/>
    <w:rsid w:val="005D0512"/>
    <w:rsid w:val="00622B44"/>
    <w:rsid w:val="006238ED"/>
    <w:rsid w:val="0069139D"/>
    <w:rsid w:val="00694C51"/>
    <w:rsid w:val="006B1CF4"/>
    <w:rsid w:val="006D5EA2"/>
    <w:rsid w:val="006F1674"/>
    <w:rsid w:val="006F2953"/>
    <w:rsid w:val="007106B9"/>
    <w:rsid w:val="00741821"/>
    <w:rsid w:val="007750F6"/>
    <w:rsid w:val="007916F1"/>
    <w:rsid w:val="007935A5"/>
    <w:rsid w:val="007B3592"/>
    <w:rsid w:val="007D79AF"/>
    <w:rsid w:val="007E04F2"/>
    <w:rsid w:val="007F3CF8"/>
    <w:rsid w:val="0082610D"/>
    <w:rsid w:val="00832DC4"/>
    <w:rsid w:val="00840BE2"/>
    <w:rsid w:val="00865C88"/>
    <w:rsid w:val="0086715B"/>
    <w:rsid w:val="008747D7"/>
    <w:rsid w:val="00884714"/>
    <w:rsid w:val="008857F0"/>
    <w:rsid w:val="00894AC3"/>
    <w:rsid w:val="008A48CE"/>
    <w:rsid w:val="008B064A"/>
    <w:rsid w:val="008B18F4"/>
    <w:rsid w:val="00905292"/>
    <w:rsid w:val="009076D7"/>
    <w:rsid w:val="00912F2F"/>
    <w:rsid w:val="00920C59"/>
    <w:rsid w:val="00957113"/>
    <w:rsid w:val="00971F46"/>
    <w:rsid w:val="009757B9"/>
    <w:rsid w:val="009821C3"/>
    <w:rsid w:val="00982AE6"/>
    <w:rsid w:val="009A170D"/>
    <w:rsid w:val="009C4299"/>
    <w:rsid w:val="009C5D04"/>
    <w:rsid w:val="009F1F36"/>
    <w:rsid w:val="00A06FB1"/>
    <w:rsid w:val="00A259BE"/>
    <w:rsid w:val="00A464D6"/>
    <w:rsid w:val="00A52E04"/>
    <w:rsid w:val="00A57B99"/>
    <w:rsid w:val="00A615A8"/>
    <w:rsid w:val="00A812F1"/>
    <w:rsid w:val="00AF1634"/>
    <w:rsid w:val="00AF76DC"/>
    <w:rsid w:val="00B11C44"/>
    <w:rsid w:val="00B25DF0"/>
    <w:rsid w:val="00B440E3"/>
    <w:rsid w:val="00B73F3B"/>
    <w:rsid w:val="00B84558"/>
    <w:rsid w:val="00B87A7A"/>
    <w:rsid w:val="00B90D52"/>
    <w:rsid w:val="00B921ED"/>
    <w:rsid w:val="00BB2B2F"/>
    <w:rsid w:val="00BC247E"/>
    <w:rsid w:val="00C118F1"/>
    <w:rsid w:val="00C176A3"/>
    <w:rsid w:val="00C21673"/>
    <w:rsid w:val="00C23881"/>
    <w:rsid w:val="00C40712"/>
    <w:rsid w:val="00C64F80"/>
    <w:rsid w:val="00C7597B"/>
    <w:rsid w:val="00CA5BAD"/>
    <w:rsid w:val="00CB10F7"/>
    <w:rsid w:val="00CC715D"/>
    <w:rsid w:val="00CD0C2B"/>
    <w:rsid w:val="00CE15C1"/>
    <w:rsid w:val="00CE3969"/>
    <w:rsid w:val="00CE4497"/>
    <w:rsid w:val="00CF758B"/>
    <w:rsid w:val="00D03879"/>
    <w:rsid w:val="00D138D8"/>
    <w:rsid w:val="00D15AFB"/>
    <w:rsid w:val="00D2518D"/>
    <w:rsid w:val="00D41F93"/>
    <w:rsid w:val="00D43BBE"/>
    <w:rsid w:val="00D46422"/>
    <w:rsid w:val="00D47055"/>
    <w:rsid w:val="00D51233"/>
    <w:rsid w:val="00D95516"/>
    <w:rsid w:val="00DA1078"/>
    <w:rsid w:val="00DB04CC"/>
    <w:rsid w:val="00DB2771"/>
    <w:rsid w:val="00DE153C"/>
    <w:rsid w:val="00DE4B12"/>
    <w:rsid w:val="00DE71A4"/>
    <w:rsid w:val="00E22F50"/>
    <w:rsid w:val="00E414F9"/>
    <w:rsid w:val="00E45434"/>
    <w:rsid w:val="00E92C39"/>
    <w:rsid w:val="00ED13E3"/>
    <w:rsid w:val="00ED498F"/>
    <w:rsid w:val="00EF3AC0"/>
    <w:rsid w:val="00F23744"/>
    <w:rsid w:val="00F2674D"/>
    <w:rsid w:val="00F67DF4"/>
    <w:rsid w:val="00F84371"/>
    <w:rsid w:val="00F928C3"/>
    <w:rsid w:val="00F93583"/>
    <w:rsid w:val="00F94DC0"/>
    <w:rsid w:val="00FD3F67"/>
    <w:rsid w:val="00FE539C"/>
    <w:rsid w:val="00FE5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7E3BF7"/>
  <w15:chartTrackingRefBased/>
  <w15:docId w15:val="{B6F956D4-1B34-4EEF-9A00-9CB37C3B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
    <w:basedOn w:val="Normal"/>
    <w:link w:val="ListParagraphChar"/>
    <w:uiPriority w:val="34"/>
    <w:qFormat/>
    <w:rsid w:val="00043524"/>
    <w:pPr>
      <w:spacing w:after="0" w:line="240" w:lineRule="auto"/>
      <w:ind w:left="720"/>
      <w:contextualSpacing/>
      <w:jc w:val="both"/>
    </w:pPr>
    <w:rPr>
      <w:rFonts w:ascii="Tahoma" w:eastAsia="Calibri" w:hAnsi="Tahoma" w:cs="Times New Roman"/>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043524"/>
    <w:rPr>
      <w:rFonts w:ascii="Tahoma" w:eastAsia="Calibri" w:hAnsi="Tahoma" w:cs="Times New Roman"/>
    </w:rPr>
  </w:style>
  <w:style w:type="paragraph" w:customStyle="1" w:styleId="Default">
    <w:name w:val="Default"/>
    <w:rsid w:val="00920C59"/>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401270"/>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nhideWhenUsed/>
    <w:rsid w:val="002805FE"/>
    <w:pPr>
      <w:spacing w:after="0" w:line="240" w:lineRule="auto"/>
    </w:pPr>
    <w:rPr>
      <w:sz w:val="20"/>
      <w:szCs w:val="20"/>
    </w:rPr>
  </w:style>
  <w:style w:type="character" w:customStyle="1" w:styleId="FootnoteTextChar">
    <w:name w:val="Footnote Text Char"/>
    <w:basedOn w:val="DefaultParagraphFont"/>
    <w:link w:val="FootnoteText"/>
    <w:rsid w:val="002805FE"/>
    <w:rPr>
      <w:sz w:val="20"/>
      <w:szCs w:val="20"/>
    </w:rPr>
  </w:style>
  <w:style w:type="character" w:styleId="FootnoteReference">
    <w:name w:val="footnote reference"/>
    <w:basedOn w:val="DefaultParagraphFont"/>
    <w:semiHidden/>
    <w:unhideWhenUsed/>
    <w:rsid w:val="002805FE"/>
    <w:rPr>
      <w:vertAlign w:val="superscript"/>
    </w:rPr>
  </w:style>
  <w:style w:type="paragraph" w:customStyle="1" w:styleId="wordsection1">
    <w:name w:val="wordsection1"/>
    <w:basedOn w:val="Normal"/>
    <w:rsid w:val="00ED13E3"/>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7D7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9AF"/>
  </w:style>
  <w:style w:type="paragraph" w:styleId="Footer">
    <w:name w:val="footer"/>
    <w:basedOn w:val="Normal"/>
    <w:link w:val="FooterChar"/>
    <w:uiPriority w:val="99"/>
    <w:unhideWhenUsed/>
    <w:rsid w:val="007D7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9AF"/>
  </w:style>
  <w:style w:type="character" w:styleId="CommentReference">
    <w:name w:val="annotation reference"/>
    <w:basedOn w:val="DefaultParagraphFont"/>
    <w:uiPriority w:val="99"/>
    <w:semiHidden/>
    <w:unhideWhenUsed/>
    <w:rsid w:val="007106B9"/>
    <w:rPr>
      <w:sz w:val="16"/>
      <w:szCs w:val="16"/>
    </w:rPr>
  </w:style>
  <w:style w:type="paragraph" w:styleId="CommentText">
    <w:name w:val="annotation text"/>
    <w:basedOn w:val="Normal"/>
    <w:link w:val="CommentTextChar"/>
    <w:uiPriority w:val="99"/>
    <w:semiHidden/>
    <w:unhideWhenUsed/>
    <w:rsid w:val="007106B9"/>
    <w:pPr>
      <w:spacing w:line="240" w:lineRule="auto"/>
    </w:pPr>
    <w:rPr>
      <w:sz w:val="20"/>
      <w:szCs w:val="20"/>
    </w:rPr>
  </w:style>
  <w:style w:type="character" w:customStyle="1" w:styleId="CommentTextChar">
    <w:name w:val="Comment Text Char"/>
    <w:basedOn w:val="DefaultParagraphFont"/>
    <w:link w:val="CommentText"/>
    <w:uiPriority w:val="99"/>
    <w:semiHidden/>
    <w:rsid w:val="007106B9"/>
    <w:rPr>
      <w:sz w:val="20"/>
      <w:szCs w:val="20"/>
    </w:rPr>
  </w:style>
  <w:style w:type="paragraph" w:styleId="CommentSubject">
    <w:name w:val="annotation subject"/>
    <w:basedOn w:val="CommentText"/>
    <w:next w:val="CommentText"/>
    <w:link w:val="CommentSubjectChar"/>
    <w:uiPriority w:val="99"/>
    <w:semiHidden/>
    <w:unhideWhenUsed/>
    <w:rsid w:val="007106B9"/>
    <w:rPr>
      <w:b/>
      <w:bCs/>
    </w:rPr>
  </w:style>
  <w:style w:type="character" w:customStyle="1" w:styleId="CommentSubjectChar">
    <w:name w:val="Comment Subject Char"/>
    <w:basedOn w:val="CommentTextChar"/>
    <w:link w:val="CommentSubject"/>
    <w:uiPriority w:val="99"/>
    <w:semiHidden/>
    <w:rsid w:val="007106B9"/>
    <w:rPr>
      <w:b/>
      <w:bCs/>
      <w:sz w:val="20"/>
      <w:szCs w:val="20"/>
    </w:rPr>
  </w:style>
  <w:style w:type="paragraph" w:styleId="BalloonText">
    <w:name w:val="Balloon Text"/>
    <w:basedOn w:val="Normal"/>
    <w:link w:val="BalloonTextChar"/>
    <w:uiPriority w:val="99"/>
    <w:semiHidden/>
    <w:unhideWhenUsed/>
    <w:rsid w:val="00710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B9"/>
    <w:rPr>
      <w:rFonts w:ascii="Segoe UI" w:hAnsi="Segoe UI" w:cs="Segoe UI"/>
      <w:sz w:val="18"/>
      <w:szCs w:val="18"/>
    </w:rPr>
  </w:style>
  <w:style w:type="character" w:styleId="Strong">
    <w:name w:val="Strong"/>
    <w:basedOn w:val="DefaultParagraphFont"/>
    <w:uiPriority w:val="22"/>
    <w:qFormat/>
    <w:rsid w:val="00FE539C"/>
    <w:rPr>
      <w:b/>
      <w:bCs/>
    </w:rPr>
  </w:style>
  <w:style w:type="paragraph" w:styleId="Subtitle">
    <w:name w:val="Subtitle"/>
    <w:basedOn w:val="Normal"/>
    <w:next w:val="Normal"/>
    <w:link w:val="SubtitleChar"/>
    <w:uiPriority w:val="11"/>
    <w:qFormat/>
    <w:rsid w:val="00F267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674D"/>
    <w:rPr>
      <w:rFonts w:eastAsiaTheme="minorEastAsia"/>
      <w:color w:val="5A5A5A" w:themeColor="text1" w:themeTint="A5"/>
      <w:spacing w:val="15"/>
    </w:rPr>
  </w:style>
  <w:style w:type="character" w:styleId="Hyperlink">
    <w:name w:val="Hyperlink"/>
    <w:basedOn w:val="DefaultParagraphFont"/>
    <w:uiPriority w:val="99"/>
    <w:unhideWhenUsed/>
    <w:rsid w:val="00C759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2439">
      <w:bodyDiv w:val="1"/>
      <w:marLeft w:val="0"/>
      <w:marRight w:val="0"/>
      <w:marTop w:val="0"/>
      <w:marBottom w:val="0"/>
      <w:divBdr>
        <w:top w:val="none" w:sz="0" w:space="0" w:color="auto"/>
        <w:left w:val="none" w:sz="0" w:space="0" w:color="auto"/>
        <w:bottom w:val="none" w:sz="0" w:space="0" w:color="auto"/>
        <w:right w:val="none" w:sz="0" w:space="0" w:color="auto"/>
      </w:divBdr>
    </w:div>
    <w:div w:id="1404328405">
      <w:bodyDiv w:val="1"/>
      <w:marLeft w:val="0"/>
      <w:marRight w:val="0"/>
      <w:marTop w:val="0"/>
      <w:marBottom w:val="0"/>
      <w:divBdr>
        <w:top w:val="none" w:sz="0" w:space="0" w:color="auto"/>
        <w:left w:val="none" w:sz="0" w:space="0" w:color="auto"/>
        <w:bottom w:val="none" w:sz="0" w:space="0" w:color="auto"/>
        <w:right w:val="none" w:sz="0" w:space="0" w:color="auto"/>
      </w:divBdr>
    </w:div>
    <w:div w:id="1556505191">
      <w:bodyDiv w:val="1"/>
      <w:marLeft w:val="0"/>
      <w:marRight w:val="0"/>
      <w:marTop w:val="0"/>
      <w:marBottom w:val="0"/>
      <w:divBdr>
        <w:top w:val="none" w:sz="0" w:space="0" w:color="auto"/>
        <w:left w:val="none" w:sz="0" w:space="0" w:color="auto"/>
        <w:bottom w:val="none" w:sz="0" w:space="0" w:color="auto"/>
        <w:right w:val="none" w:sz="0" w:space="0" w:color="auto"/>
      </w:divBdr>
    </w:div>
    <w:div w:id="21375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library/financial_analysis_legal_status_secretariat_2020_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documents/library/independent_analysis_legal_status_secretariat_2020_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EC28-2992-42F7-AA2D-032801C78F41}">
  <ds:schemaRefs>
    <ds:schemaRef ds:uri="http://schemas.microsoft.com/sharepoint/v3/contenttype/forms"/>
  </ds:schemaRefs>
</ds:datastoreItem>
</file>

<file path=customXml/itemProps2.xml><?xml version="1.0" encoding="utf-8"?>
<ds:datastoreItem xmlns:ds="http://schemas.openxmlformats.org/officeDocument/2006/customXml" ds:itemID="{ACCBDF2F-00F2-4F8A-A863-629DFF692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0DD1A-6DF9-42C9-8D43-5ED99080E731}">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682f1ccd-e5c5-43c9-b9d9-dd72e0a643d0"/>
    <ds:schemaRef ds:uri="http://schemas.microsoft.com/office/infopath/2007/PartnerControls"/>
    <ds:schemaRef ds:uri="75035800-fbd9-4494-bf62-86cc10c5d50d"/>
  </ds:schemaRefs>
</ds:datastoreItem>
</file>

<file path=customXml/itemProps4.xml><?xml version="1.0" encoding="utf-8"?>
<ds:datastoreItem xmlns:ds="http://schemas.openxmlformats.org/officeDocument/2006/customXml" ds:itemID="{ECF6E9DB-480F-4E9C-AD2C-B8789E76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8711</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on Wetlands</dc:creator>
  <cp:keywords/>
  <dc:description/>
  <cp:lastModifiedBy>Ed Jennings</cp:lastModifiedBy>
  <cp:revision>3</cp:revision>
  <cp:lastPrinted>2022-05-20T13:59:00Z</cp:lastPrinted>
  <dcterms:created xsi:type="dcterms:W3CDTF">2022-05-20T13:59:00Z</dcterms:created>
  <dcterms:modified xsi:type="dcterms:W3CDTF">2022-05-20T14:00:00Z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