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459" w:rsidRPr="005D775C"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fr-FR"/>
        </w:rPr>
      </w:pPr>
      <w:r w:rsidRPr="005D775C">
        <w:rPr>
          <w:rFonts w:cstheme="minorHAnsi"/>
          <w:bCs/>
          <w:lang w:val="fr-FR"/>
        </w:rPr>
        <w:t xml:space="preserve">CONVENTION </w:t>
      </w:r>
      <w:r w:rsidR="005D775C" w:rsidRPr="005D775C">
        <w:rPr>
          <w:rFonts w:cstheme="minorHAnsi"/>
          <w:bCs/>
          <w:lang w:val="fr-FR"/>
        </w:rPr>
        <w:t>SUR LES ZONES HUMIDES</w:t>
      </w:r>
    </w:p>
    <w:p w:rsidR="00BA2459" w:rsidRPr="005D775C"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fr-FR"/>
        </w:rPr>
      </w:pPr>
      <w:r w:rsidRPr="005D775C">
        <w:rPr>
          <w:rFonts w:cstheme="minorHAnsi"/>
          <w:bCs/>
          <w:lang w:val="fr-FR"/>
        </w:rPr>
        <w:t>59</w:t>
      </w:r>
      <w:r w:rsidR="005D775C" w:rsidRPr="005D775C">
        <w:rPr>
          <w:rFonts w:cstheme="minorHAnsi"/>
          <w:bCs/>
          <w:vertAlign w:val="superscript"/>
          <w:lang w:val="fr-FR"/>
        </w:rPr>
        <w:t>e</w:t>
      </w:r>
      <w:r w:rsidR="005D775C" w:rsidRPr="005D775C">
        <w:rPr>
          <w:rFonts w:cstheme="minorHAnsi"/>
          <w:bCs/>
          <w:lang w:val="fr-FR"/>
        </w:rPr>
        <w:t xml:space="preserve"> </w:t>
      </w:r>
      <w:r w:rsidR="004D59BC">
        <w:rPr>
          <w:rFonts w:cstheme="minorHAnsi"/>
          <w:bCs/>
          <w:lang w:val="fr-FR"/>
        </w:rPr>
        <w:t>réunion</w:t>
      </w:r>
      <w:r w:rsidR="005D775C" w:rsidRPr="005D775C">
        <w:rPr>
          <w:rFonts w:cstheme="minorHAnsi"/>
          <w:bCs/>
          <w:lang w:val="fr-FR"/>
        </w:rPr>
        <w:t xml:space="preserve"> du Comité permanent</w:t>
      </w:r>
    </w:p>
    <w:p w:rsidR="00BA2459" w:rsidRPr="005D775C" w:rsidRDefault="004D59BC"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fr-FR"/>
        </w:rPr>
      </w:pPr>
      <w:r>
        <w:rPr>
          <w:rFonts w:cstheme="minorHAnsi"/>
          <w:bCs/>
          <w:lang w:val="fr-FR"/>
        </w:rPr>
        <w:t>Reprise de séance</w:t>
      </w:r>
    </w:p>
    <w:p w:rsidR="00BA2459" w:rsidRPr="005D775C" w:rsidRDefault="00BA2459" w:rsidP="00BA245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cstheme="minorHAnsi"/>
          <w:bCs/>
          <w:lang w:val="fr-FR"/>
        </w:rPr>
      </w:pPr>
      <w:r w:rsidRPr="005D775C">
        <w:rPr>
          <w:rFonts w:cstheme="minorHAnsi"/>
          <w:bCs/>
          <w:lang w:val="fr-FR"/>
        </w:rPr>
        <w:t>Gland, S</w:t>
      </w:r>
      <w:r w:rsidR="004D59BC">
        <w:rPr>
          <w:rFonts w:cstheme="minorHAnsi"/>
          <w:bCs/>
          <w:lang w:val="fr-FR"/>
        </w:rPr>
        <w:t xml:space="preserve">uisse, 23 au </w:t>
      </w:r>
      <w:r w:rsidR="005D775C" w:rsidRPr="005D775C">
        <w:rPr>
          <w:rFonts w:cstheme="minorHAnsi"/>
          <w:bCs/>
          <w:lang w:val="fr-FR"/>
        </w:rPr>
        <w:t>27 mai</w:t>
      </w:r>
      <w:r w:rsidRPr="005D775C">
        <w:rPr>
          <w:rFonts w:cstheme="minorHAnsi"/>
          <w:bCs/>
          <w:lang w:val="fr-FR"/>
        </w:rPr>
        <w:t xml:space="preserve"> 2022</w:t>
      </w:r>
    </w:p>
    <w:p w:rsidR="00BA2459" w:rsidRPr="005D775C" w:rsidRDefault="00BA2459" w:rsidP="00BA2459">
      <w:pPr>
        <w:tabs>
          <w:tab w:val="left" w:pos="10650"/>
          <w:tab w:val="right" w:pos="13958"/>
        </w:tabs>
        <w:spacing w:after="0" w:line="240" w:lineRule="auto"/>
        <w:jc w:val="right"/>
        <w:rPr>
          <w:rFonts w:cstheme="minorHAnsi"/>
          <w:b/>
          <w:sz w:val="28"/>
          <w:szCs w:val="28"/>
          <w:lang w:val="fr-FR"/>
        </w:rPr>
      </w:pPr>
    </w:p>
    <w:p w:rsidR="00BA2459" w:rsidRPr="004D59BC" w:rsidRDefault="00BA2459" w:rsidP="00BA2459">
      <w:pPr>
        <w:tabs>
          <w:tab w:val="left" w:pos="10650"/>
          <w:tab w:val="right" w:pos="13958"/>
        </w:tabs>
        <w:spacing w:after="0" w:line="240" w:lineRule="auto"/>
        <w:jc w:val="right"/>
        <w:rPr>
          <w:rFonts w:cstheme="minorHAnsi"/>
          <w:sz w:val="28"/>
          <w:szCs w:val="28"/>
          <w:lang w:val="fr-FR"/>
        </w:rPr>
      </w:pPr>
      <w:r w:rsidRPr="004D59BC">
        <w:rPr>
          <w:rFonts w:cstheme="minorHAnsi"/>
          <w:b/>
          <w:sz w:val="28"/>
          <w:szCs w:val="28"/>
          <w:lang w:val="fr-FR"/>
        </w:rPr>
        <w:t>SC59/2022 Doc.11</w:t>
      </w:r>
    </w:p>
    <w:p w:rsidR="00BA2459" w:rsidRPr="004D59BC" w:rsidRDefault="00BA2459" w:rsidP="00BA2459">
      <w:pPr>
        <w:spacing w:after="0" w:line="240" w:lineRule="auto"/>
        <w:rPr>
          <w:rFonts w:cstheme="minorHAnsi"/>
          <w:b/>
          <w:sz w:val="28"/>
          <w:szCs w:val="28"/>
          <w:lang w:val="fr-FR"/>
        </w:rPr>
      </w:pPr>
    </w:p>
    <w:p w:rsidR="00E93C9D" w:rsidRPr="005D775C" w:rsidRDefault="005D775C" w:rsidP="00BA2459">
      <w:pPr>
        <w:spacing w:after="0" w:line="240" w:lineRule="auto"/>
        <w:jc w:val="center"/>
        <w:rPr>
          <w:rFonts w:cstheme="minorHAnsi"/>
          <w:b/>
          <w:sz w:val="28"/>
          <w:szCs w:val="28"/>
          <w:lang w:val="fr-FR"/>
        </w:rPr>
      </w:pPr>
      <w:r>
        <w:rPr>
          <w:rFonts w:cstheme="minorHAnsi"/>
          <w:b/>
          <w:sz w:val="28"/>
          <w:szCs w:val="28"/>
          <w:lang w:val="fr-FR"/>
        </w:rPr>
        <w:t>Rapport f</w:t>
      </w:r>
      <w:r w:rsidRPr="005D775C">
        <w:rPr>
          <w:rFonts w:cstheme="minorHAnsi"/>
          <w:b/>
          <w:sz w:val="28"/>
          <w:szCs w:val="28"/>
          <w:lang w:val="fr-FR"/>
        </w:rPr>
        <w:t xml:space="preserve">inal </w:t>
      </w:r>
      <w:r>
        <w:rPr>
          <w:rFonts w:cstheme="minorHAnsi"/>
          <w:b/>
          <w:sz w:val="28"/>
          <w:szCs w:val="28"/>
          <w:lang w:val="fr-FR"/>
        </w:rPr>
        <w:t xml:space="preserve">du </w:t>
      </w:r>
      <w:r w:rsidRPr="005D775C">
        <w:rPr>
          <w:rFonts w:cstheme="minorHAnsi"/>
          <w:b/>
          <w:sz w:val="28"/>
          <w:szCs w:val="28"/>
          <w:lang w:val="fr-FR"/>
        </w:rPr>
        <w:t>Groupe de travail sur l’efficacité</w:t>
      </w:r>
      <w:r w:rsidR="007C3E55" w:rsidRPr="005D775C">
        <w:rPr>
          <w:rFonts w:cstheme="minorHAnsi"/>
          <w:b/>
          <w:sz w:val="28"/>
          <w:szCs w:val="28"/>
          <w:lang w:val="fr-FR"/>
        </w:rPr>
        <w:t xml:space="preserve"> </w:t>
      </w:r>
      <w:r w:rsidR="00FB22AD">
        <w:rPr>
          <w:rFonts w:cstheme="minorHAnsi"/>
          <w:b/>
          <w:sz w:val="28"/>
          <w:szCs w:val="28"/>
          <w:lang w:val="fr-FR"/>
        </w:rPr>
        <w:t>(GTE)</w:t>
      </w:r>
    </w:p>
    <w:p w:rsidR="00E93C9D" w:rsidRPr="005D775C" w:rsidRDefault="00E93C9D">
      <w:pPr>
        <w:rPr>
          <w:rFonts w:ascii="Calibri" w:eastAsia="Calibri" w:hAnsi="Calibri"/>
          <w:color w:val="000000" w:themeColor="text1"/>
          <w:lang w:val="fr-FR"/>
        </w:rPr>
      </w:pPr>
    </w:p>
    <w:p w:rsidR="00E93C9D" w:rsidRDefault="008D70CD" w:rsidP="00BA2459">
      <w:pPr>
        <w:spacing w:after="0" w:line="240" w:lineRule="auto"/>
        <w:rPr>
          <w:rFonts w:ascii="Calibri" w:eastAsia="Calibri" w:hAnsi="Calibri"/>
          <w:color w:val="000000" w:themeColor="text1"/>
        </w:rPr>
      </w:pPr>
      <w:r>
        <w:rPr>
          <w:noProof/>
        </w:rPr>
      </w:r>
      <w:r>
        <w:rPr>
          <w:noProof/>
        </w:rPr>
        <w:pict>
          <v:shapetype id="_x0000_t202" coordsize="21600,21600" o:spt="202" path="m,l,21600r21600,l21600,xe">
            <v:stroke joinstyle="miter"/>
            <v:path gradientshapeok="t" o:connecttype="rect"/>
          </v:shapetype>
          <v:shape id="Text Box 1" o:spid="_x0000_s2050" type="#_x0000_t202" style="width:451.3pt;height:117.35pt;visibility:visible;mso-left-percent:-10001;mso-top-percent:-10001;mso-position-horizontal:absolute;mso-position-horizontal-relative:char;mso-position-vertical:absolute;mso-position-vertical-relative:line;mso-left-percent:-10001;mso-top-percent:-10001">
            <v:textbox>
              <w:txbxContent>
                <w:p w:rsidR="00BA2459" w:rsidRPr="005D775C" w:rsidRDefault="00BA2459" w:rsidP="00BA2459">
                  <w:pPr>
                    <w:spacing w:after="0" w:line="240" w:lineRule="auto"/>
                    <w:rPr>
                      <w:b/>
                      <w:bCs/>
                      <w:lang w:val="fr-FR"/>
                    </w:rPr>
                  </w:pPr>
                  <w:r w:rsidRPr="005D775C">
                    <w:rPr>
                      <w:b/>
                      <w:bCs/>
                      <w:lang w:val="fr-FR"/>
                    </w:rPr>
                    <w:t>Actions requ</w:t>
                  </w:r>
                  <w:r w:rsidR="005D775C" w:rsidRPr="005D775C">
                    <w:rPr>
                      <w:b/>
                      <w:bCs/>
                      <w:lang w:val="fr-FR"/>
                    </w:rPr>
                    <w:t>ises </w:t>
                  </w:r>
                  <w:r w:rsidRPr="005D775C">
                    <w:rPr>
                      <w:b/>
                      <w:bCs/>
                      <w:lang w:val="fr-FR"/>
                    </w:rPr>
                    <w:t xml:space="preserve">: </w:t>
                  </w:r>
                </w:p>
                <w:p w:rsidR="00BA2459" w:rsidRPr="005D775C" w:rsidRDefault="00BA2459" w:rsidP="00BA2459">
                  <w:pPr>
                    <w:pStyle w:val="ColorfulList-Accent11"/>
                    <w:ind w:left="0"/>
                    <w:rPr>
                      <w:lang w:val="fr-FR"/>
                    </w:rPr>
                  </w:pPr>
                </w:p>
                <w:p w:rsidR="00BA2459" w:rsidRPr="005D775C" w:rsidRDefault="000D443F" w:rsidP="00BA2459">
                  <w:pPr>
                    <w:spacing w:after="0" w:line="240" w:lineRule="auto"/>
                    <w:rPr>
                      <w:rFonts w:ascii="Calibri" w:eastAsia="Calibri" w:hAnsi="Calibri"/>
                      <w:color w:val="000000" w:themeColor="text1"/>
                      <w:lang w:val="fr-FR"/>
                    </w:rPr>
                  </w:pPr>
                  <w:r>
                    <w:rPr>
                      <w:rFonts w:ascii="Calibri" w:eastAsia="Calibri" w:hAnsi="Calibri"/>
                      <w:color w:val="000000" w:themeColor="text1"/>
                      <w:lang w:val="fr-FR"/>
                    </w:rPr>
                    <w:t>Le Comité permanent est invité</w:t>
                  </w:r>
                  <w:r w:rsidR="005D775C" w:rsidRPr="005D775C">
                    <w:rPr>
                      <w:rFonts w:ascii="Calibri" w:eastAsia="Calibri" w:hAnsi="Calibri"/>
                      <w:color w:val="000000" w:themeColor="text1"/>
                      <w:lang w:val="fr-FR"/>
                    </w:rPr>
                    <w:t xml:space="preserve"> à </w:t>
                  </w:r>
                  <w:r w:rsidR="00BA2459" w:rsidRPr="005D775C">
                    <w:rPr>
                      <w:rFonts w:ascii="Calibri" w:eastAsia="Calibri" w:hAnsi="Calibri"/>
                      <w:color w:val="000000" w:themeColor="text1"/>
                      <w:lang w:val="fr-FR"/>
                    </w:rPr>
                    <w:t xml:space="preserve">: </w:t>
                  </w:r>
                </w:p>
                <w:p w:rsidR="00BA2459" w:rsidRPr="005D775C" w:rsidRDefault="00BA2459" w:rsidP="00BA2459">
                  <w:pPr>
                    <w:spacing w:after="0" w:line="240" w:lineRule="auto"/>
                    <w:rPr>
                      <w:rFonts w:ascii="Calibri" w:eastAsia="Calibri" w:hAnsi="Calibri"/>
                      <w:color w:val="000000" w:themeColor="text1"/>
                      <w:lang w:val="fr-FR"/>
                    </w:rPr>
                  </w:pPr>
                </w:p>
                <w:p w:rsidR="00BA2459" w:rsidRPr="005D775C" w:rsidRDefault="005D775C" w:rsidP="00BA2459">
                  <w:pPr>
                    <w:pStyle w:val="ListParagraph"/>
                    <w:numPr>
                      <w:ilvl w:val="0"/>
                      <w:numId w:val="1"/>
                    </w:numPr>
                    <w:spacing w:after="0" w:line="240" w:lineRule="auto"/>
                    <w:rPr>
                      <w:rFonts w:eastAsiaTheme="minorEastAsia"/>
                      <w:color w:val="000000" w:themeColor="text1"/>
                      <w:lang w:val="fr-FR"/>
                    </w:rPr>
                  </w:pPr>
                  <w:r>
                    <w:rPr>
                      <w:rFonts w:ascii="Calibri" w:eastAsia="Calibri" w:hAnsi="Calibri"/>
                      <w:color w:val="000000" w:themeColor="text1"/>
                      <w:lang w:val="fr-FR"/>
                    </w:rPr>
                    <w:t xml:space="preserve">Prendre bonne note du présent rapport du Groupe de travail sur l’efficacité ; et </w:t>
                  </w:r>
                </w:p>
                <w:p w:rsidR="00BA2459" w:rsidRPr="005D775C" w:rsidRDefault="00BA2459" w:rsidP="00BA2459">
                  <w:pPr>
                    <w:spacing w:after="0" w:line="240" w:lineRule="auto"/>
                    <w:ind w:left="360"/>
                    <w:rPr>
                      <w:rFonts w:eastAsiaTheme="minorEastAsia"/>
                      <w:color w:val="000000" w:themeColor="text1"/>
                      <w:lang w:val="fr-FR"/>
                    </w:rPr>
                  </w:pPr>
                </w:p>
                <w:p w:rsidR="00BA2459" w:rsidRPr="005D775C" w:rsidRDefault="005D775C" w:rsidP="00BA2459">
                  <w:pPr>
                    <w:pStyle w:val="ListParagraph"/>
                    <w:numPr>
                      <w:ilvl w:val="0"/>
                      <w:numId w:val="1"/>
                    </w:numPr>
                    <w:spacing w:after="0" w:line="240" w:lineRule="auto"/>
                    <w:rPr>
                      <w:color w:val="000000" w:themeColor="text1"/>
                      <w:lang w:val="fr-FR"/>
                    </w:rPr>
                  </w:pPr>
                  <w:r w:rsidRPr="005D775C">
                    <w:rPr>
                      <w:rFonts w:ascii="Calibri" w:eastAsia="Calibri" w:hAnsi="Calibri"/>
                      <w:color w:val="000000" w:themeColor="text1"/>
                      <w:lang w:val="fr-FR"/>
                    </w:rPr>
                    <w:t>Examiner et approuver le projet de résolution joint pour examen à la 14</w:t>
                  </w:r>
                  <w:r w:rsidRPr="005D775C">
                    <w:rPr>
                      <w:rFonts w:ascii="Calibri" w:eastAsia="Calibri" w:hAnsi="Calibri"/>
                      <w:color w:val="000000" w:themeColor="text1"/>
                      <w:vertAlign w:val="superscript"/>
                      <w:lang w:val="fr-FR"/>
                    </w:rPr>
                    <w:t>e</w:t>
                  </w:r>
                  <w:r w:rsidRPr="005D775C">
                    <w:rPr>
                      <w:rFonts w:ascii="Calibri" w:eastAsia="Calibri" w:hAnsi="Calibri"/>
                      <w:color w:val="000000" w:themeColor="text1"/>
                      <w:lang w:val="fr-FR"/>
                    </w:rPr>
                    <w:t xml:space="preserve"> session de la Confé</w:t>
                  </w:r>
                  <w:r w:rsidR="00BA2459" w:rsidRPr="005D775C">
                    <w:rPr>
                      <w:rFonts w:ascii="Calibri" w:eastAsia="Calibri" w:hAnsi="Calibri"/>
                      <w:color w:val="000000" w:themeColor="text1"/>
                      <w:lang w:val="fr-FR"/>
                    </w:rPr>
                    <w:t xml:space="preserve">rence </w:t>
                  </w:r>
                  <w:r>
                    <w:rPr>
                      <w:rFonts w:ascii="Calibri" w:eastAsia="Calibri" w:hAnsi="Calibri"/>
                      <w:color w:val="000000" w:themeColor="text1"/>
                      <w:lang w:val="fr-FR"/>
                    </w:rPr>
                    <w:t>des</w:t>
                  </w:r>
                  <w:r w:rsidR="00BA2459" w:rsidRPr="005D775C">
                    <w:rPr>
                      <w:rFonts w:ascii="Calibri" w:eastAsia="Calibri" w:hAnsi="Calibri"/>
                      <w:color w:val="000000" w:themeColor="text1"/>
                      <w:lang w:val="fr-FR"/>
                    </w:rPr>
                    <w:t xml:space="preserve"> Parties.</w:t>
                  </w:r>
                </w:p>
              </w:txbxContent>
            </v:textbox>
            <w10:wrap type="none"/>
            <w10:anchorlock/>
          </v:shape>
        </w:pict>
      </w:r>
    </w:p>
    <w:p w:rsidR="00BA2459" w:rsidRDefault="00BA2459" w:rsidP="00BA2459">
      <w:pPr>
        <w:spacing w:after="0" w:line="240" w:lineRule="auto"/>
        <w:rPr>
          <w:rFonts w:ascii="Calibri" w:eastAsia="Calibri" w:hAnsi="Calibri"/>
          <w:b/>
          <w:color w:val="000000" w:themeColor="text1"/>
        </w:rPr>
      </w:pPr>
    </w:p>
    <w:p w:rsidR="00BA2459" w:rsidRDefault="00BA2459" w:rsidP="00BA2459">
      <w:pPr>
        <w:spacing w:after="0" w:line="240" w:lineRule="auto"/>
        <w:rPr>
          <w:rFonts w:ascii="Calibri" w:eastAsia="Calibri" w:hAnsi="Calibri"/>
          <w:b/>
          <w:color w:val="000000" w:themeColor="text1"/>
        </w:rPr>
      </w:pPr>
    </w:p>
    <w:p w:rsidR="00E93C9D" w:rsidRPr="004D59BC" w:rsidRDefault="005D775C" w:rsidP="00BA2459">
      <w:pPr>
        <w:spacing w:after="0" w:line="240" w:lineRule="auto"/>
        <w:rPr>
          <w:rFonts w:ascii="Calibri" w:eastAsia="Calibri" w:hAnsi="Calibri"/>
          <w:color w:val="000000" w:themeColor="text1"/>
          <w:lang w:val="fr-FR"/>
        </w:rPr>
      </w:pPr>
      <w:r w:rsidRPr="004D59BC">
        <w:rPr>
          <w:rFonts w:ascii="Calibri" w:eastAsia="Calibri" w:hAnsi="Calibri"/>
          <w:b/>
          <w:color w:val="000000" w:themeColor="text1"/>
          <w:lang w:val="fr-FR"/>
        </w:rPr>
        <w:t>Historique</w:t>
      </w:r>
      <w:r w:rsidR="007C3E55" w:rsidRPr="004D59BC">
        <w:rPr>
          <w:rFonts w:ascii="Calibri" w:eastAsia="Calibri" w:hAnsi="Calibri"/>
          <w:b/>
          <w:color w:val="000000" w:themeColor="text1"/>
          <w:lang w:val="fr-FR"/>
        </w:rPr>
        <w:t xml:space="preserve"> </w:t>
      </w:r>
    </w:p>
    <w:p w:rsidR="00BA2459" w:rsidRPr="004D59BC" w:rsidRDefault="00BA2459" w:rsidP="00BA2459">
      <w:pPr>
        <w:spacing w:after="0" w:line="240" w:lineRule="auto"/>
        <w:rPr>
          <w:rFonts w:eastAsiaTheme="minorEastAsia"/>
          <w:color w:val="000000" w:themeColor="text1"/>
          <w:lang w:val="fr-FR"/>
        </w:rPr>
      </w:pPr>
    </w:p>
    <w:p w:rsidR="005D775C" w:rsidRPr="005D775C" w:rsidRDefault="00BA2459" w:rsidP="00BA2459">
      <w:pPr>
        <w:spacing w:after="0" w:line="240" w:lineRule="auto"/>
        <w:ind w:left="426" w:hanging="426"/>
        <w:rPr>
          <w:rFonts w:ascii="Calibri" w:eastAsia="Calibri" w:hAnsi="Calibri"/>
          <w:color w:val="000000" w:themeColor="text1"/>
          <w:lang w:val="fr-FR"/>
        </w:rPr>
      </w:pPr>
      <w:r w:rsidRPr="004D59BC">
        <w:rPr>
          <w:rFonts w:ascii="Calibri" w:eastAsia="Calibri" w:hAnsi="Calibri"/>
          <w:color w:val="000000" w:themeColor="text1"/>
          <w:lang w:val="fr-FR"/>
        </w:rPr>
        <w:t>1.</w:t>
      </w:r>
      <w:r w:rsidRPr="004D59BC">
        <w:rPr>
          <w:rFonts w:ascii="Calibri" w:eastAsia="Calibri" w:hAnsi="Calibri"/>
          <w:color w:val="000000" w:themeColor="text1"/>
          <w:lang w:val="fr-FR"/>
        </w:rPr>
        <w:tab/>
      </w:r>
      <w:r w:rsidR="005D775C" w:rsidRPr="005D775C">
        <w:rPr>
          <w:rFonts w:ascii="Calibri" w:eastAsia="Calibri" w:hAnsi="Calibri" w:cs="Calibri"/>
          <w:color w:val="000000" w:themeColor="text1"/>
          <w:lang w:val="fr-FR"/>
        </w:rPr>
        <w:t>À</w:t>
      </w:r>
      <w:r w:rsidR="005D775C" w:rsidRPr="005D775C">
        <w:rPr>
          <w:rFonts w:ascii="Calibri" w:eastAsia="Calibri" w:hAnsi="Calibri"/>
          <w:color w:val="000000" w:themeColor="text1"/>
          <w:lang w:val="fr-FR"/>
        </w:rPr>
        <w:t xml:space="preserve"> sa 13</w:t>
      </w:r>
      <w:r w:rsidR="005D775C" w:rsidRPr="00462003">
        <w:rPr>
          <w:rFonts w:ascii="Calibri" w:eastAsia="Calibri" w:hAnsi="Calibri"/>
          <w:color w:val="000000" w:themeColor="text1"/>
          <w:vertAlign w:val="superscript"/>
          <w:lang w:val="fr-FR"/>
        </w:rPr>
        <w:t>e</w:t>
      </w:r>
      <w:r w:rsidR="005D775C" w:rsidRPr="005D775C">
        <w:rPr>
          <w:rFonts w:ascii="Calibri" w:eastAsia="Calibri" w:hAnsi="Calibri"/>
          <w:color w:val="000000" w:themeColor="text1"/>
          <w:lang w:val="fr-FR"/>
        </w:rPr>
        <w:t xml:space="preserve"> session (COP13), </w:t>
      </w:r>
      <w:r w:rsidR="00462003">
        <w:rPr>
          <w:rFonts w:ascii="Calibri" w:eastAsia="Calibri" w:hAnsi="Calibri"/>
          <w:color w:val="000000" w:themeColor="text1"/>
          <w:lang w:val="fr-FR"/>
        </w:rPr>
        <w:t>au paragraphe 14 de la résolution XIII.3</w:t>
      </w:r>
      <w:r w:rsidR="004D59BC">
        <w:rPr>
          <w:rFonts w:ascii="Calibri" w:eastAsia="Calibri" w:hAnsi="Calibri"/>
          <w:color w:val="000000" w:themeColor="text1"/>
          <w:lang w:val="fr-FR"/>
        </w:rPr>
        <w:t>,</w:t>
      </w:r>
      <w:r w:rsidR="00FB22AD">
        <w:rPr>
          <w:rFonts w:ascii="Calibri" w:eastAsia="Calibri" w:hAnsi="Calibri"/>
          <w:color w:val="000000" w:themeColor="text1"/>
          <w:lang w:val="fr-FR"/>
        </w:rPr>
        <w:t xml:space="preserve"> </w:t>
      </w:r>
      <w:r w:rsidR="005D775C" w:rsidRPr="005D775C">
        <w:rPr>
          <w:rFonts w:ascii="Calibri" w:eastAsia="Calibri" w:hAnsi="Calibri"/>
          <w:color w:val="000000" w:themeColor="text1"/>
          <w:lang w:val="fr-FR"/>
        </w:rPr>
        <w:t>la Confér</w:t>
      </w:r>
      <w:r w:rsidR="00462003">
        <w:rPr>
          <w:rFonts w:ascii="Calibri" w:eastAsia="Calibri" w:hAnsi="Calibri"/>
          <w:color w:val="000000" w:themeColor="text1"/>
          <w:lang w:val="fr-FR"/>
        </w:rPr>
        <w:t>e</w:t>
      </w:r>
      <w:r w:rsidR="004D59BC">
        <w:rPr>
          <w:rFonts w:ascii="Calibri" w:eastAsia="Calibri" w:hAnsi="Calibri"/>
          <w:color w:val="000000" w:themeColor="text1"/>
          <w:lang w:val="fr-FR"/>
        </w:rPr>
        <w:t>nce des Parties contractantes demande</w:t>
      </w:r>
      <w:r w:rsidR="00462003">
        <w:rPr>
          <w:rFonts w:ascii="Calibri" w:eastAsia="Calibri" w:hAnsi="Calibri"/>
          <w:color w:val="000000" w:themeColor="text1"/>
          <w:lang w:val="fr-FR"/>
        </w:rPr>
        <w:t xml:space="preserve"> au </w:t>
      </w:r>
      <w:r w:rsidR="00FB22AD">
        <w:rPr>
          <w:rFonts w:ascii="Calibri" w:eastAsia="Calibri" w:hAnsi="Calibri"/>
          <w:color w:val="000000" w:themeColor="text1"/>
          <w:lang w:val="fr-FR"/>
        </w:rPr>
        <w:t>GTE</w:t>
      </w:r>
      <w:r w:rsidR="00462003">
        <w:rPr>
          <w:rFonts w:ascii="Calibri" w:eastAsia="Calibri" w:hAnsi="Calibri"/>
          <w:color w:val="000000" w:themeColor="text1"/>
          <w:lang w:val="fr-FR"/>
        </w:rPr>
        <w:t xml:space="preserve"> d’examiner</w:t>
      </w:r>
      <w:r w:rsidR="00B31495">
        <w:rPr>
          <w:rFonts w:ascii="Calibri" w:eastAsia="Calibri" w:hAnsi="Calibri"/>
          <w:color w:val="000000" w:themeColor="text1"/>
          <w:lang w:val="fr-FR"/>
        </w:rPr>
        <w:t xml:space="preserve"> la structure de gouvernance de la Convention avec l’assistance d’un consultant indépendant, aux fins de : </w:t>
      </w:r>
    </w:p>
    <w:p w:rsidR="00380D40" w:rsidRPr="00FB22AD" w:rsidRDefault="00380D40" w:rsidP="00380D40">
      <w:pPr>
        <w:spacing w:after="0" w:line="240" w:lineRule="auto"/>
        <w:ind w:left="851" w:hanging="425"/>
        <w:rPr>
          <w:rFonts w:ascii="Calibri" w:eastAsia="Calibri" w:hAnsi="Calibri"/>
          <w:color w:val="000000" w:themeColor="text1"/>
          <w:lang w:val="fr-FR"/>
        </w:rPr>
      </w:pPr>
    </w:p>
    <w:p w:rsidR="00E93C9D" w:rsidRPr="00B31495" w:rsidRDefault="00380D40" w:rsidP="00380D40">
      <w:pPr>
        <w:spacing w:after="0" w:line="240" w:lineRule="auto"/>
        <w:ind w:left="851" w:hanging="425"/>
        <w:rPr>
          <w:rFonts w:eastAsia="Calibri" w:cstheme="minorHAnsi"/>
          <w:color w:val="000000" w:themeColor="text1"/>
          <w:szCs w:val="22"/>
          <w:lang w:val="fr-FR"/>
        </w:rPr>
      </w:pPr>
      <w:r w:rsidRPr="00B31495">
        <w:rPr>
          <w:rFonts w:eastAsia="Calibri" w:cstheme="minorHAnsi"/>
          <w:color w:val="000000" w:themeColor="text1"/>
          <w:szCs w:val="22"/>
          <w:lang w:val="fr-FR"/>
        </w:rPr>
        <w:t>a.</w:t>
      </w:r>
      <w:r w:rsidRPr="00B31495">
        <w:rPr>
          <w:rFonts w:eastAsia="Calibri" w:cstheme="minorHAnsi"/>
          <w:color w:val="000000" w:themeColor="text1"/>
          <w:szCs w:val="22"/>
          <w:lang w:val="fr-FR"/>
        </w:rPr>
        <w:tab/>
      </w:r>
      <w:r w:rsidR="00B31495" w:rsidRPr="00B31495">
        <w:rPr>
          <w:rStyle w:val="markedcontent"/>
          <w:rFonts w:cstheme="minorHAnsi"/>
          <w:szCs w:val="22"/>
          <w:lang w:val="fr-FR"/>
        </w:rPr>
        <w:t>recommander des révisions (le cas échéant) qui renforcent encore l’efficacité, y compris la rentabilité, et l’efficience de la Convention, afin de réduire les charges administratives et d’accélérer la réalisation de la mission de la Convention de Ramsar</w:t>
      </w:r>
      <w:r w:rsidR="00F25196">
        <w:rPr>
          <w:rStyle w:val="markedcontent"/>
          <w:rFonts w:cstheme="minorHAnsi"/>
          <w:szCs w:val="22"/>
          <w:lang w:val="fr-FR"/>
        </w:rPr>
        <w:t> </w:t>
      </w:r>
      <w:r w:rsidR="00B31495" w:rsidRPr="00B31495">
        <w:rPr>
          <w:rStyle w:val="markedcontent"/>
          <w:rFonts w:cstheme="minorHAnsi"/>
          <w:szCs w:val="22"/>
          <w:lang w:val="fr-FR"/>
        </w:rPr>
        <w:t>; et</w:t>
      </w:r>
      <w:r w:rsidR="007C3E55" w:rsidRPr="00B31495">
        <w:rPr>
          <w:rFonts w:eastAsia="Calibri" w:cstheme="minorHAnsi"/>
          <w:color w:val="000000" w:themeColor="text1"/>
          <w:szCs w:val="22"/>
          <w:lang w:val="fr-FR"/>
        </w:rPr>
        <w:t>,</w:t>
      </w:r>
    </w:p>
    <w:p w:rsidR="00380D40" w:rsidRPr="00B31495" w:rsidRDefault="00380D40" w:rsidP="00380D40">
      <w:pPr>
        <w:spacing w:after="0" w:line="240" w:lineRule="auto"/>
        <w:ind w:left="851" w:hanging="425"/>
        <w:rPr>
          <w:rFonts w:eastAsia="Calibri" w:cstheme="minorHAnsi"/>
          <w:color w:val="000000" w:themeColor="text1"/>
          <w:szCs w:val="22"/>
          <w:lang w:val="fr-FR"/>
        </w:rPr>
      </w:pPr>
    </w:p>
    <w:p w:rsidR="00E93C9D" w:rsidRPr="00B31495" w:rsidRDefault="00380D40" w:rsidP="00380D40">
      <w:pPr>
        <w:spacing w:after="0" w:line="240" w:lineRule="auto"/>
        <w:ind w:left="851" w:hanging="425"/>
        <w:rPr>
          <w:rFonts w:eastAsiaTheme="minorEastAsia" w:cstheme="minorHAnsi"/>
          <w:color w:val="000000" w:themeColor="text1"/>
          <w:szCs w:val="22"/>
          <w:lang w:val="fr-FR"/>
        </w:rPr>
      </w:pPr>
      <w:r w:rsidRPr="00B31495">
        <w:rPr>
          <w:rFonts w:eastAsia="Calibri" w:cstheme="minorHAnsi"/>
          <w:color w:val="000000" w:themeColor="text1"/>
          <w:szCs w:val="22"/>
          <w:lang w:val="fr-FR"/>
        </w:rPr>
        <w:t>b.</w:t>
      </w:r>
      <w:r w:rsidRPr="00B31495">
        <w:rPr>
          <w:rFonts w:eastAsia="Calibri" w:cstheme="minorHAnsi"/>
          <w:color w:val="000000" w:themeColor="text1"/>
          <w:szCs w:val="22"/>
          <w:lang w:val="fr-FR"/>
        </w:rPr>
        <w:tab/>
      </w:r>
      <w:r w:rsidR="00B31495" w:rsidRPr="00B31495">
        <w:rPr>
          <w:rStyle w:val="markedcontent"/>
          <w:rFonts w:cstheme="minorHAnsi"/>
          <w:szCs w:val="22"/>
          <w:lang w:val="fr-FR"/>
        </w:rPr>
        <w:t>proposer un processus d’application de ses recommandations.</w:t>
      </w:r>
    </w:p>
    <w:p w:rsidR="00380D40" w:rsidRPr="00B31495" w:rsidRDefault="00380D40" w:rsidP="00380D40">
      <w:pPr>
        <w:spacing w:after="0" w:line="240" w:lineRule="auto"/>
        <w:ind w:left="426" w:hanging="426"/>
        <w:rPr>
          <w:rFonts w:ascii="Calibri" w:eastAsia="Calibri" w:hAnsi="Calibri"/>
          <w:color w:val="000000" w:themeColor="text1"/>
          <w:lang w:val="fr-FR"/>
        </w:rPr>
      </w:pPr>
    </w:p>
    <w:p w:rsidR="00B31495" w:rsidRPr="00B31495" w:rsidRDefault="00380D40" w:rsidP="00380D40">
      <w:pPr>
        <w:spacing w:after="0" w:line="240" w:lineRule="auto"/>
        <w:ind w:left="426" w:hanging="426"/>
        <w:rPr>
          <w:rFonts w:ascii="Calibri" w:eastAsia="Calibri" w:hAnsi="Calibri"/>
          <w:color w:val="000000" w:themeColor="text1"/>
          <w:lang w:val="fr-FR"/>
        </w:rPr>
      </w:pPr>
      <w:r w:rsidRPr="00B31495">
        <w:rPr>
          <w:rFonts w:ascii="Calibri" w:eastAsia="Calibri" w:hAnsi="Calibri"/>
          <w:color w:val="000000" w:themeColor="text1"/>
          <w:lang w:val="fr-FR"/>
        </w:rPr>
        <w:t>2.</w:t>
      </w:r>
      <w:r w:rsidRPr="00B31495">
        <w:rPr>
          <w:rFonts w:ascii="Calibri" w:eastAsia="Calibri" w:hAnsi="Calibri"/>
          <w:color w:val="000000" w:themeColor="text1"/>
          <w:lang w:val="fr-FR"/>
        </w:rPr>
        <w:tab/>
      </w:r>
      <w:r w:rsidR="00B31495" w:rsidRPr="00B31495">
        <w:rPr>
          <w:rFonts w:ascii="Calibri" w:eastAsia="Calibri" w:hAnsi="Calibri"/>
          <w:color w:val="000000" w:themeColor="text1"/>
          <w:lang w:val="fr-FR"/>
        </w:rPr>
        <w:t>Conformémen</w:t>
      </w:r>
      <w:r w:rsidR="00B31495">
        <w:rPr>
          <w:rFonts w:ascii="Calibri" w:eastAsia="Calibri" w:hAnsi="Calibri"/>
          <w:color w:val="000000" w:themeColor="text1"/>
          <w:lang w:val="fr-FR"/>
        </w:rPr>
        <w:t xml:space="preserve">t </w:t>
      </w:r>
      <w:r w:rsidR="004D59BC">
        <w:rPr>
          <w:rFonts w:ascii="Calibri" w:eastAsia="Calibri" w:hAnsi="Calibri"/>
          <w:color w:val="000000" w:themeColor="text1"/>
          <w:lang w:val="fr-FR"/>
        </w:rPr>
        <w:t>aux dispositions de</w:t>
      </w:r>
      <w:r w:rsidR="00B31495">
        <w:rPr>
          <w:rFonts w:ascii="Calibri" w:eastAsia="Calibri" w:hAnsi="Calibri"/>
          <w:color w:val="000000" w:themeColor="text1"/>
          <w:lang w:val="fr-FR"/>
        </w:rPr>
        <w:t xml:space="preserve"> la Résolution XIII.3, le </w:t>
      </w:r>
      <w:r w:rsidR="00FB22AD">
        <w:rPr>
          <w:rFonts w:ascii="Calibri" w:eastAsia="Calibri" w:hAnsi="Calibri"/>
          <w:color w:val="000000" w:themeColor="text1"/>
          <w:lang w:val="fr-FR"/>
        </w:rPr>
        <w:t>GTE</w:t>
      </w:r>
      <w:r w:rsidR="00B31495" w:rsidRPr="00B31495">
        <w:rPr>
          <w:rFonts w:ascii="Calibri" w:eastAsia="Calibri" w:hAnsi="Calibri"/>
          <w:color w:val="000000" w:themeColor="text1"/>
          <w:lang w:val="fr-FR"/>
        </w:rPr>
        <w:t xml:space="preserve"> a été prié de présente</w:t>
      </w:r>
      <w:r w:rsidR="00B31495">
        <w:rPr>
          <w:rFonts w:ascii="Calibri" w:eastAsia="Calibri" w:hAnsi="Calibri"/>
          <w:color w:val="000000" w:themeColor="text1"/>
          <w:lang w:val="fr-FR"/>
        </w:rPr>
        <w:t>r ses recommandations finales à la</w:t>
      </w:r>
      <w:r w:rsidR="00B31495" w:rsidRPr="00B31495">
        <w:rPr>
          <w:rFonts w:ascii="Calibri" w:eastAsia="Calibri" w:hAnsi="Calibri"/>
          <w:color w:val="000000" w:themeColor="text1"/>
          <w:lang w:val="fr-FR"/>
        </w:rPr>
        <w:t xml:space="preserve"> 59</w:t>
      </w:r>
      <w:r w:rsidR="00B31495" w:rsidRPr="00B31495">
        <w:rPr>
          <w:rFonts w:ascii="Calibri" w:eastAsia="Calibri" w:hAnsi="Calibri"/>
          <w:color w:val="000000" w:themeColor="text1"/>
          <w:vertAlign w:val="superscript"/>
          <w:lang w:val="fr-FR"/>
        </w:rPr>
        <w:t>e</w:t>
      </w:r>
      <w:r w:rsidR="00B31495" w:rsidRPr="00B31495">
        <w:rPr>
          <w:rFonts w:ascii="Calibri" w:eastAsia="Calibri" w:hAnsi="Calibri"/>
          <w:color w:val="000000" w:themeColor="text1"/>
          <w:lang w:val="fr-FR"/>
        </w:rPr>
        <w:t xml:space="preserve"> </w:t>
      </w:r>
      <w:r w:rsidR="004D59BC">
        <w:rPr>
          <w:rFonts w:ascii="Calibri" w:eastAsia="Calibri" w:hAnsi="Calibri"/>
          <w:color w:val="000000" w:themeColor="text1"/>
          <w:lang w:val="fr-FR"/>
        </w:rPr>
        <w:t>réunion</w:t>
      </w:r>
      <w:r w:rsidR="00B31495">
        <w:rPr>
          <w:rFonts w:ascii="Calibri" w:eastAsia="Calibri" w:hAnsi="Calibri"/>
          <w:color w:val="000000" w:themeColor="text1"/>
          <w:lang w:val="fr-FR"/>
        </w:rPr>
        <w:t xml:space="preserve"> du Comité permanent (SC59) ; celles-ci devant</w:t>
      </w:r>
      <w:r w:rsidR="00B31495" w:rsidRPr="00B31495">
        <w:rPr>
          <w:rFonts w:ascii="Calibri" w:eastAsia="Calibri" w:hAnsi="Calibri"/>
          <w:color w:val="000000" w:themeColor="text1"/>
          <w:lang w:val="fr-FR"/>
        </w:rPr>
        <w:t xml:space="preserve"> inclure un projet de résolution pour examen par le Comité permanent. </w:t>
      </w:r>
      <w:r w:rsidR="000D443F">
        <w:rPr>
          <w:rFonts w:ascii="Calibri" w:eastAsia="Calibri" w:hAnsi="Calibri"/>
          <w:color w:val="000000" w:themeColor="text1"/>
          <w:lang w:val="fr-FR"/>
        </w:rPr>
        <w:t>Il est également noté dans la résolution que</w:t>
      </w:r>
      <w:r w:rsidR="00FB22AD">
        <w:rPr>
          <w:rFonts w:ascii="Calibri" w:eastAsia="Calibri" w:hAnsi="Calibri"/>
          <w:color w:val="000000" w:themeColor="text1"/>
          <w:lang w:val="fr-FR"/>
        </w:rPr>
        <w:t xml:space="preserve"> le g</w:t>
      </w:r>
      <w:r w:rsidR="00B31495" w:rsidRPr="00B31495">
        <w:rPr>
          <w:rFonts w:ascii="Calibri" w:eastAsia="Calibri" w:hAnsi="Calibri"/>
          <w:color w:val="000000" w:themeColor="text1"/>
          <w:lang w:val="fr-FR"/>
        </w:rPr>
        <w:t xml:space="preserve">roupe sera </w:t>
      </w:r>
      <w:r w:rsidR="00FB22AD">
        <w:rPr>
          <w:rFonts w:ascii="Calibri" w:eastAsia="Calibri" w:hAnsi="Calibri"/>
          <w:color w:val="000000" w:themeColor="text1"/>
          <w:lang w:val="fr-FR"/>
        </w:rPr>
        <w:t>supprimé</w:t>
      </w:r>
      <w:r w:rsidR="00B31495" w:rsidRPr="00B31495">
        <w:rPr>
          <w:rFonts w:ascii="Calibri" w:eastAsia="Calibri" w:hAnsi="Calibri"/>
          <w:color w:val="000000" w:themeColor="text1"/>
          <w:lang w:val="fr-FR"/>
        </w:rPr>
        <w:t xml:space="preserve">, sauf décision contraire </w:t>
      </w:r>
      <w:r w:rsidR="00FB22AD">
        <w:rPr>
          <w:rFonts w:ascii="Calibri" w:eastAsia="Calibri" w:hAnsi="Calibri"/>
          <w:color w:val="000000" w:themeColor="text1"/>
          <w:lang w:val="fr-FR"/>
        </w:rPr>
        <w:t xml:space="preserve">de </w:t>
      </w:r>
      <w:r w:rsidR="00B31495" w:rsidRPr="00B31495">
        <w:rPr>
          <w:rFonts w:ascii="Calibri" w:eastAsia="Calibri" w:hAnsi="Calibri"/>
          <w:color w:val="000000" w:themeColor="text1"/>
          <w:lang w:val="fr-FR"/>
        </w:rPr>
        <w:t>la 14</w:t>
      </w:r>
      <w:r w:rsidR="00B31495" w:rsidRPr="004D59BC">
        <w:rPr>
          <w:rFonts w:ascii="Calibri" w:eastAsia="Calibri" w:hAnsi="Calibri"/>
          <w:color w:val="000000" w:themeColor="text1"/>
          <w:vertAlign w:val="superscript"/>
          <w:lang w:val="fr-FR"/>
        </w:rPr>
        <w:t>e</w:t>
      </w:r>
      <w:r w:rsidR="00B31495" w:rsidRPr="00B31495">
        <w:rPr>
          <w:rFonts w:ascii="Calibri" w:eastAsia="Calibri" w:hAnsi="Calibri"/>
          <w:color w:val="000000" w:themeColor="text1"/>
          <w:lang w:val="fr-FR"/>
        </w:rPr>
        <w:t xml:space="preserve"> </w:t>
      </w:r>
      <w:r w:rsidR="00FB22AD">
        <w:rPr>
          <w:rFonts w:ascii="Calibri" w:eastAsia="Calibri" w:hAnsi="Calibri"/>
          <w:color w:val="000000" w:themeColor="text1"/>
          <w:lang w:val="fr-FR"/>
        </w:rPr>
        <w:t>session</w:t>
      </w:r>
      <w:r w:rsidR="00B31495" w:rsidRPr="00B31495">
        <w:rPr>
          <w:rFonts w:ascii="Calibri" w:eastAsia="Calibri" w:hAnsi="Calibri"/>
          <w:color w:val="000000" w:themeColor="text1"/>
          <w:lang w:val="fr-FR"/>
        </w:rPr>
        <w:t xml:space="preserve"> de la Conférence des Parties contractantes.</w:t>
      </w:r>
    </w:p>
    <w:p w:rsidR="00380D40" w:rsidRPr="00FB22AD" w:rsidRDefault="00380D40" w:rsidP="00380D40">
      <w:pPr>
        <w:spacing w:after="0" w:line="240" w:lineRule="auto"/>
        <w:ind w:left="426" w:hanging="426"/>
        <w:rPr>
          <w:rFonts w:ascii="Calibri" w:eastAsia="Calibri" w:hAnsi="Calibri"/>
          <w:color w:val="000000" w:themeColor="text1"/>
          <w:lang w:val="fr-FR"/>
        </w:rPr>
      </w:pPr>
    </w:p>
    <w:p w:rsidR="00FB22AD" w:rsidRPr="004D59BC" w:rsidRDefault="00380D40" w:rsidP="00380D40">
      <w:pPr>
        <w:spacing w:after="0" w:line="240" w:lineRule="auto"/>
        <w:ind w:left="426" w:hanging="426"/>
        <w:rPr>
          <w:rFonts w:ascii="Calibri" w:eastAsia="Calibri" w:hAnsi="Calibri"/>
          <w:color w:val="000000" w:themeColor="text1"/>
          <w:lang w:val="fr-FR"/>
        </w:rPr>
      </w:pPr>
      <w:r w:rsidRPr="00FB22AD">
        <w:rPr>
          <w:rFonts w:ascii="Calibri" w:eastAsia="Calibri" w:hAnsi="Calibri"/>
          <w:color w:val="000000" w:themeColor="text1"/>
          <w:lang w:val="fr-FR"/>
        </w:rPr>
        <w:t>3.</w:t>
      </w:r>
      <w:r w:rsidRPr="00FB22AD">
        <w:rPr>
          <w:rFonts w:ascii="Calibri" w:eastAsia="Calibri" w:hAnsi="Calibri"/>
          <w:color w:val="000000" w:themeColor="text1"/>
          <w:lang w:val="fr-FR"/>
        </w:rPr>
        <w:tab/>
      </w:r>
      <w:r w:rsidR="00FB22AD" w:rsidRPr="00FB22AD">
        <w:rPr>
          <w:rFonts w:ascii="Calibri" w:eastAsia="Calibri" w:hAnsi="Calibri"/>
          <w:color w:val="000000" w:themeColor="text1"/>
          <w:lang w:val="fr-FR"/>
        </w:rPr>
        <w:t xml:space="preserve">Lors de la </w:t>
      </w:r>
      <w:r w:rsidR="000B5E43">
        <w:rPr>
          <w:rFonts w:ascii="Calibri" w:eastAsia="Calibri" w:hAnsi="Calibri"/>
          <w:color w:val="000000" w:themeColor="text1"/>
          <w:lang w:val="fr-FR"/>
        </w:rPr>
        <w:t>première partie de la SC59, le p</w:t>
      </w:r>
      <w:r w:rsidR="00FB22AD" w:rsidRPr="00FB22AD">
        <w:rPr>
          <w:rFonts w:ascii="Calibri" w:eastAsia="Calibri" w:hAnsi="Calibri"/>
          <w:color w:val="000000" w:themeColor="text1"/>
          <w:lang w:val="fr-FR"/>
        </w:rPr>
        <w:t xml:space="preserve">résident du </w:t>
      </w:r>
      <w:r w:rsidR="00FB22AD">
        <w:rPr>
          <w:rFonts w:ascii="Calibri" w:eastAsia="Calibri" w:hAnsi="Calibri"/>
          <w:color w:val="000000" w:themeColor="text1"/>
          <w:lang w:val="fr-FR"/>
        </w:rPr>
        <w:t>GTE</w:t>
      </w:r>
      <w:r w:rsidR="00FB22AD" w:rsidRPr="00FB22AD">
        <w:rPr>
          <w:rFonts w:ascii="Calibri" w:eastAsia="Calibri" w:hAnsi="Calibri"/>
          <w:color w:val="000000" w:themeColor="text1"/>
          <w:lang w:val="fr-FR"/>
        </w:rPr>
        <w:t xml:space="preserve"> a </w:t>
      </w:r>
      <w:r w:rsidR="000D443F">
        <w:rPr>
          <w:rFonts w:ascii="Calibri" w:eastAsia="Calibri" w:hAnsi="Calibri"/>
          <w:color w:val="000000" w:themeColor="text1"/>
          <w:lang w:val="fr-FR"/>
        </w:rPr>
        <w:t>soumis</w:t>
      </w:r>
      <w:r w:rsidR="00FB22AD" w:rsidRPr="00FB22AD">
        <w:rPr>
          <w:rFonts w:ascii="Calibri" w:eastAsia="Calibri" w:hAnsi="Calibri"/>
          <w:color w:val="000000" w:themeColor="text1"/>
          <w:lang w:val="fr-FR"/>
        </w:rPr>
        <w:t xml:space="preserve"> </w:t>
      </w:r>
      <w:r w:rsidR="00FB22AD">
        <w:rPr>
          <w:rFonts w:ascii="Calibri" w:eastAsia="Calibri" w:hAnsi="Calibri"/>
          <w:color w:val="000000" w:themeColor="text1"/>
          <w:lang w:val="fr-FR"/>
        </w:rPr>
        <w:t xml:space="preserve">son rapport </w:t>
      </w:r>
      <w:r w:rsidR="00FB22AD" w:rsidRPr="00FB22AD">
        <w:rPr>
          <w:rFonts w:ascii="Calibri" w:eastAsia="Calibri" w:hAnsi="Calibri"/>
          <w:color w:val="000000" w:themeColor="text1"/>
          <w:lang w:val="fr-FR"/>
        </w:rPr>
        <w:t>et expliqué que le rapport final serait présenté à la SC</w:t>
      </w:r>
      <w:r w:rsidR="00FB22AD">
        <w:rPr>
          <w:rFonts w:ascii="Calibri" w:eastAsia="Calibri" w:hAnsi="Calibri"/>
          <w:color w:val="000000" w:themeColor="text1"/>
          <w:lang w:val="fr-FR"/>
        </w:rPr>
        <w:t>59.2. Le g</w:t>
      </w:r>
      <w:r w:rsidR="00FB22AD" w:rsidRPr="00FB22AD">
        <w:rPr>
          <w:rFonts w:ascii="Calibri" w:eastAsia="Calibri" w:hAnsi="Calibri"/>
          <w:color w:val="000000" w:themeColor="text1"/>
          <w:lang w:val="fr-FR"/>
        </w:rPr>
        <w:t xml:space="preserve">roupe de travail a été encouragé à poursuivre ses travaux et à </w:t>
      </w:r>
      <w:r w:rsidR="00FB22AD">
        <w:rPr>
          <w:rFonts w:ascii="Calibri" w:eastAsia="Calibri" w:hAnsi="Calibri"/>
          <w:color w:val="000000" w:themeColor="text1"/>
          <w:lang w:val="fr-FR"/>
        </w:rPr>
        <w:t>étudier</w:t>
      </w:r>
      <w:r w:rsidR="00FB22AD" w:rsidRPr="00FB22AD">
        <w:rPr>
          <w:rFonts w:ascii="Calibri" w:eastAsia="Calibri" w:hAnsi="Calibri"/>
          <w:color w:val="000000" w:themeColor="text1"/>
          <w:lang w:val="fr-FR"/>
        </w:rPr>
        <w:t xml:space="preserve"> toutes les options possibles </w:t>
      </w:r>
      <w:r w:rsidR="00FB22AD">
        <w:rPr>
          <w:rFonts w:ascii="Calibri" w:eastAsia="Calibri" w:hAnsi="Calibri"/>
          <w:color w:val="000000" w:themeColor="text1"/>
          <w:lang w:val="fr-FR"/>
        </w:rPr>
        <w:t>dans ses</w:t>
      </w:r>
      <w:r w:rsidR="00FB22AD" w:rsidRPr="00FB22AD">
        <w:rPr>
          <w:rFonts w:ascii="Calibri" w:eastAsia="Calibri" w:hAnsi="Calibri"/>
          <w:color w:val="000000" w:themeColor="text1"/>
          <w:lang w:val="fr-FR"/>
        </w:rPr>
        <w:t xml:space="preserve"> recommandations </w:t>
      </w:r>
      <w:r w:rsidR="000B5E43">
        <w:rPr>
          <w:rFonts w:ascii="Calibri" w:eastAsia="Calibri" w:hAnsi="Calibri"/>
          <w:color w:val="000000" w:themeColor="text1"/>
          <w:lang w:val="fr-FR"/>
        </w:rPr>
        <w:t>visant à</w:t>
      </w:r>
      <w:r w:rsidR="00FB22AD" w:rsidRPr="00FB22AD">
        <w:rPr>
          <w:rFonts w:ascii="Calibri" w:eastAsia="Calibri" w:hAnsi="Calibri"/>
          <w:color w:val="000000" w:themeColor="text1"/>
          <w:lang w:val="fr-FR"/>
        </w:rPr>
        <w:t xml:space="preserve"> renforcer l’efficacité de la Convention. </w:t>
      </w:r>
      <w:r w:rsidR="00FB22AD" w:rsidRPr="004D59BC">
        <w:rPr>
          <w:rFonts w:ascii="Calibri" w:eastAsia="Calibri" w:hAnsi="Calibri"/>
          <w:color w:val="000000" w:themeColor="text1"/>
          <w:lang w:val="fr-FR"/>
        </w:rPr>
        <w:t xml:space="preserve">La décision SC59-21 prend </w:t>
      </w:r>
      <w:r w:rsidR="000B5E43">
        <w:rPr>
          <w:rFonts w:ascii="Calibri" w:eastAsia="Calibri" w:hAnsi="Calibri"/>
          <w:color w:val="000000" w:themeColor="text1"/>
          <w:lang w:val="fr-FR"/>
        </w:rPr>
        <w:t xml:space="preserve">bonne </w:t>
      </w:r>
      <w:r w:rsidR="00FB22AD" w:rsidRPr="004D59BC">
        <w:rPr>
          <w:rFonts w:ascii="Calibri" w:eastAsia="Calibri" w:hAnsi="Calibri"/>
          <w:color w:val="000000" w:themeColor="text1"/>
          <w:lang w:val="fr-FR"/>
        </w:rPr>
        <w:t xml:space="preserve">note du rapport. </w:t>
      </w:r>
    </w:p>
    <w:p w:rsidR="00E93C9D" w:rsidRPr="004D59BC" w:rsidRDefault="00E93C9D" w:rsidP="00BA2459">
      <w:pPr>
        <w:spacing w:after="0" w:line="240" w:lineRule="auto"/>
        <w:rPr>
          <w:lang w:val="fr-FR"/>
        </w:rPr>
      </w:pPr>
    </w:p>
    <w:p w:rsidR="00E93C9D" w:rsidRPr="00FB22AD" w:rsidRDefault="00FB22AD" w:rsidP="00380D40">
      <w:pPr>
        <w:keepNext/>
        <w:spacing w:after="0" w:line="240" w:lineRule="auto"/>
        <w:rPr>
          <w:b/>
          <w:lang w:val="fr-FR"/>
        </w:rPr>
      </w:pPr>
      <w:r w:rsidRPr="00FB22AD">
        <w:rPr>
          <w:b/>
          <w:lang w:val="fr-FR"/>
        </w:rPr>
        <w:lastRenderedPageBreak/>
        <w:t>Fonctionnement du groupe</w:t>
      </w:r>
    </w:p>
    <w:p w:rsidR="00380D40" w:rsidRPr="00FB22AD" w:rsidRDefault="00380D40" w:rsidP="00380D40">
      <w:pPr>
        <w:keepNext/>
        <w:spacing w:after="0" w:line="240" w:lineRule="auto"/>
        <w:ind w:left="426" w:hanging="426"/>
        <w:rPr>
          <w:rFonts w:ascii="Calibri" w:eastAsia="Calibri" w:hAnsi="Calibri"/>
          <w:color w:val="000000" w:themeColor="text1"/>
          <w:lang w:val="fr-FR"/>
        </w:rPr>
      </w:pPr>
    </w:p>
    <w:p w:rsidR="00FB22AD" w:rsidRDefault="00380D40" w:rsidP="00380D40">
      <w:pPr>
        <w:spacing w:after="0" w:line="240" w:lineRule="auto"/>
        <w:ind w:left="426" w:hanging="426"/>
        <w:rPr>
          <w:rFonts w:ascii="Calibri" w:eastAsia="Calibri" w:hAnsi="Calibri"/>
          <w:color w:val="000000" w:themeColor="text1"/>
          <w:lang w:val="fr-FR"/>
        </w:rPr>
      </w:pPr>
      <w:r w:rsidRPr="00FB22AD">
        <w:rPr>
          <w:rFonts w:ascii="Calibri" w:eastAsia="Calibri" w:hAnsi="Calibri"/>
          <w:color w:val="000000" w:themeColor="text1"/>
          <w:lang w:val="fr-FR"/>
        </w:rPr>
        <w:t>4.</w:t>
      </w:r>
      <w:r w:rsidRPr="00FB22AD">
        <w:rPr>
          <w:rFonts w:ascii="Calibri" w:eastAsia="Calibri" w:hAnsi="Calibri"/>
          <w:color w:val="000000" w:themeColor="text1"/>
          <w:lang w:val="fr-FR"/>
        </w:rPr>
        <w:tab/>
      </w:r>
      <w:r w:rsidR="00FB22AD" w:rsidRPr="00FB22AD">
        <w:rPr>
          <w:rFonts w:ascii="Calibri" w:eastAsia="Calibri" w:hAnsi="Calibri"/>
          <w:color w:val="000000" w:themeColor="text1"/>
          <w:lang w:val="fr-FR"/>
        </w:rPr>
        <w:t xml:space="preserve">Le Royaume-Uni de </w:t>
      </w:r>
      <w:r w:rsidR="00FB22AD">
        <w:rPr>
          <w:rFonts w:ascii="Calibri" w:eastAsia="Calibri" w:hAnsi="Calibri"/>
          <w:color w:val="000000" w:themeColor="text1"/>
          <w:lang w:val="fr-FR"/>
        </w:rPr>
        <w:t>Grande-Bretagne et d’</w:t>
      </w:r>
      <w:r w:rsidR="00FB22AD" w:rsidRPr="00FB22AD">
        <w:rPr>
          <w:rFonts w:ascii="Calibri" w:eastAsia="Calibri" w:hAnsi="Calibri"/>
          <w:color w:val="000000" w:themeColor="text1"/>
          <w:lang w:val="fr-FR"/>
        </w:rPr>
        <w:t>Irlande du Nord a été nommé président du GTE. La Zambie a été nommée vice-pr</w:t>
      </w:r>
      <w:r w:rsidR="00FB22AD">
        <w:rPr>
          <w:rFonts w:ascii="Calibri" w:eastAsia="Calibri" w:hAnsi="Calibri"/>
          <w:color w:val="000000" w:themeColor="text1"/>
          <w:lang w:val="fr-FR"/>
        </w:rPr>
        <w:t xml:space="preserve">ésidente du GTE. </w:t>
      </w:r>
      <w:r w:rsidR="000B5E43">
        <w:rPr>
          <w:rFonts w:ascii="Calibri" w:eastAsia="Calibri" w:hAnsi="Calibri"/>
          <w:color w:val="000000" w:themeColor="text1"/>
          <w:lang w:val="fr-FR"/>
        </w:rPr>
        <w:t>Le groupe de travail est composé de l</w:t>
      </w:r>
      <w:r w:rsidR="00FB22AD">
        <w:rPr>
          <w:rFonts w:ascii="Calibri" w:eastAsia="Calibri" w:hAnsi="Calibri"/>
          <w:color w:val="000000" w:themeColor="text1"/>
          <w:lang w:val="fr-FR"/>
        </w:rPr>
        <w:t xml:space="preserve">’Australie, </w:t>
      </w:r>
      <w:r w:rsidR="000B5E43">
        <w:rPr>
          <w:rFonts w:ascii="Calibri" w:eastAsia="Calibri" w:hAnsi="Calibri"/>
          <w:color w:val="000000" w:themeColor="text1"/>
          <w:lang w:val="fr-FR"/>
        </w:rPr>
        <w:t xml:space="preserve">de </w:t>
      </w:r>
      <w:r w:rsidR="00FB22AD">
        <w:rPr>
          <w:rFonts w:ascii="Calibri" w:eastAsia="Calibri" w:hAnsi="Calibri"/>
          <w:color w:val="000000" w:themeColor="text1"/>
          <w:lang w:val="fr-FR"/>
        </w:rPr>
        <w:t>l’</w:t>
      </w:r>
      <w:r w:rsidR="00FB22AD" w:rsidRPr="00FB22AD">
        <w:rPr>
          <w:rFonts w:ascii="Calibri" w:eastAsia="Calibri" w:hAnsi="Calibri"/>
          <w:color w:val="000000" w:themeColor="text1"/>
          <w:lang w:val="fr-FR"/>
        </w:rPr>
        <w:t xml:space="preserve">Autriche, </w:t>
      </w:r>
      <w:r w:rsidR="000B5E43">
        <w:rPr>
          <w:rFonts w:ascii="Calibri" w:eastAsia="Calibri" w:hAnsi="Calibri"/>
          <w:color w:val="000000" w:themeColor="text1"/>
          <w:lang w:val="fr-FR"/>
        </w:rPr>
        <w:t>du</w:t>
      </w:r>
      <w:r w:rsidR="00FB22AD" w:rsidRPr="00FB22AD">
        <w:rPr>
          <w:rFonts w:ascii="Calibri" w:eastAsia="Calibri" w:hAnsi="Calibri"/>
          <w:color w:val="000000" w:themeColor="text1"/>
          <w:lang w:val="fr-FR"/>
        </w:rPr>
        <w:t xml:space="preserve"> Bhoutan, </w:t>
      </w:r>
      <w:r w:rsidR="000B5E43">
        <w:rPr>
          <w:rFonts w:ascii="Calibri" w:eastAsia="Calibri" w:hAnsi="Calibri"/>
          <w:color w:val="000000" w:themeColor="text1"/>
          <w:lang w:val="fr-FR"/>
        </w:rPr>
        <w:t>du</w:t>
      </w:r>
      <w:r w:rsidR="00FB22AD" w:rsidRPr="00FB22AD">
        <w:rPr>
          <w:rFonts w:ascii="Calibri" w:eastAsia="Calibri" w:hAnsi="Calibri"/>
          <w:color w:val="000000" w:themeColor="text1"/>
          <w:lang w:val="fr-FR"/>
        </w:rPr>
        <w:t xml:space="preserve"> Ca</w:t>
      </w:r>
      <w:r w:rsidR="000B5E43">
        <w:rPr>
          <w:rFonts w:ascii="Calibri" w:eastAsia="Calibri" w:hAnsi="Calibri"/>
          <w:color w:val="000000" w:themeColor="text1"/>
          <w:lang w:val="fr-FR"/>
        </w:rPr>
        <w:t>meroun, de la Chine, de la Colombie, des Émirats Arabes U</w:t>
      </w:r>
      <w:r w:rsidR="00FB22AD" w:rsidRPr="00FB22AD">
        <w:rPr>
          <w:rFonts w:ascii="Calibri" w:eastAsia="Calibri" w:hAnsi="Calibri"/>
          <w:color w:val="000000" w:themeColor="text1"/>
          <w:lang w:val="fr-FR"/>
        </w:rPr>
        <w:t xml:space="preserve">nis, </w:t>
      </w:r>
      <w:r w:rsidR="000B5E43">
        <w:rPr>
          <w:rFonts w:ascii="Calibri" w:eastAsia="Calibri" w:hAnsi="Calibri"/>
          <w:color w:val="000000" w:themeColor="text1"/>
          <w:lang w:val="fr-FR"/>
        </w:rPr>
        <w:t>de l'Équateur, des États-Unis d’</w:t>
      </w:r>
      <w:r w:rsidR="00FB22AD" w:rsidRPr="00FB22AD">
        <w:rPr>
          <w:rFonts w:ascii="Calibri" w:eastAsia="Calibri" w:hAnsi="Calibri"/>
          <w:color w:val="000000" w:themeColor="text1"/>
          <w:lang w:val="fr-FR"/>
        </w:rPr>
        <w:t>Amérique,</w:t>
      </w:r>
      <w:r w:rsidR="000B5E43">
        <w:rPr>
          <w:rFonts w:ascii="Calibri" w:eastAsia="Calibri" w:hAnsi="Calibri"/>
          <w:color w:val="000000" w:themeColor="text1"/>
          <w:lang w:val="fr-FR"/>
        </w:rPr>
        <w:t xml:space="preserve"> de</w:t>
      </w:r>
      <w:r w:rsidR="00FB22AD" w:rsidRPr="00FB22AD">
        <w:rPr>
          <w:rFonts w:ascii="Calibri" w:eastAsia="Calibri" w:hAnsi="Calibri"/>
          <w:color w:val="000000" w:themeColor="text1"/>
          <w:lang w:val="fr-FR"/>
        </w:rPr>
        <w:t xml:space="preserve"> la France, </w:t>
      </w:r>
      <w:r w:rsidR="000B5E43">
        <w:rPr>
          <w:rFonts w:ascii="Calibri" w:eastAsia="Calibri" w:hAnsi="Calibri"/>
          <w:color w:val="000000" w:themeColor="text1"/>
          <w:lang w:val="fr-FR"/>
        </w:rPr>
        <w:t>du</w:t>
      </w:r>
      <w:r w:rsidR="00FB22AD" w:rsidRPr="00FB22AD">
        <w:rPr>
          <w:rFonts w:ascii="Calibri" w:eastAsia="Calibri" w:hAnsi="Calibri"/>
          <w:color w:val="000000" w:themeColor="text1"/>
          <w:lang w:val="fr-FR"/>
        </w:rPr>
        <w:t xml:space="preserve"> Japon, </w:t>
      </w:r>
      <w:r w:rsidR="000B5E43">
        <w:rPr>
          <w:rFonts w:ascii="Calibri" w:eastAsia="Calibri" w:hAnsi="Calibri"/>
          <w:color w:val="000000" w:themeColor="text1"/>
          <w:lang w:val="fr-FR"/>
        </w:rPr>
        <w:t>du</w:t>
      </w:r>
      <w:r w:rsidR="00FB22AD" w:rsidRPr="00FB22AD">
        <w:rPr>
          <w:rFonts w:ascii="Calibri" w:eastAsia="Calibri" w:hAnsi="Calibri"/>
          <w:color w:val="000000" w:themeColor="text1"/>
          <w:lang w:val="fr-FR"/>
        </w:rPr>
        <w:t xml:space="preserve"> Kenya, </w:t>
      </w:r>
      <w:r w:rsidR="000B5E43">
        <w:rPr>
          <w:rFonts w:ascii="Calibri" w:eastAsia="Calibri" w:hAnsi="Calibri"/>
          <w:color w:val="000000" w:themeColor="text1"/>
          <w:lang w:val="fr-FR"/>
        </w:rPr>
        <w:t>du Lesotho, d</w:t>
      </w:r>
      <w:r w:rsidR="00FB22AD" w:rsidRPr="00FB22AD">
        <w:rPr>
          <w:rFonts w:ascii="Calibri" w:eastAsia="Calibri" w:hAnsi="Calibri"/>
          <w:color w:val="000000" w:themeColor="text1"/>
          <w:lang w:val="fr-FR"/>
        </w:rPr>
        <w:t xml:space="preserve">es Pays-Bas, </w:t>
      </w:r>
      <w:r w:rsidR="000B5E43">
        <w:rPr>
          <w:rFonts w:ascii="Calibri" w:eastAsia="Calibri" w:hAnsi="Calibri"/>
          <w:color w:val="000000" w:themeColor="text1"/>
          <w:lang w:val="fr-FR"/>
        </w:rPr>
        <w:t>du</w:t>
      </w:r>
      <w:r w:rsidR="00FB22AD" w:rsidRPr="00FB22AD">
        <w:rPr>
          <w:rFonts w:ascii="Calibri" w:eastAsia="Calibri" w:hAnsi="Calibri"/>
          <w:color w:val="000000" w:themeColor="text1"/>
          <w:lang w:val="fr-FR"/>
        </w:rPr>
        <w:t xml:space="preserve"> Sénégal,</w:t>
      </w:r>
      <w:r w:rsidR="000B5E43">
        <w:rPr>
          <w:rFonts w:ascii="Calibri" w:eastAsia="Calibri" w:hAnsi="Calibri"/>
          <w:color w:val="000000" w:themeColor="text1"/>
          <w:lang w:val="fr-FR"/>
        </w:rPr>
        <w:t xml:space="preserve"> de</w:t>
      </w:r>
      <w:r w:rsidR="00FB22AD" w:rsidRPr="00FB22AD">
        <w:rPr>
          <w:rFonts w:ascii="Calibri" w:eastAsia="Calibri" w:hAnsi="Calibri"/>
          <w:color w:val="000000" w:themeColor="text1"/>
          <w:lang w:val="fr-FR"/>
        </w:rPr>
        <w:t xml:space="preserve"> la Suède,</w:t>
      </w:r>
      <w:r w:rsidR="000B5E43">
        <w:rPr>
          <w:rFonts w:ascii="Calibri" w:eastAsia="Calibri" w:hAnsi="Calibri"/>
          <w:color w:val="000000" w:themeColor="text1"/>
          <w:lang w:val="fr-FR"/>
        </w:rPr>
        <w:t xml:space="preserve"> de</w:t>
      </w:r>
      <w:r w:rsidR="00FB22AD" w:rsidRPr="00FB22AD">
        <w:rPr>
          <w:rFonts w:ascii="Calibri" w:eastAsia="Calibri" w:hAnsi="Calibri"/>
          <w:color w:val="000000" w:themeColor="text1"/>
          <w:lang w:val="fr-FR"/>
        </w:rPr>
        <w:t xml:space="preserve"> la Suiss</w:t>
      </w:r>
      <w:r w:rsidR="00FB22AD">
        <w:rPr>
          <w:rFonts w:ascii="Calibri" w:eastAsia="Calibri" w:hAnsi="Calibri"/>
          <w:color w:val="000000" w:themeColor="text1"/>
          <w:lang w:val="fr-FR"/>
        </w:rPr>
        <w:t xml:space="preserve">e, </w:t>
      </w:r>
      <w:r w:rsidR="000B5E43">
        <w:rPr>
          <w:rFonts w:ascii="Calibri" w:eastAsia="Calibri" w:hAnsi="Calibri"/>
          <w:color w:val="000000" w:themeColor="text1"/>
          <w:lang w:val="fr-FR"/>
        </w:rPr>
        <w:t xml:space="preserve">de </w:t>
      </w:r>
      <w:r w:rsidR="00FB22AD">
        <w:rPr>
          <w:rFonts w:ascii="Calibri" w:eastAsia="Calibri" w:hAnsi="Calibri"/>
          <w:color w:val="000000" w:themeColor="text1"/>
          <w:lang w:val="fr-FR"/>
        </w:rPr>
        <w:t xml:space="preserve">la République dominicaine, </w:t>
      </w:r>
      <w:r w:rsidR="000B5E43">
        <w:rPr>
          <w:rFonts w:ascii="Calibri" w:eastAsia="Calibri" w:hAnsi="Calibri"/>
          <w:color w:val="000000" w:themeColor="text1"/>
          <w:lang w:val="fr-FR"/>
        </w:rPr>
        <w:t xml:space="preserve">de </w:t>
      </w:r>
      <w:r w:rsidR="00FB22AD">
        <w:rPr>
          <w:rFonts w:ascii="Calibri" w:eastAsia="Calibri" w:hAnsi="Calibri"/>
          <w:color w:val="000000" w:themeColor="text1"/>
          <w:lang w:val="fr-FR"/>
        </w:rPr>
        <w:t>l’</w:t>
      </w:r>
      <w:r w:rsidR="000B5E43">
        <w:rPr>
          <w:rFonts w:ascii="Calibri" w:eastAsia="Calibri" w:hAnsi="Calibri"/>
          <w:color w:val="000000" w:themeColor="text1"/>
          <w:lang w:val="fr-FR"/>
        </w:rPr>
        <w:t>Uruguay et de la Zambie</w:t>
      </w:r>
      <w:r w:rsidR="00FB22AD">
        <w:rPr>
          <w:rFonts w:ascii="Calibri" w:eastAsia="Calibri" w:hAnsi="Calibri"/>
          <w:color w:val="000000" w:themeColor="text1"/>
          <w:lang w:val="fr-FR"/>
        </w:rPr>
        <w:t>.</w:t>
      </w:r>
    </w:p>
    <w:p w:rsidR="00FB22AD" w:rsidRPr="00FB22AD" w:rsidRDefault="00FB22AD" w:rsidP="00380D40">
      <w:pPr>
        <w:spacing w:after="0" w:line="240" w:lineRule="auto"/>
        <w:ind w:left="426" w:hanging="426"/>
        <w:rPr>
          <w:rFonts w:ascii="Calibri" w:eastAsia="Calibri" w:hAnsi="Calibri"/>
          <w:color w:val="000000" w:themeColor="text1"/>
          <w:lang w:val="fr-FR"/>
        </w:rPr>
      </w:pPr>
    </w:p>
    <w:p w:rsidR="00FB22AD" w:rsidRPr="00FB22AD" w:rsidRDefault="00380D40" w:rsidP="00380D40">
      <w:pPr>
        <w:spacing w:after="0" w:line="240" w:lineRule="auto"/>
        <w:ind w:left="426" w:hanging="426"/>
        <w:rPr>
          <w:rFonts w:ascii="Calibri" w:eastAsia="Calibri" w:hAnsi="Calibri"/>
          <w:color w:val="000000" w:themeColor="text1"/>
          <w:lang w:val="fr-FR"/>
        </w:rPr>
      </w:pPr>
      <w:r w:rsidRPr="00FB22AD">
        <w:rPr>
          <w:rFonts w:ascii="Calibri" w:eastAsia="Calibri" w:hAnsi="Calibri"/>
          <w:color w:val="000000" w:themeColor="text1"/>
          <w:lang w:val="fr-FR"/>
        </w:rPr>
        <w:t>5.</w:t>
      </w:r>
      <w:r w:rsidRPr="00FB22AD">
        <w:rPr>
          <w:rFonts w:ascii="Calibri" w:eastAsia="Calibri" w:hAnsi="Calibri"/>
          <w:color w:val="000000" w:themeColor="text1"/>
          <w:lang w:val="fr-FR"/>
        </w:rPr>
        <w:tab/>
      </w:r>
      <w:r w:rsidR="00FB22AD" w:rsidRPr="00FB22AD">
        <w:rPr>
          <w:rFonts w:ascii="Calibri" w:eastAsia="Calibri" w:hAnsi="Calibri"/>
          <w:color w:val="000000" w:themeColor="text1"/>
          <w:lang w:val="fr-FR"/>
        </w:rPr>
        <w:t>En application de la ré</w:t>
      </w:r>
      <w:r w:rsidR="007C3E55" w:rsidRPr="00FB22AD">
        <w:rPr>
          <w:rFonts w:ascii="Calibri" w:eastAsia="Calibri" w:hAnsi="Calibri"/>
          <w:color w:val="000000" w:themeColor="text1"/>
          <w:lang w:val="fr-FR"/>
        </w:rPr>
        <w:t>solution XIII.3,</w:t>
      </w:r>
      <w:r w:rsidR="00B9110E">
        <w:rPr>
          <w:rFonts w:ascii="Calibri" w:eastAsia="Calibri" w:hAnsi="Calibri"/>
          <w:color w:val="000000" w:themeColor="text1"/>
          <w:lang w:val="fr-FR"/>
        </w:rPr>
        <w:t xml:space="preserve"> le mandat du groupe a été défini</w:t>
      </w:r>
      <w:r w:rsidR="00A95AAC">
        <w:rPr>
          <w:rFonts w:ascii="Calibri" w:eastAsia="Calibri" w:hAnsi="Calibri"/>
          <w:color w:val="000000" w:themeColor="text1"/>
          <w:lang w:val="fr-FR"/>
        </w:rPr>
        <w:t xml:space="preserve"> et un consultant indépen</w:t>
      </w:r>
      <w:r w:rsidR="00B9110E">
        <w:rPr>
          <w:rFonts w:ascii="Calibri" w:eastAsia="Calibri" w:hAnsi="Calibri"/>
          <w:color w:val="000000" w:themeColor="text1"/>
          <w:lang w:val="fr-FR"/>
        </w:rPr>
        <w:t xml:space="preserve">dant a été désigné par le GTE pour mener une </w:t>
      </w:r>
      <w:r w:rsidR="00A95AAC">
        <w:rPr>
          <w:rFonts w:ascii="Calibri" w:eastAsia="Calibri" w:hAnsi="Calibri"/>
          <w:color w:val="000000" w:themeColor="text1"/>
          <w:lang w:val="fr-FR"/>
        </w:rPr>
        <w:t>étude sur la gouvernance de la Convention de Ramsar.</w:t>
      </w:r>
    </w:p>
    <w:p w:rsidR="00380D40" w:rsidRPr="00A95AAC" w:rsidRDefault="00380D40" w:rsidP="00380D40">
      <w:pPr>
        <w:spacing w:after="0" w:line="240" w:lineRule="auto"/>
        <w:ind w:left="426" w:hanging="426"/>
        <w:rPr>
          <w:rFonts w:ascii="Calibri" w:eastAsia="Calibri" w:hAnsi="Calibri"/>
          <w:color w:val="000000" w:themeColor="text1"/>
          <w:lang w:val="fr-FR"/>
        </w:rPr>
      </w:pPr>
    </w:p>
    <w:p w:rsidR="00A95AAC" w:rsidRPr="00A95AAC" w:rsidRDefault="00380D40" w:rsidP="00380D40">
      <w:pPr>
        <w:spacing w:after="0" w:line="240" w:lineRule="auto"/>
        <w:ind w:left="426" w:hanging="426"/>
        <w:rPr>
          <w:rFonts w:ascii="Calibri" w:eastAsia="Calibri" w:hAnsi="Calibri"/>
          <w:color w:val="000000" w:themeColor="text1"/>
          <w:lang w:val="fr-FR"/>
        </w:rPr>
      </w:pPr>
      <w:r w:rsidRPr="00A95AAC">
        <w:rPr>
          <w:rFonts w:ascii="Calibri" w:eastAsia="Calibri" w:hAnsi="Calibri"/>
          <w:color w:val="000000" w:themeColor="text1"/>
          <w:lang w:val="fr-FR"/>
        </w:rPr>
        <w:t>6.</w:t>
      </w:r>
      <w:r w:rsidRPr="00A95AAC">
        <w:rPr>
          <w:rFonts w:ascii="Calibri" w:eastAsia="Calibri" w:hAnsi="Calibri"/>
          <w:color w:val="000000" w:themeColor="text1"/>
          <w:lang w:val="fr-FR"/>
        </w:rPr>
        <w:tab/>
      </w:r>
      <w:r w:rsidR="00A95AAC">
        <w:rPr>
          <w:rFonts w:ascii="Calibri" w:eastAsia="Calibri" w:hAnsi="Calibri"/>
          <w:color w:val="000000" w:themeColor="text1"/>
          <w:lang w:val="fr-FR"/>
        </w:rPr>
        <w:t>S’</w:t>
      </w:r>
      <w:r w:rsidR="00A95AAC" w:rsidRPr="00A95AAC">
        <w:rPr>
          <w:rFonts w:ascii="Calibri" w:eastAsia="Calibri" w:hAnsi="Calibri"/>
          <w:color w:val="000000" w:themeColor="text1"/>
          <w:lang w:val="fr-FR"/>
        </w:rPr>
        <w:t xml:space="preserve">appuyant sur les conclusions du consultant indépendant et </w:t>
      </w:r>
      <w:r w:rsidR="00A95AAC">
        <w:rPr>
          <w:rFonts w:ascii="Calibri" w:eastAsia="Calibri" w:hAnsi="Calibri"/>
          <w:color w:val="000000" w:themeColor="text1"/>
          <w:lang w:val="fr-FR"/>
        </w:rPr>
        <w:t>sur le contenu d</w:t>
      </w:r>
      <w:r w:rsidR="00A95AAC" w:rsidRPr="00A95AAC">
        <w:rPr>
          <w:rFonts w:ascii="Calibri" w:eastAsia="Calibri" w:hAnsi="Calibri"/>
          <w:color w:val="000000" w:themeColor="text1"/>
          <w:lang w:val="fr-FR"/>
        </w:rPr>
        <w:t xml:space="preserve">es discussions au sein du groupe, le Président a </w:t>
      </w:r>
      <w:r w:rsidR="00A95AAC">
        <w:rPr>
          <w:rFonts w:ascii="Calibri" w:eastAsia="Calibri" w:hAnsi="Calibri"/>
          <w:color w:val="000000" w:themeColor="text1"/>
          <w:lang w:val="fr-FR"/>
        </w:rPr>
        <w:t>rédigé</w:t>
      </w:r>
      <w:r w:rsidR="00A95AAC" w:rsidRPr="00A95AAC">
        <w:rPr>
          <w:rFonts w:ascii="Calibri" w:eastAsia="Calibri" w:hAnsi="Calibri"/>
          <w:color w:val="000000" w:themeColor="text1"/>
          <w:lang w:val="fr-FR"/>
        </w:rPr>
        <w:t xml:space="preserve"> un</w:t>
      </w:r>
      <w:r w:rsidR="00A95AAC">
        <w:rPr>
          <w:rFonts w:ascii="Calibri" w:eastAsia="Calibri" w:hAnsi="Calibri"/>
          <w:color w:val="000000" w:themeColor="text1"/>
          <w:lang w:val="fr-FR"/>
        </w:rPr>
        <w:t xml:space="preserve"> projet de résolution zéro. Le groupe s’</w:t>
      </w:r>
      <w:r w:rsidR="00A95AAC" w:rsidRPr="00A95AAC">
        <w:rPr>
          <w:rFonts w:ascii="Calibri" w:eastAsia="Calibri" w:hAnsi="Calibri"/>
          <w:color w:val="000000" w:themeColor="text1"/>
          <w:lang w:val="fr-FR"/>
        </w:rPr>
        <w:t xml:space="preserve">est réuni périodiquement tout au long de la deuxième moitié de la période triennale pour examiner et adopter ses recommandations </w:t>
      </w:r>
      <w:r w:rsidR="00B9110E">
        <w:rPr>
          <w:rFonts w:ascii="Calibri" w:eastAsia="Calibri" w:hAnsi="Calibri"/>
          <w:color w:val="000000" w:themeColor="text1"/>
          <w:lang w:val="fr-FR"/>
        </w:rPr>
        <w:t>ainsi que</w:t>
      </w:r>
      <w:r w:rsidR="000D443F">
        <w:rPr>
          <w:rFonts w:ascii="Calibri" w:eastAsia="Calibri" w:hAnsi="Calibri"/>
          <w:color w:val="000000" w:themeColor="text1"/>
          <w:lang w:val="fr-FR"/>
        </w:rPr>
        <w:t xml:space="preserve"> le contenu d’</w:t>
      </w:r>
      <w:r w:rsidR="00A95AAC" w:rsidRPr="00A95AAC">
        <w:rPr>
          <w:rFonts w:ascii="Calibri" w:eastAsia="Calibri" w:hAnsi="Calibri"/>
          <w:color w:val="000000" w:themeColor="text1"/>
          <w:lang w:val="fr-FR"/>
        </w:rPr>
        <w:t>un projet de résolution</w:t>
      </w:r>
      <w:r w:rsidR="00B9110E">
        <w:rPr>
          <w:rFonts w:ascii="Calibri" w:eastAsia="Calibri" w:hAnsi="Calibri"/>
          <w:color w:val="000000" w:themeColor="text1"/>
          <w:lang w:val="fr-FR"/>
        </w:rPr>
        <w:t>.</w:t>
      </w:r>
    </w:p>
    <w:p w:rsidR="00E93C9D" w:rsidRPr="004D59BC" w:rsidRDefault="00E93C9D" w:rsidP="00BA2459">
      <w:pPr>
        <w:spacing w:after="0" w:line="240" w:lineRule="auto"/>
        <w:rPr>
          <w:rFonts w:ascii="Calibri" w:eastAsia="Calibri" w:hAnsi="Calibri"/>
          <w:color w:val="000000" w:themeColor="text1"/>
          <w:lang w:val="fr-FR"/>
        </w:rPr>
      </w:pPr>
    </w:p>
    <w:p w:rsidR="00E93C9D" w:rsidRPr="00A95AAC" w:rsidRDefault="00A95AAC" w:rsidP="00BA2459">
      <w:pPr>
        <w:spacing w:after="0" w:line="240" w:lineRule="auto"/>
        <w:rPr>
          <w:rFonts w:ascii="Calibri" w:eastAsia="Calibri" w:hAnsi="Calibri"/>
          <w:color w:val="000000" w:themeColor="text1"/>
          <w:lang w:val="fr-FR"/>
        </w:rPr>
      </w:pPr>
      <w:r w:rsidRPr="00A95AAC">
        <w:rPr>
          <w:rFonts w:ascii="Calibri" w:eastAsia="Calibri" w:hAnsi="Calibri"/>
          <w:b/>
          <w:color w:val="000000" w:themeColor="text1"/>
          <w:lang w:val="fr-FR"/>
        </w:rPr>
        <w:t>Aperçu des principaux points de discussion et des résultats</w:t>
      </w:r>
    </w:p>
    <w:p w:rsidR="00380D40" w:rsidRPr="00A95AAC" w:rsidRDefault="00380D40" w:rsidP="00380D40">
      <w:pPr>
        <w:spacing w:after="0" w:line="240" w:lineRule="auto"/>
        <w:ind w:left="426" w:hanging="426"/>
        <w:rPr>
          <w:rFonts w:ascii="Calibri" w:eastAsia="Calibri" w:hAnsi="Calibri"/>
          <w:color w:val="000000" w:themeColor="text1"/>
          <w:lang w:val="fr-FR"/>
        </w:rPr>
      </w:pPr>
    </w:p>
    <w:p w:rsidR="00E93C9D" w:rsidRPr="00A95AAC" w:rsidRDefault="00380D40" w:rsidP="00380D40">
      <w:pPr>
        <w:spacing w:after="0" w:line="240" w:lineRule="auto"/>
        <w:ind w:left="426" w:hanging="426"/>
        <w:rPr>
          <w:color w:val="000000" w:themeColor="text1"/>
          <w:lang w:val="fr-FR"/>
        </w:rPr>
      </w:pPr>
      <w:r w:rsidRPr="00A95AAC">
        <w:rPr>
          <w:rFonts w:ascii="Calibri" w:eastAsia="Calibri" w:hAnsi="Calibri"/>
          <w:color w:val="000000" w:themeColor="text1"/>
          <w:lang w:val="fr-FR"/>
        </w:rPr>
        <w:t>7.</w:t>
      </w:r>
      <w:r w:rsidRPr="00A95AAC">
        <w:rPr>
          <w:rFonts w:ascii="Calibri" w:eastAsia="Calibri" w:hAnsi="Calibri"/>
          <w:color w:val="000000" w:themeColor="text1"/>
          <w:lang w:val="fr-FR"/>
        </w:rPr>
        <w:tab/>
      </w:r>
      <w:r w:rsidR="00A95AAC" w:rsidRPr="00A95AAC">
        <w:rPr>
          <w:rFonts w:ascii="Calibri" w:eastAsia="Calibri" w:hAnsi="Calibri"/>
          <w:color w:val="000000" w:themeColor="text1"/>
          <w:lang w:val="fr-FR"/>
        </w:rPr>
        <w:t>La discussion au sein du groupe a porté sur quatre questions clés</w:t>
      </w:r>
      <w:r w:rsidR="00A95AAC">
        <w:rPr>
          <w:rFonts w:ascii="Calibri" w:eastAsia="Calibri" w:hAnsi="Calibri"/>
          <w:color w:val="000000" w:themeColor="text1"/>
          <w:lang w:val="fr-FR"/>
        </w:rPr>
        <w:t> </w:t>
      </w:r>
      <w:r w:rsidR="007C3E55" w:rsidRPr="00A95AAC">
        <w:rPr>
          <w:rFonts w:ascii="Calibri" w:eastAsia="Calibri" w:hAnsi="Calibri"/>
          <w:color w:val="000000" w:themeColor="text1"/>
          <w:lang w:val="fr-FR"/>
        </w:rPr>
        <w:t>:</w:t>
      </w:r>
    </w:p>
    <w:p w:rsidR="00380D40" w:rsidRPr="00A95AAC" w:rsidRDefault="00380D40" w:rsidP="00380D40">
      <w:pPr>
        <w:spacing w:after="0" w:line="240" w:lineRule="auto"/>
        <w:ind w:left="851" w:hanging="425"/>
        <w:rPr>
          <w:lang w:val="fr-FR"/>
        </w:rPr>
      </w:pPr>
    </w:p>
    <w:p w:rsidR="00E93C9D" w:rsidRPr="0055072B" w:rsidRDefault="00380D40" w:rsidP="00380D40">
      <w:pPr>
        <w:spacing w:after="0" w:line="240" w:lineRule="auto"/>
        <w:ind w:left="851" w:hanging="425"/>
        <w:rPr>
          <w:color w:val="000000" w:themeColor="text1"/>
          <w:lang w:val="fr-FR"/>
        </w:rPr>
      </w:pPr>
      <w:r w:rsidRPr="0055072B">
        <w:rPr>
          <w:lang w:val="fr-FR"/>
        </w:rPr>
        <w:t>a.</w:t>
      </w:r>
      <w:r w:rsidRPr="0055072B">
        <w:rPr>
          <w:lang w:val="fr-FR"/>
        </w:rPr>
        <w:tab/>
      </w:r>
      <w:r w:rsidR="000D443F">
        <w:rPr>
          <w:lang w:val="fr-FR"/>
        </w:rPr>
        <w:t>Faciliter l’efficience et l’efficacité de l’</w:t>
      </w:r>
      <w:r w:rsidR="0055072B" w:rsidRPr="0055072B">
        <w:rPr>
          <w:lang w:val="fr-FR"/>
        </w:rPr>
        <w:t>appui du Secrétariat aux Parties, notamment en aidant les Parties à rédiger des résolutions</w:t>
      </w:r>
      <w:r w:rsidR="30A6DA12" w:rsidRPr="0055072B">
        <w:rPr>
          <w:lang w:val="fr-FR"/>
        </w:rPr>
        <w:t>;</w:t>
      </w:r>
    </w:p>
    <w:p w:rsidR="00380D40" w:rsidRPr="0055072B" w:rsidRDefault="00380D40" w:rsidP="00380D40">
      <w:pPr>
        <w:spacing w:after="0" w:line="240" w:lineRule="auto"/>
        <w:ind w:left="851" w:hanging="425"/>
        <w:rPr>
          <w:lang w:val="fr-FR"/>
        </w:rPr>
      </w:pPr>
    </w:p>
    <w:p w:rsidR="0055072B" w:rsidRPr="0055072B" w:rsidRDefault="00380D40" w:rsidP="00380D40">
      <w:pPr>
        <w:spacing w:after="0" w:line="240" w:lineRule="auto"/>
        <w:ind w:left="851" w:hanging="425"/>
        <w:rPr>
          <w:lang w:val="fr-FR"/>
        </w:rPr>
      </w:pPr>
      <w:r w:rsidRPr="0055072B">
        <w:rPr>
          <w:lang w:val="fr-FR"/>
        </w:rPr>
        <w:t>b.</w:t>
      </w:r>
      <w:r w:rsidRPr="0055072B">
        <w:rPr>
          <w:lang w:val="fr-FR"/>
        </w:rPr>
        <w:tab/>
      </w:r>
      <w:r w:rsidR="0055072B" w:rsidRPr="0055072B">
        <w:rPr>
          <w:lang w:val="fr-FR"/>
        </w:rPr>
        <w:t>Affiner le fonctionnement e</w:t>
      </w:r>
      <w:r w:rsidR="0055072B">
        <w:rPr>
          <w:lang w:val="fr-FR"/>
        </w:rPr>
        <w:t>fficient et effectif des groupes de travail créés dans le cadre de la Convention afin de consolider la résolution XII.4 ;</w:t>
      </w:r>
    </w:p>
    <w:p w:rsidR="00380D40" w:rsidRPr="004D59BC" w:rsidRDefault="00380D40" w:rsidP="00380D40">
      <w:pPr>
        <w:spacing w:after="0" w:line="240" w:lineRule="auto"/>
        <w:ind w:left="851" w:hanging="425"/>
        <w:rPr>
          <w:lang w:val="fr-FR"/>
        </w:rPr>
      </w:pPr>
    </w:p>
    <w:p w:rsidR="00E93C9D" w:rsidRPr="0055072B" w:rsidRDefault="00380D40" w:rsidP="00380D40">
      <w:pPr>
        <w:spacing w:after="0" w:line="240" w:lineRule="auto"/>
        <w:ind w:left="851" w:hanging="425"/>
        <w:rPr>
          <w:color w:val="000000" w:themeColor="text1"/>
          <w:lang w:val="fr-FR"/>
        </w:rPr>
      </w:pPr>
      <w:r w:rsidRPr="0055072B">
        <w:rPr>
          <w:lang w:val="fr-FR"/>
        </w:rPr>
        <w:t>c.</w:t>
      </w:r>
      <w:r w:rsidRPr="0055072B">
        <w:rPr>
          <w:lang w:val="fr-FR"/>
        </w:rPr>
        <w:tab/>
      </w:r>
      <w:r w:rsidR="0055072B" w:rsidRPr="0055072B">
        <w:rPr>
          <w:lang w:val="fr-FR"/>
        </w:rPr>
        <w:t xml:space="preserve">Remédier </w:t>
      </w:r>
      <w:r w:rsidR="0055072B">
        <w:rPr>
          <w:lang w:val="fr-FR"/>
        </w:rPr>
        <w:t>au manque d’efficacité</w:t>
      </w:r>
      <w:r w:rsidR="0055072B" w:rsidRPr="0055072B">
        <w:rPr>
          <w:lang w:val="fr-FR"/>
        </w:rPr>
        <w:t xml:space="preserve"> au sein des organes subsidiaires de la Convention ; et</w:t>
      </w:r>
      <w:r w:rsidR="30A6DA12" w:rsidRPr="0055072B">
        <w:rPr>
          <w:lang w:val="fr-FR"/>
        </w:rPr>
        <w:t>,</w:t>
      </w:r>
    </w:p>
    <w:p w:rsidR="00380D40" w:rsidRPr="0055072B" w:rsidRDefault="00380D40" w:rsidP="00380D40">
      <w:pPr>
        <w:spacing w:after="0" w:line="240" w:lineRule="auto"/>
        <w:ind w:left="851" w:hanging="425"/>
        <w:rPr>
          <w:lang w:val="fr-FR"/>
        </w:rPr>
      </w:pPr>
    </w:p>
    <w:p w:rsidR="00E93C9D" w:rsidRPr="00A86A1D" w:rsidRDefault="00380D40" w:rsidP="00380D40">
      <w:pPr>
        <w:spacing w:after="0" w:line="240" w:lineRule="auto"/>
        <w:ind w:left="851" w:hanging="425"/>
        <w:rPr>
          <w:color w:val="000000" w:themeColor="text1"/>
          <w:lang w:val="fr-FR"/>
        </w:rPr>
      </w:pPr>
      <w:r w:rsidRPr="00A86A1D">
        <w:rPr>
          <w:lang w:val="fr-FR"/>
        </w:rPr>
        <w:t>d.</w:t>
      </w:r>
      <w:r w:rsidRPr="00A86A1D">
        <w:rPr>
          <w:lang w:val="fr-FR"/>
        </w:rPr>
        <w:tab/>
      </w:r>
      <w:r w:rsidR="00A86A1D" w:rsidRPr="00A86A1D">
        <w:rPr>
          <w:lang w:val="fr-FR"/>
        </w:rPr>
        <w:t xml:space="preserve">Répondre aux </w:t>
      </w:r>
      <w:r w:rsidR="000D443F">
        <w:rPr>
          <w:lang w:val="fr-FR"/>
        </w:rPr>
        <w:t>difficultés</w:t>
      </w:r>
      <w:r w:rsidR="00A86A1D" w:rsidRPr="00A86A1D">
        <w:rPr>
          <w:lang w:val="fr-FR"/>
        </w:rPr>
        <w:t xml:space="preserve"> de gouvernance causés par la pandémie de Covid-19</w:t>
      </w:r>
      <w:r w:rsidR="007C3E55" w:rsidRPr="00A86A1D">
        <w:rPr>
          <w:lang w:val="fr-FR"/>
        </w:rPr>
        <w:t xml:space="preserve">. </w:t>
      </w:r>
    </w:p>
    <w:p w:rsidR="00380D40" w:rsidRPr="00A86A1D" w:rsidRDefault="00380D40" w:rsidP="00380D40">
      <w:pPr>
        <w:spacing w:after="0" w:line="240" w:lineRule="auto"/>
        <w:ind w:left="426" w:hanging="426"/>
        <w:rPr>
          <w:rFonts w:ascii="Calibri" w:eastAsia="Calibri" w:hAnsi="Calibri"/>
          <w:color w:val="000000" w:themeColor="text1"/>
          <w:lang w:val="fr-FR"/>
        </w:rPr>
      </w:pPr>
    </w:p>
    <w:p w:rsidR="00E93C9D" w:rsidRPr="00A86A1D" w:rsidRDefault="00380D40" w:rsidP="00380D40">
      <w:pPr>
        <w:spacing w:after="0" w:line="240" w:lineRule="auto"/>
        <w:ind w:left="426" w:hanging="426"/>
        <w:rPr>
          <w:rFonts w:ascii="Calibri" w:eastAsia="Calibri" w:hAnsi="Calibri"/>
          <w:color w:val="000000" w:themeColor="text1"/>
          <w:lang w:val="fr-FR"/>
        </w:rPr>
      </w:pPr>
      <w:r w:rsidRPr="00A86A1D">
        <w:rPr>
          <w:rFonts w:ascii="Calibri" w:eastAsia="Calibri" w:hAnsi="Calibri"/>
          <w:color w:val="000000" w:themeColor="text1"/>
          <w:lang w:val="fr-FR"/>
        </w:rPr>
        <w:t>8.</w:t>
      </w:r>
      <w:r w:rsidRPr="00A86A1D">
        <w:rPr>
          <w:rFonts w:ascii="Calibri" w:eastAsia="Calibri" w:hAnsi="Calibri"/>
          <w:color w:val="000000" w:themeColor="text1"/>
          <w:lang w:val="fr-FR"/>
        </w:rPr>
        <w:tab/>
      </w:r>
      <w:r w:rsidR="00A86A1D" w:rsidRPr="00A86A1D">
        <w:rPr>
          <w:rFonts w:ascii="Calibri" w:eastAsia="Calibri" w:hAnsi="Calibri"/>
          <w:color w:val="000000" w:themeColor="text1"/>
          <w:lang w:val="fr-FR"/>
        </w:rPr>
        <w:t>Le projet de résolution donne suite à ces points de discussion essentiels de cinq façons</w:t>
      </w:r>
      <w:r w:rsidR="00A86A1D">
        <w:rPr>
          <w:rFonts w:ascii="Calibri" w:eastAsia="Calibri" w:hAnsi="Calibri"/>
          <w:color w:val="000000" w:themeColor="text1"/>
          <w:lang w:val="fr-FR"/>
        </w:rPr>
        <w:t> </w:t>
      </w:r>
      <w:r w:rsidR="30A6DA12" w:rsidRPr="00A86A1D">
        <w:rPr>
          <w:rFonts w:ascii="Calibri" w:eastAsia="Calibri" w:hAnsi="Calibri"/>
          <w:color w:val="000000" w:themeColor="text1"/>
          <w:lang w:val="fr-FR"/>
        </w:rPr>
        <w:t>:</w:t>
      </w:r>
    </w:p>
    <w:p w:rsidR="00605195" w:rsidRPr="00A86A1D" w:rsidRDefault="00605195" w:rsidP="00605195">
      <w:pPr>
        <w:spacing w:after="0" w:line="240" w:lineRule="auto"/>
        <w:ind w:left="851" w:hanging="425"/>
        <w:rPr>
          <w:lang w:val="fr-FR"/>
        </w:rPr>
      </w:pPr>
    </w:p>
    <w:p w:rsidR="00E93C9D" w:rsidRPr="00A86A1D" w:rsidRDefault="00605195" w:rsidP="00605195">
      <w:pPr>
        <w:spacing w:after="0" w:line="240" w:lineRule="auto"/>
        <w:ind w:left="851" w:hanging="425"/>
        <w:rPr>
          <w:lang w:val="fr-FR"/>
        </w:rPr>
      </w:pPr>
      <w:r w:rsidRPr="00A86A1D">
        <w:rPr>
          <w:lang w:val="fr-FR"/>
        </w:rPr>
        <w:t>a.</w:t>
      </w:r>
      <w:r w:rsidRPr="00A86A1D">
        <w:rPr>
          <w:lang w:val="fr-FR"/>
        </w:rPr>
        <w:tab/>
      </w:r>
      <w:r w:rsidR="00553006">
        <w:rPr>
          <w:lang w:val="fr-FR"/>
        </w:rPr>
        <w:t>Encourage</w:t>
      </w:r>
      <w:r w:rsidR="00A86A1D" w:rsidRPr="00A86A1D">
        <w:rPr>
          <w:lang w:val="fr-FR"/>
        </w:rPr>
        <w:t xml:space="preserve"> le Secrétariat à fournir un appui administratif aux Parties, y compris en mettant en place des processus pour i) </w:t>
      </w:r>
      <w:r w:rsidR="00A86A1D">
        <w:rPr>
          <w:lang w:val="fr-FR"/>
        </w:rPr>
        <w:t>supprimer</w:t>
      </w:r>
      <w:r w:rsidR="00A86A1D" w:rsidRPr="00A86A1D">
        <w:rPr>
          <w:lang w:val="fr-FR"/>
        </w:rPr>
        <w:t xml:space="preserve"> automatiquement les résolutions obsolètes ou remplacées, ii) fournir des conseils clairs et opportuns sur </w:t>
      </w:r>
      <w:r w:rsidR="00A86A1D">
        <w:rPr>
          <w:lang w:val="fr-FR"/>
        </w:rPr>
        <w:t>les</w:t>
      </w:r>
      <w:r w:rsidR="00A86A1D" w:rsidRPr="00A86A1D">
        <w:rPr>
          <w:lang w:val="fr-FR"/>
        </w:rPr>
        <w:t xml:space="preserve"> coûts et la consolidation des projets de résolution, et iii) examiner les modalités de communication du Secrétariat avec les Parties contractantes en vue </w:t>
      </w:r>
      <w:r w:rsidR="00A86A1D">
        <w:rPr>
          <w:lang w:val="fr-FR"/>
        </w:rPr>
        <w:t xml:space="preserve">de rendre les </w:t>
      </w:r>
      <w:r w:rsidR="00A86A1D" w:rsidRPr="00A86A1D">
        <w:rPr>
          <w:lang w:val="fr-FR"/>
        </w:rPr>
        <w:t>interactions plus efficaces, en particulier pendant l’intersession ;</w:t>
      </w:r>
    </w:p>
    <w:p w:rsidR="00605195" w:rsidRPr="00A86A1D" w:rsidRDefault="00605195" w:rsidP="00605195">
      <w:pPr>
        <w:spacing w:after="0" w:line="240" w:lineRule="auto"/>
        <w:ind w:left="851" w:hanging="425"/>
        <w:rPr>
          <w:lang w:val="fr-FR"/>
        </w:rPr>
      </w:pPr>
    </w:p>
    <w:p w:rsidR="00E93C9D" w:rsidRPr="00A86A1D" w:rsidRDefault="00605195" w:rsidP="00605195">
      <w:pPr>
        <w:spacing w:after="0" w:line="240" w:lineRule="auto"/>
        <w:ind w:left="851" w:hanging="425"/>
        <w:rPr>
          <w:lang w:val="fr-FR"/>
        </w:rPr>
      </w:pPr>
      <w:r w:rsidRPr="00A86A1D">
        <w:rPr>
          <w:lang w:val="fr-FR"/>
        </w:rPr>
        <w:t>b.</w:t>
      </w:r>
      <w:r w:rsidRPr="00A86A1D">
        <w:rPr>
          <w:lang w:val="fr-FR"/>
        </w:rPr>
        <w:tab/>
      </w:r>
      <w:r w:rsidR="00553006">
        <w:rPr>
          <w:lang w:val="fr-FR"/>
        </w:rPr>
        <w:t>Étudie</w:t>
      </w:r>
      <w:r w:rsidR="00A86A1D" w:rsidRPr="00A86A1D">
        <w:rPr>
          <w:lang w:val="fr-FR"/>
        </w:rPr>
        <w:t xml:space="preserve"> les moyens de renforcer la collaboration et la communi</w:t>
      </w:r>
      <w:r w:rsidR="00A86A1D">
        <w:rPr>
          <w:lang w:val="fr-FR"/>
        </w:rPr>
        <w:t>cation entre les Parties dans l’</w:t>
      </w:r>
      <w:r w:rsidR="00A86A1D" w:rsidRPr="00A86A1D">
        <w:rPr>
          <w:lang w:val="fr-FR"/>
        </w:rPr>
        <w:t>élaboration des projets de résolution ;</w:t>
      </w:r>
    </w:p>
    <w:p w:rsidR="00605195" w:rsidRPr="00A86A1D" w:rsidRDefault="00605195" w:rsidP="00605195">
      <w:pPr>
        <w:spacing w:after="0" w:line="240" w:lineRule="auto"/>
        <w:ind w:left="851" w:hanging="425"/>
        <w:rPr>
          <w:lang w:val="fr-FR"/>
        </w:rPr>
      </w:pPr>
    </w:p>
    <w:p w:rsidR="00E93C9D" w:rsidRPr="00A86A1D" w:rsidRDefault="00605195" w:rsidP="00605195">
      <w:pPr>
        <w:spacing w:after="0" w:line="240" w:lineRule="auto"/>
        <w:ind w:left="851" w:hanging="425"/>
        <w:rPr>
          <w:lang w:val="fr-FR"/>
        </w:rPr>
      </w:pPr>
      <w:r w:rsidRPr="00A86A1D">
        <w:rPr>
          <w:lang w:val="fr-FR"/>
        </w:rPr>
        <w:t>c.</w:t>
      </w:r>
      <w:r w:rsidRPr="00A86A1D">
        <w:rPr>
          <w:lang w:val="fr-FR"/>
        </w:rPr>
        <w:tab/>
      </w:r>
      <w:r w:rsidR="00553006">
        <w:rPr>
          <w:lang w:val="fr-FR"/>
        </w:rPr>
        <w:t>Propose</w:t>
      </w:r>
      <w:r w:rsidR="00A86A1D" w:rsidRPr="00A86A1D">
        <w:rPr>
          <w:lang w:val="fr-FR"/>
        </w:rPr>
        <w:t xml:space="preserve"> un projet de lignes directrices pour les meilleures pratiques dans le fonctionnement des groupes de travail</w:t>
      </w:r>
      <w:r w:rsidR="30A6DA12" w:rsidRPr="00A86A1D">
        <w:rPr>
          <w:lang w:val="fr-FR"/>
        </w:rPr>
        <w:t xml:space="preserve"> (Annex</w:t>
      </w:r>
      <w:r w:rsidR="00A86A1D">
        <w:rPr>
          <w:lang w:val="fr-FR"/>
        </w:rPr>
        <w:t>e</w:t>
      </w:r>
      <w:r w:rsidR="30A6DA12" w:rsidRPr="00A86A1D">
        <w:rPr>
          <w:lang w:val="fr-FR"/>
        </w:rPr>
        <w:t xml:space="preserve"> 1)</w:t>
      </w:r>
      <w:r w:rsidR="00553006">
        <w:rPr>
          <w:lang w:val="fr-FR"/>
        </w:rPr>
        <w:t xml:space="preserve"> </w:t>
      </w:r>
      <w:r w:rsidR="30A6DA12" w:rsidRPr="00A86A1D">
        <w:rPr>
          <w:lang w:val="fr-FR"/>
        </w:rPr>
        <w:t>;</w:t>
      </w:r>
    </w:p>
    <w:p w:rsidR="00605195" w:rsidRPr="00A86A1D" w:rsidRDefault="00605195" w:rsidP="00605195">
      <w:pPr>
        <w:spacing w:after="0" w:line="240" w:lineRule="auto"/>
        <w:ind w:left="851" w:hanging="425"/>
        <w:rPr>
          <w:lang w:val="fr-FR"/>
        </w:rPr>
      </w:pPr>
    </w:p>
    <w:p w:rsidR="00E93C9D" w:rsidRPr="00A86A1D" w:rsidRDefault="00605195" w:rsidP="00605195">
      <w:pPr>
        <w:spacing w:after="0" w:line="240" w:lineRule="auto"/>
        <w:ind w:left="851" w:hanging="425"/>
        <w:rPr>
          <w:lang w:val="fr-FR"/>
        </w:rPr>
      </w:pPr>
      <w:r w:rsidRPr="00A86A1D">
        <w:rPr>
          <w:lang w:val="fr-FR"/>
        </w:rPr>
        <w:t>d.</w:t>
      </w:r>
      <w:r w:rsidRPr="00A86A1D">
        <w:rPr>
          <w:lang w:val="fr-FR"/>
        </w:rPr>
        <w:tab/>
      </w:r>
      <w:r w:rsidR="00553006">
        <w:rPr>
          <w:lang w:val="fr-FR"/>
        </w:rPr>
        <w:t>Encourage</w:t>
      </w:r>
      <w:r w:rsidR="00A86A1D" w:rsidRPr="00A86A1D">
        <w:rPr>
          <w:lang w:val="fr-FR"/>
        </w:rPr>
        <w:t xml:space="preserve"> la rationalisation des processus des organes subsidiaires </w:t>
      </w:r>
      <w:r w:rsidR="00A86A1D">
        <w:rPr>
          <w:lang w:val="fr-FR"/>
        </w:rPr>
        <w:t>de la Convention, y compris l</w:t>
      </w:r>
      <w:r w:rsidR="00A86A1D" w:rsidRPr="00A86A1D">
        <w:rPr>
          <w:lang w:val="fr-FR"/>
        </w:rPr>
        <w:t xml:space="preserve">es processus permettant un démarrage efficace des travaux immédiatement après les </w:t>
      </w:r>
      <w:r w:rsidR="00A86A1D">
        <w:rPr>
          <w:lang w:val="fr-FR"/>
        </w:rPr>
        <w:t>sessions</w:t>
      </w:r>
      <w:r w:rsidR="00A86A1D" w:rsidRPr="00A86A1D">
        <w:rPr>
          <w:lang w:val="fr-FR"/>
        </w:rPr>
        <w:t xml:space="preserve"> de la Conférence des Parties</w:t>
      </w:r>
      <w:r w:rsidR="00A86A1D">
        <w:rPr>
          <w:lang w:val="fr-FR"/>
        </w:rPr>
        <w:t>,</w:t>
      </w:r>
      <w:r w:rsidR="00A86A1D" w:rsidRPr="00A86A1D">
        <w:rPr>
          <w:lang w:val="fr-FR"/>
        </w:rPr>
        <w:t xml:space="preserve"> afin de maximiser les résultats pendant l'intersession ; et</w:t>
      </w:r>
    </w:p>
    <w:p w:rsidR="00605195" w:rsidRPr="00A86A1D" w:rsidRDefault="00605195" w:rsidP="00605195">
      <w:pPr>
        <w:spacing w:after="0" w:line="240" w:lineRule="auto"/>
        <w:ind w:left="851" w:hanging="425"/>
        <w:rPr>
          <w:lang w:val="fr-FR"/>
        </w:rPr>
      </w:pPr>
    </w:p>
    <w:p w:rsidR="00E93C9D" w:rsidRPr="00CA75F9" w:rsidRDefault="00605195" w:rsidP="00605195">
      <w:pPr>
        <w:spacing w:after="0" w:line="240" w:lineRule="auto"/>
        <w:ind w:left="851" w:hanging="425"/>
        <w:rPr>
          <w:lang w:val="fr-FR"/>
        </w:rPr>
      </w:pPr>
      <w:r w:rsidRPr="00CA75F9">
        <w:rPr>
          <w:lang w:val="fr-FR"/>
        </w:rPr>
        <w:t>e.</w:t>
      </w:r>
      <w:r w:rsidRPr="00CA75F9">
        <w:rPr>
          <w:lang w:val="fr-FR"/>
        </w:rPr>
        <w:tab/>
      </w:r>
      <w:r w:rsidR="00553006">
        <w:rPr>
          <w:lang w:val="fr-FR"/>
        </w:rPr>
        <w:t>Demande</w:t>
      </w:r>
      <w:r w:rsidR="00CA75F9" w:rsidRPr="00CA75F9">
        <w:rPr>
          <w:lang w:val="fr-FR"/>
        </w:rPr>
        <w:t xml:space="preserve"> un examen des pratiques de la Convention pendant la période de pandémie mondiale et, sur la ba</w:t>
      </w:r>
      <w:r w:rsidR="00553006">
        <w:rPr>
          <w:lang w:val="fr-FR"/>
        </w:rPr>
        <w:t>se de cet examen, propose</w:t>
      </w:r>
      <w:r w:rsidR="00CA75F9">
        <w:rPr>
          <w:lang w:val="fr-FR"/>
        </w:rPr>
        <w:t xml:space="preserve"> tous</w:t>
      </w:r>
      <w:r w:rsidR="00CA75F9" w:rsidRPr="00CA75F9">
        <w:rPr>
          <w:lang w:val="fr-FR"/>
        </w:rPr>
        <w:t xml:space="preserve"> moyen</w:t>
      </w:r>
      <w:r w:rsidR="00CA75F9">
        <w:rPr>
          <w:lang w:val="fr-FR"/>
        </w:rPr>
        <w:t>s</w:t>
      </w:r>
      <w:r w:rsidR="00CA75F9" w:rsidRPr="00CA75F9">
        <w:rPr>
          <w:lang w:val="fr-FR"/>
        </w:rPr>
        <w:t xml:space="preserve"> de renforcer les procédures de prise de décisions permettant un fonctionnement continu et efficace de la Convention dans des circonstances exceptionnelles et extraordinaires</w:t>
      </w:r>
      <w:r w:rsidR="30A6DA12" w:rsidRPr="00CA75F9">
        <w:rPr>
          <w:lang w:val="fr-FR"/>
        </w:rPr>
        <w:t>.</w:t>
      </w:r>
    </w:p>
    <w:p w:rsidR="00380D40" w:rsidRPr="00CA75F9" w:rsidRDefault="00380D40" w:rsidP="00BA2459">
      <w:pPr>
        <w:spacing w:after="0" w:line="240" w:lineRule="auto"/>
        <w:rPr>
          <w:rFonts w:ascii="Calibri" w:eastAsia="Calibri" w:hAnsi="Calibri"/>
          <w:b/>
          <w:color w:val="000000" w:themeColor="text1"/>
          <w:lang w:val="fr-FR"/>
        </w:rPr>
      </w:pPr>
    </w:p>
    <w:p w:rsidR="00E93C9D" w:rsidRPr="004D59BC" w:rsidRDefault="007C3E55" w:rsidP="00BA2459">
      <w:pPr>
        <w:spacing w:after="0" w:line="240" w:lineRule="auto"/>
        <w:rPr>
          <w:rFonts w:ascii="Calibri" w:eastAsia="Calibri" w:hAnsi="Calibri"/>
          <w:color w:val="000000" w:themeColor="text1"/>
          <w:lang w:val="fr-FR"/>
        </w:rPr>
      </w:pPr>
      <w:r w:rsidRPr="004D59BC">
        <w:rPr>
          <w:rFonts w:ascii="Calibri" w:eastAsia="Calibri" w:hAnsi="Calibri"/>
          <w:b/>
          <w:color w:val="000000" w:themeColor="text1"/>
          <w:lang w:val="fr-FR"/>
        </w:rPr>
        <w:t>Conclusion</w:t>
      </w:r>
    </w:p>
    <w:p w:rsidR="00605195" w:rsidRPr="004D59BC" w:rsidRDefault="00605195" w:rsidP="00380D40">
      <w:pPr>
        <w:spacing w:after="0" w:line="240" w:lineRule="auto"/>
        <w:ind w:left="426" w:hanging="426"/>
        <w:rPr>
          <w:rFonts w:ascii="Calibri" w:eastAsia="Calibri" w:hAnsi="Calibri"/>
          <w:color w:val="000000" w:themeColor="text1"/>
          <w:lang w:val="fr-FR"/>
        </w:rPr>
      </w:pPr>
    </w:p>
    <w:p w:rsidR="00E93C9D" w:rsidRPr="00CA75F9" w:rsidRDefault="00380D40" w:rsidP="00380D40">
      <w:pPr>
        <w:spacing w:after="0" w:line="240" w:lineRule="auto"/>
        <w:ind w:left="426" w:hanging="426"/>
        <w:rPr>
          <w:rFonts w:ascii="Calibri" w:eastAsia="Calibri" w:hAnsi="Calibri"/>
          <w:color w:val="000000" w:themeColor="text1"/>
          <w:lang w:val="fr-FR"/>
        </w:rPr>
      </w:pPr>
      <w:r w:rsidRPr="00CA75F9">
        <w:rPr>
          <w:rFonts w:ascii="Calibri" w:eastAsia="Calibri" w:hAnsi="Calibri"/>
          <w:color w:val="000000" w:themeColor="text1"/>
          <w:lang w:val="fr-FR"/>
        </w:rPr>
        <w:t>9.</w:t>
      </w:r>
      <w:r w:rsidRPr="00CA75F9">
        <w:rPr>
          <w:rFonts w:ascii="Calibri" w:eastAsia="Calibri" w:hAnsi="Calibri"/>
          <w:color w:val="000000" w:themeColor="text1"/>
          <w:lang w:val="fr-FR"/>
        </w:rPr>
        <w:tab/>
      </w:r>
      <w:r w:rsidR="00CA75F9" w:rsidRPr="00CA75F9">
        <w:rPr>
          <w:rFonts w:ascii="Calibri" w:eastAsia="Calibri" w:hAnsi="Calibri"/>
          <w:color w:val="000000" w:themeColor="text1"/>
          <w:lang w:val="fr-FR"/>
        </w:rPr>
        <w:t>Le Président de ce groupe de travail tient à remercier toutes les Parties qui ont contribué à ce</w:t>
      </w:r>
      <w:r w:rsidR="00553006">
        <w:rPr>
          <w:rFonts w:ascii="Calibri" w:eastAsia="Calibri" w:hAnsi="Calibri"/>
          <w:color w:val="000000" w:themeColor="text1"/>
          <w:lang w:val="fr-FR"/>
        </w:rPr>
        <w:t>s travaux</w:t>
      </w:r>
      <w:r w:rsidR="00CA75F9" w:rsidRPr="00CA75F9">
        <w:rPr>
          <w:rFonts w:ascii="Calibri" w:eastAsia="Calibri" w:hAnsi="Calibri"/>
          <w:color w:val="000000" w:themeColor="text1"/>
          <w:lang w:val="fr-FR"/>
        </w:rPr>
        <w:t xml:space="preserve"> sous ses diverses formes et </w:t>
      </w:r>
      <w:r w:rsidR="00CA75F9">
        <w:rPr>
          <w:rFonts w:ascii="Calibri" w:eastAsia="Calibri" w:hAnsi="Calibri"/>
          <w:color w:val="000000" w:themeColor="text1"/>
          <w:lang w:val="fr-FR"/>
        </w:rPr>
        <w:t>qui ont fourni des informations et</w:t>
      </w:r>
      <w:r w:rsidR="00553006">
        <w:rPr>
          <w:rFonts w:ascii="Calibri" w:eastAsia="Calibri" w:hAnsi="Calibri"/>
          <w:color w:val="000000" w:themeColor="text1"/>
          <w:lang w:val="fr-FR"/>
        </w:rPr>
        <w:t xml:space="preserve"> </w:t>
      </w:r>
      <w:r w:rsidR="00CA75F9" w:rsidRPr="00CA75F9">
        <w:rPr>
          <w:rFonts w:ascii="Calibri" w:eastAsia="Calibri" w:hAnsi="Calibri"/>
          <w:color w:val="000000" w:themeColor="text1"/>
          <w:lang w:val="fr-FR"/>
        </w:rPr>
        <w:t xml:space="preserve">idées </w:t>
      </w:r>
      <w:r w:rsidR="00CA75F9">
        <w:rPr>
          <w:rFonts w:ascii="Calibri" w:eastAsia="Calibri" w:hAnsi="Calibri"/>
          <w:color w:val="000000" w:themeColor="text1"/>
          <w:lang w:val="fr-FR"/>
        </w:rPr>
        <w:t>précieuses, ont animé les débats,</w:t>
      </w:r>
      <w:r w:rsidR="00CA75F9" w:rsidRPr="00CA75F9">
        <w:rPr>
          <w:rFonts w:ascii="Calibri" w:eastAsia="Calibri" w:hAnsi="Calibri"/>
          <w:color w:val="000000" w:themeColor="text1"/>
          <w:lang w:val="fr-FR"/>
        </w:rPr>
        <w:t xml:space="preserve"> pour </w:t>
      </w:r>
      <w:r w:rsidR="00553006">
        <w:rPr>
          <w:rFonts w:ascii="Calibri" w:eastAsia="Calibri" w:hAnsi="Calibri"/>
          <w:color w:val="000000" w:themeColor="text1"/>
          <w:lang w:val="fr-FR"/>
        </w:rPr>
        <w:t xml:space="preserve">réaliser </w:t>
      </w:r>
      <w:r w:rsidR="00CA75F9" w:rsidRPr="00CA75F9">
        <w:rPr>
          <w:rFonts w:ascii="Calibri" w:eastAsia="Calibri" w:hAnsi="Calibri"/>
          <w:color w:val="000000" w:themeColor="text1"/>
          <w:lang w:val="fr-FR"/>
        </w:rPr>
        <w:t>ce travail important et opportun. Les recommandations</w:t>
      </w:r>
      <w:r w:rsidR="00CA75F9">
        <w:rPr>
          <w:rFonts w:ascii="Calibri" w:eastAsia="Calibri" w:hAnsi="Calibri"/>
          <w:color w:val="000000" w:themeColor="text1"/>
          <w:lang w:val="fr-FR"/>
        </w:rPr>
        <w:t xml:space="preserve"> et le projet de résolution du g</w:t>
      </w:r>
      <w:r w:rsidR="00CA75F9" w:rsidRPr="00CA75F9">
        <w:rPr>
          <w:rFonts w:ascii="Calibri" w:eastAsia="Calibri" w:hAnsi="Calibri"/>
          <w:color w:val="000000" w:themeColor="text1"/>
          <w:lang w:val="fr-FR"/>
        </w:rPr>
        <w:t xml:space="preserve">roupe, s’ils sont adoptés et pleinement mis en œuvre, amélioreront l’efficacité de la Convention et lui permettront de se concentrer plus </w:t>
      </w:r>
      <w:r w:rsidR="00553006">
        <w:rPr>
          <w:rFonts w:ascii="Calibri" w:eastAsia="Calibri" w:hAnsi="Calibri"/>
          <w:color w:val="000000" w:themeColor="text1"/>
          <w:lang w:val="fr-FR"/>
        </w:rPr>
        <w:t>effectivement</w:t>
      </w:r>
      <w:r w:rsidR="00CA75F9" w:rsidRPr="00CA75F9">
        <w:rPr>
          <w:rFonts w:ascii="Calibri" w:eastAsia="Calibri" w:hAnsi="Calibri"/>
          <w:color w:val="000000" w:themeColor="text1"/>
          <w:lang w:val="fr-FR"/>
        </w:rPr>
        <w:t xml:space="preserve"> sur sa </w:t>
      </w:r>
      <w:r w:rsidR="00553006">
        <w:rPr>
          <w:rFonts w:ascii="Calibri" w:eastAsia="Calibri" w:hAnsi="Calibri"/>
          <w:color w:val="000000" w:themeColor="text1"/>
          <w:lang w:val="fr-FR"/>
        </w:rPr>
        <w:t>mission</w:t>
      </w:r>
      <w:r w:rsidR="00CA75F9" w:rsidRPr="00CA75F9">
        <w:rPr>
          <w:rFonts w:ascii="Calibri" w:eastAsia="Calibri" w:hAnsi="Calibri"/>
          <w:color w:val="000000" w:themeColor="text1"/>
          <w:lang w:val="fr-FR"/>
        </w:rPr>
        <w:t xml:space="preserve"> vitale de protection des zones humides à l’échelle mondiale.</w:t>
      </w:r>
    </w:p>
    <w:p w:rsidR="00E93C9D" w:rsidRDefault="00E93C9D" w:rsidP="00BA2459">
      <w:pPr>
        <w:spacing w:after="0" w:line="240" w:lineRule="auto"/>
        <w:rPr>
          <w:lang w:val="fr-FR"/>
        </w:rPr>
      </w:pPr>
    </w:p>
    <w:p w:rsidR="0038035D" w:rsidRDefault="0038035D">
      <w:pPr>
        <w:rPr>
          <w:lang w:val="fr-FR"/>
        </w:rPr>
      </w:pPr>
      <w:r>
        <w:rPr>
          <w:lang w:val="fr-FR"/>
        </w:rPr>
        <w:br w:type="page"/>
      </w:r>
    </w:p>
    <w:p w:rsidR="0038035D" w:rsidRPr="0038035D" w:rsidRDefault="0038035D" w:rsidP="0038035D">
      <w:pPr>
        <w:spacing w:after="0" w:line="240" w:lineRule="auto"/>
        <w:ind w:right="16"/>
        <w:rPr>
          <w:rFonts w:eastAsia="Times New Roman"/>
          <w:b/>
          <w:bCs/>
          <w:sz w:val="24"/>
          <w:szCs w:val="24"/>
          <w:lang w:val="fr-FR"/>
        </w:rPr>
      </w:pPr>
      <w:r w:rsidRPr="0038035D">
        <w:rPr>
          <w:rFonts w:eastAsia="Times New Roman"/>
          <w:b/>
          <w:bCs/>
          <w:sz w:val="24"/>
          <w:szCs w:val="24"/>
          <w:lang w:val="fr-FR"/>
        </w:rPr>
        <w:lastRenderedPageBreak/>
        <w:t>Annexe 1</w:t>
      </w:r>
    </w:p>
    <w:p w:rsidR="0038035D" w:rsidRPr="0038035D" w:rsidRDefault="0038035D" w:rsidP="0038035D">
      <w:pPr>
        <w:spacing w:after="0" w:line="240" w:lineRule="auto"/>
        <w:ind w:right="16"/>
        <w:rPr>
          <w:rFonts w:eastAsia="Times New Roman"/>
          <w:b/>
          <w:bCs/>
          <w:sz w:val="24"/>
          <w:szCs w:val="24"/>
          <w:lang w:val="fr-FR"/>
        </w:rPr>
      </w:pPr>
      <w:r w:rsidRPr="0038035D">
        <w:rPr>
          <w:rFonts w:eastAsia="Times New Roman"/>
          <w:b/>
          <w:bCs/>
          <w:sz w:val="24"/>
          <w:szCs w:val="24"/>
          <w:lang w:val="fr-FR"/>
        </w:rPr>
        <w:t>Projet de résolution sur l’efficacité et l’efficience de la Convention de Ramsar.</w:t>
      </w:r>
    </w:p>
    <w:p w:rsidR="0038035D" w:rsidRPr="00BE2E9F" w:rsidRDefault="0038035D" w:rsidP="0038035D">
      <w:pPr>
        <w:spacing w:after="0" w:line="240" w:lineRule="auto"/>
        <w:jc w:val="right"/>
        <w:rPr>
          <w:rFonts w:eastAsia="Times New Roman"/>
          <w:b/>
          <w:sz w:val="28"/>
          <w:szCs w:val="28"/>
          <w:lang w:val="fr-FR"/>
        </w:rPr>
      </w:pPr>
    </w:p>
    <w:p w:rsidR="0038035D" w:rsidRPr="00BE2E9F" w:rsidRDefault="0038035D" w:rsidP="0038035D">
      <w:pPr>
        <w:spacing w:after="0" w:line="240" w:lineRule="auto"/>
        <w:ind w:right="16"/>
        <w:rPr>
          <w:rFonts w:eastAsia="Times New Roman"/>
          <w:i/>
          <w:iCs/>
          <w:lang w:val="fr-FR"/>
        </w:rPr>
      </w:pPr>
      <w:r w:rsidRPr="00BE2E9F">
        <w:rPr>
          <w:rFonts w:eastAsia="Times New Roman"/>
          <w:i/>
          <w:iCs/>
          <w:lang w:val="fr-FR"/>
        </w:rPr>
        <w:t>Soumis par le Groupe de travail sur l’efficacité du Comité permanent</w:t>
      </w:r>
    </w:p>
    <w:p w:rsidR="0038035D" w:rsidRPr="00BE2E9F" w:rsidRDefault="0038035D" w:rsidP="0038035D">
      <w:pPr>
        <w:spacing w:after="0" w:line="240" w:lineRule="auto"/>
        <w:ind w:right="16"/>
        <w:rPr>
          <w:i/>
          <w:iCs/>
          <w:lang w:val="fr-FR"/>
        </w:rPr>
      </w:pPr>
    </w:p>
    <w:p w:rsidR="0038035D" w:rsidRPr="00BE2E9F" w:rsidRDefault="0038035D" w:rsidP="0038035D">
      <w:pPr>
        <w:spacing w:after="0" w:line="240" w:lineRule="auto"/>
        <w:jc w:val="both"/>
        <w:rPr>
          <w:lang w:val="fr-FR"/>
        </w:rPr>
      </w:pPr>
      <w:r>
        <w:rPr>
          <w:noProof/>
          <w:color w:val="2B579A"/>
          <w:shd w:val="clear" w:color="auto" w:fill="E6E6E6"/>
          <w:lang w:val="fr-FR"/>
        </w:rPr>
      </w:r>
      <w:r>
        <w:rPr>
          <w:noProof/>
          <w:color w:val="2B579A"/>
          <w:shd w:val="clear" w:color="auto" w:fill="E6E6E6"/>
          <w:lang w:val="fr-FR"/>
        </w:rPr>
        <w:pict>
          <v:shape id="Text Box 2" o:spid="_x0000_s2052" type="#_x0000_t202" style="width:458.3pt;height:76pt;visibility:visible;mso-left-percent:-10001;mso-top-percent:-10001;mso-position-horizontal:absolute;mso-position-horizontal-relative:char;mso-position-vertical:absolute;mso-position-vertical-relative:line;mso-left-percent:-10001;mso-top-percent:-10001">
            <v:textbox>
              <w:txbxContent>
                <w:p w:rsidR="0038035D" w:rsidRPr="001A1762" w:rsidRDefault="0038035D" w:rsidP="0038035D">
                  <w:pPr>
                    <w:spacing w:after="0" w:line="240" w:lineRule="auto"/>
                    <w:rPr>
                      <w:rFonts w:cs="Calibri"/>
                      <w:b/>
                      <w:lang w:val="fr-FR"/>
                    </w:rPr>
                  </w:pPr>
                  <w:r w:rsidRPr="001A1762">
                    <w:rPr>
                      <w:rFonts w:cs="Calibri"/>
                      <w:b/>
                      <w:lang w:val="fr-FR"/>
                    </w:rPr>
                    <w:t>Action requise :</w:t>
                  </w:r>
                </w:p>
                <w:p w:rsidR="0038035D" w:rsidRPr="001A1762" w:rsidRDefault="0038035D" w:rsidP="0038035D">
                  <w:pPr>
                    <w:spacing w:after="0" w:line="240" w:lineRule="auto"/>
                    <w:rPr>
                      <w:rFonts w:cs="Calibri"/>
                      <w:b/>
                      <w:lang w:val="fr-FR"/>
                    </w:rPr>
                  </w:pPr>
                </w:p>
                <w:p w:rsidR="0038035D" w:rsidRPr="001A1762" w:rsidRDefault="0038035D" w:rsidP="0038035D">
                  <w:pPr>
                    <w:widowControl w:val="0"/>
                    <w:numPr>
                      <w:ilvl w:val="0"/>
                      <w:numId w:val="7"/>
                    </w:numPr>
                    <w:spacing w:after="0" w:line="240" w:lineRule="auto"/>
                    <w:ind w:left="426" w:hanging="426"/>
                    <w:rPr>
                      <w:b/>
                      <w:lang w:val="fr-FR"/>
                    </w:rPr>
                  </w:pPr>
                  <w:r w:rsidRPr="001A1762">
                    <w:rPr>
                      <w:rFonts w:cs="Calibri"/>
                      <w:lang w:val="fr-FR"/>
                    </w:rPr>
                    <w:t>Le Comité permanent est invité à examiner et à approuver le projet de résolution ci-joint pour examen à la 14</w:t>
                  </w:r>
                  <w:r w:rsidRPr="001A1762">
                    <w:rPr>
                      <w:rFonts w:cs="Calibri"/>
                      <w:vertAlign w:val="superscript"/>
                      <w:lang w:val="fr-FR"/>
                    </w:rPr>
                    <w:t>e</w:t>
                  </w:r>
                  <w:r w:rsidRPr="001A1762">
                    <w:rPr>
                      <w:rFonts w:cs="Calibri"/>
                      <w:lang w:val="fr-FR"/>
                    </w:rPr>
                    <w:t xml:space="preserve"> session de la Conférence des Parties</w:t>
                  </w:r>
                  <w:r w:rsidRPr="001A1762">
                    <w:rPr>
                      <w:rFonts w:cs="Calibri"/>
                      <w:b/>
                      <w:lang w:val="fr-FR"/>
                    </w:rPr>
                    <w:t>.</w:t>
                  </w:r>
                </w:p>
                <w:p w:rsidR="0038035D" w:rsidRPr="001A1762" w:rsidRDefault="0038035D" w:rsidP="0038035D">
                  <w:pPr>
                    <w:widowControl w:val="0"/>
                    <w:spacing w:after="0" w:line="240" w:lineRule="auto"/>
                    <w:rPr>
                      <w:b/>
                      <w:highlight w:val="yellow"/>
                      <w:lang w:val="fr-FR"/>
                    </w:rPr>
                  </w:pPr>
                </w:p>
              </w:txbxContent>
            </v:textbox>
            <w10:anchorlock/>
          </v:shape>
        </w:pict>
      </w:r>
    </w:p>
    <w:p w:rsidR="0038035D" w:rsidRPr="00BE2E9F" w:rsidRDefault="0038035D" w:rsidP="0038035D">
      <w:pPr>
        <w:spacing w:after="0" w:line="240" w:lineRule="auto"/>
        <w:rPr>
          <w:lang w:val="fr-FR"/>
        </w:rPr>
      </w:pPr>
    </w:p>
    <w:p w:rsidR="0038035D" w:rsidRPr="00BE2E9F" w:rsidRDefault="0038035D" w:rsidP="0038035D">
      <w:pPr>
        <w:spacing w:after="0" w:line="240" w:lineRule="auto"/>
        <w:rPr>
          <w:lang w:val="fr-FR"/>
        </w:rPr>
      </w:pPr>
    </w:p>
    <w:p w:rsidR="0038035D" w:rsidRPr="00BE2E9F" w:rsidRDefault="0038035D" w:rsidP="0038035D">
      <w:pPr>
        <w:spacing w:after="0" w:line="240" w:lineRule="auto"/>
        <w:rPr>
          <w:rFonts w:cstheme="minorHAnsi"/>
          <w:b/>
          <w:lang w:val="fr-FR"/>
        </w:rPr>
      </w:pPr>
      <w:r w:rsidRPr="00BE2E9F">
        <w:rPr>
          <w:rFonts w:cstheme="minorHAnsi"/>
          <w:b/>
          <w:lang w:val="fr-FR"/>
        </w:rPr>
        <w:t>Introduction</w:t>
      </w:r>
    </w:p>
    <w:p w:rsidR="0038035D" w:rsidRPr="00BE2E9F" w:rsidRDefault="0038035D" w:rsidP="0038035D">
      <w:pPr>
        <w:spacing w:after="0" w:line="240" w:lineRule="auto"/>
        <w:rPr>
          <w:rFonts w:cstheme="minorBidi"/>
          <w:b/>
          <w:lang w:val="fr-FR"/>
        </w:rPr>
      </w:pPr>
    </w:p>
    <w:p w:rsidR="0038035D" w:rsidRPr="00BE2E9F" w:rsidRDefault="0038035D" w:rsidP="0038035D">
      <w:pPr>
        <w:spacing w:after="0" w:line="240" w:lineRule="auto"/>
        <w:rPr>
          <w:rFonts w:cstheme="minorBidi"/>
          <w:lang w:val="fr-FR"/>
        </w:rPr>
      </w:pPr>
      <w:r>
        <w:rPr>
          <w:rFonts w:cstheme="minorHAnsi"/>
          <w:lang w:val="fr-FR"/>
        </w:rPr>
        <w:t>Adoptée à</w:t>
      </w:r>
      <w:r w:rsidRPr="00BE2E9F">
        <w:rPr>
          <w:rFonts w:cstheme="minorBidi"/>
          <w:lang w:val="fr-FR"/>
        </w:rPr>
        <w:t xml:space="preserve"> la session de la COP13</w:t>
      </w:r>
      <w:r>
        <w:rPr>
          <w:rFonts w:cstheme="minorBidi"/>
          <w:lang w:val="fr-FR"/>
        </w:rPr>
        <w:t>,</w:t>
      </w:r>
      <w:r w:rsidRPr="00BE2E9F">
        <w:rPr>
          <w:rFonts w:cstheme="minorBidi"/>
          <w:lang w:val="fr-FR"/>
        </w:rPr>
        <w:t xml:space="preserve"> </w:t>
      </w:r>
      <w:r>
        <w:rPr>
          <w:rFonts w:cstheme="minorBidi"/>
          <w:lang w:val="fr-FR"/>
        </w:rPr>
        <w:t>la résolution XIII.3 charge</w:t>
      </w:r>
      <w:r w:rsidRPr="00BE2E9F">
        <w:rPr>
          <w:rFonts w:cstheme="minorBidi"/>
          <w:lang w:val="fr-FR"/>
        </w:rPr>
        <w:t xml:space="preserve"> le Groupe de travail sur l’efficacité d’examiner la structure de gouvernance de la Convention et de rendre compte de ses recommandations finales, </w:t>
      </w:r>
      <w:r>
        <w:rPr>
          <w:rFonts w:cstheme="minorBidi"/>
          <w:lang w:val="fr-FR"/>
        </w:rPr>
        <w:t>dont</w:t>
      </w:r>
      <w:r w:rsidRPr="00BE2E9F">
        <w:rPr>
          <w:rFonts w:cstheme="minorBidi"/>
          <w:lang w:val="fr-FR"/>
        </w:rPr>
        <w:t xml:space="preserve"> un projet de résolution décrit ci-</w:t>
      </w:r>
      <w:r>
        <w:rPr>
          <w:rFonts w:cstheme="minorBidi"/>
          <w:lang w:val="fr-FR"/>
        </w:rPr>
        <w:t>dessous</w:t>
      </w:r>
      <w:r w:rsidRPr="00BE2E9F">
        <w:rPr>
          <w:rFonts w:cstheme="minorBidi"/>
          <w:lang w:val="fr-FR"/>
        </w:rPr>
        <w:t xml:space="preserve"> :</w:t>
      </w:r>
    </w:p>
    <w:p w:rsidR="0038035D" w:rsidRPr="00BE2E9F" w:rsidRDefault="0038035D" w:rsidP="0038035D">
      <w:pPr>
        <w:spacing w:after="0" w:line="240" w:lineRule="auto"/>
        <w:rPr>
          <w:rFonts w:cstheme="minorHAnsi"/>
          <w:lang w:val="fr-FR"/>
        </w:rPr>
      </w:pPr>
    </w:p>
    <w:p w:rsidR="0038035D" w:rsidRPr="00BE2E9F" w:rsidRDefault="0038035D" w:rsidP="0038035D">
      <w:pPr>
        <w:spacing w:after="0" w:line="240" w:lineRule="auto"/>
        <w:ind w:left="720"/>
        <w:rPr>
          <w:rFonts w:cstheme="minorHAnsi"/>
          <w:lang w:val="fr-FR"/>
        </w:rPr>
      </w:pPr>
      <w:r w:rsidRPr="00BE2E9F">
        <w:rPr>
          <w:rFonts w:cstheme="minorHAnsi"/>
          <w:lang w:val="fr-FR"/>
        </w:rPr>
        <w:t xml:space="preserve">« 14. </w:t>
      </w:r>
      <w:r w:rsidRPr="00BE2E9F">
        <w:rPr>
          <w:rStyle w:val="markedcontent"/>
          <w:rFonts w:cstheme="minorHAnsi"/>
          <w:lang w:val="fr-FR"/>
        </w:rPr>
        <w:t>DEMANDE au Groupe de travail sur l’efficacité d’examiner, avec l’assistance d’un consultant indépendant, la structure de gouvernance de la Convention telle qu’elle se présente à la clôture de la 13</w:t>
      </w:r>
      <w:r w:rsidRPr="00B14880">
        <w:rPr>
          <w:rStyle w:val="markedcontent"/>
          <w:rFonts w:cstheme="minorHAnsi"/>
          <w:vertAlign w:val="superscript"/>
          <w:lang w:val="fr-FR"/>
        </w:rPr>
        <w:t>e</w:t>
      </w:r>
      <w:r w:rsidRPr="00BE2E9F">
        <w:rPr>
          <w:rStyle w:val="markedcontent"/>
          <w:rFonts w:cstheme="minorHAnsi"/>
          <w:lang w:val="fr-FR"/>
        </w:rPr>
        <w:t xml:space="preserve"> Session de la Conférence des Parties contractantes, aux fins de </w:t>
      </w:r>
      <w:r w:rsidRPr="00BE2E9F">
        <w:rPr>
          <w:rFonts w:cstheme="minorHAnsi"/>
          <w:lang w:val="fr-FR"/>
        </w:rPr>
        <w:t>:</w:t>
      </w:r>
    </w:p>
    <w:p w:rsidR="0038035D" w:rsidRPr="00BE2E9F" w:rsidRDefault="0038035D" w:rsidP="0038035D">
      <w:pPr>
        <w:spacing w:after="0" w:line="240" w:lineRule="auto"/>
        <w:ind w:left="851"/>
        <w:rPr>
          <w:color w:val="000000" w:themeColor="text1"/>
          <w:lang w:val="fr-FR"/>
        </w:rPr>
      </w:pPr>
    </w:p>
    <w:p w:rsidR="0038035D" w:rsidRPr="00BE2E9F" w:rsidRDefault="0038035D" w:rsidP="0038035D">
      <w:pPr>
        <w:pStyle w:val="ListParagraph"/>
        <w:numPr>
          <w:ilvl w:val="1"/>
          <w:numId w:val="6"/>
        </w:numPr>
        <w:spacing w:after="0" w:line="240" w:lineRule="auto"/>
        <w:rPr>
          <w:rFonts w:cstheme="minorHAnsi"/>
          <w:color w:val="000000" w:themeColor="text1"/>
          <w:lang w:val="fr-FR"/>
        </w:rPr>
      </w:pPr>
      <w:r w:rsidRPr="00BE2E9F">
        <w:rPr>
          <w:rStyle w:val="markedcontent"/>
          <w:rFonts w:cstheme="minorHAnsi"/>
          <w:lang w:val="fr-FR"/>
        </w:rPr>
        <w:t xml:space="preserve">recommander des révisions (le cas échéant) qui renforcent encore l’efficacité, y compris la </w:t>
      </w:r>
      <w:r w:rsidRPr="00BE2E9F">
        <w:rPr>
          <w:lang w:val="fr-FR"/>
        </w:rPr>
        <w:t>rentabilité</w:t>
      </w:r>
      <w:r w:rsidRPr="00BE2E9F">
        <w:rPr>
          <w:rStyle w:val="markedcontent"/>
          <w:rFonts w:cstheme="minorHAnsi"/>
          <w:lang w:val="fr-FR"/>
        </w:rPr>
        <w:t>, et l’efficience de la Convention, afin de réduire les charges administratives et d’accélérer la réalisation de la mission de la Convention de Ramsar ; et</w:t>
      </w:r>
      <w:r w:rsidRPr="00BE2E9F">
        <w:rPr>
          <w:rFonts w:cstheme="minorHAnsi"/>
          <w:color w:val="000000" w:themeColor="text1"/>
          <w:lang w:val="fr-FR"/>
        </w:rPr>
        <w:t>,</w:t>
      </w:r>
    </w:p>
    <w:p w:rsidR="0038035D" w:rsidRPr="00BE2E9F" w:rsidRDefault="0038035D" w:rsidP="0038035D">
      <w:pPr>
        <w:spacing w:after="0" w:line="240" w:lineRule="auto"/>
        <w:ind w:left="851"/>
        <w:rPr>
          <w:rFonts w:cstheme="minorHAnsi"/>
          <w:color w:val="000000" w:themeColor="text1"/>
          <w:lang w:val="fr-FR"/>
        </w:rPr>
      </w:pPr>
    </w:p>
    <w:p w:rsidR="0038035D" w:rsidRPr="00BE2E9F" w:rsidRDefault="0038035D" w:rsidP="0038035D">
      <w:pPr>
        <w:pStyle w:val="ListParagraph"/>
        <w:numPr>
          <w:ilvl w:val="1"/>
          <w:numId w:val="6"/>
        </w:numPr>
        <w:spacing w:after="0" w:line="240" w:lineRule="auto"/>
        <w:rPr>
          <w:rFonts w:eastAsiaTheme="minorEastAsia" w:cstheme="minorHAnsi"/>
          <w:color w:val="000000" w:themeColor="text1"/>
          <w:lang w:val="fr-FR"/>
        </w:rPr>
      </w:pPr>
      <w:r w:rsidRPr="00BE2E9F">
        <w:rPr>
          <w:rStyle w:val="markedcontent"/>
          <w:rFonts w:cstheme="minorHAnsi"/>
          <w:lang w:val="fr-FR"/>
        </w:rPr>
        <w:t>proposer un processus d’application de ses recommandations.</w:t>
      </w:r>
    </w:p>
    <w:p w:rsidR="0038035D" w:rsidRPr="00BE2E9F" w:rsidRDefault="0038035D" w:rsidP="0038035D">
      <w:pPr>
        <w:spacing w:after="0" w:line="240" w:lineRule="auto"/>
        <w:ind w:right="16"/>
        <w:rPr>
          <w:rFonts w:eastAsia="Times New Roman" w:cstheme="minorHAnsi"/>
          <w:lang w:val="fr-FR"/>
        </w:rPr>
      </w:pPr>
    </w:p>
    <w:p w:rsidR="0038035D" w:rsidRPr="00BE2E9F" w:rsidRDefault="0038035D" w:rsidP="0038035D">
      <w:pPr>
        <w:spacing w:after="0" w:line="240" w:lineRule="auto"/>
        <w:rPr>
          <w:rFonts w:cs="Calibri"/>
          <w:b/>
          <w:bCs/>
          <w:lang w:val="fr-FR"/>
        </w:rPr>
      </w:pPr>
      <w:r w:rsidRPr="00BE2E9F">
        <w:rPr>
          <w:rFonts w:eastAsia="Times New Roman" w:cstheme="minorBidi"/>
          <w:lang w:val="fr-FR"/>
        </w:rPr>
        <w:t xml:space="preserve">Le projet de </w:t>
      </w:r>
      <w:r w:rsidRPr="00B14880">
        <w:rPr>
          <w:rFonts w:cstheme="minorBidi"/>
          <w:lang w:val="fr-FR"/>
        </w:rPr>
        <w:t>résolution</w:t>
      </w:r>
      <w:r w:rsidRPr="00BE2E9F">
        <w:rPr>
          <w:rFonts w:eastAsia="Times New Roman" w:cstheme="minorBidi"/>
          <w:lang w:val="fr-FR"/>
        </w:rPr>
        <w:t xml:space="preserve"> ci-après </w:t>
      </w:r>
      <w:r>
        <w:rPr>
          <w:rFonts w:eastAsia="Times New Roman" w:cstheme="minorBidi"/>
          <w:lang w:val="fr-FR"/>
        </w:rPr>
        <w:t>applique</w:t>
      </w:r>
      <w:r w:rsidRPr="00BE2E9F">
        <w:rPr>
          <w:rFonts w:eastAsia="Times New Roman" w:cstheme="minorBidi"/>
          <w:lang w:val="fr-FR"/>
        </w:rPr>
        <w:t xml:space="preserve"> les recommandations du Groupe de travail sur l'efficacité, telles qu</w:t>
      </w:r>
      <w:r>
        <w:rPr>
          <w:rFonts w:eastAsia="Times New Roman" w:cstheme="minorBidi"/>
          <w:lang w:val="fr-FR"/>
        </w:rPr>
        <w:t>’</w:t>
      </w:r>
      <w:r w:rsidRPr="00BE2E9F">
        <w:rPr>
          <w:rFonts w:eastAsia="Times New Roman" w:cstheme="minorBidi"/>
          <w:lang w:val="fr-FR"/>
        </w:rPr>
        <w:t>e</w:t>
      </w:r>
      <w:r>
        <w:rPr>
          <w:rFonts w:eastAsia="Times New Roman" w:cstheme="minorBidi"/>
          <w:lang w:val="fr-FR"/>
        </w:rPr>
        <w:t>lles sont</w:t>
      </w:r>
      <w:r w:rsidRPr="00BE2E9F">
        <w:rPr>
          <w:rFonts w:eastAsia="Times New Roman" w:cstheme="minorBidi"/>
          <w:lang w:val="fr-FR"/>
        </w:rPr>
        <w:t xml:space="preserve"> décrites dans le rapport du groupe.</w:t>
      </w:r>
    </w:p>
    <w:p w:rsidR="0038035D" w:rsidRPr="00BE2E9F" w:rsidRDefault="0038035D" w:rsidP="0038035D">
      <w:pPr>
        <w:spacing w:after="0" w:line="240" w:lineRule="auto"/>
        <w:rPr>
          <w:rFonts w:eastAsia="Times New Roman" w:cstheme="minorBidi"/>
          <w:b/>
          <w:bCs/>
          <w:lang w:val="fr-FR"/>
        </w:rPr>
      </w:pPr>
      <w:r w:rsidRPr="00BE2E9F">
        <w:rPr>
          <w:rFonts w:eastAsia="Times New Roman" w:cstheme="minorBidi"/>
          <w:b/>
          <w:bCs/>
          <w:lang w:val="fr-FR"/>
        </w:rPr>
        <w:br w:type="page"/>
      </w:r>
    </w:p>
    <w:p w:rsidR="0038035D" w:rsidRPr="00BE2E9F" w:rsidRDefault="0038035D" w:rsidP="0038035D">
      <w:pPr>
        <w:spacing w:after="0" w:line="240" w:lineRule="auto"/>
        <w:ind w:right="16"/>
        <w:rPr>
          <w:rFonts w:eastAsia="Times New Roman" w:cstheme="minorBidi"/>
          <w:b/>
          <w:bCs/>
          <w:lang w:val="fr-FR"/>
        </w:rPr>
      </w:pPr>
      <w:r w:rsidRPr="00BE2E9F">
        <w:rPr>
          <w:rFonts w:eastAsia="Times New Roman" w:cstheme="minorBidi"/>
          <w:b/>
          <w:bCs/>
          <w:lang w:val="fr-FR"/>
        </w:rPr>
        <w:lastRenderedPageBreak/>
        <w:t>Projet de résolution [XX]</w:t>
      </w:r>
    </w:p>
    <w:p w:rsidR="0038035D" w:rsidRPr="00BE2E9F" w:rsidRDefault="0038035D" w:rsidP="0038035D">
      <w:pPr>
        <w:spacing w:after="0" w:line="240" w:lineRule="auto"/>
        <w:rPr>
          <w:rFonts w:cstheme="minorHAnsi"/>
          <w:b/>
          <w:lang w:val="fr-FR"/>
        </w:rPr>
      </w:pPr>
    </w:p>
    <w:p w:rsidR="0038035D" w:rsidRPr="00BE2E9F" w:rsidRDefault="0038035D" w:rsidP="0038035D">
      <w:pPr>
        <w:pStyle w:val="ListParagraph"/>
        <w:numPr>
          <w:ilvl w:val="0"/>
          <w:numId w:val="8"/>
        </w:numPr>
        <w:spacing w:after="0" w:line="240" w:lineRule="auto"/>
        <w:ind w:left="360"/>
        <w:rPr>
          <w:rFonts w:cstheme="minorBidi"/>
          <w:lang w:val="fr-FR"/>
        </w:rPr>
      </w:pPr>
      <w:r w:rsidRPr="00BE2E9F">
        <w:rPr>
          <w:rFonts w:cstheme="minorBidi"/>
          <w:lang w:val="fr-FR"/>
        </w:rPr>
        <w:t>RECONNAISSANT l’importance d’une mise en place de dispositifs institutionnels efficaces pour la Convention de Ramsar, convention mondiale réunissant 172 Parties ;</w:t>
      </w:r>
    </w:p>
    <w:p w:rsidR="0038035D" w:rsidRPr="00BE2E9F" w:rsidRDefault="0038035D" w:rsidP="0038035D">
      <w:pPr>
        <w:pStyle w:val="ListParagraph"/>
        <w:spacing w:after="0" w:line="240" w:lineRule="auto"/>
        <w:ind w:left="360"/>
        <w:rPr>
          <w:rFonts w:cstheme="minorBidi"/>
          <w:lang w:val="fr-FR"/>
        </w:rPr>
      </w:pPr>
    </w:p>
    <w:p w:rsidR="0038035D" w:rsidRPr="00BE2E9F" w:rsidRDefault="0038035D" w:rsidP="0038035D">
      <w:pPr>
        <w:pStyle w:val="ListParagraph"/>
        <w:numPr>
          <w:ilvl w:val="0"/>
          <w:numId w:val="8"/>
        </w:numPr>
        <w:spacing w:after="0" w:line="240" w:lineRule="auto"/>
        <w:ind w:left="360"/>
        <w:rPr>
          <w:rFonts w:cstheme="minorHAnsi"/>
          <w:lang w:val="fr-FR"/>
        </w:rPr>
      </w:pPr>
      <w:r w:rsidRPr="00BE2E9F">
        <w:rPr>
          <w:rFonts w:cstheme="minorHAnsi"/>
          <w:lang w:val="fr-FR"/>
        </w:rPr>
        <w:t>RAPPELANT que la Convention a pour mission la conservation et l’utilisation rationnelle de toutes les zones humides par des actions locales et nationales</w:t>
      </w:r>
      <w:r>
        <w:rPr>
          <w:rFonts w:cstheme="minorHAnsi"/>
          <w:lang w:val="fr-FR"/>
        </w:rPr>
        <w:t>,</w:t>
      </w:r>
      <w:r w:rsidRPr="00BE2E9F">
        <w:rPr>
          <w:rFonts w:cstheme="minorHAnsi"/>
          <w:lang w:val="fr-FR"/>
        </w:rPr>
        <w:t xml:space="preserve"> et par la coopération internationale, en tant que contribution à la réalisation du développement durable dans le monde entier ;</w:t>
      </w:r>
    </w:p>
    <w:p w:rsidR="0038035D" w:rsidRPr="00BE2E9F" w:rsidRDefault="0038035D" w:rsidP="0038035D">
      <w:pPr>
        <w:pStyle w:val="ListParagraph"/>
        <w:spacing w:after="0" w:line="240" w:lineRule="auto"/>
        <w:ind w:left="360"/>
        <w:rPr>
          <w:rFonts w:cstheme="minorHAnsi"/>
          <w:lang w:val="fr-FR"/>
        </w:rPr>
      </w:pPr>
    </w:p>
    <w:p w:rsidR="0038035D" w:rsidRPr="00BE2E9F" w:rsidRDefault="0038035D" w:rsidP="0038035D">
      <w:pPr>
        <w:pStyle w:val="ListParagraph"/>
        <w:numPr>
          <w:ilvl w:val="0"/>
          <w:numId w:val="8"/>
        </w:numPr>
        <w:spacing w:after="0" w:line="240" w:lineRule="auto"/>
        <w:ind w:left="360"/>
        <w:rPr>
          <w:rFonts w:cstheme="minorHAnsi"/>
          <w:lang w:val="fr-FR"/>
        </w:rPr>
      </w:pPr>
      <w:r w:rsidRPr="00BE2E9F">
        <w:rPr>
          <w:rStyle w:val="markedcontent"/>
          <w:rFonts w:cstheme="minorHAnsi"/>
          <w:lang w:val="fr-FR"/>
        </w:rPr>
        <w:t>RAPPELANT EN OUTRE que les Parties contractantes se sont engagées à réaliser la mission de la</w:t>
      </w:r>
      <w:r>
        <w:rPr>
          <w:rStyle w:val="markedcontent"/>
          <w:rFonts w:cstheme="minorHAnsi"/>
          <w:lang w:val="fr-FR"/>
        </w:rPr>
        <w:t xml:space="preserve"> </w:t>
      </w:r>
      <w:r w:rsidRPr="00BE2E9F">
        <w:rPr>
          <w:rStyle w:val="markedcontent"/>
          <w:rFonts w:cstheme="minorHAnsi"/>
          <w:lang w:val="fr-FR"/>
        </w:rPr>
        <w:t>Convention, sur leur propre territoire et en coopérant à l’échelon mondial et avec les autres</w:t>
      </w:r>
      <w:r>
        <w:rPr>
          <w:rStyle w:val="markedcontent"/>
          <w:rFonts w:cstheme="minorHAnsi"/>
          <w:lang w:val="fr-FR"/>
        </w:rPr>
        <w:t xml:space="preserve"> </w:t>
      </w:r>
      <w:r w:rsidRPr="00BE2E9F">
        <w:rPr>
          <w:rStyle w:val="markedcontent"/>
          <w:rFonts w:cstheme="minorHAnsi"/>
          <w:lang w:val="fr-FR"/>
        </w:rPr>
        <w:t>Parties contractantes </w:t>
      </w:r>
      <w:r w:rsidRPr="00BE2E9F">
        <w:rPr>
          <w:rFonts w:cstheme="minorHAnsi"/>
          <w:lang w:val="fr-FR"/>
        </w:rPr>
        <w:t>;</w:t>
      </w:r>
    </w:p>
    <w:p w:rsidR="0038035D" w:rsidRPr="00BE2E9F" w:rsidRDefault="0038035D" w:rsidP="0038035D">
      <w:pPr>
        <w:pStyle w:val="ListParagraph"/>
        <w:spacing w:after="0" w:line="240" w:lineRule="auto"/>
        <w:ind w:left="360"/>
        <w:rPr>
          <w:rFonts w:cstheme="minorHAnsi"/>
          <w:lang w:val="fr-FR"/>
        </w:rPr>
      </w:pPr>
    </w:p>
    <w:p w:rsidR="0038035D" w:rsidRPr="00BE2E9F" w:rsidRDefault="0038035D" w:rsidP="0038035D">
      <w:pPr>
        <w:pStyle w:val="ListParagraph"/>
        <w:numPr>
          <w:ilvl w:val="0"/>
          <w:numId w:val="8"/>
        </w:numPr>
        <w:spacing w:after="0" w:line="240" w:lineRule="auto"/>
        <w:ind w:left="360"/>
        <w:rPr>
          <w:rFonts w:cstheme="minorHAnsi"/>
          <w:lang w:val="fr-FR"/>
        </w:rPr>
      </w:pPr>
      <w:r w:rsidRPr="00BE2E9F">
        <w:rPr>
          <w:rFonts w:cstheme="minorHAnsi"/>
          <w:lang w:val="fr-FR"/>
        </w:rPr>
        <w:t xml:space="preserve">RAPPELANT ÉGALEMENT que dans la résolution XIII.3, </w:t>
      </w:r>
      <w:r w:rsidRPr="00BE2E9F">
        <w:rPr>
          <w:rFonts w:cstheme="minorHAnsi"/>
          <w:i/>
          <w:lang w:val="fr-FR"/>
        </w:rPr>
        <w:t>Gouvernance de la Convention</w:t>
      </w:r>
      <w:r w:rsidRPr="00BE2E9F">
        <w:rPr>
          <w:rFonts w:cstheme="minorHAnsi"/>
          <w:lang w:val="fr-FR"/>
        </w:rPr>
        <w:t>, la Conférence des Parties a créé le Groupe de</w:t>
      </w:r>
      <w:r>
        <w:rPr>
          <w:rFonts w:cstheme="minorHAnsi"/>
          <w:lang w:val="fr-FR"/>
        </w:rPr>
        <w:t xml:space="preserve"> travail sur l’efficacité chargé</w:t>
      </w:r>
      <w:r w:rsidRPr="00BE2E9F">
        <w:rPr>
          <w:rFonts w:cstheme="minorHAnsi"/>
          <w:lang w:val="fr-FR"/>
        </w:rPr>
        <w:t xml:space="preserve"> d’examiner la structure </w:t>
      </w:r>
      <w:r>
        <w:rPr>
          <w:rFonts w:cstheme="minorHAnsi"/>
          <w:lang w:val="fr-FR"/>
        </w:rPr>
        <w:t xml:space="preserve">de gouvernance </w:t>
      </w:r>
      <w:r w:rsidRPr="00BE2E9F">
        <w:rPr>
          <w:rFonts w:cstheme="minorHAnsi"/>
          <w:lang w:val="fr-FR"/>
        </w:rPr>
        <w:t xml:space="preserve">de la Convention et de rendre compte de ses recommandations finales, </w:t>
      </w:r>
      <w:r>
        <w:rPr>
          <w:rFonts w:cstheme="minorHAnsi"/>
          <w:lang w:val="fr-FR"/>
        </w:rPr>
        <w:t>dont</w:t>
      </w:r>
      <w:r w:rsidRPr="00BE2E9F">
        <w:rPr>
          <w:rFonts w:cstheme="minorHAnsi"/>
          <w:lang w:val="fr-FR"/>
        </w:rPr>
        <w:t xml:space="preserve"> un projet de résolution</w:t>
      </w:r>
    </w:p>
    <w:p w:rsidR="0038035D" w:rsidRPr="00BE2E9F" w:rsidRDefault="0038035D" w:rsidP="0038035D">
      <w:pPr>
        <w:pStyle w:val="ListParagraph"/>
        <w:spacing w:after="0" w:line="240" w:lineRule="auto"/>
        <w:ind w:left="360"/>
        <w:rPr>
          <w:rFonts w:cstheme="minorHAnsi"/>
          <w:lang w:val="fr-FR"/>
        </w:rPr>
      </w:pPr>
    </w:p>
    <w:p w:rsidR="0038035D" w:rsidRPr="00BE2E9F" w:rsidRDefault="0038035D" w:rsidP="0038035D">
      <w:pPr>
        <w:pStyle w:val="ListParagraph"/>
        <w:numPr>
          <w:ilvl w:val="0"/>
          <w:numId w:val="8"/>
        </w:numPr>
        <w:spacing w:after="0" w:line="240" w:lineRule="auto"/>
        <w:ind w:left="360"/>
        <w:rPr>
          <w:rFonts w:cstheme="minorHAnsi"/>
          <w:lang w:val="fr-FR"/>
        </w:rPr>
      </w:pPr>
      <w:r>
        <w:rPr>
          <w:rFonts w:cstheme="minorHAnsi"/>
          <w:lang w:val="fr-FR"/>
        </w:rPr>
        <w:t>EXPRIMANT</w:t>
      </w:r>
      <w:r w:rsidRPr="00BE2E9F">
        <w:rPr>
          <w:rFonts w:cstheme="minorHAnsi"/>
          <w:lang w:val="fr-FR"/>
        </w:rPr>
        <w:t xml:space="preserve"> SA GRATITUDE à tous les organes et groupes de travail de la Convention pour les réalisations et les avantages obtenus grâce à leurs travaux ; </w:t>
      </w:r>
    </w:p>
    <w:p w:rsidR="0038035D" w:rsidRPr="00BE2E9F" w:rsidRDefault="0038035D" w:rsidP="0038035D">
      <w:pPr>
        <w:pStyle w:val="ListParagraph"/>
        <w:spacing w:after="0" w:line="240" w:lineRule="auto"/>
        <w:ind w:left="360"/>
        <w:rPr>
          <w:rFonts w:eastAsiaTheme="minorEastAsia" w:cstheme="minorBidi"/>
          <w:lang w:val="fr-FR"/>
        </w:rPr>
      </w:pPr>
    </w:p>
    <w:p w:rsidR="0038035D" w:rsidRPr="00BE2E9F" w:rsidRDefault="0038035D" w:rsidP="0038035D">
      <w:pPr>
        <w:pStyle w:val="ListParagraph"/>
        <w:numPr>
          <w:ilvl w:val="0"/>
          <w:numId w:val="8"/>
        </w:numPr>
        <w:spacing w:after="0" w:line="240" w:lineRule="auto"/>
        <w:ind w:left="360"/>
        <w:rPr>
          <w:rStyle w:val="normaltextrun"/>
          <w:rFonts w:cstheme="minorBidi"/>
          <w:lang w:val="fr-FR"/>
        </w:rPr>
      </w:pPr>
      <w:r w:rsidRPr="00BE2E9F">
        <w:rPr>
          <w:rFonts w:eastAsiaTheme="minorEastAsia" w:cstheme="minorBidi"/>
          <w:lang w:val="fr-FR"/>
        </w:rPr>
        <w:t xml:space="preserve">RECONNAISSANT </w:t>
      </w:r>
      <w:r>
        <w:rPr>
          <w:rFonts w:eastAsiaTheme="minorEastAsia" w:cstheme="minorBidi"/>
          <w:lang w:val="fr-FR"/>
        </w:rPr>
        <w:t>EN OUTRE</w:t>
      </w:r>
      <w:r w:rsidRPr="00BE2E9F">
        <w:rPr>
          <w:rFonts w:eastAsiaTheme="minorEastAsia" w:cstheme="minorBidi"/>
          <w:lang w:val="fr-FR"/>
        </w:rPr>
        <w:t xml:space="preserve"> les rapports et l’étude commandée sur la gouvernance de la Convention de Ramsar</w:t>
      </w:r>
      <w:r>
        <w:rPr>
          <w:rFonts w:eastAsiaTheme="minorEastAsia" w:cstheme="minorBidi"/>
          <w:lang w:val="fr-FR"/>
        </w:rPr>
        <w:t>,</w:t>
      </w:r>
      <w:r w:rsidRPr="00BE2E9F">
        <w:rPr>
          <w:rFonts w:eastAsiaTheme="minorEastAsia" w:cstheme="minorBidi"/>
          <w:lang w:val="fr-FR"/>
        </w:rPr>
        <w:t xml:space="preserve"> en application des dispositions de la Résolution XIII.3</w:t>
      </w:r>
      <w:r w:rsidRPr="00BE2E9F">
        <w:rPr>
          <w:rStyle w:val="FootnoteReference"/>
          <w:rFonts w:cstheme="minorBidi"/>
          <w:lang w:val="fr-FR"/>
        </w:rPr>
        <w:footnoteReference w:id="1"/>
      </w:r>
      <w:r w:rsidRPr="00BE2E9F">
        <w:rPr>
          <w:rFonts w:eastAsiaTheme="minorEastAsia" w:cstheme="minorBidi"/>
          <w:lang w:val="fr-FR"/>
        </w:rPr>
        <w:t> </w:t>
      </w:r>
      <w:r w:rsidRPr="00BE2E9F">
        <w:rPr>
          <w:rStyle w:val="normaltextrun"/>
          <w:rFonts w:cstheme="minorBidi"/>
          <w:lang w:val="fr-FR"/>
        </w:rPr>
        <w:t>;</w:t>
      </w:r>
    </w:p>
    <w:p w:rsidR="0038035D" w:rsidRPr="00BE2E9F" w:rsidRDefault="0038035D" w:rsidP="0038035D">
      <w:pPr>
        <w:pStyle w:val="ListParagraph"/>
        <w:spacing w:after="0" w:line="240" w:lineRule="auto"/>
        <w:ind w:left="360"/>
        <w:rPr>
          <w:rFonts w:cstheme="minorBidi"/>
          <w:lang w:val="fr-FR"/>
        </w:rPr>
      </w:pPr>
    </w:p>
    <w:p w:rsidR="0038035D" w:rsidRPr="00BE2E9F" w:rsidRDefault="0038035D" w:rsidP="0038035D">
      <w:pPr>
        <w:pStyle w:val="ListParagraph"/>
        <w:numPr>
          <w:ilvl w:val="0"/>
          <w:numId w:val="8"/>
        </w:numPr>
        <w:spacing w:after="0" w:line="240" w:lineRule="auto"/>
        <w:ind w:left="360"/>
        <w:rPr>
          <w:rFonts w:cstheme="minorBidi"/>
          <w:lang w:val="fr-FR"/>
        </w:rPr>
      </w:pPr>
      <w:r w:rsidRPr="00BE2E9F">
        <w:rPr>
          <w:rFonts w:cstheme="minorHAnsi"/>
          <w:lang w:val="fr-FR"/>
        </w:rPr>
        <w:t>RAPPELANT ÉGALEMENT les dispositions de la résolution</w:t>
      </w:r>
      <w:r w:rsidRPr="00BE2E9F">
        <w:rPr>
          <w:rStyle w:val="normaltextrun"/>
          <w:rFonts w:cstheme="minorHAnsi"/>
          <w:shd w:val="clear" w:color="auto" w:fill="FFFFFF"/>
          <w:lang w:val="fr-FR"/>
        </w:rPr>
        <w:t xml:space="preserve"> XIII.4, </w:t>
      </w:r>
      <w:r w:rsidRPr="00BE2E9F">
        <w:rPr>
          <w:rFonts w:cstheme="minorHAnsi"/>
          <w:i/>
          <w:lang w:val="fr-FR"/>
        </w:rPr>
        <w:t>Responsabilités, rôle et composition du Comité permanent et répartition régionale des pays dans le cadre de la Convention de Ramsar</w:t>
      </w:r>
      <w:r w:rsidRPr="00BE2E9F">
        <w:rPr>
          <w:rFonts w:cstheme="minorHAnsi"/>
          <w:lang w:val="fr-FR"/>
        </w:rPr>
        <w:t>, et les décisions ultérieures du Comité permanent relatives à l’examen de toutes les résolutions et décisions précédentes</w:t>
      </w:r>
      <w:r w:rsidRPr="00BE2E9F">
        <w:rPr>
          <w:rStyle w:val="FootnoteReference"/>
          <w:lang w:val="fr-FR"/>
        </w:rPr>
        <w:footnoteReference w:id="2"/>
      </w:r>
      <w:r w:rsidRPr="00BE2E9F">
        <w:rPr>
          <w:lang w:val="fr-FR"/>
        </w:rPr>
        <w:t>; et</w:t>
      </w:r>
    </w:p>
    <w:p w:rsidR="0038035D" w:rsidRPr="00BE2E9F" w:rsidRDefault="0038035D" w:rsidP="0038035D">
      <w:pPr>
        <w:pStyle w:val="ListParagraph"/>
        <w:spacing w:after="0" w:line="240" w:lineRule="auto"/>
        <w:ind w:left="360"/>
        <w:rPr>
          <w:lang w:val="fr-FR"/>
        </w:rPr>
      </w:pPr>
    </w:p>
    <w:p w:rsidR="0038035D" w:rsidRPr="00BE2E9F" w:rsidRDefault="0038035D" w:rsidP="0038035D">
      <w:pPr>
        <w:pStyle w:val="ListParagraph"/>
        <w:numPr>
          <w:ilvl w:val="0"/>
          <w:numId w:val="8"/>
        </w:numPr>
        <w:spacing w:after="0" w:line="240" w:lineRule="auto"/>
        <w:ind w:left="360"/>
        <w:rPr>
          <w:lang w:val="fr-FR"/>
        </w:rPr>
      </w:pPr>
      <w:r w:rsidRPr="00BE2E9F">
        <w:rPr>
          <w:rFonts w:cstheme="minorBidi"/>
          <w:lang w:val="fr-FR"/>
        </w:rPr>
        <w:t xml:space="preserve">RECONNAISSANT les circonstances et les </w:t>
      </w:r>
      <w:r>
        <w:rPr>
          <w:rFonts w:cstheme="minorBidi"/>
          <w:lang w:val="fr-FR"/>
        </w:rPr>
        <w:t>difficultés</w:t>
      </w:r>
      <w:r w:rsidRPr="00BE2E9F">
        <w:rPr>
          <w:rFonts w:cstheme="minorBidi"/>
          <w:lang w:val="fr-FR"/>
        </w:rPr>
        <w:t xml:space="preserve"> uniques ayant découlés de la pandémie mondiale et qui ont souligné l’importance d’une gouvernance efficace en toutes circonstances.</w:t>
      </w:r>
    </w:p>
    <w:p w:rsidR="0038035D" w:rsidRPr="00BE2E9F" w:rsidRDefault="0038035D" w:rsidP="0038035D">
      <w:pPr>
        <w:spacing w:after="0" w:line="240" w:lineRule="auto"/>
        <w:ind w:left="66" w:right="16" w:hanging="426"/>
        <w:jc w:val="center"/>
        <w:rPr>
          <w:rFonts w:eastAsia="Times New Roman" w:cstheme="minorBidi"/>
          <w:b/>
          <w:bCs/>
          <w:lang w:val="fr-FR"/>
        </w:rPr>
      </w:pPr>
    </w:p>
    <w:p w:rsidR="0038035D" w:rsidRPr="00BE2E9F" w:rsidRDefault="0038035D" w:rsidP="0038035D">
      <w:pPr>
        <w:spacing w:after="0" w:line="240" w:lineRule="auto"/>
        <w:ind w:left="66" w:right="16" w:hanging="426"/>
        <w:jc w:val="center"/>
        <w:rPr>
          <w:rFonts w:eastAsia="Times New Roman" w:cstheme="minorBidi"/>
          <w:b/>
          <w:bCs/>
          <w:lang w:val="fr-FR"/>
        </w:rPr>
      </w:pPr>
      <w:r w:rsidRPr="00BE2E9F">
        <w:rPr>
          <w:rFonts w:eastAsia="Times New Roman" w:cstheme="minorBidi"/>
          <w:b/>
          <w:bCs/>
          <w:lang w:val="fr-FR"/>
        </w:rPr>
        <w:t>LA CONFÉRENCE DES PARTIES CONTRACTANTES</w:t>
      </w:r>
    </w:p>
    <w:p w:rsidR="0038035D" w:rsidRPr="00BE2E9F" w:rsidRDefault="0038035D" w:rsidP="0038035D">
      <w:pPr>
        <w:keepNext/>
        <w:tabs>
          <w:tab w:val="left" w:pos="6195"/>
        </w:tabs>
        <w:spacing w:after="0" w:line="240" w:lineRule="auto"/>
        <w:ind w:left="65"/>
        <w:rPr>
          <w:lang w:val="fr-FR"/>
        </w:rPr>
      </w:pPr>
    </w:p>
    <w:p w:rsidR="0038035D" w:rsidRPr="00BE2E9F" w:rsidRDefault="0038035D" w:rsidP="0038035D">
      <w:pPr>
        <w:pStyle w:val="ListParagraph"/>
        <w:numPr>
          <w:ilvl w:val="0"/>
          <w:numId w:val="8"/>
        </w:numPr>
        <w:spacing w:after="0" w:line="240" w:lineRule="auto"/>
        <w:ind w:left="360" w:right="16"/>
        <w:rPr>
          <w:lang w:val="fr-FR"/>
        </w:rPr>
      </w:pPr>
      <w:r w:rsidRPr="00BE2E9F">
        <w:rPr>
          <w:rFonts w:cstheme="minorBidi"/>
          <w:lang w:val="fr-FR"/>
        </w:rPr>
        <w:t xml:space="preserve">APPRÉCIE le travail déjà accompli dans la mise en œuvre de la Résolution XIII.4 visant à supprimer les résolutions et décisions obsolètes, et </w:t>
      </w:r>
      <w:r>
        <w:rPr>
          <w:rFonts w:cstheme="minorBidi"/>
          <w:lang w:val="fr-FR"/>
        </w:rPr>
        <w:t xml:space="preserve">à </w:t>
      </w:r>
      <w:r w:rsidRPr="00BE2E9F">
        <w:rPr>
          <w:rFonts w:cstheme="minorBidi"/>
          <w:lang w:val="fr-FR"/>
        </w:rPr>
        <w:t xml:space="preserve">instaurer une pratique pour que la Convention supprime automatiquement les résolutions et décisions obsolètes lorsqu’elles sont remplacées par de nouvelles résolutions et décisions, et ENCOURAGE le Secrétariat à fournir un appui administratif aux </w:t>
      </w:r>
      <w:r>
        <w:rPr>
          <w:rFonts w:cstheme="minorBidi"/>
          <w:lang w:val="fr-FR"/>
        </w:rPr>
        <w:t>Parties, à leur demande, dans l’</w:t>
      </w:r>
      <w:r w:rsidRPr="00BE2E9F">
        <w:rPr>
          <w:rFonts w:cstheme="minorBidi"/>
          <w:lang w:val="fr-FR"/>
        </w:rPr>
        <w:t xml:space="preserve">élaboration des projets de résolution, de manière à fournir des avis transparents et opportuns concernant le coût de la mise en œuvre des projets de résolution </w:t>
      </w:r>
      <w:r w:rsidRPr="00BE2E9F">
        <w:rPr>
          <w:rFonts w:cstheme="minorBidi"/>
          <w:lang w:val="fr-FR"/>
        </w:rPr>
        <w:lastRenderedPageBreak/>
        <w:t>proposés, et à améliorer les références croisées, à éviter les doubles emplois et à appuyer la consolidation des projets de résolution en cours </w:t>
      </w:r>
      <w:r w:rsidRPr="00BE2E9F">
        <w:rPr>
          <w:lang w:val="fr-FR"/>
        </w:rPr>
        <w:t>;</w:t>
      </w:r>
    </w:p>
    <w:p w:rsidR="0038035D" w:rsidRPr="00BE2E9F" w:rsidRDefault="0038035D" w:rsidP="0038035D">
      <w:pPr>
        <w:pStyle w:val="ListParagraph"/>
        <w:spacing w:after="0" w:line="240" w:lineRule="auto"/>
        <w:ind w:left="360" w:right="16"/>
        <w:rPr>
          <w:lang w:val="fr-FR"/>
        </w:rPr>
      </w:pPr>
    </w:p>
    <w:p w:rsidR="0038035D" w:rsidRPr="00BE2E9F" w:rsidRDefault="0038035D" w:rsidP="0038035D">
      <w:pPr>
        <w:pStyle w:val="ListParagraph"/>
        <w:numPr>
          <w:ilvl w:val="0"/>
          <w:numId w:val="8"/>
        </w:numPr>
        <w:spacing w:after="0" w:line="240" w:lineRule="auto"/>
        <w:ind w:left="360" w:right="16"/>
        <w:rPr>
          <w:lang w:val="fr-FR"/>
        </w:rPr>
      </w:pPr>
      <w:r w:rsidRPr="00BE2E9F">
        <w:rPr>
          <w:rFonts w:eastAsia="Times New Roman" w:cstheme="minorBidi"/>
          <w:lang w:val="fr-FR"/>
        </w:rPr>
        <w:t xml:space="preserve">CHARGE PAR AILLEURS le Secrétariat d’améliorer son approche en matière de communications à l’égard des Parties contractantes, y compris en formulant des recommandations et en fournissant une évaluation des coûts qui y seraient associés, de continuer à améliorer les outils de renforcement des capacités tels que les ateliers virtuels et les matériels de formation, </w:t>
      </w:r>
      <w:r>
        <w:rPr>
          <w:rFonts w:eastAsia="Times New Roman" w:cstheme="minorBidi"/>
          <w:lang w:val="fr-FR"/>
        </w:rPr>
        <w:t>dans le but</w:t>
      </w:r>
      <w:r w:rsidRPr="00BE2E9F">
        <w:rPr>
          <w:rFonts w:eastAsia="Times New Roman" w:cstheme="minorBidi"/>
          <w:lang w:val="fr-FR"/>
        </w:rPr>
        <w:t xml:space="preserve"> </w:t>
      </w:r>
      <w:r>
        <w:rPr>
          <w:rFonts w:eastAsia="Times New Roman" w:cstheme="minorBidi"/>
          <w:lang w:val="fr-FR"/>
        </w:rPr>
        <w:t>de renforcer</w:t>
      </w:r>
      <w:r w:rsidRPr="00BE2E9F">
        <w:rPr>
          <w:rFonts w:eastAsia="Times New Roman" w:cstheme="minorBidi"/>
          <w:lang w:val="fr-FR"/>
        </w:rPr>
        <w:t xml:space="preserve"> l’appui aux Parties contractantes ; et de </w:t>
      </w:r>
      <w:r>
        <w:rPr>
          <w:rFonts w:eastAsia="Times New Roman" w:cstheme="minorBidi"/>
          <w:lang w:val="fr-FR"/>
        </w:rPr>
        <w:t>soumettre</w:t>
      </w:r>
      <w:r w:rsidRPr="00BE2E9F">
        <w:rPr>
          <w:rFonts w:eastAsia="Times New Roman" w:cstheme="minorBidi"/>
          <w:lang w:val="fr-FR"/>
        </w:rPr>
        <w:t xml:space="preserve"> aux Parties une stratégie actualisée pour examen à la SC63 ;</w:t>
      </w:r>
    </w:p>
    <w:p w:rsidR="0038035D" w:rsidRPr="00BE2E9F" w:rsidRDefault="0038035D" w:rsidP="0038035D">
      <w:pPr>
        <w:pStyle w:val="ListParagraph"/>
        <w:spacing w:after="0" w:line="240" w:lineRule="auto"/>
        <w:ind w:left="360"/>
        <w:rPr>
          <w:rFonts w:eastAsiaTheme="minorEastAsia" w:cstheme="minorBidi"/>
          <w:lang w:val="fr-FR"/>
        </w:rPr>
      </w:pPr>
    </w:p>
    <w:p w:rsidR="0038035D" w:rsidRPr="00BE2E9F" w:rsidRDefault="0038035D" w:rsidP="0038035D">
      <w:pPr>
        <w:pStyle w:val="ListParagraph"/>
        <w:numPr>
          <w:ilvl w:val="0"/>
          <w:numId w:val="8"/>
        </w:numPr>
        <w:spacing w:after="0" w:line="240" w:lineRule="auto"/>
        <w:ind w:left="360" w:right="16"/>
        <w:rPr>
          <w:lang w:val="fr-FR"/>
        </w:rPr>
      </w:pPr>
      <w:r w:rsidRPr="00BE2E9F">
        <w:rPr>
          <w:rFonts w:eastAsiaTheme="minorEastAsia" w:cstheme="minorBidi"/>
          <w:lang w:val="fr-FR"/>
        </w:rPr>
        <w:t>CHARGE le Secr</w:t>
      </w:r>
      <w:r>
        <w:rPr>
          <w:rFonts w:eastAsiaTheme="minorEastAsia" w:cstheme="minorBidi"/>
          <w:lang w:val="fr-FR"/>
        </w:rPr>
        <w:t>étariat d’étudier les méthodes (</w:t>
      </w:r>
      <w:r w:rsidRPr="00BE2E9F">
        <w:rPr>
          <w:rFonts w:eastAsiaTheme="minorEastAsia" w:cstheme="minorBidi"/>
          <w:lang w:val="fr-FR"/>
        </w:rPr>
        <w:t xml:space="preserve">y compris de possibles systèmes en ligne, </w:t>
      </w:r>
      <w:r>
        <w:rPr>
          <w:rFonts w:eastAsiaTheme="minorEastAsia" w:cstheme="minorBidi"/>
          <w:lang w:val="fr-FR"/>
        </w:rPr>
        <w:t xml:space="preserve">et </w:t>
      </w:r>
      <w:r w:rsidRPr="00BE2E9F">
        <w:rPr>
          <w:rFonts w:eastAsiaTheme="minorEastAsia" w:cstheme="minorBidi"/>
          <w:lang w:val="fr-FR"/>
        </w:rPr>
        <w:t>en particulier un portail réservé aux membres, des listes d’adresses des membres mises à jour en permanence et un meilleur accès aux documents en ligne</w:t>
      </w:r>
      <w:r>
        <w:rPr>
          <w:rFonts w:eastAsiaTheme="minorEastAsia" w:cstheme="minorBidi"/>
          <w:lang w:val="fr-FR"/>
        </w:rPr>
        <w:t>)</w:t>
      </w:r>
      <w:r w:rsidRPr="00BE2E9F">
        <w:rPr>
          <w:rFonts w:eastAsiaTheme="minorEastAsia" w:cstheme="minorBidi"/>
          <w:lang w:val="fr-FR"/>
        </w:rPr>
        <w:t xml:space="preserve"> </w:t>
      </w:r>
      <w:r>
        <w:rPr>
          <w:rFonts w:eastAsiaTheme="minorEastAsia" w:cstheme="minorBidi"/>
          <w:lang w:val="fr-FR"/>
        </w:rPr>
        <w:t xml:space="preserve">qui permettraient </w:t>
      </w:r>
      <w:r w:rsidRPr="00BE2E9F">
        <w:rPr>
          <w:rFonts w:eastAsiaTheme="minorEastAsia" w:cstheme="minorBidi"/>
          <w:lang w:val="fr-FR"/>
        </w:rPr>
        <w:t xml:space="preserve">de renforcer la collaboration entre les Parties contractantes, y compris, mais sans s’y limiter, </w:t>
      </w:r>
      <w:r>
        <w:rPr>
          <w:rFonts w:eastAsiaTheme="minorEastAsia" w:cstheme="minorBidi"/>
          <w:lang w:val="fr-FR"/>
        </w:rPr>
        <w:t>au sein des groupes de travail</w:t>
      </w:r>
      <w:r w:rsidRPr="00BE2E9F">
        <w:rPr>
          <w:rFonts w:eastAsiaTheme="minorEastAsia" w:cstheme="minorBidi"/>
          <w:lang w:val="fr-FR"/>
        </w:rPr>
        <w:t xml:space="preserve"> et dans l’élaboration des projets de résolution en permettant aux Parties de soumettre et fournir des observations sur les projets de résolution. Le Secrétariat est prié de rendre compte à la SC63 de ses conclusions sur ces technologies, </w:t>
      </w:r>
      <w:r>
        <w:rPr>
          <w:rFonts w:eastAsiaTheme="minorEastAsia" w:cstheme="minorBidi"/>
          <w:lang w:val="fr-FR"/>
        </w:rPr>
        <w:t>en incluant l</w:t>
      </w:r>
      <w:r w:rsidRPr="00BE2E9F">
        <w:rPr>
          <w:rFonts w:eastAsiaTheme="minorEastAsia" w:cstheme="minorBidi"/>
          <w:lang w:val="fr-FR"/>
        </w:rPr>
        <w:t>es coûts associés à ces systèmes, afin que les Parties puissent estimer si elles ont intérêt à investir les ressources de la Convention dans ces technologies en vue d’améliorer l’efficience et l’efficacité de la Convention, et, dans l'affirmative, recommande que cette question soit traitée en priorité dans les délibérations du sous-groupe sur les finances ;</w:t>
      </w:r>
    </w:p>
    <w:p w:rsidR="0038035D" w:rsidRPr="00BE2E9F" w:rsidRDefault="0038035D" w:rsidP="0038035D">
      <w:pPr>
        <w:pStyle w:val="ListParagraph"/>
        <w:spacing w:after="0" w:line="240" w:lineRule="auto"/>
        <w:ind w:left="360"/>
        <w:rPr>
          <w:lang w:val="fr-FR"/>
        </w:rPr>
      </w:pPr>
    </w:p>
    <w:p w:rsidR="0038035D" w:rsidRPr="00BE2E9F" w:rsidRDefault="0038035D" w:rsidP="0038035D">
      <w:pPr>
        <w:pStyle w:val="ListParagraph"/>
        <w:numPr>
          <w:ilvl w:val="0"/>
          <w:numId w:val="8"/>
        </w:numPr>
        <w:spacing w:after="0" w:line="240" w:lineRule="auto"/>
        <w:ind w:left="360" w:right="16"/>
        <w:rPr>
          <w:lang w:val="fr-FR"/>
        </w:rPr>
      </w:pPr>
      <w:r w:rsidRPr="00BE2E9F">
        <w:rPr>
          <w:lang w:val="fr-FR"/>
        </w:rPr>
        <w:t>DÉCIDE que les lignes dire</w:t>
      </w:r>
      <w:r>
        <w:rPr>
          <w:lang w:val="fr-FR"/>
        </w:rPr>
        <w:t>ctrices énoncées à l'annexe 1 s’</w:t>
      </w:r>
      <w:r w:rsidRPr="00BE2E9F">
        <w:rPr>
          <w:lang w:val="fr-FR"/>
        </w:rPr>
        <w:t xml:space="preserve">appliqueront à tous les futurs sous-groupes et groupes de travail non permanents - en veillant à ce que </w:t>
      </w:r>
      <w:r w:rsidRPr="00BE2E9F">
        <w:rPr>
          <w:rFonts w:eastAsia="Times New Roman" w:cstheme="minorBidi"/>
          <w:lang w:val="fr-FR"/>
        </w:rPr>
        <w:t>:</w:t>
      </w:r>
    </w:p>
    <w:p w:rsidR="0038035D" w:rsidRPr="00BE2E9F" w:rsidRDefault="0038035D" w:rsidP="0038035D">
      <w:pPr>
        <w:pStyle w:val="ListParagraph"/>
        <w:numPr>
          <w:ilvl w:val="0"/>
          <w:numId w:val="5"/>
        </w:numPr>
        <w:spacing w:after="0" w:line="240" w:lineRule="auto"/>
        <w:rPr>
          <w:rFonts w:eastAsiaTheme="minorEastAsia" w:cstheme="minorBidi"/>
          <w:lang w:val="fr-FR"/>
        </w:rPr>
      </w:pPr>
      <w:r w:rsidRPr="00BE2E9F">
        <w:rPr>
          <w:rFonts w:eastAsia="Times New Roman" w:cstheme="minorBidi"/>
          <w:lang w:val="fr-FR"/>
        </w:rPr>
        <w:t>Tous les nouveaux sous-groupes et groupes de travail non permanents soient dotés d’un calendrier bien défini ;</w:t>
      </w:r>
    </w:p>
    <w:p w:rsidR="0038035D" w:rsidRPr="00BE2E9F" w:rsidRDefault="0038035D" w:rsidP="0038035D">
      <w:pPr>
        <w:pStyle w:val="ListParagraph"/>
        <w:numPr>
          <w:ilvl w:val="0"/>
          <w:numId w:val="5"/>
        </w:numPr>
        <w:spacing w:after="0" w:line="240" w:lineRule="auto"/>
        <w:rPr>
          <w:rFonts w:eastAsiaTheme="minorEastAsia" w:cstheme="minorBidi"/>
          <w:lang w:val="fr-FR"/>
        </w:rPr>
      </w:pPr>
      <w:r w:rsidRPr="00BE2E9F">
        <w:rPr>
          <w:rFonts w:eastAsia="Times New Roman" w:cstheme="minorBidi"/>
          <w:lang w:val="fr-FR"/>
        </w:rPr>
        <w:t>Tous les groupes créés par une Conférence des Parties, sauf accord contraire des Parties ou disposition contraire figurant dans le mandat du groupe lorsqu’il est créé, soient automatiquement supprimés par la prochaine Conférence des Parties ; et,</w:t>
      </w:r>
    </w:p>
    <w:p w:rsidR="0038035D" w:rsidRPr="00BE2E9F" w:rsidRDefault="0038035D" w:rsidP="0038035D">
      <w:pPr>
        <w:pStyle w:val="ListParagraph"/>
        <w:numPr>
          <w:ilvl w:val="0"/>
          <w:numId w:val="5"/>
        </w:numPr>
        <w:spacing w:after="0" w:line="240" w:lineRule="auto"/>
        <w:rPr>
          <w:rFonts w:eastAsiaTheme="minorEastAsia" w:cstheme="minorBidi"/>
          <w:lang w:val="fr-FR"/>
        </w:rPr>
      </w:pPr>
      <w:r>
        <w:rPr>
          <w:rFonts w:eastAsia="Times New Roman" w:cstheme="minorBidi"/>
          <w:lang w:val="fr-FR"/>
        </w:rPr>
        <w:t>Des termes de références soient clairement précisés</w:t>
      </w:r>
      <w:r w:rsidRPr="00BE2E9F">
        <w:rPr>
          <w:rFonts w:eastAsia="Times New Roman" w:cstheme="minorBidi"/>
          <w:lang w:val="fr-FR"/>
        </w:rPr>
        <w:t xml:space="preserve"> par tout nouveau groupe </w:t>
      </w:r>
      <w:r>
        <w:rPr>
          <w:rFonts w:eastAsia="Times New Roman" w:cstheme="minorBidi"/>
          <w:lang w:val="fr-FR"/>
        </w:rPr>
        <w:t xml:space="preserve">ayant été </w:t>
      </w:r>
      <w:r w:rsidRPr="00BE2E9F">
        <w:rPr>
          <w:rFonts w:eastAsia="Times New Roman" w:cstheme="minorBidi"/>
          <w:lang w:val="fr-FR"/>
        </w:rPr>
        <w:t>créé</w:t>
      </w:r>
      <w:r w:rsidRPr="00BE2E9F">
        <w:rPr>
          <w:rFonts w:cs="Calibri"/>
          <w:lang w:val="fr-FR"/>
        </w:rPr>
        <w:t>.</w:t>
      </w:r>
    </w:p>
    <w:p w:rsidR="0038035D" w:rsidRPr="00BE2E9F" w:rsidRDefault="0038035D" w:rsidP="0038035D">
      <w:pPr>
        <w:pStyle w:val="ListParagraph"/>
        <w:spacing w:after="0" w:line="240" w:lineRule="auto"/>
        <w:ind w:left="1080"/>
        <w:rPr>
          <w:rFonts w:eastAsiaTheme="minorEastAsia" w:cstheme="minorBidi"/>
          <w:lang w:val="fr-FR"/>
        </w:rPr>
      </w:pPr>
    </w:p>
    <w:p w:rsidR="0038035D" w:rsidRPr="00BE2E9F" w:rsidRDefault="0038035D" w:rsidP="0038035D">
      <w:pPr>
        <w:pStyle w:val="ListParagraph"/>
        <w:numPr>
          <w:ilvl w:val="0"/>
          <w:numId w:val="8"/>
        </w:numPr>
        <w:spacing w:after="0" w:line="240" w:lineRule="auto"/>
        <w:ind w:left="360"/>
        <w:rPr>
          <w:rFonts w:eastAsiaTheme="minorEastAsia" w:cstheme="minorBidi"/>
          <w:lang w:val="fr-FR"/>
        </w:rPr>
      </w:pPr>
      <w:r w:rsidRPr="00BE2E9F">
        <w:rPr>
          <w:rFonts w:eastAsia="Times New Roman" w:cstheme="minorBidi"/>
          <w:lang w:val="fr-FR"/>
        </w:rPr>
        <w:t>INVITE les Parties contractantes à examiner les manques d’efficacité au sein des organes subsidiaires de la Convention</w:t>
      </w:r>
      <w:r>
        <w:rPr>
          <w:rFonts w:eastAsia="Times New Roman" w:cstheme="minorBidi"/>
          <w:lang w:val="fr-FR"/>
        </w:rPr>
        <w:t>, manques</w:t>
      </w:r>
      <w:r w:rsidRPr="00BE2E9F">
        <w:rPr>
          <w:rFonts w:eastAsia="Times New Roman" w:cstheme="minorBidi"/>
          <w:lang w:val="fr-FR"/>
        </w:rPr>
        <w:t xml:space="preserve"> liés aux programmes de travail en raison des </w:t>
      </w:r>
      <w:r>
        <w:rPr>
          <w:rFonts w:eastAsia="Times New Roman" w:cstheme="minorBidi"/>
          <w:lang w:val="fr-FR"/>
        </w:rPr>
        <w:t>calendriers</w:t>
      </w:r>
      <w:r w:rsidRPr="00BE2E9F">
        <w:rPr>
          <w:rFonts w:eastAsia="Times New Roman" w:cstheme="minorBidi"/>
          <w:lang w:val="fr-FR"/>
        </w:rPr>
        <w:t xml:space="preserve"> définis, y compris la nomination des membres des organes subsidiaires (y compris le GEST), et ENCOURAGE les Parties contractantes, d'ici à la COP15 sinon plus tôt, à proposer des solutions visant à permettre un démarrage efficace des travaux immédiatement après les sessions de la COP;</w:t>
      </w:r>
    </w:p>
    <w:p w:rsidR="0038035D" w:rsidRPr="00BE2E9F" w:rsidRDefault="0038035D" w:rsidP="0038035D">
      <w:pPr>
        <w:pStyle w:val="ListParagraph"/>
        <w:spacing w:after="0" w:line="240" w:lineRule="auto"/>
        <w:ind w:left="360"/>
        <w:rPr>
          <w:rFonts w:eastAsiaTheme="minorEastAsia" w:cstheme="minorBidi"/>
          <w:lang w:val="fr-FR"/>
        </w:rPr>
      </w:pPr>
    </w:p>
    <w:p w:rsidR="0038035D" w:rsidRPr="00BE2E9F" w:rsidRDefault="0038035D" w:rsidP="0038035D">
      <w:pPr>
        <w:pStyle w:val="ListParagraph"/>
        <w:numPr>
          <w:ilvl w:val="0"/>
          <w:numId w:val="8"/>
        </w:numPr>
        <w:spacing w:after="0" w:line="240" w:lineRule="auto"/>
        <w:ind w:left="360"/>
        <w:rPr>
          <w:rFonts w:cs="Calibri"/>
          <w:lang w:val="fr-FR"/>
        </w:rPr>
      </w:pPr>
      <w:r w:rsidRPr="00BE2E9F">
        <w:rPr>
          <w:rFonts w:cs="Calibri"/>
          <w:lang w:val="fr-FR"/>
        </w:rPr>
        <w:t>CHARGE le Secrétariat, en consultation avec les Parties contractantes intéressées, y compris</w:t>
      </w:r>
      <w:r>
        <w:rPr>
          <w:rFonts w:cs="Calibri"/>
          <w:lang w:val="fr-FR"/>
        </w:rPr>
        <w:t>,</w:t>
      </w:r>
      <w:r w:rsidRPr="00BE2E9F">
        <w:rPr>
          <w:rFonts w:cs="Calibri"/>
          <w:lang w:val="fr-FR"/>
        </w:rPr>
        <w:t xml:space="preserve"> le cas échéant</w:t>
      </w:r>
      <w:r>
        <w:rPr>
          <w:rFonts w:cs="Calibri"/>
          <w:lang w:val="fr-FR"/>
        </w:rPr>
        <w:t>,</w:t>
      </w:r>
      <w:r w:rsidRPr="00BE2E9F">
        <w:rPr>
          <w:rFonts w:cs="Calibri"/>
          <w:lang w:val="fr-FR"/>
        </w:rPr>
        <w:t xml:space="preserve"> les Parties contractantes du Groupe de travail sur la gestion, d’examiner les pratiques de la Convention au cours de la période de la pandémie mondiale et de proposer tous moyens possibles d’améliorer les procédures </w:t>
      </w:r>
      <w:r>
        <w:rPr>
          <w:rFonts w:cs="Calibri"/>
          <w:lang w:val="fr-FR"/>
        </w:rPr>
        <w:t>d</w:t>
      </w:r>
      <w:r w:rsidRPr="00BE2E9F">
        <w:rPr>
          <w:rFonts w:cs="Calibri"/>
          <w:lang w:val="fr-FR"/>
        </w:rPr>
        <w:t>e prises de décisions afin de permettre un fonctionnement efficace de la Convention dans des circonstances exceptionnelles, y compris par l’amendement du Règlement intérieur et en tenant compte, le cas échéant, des meilleures pratiques d’autres organes internationaux. CHARGE le Secrétariat de soumettre l’étude et les propositions pour examen par les Parties à la COP15, sinon plus tôt ; et</w:t>
      </w:r>
    </w:p>
    <w:p w:rsidR="0038035D" w:rsidRPr="00BE2E9F" w:rsidRDefault="0038035D" w:rsidP="0038035D">
      <w:pPr>
        <w:pStyle w:val="ListParagraph"/>
        <w:spacing w:after="0" w:line="240" w:lineRule="auto"/>
        <w:ind w:left="360"/>
        <w:rPr>
          <w:rFonts w:eastAsiaTheme="minorEastAsia" w:cstheme="minorBidi"/>
          <w:lang w:val="fr-FR"/>
        </w:rPr>
      </w:pPr>
    </w:p>
    <w:p w:rsidR="0038035D" w:rsidRPr="00DB408C" w:rsidRDefault="0038035D" w:rsidP="0038035D">
      <w:pPr>
        <w:pStyle w:val="ListParagraph"/>
        <w:numPr>
          <w:ilvl w:val="0"/>
          <w:numId w:val="8"/>
        </w:numPr>
        <w:spacing w:after="0" w:line="240" w:lineRule="auto"/>
        <w:ind w:left="360"/>
        <w:rPr>
          <w:rFonts w:cs="Calibri"/>
          <w:lang w:val="fr-FR"/>
        </w:rPr>
      </w:pPr>
      <w:r w:rsidRPr="00BE2E9F">
        <w:rPr>
          <w:rFonts w:eastAsiaTheme="minorEastAsia" w:cstheme="minorBidi"/>
          <w:lang w:val="fr-FR"/>
        </w:rPr>
        <w:lastRenderedPageBreak/>
        <w:t>DÉCIDE, sous réserve des ressources disponibles, d’allouer au Secrétariat la somme de [XXXCHF] sur les fonds excédentaires pour lui permettre de s’acquitter du mandat énoncé dans la présente résolution.</w:t>
      </w:r>
    </w:p>
    <w:p w:rsidR="0038035D" w:rsidRPr="00DB408C" w:rsidRDefault="0038035D" w:rsidP="0038035D">
      <w:pPr>
        <w:pStyle w:val="ListParagraph"/>
        <w:spacing w:after="0" w:line="240" w:lineRule="auto"/>
        <w:rPr>
          <w:rFonts w:cs="Calibri"/>
          <w:b/>
          <w:bCs/>
          <w:color w:val="000000" w:themeColor="text1"/>
          <w:lang w:val="fr-FR"/>
        </w:rPr>
      </w:pPr>
    </w:p>
    <w:p w:rsidR="0038035D" w:rsidRPr="00DB408C" w:rsidRDefault="0038035D" w:rsidP="0038035D">
      <w:pPr>
        <w:pStyle w:val="ListParagraph"/>
        <w:numPr>
          <w:ilvl w:val="0"/>
          <w:numId w:val="8"/>
        </w:numPr>
        <w:spacing w:after="0" w:line="240" w:lineRule="auto"/>
        <w:ind w:left="360"/>
        <w:rPr>
          <w:rFonts w:cs="Calibri"/>
          <w:lang w:val="fr-FR"/>
        </w:rPr>
      </w:pPr>
      <w:r w:rsidRPr="00DB408C">
        <w:rPr>
          <w:rFonts w:cs="Calibri"/>
          <w:b/>
          <w:bCs/>
          <w:color w:val="000000" w:themeColor="text1"/>
          <w:lang w:val="fr-FR"/>
        </w:rPr>
        <w:br w:type="page"/>
      </w:r>
    </w:p>
    <w:p w:rsidR="0038035D" w:rsidRPr="00BE2E9F" w:rsidRDefault="0038035D" w:rsidP="0038035D">
      <w:pPr>
        <w:spacing w:after="0" w:line="240" w:lineRule="auto"/>
        <w:rPr>
          <w:rFonts w:cs="Calibri"/>
          <w:b/>
          <w:bCs/>
          <w:color w:val="000000" w:themeColor="text1"/>
          <w:lang w:val="fr-FR"/>
        </w:rPr>
      </w:pPr>
      <w:r w:rsidRPr="00BE2E9F">
        <w:rPr>
          <w:rFonts w:cs="Calibri"/>
          <w:b/>
          <w:bCs/>
          <w:color w:val="000000" w:themeColor="text1"/>
          <w:lang w:val="fr-FR"/>
        </w:rPr>
        <w:lastRenderedPageBreak/>
        <w:t>Annexe 1</w:t>
      </w:r>
      <w:r>
        <w:rPr>
          <w:rFonts w:cs="Calibri"/>
          <w:b/>
          <w:bCs/>
          <w:color w:val="000000" w:themeColor="text1"/>
          <w:lang w:val="fr-FR"/>
        </w:rPr>
        <w:t xml:space="preserve"> du p</w:t>
      </w:r>
      <w:r w:rsidRPr="00BE2E9F">
        <w:rPr>
          <w:rFonts w:eastAsia="Times New Roman" w:cstheme="minorBidi"/>
          <w:b/>
          <w:bCs/>
          <w:lang w:val="fr-FR"/>
        </w:rPr>
        <w:t>rojet de résolution</w:t>
      </w:r>
      <w:r w:rsidRPr="00BE2E9F">
        <w:rPr>
          <w:rFonts w:cs="Calibri"/>
          <w:b/>
          <w:bCs/>
          <w:color w:val="000000" w:themeColor="text1"/>
          <w:lang w:val="fr-FR"/>
        </w:rPr>
        <w:t> : Lignes directrices pour les sous-groupes et groupes de travail non-permanents</w:t>
      </w:r>
      <w:r w:rsidRPr="00BE2E9F">
        <w:rPr>
          <w:rStyle w:val="FootnoteReference"/>
          <w:rFonts w:cs="Calibri"/>
          <w:b/>
          <w:bCs/>
          <w:color w:val="000000" w:themeColor="text1"/>
          <w:lang w:val="fr-FR"/>
        </w:rPr>
        <w:footnoteReference w:id="3"/>
      </w:r>
    </w:p>
    <w:p w:rsidR="0038035D" w:rsidRPr="00BE2E9F" w:rsidRDefault="0038035D" w:rsidP="0038035D">
      <w:pPr>
        <w:spacing w:after="0" w:line="240" w:lineRule="auto"/>
        <w:rPr>
          <w:rFonts w:cs="Calibri"/>
          <w:b/>
          <w:bCs/>
          <w:color w:val="000000" w:themeColor="text1"/>
          <w:lang w:val="fr-FR"/>
        </w:rPr>
      </w:pPr>
    </w:p>
    <w:p w:rsidR="0038035D" w:rsidRDefault="0038035D" w:rsidP="0038035D">
      <w:pPr>
        <w:spacing w:after="0" w:line="240" w:lineRule="auto"/>
        <w:rPr>
          <w:rFonts w:cs="Calibri"/>
          <w:b/>
          <w:bCs/>
          <w:color w:val="000000" w:themeColor="text1"/>
          <w:lang w:val="fr-FR"/>
        </w:rPr>
      </w:pPr>
      <w:r w:rsidRPr="00BE2E9F">
        <w:rPr>
          <w:rFonts w:cs="Calibri"/>
          <w:b/>
          <w:bCs/>
          <w:color w:val="000000" w:themeColor="text1"/>
          <w:lang w:val="fr-FR"/>
        </w:rPr>
        <w:t>Constitution</w:t>
      </w:r>
    </w:p>
    <w:p w:rsidR="008D70CD" w:rsidRPr="00BE2E9F" w:rsidRDefault="008D70CD" w:rsidP="0038035D">
      <w:pPr>
        <w:spacing w:after="0" w:line="240" w:lineRule="auto"/>
        <w:rPr>
          <w:rFonts w:cs="Calibri"/>
          <w:color w:val="000000" w:themeColor="text1"/>
          <w:lang w:val="fr-FR"/>
        </w:rPr>
      </w:pPr>
    </w:p>
    <w:p w:rsidR="0038035D" w:rsidRDefault="0038035D" w:rsidP="0038035D">
      <w:pPr>
        <w:spacing w:after="0" w:line="240" w:lineRule="auto"/>
        <w:rPr>
          <w:rStyle w:val="markedcontent"/>
          <w:rFonts w:cstheme="minorHAnsi"/>
          <w:lang w:val="fr-FR"/>
        </w:rPr>
      </w:pPr>
      <w:r w:rsidRPr="00BE2E9F">
        <w:rPr>
          <w:rStyle w:val="markedcontent"/>
          <w:rFonts w:cstheme="minorHAnsi"/>
          <w:lang w:val="fr-FR"/>
        </w:rPr>
        <w:t xml:space="preserve">L’Article 25 du Règlement intérieur dispose qu’outre le Comité permanent de la </w:t>
      </w:r>
      <w:r>
        <w:rPr>
          <w:rStyle w:val="markedcontent"/>
          <w:rFonts w:cstheme="minorHAnsi"/>
          <w:lang w:val="fr-FR"/>
        </w:rPr>
        <w:t>Convention</w:t>
      </w:r>
      <w:r w:rsidRPr="00BE2E9F">
        <w:rPr>
          <w:rStyle w:val="markedcontent"/>
          <w:rFonts w:cstheme="minorHAnsi"/>
          <w:lang w:val="fr-FR"/>
        </w:rPr>
        <w:t>, le Groupe d’évalua</w:t>
      </w:r>
      <w:r>
        <w:rPr>
          <w:rStyle w:val="markedcontent"/>
          <w:rFonts w:cstheme="minorHAnsi"/>
          <w:lang w:val="fr-FR"/>
        </w:rPr>
        <w:t xml:space="preserve">tion scientifique et technique </w:t>
      </w:r>
      <w:r w:rsidRPr="00BE2E9F">
        <w:rPr>
          <w:rStyle w:val="markedcontent"/>
          <w:rFonts w:cstheme="minorHAnsi"/>
          <w:lang w:val="fr-FR"/>
        </w:rPr>
        <w:t>et le Bureau de la Conférence, la Conférence des Parties (COP) peut constituer d’autres comités et groupes de travail, si elle juge que cela est utile à l’application de la Convention.</w:t>
      </w:r>
    </w:p>
    <w:p w:rsidR="008D70CD" w:rsidRPr="00BE2E9F" w:rsidRDefault="008D70CD" w:rsidP="0038035D">
      <w:pPr>
        <w:spacing w:after="0" w:line="240" w:lineRule="auto"/>
        <w:rPr>
          <w:rStyle w:val="markedcontent"/>
          <w:rFonts w:cstheme="minorHAnsi"/>
          <w:lang w:val="fr-FR"/>
        </w:rPr>
      </w:pPr>
    </w:p>
    <w:p w:rsidR="0038035D" w:rsidRDefault="0038035D" w:rsidP="0038035D">
      <w:pPr>
        <w:spacing w:after="0" w:line="240" w:lineRule="auto"/>
        <w:rPr>
          <w:rStyle w:val="markedcontent"/>
          <w:rFonts w:cstheme="minorHAnsi"/>
          <w:lang w:val="fr-FR"/>
        </w:rPr>
      </w:pPr>
      <w:r w:rsidRPr="00BE2E9F">
        <w:rPr>
          <w:rStyle w:val="markedcontent"/>
          <w:rFonts w:cstheme="minorHAnsi"/>
          <w:lang w:val="fr-FR"/>
        </w:rPr>
        <w:t>Lorsque des groupes de travail sont constitués à une COP par une résolution, celui-ci doit recevoir sur les points suivants des instructions claires qui sont précisées dans la résolution :</w:t>
      </w:r>
    </w:p>
    <w:p w:rsidR="008D70CD" w:rsidRPr="00BE2E9F" w:rsidRDefault="008D70CD" w:rsidP="0038035D">
      <w:pPr>
        <w:spacing w:after="0" w:line="240" w:lineRule="auto"/>
        <w:rPr>
          <w:rFonts w:cstheme="minorHAnsi"/>
          <w:color w:val="000000" w:themeColor="text1"/>
          <w:lang w:val="fr-FR"/>
        </w:rPr>
      </w:pPr>
    </w:p>
    <w:p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Composition et représentation régionale :</w:t>
      </w:r>
    </w:p>
    <w:p w:rsidR="0038035D"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Le groupe de travail est composé de représentants du Comité permanent intéressés et d’autres Parties contractantes intéressé</w:t>
      </w:r>
      <w:r>
        <w:rPr>
          <w:rFonts w:cs="Calibri"/>
          <w:color w:val="000000" w:themeColor="text1"/>
          <w:lang w:val="fr-FR"/>
        </w:rPr>
        <w:t>e</w:t>
      </w:r>
      <w:r w:rsidRPr="00BE2E9F">
        <w:rPr>
          <w:rFonts w:cs="Calibri"/>
          <w:color w:val="000000" w:themeColor="text1"/>
          <w:lang w:val="fr-FR"/>
        </w:rPr>
        <w:t>s</w:t>
      </w:r>
      <w:r>
        <w:rPr>
          <w:rFonts w:cs="Calibri"/>
          <w:color w:val="000000" w:themeColor="text1"/>
          <w:lang w:val="fr-FR"/>
        </w:rPr>
        <w:t>,</w:t>
      </w:r>
      <w:r w:rsidRPr="00BE2E9F">
        <w:rPr>
          <w:rFonts w:cs="Calibri"/>
          <w:color w:val="000000" w:themeColor="text1"/>
          <w:lang w:val="fr-FR"/>
        </w:rPr>
        <w:t xml:space="preserve"> </w:t>
      </w:r>
      <w:r>
        <w:rPr>
          <w:rFonts w:cs="Calibri"/>
          <w:color w:val="000000" w:themeColor="text1"/>
          <w:lang w:val="fr-FR"/>
        </w:rPr>
        <w:t>étant entendu</w:t>
      </w:r>
      <w:r w:rsidRPr="00BE2E9F">
        <w:rPr>
          <w:rFonts w:cs="Calibri"/>
          <w:color w:val="000000" w:themeColor="text1"/>
          <w:lang w:val="fr-FR"/>
        </w:rPr>
        <w:t xml:space="preserve"> qu’il est souhaitable d’obtenir une participation régionale équitable, et au moins un représentant régional de chaque région, tout en s’assurant que le groupe est maintenu à une taille raisonnable et en s’efforçant d’être ouvert à tous. Le ca</w:t>
      </w:r>
      <w:r>
        <w:rPr>
          <w:rFonts w:cs="Calibri"/>
          <w:color w:val="000000" w:themeColor="text1"/>
          <w:lang w:val="fr-FR"/>
        </w:rPr>
        <w:t>s échéant, les P</w:t>
      </w:r>
      <w:r w:rsidRPr="00BE2E9F">
        <w:rPr>
          <w:rFonts w:cs="Calibri"/>
          <w:color w:val="000000" w:themeColor="text1"/>
          <w:lang w:val="fr-FR"/>
        </w:rPr>
        <w:t>arties contractantes peuvent inviter ou accepter des observateurs ou des OIP concernés à participer aux groupes de travail.</w:t>
      </w:r>
    </w:p>
    <w:p w:rsidR="008D70CD" w:rsidRPr="00BE2E9F" w:rsidRDefault="008D70CD" w:rsidP="0038035D">
      <w:pPr>
        <w:spacing w:after="0" w:line="240" w:lineRule="auto"/>
        <w:ind w:left="720"/>
        <w:rPr>
          <w:rFonts w:cs="Calibri"/>
          <w:color w:val="000000" w:themeColor="text1"/>
          <w:lang w:val="fr-FR"/>
        </w:rPr>
      </w:pPr>
    </w:p>
    <w:p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Structure :</w:t>
      </w:r>
    </w:p>
    <w:p w:rsidR="0038035D"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Le groupe de travail nomme deux de ses membres président et président adjoint/vice président, ce dernier faisant office de rapporteur.</w:t>
      </w:r>
    </w:p>
    <w:p w:rsidR="008D70CD" w:rsidRPr="00BE2E9F" w:rsidRDefault="008D70CD" w:rsidP="0038035D">
      <w:pPr>
        <w:spacing w:after="0" w:line="240" w:lineRule="auto"/>
        <w:ind w:left="720"/>
        <w:rPr>
          <w:rFonts w:cs="Calibri"/>
          <w:color w:val="000000" w:themeColor="text1"/>
          <w:lang w:val="fr-FR"/>
        </w:rPr>
      </w:pPr>
    </w:p>
    <w:p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Mandat :</w:t>
      </w:r>
    </w:p>
    <w:p w:rsidR="0038035D"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 xml:space="preserve">La résolution portant création du groupe de travail doit définir clairement le mandat du groupe, y compris les résultats attendus et ce que le groupe doit produire, notamment les rapports, directives ou propositions de projets de résolution </w:t>
      </w:r>
      <w:r>
        <w:rPr>
          <w:rFonts w:cs="Calibri"/>
          <w:color w:val="000000" w:themeColor="text1"/>
          <w:lang w:val="fr-FR"/>
        </w:rPr>
        <w:t xml:space="preserve">à soumettre </w:t>
      </w:r>
      <w:r w:rsidRPr="00BE2E9F">
        <w:rPr>
          <w:rFonts w:cs="Calibri"/>
          <w:color w:val="000000" w:themeColor="text1"/>
          <w:lang w:val="fr-FR"/>
        </w:rPr>
        <w:t>au Comité permanent.</w:t>
      </w:r>
    </w:p>
    <w:p w:rsidR="008D70CD" w:rsidRPr="00BE2E9F" w:rsidRDefault="008D70CD" w:rsidP="0038035D">
      <w:pPr>
        <w:spacing w:after="0" w:line="240" w:lineRule="auto"/>
        <w:ind w:left="720"/>
        <w:rPr>
          <w:rFonts w:cs="Calibri"/>
          <w:b/>
          <w:bCs/>
          <w:color w:val="000000" w:themeColor="text1"/>
          <w:lang w:val="fr-FR"/>
        </w:rPr>
      </w:pPr>
    </w:p>
    <w:p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Termes de Références :</w:t>
      </w:r>
    </w:p>
    <w:p w:rsidR="0038035D"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Le groupe de travail doit définir ses termes de références à présenter à un prochain Comité permanent.</w:t>
      </w:r>
    </w:p>
    <w:p w:rsidR="008D70CD" w:rsidRPr="00BE2E9F" w:rsidRDefault="008D70CD" w:rsidP="0038035D">
      <w:pPr>
        <w:spacing w:after="0" w:line="240" w:lineRule="auto"/>
        <w:ind w:left="720"/>
        <w:rPr>
          <w:rFonts w:cs="Calibri"/>
          <w:color w:val="000000" w:themeColor="text1"/>
          <w:lang w:val="fr-FR"/>
        </w:rPr>
      </w:pPr>
    </w:p>
    <w:p w:rsidR="0038035D" w:rsidRPr="00BE2E9F" w:rsidRDefault="0038035D" w:rsidP="0038035D">
      <w:pPr>
        <w:pStyle w:val="ListParagraph"/>
        <w:numPr>
          <w:ilvl w:val="0"/>
          <w:numId w:val="4"/>
        </w:numPr>
        <w:spacing w:after="0" w:line="240" w:lineRule="auto"/>
        <w:rPr>
          <w:rFonts w:eastAsiaTheme="minorEastAsia" w:cstheme="minorBidi"/>
          <w:color w:val="000000" w:themeColor="text1"/>
          <w:lang w:val="fr-FR"/>
        </w:rPr>
      </w:pPr>
      <w:r w:rsidRPr="00BE2E9F">
        <w:rPr>
          <w:rFonts w:cs="Calibri"/>
          <w:color w:val="000000" w:themeColor="text1"/>
          <w:u w:val="single"/>
          <w:lang w:val="fr-FR"/>
        </w:rPr>
        <w:t>Calendrier :</w:t>
      </w:r>
    </w:p>
    <w:p w:rsidR="0038035D" w:rsidRPr="00BE2E9F" w:rsidRDefault="0038035D" w:rsidP="0038035D">
      <w:pPr>
        <w:spacing w:after="0" w:line="240" w:lineRule="auto"/>
        <w:ind w:left="720"/>
        <w:rPr>
          <w:rFonts w:cs="Calibri"/>
          <w:color w:val="000000" w:themeColor="text1"/>
          <w:lang w:val="fr-FR"/>
        </w:rPr>
      </w:pPr>
      <w:r w:rsidRPr="00BE2E9F">
        <w:rPr>
          <w:rFonts w:cs="Calibri"/>
          <w:color w:val="000000" w:themeColor="text1"/>
          <w:lang w:val="fr-FR"/>
        </w:rPr>
        <w:t>La résolution doit fixer un calendrier</w:t>
      </w:r>
      <w:r w:rsidRPr="00BE2E9F">
        <w:rPr>
          <w:rStyle w:val="FootnoteReference"/>
          <w:rFonts w:cs="Calibri"/>
          <w:color w:val="000000" w:themeColor="text1"/>
          <w:lang w:val="fr-FR"/>
        </w:rPr>
        <w:footnoteReference w:id="4"/>
      </w:r>
      <w:r w:rsidRPr="00BE2E9F">
        <w:rPr>
          <w:rFonts w:cs="Calibri"/>
          <w:color w:val="000000" w:themeColor="text1"/>
          <w:lang w:val="fr-FR"/>
        </w:rPr>
        <w:t xml:space="preserve"> au groupe de travail, y compris : </w:t>
      </w:r>
    </w:p>
    <w:p w:rsidR="0038035D" w:rsidRPr="00BE2E9F" w:rsidRDefault="0038035D" w:rsidP="0038035D">
      <w:pPr>
        <w:pStyle w:val="ListParagraph"/>
        <w:numPr>
          <w:ilvl w:val="1"/>
          <w:numId w:val="4"/>
        </w:numPr>
        <w:spacing w:after="0" w:line="240" w:lineRule="auto"/>
        <w:rPr>
          <w:rFonts w:eastAsiaTheme="minorEastAsia" w:cstheme="minorBidi"/>
          <w:color w:val="000000" w:themeColor="text1"/>
          <w:lang w:val="fr-FR"/>
        </w:rPr>
      </w:pPr>
      <w:r w:rsidRPr="00BE2E9F">
        <w:rPr>
          <w:rFonts w:cs="Calibri"/>
          <w:color w:val="000000" w:themeColor="text1"/>
          <w:lang w:val="fr-FR"/>
        </w:rPr>
        <w:t>Un échéancier pour faire le point sur ses travaux devant un organe approprié de la Convention ;</w:t>
      </w:r>
    </w:p>
    <w:p w:rsidR="0038035D" w:rsidRPr="00BE2E9F" w:rsidRDefault="0038035D" w:rsidP="0038035D">
      <w:pPr>
        <w:pStyle w:val="ListParagraph"/>
        <w:numPr>
          <w:ilvl w:val="1"/>
          <w:numId w:val="4"/>
        </w:numPr>
        <w:spacing w:after="0" w:line="240" w:lineRule="auto"/>
        <w:rPr>
          <w:rFonts w:eastAsiaTheme="minorEastAsia" w:cstheme="minorBidi"/>
          <w:color w:val="000000" w:themeColor="text1"/>
          <w:lang w:val="fr-FR"/>
        </w:rPr>
      </w:pPr>
      <w:r w:rsidRPr="00BE2E9F">
        <w:rPr>
          <w:rFonts w:eastAsiaTheme="minorEastAsia" w:cstheme="minorBidi"/>
          <w:color w:val="000000" w:themeColor="text1"/>
          <w:lang w:val="fr-FR"/>
        </w:rPr>
        <w:t xml:space="preserve">Un délai préconvenu pour que le groupe de travail achève son mandat, rende compte de ses résultats et produise les réalisations requises ; et </w:t>
      </w:r>
    </w:p>
    <w:p w:rsidR="0038035D" w:rsidRPr="008D70CD" w:rsidRDefault="0038035D" w:rsidP="0038035D">
      <w:pPr>
        <w:pStyle w:val="ListParagraph"/>
        <w:numPr>
          <w:ilvl w:val="1"/>
          <w:numId w:val="4"/>
        </w:numPr>
        <w:spacing w:after="0" w:line="240" w:lineRule="auto"/>
        <w:rPr>
          <w:rFonts w:eastAsiaTheme="minorEastAsia" w:cstheme="minorBidi"/>
          <w:color w:val="000000" w:themeColor="text1"/>
          <w:lang w:val="fr-FR"/>
        </w:rPr>
      </w:pPr>
      <w:r w:rsidRPr="00BE2E9F">
        <w:rPr>
          <w:rFonts w:eastAsiaTheme="minorEastAsia" w:cstheme="minorBidi"/>
          <w:color w:val="000000" w:themeColor="text1"/>
          <w:lang w:val="fr-FR"/>
        </w:rPr>
        <w:t xml:space="preserve"> </w:t>
      </w:r>
      <w:r w:rsidRPr="00BE2E9F">
        <w:rPr>
          <w:rFonts w:cs="Calibri"/>
          <w:color w:val="000000" w:themeColor="text1"/>
          <w:lang w:val="fr-FR"/>
        </w:rPr>
        <w:t>Le groupe sera automatiquement supprimé par la prochaine COP, à moins que les Parties n’en conviennent autrement ou que le mandat du groupe ne le prévoie au moment de sa création.</w:t>
      </w:r>
    </w:p>
    <w:p w:rsidR="008D70CD" w:rsidRPr="008D70CD" w:rsidRDefault="008D70CD" w:rsidP="008D70CD">
      <w:pPr>
        <w:spacing w:after="0" w:line="240" w:lineRule="auto"/>
        <w:ind w:left="1080"/>
        <w:rPr>
          <w:rFonts w:eastAsiaTheme="minorEastAsia" w:cstheme="minorBidi"/>
          <w:color w:val="000000" w:themeColor="text1"/>
          <w:lang w:val="fr-FR"/>
        </w:rPr>
      </w:pPr>
    </w:p>
    <w:p w:rsidR="0038035D" w:rsidRPr="00BE2E9F" w:rsidRDefault="0038035D" w:rsidP="0038035D">
      <w:pPr>
        <w:pStyle w:val="ListParagraph"/>
        <w:keepNext/>
        <w:numPr>
          <w:ilvl w:val="0"/>
          <w:numId w:val="4"/>
        </w:numPr>
        <w:spacing w:after="0" w:line="240" w:lineRule="auto"/>
        <w:ind w:left="714" w:hanging="357"/>
        <w:rPr>
          <w:rFonts w:eastAsiaTheme="minorEastAsia" w:cstheme="minorBidi"/>
          <w:color w:val="000000" w:themeColor="text1"/>
          <w:lang w:val="fr-FR"/>
        </w:rPr>
      </w:pPr>
      <w:r w:rsidRPr="00BE2E9F">
        <w:rPr>
          <w:rFonts w:cs="Calibri"/>
          <w:color w:val="000000" w:themeColor="text1"/>
          <w:u w:val="single"/>
          <w:lang w:val="fr-FR"/>
        </w:rPr>
        <w:lastRenderedPageBreak/>
        <w:t>Financement :</w:t>
      </w:r>
    </w:p>
    <w:p w:rsidR="0038035D" w:rsidRPr="00BE2E9F" w:rsidRDefault="0038035D" w:rsidP="0038035D">
      <w:pPr>
        <w:spacing w:after="0" w:line="240" w:lineRule="auto"/>
        <w:rPr>
          <w:rFonts w:cs="Calibri"/>
          <w:color w:val="000000" w:themeColor="text1"/>
          <w:lang w:val="fr-FR"/>
        </w:rPr>
      </w:pPr>
      <w:r>
        <w:rPr>
          <w:rFonts w:cs="Calibri"/>
          <w:color w:val="000000" w:themeColor="text1"/>
          <w:lang w:val="fr-FR"/>
        </w:rPr>
        <w:t>La c</w:t>
      </w:r>
      <w:r w:rsidRPr="00BE2E9F">
        <w:rPr>
          <w:rFonts w:cs="Calibri"/>
          <w:color w:val="000000" w:themeColor="text1"/>
          <w:lang w:val="fr-FR"/>
        </w:rPr>
        <w:t xml:space="preserve">larté </w:t>
      </w:r>
      <w:r>
        <w:rPr>
          <w:rFonts w:cs="Calibri"/>
          <w:color w:val="000000" w:themeColor="text1"/>
          <w:lang w:val="fr-FR"/>
        </w:rPr>
        <w:t>sur</w:t>
      </w:r>
      <w:r w:rsidRPr="00BE2E9F">
        <w:rPr>
          <w:rFonts w:cs="Calibri"/>
          <w:color w:val="000000" w:themeColor="text1"/>
          <w:lang w:val="fr-FR"/>
        </w:rPr>
        <w:t xml:space="preserve"> tout financement alloué </w:t>
      </w:r>
      <w:r>
        <w:rPr>
          <w:rFonts w:cs="Calibri"/>
          <w:color w:val="000000" w:themeColor="text1"/>
          <w:lang w:val="fr-FR"/>
        </w:rPr>
        <w:t>pour</w:t>
      </w:r>
      <w:r w:rsidRPr="00BE2E9F">
        <w:rPr>
          <w:rFonts w:cs="Calibri"/>
          <w:color w:val="000000" w:themeColor="text1"/>
          <w:lang w:val="fr-FR"/>
        </w:rPr>
        <w:t xml:space="preserve"> faciliter l’accomplissement du mandat du groupe de travail.</w:t>
      </w:r>
    </w:p>
    <w:p w:rsidR="0038035D" w:rsidRPr="00BE2E9F" w:rsidRDefault="0038035D" w:rsidP="0038035D">
      <w:pPr>
        <w:spacing w:after="0" w:line="240" w:lineRule="auto"/>
        <w:rPr>
          <w:rFonts w:cs="Calibri"/>
          <w:color w:val="000000" w:themeColor="text1"/>
          <w:lang w:val="fr-FR"/>
        </w:rPr>
      </w:pPr>
    </w:p>
    <w:p w:rsidR="0038035D" w:rsidRDefault="0038035D" w:rsidP="0038035D">
      <w:pPr>
        <w:spacing w:after="0" w:line="240" w:lineRule="auto"/>
        <w:rPr>
          <w:rFonts w:cs="Calibri"/>
          <w:b/>
          <w:bCs/>
          <w:color w:val="000000" w:themeColor="text1"/>
          <w:lang w:val="fr-FR"/>
        </w:rPr>
      </w:pPr>
      <w:r w:rsidRPr="00BE2E9F">
        <w:rPr>
          <w:rFonts w:cs="Calibri"/>
          <w:b/>
          <w:bCs/>
          <w:color w:val="000000" w:themeColor="text1"/>
          <w:lang w:val="fr-FR"/>
        </w:rPr>
        <w:t xml:space="preserve">Termes </w:t>
      </w:r>
      <w:r>
        <w:rPr>
          <w:rFonts w:cs="Calibri"/>
          <w:b/>
          <w:bCs/>
          <w:color w:val="000000" w:themeColor="text1"/>
          <w:lang w:val="fr-FR"/>
        </w:rPr>
        <w:t>de</w:t>
      </w:r>
      <w:r w:rsidRPr="00BE2E9F">
        <w:rPr>
          <w:rFonts w:cs="Calibri"/>
          <w:b/>
          <w:bCs/>
          <w:color w:val="000000" w:themeColor="text1"/>
          <w:lang w:val="fr-FR"/>
        </w:rPr>
        <w:t xml:space="preserve"> Références</w:t>
      </w:r>
    </w:p>
    <w:p w:rsidR="008D70CD" w:rsidRPr="00BE2E9F" w:rsidRDefault="008D70CD" w:rsidP="0038035D">
      <w:pPr>
        <w:spacing w:after="0" w:line="240" w:lineRule="auto"/>
        <w:rPr>
          <w:rFonts w:cs="Calibri"/>
          <w:color w:val="000000" w:themeColor="text1"/>
          <w:lang w:val="fr-FR"/>
        </w:rPr>
      </w:pPr>
    </w:p>
    <w:p w:rsidR="0038035D" w:rsidRDefault="0038035D" w:rsidP="0038035D">
      <w:pPr>
        <w:spacing w:after="0" w:line="240" w:lineRule="auto"/>
        <w:rPr>
          <w:rFonts w:cs="Calibri"/>
          <w:color w:val="000000" w:themeColor="text1"/>
          <w:lang w:val="fr-FR"/>
        </w:rPr>
      </w:pPr>
      <w:r w:rsidRPr="00BE2E9F">
        <w:rPr>
          <w:rFonts w:cs="Calibri"/>
          <w:color w:val="000000" w:themeColor="text1"/>
          <w:lang w:val="fr-FR"/>
        </w:rPr>
        <w:t>Tout groupe de travail constitué doit disposer de termes de références convenus par le groupe et présentés au Comité permanent. Lors de la rédaction des termes de références, certains points doivent être pris en considération :</w:t>
      </w:r>
    </w:p>
    <w:p w:rsidR="008D70CD" w:rsidRPr="00BE2E9F" w:rsidRDefault="008D70CD" w:rsidP="0038035D">
      <w:pPr>
        <w:spacing w:after="0" w:line="240" w:lineRule="auto"/>
        <w:rPr>
          <w:rFonts w:cs="Calibri"/>
          <w:color w:val="000000" w:themeColor="text1"/>
          <w:lang w:val="fr-FR"/>
        </w:rPr>
      </w:pP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Réitérer le mandat et le champ d’activité du groupe, tels qu’ils ont été convenus à la COP, afin de parvenir à une entente commune et convenue au sein du groupe</w:t>
      </w: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Les décisions seront prises par consensus.</w:t>
      </w: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 xml:space="preserve">Les rôles de président et de vice président. </w:t>
      </w:r>
      <w:r>
        <w:rPr>
          <w:rFonts w:cs="Calibri"/>
          <w:color w:val="000000" w:themeColor="text1"/>
          <w:lang w:val="fr-FR"/>
        </w:rPr>
        <w:t>Ce peut être</w:t>
      </w:r>
      <w:r w:rsidRPr="00BE2E9F">
        <w:rPr>
          <w:rFonts w:cs="Calibri"/>
          <w:color w:val="000000" w:themeColor="text1"/>
          <w:lang w:val="fr-FR"/>
        </w:rPr>
        <w:t> :</w:t>
      </w:r>
    </w:p>
    <w:p w:rsidR="0038035D" w:rsidRPr="00BE2E9F" w:rsidRDefault="0038035D" w:rsidP="0038035D">
      <w:pPr>
        <w:pStyle w:val="ListParagraph"/>
        <w:numPr>
          <w:ilvl w:val="1"/>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Comment ils sont désignés (</w:t>
      </w:r>
      <w:r>
        <w:rPr>
          <w:rFonts w:cs="Calibri"/>
          <w:color w:val="000000" w:themeColor="text1"/>
          <w:lang w:val="fr-FR"/>
        </w:rPr>
        <w:t>par ex., p</w:t>
      </w:r>
      <w:r w:rsidRPr="00BE2E9F">
        <w:rPr>
          <w:rFonts w:cs="Calibri"/>
          <w:color w:val="000000" w:themeColor="text1"/>
          <w:lang w:val="fr-FR"/>
        </w:rPr>
        <w:t>ar conse</w:t>
      </w:r>
      <w:r>
        <w:rPr>
          <w:rFonts w:cs="Calibri"/>
          <w:color w:val="000000" w:themeColor="text1"/>
          <w:lang w:val="fr-FR"/>
        </w:rPr>
        <w:t>nsus du groupe après nomination</w:t>
      </w:r>
      <w:r w:rsidRPr="00BE2E9F">
        <w:rPr>
          <w:rFonts w:cs="Calibri"/>
          <w:color w:val="000000" w:themeColor="text1"/>
          <w:lang w:val="fr-FR"/>
        </w:rPr>
        <w:t xml:space="preserve"> des membres)</w:t>
      </w:r>
      <w:r>
        <w:rPr>
          <w:rFonts w:cs="Calibri"/>
          <w:color w:val="000000" w:themeColor="text1"/>
          <w:lang w:val="fr-FR"/>
        </w:rPr>
        <w:t>,</w:t>
      </w:r>
    </w:p>
    <w:p w:rsidR="0038035D" w:rsidRPr="00BE2E9F" w:rsidRDefault="0038035D" w:rsidP="0038035D">
      <w:pPr>
        <w:pStyle w:val="ListParagraph"/>
        <w:numPr>
          <w:ilvl w:val="1"/>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Leur rôle et celui des groupes plus larges dans la coordination et la réalisation des tâches</w:t>
      </w:r>
      <w:r>
        <w:rPr>
          <w:rFonts w:cs="Calibri"/>
          <w:color w:val="000000" w:themeColor="text1"/>
          <w:lang w:val="fr-FR"/>
        </w:rPr>
        <w:t>,</w:t>
      </w:r>
      <w:r w:rsidRPr="00BE2E9F">
        <w:rPr>
          <w:rFonts w:cs="Calibri"/>
          <w:color w:val="000000" w:themeColor="text1"/>
          <w:lang w:val="fr-FR"/>
        </w:rPr>
        <w:t xml:space="preserve"> et </w:t>
      </w:r>
      <w:r>
        <w:rPr>
          <w:rFonts w:cs="Calibri"/>
          <w:color w:val="000000" w:themeColor="text1"/>
          <w:lang w:val="fr-FR"/>
        </w:rPr>
        <w:t xml:space="preserve">aux </w:t>
      </w:r>
      <w:r w:rsidRPr="00BE2E9F">
        <w:rPr>
          <w:rFonts w:cs="Calibri"/>
          <w:color w:val="000000" w:themeColor="text1"/>
          <w:lang w:val="fr-FR"/>
        </w:rPr>
        <w:t>réunions, ainsi que le</w:t>
      </w:r>
      <w:r>
        <w:rPr>
          <w:rFonts w:cs="Calibri"/>
          <w:color w:val="000000" w:themeColor="text1"/>
          <w:lang w:val="fr-FR"/>
        </w:rPr>
        <w:t>s</w:t>
      </w:r>
      <w:r w:rsidRPr="00BE2E9F">
        <w:rPr>
          <w:rFonts w:cs="Calibri"/>
          <w:color w:val="000000" w:themeColor="text1"/>
          <w:lang w:val="fr-FR"/>
        </w:rPr>
        <w:t xml:space="preserve"> compte</w:t>
      </w:r>
      <w:r>
        <w:rPr>
          <w:rFonts w:cs="Calibri"/>
          <w:color w:val="000000" w:themeColor="text1"/>
          <w:lang w:val="fr-FR"/>
        </w:rPr>
        <w:t>s</w:t>
      </w:r>
      <w:r w:rsidRPr="00BE2E9F">
        <w:rPr>
          <w:rFonts w:cs="Calibri"/>
          <w:color w:val="000000" w:themeColor="text1"/>
          <w:lang w:val="fr-FR"/>
        </w:rPr>
        <w:t xml:space="preserve"> rendu</w:t>
      </w:r>
      <w:r>
        <w:rPr>
          <w:rFonts w:cs="Calibri"/>
          <w:color w:val="000000" w:themeColor="text1"/>
          <w:lang w:val="fr-FR"/>
        </w:rPr>
        <w:t>s</w:t>
      </w:r>
      <w:r w:rsidRPr="00BE2E9F">
        <w:rPr>
          <w:rFonts w:cs="Calibri"/>
          <w:color w:val="000000" w:themeColor="text1"/>
          <w:lang w:val="fr-FR"/>
        </w:rPr>
        <w:t xml:space="preserve"> des travaux du groupe,</w:t>
      </w:r>
    </w:p>
    <w:p w:rsidR="0038035D" w:rsidRPr="00BE2E9F" w:rsidRDefault="0038035D" w:rsidP="0038035D">
      <w:pPr>
        <w:pStyle w:val="ListParagraph"/>
        <w:numPr>
          <w:ilvl w:val="1"/>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 xml:space="preserve">Comment le président/vice-président peut faciliter le processus de </w:t>
      </w:r>
      <w:r>
        <w:rPr>
          <w:rFonts w:cs="Calibri"/>
          <w:color w:val="000000" w:themeColor="text1"/>
          <w:lang w:val="fr-FR"/>
        </w:rPr>
        <w:t xml:space="preserve">prise de </w:t>
      </w:r>
      <w:r w:rsidRPr="00BE2E9F">
        <w:rPr>
          <w:rFonts w:cs="Calibri"/>
          <w:color w:val="000000" w:themeColor="text1"/>
          <w:lang w:val="fr-FR"/>
        </w:rPr>
        <w:t>décision</w:t>
      </w:r>
      <w:r>
        <w:rPr>
          <w:rFonts w:cs="Calibri"/>
          <w:color w:val="000000" w:themeColor="text1"/>
          <w:lang w:val="fr-FR"/>
        </w:rPr>
        <w:t>s</w:t>
      </w:r>
      <w:r w:rsidRPr="00BE2E9F">
        <w:rPr>
          <w:rFonts w:cs="Calibri"/>
          <w:color w:val="000000" w:themeColor="text1"/>
          <w:lang w:val="fr-FR"/>
        </w:rPr>
        <w:t xml:space="preserve"> au sein du groupe. </w:t>
      </w: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Comment le groupe fonctionnera pour mener à bien ses travaux, par exemple par des réunions, des échanges électroniques écrits, etc.</w:t>
      </w: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Comment le groupe pourra fonctionner en vue de faciliter la particip</w:t>
      </w:r>
      <w:r>
        <w:rPr>
          <w:rFonts w:cs="Calibri"/>
          <w:color w:val="000000" w:themeColor="text1"/>
          <w:lang w:val="fr-FR"/>
        </w:rPr>
        <w:t>ation pleine et active de tous s</w:t>
      </w:r>
      <w:r w:rsidRPr="00BE2E9F">
        <w:rPr>
          <w:rFonts w:cs="Calibri"/>
          <w:color w:val="000000" w:themeColor="text1"/>
          <w:lang w:val="fr-FR"/>
        </w:rPr>
        <w:t xml:space="preserve">es membres et </w:t>
      </w:r>
      <w:r>
        <w:rPr>
          <w:rFonts w:cs="Calibri"/>
          <w:color w:val="000000" w:themeColor="text1"/>
          <w:lang w:val="fr-FR"/>
        </w:rPr>
        <w:t xml:space="preserve">de toutes les </w:t>
      </w:r>
      <w:r w:rsidRPr="00BE2E9F">
        <w:rPr>
          <w:rFonts w:cs="Calibri"/>
          <w:color w:val="000000" w:themeColor="text1"/>
          <w:lang w:val="fr-FR"/>
        </w:rPr>
        <w:t>régions représenté</w:t>
      </w:r>
      <w:r>
        <w:rPr>
          <w:rFonts w:cs="Calibri"/>
          <w:color w:val="000000" w:themeColor="text1"/>
          <w:lang w:val="fr-FR"/>
        </w:rPr>
        <w:t>e</w:t>
      </w:r>
      <w:r w:rsidRPr="00BE2E9F">
        <w:rPr>
          <w:rFonts w:cs="Calibri"/>
          <w:color w:val="000000" w:themeColor="text1"/>
          <w:lang w:val="fr-FR"/>
        </w:rPr>
        <w:t>s au sein du groupe.</w:t>
      </w: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Pr>
          <w:rFonts w:cs="Calibri"/>
          <w:color w:val="000000" w:themeColor="text1"/>
          <w:lang w:val="fr-FR"/>
        </w:rPr>
        <w:t>Comment s’</w:t>
      </w:r>
      <w:r w:rsidRPr="00BE2E9F">
        <w:rPr>
          <w:rFonts w:cs="Calibri"/>
          <w:color w:val="000000" w:themeColor="text1"/>
          <w:lang w:val="fr-FR"/>
        </w:rPr>
        <w:t xml:space="preserve">assurer que le groupe dispose toujours d’un point de contact </w:t>
      </w:r>
      <w:r>
        <w:rPr>
          <w:rFonts w:cs="Calibri"/>
          <w:color w:val="000000" w:themeColor="text1"/>
          <w:lang w:val="fr-FR"/>
        </w:rPr>
        <w:t>précis</w:t>
      </w:r>
      <w:r w:rsidRPr="00BE2E9F">
        <w:rPr>
          <w:rFonts w:cs="Calibri"/>
          <w:color w:val="000000" w:themeColor="text1"/>
          <w:lang w:val="fr-FR"/>
        </w:rPr>
        <w:t xml:space="preserve"> pour les membres du groupe, y compris si ces points de contact changent au fil du temps.</w:t>
      </w: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Comment le groupe tiendra un registre de ses travaux et/ou de ses réunions.</w:t>
      </w:r>
    </w:p>
    <w:p w:rsidR="0038035D" w:rsidRPr="00BE2E9F" w:rsidRDefault="0038035D" w:rsidP="0038035D">
      <w:pPr>
        <w:pStyle w:val="ListParagraph"/>
        <w:numPr>
          <w:ilvl w:val="0"/>
          <w:numId w:val="3"/>
        </w:numPr>
        <w:spacing w:after="0" w:line="240" w:lineRule="auto"/>
        <w:rPr>
          <w:color w:val="000000" w:themeColor="text1"/>
          <w:lang w:val="fr-FR"/>
        </w:rPr>
      </w:pPr>
      <w:r w:rsidRPr="00BE2E9F">
        <w:rPr>
          <w:rFonts w:cs="Calibri"/>
          <w:color w:val="000000" w:themeColor="text1"/>
          <w:lang w:val="fr-FR"/>
        </w:rPr>
        <w:t>Comment les groupes de travail rendront compte à un organe de la Convention.</w:t>
      </w: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Si et comment l</w:t>
      </w:r>
      <w:r>
        <w:rPr>
          <w:rFonts w:cs="Calibri"/>
          <w:color w:val="000000" w:themeColor="text1"/>
          <w:lang w:val="fr-FR"/>
        </w:rPr>
        <w:t>e groupe doit travailler avec d’</w:t>
      </w:r>
      <w:r w:rsidRPr="00BE2E9F">
        <w:rPr>
          <w:rFonts w:cs="Calibri"/>
          <w:color w:val="000000" w:themeColor="text1"/>
          <w:lang w:val="fr-FR"/>
        </w:rPr>
        <w:t>autres organes de la Convention, y compris le Secrétariat et d’autres groupes de travail ou parties externes concernés.</w:t>
      </w:r>
    </w:p>
    <w:p w:rsidR="0038035D" w:rsidRPr="00BE2E9F" w:rsidRDefault="0038035D" w:rsidP="0038035D">
      <w:pPr>
        <w:pStyle w:val="ListParagraph"/>
        <w:numPr>
          <w:ilvl w:val="0"/>
          <w:numId w:val="3"/>
        </w:numPr>
        <w:spacing w:after="0" w:line="240" w:lineRule="auto"/>
        <w:rPr>
          <w:rFonts w:eastAsiaTheme="minorEastAsia" w:cstheme="minorBidi"/>
          <w:color w:val="000000" w:themeColor="text1"/>
          <w:lang w:val="fr-FR"/>
        </w:rPr>
      </w:pPr>
      <w:r w:rsidRPr="00BE2E9F">
        <w:rPr>
          <w:rFonts w:cs="Calibri"/>
          <w:color w:val="000000" w:themeColor="text1"/>
          <w:lang w:val="fr-FR"/>
        </w:rPr>
        <w:t xml:space="preserve">Fixer un calendrier </w:t>
      </w:r>
      <w:r>
        <w:rPr>
          <w:rFonts w:cs="Calibri"/>
          <w:color w:val="000000" w:themeColor="text1"/>
          <w:lang w:val="fr-FR"/>
        </w:rPr>
        <w:t xml:space="preserve">de travail </w:t>
      </w:r>
      <w:r w:rsidRPr="00BE2E9F">
        <w:rPr>
          <w:rFonts w:cs="Calibri"/>
          <w:color w:val="000000" w:themeColor="text1"/>
          <w:lang w:val="fr-FR"/>
        </w:rPr>
        <w:t>pour que le groupe respecte les délais fixés par la COP.</w:t>
      </w:r>
    </w:p>
    <w:p w:rsidR="0038035D" w:rsidRPr="00BE2E9F" w:rsidRDefault="0038035D" w:rsidP="0038035D">
      <w:pPr>
        <w:spacing w:after="0" w:line="240" w:lineRule="auto"/>
        <w:rPr>
          <w:rFonts w:cs="Calibri"/>
          <w:color w:val="000000" w:themeColor="text1"/>
          <w:lang w:val="fr-FR"/>
        </w:rPr>
      </w:pPr>
    </w:p>
    <w:p w:rsidR="0038035D" w:rsidRDefault="0038035D" w:rsidP="0038035D">
      <w:pPr>
        <w:spacing w:after="0" w:line="240" w:lineRule="auto"/>
        <w:rPr>
          <w:rFonts w:cs="Calibri"/>
          <w:b/>
          <w:bCs/>
          <w:color w:val="000000" w:themeColor="text1"/>
          <w:lang w:val="fr-FR"/>
        </w:rPr>
      </w:pPr>
      <w:r w:rsidRPr="00BE2E9F">
        <w:rPr>
          <w:rFonts w:cs="Calibri"/>
          <w:b/>
          <w:bCs/>
          <w:color w:val="000000" w:themeColor="text1"/>
          <w:lang w:val="fr-FR"/>
        </w:rPr>
        <w:t>Suppression</w:t>
      </w:r>
    </w:p>
    <w:p w:rsidR="008D70CD" w:rsidRPr="00BE2E9F" w:rsidRDefault="008D70CD" w:rsidP="0038035D">
      <w:pPr>
        <w:spacing w:after="0" w:line="240" w:lineRule="auto"/>
        <w:rPr>
          <w:rFonts w:cs="Calibri"/>
          <w:color w:val="000000" w:themeColor="text1"/>
          <w:lang w:val="fr-FR"/>
        </w:rPr>
      </w:pPr>
      <w:bookmarkStart w:id="0" w:name="_GoBack"/>
      <w:bookmarkEnd w:id="0"/>
    </w:p>
    <w:p w:rsidR="0038035D" w:rsidRPr="00BE2E9F" w:rsidRDefault="0038035D" w:rsidP="0038035D">
      <w:pPr>
        <w:spacing w:after="0" w:line="240" w:lineRule="auto"/>
        <w:rPr>
          <w:rFonts w:cs="Calibri"/>
          <w:color w:val="000000" w:themeColor="text1"/>
          <w:lang w:val="fr-FR"/>
        </w:rPr>
      </w:pPr>
      <w:r w:rsidRPr="00BE2E9F">
        <w:rPr>
          <w:rStyle w:val="normaltextrun"/>
          <w:rFonts w:cs="Calibri"/>
          <w:color w:val="000000" w:themeColor="text1"/>
          <w:lang w:val="fr-FR"/>
        </w:rPr>
        <w:t xml:space="preserve">Tous les groupes de travail </w:t>
      </w:r>
      <w:r>
        <w:rPr>
          <w:rStyle w:val="normaltextrun"/>
          <w:rFonts w:cs="Calibri"/>
          <w:color w:val="000000" w:themeColor="text1"/>
          <w:lang w:val="fr-FR"/>
        </w:rPr>
        <w:t>constitués</w:t>
      </w:r>
      <w:r w:rsidRPr="00BE2E9F">
        <w:rPr>
          <w:rStyle w:val="normaltextrun"/>
          <w:rFonts w:cs="Calibri"/>
          <w:color w:val="000000" w:themeColor="text1"/>
          <w:lang w:val="fr-FR"/>
        </w:rPr>
        <w:t xml:space="preserve"> par une COP doivent être automatiquement supprimés par la </w:t>
      </w:r>
      <w:r>
        <w:rPr>
          <w:rStyle w:val="normaltextrun"/>
          <w:rFonts w:cs="Calibri"/>
          <w:color w:val="000000" w:themeColor="text1"/>
          <w:lang w:val="fr-FR"/>
        </w:rPr>
        <w:t>COP</w:t>
      </w:r>
      <w:r w:rsidRPr="00BE2E9F">
        <w:rPr>
          <w:rStyle w:val="normaltextrun"/>
          <w:rFonts w:cs="Calibri"/>
          <w:color w:val="000000" w:themeColor="text1"/>
          <w:lang w:val="fr-FR"/>
        </w:rPr>
        <w:t xml:space="preserve"> suivante, sauf accord contraire des Parties ou disposition spéciale inscrite dans le mandat du groupe lorsqu’il est créé.</w:t>
      </w:r>
    </w:p>
    <w:p w:rsidR="0038035D" w:rsidRPr="00BE2E9F" w:rsidRDefault="0038035D" w:rsidP="0038035D">
      <w:pPr>
        <w:rPr>
          <w:rFonts w:cs="Arial"/>
          <w:i/>
          <w:iCs/>
          <w:lang w:val="fr-FR"/>
        </w:rPr>
      </w:pPr>
    </w:p>
    <w:p w:rsidR="0038035D" w:rsidRPr="00CA75F9" w:rsidRDefault="0038035D" w:rsidP="00BA2459">
      <w:pPr>
        <w:spacing w:after="0" w:line="240" w:lineRule="auto"/>
        <w:rPr>
          <w:lang w:val="fr-FR"/>
        </w:rPr>
      </w:pPr>
    </w:p>
    <w:sectPr w:rsidR="0038035D" w:rsidRPr="00CA75F9" w:rsidSect="00605195">
      <w:footerReference w:type="default" r:id="rId12"/>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8A" w:rsidRDefault="00A04B8A">
      <w:pPr>
        <w:spacing w:after="0" w:line="240" w:lineRule="auto"/>
      </w:pPr>
      <w:r>
        <w:separator/>
      </w:r>
    </w:p>
  </w:endnote>
  <w:endnote w:type="continuationSeparator" w:id="0">
    <w:p w:rsidR="00A04B8A" w:rsidRDefault="00A0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95" w:rsidRDefault="00605195" w:rsidP="00605195">
    <w:pPr>
      <w:pStyle w:val="Header"/>
      <w:rPr>
        <w:noProof/>
      </w:rPr>
    </w:pPr>
    <w:r w:rsidRPr="00E07553">
      <w:rPr>
        <w:sz w:val="20"/>
      </w:rPr>
      <w:t>SC59/2022 Doc</w:t>
    </w:r>
    <w:r w:rsidR="0038035D">
      <w:rPr>
        <w:sz w:val="20"/>
      </w:rPr>
      <w:t>.11</w:t>
    </w:r>
    <w:r>
      <w:tab/>
    </w:r>
    <w:r>
      <w:tab/>
    </w:r>
    <w:sdt>
      <w:sdtPr>
        <w:id w:val="-1790969534"/>
        <w:docPartObj>
          <w:docPartGallery w:val="Page Numbers (Top of Page)"/>
          <w:docPartUnique/>
        </w:docPartObj>
      </w:sdtPr>
      <w:sdtEndPr>
        <w:rPr>
          <w:noProof/>
        </w:rPr>
      </w:sdtEndPr>
      <w:sdtContent>
        <w:r w:rsidR="008708D4" w:rsidRPr="00F344DE">
          <w:rPr>
            <w:sz w:val="20"/>
          </w:rPr>
          <w:fldChar w:fldCharType="begin"/>
        </w:r>
        <w:r w:rsidRPr="00F344DE">
          <w:rPr>
            <w:sz w:val="20"/>
          </w:rPr>
          <w:instrText xml:space="preserve"> PAGE   \* MERGEFORMAT </w:instrText>
        </w:r>
        <w:r w:rsidR="008708D4" w:rsidRPr="00F344DE">
          <w:rPr>
            <w:sz w:val="20"/>
          </w:rPr>
          <w:fldChar w:fldCharType="separate"/>
        </w:r>
        <w:r w:rsidR="008D70CD">
          <w:rPr>
            <w:noProof/>
            <w:sz w:val="20"/>
          </w:rPr>
          <w:t>2</w:t>
        </w:r>
        <w:r w:rsidR="008708D4" w:rsidRPr="00F344DE">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8A" w:rsidRDefault="00A04B8A">
      <w:pPr>
        <w:spacing w:after="0" w:line="240" w:lineRule="auto"/>
      </w:pPr>
      <w:r>
        <w:separator/>
      </w:r>
    </w:p>
  </w:footnote>
  <w:footnote w:type="continuationSeparator" w:id="0">
    <w:p w:rsidR="00A04B8A" w:rsidRDefault="00A04B8A">
      <w:pPr>
        <w:spacing w:after="0" w:line="240" w:lineRule="auto"/>
      </w:pPr>
      <w:r>
        <w:continuationSeparator/>
      </w:r>
    </w:p>
  </w:footnote>
  <w:footnote w:id="1">
    <w:p w:rsidR="0038035D" w:rsidRDefault="0038035D" w:rsidP="0038035D">
      <w:pPr>
        <w:pStyle w:val="FootnoteText"/>
        <w:rPr>
          <w:rFonts w:cs="Calibri"/>
          <w:sz w:val="18"/>
          <w:lang w:val="fr-FR"/>
        </w:rPr>
      </w:pPr>
      <w:r w:rsidRPr="00DB408C">
        <w:rPr>
          <w:rStyle w:val="FootnoteReference"/>
          <w:sz w:val="18"/>
        </w:rPr>
        <w:footnoteRef/>
      </w:r>
      <w:r w:rsidRPr="00DB408C">
        <w:rPr>
          <w:sz w:val="18"/>
          <w:lang w:val="fr-FR"/>
        </w:rPr>
        <w:t xml:space="preserve"> (1)  </w:t>
      </w:r>
      <w:r w:rsidRPr="00DB408C">
        <w:rPr>
          <w:rFonts w:cs="Calibri"/>
          <w:i/>
          <w:sz w:val="18"/>
          <w:lang w:val="fr-FR"/>
        </w:rPr>
        <w:t>Ramsar Convention on Wetlands: Review of Governance Structures and Procedures – Findings: The Findings Report</w:t>
      </w:r>
      <w:r w:rsidRPr="00DB408C">
        <w:rPr>
          <w:i/>
          <w:sz w:val="18"/>
          <w:lang w:val="fr-FR"/>
        </w:rPr>
        <w:t xml:space="preserve"> </w:t>
      </w:r>
      <w:r w:rsidRPr="00DB408C">
        <w:rPr>
          <w:sz w:val="18"/>
          <w:lang w:val="fr-FR"/>
        </w:rPr>
        <w:t>(Convention de Ramsar sur les zones humides : Examen des structures et procédures de gouvernance - Résultats : Rapport sur les conclusions)(en anglais) </w:t>
      </w:r>
      <w:r w:rsidRPr="00DB408C">
        <w:rPr>
          <w:rFonts w:cs="Calibri"/>
          <w:sz w:val="18"/>
          <w:lang w:val="fr-FR"/>
        </w:rPr>
        <w:t xml:space="preserve">; (2) </w:t>
      </w:r>
      <w:r w:rsidRPr="00DB408C">
        <w:rPr>
          <w:rFonts w:cs="Calibri"/>
          <w:i/>
          <w:sz w:val="18"/>
          <w:lang w:val="fr-FR"/>
        </w:rPr>
        <w:t xml:space="preserve">Ramsar Convention on Wetlands: Review of Governance Structures and Procedures – A Comparison Report </w:t>
      </w:r>
      <w:r w:rsidRPr="00DB408C">
        <w:rPr>
          <w:sz w:val="18"/>
          <w:lang w:val="fr-FR"/>
        </w:rPr>
        <w:t>(Convention de Ramsar sur les zones humides : Examen des structures et procédures de gouvernance -Rapport de comparaison) (en anglais) </w:t>
      </w:r>
      <w:r w:rsidRPr="00DB408C">
        <w:rPr>
          <w:rFonts w:cs="Calibri"/>
          <w:sz w:val="18"/>
          <w:lang w:val="fr-FR"/>
        </w:rPr>
        <w:t xml:space="preserve">; (3) </w:t>
      </w:r>
      <w:r w:rsidRPr="00DB408C">
        <w:rPr>
          <w:rFonts w:cs="Calibri"/>
          <w:i/>
          <w:sz w:val="18"/>
          <w:lang w:val="fr-FR"/>
        </w:rPr>
        <w:t>Final Report – Positive Indications and Measures – Ramsar Convention Governance Review</w:t>
      </w:r>
      <w:r w:rsidRPr="00DB408C">
        <w:rPr>
          <w:rFonts w:cs="Calibri"/>
          <w:sz w:val="18"/>
          <w:lang w:val="fr-FR"/>
        </w:rPr>
        <w:t xml:space="preserve"> (Rapport final - Indications et mesures positives - Examen de la gouvernance de la Convention de Ramsar) (en anglais).</w:t>
      </w:r>
    </w:p>
    <w:p w:rsidR="0038035D" w:rsidRPr="00DB408C" w:rsidRDefault="0038035D" w:rsidP="0038035D">
      <w:pPr>
        <w:pStyle w:val="FootnoteText"/>
        <w:rPr>
          <w:sz w:val="18"/>
          <w:lang w:val="fr-FR"/>
        </w:rPr>
      </w:pPr>
    </w:p>
  </w:footnote>
  <w:footnote w:id="2">
    <w:p w:rsidR="0038035D" w:rsidRPr="00DB408C" w:rsidRDefault="0038035D" w:rsidP="0038035D">
      <w:pPr>
        <w:pStyle w:val="FootnoteText"/>
        <w:rPr>
          <w:sz w:val="18"/>
          <w:lang w:val="fr-FR"/>
        </w:rPr>
      </w:pPr>
      <w:r w:rsidRPr="00DB408C">
        <w:rPr>
          <w:rStyle w:val="FootnoteReference"/>
          <w:sz w:val="18"/>
        </w:rPr>
        <w:footnoteRef/>
      </w:r>
      <w:r w:rsidRPr="00DB408C">
        <w:rPr>
          <w:rStyle w:val="normaltextrun"/>
          <w:rFonts w:cstheme="minorBidi"/>
          <w:sz w:val="18"/>
          <w:lang w:val="fr-FR"/>
        </w:rPr>
        <w:t xml:space="preserve">Décision </w:t>
      </w:r>
      <w:r w:rsidRPr="00DB408C">
        <w:rPr>
          <w:sz w:val="18"/>
          <w:lang w:val="fr-FR"/>
        </w:rPr>
        <w:t>SC58-19, SC58-20 et SC58-21.</w:t>
      </w:r>
    </w:p>
  </w:footnote>
  <w:footnote w:id="3">
    <w:p w:rsidR="0038035D" w:rsidRPr="00DB408C" w:rsidRDefault="0038035D" w:rsidP="0038035D">
      <w:pPr>
        <w:pStyle w:val="FootnoteText"/>
        <w:rPr>
          <w:i/>
          <w:iCs/>
          <w:sz w:val="18"/>
          <w:szCs w:val="18"/>
          <w:lang w:val="fr-FR"/>
        </w:rPr>
      </w:pPr>
      <w:r w:rsidRPr="00DB408C">
        <w:rPr>
          <w:rStyle w:val="FootnoteReference"/>
          <w:sz w:val="18"/>
          <w:szCs w:val="18"/>
        </w:rPr>
        <w:footnoteRef/>
      </w:r>
      <w:r w:rsidRPr="00DB408C">
        <w:rPr>
          <w:rFonts w:cs="Arial"/>
          <w:i/>
          <w:iCs/>
          <w:sz w:val="18"/>
          <w:szCs w:val="18"/>
          <w:lang w:val="fr-FR"/>
        </w:rPr>
        <w:t xml:space="preserve"> Les lignes directrices peuvent s’appliquer, entre autres, aux groups </w:t>
      </w:r>
      <w:r w:rsidRPr="00DB408C">
        <w:rPr>
          <w:rFonts w:cs="Arial"/>
          <w:iCs/>
          <w:sz w:val="18"/>
          <w:szCs w:val="18"/>
          <w:lang w:val="fr-FR"/>
        </w:rPr>
        <w:t xml:space="preserve">ad </w:t>
      </w:r>
      <w:r w:rsidRPr="00DB408C">
        <w:rPr>
          <w:rFonts w:cs="Arial"/>
          <w:i/>
          <w:iCs/>
          <w:sz w:val="18"/>
          <w:szCs w:val="18"/>
          <w:lang w:val="fr-FR"/>
        </w:rPr>
        <w:t xml:space="preserve">hoc créés par le Comité permanent. </w:t>
      </w:r>
    </w:p>
  </w:footnote>
  <w:footnote w:id="4">
    <w:p w:rsidR="0038035D" w:rsidRPr="00DB408C" w:rsidRDefault="0038035D" w:rsidP="0038035D">
      <w:pPr>
        <w:pStyle w:val="FootnoteText"/>
        <w:rPr>
          <w:sz w:val="18"/>
          <w:szCs w:val="18"/>
          <w:lang w:val="fr-FR"/>
        </w:rPr>
      </w:pPr>
      <w:r w:rsidRPr="00DB408C">
        <w:rPr>
          <w:rStyle w:val="FootnoteReference"/>
          <w:sz w:val="18"/>
          <w:szCs w:val="18"/>
        </w:rPr>
        <w:footnoteRef/>
      </w:r>
      <w:r w:rsidRPr="00DB408C">
        <w:rPr>
          <w:i/>
          <w:iCs/>
          <w:sz w:val="18"/>
          <w:szCs w:val="18"/>
          <w:lang w:val="fr-FR"/>
        </w:rPr>
        <w:t xml:space="preserve"> Sauf en cas de circonstances exceptionnelles.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A6D928"/>
    <w:lvl w:ilvl="0" w:tplc="630E6CDA">
      <w:start w:val="1"/>
      <w:numFmt w:val="lowerLetter"/>
      <w:lvlText w:val="%1)"/>
      <w:lvlJc w:val="left"/>
      <w:pPr>
        <w:ind w:left="720" w:hanging="360"/>
      </w:pPr>
    </w:lvl>
    <w:lvl w:ilvl="1" w:tplc="73B2E0E0">
      <w:start w:val="1"/>
      <w:numFmt w:val="lowerLetter"/>
      <w:lvlText w:val="%2."/>
      <w:lvlJc w:val="left"/>
      <w:pPr>
        <w:ind w:left="1440" w:hanging="360"/>
      </w:pPr>
    </w:lvl>
    <w:lvl w:ilvl="2" w:tplc="84C043C0">
      <w:start w:val="1"/>
      <w:numFmt w:val="lowerRoman"/>
      <w:lvlText w:val="%3."/>
      <w:lvlJc w:val="right"/>
      <w:pPr>
        <w:ind w:left="2160" w:hanging="180"/>
      </w:pPr>
    </w:lvl>
    <w:lvl w:ilvl="3" w:tplc="74CAE36C">
      <w:start w:val="1"/>
      <w:numFmt w:val="decimal"/>
      <w:lvlText w:val="%4."/>
      <w:lvlJc w:val="left"/>
      <w:pPr>
        <w:ind w:left="2880" w:hanging="360"/>
      </w:pPr>
    </w:lvl>
    <w:lvl w:ilvl="4" w:tplc="4E5225F0">
      <w:start w:val="1"/>
      <w:numFmt w:val="lowerLetter"/>
      <w:lvlText w:val="%5."/>
      <w:lvlJc w:val="left"/>
      <w:pPr>
        <w:ind w:left="3600" w:hanging="360"/>
      </w:pPr>
    </w:lvl>
    <w:lvl w:ilvl="5" w:tplc="BE28A208">
      <w:start w:val="1"/>
      <w:numFmt w:val="lowerRoman"/>
      <w:lvlText w:val="%6."/>
      <w:lvlJc w:val="right"/>
      <w:pPr>
        <w:ind w:left="4320" w:hanging="180"/>
      </w:pPr>
    </w:lvl>
    <w:lvl w:ilvl="6" w:tplc="BBFAEFCE">
      <w:start w:val="1"/>
      <w:numFmt w:val="decimal"/>
      <w:lvlText w:val="%7."/>
      <w:lvlJc w:val="left"/>
      <w:pPr>
        <w:ind w:left="5040" w:hanging="360"/>
      </w:pPr>
    </w:lvl>
    <w:lvl w:ilvl="7" w:tplc="71345BB8">
      <w:start w:val="1"/>
      <w:numFmt w:val="lowerLetter"/>
      <w:lvlText w:val="%8."/>
      <w:lvlJc w:val="left"/>
      <w:pPr>
        <w:ind w:left="5760" w:hanging="360"/>
      </w:pPr>
    </w:lvl>
    <w:lvl w:ilvl="8" w:tplc="38020310">
      <w:start w:val="1"/>
      <w:numFmt w:val="lowerRoman"/>
      <w:lvlText w:val="%9."/>
      <w:lvlJc w:val="right"/>
      <w:pPr>
        <w:ind w:left="6480" w:hanging="180"/>
      </w:pPr>
    </w:lvl>
  </w:abstractNum>
  <w:abstractNum w:abstractNumId="1" w15:restartNumberingAfterBreak="0">
    <w:nsid w:val="00000002"/>
    <w:multiLevelType w:val="hybridMultilevel"/>
    <w:tmpl w:val="D5D6F7BC"/>
    <w:lvl w:ilvl="0" w:tplc="808CF68E">
      <w:start w:val="1"/>
      <w:numFmt w:val="decimal"/>
      <w:lvlText w:val="%1."/>
      <w:lvlJc w:val="left"/>
      <w:pPr>
        <w:ind w:left="720" w:hanging="360"/>
      </w:pPr>
    </w:lvl>
    <w:lvl w:ilvl="1" w:tplc="7096B4BE">
      <w:start w:val="1"/>
      <w:numFmt w:val="lowerLetter"/>
      <w:lvlText w:val="%2."/>
      <w:lvlJc w:val="left"/>
      <w:pPr>
        <w:ind w:left="1440" w:hanging="360"/>
      </w:pPr>
    </w:lvl>
    <w:lvl w:ilvl="2" w:tplc="8DECFF12">
      <w:start w:val="1"/>
      <w:numFmt w:val="lowerRoman"/>
      <w:lvlText w:val="%3."/>
      <w:lvlJc w:val="right"/>
      <w:pPr>
        <w:ind w:left="2160" w:hanging="180"/>
      </w:pPr>
    </w:lvl>
    <w:lvl w:ilvl="3" w:tplc="F81015A4">
      <w:start w:val="1"/>
      <w:numFmt w:val="decimal"/>
      <w:lvlText w:val="%4."/>
      <w:lvlJc w:val="left"/>
      <w:pPr>
        <w:ind w:left="2880" w:hanging="360"/>
      </w:pPr>
    </w:lvl>
    <w:lvl w:ilvl="4" w:tplc="B1BE7232">
      <w:start w:val="1"/>
      <w:numFmt w:val="lowerLetter"/>
      <w:lvlText w:val="%5."/>
      <w:lvlJc w:val="left"/>
      <w:pPr>
        <w:ind w:left="3600" w:hanging="360"/>
      </w:pPr>
    </w:lvl>
    <w:lvl w:ilvl="5" w:tplc="5BE6DA1E">
      <w:start w:val="1"/>
      <w:numFmt w:val="lowerRoman"/>
      <w:lvlText w:val="%6."/>
      <w:lvlJc w:val="right"/>
      <w:pPr>
        <w:ind w:left="4320" w:hanging="180"/>
      </w:pPr>
    </w:lvl>
    <w:lvl w:ilvl="6" w:tplc="72DA7A5C">
      <w:start w:val="1"/>
      <w:numFmt w:val="decimal"/>
      <w:lvlText w:val="%7."/>
      <w:lvlJc w:val="left"/>
      <w:pPr>
        <w:ind w:left="5040" w:hanging="360"/>
      </w:pPr>
    </w:lvl>
    <w:lvl w:ilvl="7" w:tplc="78D2864C">
      <w:start w:val="1"/>
      <w:numFmt w:val="lowerLetter"/>
      <w:lvlText w:val="%8."/>
      <w:lvlJc w:val="left"/>
      <w:pPr>
        <w:ind w:left="5760" w:hanging="360"/>
      </w:pPr>
    </w:lvl>
    <w:lvl w:ilvl="8" w:tplc="716CD4BE">
      <w:start w:val="1"/>
      <w:numFmt w:val="lowerRoman"/>
      <w:lvlText w:val="%9."/>
      <w:lvlJc w:val="right"/>
      <w:pPr>
        <w:ind w:left="6480" w:hanging="180"/>
      </w:p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736BC"/>
    <w:multiLevelType w:val="hybridMultilevel"/>
    <w:tmpl w:val="FF16AB60"/>
    <w:lvl w:ilvl="0" w:tplc="ED186EE4">
      <w:start w:val="1"/>
      <w:numFmt w:val="bullet"/>
      <w:lvlText w:val=""/>
      <w:lvlJc w:val="left"/>
      <w:pPr>
        <w:ind w:left="720" w:hanging="360"/>
      </w:pPr>
      <w:rPr>
        <w:rFonts w:ascii="Symbol" w:hAnsi="Symbol" w:hint="default"/>
      </w:rPr>
    </w:lvl>
    <w:lvl w:ilvl="1" w:tplc="92EE565A">
      <w:start w:val="1"/>
      <w:numFmt w:val="bullet"/>
      <w:lvlText w:val="o"/>
      <w:lvlJc w:val="left"/>
      <w:pPr>
        <w:ind w:left="1440" w:hanging="360"/>
      </w:pPr>
      <w:rPr>
        <w:rFonts w:ascii="Courier New" w:hAnsi="Courier New" w:hint="default"/>
      </w:rPr>
    </w:lvl>
    <w:lvl w:ilvl="2" w:tplc="1A884266">
      <w:start w:val="1"/>
      <w:numFmt w:val="bullet"/>
      <w:lvlText w:val=""/>
      <w:lvlJc w:val="left"/>
      <w:pPr>
        <w:ind w:left="2160" w:hanging="360"/>
      </w:pPr>
      <w:rPr>
        <w:rFonts w:ascii="Wingdings" w:hAnsi="Wingdings" w:hint="default"/>
      </w:rPr>
    </w:lvl>
    <w:lvl w:ilvl="3" w:tplc="B7C20738">
      <w:start w:val="1"/>
      <w:numFmt w:val="bullet"/>
      <w:lvlText w:val=""/>
      <w:lvlJc w:val="left"/>
      <w:pPr>
        <w:ind w:left="2880" w:hanging="360"/>
      </w:pPr>
      <w:rPr>
        <w:rFonts w:ascii="Symbol" w:hAnsi="Symbol" w:hint="default"/>
      </w:rPr>
    </w:lvl>
    <w:lvl w:ilvl="4" w:tplc="3414523A">
      <w:start w:val="1"/>
      <w:numFmt w:val="bullet"/>
      <w:lvlText w:val="o"/>
      <w:lvlJc w:val="left"/>
      <w:pPr>
        <w:ind w:left="3600" w:hanging="360"/>
      </w:pPr>
      <w:rPr>
        <w:rFonts w:ascii="Courier New" w:hAnsi="Courier New" w:hint="default"/>
      </w:rPr>
    </w:lvl>
    <w:lvl w:ilvl="5" w:tplc="EE1E907C">
      <w:start w:val="1"/>
      <w:numFmt w:val="bullet"/>
      <w:lvlText w:val=""/>
      <w:lvlJc w:val="left"/>
      <w:pPr>
        <w:ind w:left="4320" w:hanging="360"/>
      </w:pPr>
      <w:rPr>
        <w:rFonts w:ascii="Wingdings" w:hAnsi="Wingdings" w:hint="default"/>
      </w:rPr>
    </w:lvl>
    <w:lvl w:ilvl="6" w:tplc="5B9E4794">
      <w:start w:val="1"/>
      <w:numFmt w:val="bullet"/>
      <w:lvlText w:val=""/>
      <w:lvlJc w:val="left"/>
      <w:pPr>
        <w:ind w:left="5040" w:hanging="360"/>
      </w:pPr>
      <w:rPr>
        <w:rFonts w:ascii="Symbol" w:hAnsi="Symbol" w:hint="default"/>
      </w:rPr>
    </w:lvl>
    <w:lvl w:ilvl="7" w:tplc="44C6EEB6">
      <w:start w:val="1"/>
      <w:numFmt w:val="bullet"/>
      <w:lvlText w:val="o"/>
      <w:lvlJc w:val="left"/>
      <w:pPr>
        <w:ind w:left="5760" w:hanging="360"/>
      </w:pPr>
      <w:rPr>
        <w:rFonts w:ascii="Courier New" w:hAnsi="Courier New" w:hint="default"/>
      </w:rPr>
    </w:lvl>
    <w:lvl w:ilvl="8" w:tplc="4C84CE80">
      <w:start w:val="1"/>
      <w:numFmt w:val="bullet"/>
      <w:lvlText w:val=""/>
      <w:lvlJc w:val="left"/>
      <w:pPr>
        <w:ind w:left="6480" w:hanging="360"/>
      </w:pPr>
      <w:rPr>
        <w:rFonts w:ascii="Wingdings" w:hAnsi="Wingdings" w:hint="default"/>
      </w:rPr>
    </w:lvl>
  </w:abstractNum>
  <w:abstractNum w:abstractNumId="4" w15:restartNumberingAfterBreak="0">
    <w:nsid w:val="53EA0680"/>
    <w:multiLevelType w:val="hybridMultilevel"/>
    <w:tmpl w:val="22FCA538"/>
    <w:lvl w:ilvl="0" w:tplc="F08CBEA8">
      <w:start w:val="1"/>
      <w:numFmt w:val="decimal"/>
      <w:lvlText w:val="%1."/>
      <w:lvlJc w:val="left"/>
      <w:pPr>
        <w:ind w:left="720" w:hanging="360"/>
      </w:pPr>
    </w:lvl>
    <w:lvl w:ilvl="1" w:tplc="B7BE625A">
      <w:start w:val="1"/>
      <w:numFmt w:val="lowerLetter"/>
      <w:lvlText w:val="%2."/>
      <w:lvlJc w:val="left"/>
      <w:pPr>
        <w:ind w:left="1440" w:hanging="360"/>
      </w:pPr>
    </w:lvl>
    <w:lvl w:ilvl="2" w:tplc="7D5CD476">
      <w:start w:val="1"/>
      <w:numFmt w:val="lowerRoman"/>
      <w:lvlText w:val="%3."/>
      <w:lvlJc w:val="right"/>
      <w:pPr>
        <w:ind w:left="2160" w:hanging="180"/>
      </w:pPr>
    </w:lvl>
    <w:lvl w:ilvl="3" w:tplc="5434A95E">
      <w:start w:val="1"/>
      <w:numFmt w:val="decimal"/>
      <w:lvlText w:val="%4."/>
      <w:lvlJc w:val="left"/>
      <w:pPr>
        <w:ind w:left="2880" w:hanging="360"/>
      </w:pPr>
    </w:lvl>
    <w:lvl w:ilvl="4" w:tplc="26D66AE0">
      <w:start w:val="1"/>
      <w:numFmt w:val="lowerLetter"/>
      <w:lvlText w:val="%5."/>
      <w:lvlJc w:val="left"/>
      <w:pPr>
        <w:ind w:left="3600" w:hanging="360"/>
      </w:pPr>
    </w:lvl>
    <w:lvl w:ilvl="5" w:tplc="A8F2C3C4">
      <w:start w:val="1"/>
      <w:numFmt w:val="lowerRoman"/>
      <w:lvlText w:val="%6."/>
      <w:lvlJc w:val="right"/>
      <w:pPr>
        <w:ind w:left="4320" w:hanging="180"/>
      </w:pPr>
    </w:lvl>
    <w:lvl w:ilvl="6" w:tplc="F0522624">
      <w:start w:val="1"/>
      <w:numFmt w:val="decimal"/>
      <w:lvlText w:val="%7."/>
      <w:lvlJc w:val="left"/>
      <w:pPr>
        <w:ind w:left="5040" w:hanging="360"/>
      </w:pPr>
    </w:lvl>
    <w:lvl w:ilvl="7" w:tplc="BC524E88">
      <w:start w:val="1"/>
      <w:numFmt w:val="lowerLetter"/>
      <w:lvlText w:val="%8."/>
      <w:lvlJc w:val="left"/>
      <w:pPr>
        <w:ind w:left="5760" w:hanging="360"/>
      </w:pPr>
    </w:lvl>
    <w:lvl w:ilvl="8" w:tplc="44560258">
      <w:start w:val="1"/>
      <w:numFmt w:val="lowerRoman"/>
      <w:lvlText w:val="%9."/>
      <w:lvlJc w:val="right"/>
      <w:pPr>
        <w:ind w:left="6480" w:hanging="180"/>
      </w:pPr>
    </w:lvl>
  </w:abstractNum>
  <w:abstractNum w:abstractNumId="5"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6" w15:restartNumberingAfterBreak="0">
    <w:nsid w:val="6BCB0785"/>
    <w:multiLevelType w:val="hybridMultilevel"/>
    <w:tmpl w:val="E380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B454E"/>
    <w:multiLevelType w:val="hybridMultilevel"/>
    <w:tmpl w:val="FFFFFFFF"/>
    <w:lvl w:ilvl="0" w:tplc="1A020090">
      <w:start w:val="1"/>
      <w:numFmt w:val="lowerLetter"/>
      <w:lvlText w:val="%1."/>
      <w:lvlJc w:val="left"/>
      <w:pPr>
        <w:ind w:left="1080" w:hanging="360"/>
      </w:pPr>
    </w:lvl>
    <w:lvl w:ilvl="1" w:tplc="F94A4758">
      <w:start w:val="1"/>
      <w:numFmt w:val="lowerLetter"/>
      <w:lvlText w:val="%2."/>
      <w:lvlJc w:val="left"/>
      <w:pPr>
        <w:ind w:left="1800" w:hanging="360"/>
      </w:pPr>
    </w:lvl>
    <w:lvl w:ilvl="2" w:tplc="4F107F30">
      <w:start w:val="1"/>
      <w:numFmt w:val="lowerRoman"/>
      <w:lvlText w:val="%3."/>
      <w:lvlJc w:val="right"/>
      <w:pPr>
        <w:ind w:left="2520" w:hanging="180"/>
      </w:pPr>
    </w:lvl>
    <w:lvl w:ilvl="3" w:tplc="D1F2C390">
      <w:start w:val="1"/>
      <w:numFmt w:val="decimal"/>
      <w:lvlText w:val="%4."/>
      <w:lvlJc w:val="left"/>
      <w:pPr>
        <w:ind w:left="3240" w:hanging="360"/>
      </w:pPr>
    </w:lvl>
    <w:lvl w:ilvl="4" w:tplc="FC388A86">
      <w:start w:val="1"/>
      <w:numFmt w:val="lowerLetter"/>
      <w:lvlText w:val="%5."/>
      <w:lvlJc w:val="left"/>
      <w:pPr>
        <w:ind w:left="3960" w:hanging="360"/>
      </w:pPr>
    </w:lvl>
    <w:lvl w:ilvl="5" w:tplc="C28AC2AA">
      <w:start w:val="1"/>
      <w:numFmt w:val="lowerRoman"/>
      <w:lvlText w:val="%6."/>
      <w:lvlJc w:val="right"/>
      <w:pPr>
        <w:ind w:left="4680" w:hanging="180"/>
      </w:pPr>
    </w:lvl>
    <w:lvl w:ilvl="6" w:tplc="A4D4F2FA">
      <w:start w:val="1"/>
      <w:numFmt w:val="decimal"/>
      <w:lvlText w:val="%7."/>
      <w:lvlJc w:val="left"/>
      <w:pPr>
        <w:ind w:left="5400" w:hanging="360"/>
      </w:pPr>
    </w:lvl>
    <w:lvl w:ilvl="7" w:tplc="062C141A">
      <w:start w:val="1"/>
      <w:numFmt w:val="lowerLetter"/>
      <w:lvlText w:val="%8."/>
      <w:lvlJc w:val="left"/>
      <w:pPr>
        <w:ind w:left="6120" w:hanging="360"/>
      </w:pPr>
    </w:lvl>
    <w:lvl w:ilvl="8" w:tplc="A48E52F6">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53"/>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2"/>
  </w:compat>
  <w:rsids>
    <w:rsidRoot w:val="00E93C9D"/>
    <w:rsid w:val="000B5E43"/>
    <w:rsid w:val="000D443F"/>
    <w:rsid w:val="00126CF0"/>
    <w:rsid w:val="002B292C"/>
    <w:rsid w:val="00335E73"/>
    <w:rsid w:val="0038035D"/>
    <w:rsid w:val="00380D40"/>
    <w:rsid w:val="004256C8"/>
    <w:rsid w:val="00462003"/>
    <w:rsid w:val="004D59BC"/>
    <w:rsid w:val="0050580D"/>
    <w:rsid w:val="0055072B"/>
    <w:rsid w:val="00553006"/>
    <w:rsid w:val="005D775C"/>
    <w:rsid w:val="00605195"/>
    <w:rsid w:val="006E2A65"/>
    <w:rsid w:val="007C3E55"/>
    <w:rsid w:val="008708D4"/>
    <w:rsid w:val="008D70CD"/>
    <w:rsid w:val="00A04B8A"/>
    <w:rsid w:val="00A86A1D"/>
    <w:rsid w:val="00A95AAC"/>
    <w:rsid w:val="00AB718B"/>
    <w:rsid w:val="00B31495"/>
    <w:rsid w:val="00B9110E"/>
    <w:rsid w:val="00BA2459"/>
    <w:rsid w:val="00BE5484"/>
    <w:rsid w:val="00C14335"/>
    <w:rsid w:val="00CA75F9"/>
    <w:rsid w:val="00CB0E29"/>
    <w:rsid w:val="00E93C9D"/>
    <w:rsid w:val="00F25196"/>
    <w:rsid w:val="00FB22AD"/>
    <w:rsid w:val="03E927D2"/>
    <w:rsid w:val="09494E6D"/>
    <w:rsid w:val="0B280DA5"/>
    <w:rsid w:val="0C80EF2F"/>
    <w:rsid w:val="13D4DB72"/>
    <w:rsid w:val="19584789"/>
    <w:rsid w:val="1C2EA42F"/>
    <w:rsid w:val="1D8AD5EC"/>
    <w:rsid w:val="1F00E91B"/>
    <w:rsid w:val="23FA1770"/>
    <w:rsid w:val="27E1B326"/>
    <w:rsid w:val="291B6DB1"/>
    <w:rsid w:val="2B3F9859"/>
    <w:rsid w:val="30A368D7"/>
    <w:rsid w:val="30A6DA12"/>
    <w:rsid w:val="33F02271"/>
    <w:rsid w:val="3F41B30A"/>
    <w:rsid w:val="40C45B0E"/>
    <w:rsid w:val="4146C68D"/>
    <w:rsid w:val="461A37B0"/>
    <w:rsid w:val="473BDC5A"/>
    <w:rsid w:val="4BE16BC6"/>
    <w:rsid w:val="5097140F"/>
    <w:rsid w:val="548CCADF"/>
    <w:rsid w:val="5B752411"/>
    <w:rsid w:val="5BA4A9D8"/>
    <w:rsid w:val="5D7A3794"/>
    <w:rsid w:val="60C34079"/>
    <w:rsid w:val="66BFC43E"/>
    <w:rsid w:val="69F76500"/>
    <w:rsid w:val="714B5143"/>
    <w:rsid w:val="71A296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EDC467A"/>
  <w15:docId w15:val="{5B403223-2E97-4618-BD98-357CD9EE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F0"/>
    <w:pPr>
      <w:ind w:left="720"/>
      <w:contextualSpacing/>
    </w:pPr>
  </w:style>
  <w:style w:type="paragraph" w:styleId="CommentText">
    <w:name w:val="annotation text"/>
    <w:basedOn w:val="Normal"/>
    <w:link w:val="CommentTextChar"/>
    <w:semiHidden/>
    <w:rsid w:val="00126CF0"/>
    <w:pPr>
      <w:spacing w:line="240" w:lineRule="auto"/>
    </w:pPr>
    <w:rPr>
      <w:sz w:val="20"/>
    </w:rPr>
  </w:style>
  <w:style w:type="character" w:customStyle="1" w:styleId="CommentTextChar">
    <w:name w:val="Comment Text Char"/>
    <w:basedOn w:val="DefaultParagraphFont"/>
    <w:link w:val="CommentText"/>
    <w:rsid w:val="00126CF0"/>
    <w:rPr>
      <w:sz w:val="20"/>
    </w:rPr>
  </w:style>
  <w:style w:type="character" w:styleId="CommentReference">
    <w:name w:val="annotation reference"/>
    <w:basedOn w:val="DefaultParagraphFont"/>
    <w:semiHidden/>
    <w:rsid w:val="00126CF0"/>
    <w:rPr>
      <w:sz w:val="16"/>
    </w:rPr>
  </w:style>
  <w:style w:type="paragraph" w:styleId="CommentSubject">
    <w:name w:val="annotation subject"/>
    <w:basedOn w:val="CommentText"/>
    <w:next w:val="CommentText"/>
    <w:link w:val="CommentSubjectChar"/>
    <w:semiHidden/>
    <w:rsid w:val="00126CF0"/>
    <w:rPr>
      <w:b/>
    </w:rPr>
  </w:style>
  <w:style w:type="character" w:customStyle="1" w:styleId="CommentSubjectChar">
    <w:name w:val="Comment Subject Char"/>
    <w:basedOn w:val="CommentTextChar"/>
    <w:link w:val="CommentSubject"/>
    <w:rsid w:val="00126CF0"/>
    <w:rPr>
      <w:b/>
      <w:sz w:val="20"/>
    </w:rPr>
  </w:style>
  <w:style w:type="paragraph" w:styleId="BalloonText">
    <w:name w:val="Balloon Text"/>
    <w:basedOn w:val="Normal"/>
    <w:link w:val="BalloonTextChar"/>
    <w:semiHidden/>
    <w:rsid w:val="00126CF0"/>
    <w:pPr>
      <w:spacing w:after="0" w:line="240" w:lineRule="auto"/>
    </w:pPr>
    <w:rPr>
      <w:rFonts w:ascii="Segoe UI" w:hAnsi="Segoe UI"/>
      <w:sz w:val="18"/>
    </w:rPr>
  </w:style>
  <w:style w:type="character" w:customStyle="1" w:styleId="BalloonTextChar">
    <w:name w:val="Balloon Text Char"/>
    <w:basedOn w:val="DefaultParagraphFont"/>
    <w:link w:val="BalloonText"/>
    <w:rsid w:val="00126CF0"/>
    <w:rPr>
      <w:rFonts w:ascii="Segoe UI" w:hAnsi="Segoe UI"/>
      <w:sz w:val="18"/>
    </w:rPr>
  </w:style>
  <w:style w:type="character" w:styleId="FootnoteReference">
    <w:name w:val="footnote reference"/>
    <w:basedOn w:val="DefaultParagraphFont"/>
    <w:uiPriority w:val="99"/>
    <w:semiHidden/>
    <w:rsid w:val="00126CF0"/>
    <w:rPr>
      <w:vertAlign w:val="superscript"/>
    </w:rPr>
  </w:style>
  <w:style w:type="character" w:styleId="EndnoteReference">
    <w:name w:val="endnote reference"/>
    <w:basedOn w:val="DefaultParagraphFont"/>
    <w:semiHidden/>
    <w:rsid w:val="00126CF0"/>
    <w:rPr>
      <w:vertAlign w:val="superscript"/>
    </w:rPr>
  </w:style>
  <w:style w:type="paragraph" w:customStyle="1" w:styleId="ColorfulList-Accent11">
    <w:name w:val="Colorful List - Accent 11"/>
    <w:basedOn w:val="Normal"/>
    <w:uiPriority w:val="34"/>
    <w:qFormat/>
    <w:rsid w:val="00BA2459"/>
    <w:pPr>
      <w:spacing w:after="0" w:line="240" w:lineRule="auto"/>
      <w:ind w:left="720" w:hanging="425"/>
      <w:contextualSpacing/>
    </w:pPr>
    <w:rPr>
      <w:rFonts w:ascii="Calibri" w:eastAsia="Calibri" w:hAnsi="Calibri"/>
      <w:szCs w:val="22"/>
      <w:lang w:eastAsia="en-US"/>
    </w:rPr>
  </w:style>
  <w:style w:type="paragraph" w:styleId="Header">
    <w:name w:val="header"/>
    <w:basedOn w:val="Normal"/>
    <w:link w:val="HeaderChar"/>
    <w:uiPriority w:val="99"/>
    <w:unhideWhenUsed/>
    <w:rsid w:val="0060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95"/>
  </w:style>
  <w:style w:type="paragraph" w:styleId="Footer">
    <w:name w:val="footer"/>
    <w:basedOn w:val="Normal"/>
    <w:link w:val="FooterChar"/>
    <w:uiPriority w:val="99"/>
    <w:unhideWhenUsed/>
    <w:rsid w:val="0060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95"/>
  </w:style>
  <w:style w:type="paragraph" w:styleId="FootnoteText">
    <w:name w:val="footnote text"/>
    <w:basedOn w:val="Normal"/>
    <w:link w:val="FootnoteTextChar"/>
    <w:uiPriority w:val="99"/>
    <w:semiHidden/>
    <w:unhideWhenUsed/>
    <w:rsid w:val="0050580D"/>
    <w:pPr>
      <w:spacing w:after="0" w:line="240" w:lineRule="auto"/>
    </w:pPr>
    <w:rPr>
      <w:sz w:val="20"/>
    </w:rPr>
  </w:style>
  <w:style w:type="character" w:customStyle="1" w:styleId="FootnoteTextChar">
    <w:name w:val="Footnote Text Char"/>
    <w:basedOn w:val="DefaultParagraphFont"/>
    <w:link w:val="FootnoteText"/>
    <w:uiPriority w:val="99"/>
    <w:semiHidden/>
    <w:rsid w:val="0050580D"/>
    <w:rPr>
      <w:sz w:val="20"/>
    </w:rPr>
  </w:style>
  <w:style w:type="character" w:customStyle="1" w:styleId="markedcontent">
    <w:name w:val="markedcontent"/>
    <w:basedOn w:val="DefaultParagraphFont"/>
    <w:rsid w:val="00B31495"/>
  </w:style>
  <w:style w:type="character" w:customStyle="1" w:styleId="normaltextrun">
    <w:name w:val="normaltextrun"/>
    <w:basedOn w:val="DefaultParagraphFont"/>
    <w:rsid w:val="0038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EB08A283177346865391AF3396C9B9" ma:contentTypeVersion="72" ma:contentTypeDescription="new Document or upload" ma:contentTypeScope="" ma:versionID="a8f62a0e537839667811a3d767f734a1">
  <xsd:schema xmlns:xsd="http://www.w3.org/2001/XMLSchema" xmlns:xs="http://www.w3.org/2001/XMLSchema" xmlns:p="http://schemas.microsoft.com/office/2006/metadata/properties" xmlns:ns2="0f50e317-d97a-4d4b-be23-be7479f90fa5" xmlns:ns3="662745e8-e224-48e8-a2e3-254862b8c2f5" xmlns:ns4="3a0d77f3-2823-45b0-9390-b0c6b365da11" targetNamespace="http://schemas.microsoft.com/office/2006/metadata/properties" ma:root="true" ma:fieldsID="338771a83c6b892b988d7ee4a060092d" ns2:_="" ns3:_="" ns4:_="">
    <xsd:import namespace="0f50e317-d97a-4d4b-be23-be7479f90fa5"/>
    <xsd:import namespace="662745e8-e224-48e8-a2e3-254862b8c2f5"/>
    <xsd:import namespace="3a0d77f3-2823-45b0-9390-b0c6b365da1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TaxCatchAllLabel" minOccurs="0"/>
                <xsd:element ref="ns3:cf401361b24e474cb011be6eb76c0e76"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0e317-d97a-4d4b-be23-be7479f90fa5"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3"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International" ma:internalName="Team">
      <xsd:simpleType>
        <xsd:restriction base="dms:Text"/>
      </xsd:simpleType>
    </xsd:element>
    <xsd:element name="Topic" ma:index="18" nillable="true" ma:displayName="Topic" ma:default="Ramsa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6aa36ca5-392a-411c-bda6-8ea3e20f0f8b}" ma:internalName="TaxCatchAllLabel" ma:readOnly="false" ma:showField="CatchAllDataLabel" ma:web="0f50e317-d97a-4d4b-be23-be7479f90fa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2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aa36ca5-392a-411c-bda6-8ea3e20f0f8b}" ma:internalName="TaxCatchAll" ma:readOnly="false" ma:showField="CatchAllData" ma:web="0f50e317-d97a-4d4b-be23-be7479f90f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0d77f3-2823-45b0-9390-b0c6b365da11"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_EmailFrom xmlns="0f50e317-d97a-4d4b-be23-be7479f90fa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dlc_EmailTo xmlns="0f50e317-d97a-4d4b-be23-be7479f90fa5" xsi:nil="true"/>
    <dlc_EmailSubject xmlns="0f50e317-d97a-4d4b-be23-be7479f90fa5" xsi:nil="true"/>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dlc_EmailReceivedUTC xmlns="0f50e317-d97a-4d4b-be23-be7479f90fa5"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CC xmlns="0f50e317-d97a-4d4b-be23-be7479f90fa5" xsi:nil="true"/>
    <bcb1675984d34ae3a1ed6b6e433c98de xmlns="0f50e317-d97a-4d4b-be23-be7479f90fa5">
      <Terms xmlns="http://schemas.microsoft.com/office/infopath/2007/PartnerControls"/>
    </bcb1675984d34ae3a1ed6b6e433c98de>
    <Team xmlns="662745e8-e224-48e8-a2e3-254862b8c2f5">International</Team>
    <dlc_EmailSentUTC xmlns="0f50e317-d97a-4d4b-be23-be7479f90fa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peb8f3fab875401ca34a9f28cac46400 xmlns="0f50e317-d97a-4d4b-be23-be7479f90fa5">
      <Terms xmlns="http://schemas.microsoft.com/office/infopath/2007/PartnerControls"/>
    </peb8f3fab875401ca34a9f28cac4640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8359-F6CF-45BC-A246-38E57F974E1F}">
  <ds:schemaRefs>
    <ds:schemaRef ds:uri="Microsoft.SharePoint.Taxonomy.ContentTypeSync"/>
  </ds:schemaRefs>
</ds:datastoreItem>
</file>

<file path=customXml/itemProps2.xml><?xml version="1.0" encoding="utf-8"?>
<ds:datastoreItem xmlns:ds="http://schemas.openxmlformats.org/officeDocument/2006/customXml" ds:itemID="{9409CEE2-7BF8-4F00-B997-2AABCDE71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0e317-d97a-4d4b-be23-be7479f90fa5"/>
    <ds:schemaRef ds:uri="662745e8-e224-48e8-a2e3-254862b8c2f5"/>
    <ds:schemaRef ds:uri="3a0d77f3-2823-45b0-9390-b0c6b365d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111DA-45BB-4AF2-B4F3-FC7956811F6B}">
  <ds:schemaRefs>
    <ds:schemaRef ds:uri="http://www.w3.org/XML/1998/namespace"/>
    <ds:schemaRef ds:uri="662745e8-e224-48e8-a2e3-254862b8c2f5"/>
    <ds:schemaRef ds:uri="0f50e317-d97a-4d4b-be23-be7479f90fa5"/>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a0d77f3-2823-45b0-9390-b0c6b365da11"/>
  </ds:schemaRefs>
</ds:datastoreItem>
</file>

<file path=customXml/itemProps4.xml><?xml version="1.0" encoding="utf-8"?>
<ds:datastoreItem xmlns:ds="http://schemas.openxmlformats.org/officeDocument/2006/customXml" ds:itemID="{A7F7AA18-19CA-4ACD-8BC4-6BB05D06442A}">
  <ds:schemaRefs>
    <ds:schemaRef ds:uri="http://schemas.microsoft.com/sharepoint/v3/contenttype/forms"/>
  </ds:schemaRefs>
</ds:datastoreItem>
</file>

<file path=customXml/itemProps5.xml><?xml version="1.0" encoding="utf-8"?>
<ds:datastoreItem xmlns:ds="http://schemas.openxmlformats.org/officeDocument/2006/customXml" ds:itemID="{DE7FD782-CAEC-4AC2-8133-59E78D94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2531</Words>
  <Characters>14430</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Eldred, Megan</dc:creator>
  <cp:lastModifiedBy>Ed Jennings</cp:lastModifiedBy>
  <cp:revision>2</cp:revision>
  <cp:lastPrinted>2022-03-18T15:53:00Z</cp:lastPrinted>
  <dcterms:created xsi:type="dcterms:W3CDTF">2022-03-22T13:55:00Z</dcterms:created>
  <dcterms:modified xsi:type="dcterms:W3CDTF">2022-03-22T13:55:00Z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0x010100A5BF1C78D9F64B679A5EBDE1C6598EBC01002DEB08A283177346865391AF3396C9B9</vt:lpwstr>
  </property>
  <property fmtid="{D5CDD505-2E9C-101B-9397-08002B2CF9AE}" pid="3" name="Directorat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8;#Core Defra|026223dd-2e56-4615-868d-7c5bfd566810</vt:lpwstr>
  </property>
  <property fmtid="{D5CDD505-2E9C-101B-9397-08002B2CF9AE}" pid="10" name="SecurityClassification">
    <vt:lpwstr/>
  </property>
</Properties>
</file>