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047" w14:textId="77777777" w:rsidR="00CF4CBA" w:rsidRPr="00961B6E"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r w:rsidRPr="00961B6E">
        <w:rPr>
          <w:rFonts w:cstheme="minorHAnsi"/>
          <w:bCs/>
          <w:noProof/>
          <w:lang w:val="es-ES"/>
        </w:rPr>
        <w:t>LA CONVENCIÓN SOBRE LOS HUMEDALES</w:t>
      </w:r>
    </w:p>
    <w:p w14:paraId="5667A11C" w14:textId="0F26A055" w:rsidR="00CF4CBA" w:rsidRPr="00961B6E"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r w:rsidRPr="00961B6E">
        <w:rPr>
          <w:bCs/>
          <w:noProof/>
          <w:lang w:val="es-ES"/>
        </w:rPr>
        <w:t>59ª Reunión del Comité Permanente</w:t>
      </w:r>
    </w:p>
    <w:p w14:paraId="2C344E90" w14:textId="1A532380" w:rsidR="009B5651" w:rsidRPr="00961B6E"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r w:rsidRPr="00961B6E">
        <w:rPr>
          <w:rFonts w:cstheme="minorHAnsi"/>
          <w:bCs/>
          <w:noProof/>
          <w:lang w:val="es-ES"/>
        </w:rPr>
        <w:t>Reanudación de la reunión</w:t>
      </w:r>
    </w:p>
    <w:p w14:paraId="0EDA42E1" w14:textId="2B858922" w:rsidR="00922E89" w:rsidRPr="00961B6E" w:rsidRDefault="009B5651"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noProof/>
          <w:sz w:val="28"/>
          <w:lang w:val="es-ES"/>
        </w:rPr>
      </w:pPr>
      <w:r w:rsidRPr="00961B6E">
        <w:rPr>
          <w:rFonts w:cstheme="minorHAnsi"/>
          <w:bCs/>
          <w:noProof/>
          <w:lang w:val="es-ES"/>
        </w:rPr>
        <w:t xml:space="preserve">Gland, </w:t>
      </w:r>
      <w:r w:rsidR="00CF4CBA" w:rsidRPr="00961B6E">
        <w:rPr>
          <w:rFonts w:cstheme="minorHAnsi"/>
          <w:bCs/>
          <w:noProof/>
          <w:lang w:val="es-ES"/>
        </w:rPr>
        <w:t>Suiza</w:t>
      </w:r>
      <w:r w:rsidRPr="00961B6E">
        <w:rPr>
          <w:rFonts w:cstheme="minorHAnsi"/>
          <w:bCs/>
          <w:noProof/>
          <w:lang w:val="es-ES"/>
        </w:rPr>
        <w:t xml:space="preserve">, </w:t>
      </w:r>
      <w:r w:rsidR="00CF4CBA" w:rsidRPr="00961B6E">
        <w:rPr>
          <w:bCs/>
          <w:noProof/>
          <w:lang w:val="es-ES"/>
        </w:rPr>
        <w:t>23 a 27 de mayo de 2022</w:t>
      </w:r>
    </w:p>
    <w:p w14:paraId="6644619E" w14:textId="36005E59" w:rsidR="00922E89" w:rsidRPr="00961B6E" w:rsidRDefault="00922E89" w:rsidP="00DA1EB3">
      <w:pPr>
        <w:jc w:val="right"/>
        <w:rPr>
          <w:rFonts w:cstheme="minorHAnsi"/>
          <w:b/>
          <w:noProof/>
          <w:sz w:val="28"/>
          <w:szCs w:val="28"/>
          <w:lang w:val="es-ES"/>
        </w:rPr>
      </w:pPr>
      <w:r w:rsidRPr="00961B6E">
        <w:rPr>
          <w:rFonts w:cstheme="minorHAnsi"/>
          <w:b/>
          <w:noProof/>
          <w:sz w:val="28"/>
          <w:szCs w:val="28"/>
          <w:lang w:val="es-ES"/>
        </w:rPr>
        <w:t>SC</w:t>
      </w:r>
      <w:r w:rsidR="00DD24B8" w:rsidRPr="00961B6E">
        <w:rPr>
          <w:rFonts w:cstheme="minorHAnsi"/>
          <w:b/>
          <w:noProof/>
          <w:sz w:val="28"/>
          <w:szCs w:val="28"/>
          <w:lang w:val="es-ES"/>
        </w:rPr>
        <w:t>59</w:t>
      </w:r>
      <w:r w:rsidR="009B5651" w:rsidRPr="00961B6E">
        <w:rPr>
          <w:rFonts w:cstheme="minorHAnsi"/>
          <w:b/>
          <w:noProof/>
          <w:sz w:val="28"/>
          <w:szCs w:val="28"/>
          <w:lang w:val="es-ES"/>
        </w:rPr>
        <w:t>/2022 Doc.10</w:t>
      </w:r>
    </w:p>
    <w:p w14:paraId="412CCB53" w14:textId="77777777" w:rsidR="009B5651" w:rsidRPr="00961B6E" w:rsidRDefault="009B5651" w:rsidP="00DA1EB3">
      <w:pPr>
        <w:ind w:right="16"/>
        <w:jc w:val="center"/>
        <w:rPr>
          <w:rFonts w:cstheme="minorHAnsi"/>
          <w:b/>
          <w:noProof/>
          <w:sz w:val="28"/>
          <w:szCs w:val="28"/>
          <w:lang w:val="es-ES" w:eastAsia="ko-KR"/>
        </w:rPr>
      </w:pPr>
    </w:p>
    <w:p w14:paraId="08F8CF1A" w14:textId="0FEE3F22" w:rsidR="00522BB2" w:rsidRPr="00961B6E" w:rsidRDefault="0030236E" w:rsidP="0030236E">
      <w:pPr>
        <w:pStyle w:val="NormalWeb"/>
        <w:spacing w:before="0" w:beforeAutospacing="0" w:after="0" w:afterAutospacing="0"/>
        <w:jc w:val="center"/>
        <w:rPr>
          <w:rFonts w:asciiTheme="minorHAnsi" w:hAnsiTheme="minorHAnsi" w:cstheme="minorHAnsi"/>
          <w:b/>
          <w:sz w:val="28"/>
          <w:szCs w:val="28"/>
          <w:lang w:val="es-ES"/>
        </w:rPr>
      </w:pPr>
      <w:r w:rsidRPr="00961B6E">
        <w:rPr>
          <w:rFonts w:asciiTheme="minorHAnsi" w:hAnsiTheme="minorHAnsi" w:cstheme="minorHAnsi"/>
          <w:b/>
          <w:sz w:val="28"/>
          <w:szCs w:val="28"/>
          <w:lang w:val="es-ES" w:eastAsia="ko-KR"/>
        </w:rPr>
        <w:t>Informe del Grupo de trabajo sobre el Plan Estratégico</w:t>
      </w:r>
    </w:p>
    <w:p w14:paraId="79D963EA" w14:textId="77777777" w:rsidR="0030236E" w:rsidRPr="00961B6E" w:rsidRDefault="0030236E" w:rsidP="0030236E">
      <w:pPr>
        <w:pStyle w:val="NormalWeb"/>
        <w:spacing w:before="0" w:beforeAutospacing="0" w:after="0" w:afterAutospacing="0"/>
        <w:jc w:val="center"/>
        <w:rPr>
          <w:rFonts w:asciiTheme="minorHAnsi" w:hAnsiTheme="minorHAnsi" w:cstheme="minorHAnsi"/>
          <w:noProof/>
          <w:sz w:val="28"/>
          <w:szCs w:val="28"/>
          <w:lang w:val="es-ES" w:eastAsia="es-ES_tradnl"/>
        </w:rPr>
      </w:pPr>
    </w:p>
    <w:p w14:paraId="6F231001" w14:textId="47080F1D" w:rsidR="009175B8" w:rsidRPr="00961B6E" w:rsidRDefault="00E0533B" w:rsidP="00DA1EB3">
      <w:pPr>
        <w:pBdr>
          <w:top w:val="single" w:sz="4" w:space="1" w:color="auto"/>
          <w:left w:val="single" w:sz="4" w:space="4" w:color="auto"/>
          <w:bottom w:val="single" w:sz="4" w:space="1" w:color="auto"/>
          <w:right w:val="single" w:sz="4" w:space="4" w:color="auto"/>
        </w:pBdr>
        <w:rPr>
          <w:rFonts w:cstheme="minorHAnsi"/>
          <w:bCs/>
          <w:noProof/>
          <w:lang w:val="es-ES"/>
        </w:rPr>
      </w:pPr>
      <w:r w:rsidRPr="00961B6E">
        <w:rPr>
          <w:rFonts w:cstheme="minorHAnsi"/>
          <w:b/>
          <w:noProof/>
          <w:lang w:val="es-ES"/>
        </w:rPr>
        <w:t>Acción solicitada</w:t>
      </w:r>
      <w:r w:rsidR="009175B8" w:rsidRPr="00961B6E">
        <w:rPr>
          <w:rFonts w:cstheme="minorHAnsi"/>
          <w:bCs/>
          <w:noProof/>
          <w:lang w:val="es-ES"/>
        </w:rPr>
        <w:t>:</w:t>
      </w:r>
    </w:p>
    <w:p w14:paraId="5794BBE9" w14:textId="11AD5F06" w:rsidR="0030236E" w:rsidRPr="00961B6E" w:rsidRDefault="0030236E" w:rsidP="00DA1EB3">
      <w:pPr>
        <w:pBdr>
          <w:top w:val="single" w:sz="4" w:space="1" w:color="auto"/>
          <w:left w:val="single" w:sz="4" w:space="4" w:color="auto"/>
          <w:bottom w:val="single" w:sz="4" w:space="1" w:color="auto"/>
          <w:right w:val="single" w:sz="4" w:space="4" w:color="auto"/>
        </w:pBdr>
        <w:rPr>
          <w:rFonts w:cstheme="minorHAnsi"/>
          <w:bCs/>
          <w:noProof/>
          <w:lang w:val="es-ES"/>
        </w:rPr>
      </w:pPr>
      <w:r w:rsidRPr="00961B6E">
        <w:rPr>
          <w:rFonts w:cstheme="minorHAnsi"/>
          <w:bCs/>
          <w:noProof/>
          <w:lang w:val="es-ES"/>
        </w:rPr>
        <w:t xml:space="preserve">Se invita al Comité Permanente a hacer lo siguiente: </w:t>
      </w:r>
    </w:p>
    <w:p w14:paraId="2B66F915" w14:textId="505102ED" w:rsidR="0030236E" w:rsidRPr="00961B6E" w:rsidRDefault="005C2AEE" w:rsidP="00DA1EB3">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noProof/>
          <w:lang w:val="es-ES"/>
        </w:rPr>
      </w:pPr>
      <w:r>
        <w:rPr>
          <w:rFonts w:cstheme="minorHAnsi"/>
          <w:bCs/>
          <w:noProof/>
          <w:lang w:val="es-ES"/>
        </w:rPr>
        <w:t>T</w:t>
      </w:r>
      <w:r w:rsidR="0030236E" w:rsidRPr="00961B6E">
        <w:rPr>
          <w:rFonts w:cstheme="minorHAnsi"/>
          <w:bCs/>
          <w:noProof/>
          <w:lang w:val="es-ES"/>
        </w:rPr>
        <w:t>omar nota del informe del grupo de trabajo;</w:t>
      </w:r>
    </w:p>
    <w:p w14:paraId="40B0E87B" w14:textId="2DA85199" w:rsidR="0019722D" w:rsidRPr="00961B6E" w:rsidRDefault="0030236E" w:rsidP="00DA1EB3">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noProof/>
          <w:lang w:val="es-ES"/>
        </w:rPr>
      </w:pPr>
      <w:r w:rsidRPr="00961B6E">
        <w:rPr>
          <w:rFonts w:cstheme="minorHAnsi"/>
          <w:bCs/>
          <w:noProof/>
          <w:lang w:val="es-ES"/>
        </w:rPr>
        <w:t>E</w:t>
      </w:r>
      <w:r w:rsidR="0019722D" w:rsidRPr="00961B6E">
        <w:rPr>
          <w:rFonts w:cstheme="minorHAnsi"/>
          <w:bCs/>
          <w:noProof/>
          <w:lang w:val="es-ES"/>
        </w:rPr>
        <w:t>xaminar y aprobar el proyecto de resolución adjunto para su consideración en la 14ª reunión de la Conferencia de las Partes</w:t>
      </w:r>
      <w:r w:rsidR="00612473" w:rsidRPr="00961B6E">
        <w:rPr>
          <w:rFonts w:cstheme="minorHAnsi"/>
          <w:bCs/>
          <w:noProof/>
          <w:lang w:val="es-ES"/>
        </w:rPr>
        <w:t xml:space="preserve"> </w:t>
      </w:r>
      <w:r w:rsidR="00612473" w:rsidRPr="00961B6E">
        <w:rPr>
          <w:rFonts w:cstheme="minorHAnsi"/>
          <w:noProof/>
          <w:lang w:val="es-ES"/>
        </w:rPr>
        <w:t>Contratantes</w:t>
      </w:r>
      <w:r w:rsidR="0019722D" w:rsidRPr="00961B6E">
        <w:rPr>
          <w:rFonts w:cstheme="minorHAnsi"/>
          <w:bCs/>
          <w:noProof/>
          <w:lang w:val="es-ES"/>
        </w:rPr>
        <w:t>.</w:t>
      </w:r>
    </w:p>
    <w:p w14:paraId="68DF88FC" w14:textId="77777777" w:rsidR="009175B8" w:rsidRPr="00961B6E" w:rsidRDefault="009175B8" w:rsidP="00DA1EB3">
      <w:pPr>
        <w:pBdr>
          <w:top w:val="single" w:sz="4" w:space="1" w:color="auto"/>
          <w:left w:val="single" w:sz="4" w:space="4" w:color="auto"/>
          <w:bottom w:val="single" w:sz="4" w:space="1" w:color="auto"/>
          <w:right w:val="single" w:sz="4" w:space="4" w:color="auto"/>
        </w:pBdr>
        <w:rPr>
          <w:rFonts w:cstheme="minorHAnsi"/>
          <w:bCs/>
          <w:noProof/>
          <w:lang w:val="es-ES"/>
        </w:rPr>
      </w:pPr>
    </w:p>
    <w:p w14:paraId="629729A6" w14:textId="5080485D" w:rsidR="009175B8" w:rsidRDefault="009175B8" w:rsidP="00DA1EB3">
      <w:pPr>
        <w:rPr>
          <w:rFonts w:cstheme="minorHAnsi"/>
          <w:bCs/>
          <w:noProof/>
          <w:lang w:val="es-ES"/>
        </w:rPr>
      </w:pPr>
    </w:p>
    <w:p w14:paraId="6464F1FF" w14:textId="77777777" w:rsidR="004F3FEC" w:rsidRPr="00961B6E" w:rsidRDefault="004F3FEC" w:rsidP="00DA1EB3">
      <w:pPr>
        <w:rPr>
          <w:rFonts w:cstheme="minorHAnsi"/>
          <w:bCs/>
          <w:noProof/>
          <w:lang w:val="es-ES"/>
        </w:rPr>
      </w:pPr>
    </w:p>
    <w:p w14:paraId="72FD80BD" w14:textId="3C9DFFB4" w:rsidR="00A06470" w:rsidRPr="00961B6E" w:rsidRDefault="00A06470" w:rsidP="00DA1EB3">
      <w:pPr>
        <w:rPr>
          <w:rFonts w:cstheme="minorHAnsi"/>
          <w:b/>
          <w:noProof/>
          <w:lang w:val="es-ES"/>
        </w:rPr>
      </w:pPr>
      <w:r w:rsidRPr="00961B6E">
        <w:rPr>
          <w:rFonts w:cstheme="minorHAnsi"/>
          <w:b/>
          <w:noProof/>
          <w:lang w:val="es-ES"/>
        </w:rPr>
        <w:t>Introduc</w:t>
      </w:r>
      <w:r w:rsidR="00021B27" w:rsidRPr="00961B6E">
        <w:rPr>
          <w:rFonts w:cstheme="minorHAnsi"/>
          <w:b/>
          <w:noProof/>
          <w:lang w:val="es-ES"/>
        </w:rPr>
        <w:t>ció</w:t>
      </w:r>
      <w:r w:rsidRPr="00961B6E">
        <w:rPr>
          <w:rFonts w:cstheme="minorHAnsi"/>
          <w:b/>
          <w:noProof/>
          <w:lang w:val="es-ES"/>
        </w:rPr>
        <w:t>n</w:t>
      </w:r>
    </w:p>
    <w:p w14:paraId="4BBDBB8C" w14:textId="59A44FBC" w:rsidR="00F42465" w:rsidRPr="00961B6E" w:rsidRDefault="00F42465" w:rsidP="00DA1EB3">
      <w:pPr>
        <w:rPr>
          <w:rFonts w:cstheme="minorHAnsi"/>
          <w:bCs/>
          <w:noProof/>
          <w:lang w:val="es-ES"/>
        </w:rPr>
      </w:pPr>
    </w:p>
    <w:p w14:paraId="02934344" w14:textId="64AC6C62" w:rsidR="006A2378" w:rsidRPr="00961B6E" w:rsidRDefault="00854615" w:rsidP="00DA1EB3">
      <w:pPr>
        <w:ind w:left="426" w:hanging="426"/>
        <w:rPr>
          <w:rFonts w:cs="Garamond"/>
          <w:b/>
          <w:noProof/>
          <w:sz w:val="28"/>
          <w:szCs w:val="28"/>
          <w:lang w:val="es-ES"/>
        </w:rPr>
      </w:pPr>
      <w:r w:rsidRPr="00961B6E">
        <w:rPr>
          <w:noProof/>
          <w:lang w:val="es-ES"/>
        </w:rPr>
        <w:t>1.</w:t>
      </w:r>
      <w:r w:rsidRPr="00961B6E">
        <w:rPr>
          <w:noProof/>
          <w:lang w:val="es-ES"/>
        </w:rPr>
        <w:tab/>
      </w:r>
      <w:r w:rsidR="006A2378" w:rsidRPr="00961B6E">
        <w:rPr>
          <w:noProof/>
          <w:lang w:val="es-ES"/>
        </w:rPr>
        <w:t xml:space="preserve">En la Resolución XIII.5, </w:t>
      </w:r>
      <w:r w:rsidR="006A2378" w:rsidRPr="00961B6E">
        <w:rPr>
          <w:rFonts w:cs="Garamond"/>
          <w:bCs/>
          <w:i/>
          <w:iCs/>
          <w:noProof/>
          <w:lang w:val="es-ES"/>
        </w:rPr>
        <w:t>Examen del Cuarto Plan Estratégico de la Convención de Ramsar</w:t>
      </w:r>
      <w:r w:rsidR="006A2378" w:rsidRPr="00961B6E">
        <w:rPr>
          <w:rFonts w:cs="Garamond"/>
          <w:bCs/>
          <w:noProof/>
          <w:lang w:val="es-ES"/>
        </w:rPr>
        <w:t xml:space="preserve">, las Partes Contratantes aprobaron un proceso para examinar el Cuarto Plan Estratégico de la Convención </w:t>
      </w:r>
      <w:r w:rsidR="004F3FEC">
        <w:rPr>
          <w:rFonts w:cs="Garamond"/>
          <w:bCs/>
          <w:noProof/>
          <w:lang w:val="es-ES"/>
        </w:rPr>
        <w:t>de Ramsar</w:t>
      </w:r>
      <w:r w:rsidR="006A2378" w:rsidRPr="00961B6E">
        <w:rPr>
          <w:rFonts w:cs="Garamond"/>
          <w:bCs/>
          <w:noProof/>
          <w:lang w:val="es-ES"/>
        </w:rPr>
        <w:t xml:space="preserve"> para 2016-2024 y </w:t>
      </w:r>
      <w:r w:rsidR="00594809" w:rsidRPr="00961B6E">
        <w:rPr>
          <w:rFonts w:cs="Garamond"/>
          <w:bCs/>
          <w:noProof/>
          <w:lang w:val="es-ES"/>
        </w:rPr>
        <w:t>pidieron</w:t>
      </w:r>
      <w:r w:rsidR="006A2378" w:rsidRPr="00961B6E">
        <w:rPr>
          <w:rFonts w:cs="Garamond"/>
          <w:bCs/>
          <w:noProof/>
          <w:lang w:val="es-ES"/>
        </w:rPr>
        <w:t xml:space="preserve"> que el Comité Permanente estableciera un </w:t>
      </w:r>
      <w:r w:rsidR="00FD75C0" w:rsidRPr="00961B6E">
        <w:rPr>
          <w:rFonts w:cs="Garamond"/>
          <w:bCs/>
          <w:noProof/>
          <w:lang w:val="es-ES"/>
        </w:rPr>
        <w:t>g</w:t>
      </w:r>
      <w:r w:rsidR="006A2378" w:rsidRPr="00961B6E">
        <w:rPr>
          <w:rFonts w:cs="Garamond"/>
          <w:bCs/>
          <w:noProof/>
          <w:lang w:val="es-ES"/>
        </w:rPr>
        <w:t xml:space="preserve">rupo de </w:t>
      </w:r>
      <w:r w:rsidR="00FE402D" w:rsidRPr="00961B6E">
        <w:rPr>
          <w:rFonts w:cs="Garamond"/>
          <w:bCs/>
          <w:noProof/>
          <w:lang w:val="es-ES"/>
        </w:rPr>
        <w:t>t</w:t>
      </w:r>
      <w:r w:rsidR="006A2378" w:rsidRPr="00961B6E">
        <w:rPr>
          <w:rFonts w:cs="Garamond"/>
          <w:bCs/>
          <w:noProof/>
          <w:lang w:val="es-ES"/>
        </w:rPr>
        <w:t>rabajo sobre el</w:t>
      </w:r>
      <w:r w:rsidR="00FE402D" w:rsidRPr="00961B6E">
        <w:rPr>
          <w:rFonts w:cs="Garamond"/>
          <w:bCs/>
          <w:noProof/>
          <w:lang w:val="es-ES"/>
        </w:rPr>
        <w:t xml:space="preserve"> </w:t>
      </w:r>
      <w:r w:rsidR="006A2378" w:rsidRPr="00961B6E">
        <w:rPr>
          <w:rFonts w:cs="Garamond"/>
          <w:bCs/>
          <w:noProof/>
          <w:lang w:val="es-ES"/>
        </w:rPr>
        <w:t xml:space="preserve">Plan Estratégico para llevar a cabo </w:t>
      </w:r>
      <w:r w:rsidR="00594809" w:rsidRPr="00961B6E">
        <w:rPr>
          <w:rFonts w:cs="Garamond"/>
          <w:bCs/>
          <w:noProof/>
          <w:lang w:val="es-ES"/>
        </w:rPr>
        <w:t>el examen</w:t>
      </w:r>
      <w:r w:rsidR="006A2378" w:rsidRPr="00961B6E">
        <w:rPr>
          <w:rFonts w:cs="Garamond"/>
          <w:bCs/>
          <w:noProof/>
          <w:lang w:val="es-ES"/>
        </w:rPr>
        <w:t xml:space="preserve"> y proponer elementos </w:t>
      </w:r>
      <w:r w:rsidR="00251023" w:rsidRPr="00961B6E">
        <w:rPr>
          <w:rFonts w:cs="Garamond"/>
          <w:bCs/>
          <w:noProof/>
          <w:lang w:val="es-ES"/>
        </w:rPr>
        <w:t>esenciales</w:t>
      </w:r>
      <w:r w:rsidR="006A2378" w:rsidRPr="00961B6E">
        <w:rPr>
          <w:rFonts w:cs="Garamond"/>
          <w:bCs/>
          <w:noProof/>
          <w:lang w:val="es-ES"/>
        </w:rPr>
        <w:t xml:space="preserve"> para la </w:t>
      </w:r>
      <w:r w:rsidR="00594809" w:rsidRPr="00961B6E">
        <w:rPr>
          <w:rFonts w:cs="Garamond"/>
          <w:bCs/>
          <w:noProof/>
          <w:lang w:val="es-ES"/>
        </w:rPr>
        <w:t>elabo</w:t>
      </w:r>
      <w:r w:rsidR="006A2378" w:rsidRPr="00961B6E">
        <w:rPr>
          <w:rFonts w:cs="Garamond"/>
          <w:bCs/>
          <w:noProof/>
          <w:lang w:val="es-ES"/>
        </w:rPr>
        <w:t xml:space="preserve">ración del </w:t>
      </w:r>
      <w:r w:rsidR="00594809" w:rsidRPr="00961B6E">
        <w:rPr>
          <w:rFonts w:cs="Garamond"/>
          <w:bCs/>
          <w:noProof/>
          <w:lang w:val="es-ES"/>
        </w:rPr>
        <w:t>Q</w:t>
      </w:r>
      <w:r w:rsidR="006A2378" w:rsidRPr="00961B6E">
        <w:rPr>
          <w:rFonts w:cs="Garamond"/>
          <w:bCs/>
          <w:noProof/>
          <w:lang w:val="es-ES"/>
        </w:rPr>
        <w:t xml:space="preserve">uinto </w:t>
      </w:r>
      <w:r w:rsidR="00594809" w:rsidRPr="00961B6E">
        <w:rPr>
          <w:rFonts w:cs="Garamond"/>
          <w:bCs/>
          <w:noProof/>
          <w:lang w:val="es-ES"/>
        </w:rPr>
        <w:t>P</w:t>
      </w:r>
      <w:r w:rsidR="006A2378" w:rsidRPr="00961B6E">
        <w:rPr>
          <w:rFonts w:cs="Garamond"/>
          <w:bCs/>
          <w:noProof/>
          <w:lang w:val="es-ES"/>
        </w:rPr>
        <w:t xml:space="preserve">lan </w:t>
      </w:r>
      <w:r w:rsidR="00594809" w:rsidRPr="00961B6E">
        <w:rPr>
          <w:rFonts w:cs="Garamond"/>
          <w:bCs/>
          <w:noProof/>
          <w:lang w:val="es-ES"/>
        </w:rPr>
        <w:t>E</w:t>
      </w:r>
      <w:r w:rsidR="006A2378" w:rsidRPr="00961B6E">
        <w:rPr>
          <w:rFonts w:cs="Garamond"/>
          <w:bCs/>
          <w:noProof/>
          <w:lang w:val="es-ES"/>
        </w:rPr>
        <w:t>stratégico</w:t>
      </w:r>
      <w:r w:rsidR="00594809" w:rsidRPr="00961B6E">
        <w:rPr>
          <w:rFonts w:cs="Garamond"/>
          <w:bCs/>
          <w:noProof/>
          <w:lang w:val="es-ES"/>
        </w:rPr>
        <w:t>.</w:t>
      </w:r>
    </w:p>
    <w:p w14:paraId="398A3CB9" w14:textId="77777777" w:rsidR="004B0A15" w:rsidRPr="00961B6E" w:rsidRDefault="004B0A15" w:rsidP="00DA1EB3">
      <w:pPr>
        <w:rPr>
          <w:noProof/>
          <w:lang w:val="es-ES"/>
        </w:rPr>
      </w:pPr>
    </w:p>
    <w:p w14:paraId="09908C7F" w14:textId="2CE2D15C" w:rsidR="00594809" w:rsidRPr="00961B6E" w:rsidRDefault="00854615" w:rsidP="00DA1EB3">
      <w:pPr>
        <w:ind w:left="426" w:hanging="426"/>
        <w:rPr>
          <w:noProof/>
          <w:lang w:val="es-ES"/>
        </w:rPr>
      </w:pPr>
      <w:r w:rsidRPr="00961B6E">
        <w:rPr>
          <w:noProof/>
          <w:lang w:val="es-ES"/>
        </w:rPr>
        <w:t>2.</w:t>
      </w:r>
      <w:r w:rsidRPr="00961B6E">
        <w:rPr>
          <w:noProof/>
          <w:lang w:val="es-ES"/>
        </w:rPr>
        <w:tab/>
      </w:r>
      <w:r w:rsidR="00864AE7" w:rsidRPr="00961B6E">
        <w:rPr>
          <w:noProof/>
          <w:lang w:val="es-ES"/>
        </w:rPr>
        <w:t>En su reunión SC56</w:t>
      </w:r>
      <w:r w:rsidR="000A49C1" w:rsidRPr="00961B6E">
        <w:rPr>
          <w:noProof/>
          <w:lang w:val="es-ES"/>
        </w:rPr>
        <w:t>,</w:t>
      </w:r>
      <w:r w:rsidR="00864AE7" w:rsidRPr="00961B6E">
        <w:rPr>
          <w:noProof/>
          <w:lang w:val="es-ES"/>
        </w:rPr>
        <w:t xml:space="preserve"> celebrada en octubre de 2018, el Comité Permanente estableció el </w:t>
      </w:r>
      <w:r w:rsidR="00FD75C0" w:rsidRPr="00961B6E">
        <w:rPr>
          <w:noProof/>
          <w:lang w:val="es-ES"/>
        </w:rPr>
        <w:t>g</w:t>
      </w:r>
      <w:r w:rsidR="00864AE7" w:rsidRPr="00961B6E">
        <w:rPr>
          <w:noProof/>
          <w:lang w:val="es-ES"/>
        </w:rPr>
        <w:t xml:space="preserve">rupo de </w:t>
      </w:r>
      <w:r w:rsidR="00FE402D" w:rsidRPr="00961B6E">
        <w:rPr>
          <w:noProof/>
          <w:lang w:val="es-ES"/>
        </w:rPr>
        <w:t>t</w:t>
      </w:r>
      <w:r w:rsidR="00864AE7" w:rsidRPr="00961B6E">
        <w:rPr>
          <w:noProof/>
          <w:lang w:val="es-ES"/>
        </w:rPr>
        <w:t xml:space="preserve">rabajo con miembros de todas las regiones de Ramsar, presidido por Paul Mafabe, de Uganda, hasta su trágico fallecimiento, y </w:t>
      </w:r>
      <w:r w:rsidR="00345272" w:rsidRPr="00961B6E">
        <w:rPr>
          <w:noProof/>
          <w:lang w:val="es-ES"/>
        </w:rPr>
        <w:t>posteriormente</w:t>
      </w:r>
      <w:r w:rsidR="00864AE7" w:rsidRPr="00961B6E">
        <w:rPr>
          <w:noProof/>
          <w:lang w:val="es-ES"/>
        </w:rPr>
        <w:t xml:space="preserve"> por Australia.  </w:t>
      </w:r>
    </w:p>
    <w:p w14:paraId="27527A35" w14:textId="77777777" w:rsidR="009D0F50" w:rsidRPr="00961B6E" w:rsidRDefault="009D0F50" w:rsidP="00DA1EB3">
      <w:pPr>
        <w:ind w:left="426" w:hanging="426"/>
        <w:rPr>
          <w:noProof/>
          <w:lang w:val="es-ES"/>
        </w:rPr>
      </w:pPr>
    </w:p>
    <w:p w14:paraId="11235356" w14:textId="0D7C067C" w:rsidR="00864AE7" w:rsidRPr="00961B6E" w:rsidRDefault="00854615" w:rsidP="00DA1EB3">
      <w:pPr>
        <w:ind w:left="426" w:hanging="426"/>
        <w:rPr>
          <w:rFonts w:cstheme="minorHAnsi"/>
          <w:noProof/>
          <w:lang w:val="es-ES"/>
        </w:rPr>
      </w:pPr>
      <w:r w:rsidRPr="00961B6E">
        <w:rPr>
          <w:rFonts w:cstheme="minorHAnsi"/>
          <w:noProof/>
          <w:lang w:val="es-ES"/>
        </w:rPr>
        <w:t>3.</w:t>
      </w:r>
      <w:r w:rsidRPr="00961B6E">
        <w:rPr>
          <w:rFonts w:cstheme="minorHAnsi"/>
          <w:noProof/>
          <w:lang w:val="es-ES"/>
        </w:rPr>
        <w:tab/>
      </w:r>
      <w:r w:rsidR="00864AE7" w:rsidRPr="00961B6E">
        <w:rPr>
          <w:rFonts w:cstheme="minorHAnsi"/>
          <w:noProof/>
          <w:lang w:val="es-ES"/>
        </w:rPr>
        <w:t xml:space="preserve">Como parte del examen, el </w:t>
      </w:r>
      <w:r w:rsidR="00FD75C0" w:rsidRPr="00961B6E">
        <w:rPr>
          <w:rFonts w:cstheme="minorHAnsi"/>
          <w:noProof/>
          <w:lang w:val="es-ES"/>
        </w:rPr>
        <w:t>g</w:t>
      </w:r>
      <w:r w:rsidR="00864AE7" w:rsidRPr="00961B6E">
        <w:rPr>
          <w:rFonts w:cstheme="minorHAnsi"/>
          <w:noProof/>
          <w:lang w:val="es-ES"/>
        </w:rPr>
        <w:t xml:space="preserve">rupo de </w:t>
      </w:r>
      <w:r w:rsidR="00FE402D" w:rsidRPr="00961B6E">
        <w:rPr>
          <w:rFonts w:cstheme="minorHAnsi"/>
          <w:noProof/>
          <w:lang w:val="es-ES"/>
        </w:rPr>
        <w:t>t</w:t>
      </w:r>
      <w:r w:rsidR="00864AE7" w:rsidRPr="00961B6E">
        <w:rPr>
          <w:rFonts w:cstheme="minorHAnsi"/>
          <w:noProof/>
          <w:lang w:val="es-ES"/>
        </w:rPr>
        <w:t xml:space="preserve">rabajo realizó una encuesta entre las Partes Contratantes para evaluar sus </w:t>
      </w:r>
      <w:r w:rsidR="001A64E9" w:rsidRPr="00961B6E">
        <w:rPr>
          <w:rFonts w:cstheme="minorHAnsi"/>
          <w:noProof/>
          <w:lang w:val="es-ES"/>
        </w:rPr>
        <w:t xml:space="preserve">iniciativas </w:t>
      </w:r>
      <w:r w:rsidR="0030672A" w:rsidRPr="00961B6E">
        <w:rPr>
          <w:rFonts w:cstheme="minorHAnsi"/>
          <w:noProof/>
          <w:lang w:val="es-ES"/>
        </w:rPr>
        <w:t>encaminadas</w:t>
      </w:r>
      <w:r w:rsidR="009C3290" w:rsidRPr="00961B6E">
        <w:rPr>
          <w:rFonts w:cstheme="minorHAnsi"/>
          <w:noProof/>
          <w:lang w:val="es-ES"/>
        </w:rPr>
        <w:t xml:space="preserve"> a</w:t>
      </w:r>
      <w:r w:rsidR="00864AE7" w:rsidRPr="00961B6E">
        <w:rPr>
          <w:rFonts w:cstheme="minorHAnsi"/>
          <w:noProof/>
          <w:lang w:val="es-ES"/>
        </w:rPr>
        <w:t xml:space="preserve"> </w:t>
      </w:r>
      <w:r w:rsidR="001A64E9" w:rsidRPr="00961B6E">
        <w:rPr>
          <w:rFonts w:cstheme="minorHAnsi"/>
          <w:noProof/>
          <w:lang w:val="es-ES"/>
        </w:rPr>
        <w:t>aplicar</w:t>
      </w:r>
      <w:r w:rsidR="00864AE7" w:rsidRPr="00961B6E">
        <w:rPr>
          <w:rFonts w:cstheme="minorHAnsi"/>
          <w:noProof/>
          <w:lang w:val="es-ES"/>
        </w:rPr>
        <w:t xml:space="preserve"> </w:t>
      </w:r>
      <w:r w:rsidR="001A64E9" w:rsidRPr="00961B6E">
        <w:rPr>
          <w:rFonts w:cstheme="minorHAnsi"/>
          <w:noProof/>
          <w:lang w:val="es-ES"/>
        </w:rPr>
        <w:t xml:space="preserve">el </w:t>
      </w:r>
      <w:r w:rsidR="00864AE7" w:rsidRPr="00961B6E">
        <w:rPr>
          <w:rFonts w:cstheme="minorHAnsi"/>
          <w:noProof/>
          <w:lang w:val="es-ES"/>
        </w:rPr>
        <w:t xml:space="preserve">Cuarto Plan Estratégico y nombró a un consultor </w:t>
      </w:r>
      <w:r w:rsidR="0030672A" w:rsidRPr="00961B6E">
        <w:rPr>
          <w:rFonts w:cstheme="minorHAnsi"/>
          <w:noProof/>
          <w:lang w:val="es-ES"/>
        </w:rPr>
        <w:t>que ayudaría</w:t>
      </w:r>
      <w:r w:rsidR="00864AE7" w:rsidRPr="00961B6E">
        <w:rPr>
          <w:rFonts w:cstheme="minorHAnsi"/>
          <w:noProof/>
          <w:lang w:val="es-ES"/>
        </w:rPr>
        <w:t xml:space="preserve"> </w:t>
      </w:r>
      <w:r w:rsidR="0030672A" w:rsidRPr="00961B6E">
        <w:rPr>
          <w:rFonts w:cstheme="minorHAnsi"/>
          <w:noProof/>
          <w:lang w:val="es-ES"/>
        </w:rPr>
        <w:t>con la recopilación de</w:t>
      </w:r>
      <w:r w:rsidR="00864AE7" w:rsidRPr="00961B6E">
        <w:rPr>
          <w:rFonts w:cstheme="minorHAnsi"/>
          <w:noProof/>
          <w:lang w:val="es-ES"/>
        </w:rPr>
        <w:t xml:space="preserve"> información y </w:t>
      </w:r>
      <w:r w:rsidR="0030672A" w:rsidRPr="00961B6E">
        <w:rPr>
          <w:rFonts w:cstheme="minorHAnsi"/>
          <w:noProof/>
          <w:lang w:val="es-ES"/>
        </w:rPr>
        <w:t>el análisis de</w:t>
      </w:r>
      <w:r w:rsidR="00864AE7" w:rsidRPr="00961B6E">
        <w:rPr>
          <w:rFonts w:cstheme="minorHAnsi"/>
          <w:noProof/>
          <w:lang w:val="es-ES"/>
        </w:rPr>
        <w:t xml:space="preserve"> la aplicación, incluid</w:t>
      </w:r>
      <w:r w:rsidR="007A2764" w:rsidRPr="00961B6E">
        <w:rPr>
          <w:rFonts w:cstheme="minorHAnsi"/>
          <w:noProof/>
          <w:lang w:val="es-ES"/>
        </w:rPr>
        <w:t>a</w:t>
      </w:r>
      <w:r w:rsidR="00864AE7" w:rsidRPr="00961B6E">
        <w:rPr>
          <w:rFonts w:cstheme="minorHAnsi"/>
          <w:noProof/>
          <w:lang w:val="es-ES"/>
        </w:rPr>
        <w:t xml:space="preserve">s </w:t>
      </w:r>
      <w:r w:rsidR="006A44A3" w:rsidRPr="00961B6E">
        <w:rPr>
          <w:rFonts w:cstheme="minorHAnsi"/>
          <w:noProof/>
          <w:lang w:val="es-ES"/>
        </w:rPr>
        <w:t>algunas</w:t>
      </w:r>
      <w:r w:rsidR="007A2764" w:rsidRPr="00961B6E">
        <w:rPr>
          <w:rFonts w:cstheme="minorHAnsi"/>
          <w:noProof/>
          <w:lang w:val="es-ES"/>
        </w:rPr>
        <w:t xml:space="preserve"> metas</w:t>
      </w:r>
      <w:r w:rsidR="00864AE7" w:rsidRPr="00961B6E">
        <w:rPr>
          <w:rFonts w:cstheme="minorHAnsi"/>
          <w:noProof/>
          <w:lang w:val="es-ES"/>
        </w:rPr>
        <w:t xml:space="preserve"> específic</w:t>
      </w:r>
      <w:r w:rsidR="007A2764" w:rsidRPr="00961B6E">
        <w:rPr>
          <w:rFonts w:cstheme="minorHAnsi"/>
          <w:noProof/>
          <w:lang w:val="es-ES"/>
        </w:rPr>
        <w:t>a</w:t>
      </w:r>
      <w:r w:rsidR="00864AE7" w:rsidRPr="00961B6E">
        <w:rPr>
          <w:rFonts w:cstheme="minorHAnsi"/>
          <w:noProof/>
          <w:lang w:val="es-ES"/>
        </w:rPr>
        <w:t>s en l</w:t>
      </w:r>
      <w:r w:rsidR="007A2764" w:rsidRPr="00961B6E">
        <w:rPr>
          <w:rFonts w:cstheme="minorHAnsi"/>
          <w:noProof/>
          <w:lang w:val="es-ES"/>
        </w:rPr>
        <w:t>a</w:t>
      </w:r>
      <w:r w:rsidR="00864AE7" w:rsidRPr="00961B6E">
        <w:rPr>
          <w:rFonts w:cstheme="minorHAnsi"/>
          <w:noProof/>
          <w:lang w:val="es-ES"/>
        </w:rPr>
        <w:t xml:space="preserve">s que las Partes </w:t>
      </w:r>
      <w:r w:rsidR="00612473" w:rsidRPr="00961B6E">
        <w:rPr>
          <w:rFonts w:cstheme="minorHAnsi"/>
          <w:noProof/>
          <w:lang w:val="es-ES"/>
        </w:rPr>
        <w:t xml:space="preserve">Contratantes </w:t>
      </w:r>
      <w:r w:rsidR="0030672A" w:rsidRPr="00961B6E">
        <w:rPr>
          <w:rFonts w:cstheme="minorHAnsi"/>
          <w:noProof/>
          <w:lang w:val="es-ES"/>
        </w:rPr>
        <w:t>estaban enfrentando</w:t>
      </w:r>
      <w:r w:rsidR="001A64E9" w:rsidRPr="00961B6E">
        <w:rPr>
          <w:rFonts w:cstheme="minorHAnsi"/>
          <w:noProof/>
          <w:lang w:val="es-ES"/>
        </w:rPr>
        <w:t xml:space="preserve"> dificultades</w:t>
      </w:r>
      <w:r w:rsidR="00864AE7" w:rsidRPr="00961B6E">
        <w:rPr>
          <w:rFonts w:cstheme="minorHAnsi"/>
          <w:noProof/>
          <w:lang w:val="es-ES"/>
        </w:rPr>
        <w:t xml:space="preserve">. El </w:t>
      </w:r>
      <w:r w:rsidR="00FD75C0" w:rsidRPr="00961B6E">
        <w:rPr>
          <w:rFonts w:cstheme="minorHAnsi"/>
          <w:noProof/>
          <w:lang w:val="es-ES"/>
        </w:rPr>
        <w:t>g</w:t>
      </w:r>
      <w:r w:rsidR="00864AE7" w:rsidRPr="00961B6E">
        <w:rPr>
          <w:rFonts w:cstheme="minorHAnsi"/>
          <w:noProof/>
          <w:lang w:val="es-ES"/>
        </w:rPr>
        <w:t xml:space="preserve">rupo de </w:t>
      </w:r>
      <w:r w:rsidR="00FE402D" w:rsidRPr="00961B6E">
        <w:rPr>
          <w:rFonts w:cstheme="minorHAnsi"/>
          <w:noProof/>
          <w:lang w:val="es-ES"/>
        </w:rPr>
        <w:t>t</w:t>
      </w:r>
      <w:r w:rsidR="00864AE7" w:rsidRPr="00961B6E">
        <w:rPr>
          <w:rFonts w:cstheme="minorHAnsi"/>
          <w:noProof/>
          <w:lang w:val="es-ES"/>
        </w:rPr>
        <w:t xml:space="preserve">rabajo colaboró estrechamente con </w:t>
      </w:r>
      <w:r w:rsidR="001A64E9" w:rsidRPr="00961B6E">
        <w:rPr>
          <w:rFonts w:cstheme="minorHAnsi"/>
          <w:noProof/>
          <w:lang w:val="es-ES"/>
        </w:rPr>
        <w:t>la presidencia</w:t>
      </w:r>
      <w:r w:rsidR="00864AE7" w:rsidRPr="00961B6E">
        <w:rPr>
          <w:rFonts w:cstheme="minorHAnsi"/>
          <w:noProof/>
          <w:lang w:val="es-ES"/>
        </w:rPr>
        <w:t xml:space="preserve"> del </w:t>
      </w:r>
      <w:r w:rsidR="001A64E9" w:rsidRPr="00961B6E">
        <w:rPr>
          <w:rFonts w:cstheme="minorHAnsi"/>
          <w:noProof/>
          <w:lang w:val="es-ES"/>
        </w:rPr>
        <w:t>Grupo</w:t>
      </w:r>
      <w:r w:rsidR="00864AE7" w:rsidRPr="00961B6E">
        <w:rPr>
          <w:rFonts w:cstheme="minorHAnsi"/>
          <w:noProof/>
          <w:lang w:val="es-ES"/>
        </w:rPr>
        <w:t xml:space="preserve"> de </w:t>
      </w:r>
      <w:r w:rsidR="001A64E9" w:rsidRPr="00961B6E">
        <w:rPr>
          <w:rFonts w:cstheme="minorHAnsi"/>
          <w:noProof/>
          <w:lang w:val="es-ES"/>
        </w:rPr>
        <w:t>s</w:t>
      </w:r>
      <w:r w:rsidR="00864AE7" w:rsidRPr="00961B6E">
        <w:rPr>
          <w:rFonts w:cstheme="minorHAnsi"/>
          <w:noProof/>
          <w:lang w:val="es-ES"/>
        </w:rPr>
        <w:t>upervisión de</w:t>
      </w:r>
      <w:r w:rsidR="001A64E9" w:rsidRPr="00961B6E">
        <w:rPr>
          <w:rFonts w:cstheme="minorHAnsi"/>
          <w:noProof/>
          <w:lang w:val="es-ES"/>
        </w:rPr>
        <w:t xml:space="preserve"> las actividades de</w:t>
      </w:r>
      <w:r w:rsidR="00864AE7" w:rsidRPr="00961B6E">
        <w:rPr>
          <w:rFonts w:cstheme="minorHAnsi"/>
          <w:noProof/>
          <w:lang w:val="es-ES"/>
        </w:rPr>
        <w:t xml:space="preserve"> CECoP, </w:t>
      </w:r>
      <w:r w:rsidR="001A64E9" w:rsidRPr="00961B6E">
        <w:rPr>
          <w:rFonts w:cstheme="minorHAnsi"/>
          <w:noProof/>
          <w:lang w:val="es-ES"/>
        </w:rPr>
        <w:t>en consonancia</w:t>
      </w:r>
      <w:r w:rsidR="00864AE7" w:rsidRPr="00961B6E">
        <w:rPr>
          <w:rFonts w:cstheme="minorHAnsi"/>
          <w:noProof/>
          <w:lang w:val="es-ES"/>
        </w:rPr>
        <w:t xml:space="preserve"> con la Resolución XIII.5. </w:t>
      </w:r>
    </w:p>
    <w:p w14:paraId="3F7AF5CB" w14:textId="77777777" w:rsidR="00D618E6" w:rsidRPr="00961B6E" w:rsidRDefault="00D618E6" w:rsidP="00DA1EB3">
      <w:pPr>
        <w:rPr>
          <w:noProof/>
          <w:lang w:val="es-ES"/>
        </w:rPr>
      </w:pPr>
    </w:p>
    <w:p w14:paraId="6ECCC8A7" w14:textId="4E8B8042" w:rsidR="004341EA" w:rsidRPr="00961B6E" w:rsidRDefault="00854615" w:rsidP="00DA1EB3">
      <w:pPr>
        <w:ind w:left="426" w:hanging="426"/>
        <w:rPr>
          <w:noProof/>
          <w:lang w:val="es-ES"/>
        </w:rPr>
      </w:pPr>
      <w:r w:rsidRPr="00961B6E">
        <w:rPr>
          <w:noProof/>
          <w:lang w:val="es-ES"/>
        </w:rPr>
        <w:t>4.</w:t>
      </w:r>
      <w:r w:rsidRPr="00961B6E">
        <w:rPr>
          <w:noProof/>
          <w:lang w:val="es-ES"/>
        </w:rPr>
        <w:tab/>
      </w:r>
      <w:r w:rsidR="000E07CB" w:rsidRPr="00961B6E">
        <w:rPr>
          <w:noProof/>
          <w:lang w:val="es-ES"/>
        </w:rPr>
        <w:t>En la reunión SC59</w:t>
      </w:r>
      <w:r w:rsidR="006A44A3" w:rsidRPr="00961B6E">
        <w:rPr>
          <w:noProof/>
          <w:lang w:val="es-ES"/>
        </w:rPr>
        <w:t>,</w:t>
      </w:r>
      <w:r w:rsidR="000E07CB" w:rsidRPr="00961B6E">
        <w:rPr>
          <w:noProof/>
          <w:lang w:val="es-ES"/>
        </w:rPr>
        <w:t xml:space="preserve"> celebrada en junio de 2021, e</w:t>
      </w:r>
      <w:r w:rsidR="004341EA" w:rsidRPr="00961B6E">
        <w:rPr>
          <w:noProof/>
          <w:lang w:val="es-ES"/>
        </w:rPr>
        <w:t xml:space="preserve">l </w:t>
      </w:r>
      <w:r w:rsidR="00FD75C0" w:rsidRPr="00961B6E">
        <w:rPr>
          <w:noProof/>
          <w:lang w:val="es-ES"/>
        </w:rPr>
        <w:t>g</w:t>
      </w:r>
      <w:r w:rsidR="004341EA" w:rsidRPr="00961B6E">
        <w:rPr>
          <w:noProof/>
          <w:lang w:val="es-ES"/>
        </w:rPr>
        <w:t xml:space="preserve">rupo de </w:t>
      </w:r>
      <w:r w:rsidR="00FE402D" w:rsidRPr="00961B6E">
        <w:rPr>
          <w:noProof/>
          <w:lang w:val="es-ES"/>
        </w:rPr>
        <w:t>t</w:t>
      </w:r>
      <w:r w:rsidR="004341EA" w:rsidRPr="00961B6E">
        <w:rPr>
          <w:noProof/>
          <w:lang w:val="es-ES"/>
        </w:rPr>
        <w:t xml:space="preserve">rabajo presentó los resultados del examen y sus recomendaciones </w:t>
      </w:r>
      <w:r w:rsidR="006A44A3" w:rsidRPr="00961B6E">
        <w:rPr>
          <w:noProof/>
          <w:lang w:val="es-ES"/>
        </w:rPr>
        <w:t>en relación con</w:t>
      </w:r>
      <w:r w:rsidR="004341EA" w:rsidRPr="00961B6E">
        <w:rPr>
          <w:noProof/>
          <w:lang w:val="es-ES"/>
        </w:rPr>
        <w:t xml:space="preserve"> el </w:t>
      </w:r>
      <w:r w:rsidR="004341EA" w:rsidRPr="00961B6E">
        <w:rPr>
          <w:rFonts w:cstheme="minorHAnsi"/>
          <w:noProof/>
          <w:lang w:val="es-ES"/>
        </w:rPr>
        <w:t xml:space="preserve">Cuarto Plan Estratégico </w:t>
      </w:r>
      <w:r w:rsidR="004341EA" w:rsidRPr="00961B6E">
        <w:rPr>
          <w:noProof/>
          <w:lang w:val="es-ES"/>
        </w:rPr>
        <w:t xml:space="preserve">y </w:t>
      </w:r>
      <w:r w:rsidR="004B56BE" w:rsidRPr="00961B6E">
        <w:rPr>
          <w:noProof/>
          <w:lang w:val="es-ES"/>
        </w:rPr>
        <w:t>propuso</w:t>
      </w:r>
      <w:r w:rsidR="004341EA" w:rsidRPr="00961B6E">
        <w:rPr>
          <w:noProof/>
          <w:lang w:val="es-ES"/>
        </w:rPr>
        <w:t xml:space="preserve"> elementos para el </w:t>
      </w:r>
      <w:r w:rsidR="004341EA" w:rsidRPr="00961B6E">
        <w:rPr>
          <w:rFonts w:cstheme="minorHAnsi"/>
          <w:noProof/>
          <w:lang w:val="es-ES"/>
        </w:rPr>
        <w:t>Quinto Plan Estratégico</w:t>
      </w:r>
      <w:r w:rsidR="004341EA" w:rsidRPr="00961B6E">
        <w:rPr>
          <w:noProof/>
          <w:lang w:val="es-ES"/>
        </w:rPr>
        <w:t xml:space="preserve">. El </w:t>
      </w:r>
      <w:r w:rsidR="00FD75C0" w:rsidRPr="00961B6E">
        <w:rPr>
          <w:noProof/>
          <w:lang w:val="es-ES"/>
        </w:rPr>
        <w:t>g</w:t>
      </w:r>
      <w:r w:rsidR="004341EA" w:rsidRPr="00961B6E">
        <w:rPr>
          <w:noProof/>
          <w:lang w:val="es-ES"/>
        </w:rPr>
        <w:t xml:space="preserve">rupo de </w:t>
      </w:r>
      <w:r w:rsidR="00FE402D" w:rsidRPr="00961B6E">
        <w:rPr>
          <w:noProof/>
          <w:lang w:val="es-ES"/>
        </w:rPr>
        <w:t>t</w:t>
      </w:r>
      <w:r w:rsidR="004341EA" w:rsidRPr="00961B6E">
        <w:rPr>
          <w:noProof/>
          <w:lang w:val="es-ES"/>
        </w:rPr>
        <w:t xml:space="preserve">rabajo recomendó </w:t>
      </w:r>
      <w:r w:rsidR="000E07CB" w:rsidRPr="00961B6E">
        <w:rPr>
          <w:noProof/>
          <w:lang w:val="es-ES"/>
        </w:rPr>
        <w:t>que se realizaran</w:t>
      </w:r>
      <w:r w:rsidR="004341EA" w:rsidRPr="00961B6E">
        <w:rPr>
          <w:noProof/>
          <w:lang w:val="es-ES"/>
        </w:rPr>
        <w:t xml:space="preserve"> </w:t>
      </w:r>
      <w:r w:rsidR="004B56BE" w:rsidRPr="00961B6E">
        <w:rPr>
          <w:noProof/>
          <w:lang w:val="es-ES"/>
        </w:rPr>
        <w:t>ajustes mínimos al</w:t>
      </w:r>
      <w:r w:rsidR="004341EA" w:rsidRPr="00961B6E">
        <w:rPr>
          <w:noProof/>
          <w:lang w:val="es-ES"/>
        </w:rPr>
        <w:t xml:space="preserve"> </w:t>
      </w:r>
      <w:r w:rsidR="004341EA" w:rsidRPr="00961B6E">
        <w:rPr>
          <w:rFonts w:cstheme="minorHAnsi"/>
          <w:noProof/>
          <w:lang w:val="es-ES"/>
        </w:rPr>
        <w:t xml:space="preserve">Cuarto Plan Estratégico </w:t>
      </w:r>
      <w:r w:rsidR="004341EA" w:rsidRPr="00961B6E">
        <w:rPr>
          <w:noProof/>
          <w:lang w:val="es-ES"/>
        </w:rPr>
        <w:t xml:space="preserve">para mantener la continuidad </w:t>
      </w:r>
      <w:r w:rsidR="000E07CB" w:rsidRPr="00961B6E">
        <w:rPr>
          <w:noProof/>
          <w:lang w:val="es-ES"/>
        </w:rPr>
        <w:t>y que se</w:t>
      </w:r>
      <w:r w:rsidR="004341EA" w:rsidRPr="00961B6E">
        <w:rPr>
          <w:noProof/>
          <w:lang w:val="es-ES"/>
        </w:rPr>
        <w:t xml:space="preserve"> </w:t>
      </w:r>
      <w:r w:rsidR="000E07CB" w:rsidRPr="00961B6E">
        <w:rPr>
          <w:noProof/>
          <w:lang w:val="es-ES"/>
        </w:rPr>
        <w:t>utilizaran</w:t>
      </w:r>
      <w:r w:rsidR="004341EA" w:rsidRPr="00961B6E">
        <w:rPr>
          <w:noProof/>
          <w:lang w:val="es-ES"/>
        </w:rPr>
        <w:t xml:space="preserve"> anexos temáticos </w:t>
      </w:r>
      <w:r w:rsidR="0095771C" w:rsidRPr="00961B6E">
        <w:rPr>
          <w:noProof/>
          <w:lang w:val="es-ES"/>
        </w:rPr>
        <w:t>sobre</w:t>
      </w:r>
      <w:r w:rsidR="004341EA" w:rsidRPr="00961B6E">
        <w:rPr>
          <w:noProof/>
          <w:lang w:val="es-ES"/>
        </w:rPr>
        <w:t xml:space="preserve"> cuestiones </w:t>
      </w:r>
      <w:r w:rsidR="0095771C" w:rsidRPr="00961B6E">
        <w:rPr>
          <w:noProof/>
          <w:lang w:val="es-ES"/>
        </w:rPr>
        <w:t>emergentes</w:t>
      </w:r>
      <w:r w:rsidR="004341EA" w:rsidRPr="00961B6E">
        <w:rPr>
          <w:noProof/>
          <w:lang w:val="es-ES"/>
        </w:rPr>
        <w:t xml:space="preserve">, </w:t>
      </w:r>
      <w:r w:rsidR="0030493B" w:rsidRPr="00961B6E">
        <w:rPr>
          <w:noProof/>
          <w:lang w:val="es-ES"/>
        </w:rPr>
        <w:t>incluida</w:t>
      </w:r>
      <w:r w:rsidR="004341EA" w:rsidRPr="00961B6E">
        <w:rPr>
          <w:noProof/>
          <w:lang w:val="es-ES"/>
        </w:rPr>
        <w:t xml:space="preserve"> la actualización del </w:t>
      </w:r>
      <w:r w:rsidR="0057613E">
        <w:rPr>
          <w:noProof/>
          <w:lang w:val="es-ES"/>
        </w:rPr>
        <w:t>A</w:t>
      </w:r>
      <w:r w:rsidR="004341EA" w:rsidRPr="001E0965">
        <w:rPr>
          <w:noProof/>
          <w:lang w:val="es-ES"/>
        </w:rPr>
        <w:t>nexo</w:t>
      </w:r>
      <w:r w:rsidR="004341EA" w:rsidRPr="00961B6E">
        <w:rPr>
          <w:noProof/>
          <w:lang w:val="es-ES"/>
        </w:rPr>
        <w:t xml:space="preserve"> 2 </w:t>
      </w:r>
      <w:r w:rsidR="00C900C2" w:rsidRPr="00961B6E">
        <w:rPr>
          <w:noProof/>
          <w:lang w:val="es-ES"/>
        </w:rPr>
        <w:t>cuando se haya acordado</w:t>
      </w:r>
      <w:r w:rsidR="004341EA" w:rsidRPr="00961B6E">
        <w:rPr>
          <w:noProof/>
          <w:lang w:val="es-ES"/>
        </w:rPr>
        <w:t xml:space="preserve"> el nuevo </w:t>
      </w:r>
      <w:r w:rsidR="00C21961" w:rsidRPr="00961B6E">
        <w:rPr>
          <w:rFonts w:cstheme="minorHAnsi"/>
          <w:noProof/>
          <w:lang w:val="es-ES"/>
        </w:rPr>
        <w:t>Marco Mundial de la Diversidad Biológica</w:t>
      </w:r>
      <w:r w:rsidR="004341EA" w:rsidRPr="00961B6E">
        <w:rPr>
          <w:noProof/>
          <w:lang w:val="es-ES"/>
        </w:rPr>
        <w:t xml:space="preserve">. </w:t>
      </w:r>
      <w:r w:rsidR="00D53F55" w:rsidRPr="00961B6E">
        <w:rPr>
          <w:noProof/>
          <w:lang w:val="es-ES"/>
        </w:rPr>
        <w:t>Además, a fin de</w:t>
      </w:r>
      <w:r w:rsidR="004341EA" w:rsidRPr="00961B6E">
        <w:rPr>
          <w:noProof/>
          <w:lang w:val="es-ES"/>
        </w:rPr>
        <w:t xml:space="preserve"> ayudar en la aplicación del </w:t>
      </w:r>
      <w:r w:rsidR="004341EA" w:rsidRPr="00961B6E">
        <w:rPr>
          <w:rFonts w:cstheme="minorHAnsi"/>
          <w:noProof/>
          <w:lang w:val="es-ES"/>
        </w:rPr>
        <w:t>Cuarto Plan Estratégico</w:t>
      </w:r>
      <w:r w:rsidR="004341EA" w:rsidRPr="00961B6E">
        <w:rPr>
          <w:noProof/>
          <w:lang w:val="es-ES"/>
        </w:rPr>
        <w:t xml:space="preserve">, el </w:t>
      </w:r>
      <w:r w:rsidR="00FD75C0" w:rsidRPr="00961B6E">
        <w:rPr>
          <w:noProof/>
          <w:lang w:val="es-ES"/>
        </w:rPr>
        <w:t>g</w:t>
      </w:r>
      <w:r w:rsidR="004341EA" w:rsidRPr="00961B6E">
        <w:rPr>
          <w:noProof/>
          <w:lang w:val="es-ES"/>
        </w:rPr>
        <w:t xml:space="preserve">rupo de </w:t>
      </w:r>
      <w:r w:rsidR="00FE402D" w:rsidRPr="00961B6E">
        <w:rPr>
          <w:noProof/>
          <w:lang w:val="es-ES"/>
        </w:rPr>
        <w:t>t</w:t>
      </w:r>
      <w:r w:rsidR="004341EA" w:rsidRPr="00961B6E">
        <w:rPr>
          <w:noProof/>
          <w:lang w:val="es-ES"/>
        </w:rPr>
        <w:t xml:space="preserve">rabajo recomendó que estos anexos se </w:t>
      </w:r>
      <w:r w:rsidR="009E68BA" w:rsidRPr="00961B6E">
        <w:rPr>
          <w:noProof/>
          <w:lang w:val="es-ES"/>
        </w:rPr>
        <w:t>difundieran entre</w:t>
      </w:r>
      <w:r w:rsidR="000E07CB" w:rsidRPr="00961B6E">
        <w:rPr>
          <w:noProof/>
          <w:lang w:val="es-ES"/>
        </w:rPr>
        <w:t xml:space="preserve"> </w:t>
      </w:r>
      <w:r w:rsidR="004341EA" w:rsidRPr="00961B6E">
        <w:rPr>
          <w:noProof/>
          <w:lang w:val="es-ES"/>
        </w:rPr>
        <w:t>las Partes antes de la COP14 y que</w:t>
      </w:r>
      <w:r w:rsidR="000E07CB" w:rsidRPr="00961B6E">
        <w:rPr>
          <w:noProof/>
          <w:lang w:val="es-ES"/>
        </w:rPr>
        <w:t xml:space="preserve"> se </w:t>
      </w:r>
      <w:r w:rsidR="009E68BA" w:rsidRPr="00961B6E">
        <w:rPr>
          <w:noProof/>
          <w:lang w:val="es-ES"/>
        </w:rPr>
        <w:t xml:space="preserve">les </w:t>
      </w:r>
      <w:r w:rsidR="00D53F55" w:rsidRPr="00961B6E">
        <w:rPr>
          <w:noProof/>
          <w:lang w:val="es-ES"/>
        </w:rPr>
        <w:t>comunicaran</w:t>
      </w:r>
      <w:r w:rsidR="000E07CB" w:rsidRPr="00961B6E">
        <w:rPr>
          <w:noProof/>
          <w:lang w:val="es-ES"/>
        </w:rPr>
        <w:t xml:space="preserve"> </w:t>
      </w:r>
      <w:r w:rsidR="004341EA" w:rsidRPr="00961B6E">
        <w:rPr>
          <w:noProof/>
          <w:lang w:val="es-ES"/>
        </w:rPr>
        <w:t xml:space="preserve">las orientaciones existentes de </w:t>
      </w:r>
      <w:r w:rsidR="000E07CB" w:rsidRPr="00961B6E">
        <w:rPr>
          <w:noProof/>
          <w:lang w:val="es-ES"/>
        </w:rPr>
        <w:t>la Convención.</w:t>
      </w:r>
    </w:p>
    <w:p w14:paraId="053E5AAC" w14:textId="08AD4CE2" w:rsidR="00D618E6" w:rsidRPr="00961B6E" w:rsidRDefault="00D618E6" w:rsidP="00DA1EB3">
      <w:pPr>
        <w:rPr>
          <w:rFonts w:ascii="Calibri" w:hAnsi="Calibri" w:cs="Calibri"/>
          <w:noProof/>
          <w:lang w:val="es-ES"/>
        </w:rPr>
      </w:pPr>
    </w:p>
    <w:p w14:paraId="65F779B2" w14:textId="00D611DA" w:rsidR="009E68BA" w:rsidRPr="00961B6E" w:rsidRDefault="00854615" w:rsidP="00DA1EB3">
      <w:pPr>
        <w:ind w:left="426" w:hanging="426"/>
        <w:rPr>
          <w:rFonts w:cstheme="minorHAnsi"/>
          <w:noProof/>
          <w:lang w:val="es-ES"/>
        </w:rPr>
      </w:pPr>
      <w:r w:rsidRPr="00961B6E">
        <w:rPr>
          <w:rFonts w:ascii="Calibri" w:hAnsi="Calibri" w:cs="Calibri"/>
          <w:noProof/>
          <w:lang w:val="es-ES"/>
        </w:rPr>
        <w:t>5.</w:t>
      </w:r>
      <w:r w:rsidRPr="00961B6E">
        <w:rPr>
          <w:rFonts w:ascii="Calibri" w:hAnsi="Calibri" w:cs="Calibri"/>
          <w:noProof/>
          <w:lang w:val="es-ES"/>
        </w:rPr>
        <w:tab/>
      </w:r>
      <w:r w:rsidR="007A2764" w:rsidRPr="00961B6E">
        <w:rPr>
          <w:rFonts w:cstheme="minorHAnsi"/>
          <w:noProof/>
          <w:lang w:val="es-ES"/>
        </w:rPr>
        <w:t xml:space="preserve">Por motivos de </w:t>
      </w:r>
      <w:r w:rsidR="00F941D3" w:rsidRPr="00961B6E">
        <w:rPr>
          <w:rFonts w:cstheme="minorHAnsi"/>
          <w:noProof/>
          <w:lang w:val="es-ES"/>
        </w:rPr>
        <w:t>congruencia y comparación</w:t>
      </w:r>
      <w:r w:rsidR="007A2764" w:rsidRPr="00961B6E">
        <w:rPr>
          <w:rFonts w:cstheme="minorHAnsi"/>
          <w:noProof/>
          <w:lang w:val="es-ES"/>
        </w:rPr>
        <w:t xml:space="preserve">, el </w:t>
      </w:r>
      <w:r w:rsidR="00FD75C0" w:rsidRPr="00961B6E">
        <w:rPr>
          <w:rFonts w:cstheme="minorHAnsi"/>
          <w:noProof/>
          <w:lang w:val="es-ES"/>
        </w:rPr>
        <w:t>g</w:t>
      </w:r>
      <w:r w:rsidR="009E68BA" w:rsidRPr="00961B6E">
        <w:rPr>
          <w:rFonts w:cstheme="minorHAnsi"/>
          <w:noProof/>
          <w:lang w:val="es-ES"/>
        </w:rPr>
        <w:t xml:space="preserve">rupo de </w:t>
      </w:r>
      <w:r w:rsidR="00FE402D" w:rsidRPr="00961B6E">
        <w:rPr>
          <w:rFonts w:cstheme="minorHAnsi"/>
          <w:noProof/>
          <w:lang w:val="es-ES"/>
        </w:rPr>
        <w:t>t</w:t>
      </w:r>
      <w:r w:rsidR="009E68BA" w:rsidRPr="00961B6E">
        <w:rPr>
          <w:rFonts w:cstheme="minorHAnsi"/>
          <w:noProof/>
          <w:lang w:val="es-ES"/>
        </w:rPr>
        <w:t xml:space="preserve">rabajo propuso que los elementos </w:t>
      </w:r>
      <w:r w:rsidR="00D35DCF" w:rsidRPr="00961B6E">
        <w:rPr>
          <w:rFonts w:cstheme="minorHAnsi"/>
          <w:noProof/>
          <w:lang w:val="es-ES"/>
        </w:rPr>
        <w:t>principales</w:t>
      </w:r>
      <w:r w:rsidR="009E68BA" w:rsidRPr="00961B6E">
        <w:rPr>
          <w:rFonts w:cstheme="minorHAnsi"/>
          <w:noProof/>
          <w:lang w:val="es-ES"/>
        </w:rPr>
        <w:t xml:space="preserve"> del Cuarto Plan Estratégico se </w:t>
      </w:r>
      <w:r w:rsidR="0030493B" w:rsidRPr="00961B6E">
        <w:rPr>
          <w:rFonts w:cstheme="minorHAnsi"/>
          <w:noProof/>
          <w:lang w:val="es-ES"/>
        </w:rPr>
        <w:t>conservaran</w:t>
      </w:r>
      <w:r w:rsidR="009E68BA" w:rsidRPr="00961B6E">
        <w:rPr>
          <w:rFonts w:cstheme="minorHAnsi"/>
          <w:noProof/>
          <w:lang w:val="es-ES"/>
        </w:rPr>
        <w:t xml:space="preserve"> en el Quinto Plan Estratégico y que la Perspectiva </w:t>
      </w:r>
      <w:r w:rsidR="00E86D42" w:rsidRPr="00961B6E">
        <w:rPr>
          <w:rFonts w:cstheme="minorHAnsi"/>
          <w:noProof/>
          <w:lang w:val="es-ES"/>
        </w:rPr>
        <w:t>m</w:t>
      </w:r>
      <w:r w:rsidR="009E68BA" w:rsidRPr="00961B6E">
        <w:rPr>
          <w:rFonts w:cstheme="minorHAnsi"/>
          <w:noProof/>
          <w:lang w:val="es-ES"/>
        </w:rPr>
        <w:t xml:space="preserve">undial sobre los </w:t>
      </w:r>
      <w:r w:rsidR="00E86D42" w:rsidRPr="00961B6E">
        <w:rPr>
          <w:rFonts w:cstheme="minorHAnsi"/>
          <w:noProof/>
          <w:lang w:val="es-ES"/>
        </w:rPr>
        <w:t>h</w:t>
      </w:r>
      <w:r w:rsidR="009E68BA" w:rsidRPr="00961B6E">
        <w:rPr>
          <w:rFonts w:cstheme="minorHAnsi"/>
          <w:noProof/>
          <w:lang w:val="es-ES"/>
        </w:rPr>
        <w:t xml:space="preserve">umedales y el </w:t>
      </w:r>
      <w:r w:rsidR="00ED1C94" w:rsidRPr="00961B6E">
        <w:rPr>
          <w:rFonts w:cstheme="minorHAnsi"/>
          <w:noProof/>
          <w:lang w:val="es-ES"/>
        </w:rPr>
        <w:t>I</w:t>
      </w:r>
      <w:r w:rsidR="009E68BA" w:rsidRPr="00961B6E">
        <w:rPr>
          <w:rFonts w:cstheme="minorHAnsi"/>
          <w:noProof/>
          <w:lang w:val="es-ES"/>
        </w:rPr>
        <w:t xml:space="preserve">nforme </w:t>
      </w:r>
      <w:r w:rsidR="00ED1C94" w:rsidRPr="00961B6E">
        <w:rPr>
          <w:rFonts w:cstheme="minorHAnsi"/>
          <w:noProof/>
          <w:lang w:val="es-ES"/>
        </w:rPr>
        <w:t>sobre la</w:t>
      </w:r>
      <w:r w:rsidR="009E68BA" w:rsidRPr="00961B6E">
        <w:rPr>
          <w:rFonts w:cstheme="minorHAnsi"/>
          <w:noProof/>
          <w:lang w:val="es-ES"/>
        </w:rPr>
        <w:t xml:space="preserve"> aplicación</w:t>
      </w:r>
      <w:r w:rsidR="00ED1C94" w:rsidRPr="00961B6E">
        <w:rPr>
          <w:rFonts w:cstheme="minorHAnsi"/>
          <w:noProof/>
          <w:lang w:val="es-ES"/>
        </w:rPr>
        <w:t xml:space="preserve"> de la Convención a escala</w:t>
      </w:r>
      <w:r w:rsidR="009E68BA" w:rsidRPr="00961B6E">
        <w:rPr>
          <w:rFonts w:cstheme="minorHAnsi"/>
          <w:noProof/>
          <w:lang w:val="es-ES"/>
        </w:rPr>
        <w:t xml:space="preserve"> mundial, así como elementos externos a la Convención, el nuevo </w:t>
      </w:r>
      <w:r w:rsidR="004328A2" w:rsidRPr="00961B6E">
        <w:rPr>
          <w:rFonts w:cstheme="minorHAnsi"/>
          <w:noProof/>
          <w:lang w:val="es-ES"/>
        </w:rPr>
        <w:t>M</w:t>
      </w:r>
      <w:r w:rsidR="009E68BA" w:rsidRPr="00961B6E">
        <w:rPr>
          <w:rFonts w:cstheme="minorHAnsi"/>
          <w:noProof/>
          <w:lang w:val="es-ES"/>
        </w:rPr>
        <w:t xml:space="preserve">arco </w:t>
      </w:r>
      <w:r w:rsidR="004328A2" w:rsidRPr="00961B6E">
        <w:rPr>
          <w:rFonts w:cstheme="minorHAnsi"/>
          <w:noProof/>
          <w:lang w:val="es-ES"/>
        </w:rPr>
        <w:t>M</w:t>
      </w:r>
      <w:r w:rsidR="009E68BA" w:rsidRPr="00961B6E">
        <w:rPr>
          <w:rFonts w:cstheme="minorHAnsi"/>
          <w:noProof/>
          <w:lang w:val="es-ES"/>
        </w:rPr>
        <w:t xml:space="preserve">undial </w:t>
      </w:r>
      <w:r w:rsidR="0049290A" w:rsidRPr="00961B6E">
        <w:rPr>
          <w:rFonts w:cstheme="minorHAnsi"/>
          <w:noProof/>
          <w:lang w:val="es-ES"/>
        </w:rPr>
        <w:t>de</w:t>
      </w:r>
      <w:r w:rsidR="009E68BA" w:rsidRPr="00961B6E">
        <w:rPr>
          <w:rFonts w:cstheme="minorHAnsi"/>
          <w:noProof/>
          <w:lang w:val="es-ES"/>
        </w:rPr>
        <w:t xml:space="preserve"> la </w:t>
      </w:r>
      <w:r w:rsidR="004328A2" w:rsidRPr="00961B6E">
        <w:rPr>
          <w:rFonts w:cstheme="minorHAnsi"/>
          <w:noProof/>
          <w:lang w:val="es-ES"/>
        </w:rPr>
        <w:lastRenderedPageBreak/>
        <w:t>D</w:t>
      </w:r>
      <w:r w:rsidR="009E68BA" w:rsidRPr="00961B6E">
        <w:rPr>
          <w:rFonts w:cstheme="minorHAnsi"/>
          <w:noProof/>
          <w:lang w:val="es-ES"/>
        </w:rPr>
        <w:t xml:space="preserve">iversidad </w:t>
      </w:r>
      <w:r w:rsidR="004328A2" w:rsidRPr="00961B6E">
        <w:rPr>
          <w:rFonts w:cstheme="minorHAnsi"/>
          <w:noProof/>
          <w:lang w:val="es-ES"/>
        </w:rPr>
        <w:t>B</w:t>
      </w:r>
      <w:r w:rsidR="009E68BA" w:rsidRPr="00961B6E">
        <w:rPr>
          <w:rFonts w:cstheme="minorHAnsi"/>
          <w:noProof/>
          <w:lang w:val="es-ES"/>
        </w:rPr>
        <w:t xml:space="preserve">iológica, los Objetivos de Desarrollo Sostenible y </w:t>
      </w:r>
      <w:r w:rsidR="007A2764" w:rsidRPr="00961B6E">
        <w:rPr>
          <w:rFonts w:cstheme="minorHAnsi"/>
          <w:noProof/>
          <w:lang w:val="es-ES"/>
        </w:rPr>
        <w:t>todo</w:t>
      </w:r>
      <w:r w:rsidR="009E68BA" w:rsidRPr="00961B6E">
        <w:rPr>
          <w:rFonts w:cstheme="minorHAnsi"/>
          <w:noProof/>
          <w:lang w:val="es-ES"/>
        </w:rPr>
        <w:t xml:space="preserve"> trabajo pertinente de la IPBES o el IPCC</w:t>
      </w:r>
      <w:r w:rsidR="007A2764" w:rsidRPr="00961B6E">
        <w:rPr>
          <w:rFonts w:cstheme="minorHAnsi"/>
          <w:noProof/>
          <w:lang w:val="es-ES"/>
        </w:rPr>
        <w:t xml:space="preserve"> en el futuro</w:t>
      </w:r>
      <w:r w:rsidR="00F941D3" w:rsidRPr="00961B6E">
        <w:rPr>
          <w:rFonts w:cstheme="minorHAnsi"/>
          <w:noProof/>
          <w:lang w:val="es-ES"/>
        </w:rPr>
        <w:t>,</w:t>
      </w:r>
      <w:r w:rsidR="009E68BA" w:rsidRPr="00961B6E">
        <w:rPr>
          <w:rFonts w:cstheme="minorHAnsi"/>
          <w:noProof/>
          <w:lang w:val="es-ES"/>
        </w:rPr>
        <w:t xml:space="preserve"> </w:t>
      </w:r>
      <w:r w:rsidR="00F941D3" w:rsidRPr="00961B6E">
        <w:rPr>
          <w:rFonts w:cstheme="minorHAnsi"/>
          <w:noProof/>
          <w:lang w:val="es-ES"/>
        </w:rPr>
        <w:t>sirvieran</w:t>
      </w:r>
      <w:r w:rsidR="009E68BA" w:rsidRPr="00961B6E">
        <w:rPr>
          <w:rFonts w:cstheme="minorHAnsi"/>
          <w:noProof/>
          <w:lang w:val="es-ES"/>
        </w:rPr>
        <w:t xml:space="preserve"> para </w:t>
      </w:r>
      <w:r w:rsidR="007A2764" w:rsidRPr="00961B6E">
        <w:rPr>
          <w:rFonts w:cstheme="minorHAnsi"/>
          <w:noProof/>
          <w:lang w:val="es-ES"/>
        </w:rPr>
        <w:t>fundamentar</w:t>
      </w:r>
      <w:r w:rsidR="009E68BA" w:rsidRPr="00961B6E">
        <w:rPr>
          <w:rFonts w:cstheme="minorHAnsi"/>
          <w:noProof/>
          <w:lang w:val="es-ES"/>
        </w:rPr>
        <w:t xml:space="preserve"> el nuevo plan.</w:t>
      </w:r>
    </w:p>
    <w:p w14:paraId="44291EEC" w14:textId="1B0FCEBF" w:rsidR="00D618E6" w:rsidRPr="00961B6E" w:rsidRDefault="00D618E6" w:rsidP="00DA1EB3">
      <w:pPr>
        <w:rPr>
          <w:rFonts w:cstheme="minorHAnsi"/>
          <w:noProof/>
          <w:lang w:val="es-ES"/>
        </w:rPr>
      </w:pPr>
    </w:p>
    <w:p w14:paraId="57CF6E02" w14:textId="4D042391" w:rsidR="00F941D3" w:rsidRPr="00961B6E" w:rsidRDefault="00854615" w:rsidP="00DA1EB3">
      <w:pPr>
        <w:ind w:left="426" w:hanging="426"/>
        <w:rPr>
          <w:noProof/>
          <w:lang w:val="es-ES"/>
        </w:rPr>
      </w:pPr>
      <w:r w:rsidRPr="00961B6E">
        <w:rPr>
          <w:noProof/>
          <w:lang w:val="es-ES"/>
        </w:rPr>
        <w:t>6.</w:t>
      </w:r>
      <w:r w:rsidRPr="00961B6E">
        <w:rPr>
          <w:noProof/>
          <w:lang w:val="es-ES"/>
        </w:rPr>
        <w:tab/>
      </w:r>
      <w:r w:rsidR="00E8290F" w:rsidRPr="00961B6E">
        <w:rPr>
          <w:noProof/>
          <w:lang w:val="es-ES"/>
        </w:rPr>
        <w:t xml:space="preserve">En su reunión SC59, el Comité Permanente invitó al </w:t>
      </w:r>
      <w:r w:rsidR="00FD75C0" w:rsidRPr="00961B6E">
        <w:rPr>
          <w:noProof/>
          <w:lang w:val="es-ES"/>
        </w:rPr>
        <w:t>g</w:t>
      </w:r>
      <w:r w:rsidR="00E8290F" w:rsidRPr="00961B6E">
        <w:rPr>
          <w:noProof/>
          <w:lang w:val="es-ES"/>
        </w:rPr>
        <w:t xml:space="preserve">rupo de </w:t>
      </w:r>
      <w:r w:rsidR="00FE402D" w:rsidRPr="00961B6E">
        <w:rPr>
          <w:noProof/>
          <w:lang w:val="es-ES"/>
        </w:rPr>
        <w:t>t</w:t>
      </w:r>
      <w:r w:rsidR="00E8290F" w:rsidRPr="00961B6E">
        <w:rPr>
          <w:noProof/>
          <w:lang w:val="es-ES"/>
        </w:rPr>
        <w:t>rabajo a recomendar a la COP14 lo siguiente:</w:t>
      </w:r>
    </w:p>
    <w:p w14:paraId="7DDA0AB8" w14:textId="2B81CBDC" w:rsidR="00B64122" w:rsidRPr="00961B6E" w:rsidRDefault="00E8290F" w:rsidP="00DA1EB3">
      <w:pPr>
        <w:rPr>
          <w:noProof/>
          <w:lang w:val="es-ES"/>
        </w:rPr>
      </w:pPr>
      <w:r w:rsidRPr="00961B6E">
        <w:rPr>
          <w:noProof/>
          <w:lang w:val="es-ES"/>
        </w:rPr>
        <w:t xml:space="preserve"> </w:t>
      </w:r>
    </w:p>
    <w:p w14:paraId="545DC7B1" w14:textId="3354FE10" w:rsidR="0095771C" w:rsidRPr="00961B6E" w:rsidRDefault="00E8290F" w:rsidP="00DA1EB3">
      <w:pPr>
        <w:pStyle w:val="ListParagraph"/>
        <w:numPr>
          <w:ilvl w:val="0"/>
          <w:numId w:val="35"/>
        </w:numPr>
        <w:spacing w:after="0" w:line="240" w:lineRule="auto"/>
        <w:ind w:left="851" w:hanging="425"/>
        <w:rPr>
          <w:noProof/>
          <w:lang w:val="es-ES"/>
        </w:rPr>
      </w:pPr>
      <w:r w:rsidRPr="00961B6E">
        <w:rPr>
          <w:noProof/>
          <w:lang w:val="es-ES"/>
        </w:rPr>
        <w:t xml:space="preserve">agregar anexos temáticos al Cuarto Plan Estratégico </w:t>
      </w:r>
      <w:r w:rsidR="001D7D50" w:rsidRPr="00961B6E">
        <w:rPr>
          <w:noProof/>
          <w:lang w:val="es-ES"/>
        </w:rPr>
        <w:t>sobre</w:t>
      </w:r>
      <w:r w:rsidRPr="00961B6E">
        <w:rPr>
          <w:noProof/>
          <w:lang w:val="es-ES"/>
        </w:rPr>
        <w:t xml:space="preserve"> cuestiones emergentes y de </w:t>
      </w:r>
      <w:r w:rsidR="001D7D50" w:rsidRPr="00961B6E">
        <w:rPr>
          <w:noProof/>
          <w:lang w:val="es-ES"/>
        </w:rPr>
        <w:t>otra índole</w:t>
      </w:r>
      <w:r w:rsidRPr="00961B6E">
        <w:rPr>
          <w:noProof/>
          <w:lang w:val="es-ES"/>
        </w:rPr>
        <w:t xml:space="preserve">, </w:t>
      </w:r>
      <w:r w:rsidR="001D7D50" w:rsidRPr="00961B6E">
        <w:rPr>
          <w:noProof/>
          <w:lang w:val="es-ES"/>
        </w:rPr>
        <w:t>indicando</w:t>
      </w:r>
      <w:r w:rsidRPr="00961B6E">
        <w:rPr>
          <w:noProof/>
          <w:lang w:val="es-ES"/>
        </w:rPr>
        <w:t xml:space="preserve"> que el</w:t>
      </w:r>
      <w:r w:rsidR="001D7D50" w:rsidRPr="00961B6E">
        <w:rPr>
          <w:noProof/>
          <w:lang w:val="es-ES"/>
        </w:rPr>
        <w:t xml:space="preserve"> actual</w:t>
      </w:r>
      <w:r w:rsidRPr="00961B6E">
        <w:rPr>
          <w:noProof/>
          <w:lang w:val="es-ES"/>
        </w:rPr>
        <w:t xml:space="preserve"> </w:t>
      </w:r>
      <w:r w:rsidR="001D7D50" w:rsidRPr="00961B6E">
        <w:rPr>
          <w:noProof/>
          <w:lang w:val="es-ES"/>
        </w:rPr>
        <w:t>a</w:t>
      </w:r>
      <w:r w:rsidRPr="00961B6E">
        <w:rPr>
          <w:noProof/>
          <w:lang w:val="es-ES"/>
        </w:rPr>
        <w:t xml:space="preserve">nexo 2 se actualizará para </w:t>
      </w:r>
      <w:r w:rsidR="001D7D50" w:rsidRPr="00961B6E">
        <w:rPr>
          <w:noProof/>
          <w:lang w:val="es-ES"/>
        </w:rPr>
        <w:t>establecer una correspondencia entre</w:t>
      </w:r>
      <w:r w:rsidRPr="00961B6E">
        <w:rPr>
          <w:noProof/>
          <w:lang w:val="es-ES"/>
        </w:rPr>
        <w:t xml:space="preserve"> las </w:t>
      </w:r>
      <w:r w:rsidR="001D7D50" w:rsidRPr="00961B6E">
        <w:rPr>
          <w:noProof/>
          <w:lang w:val="es-ES"/>
        </w:rPr>
        <w:t>m</w:t>
      </w:r>
      <w:r w:rsidRPr="00961B6E">
        <w:rPr>
          <w:noProof/>
          <w:lang w:val="es-ES"/>
        </w:rPr>
        <w:t xml:space="preserve">etas de </w:t>
      </w:r>
      <w:r w:rsidR="00410B04">
        <w:rPr>
          <w:noProof/>
          <w:lang w:val="es-ES"/>
        </w:rPr>
        <w:t>Ramsar</w:t>
      </w:r>
      <w:r w:rsidRPr="00961B6E">
        <w:rPr>
          <w:noProof/>
          <w:lang w:val="es-ES"/>
        </w:rPr>
        <w:t xml:space="preserve"> </w:t>
      </w:r>
      <w:r w:rsidR="001D7D50" w:rsidRPr="00961B6E">
        <w:rPr>
          <w:noProof/>
          <w:lang w:val="es-ES"/>
        </w:rPr>
        <w:t>y</w:t>
      </w:r>
      <w:r w:rsidRPr="00961B6E">
        <w:rPr>
          <w:noProof/>
          <w:lang w:val="es-ES"/>
        </w:rPr>
        <w:t xml:space="preserve"> los </w:t>
      </w:r>
      <w:r w:rsidR="001D7D50" w:rsidRPr="00961B6E">
        <w:rPr>
          <w:noProof/>
          <w:lang w:val="es-ES"/>
        </w:rPr>
        <w:t>o</w:t>
      </w:r>
      <w:r w:rsidRPr="00961B6E">
        <w:rPr>
          <w:noProof/>
          <w:lang w:val="es-ES"/>
        </w:rPr>
        <w:t xml:space="preserve">bjetivos e </w:t>
      </w:r>
      <w:r w:rsidR="001D7D50" w:rsidRPr="00961B6E">
        <w:rPr>
          <w:noProof/>
          <w:lang w:val="es-ES"/>
        </w:rPr>
        <w:t>i</w:t>
      </w:r>
      <w:r w:rsidRPr="00961B6E">
        <w:rPr>
          <w:noProof/>
          <w:lang w:val="es-ES"/>
        </w:rPr>
        <w:t xml:space="preserve">ndicadores </w:t>
      </w:r>
      <w:r w:rsidR="001D7D50" w:rsidRPr="00961B6E">
        <w:rPr>
          <w:noProof/>
          <w:lang w:val="es-ES"/>
        </w:rPr>
        <w:t xml:space="preserve">del </w:t>
      </w:r>
      <w:r w:rsidR="00C21961" w:rsidRPr="00961B6E">
        <w:rPr>
          <w:rFonts w:cstheme="minorHAnsi"/>
          <w:noProof/>
          <w:lang w:val="es-ES"/>
        </w:rPr>
        <w:t>Marco Mundial de la Diversidad Biológica</w:t>
      </w:r>
      <w:r w:rsidR="00C21961" w:rsidRPr="00961B6E">
        <w:rPr>
          <w:noProof/>
          <w:lang w:val="es-ES"/>
        </w:rPr>
        <w:t xml:space="preserve"> </w:t>
      </w:r>
      <w:r w:rsidR="001D7D50" w:rsidRPr="00961B6E">
        <w:rPr>
          <w:noProof/>
          <w:lang w:val="es-ES"/>
        </w:rPr>
        <w:t xml:space="preserve">posterior a </w:t>
      </w:r>
      <w:r w:rsidRPr="00961B6E">
        <w:rPr>
          <w:noProof/>
          <w:lang w:val="es-ES"/>
        </w:rPr>
        <w:t xml:space="preserve">2020 </w:t>
      </w:r>
      <w:r w:rsidR="001D7D50" w:rsidRPr="00961B6E">
        <w:rPr>
          <w:noProof/>
          <w:lang w:val="es-ES"/>
        </w:rPr>
        <w:t>una vez que estos se hayan definido</w:t>
      </w:r>
      <w:r w:rsidRPr="00961B6E">
        <w:rPr>
          <w:noProof/>
          <w:lang w:val="es-ES"/>
        </w:rPr>
        <w:t xml:space="preserve"> (Decisión SC59-16)</w:t>
      </w:r>
      <w:r w:rsidR="0030236E" w:rsidRPr="00961B6E">
        <w:rPr>
          <w:noProof/>
          <w:lang w:val="es-ES"/>
        </w:rPr>
        <w:t>;</w:t>
      </w:r>
    </w:p>
    <w:p w14:paraId="56D8917D" w14:textId="16D5CB03" w:rsidR="0030236E" w:rsidRPr="00961B6E" w:rsidRDefault="00BF510A" w:rsidP="00DA1EB3">
      <w:pPr>
        <w:pStyle w:val="ListParagraph"/>
        <w:numPr>
          <w:ilvl w:val="0"/>
          <w:numId w:val="35"/>
        </w:numPr>
        <w:spacing w:after="0" w:line="240" w:lineRule="auto"/>
        <w:ind w:left="851" w:hanging="425"/>
        <w:rPr>
          <w:noProof/>
          <w:lang w:val="es-ES"/>
        </w:rPr>
      </w:pPr>
      <w:r w:rsidRPr="00961B6E">
        <w:rPr>
          <w:noProof/>
          <w:lang w:val="es-ES"/>
        </w:rPr>
        <w:t xml:space="preserve">definir </w:t>
      </w:r>
      <w:r w:rsidR="0030236E" w:rsidRPr="00961B6E">
        <w:rPr>
          <w:noProof/>
          <w:lang w:val="es-ES"/>
        </w:rPr>
        <w:t>los elementos básicos para la preparación de un</w:t>
      </w:r>
      <w:r w:rsidRPr="00961B6E">
        <w:rPr>
          <w:noProof/>
          <w:lang w:val="es-ES"/>
        </w:rPr>
        <w:t xml:space="preserve">a propuesta de marco </w:t>
      </w:r>
      <w:r w:rsidR="0030236E" w:rsidRPr="00961B6E">
        <w:rPr>
          <w:noProof/>
          <w:lang w:val="es-ES"/>
        </w:rPr>
        <w:t xml:space="preserve">para el </w:t>
      </w:r>
      <w:r w:rsidRPr="00961B6E">
        <w:rPr>
          <w:noProof/>
          <w:lang w:val="es-ES"/>
        </w:rPr>
        <w:t>Quinto Plan Estratégico (Decisión SC59-18); y</w:t>
      </w:r>
    </w:p>
    <w:p w14:paraId="53674204" w14:textId="65EB2844" w:rsidR="001B4DD5" w:rsidRPr="00961B6E" w:rsidRDefault="001B4DD5" w:rsidP="00DA1EB3">
      <w:pPr>
        <w:pStyle w:val="ListParagraph"/>
        <w:numPr>
          <w:ilvl w:val="0"/>
          <w:numId w:val="35"/>
        </w:numPr>
        <w:spacing w:after="0" w:line="240" w:lineRule="auto"/>
        <w:ind w:left="851" w:hanging="425"/>
        <w:rPr>
          <w:noProof/>
          <w:lang w:val="es-ES"/>
        </w:rPr>
      </w:pPr>
      <w:r w:rsidRPr="00961B6E">
        <w:rPr>
          <w:noProof/>
          <w:lang w:val="es-ES"/>
        </w:rPr>
        <w:t xml:space="preserve">prorrogar el período de vigencia del Cuarto Plan Estratégico desde 2024 hasta la COP15, a fin de garantizar la continuidad </w:t>
      </w:r>
      <w:r w:rsidR="004F3FEC">
        <w:rPr>
          <w:noProof/>
          <w:lang w:val="es-ES"/>
        </w:rPr>
        <w:t>entre</w:t>
      </w:r>
      <w:r w:rsidRPr="00961B6E">
        <w:rPr>
          <w:noProof/>
          <w:lang w:val="es-ES"/>
        </w:rPr>
        <w:t xml:space="preserve"> los planes sucesivos (Decisión SC59-19)</w:t>
      </w:r>
      <w:r w:rsidR="004F3FEC">
        <w:rPr>
          <w:noProof/>
          <w:lang w:val="es-ES"/>
        </w:rPr>
        <w:t>.</w:t>
      </w:r>
      <w:r w:rsidRPr="00961B6E">
        <w:rPr>
          <w:noProof/>
          <w:lang w:val="es-ES"/>
        </w:rPr>
        <w:t xml:space="preserve"> </w:t>
      </w:r>
    </w:p>
    <w:p w14:paraId="4B0EC6EA" w14:textId="77777777" w:rsidR="00B64122" w:rsidRPr="00961B6E" w:rsidRDefault="00B64122" w:rsidP="00DA1EB3">
      <w:pPr>
        <w:rPr>
          <w:noProof/>
          <w:lang w:val="es-ES"/>
        </w:rPr>
      </w:pPr>
    </w:p>
    <w:p w14:paraId="696510F4" w14:textId="5BEF3E4D" w:rsidR="00BF510A" w:rsidRPr="004F3FEC" w:rsidRDefault="003B5419" w:rsidP="00DA1EB3">
      <w:pPr>
        <w:ind w:left="426" w:hanging="426"/>
        <w:rPr>
          <w:rFonts w:cstheme="minorHAnsi"/>
          <w:iCs/>
          <w:noProof/>
          <w:color w:val="000000" w:themeColor="text1"/>
          <w:lang w:val="es-ES"/>
        </w:rPr>
      </w:pPr>
      <w:r w:rsidRPr="00961B6E">
        <w:rPr>
          <w:noProof/>
          <w:lang w:val="es-ES"/>
        </w:rPr>
        <w:t>7.</w:t>
      </w:r>
      <w:r w:rsidRPr="00961B6E">
        <w:rPr>
          <w:noProof/>
          <w:lang w:val="es-ES"/>
        </w:rPr>
        <w:tab/>
      </w:r>
      <w:r w:rsidR="001B4DD5" w:rsidRPr="00961B6E">
        <w:rPr>
          <w:noProof/>
          <w:lang w:val="es-ES"/>
        </w:rPr>
        <w:t xml:space="preserve">Además, </w:t>
      </w:r>
      <w:r w:rsidR="001B4DD5" w:rsidRPr="00961B6E">
        <w:rPr>
          <w:rFonts w:ascii="Calibri" w:hAnsi="Calibri" w:cs="Calibri"/>
          <w:noProof/>
          <w:lang w:val="es-ES" w:eastAsia="es-ES_tradnl"/>
        </w:rPr>
        <w:t xml:space="preserve">el Comité Permanente acordó que las orientaciones y herramientas existentes se comunicaran a las Partes Contratantes para apoyar la aplicación del Cuarto Plan Estratégico en el año que falta para la COP14, dependiendo de la capacidad disponible en la Secretaría </w:t>
      </w:r>
      <w:r w:rsidR="001B4DD5" w:rsidRPr="00961B6E">
        <w:rPr>
          <w:noProof/>
          <w:lang w:val="es-ES"/>
        </w:rPr>
        <w:t xml:space="preserve">(Decisión </w:t>
      </w:r>
      <w:r w:rsidR="001B4DD5" w:rsidRPr="004F3FEC">
        <w:rPr>
          <w:noProof/>
          <w:color w:val="000000" w:themeColor="text1"/>
          <w:lang w:val="es-ES"/>
        </w:rPr>
        <w:t>SC59-17).</w:t>
      </w:r>
      <w:r w:rsidR="00BF510A" w:rsidRPr="004F3FEC">
        <w:rPr>
          <w:noProof/>
          <w:color w:val="000000" w:themeColor="text1"/>
          <w:lang w:val="es-ES"/>
        </w:rPr>
        <w:t xml:space="preserve"> </w:t>
      </w:r>
      <w:r w:rsidR="00BF510A" w:rsidRPr="004F3FEC">
        <w:rPr>
          <w:rFonts w:cstheme="minorHAnsi"/>
          <w:iCs/>
          <w:noProof/>
          <w:color w:val="000000" w:themeColor="text1"/>
          <w:lang w:val="es-ES"/>
        </w:rPr>
        <w:t xml:space="preserve">El 7 de febrero de 2022, la Secretaría informó a las Partes Contratantes sobre las orientaciones y herramientas disponibles para apoyar la aplicación del Cuarto Plan Estratégico. La comunicación de la Secretaría contenía hipervínculos para facilitar el acceso a las herramientas y documentos de orientación pertinentes a fin de contribuir a la aplicación de </w:t>
      </w:r>
      <w:r w:rsidR="004F3FEC" w:rsidRPr="004F3FEC">
        <w:rPr>
          <w:rFonts w:cstheme="minorHAnsi"/>
          <w:iCs/>
          <w:noProof/>
          <w:color w:val="000000" w:themeColor="text1"/>
          <w:lang w:val="es-ES"/>
        </w:rPr>
        <w:t>metas</w:t>
      </w:r>
      <w:r w:rsidR="00BF510A" w:rsidRPr="004F3FEC">
        <w:rPr>
          <w:rFonts w:cstheme="minorHAnsi"/>
          <w:iCs/>
          <w:noProof/>
          <w:color w:val="000000" w:themeColor="text1"/>
          <w:lang w:val="es-ES"/>
        </w:rPr>
        <w:t xml:space="preserve"> específic</w:t>
      </w:r>
      <w:r w:rsidR="004F3FEC" w:rsidRPr="004F3FEC">
        <w:rPr>
          <w:rFonts w:cstheme="minorHAnsi"/>
          <w:iCs/>
          <w:noProof/>
          <w:color w:val="000000" w:themeColor="text1"/>
          <w:lang w:val="es-ES"/>
        </w:rPr>
        <w:t>a</w:t>
      </w:r>
      <w:r w:rsidR="00BF510A" w:rsidRPr="004F3FEC">
        <w:rPr>
          <w:rFonts w:cstheme="minorHAnsi"/>
          <w:iCs/>
          <w:noProof/>
          <w:color w:val="000000" w:themeColor="text1"/>
          <w:lang w:val="es-ES"/>
        </w:rPr>
        <w:t>s durante el período restante del Cuarto Plan Estratégico.</w:t>
      </w:r>
    </w:p>
    <w:p w14:paraId="74EC92D1" w14:textId="77777777" w:rsidR="00BF510A" w:rsidRPr="004F3FEC" w:rsidRDefault="00BF510A" w:rsidP="00DA1EB3">
      <w:pPr>
        <w:ind w:left="426" w:hanging="426"/>
        <w:rPr>
          <w:rFonts w:cstheme="minorHAnsi"/>
          <w:iCs/>
          <w:noProof/>
          <w:color w:val="000000" w:themeColor="text1"/>
          <w:lang w:val="es-ES"/>
        </w:rPr>
      </w:pPr>
    </w:p>
    <w:p w14:paraId="01E7A1C3" w14:textId="55ACFC61" w:rsidR="00BF510A" w:rsidRPr="00961B6E" w:rsidRDefault="00BF510A" w:rsidP="00BF510A">
      <w:pPr>
        <w:ind w:left="426" w:hanging="426"/>
        <w:rPr>
          <w:rFonts w:cstheme="minorHAnsi"/>
          <w:lang w:val="es-ES"/>
        </w:rPr>
      </w:pPr>
      <w:r w:rsidRPr="00961B6E">
        <w:rPr>
          <w:lang w:val="es-ES"/>
        </w:rPr>
        <w:t xml:space="preserve">8.     Mediante la Decisión </w:t>
      </w:r>
      <w:r w:rsidRPr="00961B6E">
        <w:rPr>
          <w:rFonts w:cstheme="minorHAnsi"/>
          <w:lang w:val="es-ES"/>
        </w:rPr>
        <w:t xml:space="preserve">SC59-20, el Comité Permanente estableció un nuevo grupo de trabajo compuesto por Partes Contratantes, el GECT y Organizaciones Internacionales Asociadas para comenzar a preparar el Quinto Plan Estratégico de la Convención de Ramsar. </w:t>
      </w:r>
      <w:r w:rsidR="00F81DC1" w:rsidRPr="00F81DC1">
        <w:rPr>
          <w:rFonts w:cstheme="minorHAnsi"/>
          <w:color w:val="000000" w:themeColor="text1"/>
          <w:lang w:val="es-ES"/>
        </w:rPr>
        <w:t xml:space="preserve">Determinó </w:t>
      </w:r>
      <w:r w:rsidR="005D7E45" w:rsidRPr="00F81DC1">
        <w:rPr>
          <w:rFonts w:cstheme="minorHAnsi"/>
          <w:color w:val="000000" w:themeColor="text1"/>
          <w:lang w:val="es-ES"/>
        </w:rPr>
        <w:t xml:space="preserve">que el mandato y plan de </w:t>
      </w:r>
      <w:r w:rsidR="00F81DC1" w:rsidRPr="00F81DC1">
        <w:rPr>
          <w:rFonts w:cstheme="minorHAnsi"/>
          <w:color w:val="000000" w:themeColor="text1"/>
          <w:lang w:val="es-ES"/>
        </w:rPr>
        <w:t>trabajo</w:t>
      </w:r>
      <w:r w:rsidR="005D7E45" w:rsidRPr="00F81DC1">
        <w:rPr>
          <w:rFonts w:cstheme="minorHAnsi"/>
          <w:color w:val="000000" w:themeColor="text1"/>
          <w:lang w:val="es-ES"/>
        </w:rPr>
        <w:t xml:space="preserve"> del grupo </w:t>
      </w:r>
      <w:r w:rsidR="00F81DC1">
        <w:rPr>
          <w:rFonts w:cstheme="minorHAnsi"/>
          <w:color w:val="000000" w:themeColor="text1"/>
          <w:lang w:val="es-ES"/>
        </w:rPr>
        <w:t>debían</w:t>
      </w:r>
      <w:r w:rsidR="005D7E45" w:rsidRPr="00F81DC1">
        <w:rPr>
          <w:rFonts w:cstheme="minorHAnsi"/>
          <w:color w:val="000000" w:themeColor="text1"/>
          <w:lang w:val="es-ES"/>
        </w:rPr>
        <w:t xml:space="preserve"> acordarse entre períodos de sesiones y </w:t>
      </w:r>
      <w:r w:rsidR="00F81DC1">
        <w:rPr>
          <w:rFonts w:cstheme="minorHAnsi"/>
          <w:color w:val="000000" w:themeColor="text1"/>
          <w:lang w:val="es-ES"/>
        </w:rPr>
        <w:t xml:space="preserve">elaborarse </w:t>
      </w:r>
      <w:r w:rsidR="00F81DC1" w:rsidRPr="00F81DC1">
        <w:rPr>
          <w:rFonts w:cstheme="minorHAnsi"/>
          <w:color w:val="000000" w:themeColor="text1"/>
          <w:lang w:val="es-ES"/>
        </w:rPr>
        <w:t>para</w:t>
      </w:r>
      <w:r w:rsidR="005D7E45" w:rsidRPr="00961B6E">
        <w:rPr>
          <w:rFonts w:cstheme="minorHAnsi"/>
          <w:lang w:val="es-ES"/>
        </w:rPr>
        <w:t xml:space="preserve"> tener en cuenta los </w:t>
      </w:r>
      <w:r w:rsidR="00F81DC1" w:rsidRPr="00961B6E">
        <w:rPr>
          <w:rFonts w:cstheme="minorHAnsi"/>
          <w:lang w:val="es-ES"/>
        </w:rPr>
        <w:t>elementos</w:t>
      </w:r>
      <w:r w:rsidR="005D7E45" w:rsidRPr="00961B6E">
        <w:rPr>
          <w:rFonts w:cstheme="minorHAnsi"/>
          <w:lang w:val="es-ES"/>
        </w:rPr>
        <w:t xml:space="preserve"> principales y los posibles elementos prioritarios </w:t>
      </w:r>
      <w:r w:rsidR="00F81DC1">
        <w:rPr>
          <w:rFonts w:cstheme="minorHAnsi"/>
          <w:lang w:val="es-ES"/>
        </w:rPr>
        <w:t xml:space="preserve">y modalidades </w:t>
      </w:r>
      <w:r w:rsidR="005D7E45" w:rsidRPr="00961B6E">
        <w:rPr>
          <w:rFonts w:cstheme="minorHAnsi"/>
          <w:lang w:val="es-ES"/>
        </w:rPr>
        <w:t xml:space="preserve">adicionales del Quinto Plan Estratégico que puedan </w:t>
      </w:r>
      <w:r w:rsidR="005D7E45" w:rsidRPr="00F81DC1">
        <w:rPr>
          <w:rFonts w:cstheme="minorHAnsi"/>
          <w:color w:val="000000" w:themeColor="text1"/>
          <w:lang w:val="es-ES"/>
        </w:rPr>
        <w:t xml:space="preserve">acordarse </w:t>
      </w:r>
      <w:r w:rsidR="005D7E45" w:rsidRPr="00961B6E">
        <w:rPr>
          <w:rFonts w:cstheme="minorHAnsi"/>
          <w:lang w:val="es-ES"/>
        </w:rPr>
        <w:t xml:space="preserve">en la </w:t>
      </w:r>
      <w:r w:rsidRPr="00961B6E">
        <w:rPr>
          <w:rFonts w:cstheme="minorHAnsi"/>
          <w:lang w:val="es-ES"/>
        </w:rPr>
        <w:t xml:space="preserve">COP14. </w:t>
      </w:r>
      <w:r w:rsidR="005D7E45" w:rsidRPr="00961B6E">
        <w:rPr>
          <w:rFonts w:cstheme="minorHAnsi"/>
          <w:lang w:val="es-ES"/>
        </w:rPr>
        <w:t xml:space="preserve">El Comité Permanente alentó a los miembros del Grupo de trabajo sobre el examen del </w:t>
      </w:r>
      <w:r w:rsidR="00F81DC1" w:rsidRPr="00961B6E">
        <w:rPr>
          <w:rFonts w:cstheme="minorHAnsi"/>
          <w:lang w:val="es-ES"/>
        </w:rPr>
        <w:t>Cuarto</w:t>
      </w:r>
      <w:r w:rsidR="005D7E45" w:rsidRPr="00961B6E">
        <w:rPr>
          <w:rFonts w:cstheme="minorHAnsi"/>
          <w:lang w:val="es-ES"/>
        </w:rPr>
        <w:t xml:space="preserve"> Plan Estratégico </w:t>
      </w:r>
      <w:r w:rsidR="00F81DC1">
        <w:rPr>
          <w:rFonts w:cstheme="minorHAnsi"/>
          <w:lang w:val="es-ES"/>
        </w:rPr>
        <w:t xml:space="preserve">a participar </w:t>
      </w:r>
      <w:r w:rsidR="005D7E45" w:rsidRPr="00961B6E">
        <w:rPr>
          <w:rFonts w:cstheme="minorHAnsi"/>
          <w:lang w:val="es-ES"/>
        </w:rPr>
        <w:t xml:space="preserve">en el nuevo grupo de trabajo </w:t>
      </w:r>
      <w:r w:rsidR="00F81DC1">
        <w:rPr>
          <w:rFonts w:cstheme="minorHAnsi"/>
          <w:lang w:val="es-ES"/>
        </w:rPr>
        <w:t>con fines de continuidad.</w:t>
      </w:r>
    </w:p>
    <w:p w14:paraId="2E35705C" w14:textId="77777777" w:rsidR="00BF510A" w:rsidRPr="00961B6E" w:rsidRDefault="00BF510A" w:rsidP="00BF510A">
      <w:pPr>
        <w:ind w:left="426" w:hanging="426"/>
        <w:rPr>
          <w:lang w:val="es-ES"/>
        </w:rPr>
      </w:pPr>
    </w:p>
    <w:p w14:paraId="53244DF1" w14:textId="0192FFE1" w:rsidR="00BF510A" w:rsidRPr="00961B6E" w:rsidRDefault="00BF510A" w:rsidP="00BF510A">
      <w:pPr>
        <w:ind w:left="426" w:hanging="426"/>
        <w:rPr>
          <w:lang w:val="es-ES"/>
        </w:rPr>
      </w:pPr>
      <w:r w:rsidRPr="00961B6E">
        <w:rPr>
          <w:lang w:val="es-ES"/>
        </w:rPr>
        <w:t xml:space="preserve">9.     </w:t>
      </w:r>
      <w:r w:rsidR="00FD2D53" w:rsidRPr="00961B6E">
        <w:rPr>
          <w:lang w:val="es-ES"/>
        </w:rPr>
        <w:t>De conformidad con la Decisión</w:t>
      </w:r>
      <w:r w:rsidRPr="00961B6E">
        <w:rPr>
          <w:lang w:val="es-ES"/>
        </w:rPr>
        <w:t xml:space="preserve"> SC59-20, </w:t>
      </w:r>
      <w:r w:rsidR="00FD2D53" w:rsidRPr="00961B6E">
        <w:rPr>
          <w:lang w:val="es-ES"/>
        </w:rPr>
        <w:t xml:space="preserve">la Secretaría publicó una convocatoria de candidaturas de miembros del nuevo grupo de trabajo. Las siguientes Partes expresaron su deseo de participar en este: Argelia, </w:t>
      </w:r>
      <w:r w:rsidRPr="00961B6E">
        <w:rPr>
          <w:lang w:val="es-ES"/>
        </w:rPr>
        <w:t xml:space="preserve">Australia, </w:t>
      </w:r>
      <w:r w:rsidRPr="00F81DC1">
        <w:rPr>
          <w:color w:val="000000" w:themeColor="text1"/>
          <w:lang w:val="es-ES"/>
        </w:rPr>
        <w:t>Bahr</w:t>
      </w:r>
      <w:r w:rsidR="00FD2D53" w:rsidRPr="00F81DC1">
        <w:rPr>
          <w:color w:val="000000" w:themeColor="text1"/>
          <w:lang w:val="es-ES"/>
        </w:rPr>
        <w:t>e</w:t>
      </w:r>
      <w:r w:rsidRPr="00F81DC1">
        <w:rPr>
          <w:color w:val="000000" w:themeColor="text1"/>
          <w:lang w:val="es-ES"/>
        </w:rPr>
        <w:t>in</w:t>
      </w:r>
      <w:r w:rsidRPr="00961B6E">
        <w:rPr>
          <w:lang w:val="es-ES"/>
        </w:rPr>
        <w:t>, Bra</w:t>
      </w:r>
      <w:r w:rsidR="00FD2D53" w:rsidRPr="00961B6E">
        <w:rPr>
          <w:lang w:val="es-ES"/>
        </w:rPr>
        <w:t>s</w:t>
      </w:r>
      <w:r w:rsidRPr="00961B6E">
        <w:rPr>
          <w:lang w:val="es-ES"/>
        </w:rPr>
        <w:t>il, Canad</w:t>
      </w:r>
      <w:r w:rsidR="00FD2D53" w:rsidRPr="00961B6E">
        <w:rPr>
          <w:lang w:val="es-ES"/>
        </w:rPr>
        <w:t>á</w:t>
      </w:r>
      <w:r w:rsidRPr="00961B6E">
        <w:rPr>
          <w:lang w:val="es-ES"/>
        </w:rPr>
        <w:t xml:space="preserve">, Chad, China, </w:t>
      </w:r>
      <w:r w:rsidR="00F81DC1" w:rsidRPr="00961B6E">
        <w:rPr>
          <w:lang w:val="es-ES"/>
        </w:rPr>
        <w:t>Eslovenia</w:t>
      </w:r>
      <w:r w:rsidR="00F81DC1">
        <w:rPr>
          <w:lang w:val="es-ES"/>
        </w:rPr>
        <w:t>,</w:t>
      </w:r>
      <w:r w:rsidR="00F81DC1" w:rsidRPr="00961B6E">
        <w:rPr>
          <w:lang w:val="es-ES"/>
        </w:rPr>
        <w:t xml:space="preserve"> </w:t>
      </w:r>
      <w:r w:rsidRPr="00961B6E">
        <w:rPr>
          <w:lang w:val="es-ES"/>
        </w:rPr>
        <w:t>Finland</w:t>
      </w:r>
      <w:r w:rsidR="00FD2D53" w:rsidRPr="00961B6E">
        <w:rPr>
          <w:lang w:val="es-ES"/>
        </w:rPr>
        <w:t xml:space="preserve">ia, </w:t>
      </w:r>
      <w:r w:rsidRPr="00961B6E">
        <w:rPr>
          <w:lang w:val="es-ES"/>
        </w:rPr>
        <w:t>Kenya, Mauri</w:t>
      </w:r>
      <w:r w:rsidR="00FD2D53" w:rsidRPr="00961B6E">
        <w:rPr>
          <w:lang w:val="es-ES"/>
        </w:rPr>
        <w:t>cio</w:t>
      </w:r>
      <w:r w:rsidRPr="00961B6E">
        <w:rPr>
          <w:lang w:val="es-ES"/>
        </w:rPr>
        <w:t>, M</w:t>
      </w:r>
      <w:r w:rsidR="00FD2D53" w:rsidRPr="00961B6E">
        <w:rPr>
          <w:lang w:val="es-ES"/>
        </w:rPr>
        <w:t>é</w:t>
      </w:r>
      <w:r w:rsidRPr="00961B6E">
        <w:rPr>
          <w:lang w:val="es-ES"/>
        </w:rPr>
        <w:t>xico, Nicaragua, Om</w:t>
      </w:r>
      <w:r w:rsidR="00FD2D53" w:rsidRPr="00961B6E">
        <w:rPr>
          <w:lang w:val="es-ES"/>
        </w:rPr>
        <w:t>á</w:t>
      </w:r>
      <w:r w:rsidRPr="00961B6E">
        <w:rPr>
          <w:lang w:val="es-ES"/>
        </w:rPr>
        <w:t>n, S</w:t>
      </w:r>
      <w:r w:rsidR="00FD2D53" w:rsidRPr="00961B6E">
        <w:rPr>
          <w:lang w:val="es-ES"/>
        </w:rPr>
        <w:t xml:space="preserve">udáfrica y Túnez, además del Instituto Internacional para el Manejo del Agua y </w:t>
      </w:r>
      <w:r w:rsidRPr="00961B6E">
        <w:rPr>
          <w:lang w:val="es-ES"/>
        </w:rPr>
        <w:t xml:space="preserve">Wildfowl and Wetlands Trust </w:t>
      </w:r>
      <w:r w:rsidR="005059A3" w:rsidRPr="00961B6E">
        <w:rPr>
          <w:lang w:val="es-ES"/>
        </w:rPr>
        <w:t>en nombre de las Organizaciones Internacionales Asociadas a la Convención y un experto del GECT</w:t>
      </w:r>
      <w:r w:rsidRPr="00961B6E">
        <w:rPr>
          <w:lang w:val="es-ES"/>
        </w:rPr>
        <w:t>.</w:t>
      </w:r>
      <w:r w:rsidRPr="00961B6E" w:rsidDel="005A6CA3">
        <w:rPr>
          <w:lang w:val="es-ES"/>
        </w:rPr>
        <w:t xml:space="preserve"> </w:t>
      </w:r>
    </w:p>
    <w:p w14:paraId="32CF0333" w14:textId="77777777" w:rsidR="00BF510A" w:rsidRPr="00961B6E" w:rsidRDefault="00BF510A" w:rsidP="00BF510A">
      <w:pPr>
        <w:ind w:left="426" w:hanging="426"/>
        <w:rPr>
          <w:lang w:val="es-ES"/>
        </w:rPr>
      </w:pPr>
    </w:p>
    <w:p w14:paraId="4ABA7D8A" w14:textId="47C8ABF6" w:rsidR="00BF510A" w:rsidRPr="00961B6E" w:rsidRDefault="00BF510A" w:rsidP="00BF510A">
      <w:pPr>
        <w:ind w:left="426" w:hanging="426"/>
        <w:rPr>
          <w:lang w:val="es-ES"/>
        </w:rPr>
      </w:pPr>
      <w:r w:rsidRPr="00961B6E">
        <w:rPr>
          <w:lang w:val="es-ES"/>
        </w:rPr>
        <w:t xml:space="preserve">10.  </w:t>
      </w:r>
      <w:r w:rsidR="005059A3" w:rsidRPr="00961B6E">
        <w:rPr>
          <w:lang w:val="es-ES"/>
        </w:rPr>
        <w:t xml:space="preserve"> Se ha previsto una primera </w:t>
      </w:r>
      <w:r w:rsidR="00D02EA3" w:rsidRPr="00961B6E">
        <w:rPr>
          <w:lang w:val="es-ES"/>
        </w:rPr>
        <w:t>reunión</w:t>
      </w:r>
      <w:r w:rsidR="005059A3" w:rsidRPr="00961B6E">
        <w:rPr>
          <w:lang w:val="es-ES"/>
        </w:rPr>
        <w:t xml:space="preserve"> presencial del nuevo grupo de trabajo el 23 de mayo de 2022 de 11:00 a 13:00 horas en Gland antes de la apertura de la reanudación de la reunión </w:t>
      </w:r>
      <w:r w:rsidRPr="00961B6E">
        <w:rPr>
          <w:lang w:val="es-ES"/>
        </w:rPr>
        <w:t>SC59</w:t>
      </w:r>
      <w:r w:rsidR="00D02EA3">
        <w:rPr>
          <w:lang w:val="es-ES"/>
        </w:rPr>
        <w:t xml:space="preserve">. El objetivo es elaborar </w:t>
      </w:r>
      <w:r w:rsidR="005059A3" w:rsidRPr="00961B6E">
        <w:rPr>
          <w:lang w:val="es-ES"/>
        </w:rPr>
        <w:t xml:space="preserve">un proyecto de mandato </w:t>
      </w:r>
      <w:r w:rsidR="00D02EA3">
        <w:rPr>
          <w:lang w:val="es-ES"/>
        </w:rPr>
        <w:t>de</w:t>
      </w:r>
      <w:r w:rsidR="005059A3" w:rsidRPr="00961B6E">
        <w:rPr>
          <w:lang w:val="es-ES"/>
        </w:rPr>
        <w:t xml:space="preserve">l grupo que sea </w:t>
      </w:r>
      <w:r w:rsidR="00D02EA3">
        <w:rPr>
          <w:lang w:val="es-ES"/>
        </w:rPr>
        <w:t xml:space="preserve">congruente </w:t>
      </w:r>
      <w:r w:rsidR="005059A3" w:rsidRPr="00961B6E">
        <w:rPr>
          <w:lang w:val="es-ES"/>
        </w:rPr>
        <w:t>con las orientaciones brindadas por el Grupo de trabajo sobre la eficacia</w:t>
      </w:r>
      <w:r w:rsidR="00D02EA3">
        <w:rPr>
          <w:lang w:val="es-ES"/>
        </w:rPr>
        <w:t xml:space="preserve"> de forma que </w:t>
      </w:r>
      <w:r w:rsidR="005059A3" w:rsidRPr="00961B6E">
        <w:rPr>
          <w:lang w:val="es-ES"/>
        </w:rPr>
        <w:t xml:space="preserve">el Comité Permanente tome </w:t>
      </w:r>
      <w:r w:rsidR="00D02EA3">
        <w:rPr>
          <w:lang w:val="es-ES"/>
        </w:rPr>
        <w:t xml:space="preserve">una </w:t>
      </w:r>
      <w:r w:rsidR="005059A3" w:rsidRPr="00961B6E">
        <w:rPr>
          <w:lang w:val="es-ES"/>
        </w:rPr>
        <w:t>decisi</w:t>
      </w:r>
      <w:r w:rsidR="00D02EA3">
        <w:rPr>
          <w:lang w:val="es-ES"/>
        </w:rPr>
        <w:t>ón al respecto</w:t>
      </w:r>
      <w:r w:rsidR="005059A3" w:rsidRPr="00961B6E">
        <w:rPr>
          <w:lang w:val="es-ES"/>
        </w:rPr>
        <w:t xml:space="preserve"> entre períodos de sesiones. El nuevo grupo de trabajo también ex</w:t>
      </w:r>
      <w:moveToRangeStart w:id="0" w:author="Ed Jennings" w:date="2022-03-29T18:38:00Z" w:name="move99471530"/>
      <w:r w:rsidR="005059A3" w:rsidRPr="00961B6E">
        <w:rPr>
          <w:lang w:val="es-ES"/>
        </w:rPr>
        <w:t>aminará los trabajos preparatorios sobre los que se puede avanzar</w:t>
      </w:r>
      <w:r w:rsidR="00D02EA3">
        <w:rPr>
          <w:lang w:val="es-ES"/>
        </w:rPr>
        <w:t xml:space="preserve"> y brindará la oportunidad </w:t>
      </w:r>
      <w:r w:rsidR="005059A3" w:rsidRPr="00961B6E">
        <w:rPr>
          <w:lang w:val="es-ES"/>
        </w:rPr>
        <w:t xml:space="preserve">de realizar </w:t>
      </w:r>
      <w:r w:rsidR="00D02EA3" w:rsidRPr="00961B6E">
        <w:rPr>
          <w:lang w:val="es-ES"/>
        </w:rPr>
        <w:t>consultas</w:t>
      </w:r>
      <w:r w:rsidR="005059A3" w:rsidRPr="00961B6E">
        <w:rPr>
          <w:lang w:val="es-ES"/>
        </w:rPr>
        <w:t xml:space="preserve"> sobre el Quinto Plan Estratégico en la </w:t>
      </w:r>
      <w:r w:rsidRPr="00961B6E">
        <w:rPr>
          <w:lang w:val="es-ES"/>
        </w:rPr>
        <w:t xml:space="preserve">COP14, </w:t>
      </w:r>
      <w:r w:rsidR="005059A3" w:rsidRPr="00961B6E">
        <w:rPr>
          <w:lang w:val="es-ES"/>
        </w:rPr>
        <w:t xml:space="preserve">en cooperación con el Subgrupo sobre la </w:t>
      </w:r>
      <w:r w:rsidRPr="00961B6E">
        <w:rPr>
          <w:lang w:val="es-ES"/>
        </w:rPr>
        <w:t>COP14.</w:t>
      </w:r>
    </w:p>
    <w:moveToRangeEnd w:id="0"/>
    <w:p w14:paraId="6521AE2C" w14:textId="660FFA35" w:rsidR="000E14C2" w:rsidRPr="00961B6E" w:rsidRDefault="001B4DD5" w:rsidP="00DA1EB3">
      <w:pPr>
        <w:ind w:left="426" w:hanging="426"/>
        <w:rPr>
          <w:noProof/>
          <w:lang w:val="es-ES" w:eastAsia="es-ES_tradnl"/>
        </w:rPr>
      </w:pPr>
      <w:r w:rsidRPr="00961B6E">
        <w:rPr>
          <w:rFonts w:ascii="Calibri" w:hAnsi="Calibri" w:cs="Calibri"/>
          <w:b/>
          <w:bCs/>
          <w:noProof/>
          <w:lang w:val="es-ES" w:eastAsia="es-ES_tradnl"/>
        </w:rPr>
        <w:t xml:space="preserve"> </w:t>
      </w:r>
    </w:p>
    <w:p w14:paraId="7F83A95B" w14:textId="4FFCC6B3" w:rsidR="002B06A7" w:rsidRPr="00961B6E" w:rsidRDefault="005059A3" w:rsidP="005059A3">
      <w:pPr>
        <w:ind w:left="426" w:hanging="426"/>
        <w:rPr>
          <w:rFonts w:ascii="Calibri" w:hAnsi="Calibri" w:cs="Calibri"/>
          <w:noProof/>
          <w:lang w:val="es-ES"/>
        </w:rPr>
      </w:pPr>
      <w:r w:rsidRPr="00961B6E">
        <w:rPr>
          <w:rFonts w:ascii="Calibri" w:hAnsi="Calibri" w:cs="Calibri"/>
          <w:noProof/>
          <w:lang w:val="es-ES"/>
        </w:rPr>
        <w:t>11.</w:t>
      </w:r>
      <w:r w:rsidRPr="00961B6E">
        <w:rPr>
          <w:rFonts w:ascii="Calibri" w:hAnsi="Calibri" w:cs="Calibri"/>
          <w:noProof/>
          <w:lang w:val="es-ES"/>
        </w:rPr>
        <w:tab/>
      </w:r>
      <w:r w:rsidR="002B06A7" w:rsidRPr="00961B6E">
        <w:rPr>
          <w:rFonts w:ascii="Calibri" w:hAnsi="Calibri" w:cs="Calibri"/>
          <w:noProof/>
          <w:lang w:val="es-ES"/>
        </w:rPr>
        <w:t xml:space="preserve">Se adjuntan </w:t>
      </w:r>
      <w:r w:rsidRPr="00961B6E">
        <w:rPr>
          <w:rFonts w:ascii="Calibri" w:hAnsi="Calibri" w:cs="Calibri"/>
          <w:noProof/>
          <w:lang w:val="es-ES"/>
        </w:rPr>
        <w:t xml:space="preserve">en el Anexo 1 </w:t>
      </w:r>
      <w:r w:rsidR="002B06A7" w:rsidRPr="00961B6E">
        <w:rPr>
          <w:rFonts w:ascii="Calibri" w:hAnsi="Calibri" w:cs="Calibri"/>
          <w:noProof/>
          <w:lang w:val="es-ES"/>
        </w:rPr>
        <w:t xml:space="preserve">un proyecto de resolución sobre el examen del Cuarto Plan Estratégico de </w:t>
      </w:r>
      <w:r w:rsidR="00410B04">
        <w:rPr>
          <w:rFonts w:ascii="Calibri" w:hAnsi="Calibri" w:cs="Calibri"/>
          <w:noProof/>
          <w:lang w:val="es-ES"/>
        </w:rPr>
        <w:t>Ramsar</w:t>
      </w:r>
      <w:r w:rsidR="002B06A7" w:rsidRPr="00961B6E">
        <w:rPr>
          <w:rFonts w:ascii="Calibri" w:hAnsi="Calibri" w:cs="Calibri"/>
          <w:noProof/>
          <w:lang w:val="es-ES"/>
        </w:rPr>
        <w:t xml:space="preserve"> y los elementos </w:t>
      </w:r>
      <w:r w:rsidRPr="00961B6E">
        <w:rPr>
          <w:rFonts w:ascii="Calibri" w:hAnsi="Calibri" w:cs="Calibri"/>
          <w:noProof/>
          <w:lang w:val="es-ES"/>
        </w:rPr>
        <w:t xml:space="preserve">básicos </w:t>
      </w:r>
      <w:r w:rsidR="002B06A7" w:rsidRPr="00961B6E">
        <w:rPr>
          <w:rFonts w:ascii="Calibri" w:hAnsi="Calibri" w:cs="Calibri"/>
          <w:noProof/>
          <w:lang w:val="es-ES"/>
        </w:rPr>
        <w:t xml:space="preserve">propuestos para la elaboración del Quinto Plan </w:t>
      </w:r>
      <w:r w:rsidR="002B06A7" w:rsidRPr="00961B6E">
        <w:rPr>
          <w:rFonts w:ascii="Calibri" w:hAnsi="Calibri" w:cs="Calibri"/>
          <w:noProof/>
          <w:lang w:val="es-ES"/>
        </w:rPr>
        <w:lastRenderedPageBreak/>
        <w:t>Estratégico, para su examen por el Comité Permanente y su consideración posterior en la 14ª reunión de la Conferencia de las Partes Contratantes.</w:t>
      </w:r>
    </w:p>
    <w:p w14:paraId="301B52A8" w14:textId="77777777" w:rsidR="001D14C7" w:rsidRPr="00961B6E" w:rsidRDefault="001D14C7" w:rsidP="00DA1EB3">
      <w:pPr>
        <w:rPr>
          <w:rFonts w:cstheme="minorHAnsi"/>
          <w:bCs/>
          <w:noProof/>
          <w:lang w:val="es-ES"/>
        </w:rPr>
      </w:pPr>
    </w:p>
    <w:p w14:paraId="5C25BA0B" w14:textId="06FF0EE3" w:rsidR="009175B8" w:rsidRPr="00961B6E" w:rsidRDefault="002B06A7" w:rsidP="00DA1EB3">
      <w:pPr>
        <w:rPr>
          <w:rFonts w:cstheme="minorHAnsi"/>
          <w:bCs/>
          <w:i/>
          <w:iCs/>
          <w:noProof/>
          <w:lang w:val="es-ES"/>
        </w:rPr>
      </w:pPr>
      <w:r w:rsidRPr="00961B6E">
        <w:rPr>
          <w:rFonts w:cstheme="minorHAnsi"/>
          <w:bCs/>
          <w:i/>
          <w:iCs/>
          <w:noProof/>
          <w:lang w:val="es-ES"/>
        </w:rPr>
        <w:t xml:space="preserve">Repercusiones financieras de la aplicación </w:t>
      </w:r>
    </w:p>
    <w:tbl>
      <w:tblPr>
        <w:tblStyle w:val="TableGrid"/>
        <w:tblW w:w="0" w:type="auto"/>
        <w:tblInd w:w="-34" w:type="dxa"/>
        <w:tblLook w:val="04A0" w:firstRow="1" w:lastRow="0" w:firstColumn="1" w:lastColumn="0" w:noHBand="0" w:noVBand="1"/>
      </w:tblPr>
      <w:tblGrid>
        <w:gridCol w:w="1305"/>
        <w:gridCol w:w="5528"/>
        <w:gridCol w:w="2217"/>
      </w:tblGrid>
      <w:tr w:rsidR="008759FF" w:rsidRPr="00961B6E" w14:paraId="38C12460" w14:textId="77777777" w:rsidTr="00C570E2">
        <w:tc>
          <w:tcPr>
            <w:tcW w:w="1305" w:type="dxa"/>
          </w:tcPr>
          <w:p w14:paraId="2E5F11B0" w14:textId="53856B2E" w:rsidR="009175B8" w:rsidRPr="00961B6E" w:rsidRDefault="002B06A7" w:rsidP="00DA1EB3">
            <w:pPr>
              <w:rPr>
                <w:rFonts w:cstheme="minorHAnsi"/>
                <w:bCs/>
                <w:noProof/>
                <w:lang w:val="es-ES"/>
              </w:rPr>
            </w:pPr>
            <w:r w:rsidRPr="00961B6E">
              <w:rPr>
                <w:rFonts w:cstheme="minorHAnsi"/>
                <w:bCs/>
                <w:noProof/>
                <w:lang w:val="es-ES"/>
              </w:rPr>
              <w:t>Párrafo</w:t>
            </w:r>
          </w:p>
        </w:tc>
        <w:tc>
          <w:tcPr>
            <w:tcW w:w="5528" w:type="dxa"/>
          </w:tcPr>
          <w:p w14:paraId="103650AD" w14:textId="36C16F50" w:rsidR="009175B8" w:rsidRPr="00961B6E" w:rsidRDefault="002B06A7" w:rsidP="00DA1EB3">
            <w:pPr>
              <w:rPr>
                <w:rFonts w:cstheme="minorHAnsi"/>
                <w:bCs/>
                <w:noProof/>
                <w:lang w:val="es-ES"/>
              </w:rPr>
            </w:pPr>
            <w:r w:rsidRPr="00961B6E">
              <w:rPr>
                <w:rFonts w:cstheme="minorHAnsi"/>
                <w:bCs/>
                <w:noProof/>
                <w:lang w:val="es-ES"/>
              </w:rPr>
              <w:t>Acción</w:t>
            </w:r>
          </w:p>
        </w:tc>
        <w:tc>
          <w:tcPr>
            <w:tcW w:w="2217" w:type="dxa"/>
          </w:tcPr>
          <w:p w14:paraId="0EC1B81F" w14:textId="277BA4F0" w:rsidR="009175B8" w:rsidRPr="00961B6E" w:rsidRDefault="009175B8" w:rsidP="00DA1EB3">
            <w:pPr>
              <w:rPr>
                <w:rFonts w:cstheme="minorHAnsi"/>
                <w:bCs/>
                <w:noProof/>
                <w:lang w:val="es-ES"/>
              </w:rPr>
            </w:pPr>
            <w:r w:rsidRPr="00961B6E">
              <w:rPr>
                <w:rFonts w:cstheme="minorHAnsi"/>
                <w:bCs/>
                <w:noProof/>
                <w:lang w:val="es-ES"/>
              </w:rPr>
              <w:t>Cost</w:t>
            </w:r>
            <w:r w:rsidR="002B06A7" w:rsidRPr="00961B6E">
              <w:rPr>
                <w:rFonts w:cstheme="minorHAnsi"/>
                <w:bCs/>
                <w:noProof/>
                <w:lang w:val="es-ES"/>
              </w:rPr>
              <w:t>o</w:t>
            </w:r>
            <w:r w:rsidRPr="00961B6E">
              <w:rPr>
                <w:rFonts w:cstheme="minorHAnsi"/>
                <w:bCs/>
                <w:noProof/>
                <w:lang w:val="es-ES"/>
              </w:rPr>
              <w:t xml:space="preserve"> (</w:t>
            </w:r>
            <w:r w:rsidR="00FE402D" w:rsidRPr="00961B6E">
              <w:rPr>
                <w:rFonts w:cstheme="minorHAnsi"/>
                <w:bCs/>
                <w:noProof/>
                <w:lang w:val="es-ES"/>
              </w:rPr>
              <w:t>francos suizos</w:t>
            </w:r>
            <w:r w:rsidRPr="00961B6E">
              <w:rPr>
                <w:rFonts w:cstheme="minorHAnsi"/>
                <w:bCs/>
                <w:noProof/>
                <w:lang w:val="es-ES"/>
              </w:rPr>
              <w:t>)</w:t>
            </w:r>
          </w:p>
        </w:tc>
      </w:tr>
      <w:tr w:rsidR="008759FF" w:rsidRPr="00961B6E" w14:paraId="01973542" w14:textId="77777777" w:rsidTr="00C570E2">
        <w:tc>
          <w:tcPr>
            <w:tcW w:w="1305" w:type="dxa"/>
          </w:tcPr>
          <w:p w14:paraId="14E110C4" w14:textId="38016C7E" w:rsidR="00824D5C" w:rsidRPr="00961B6E" w:rsidRDefault="00ED4CD8" w:rsidP="00DA1EB3">
            <w:pPr>
              <w:rPr>
                <w:rFonts w:cstheme="minorHAnsi"/>
                <w:bCs/>
                <w:noProof/>
                <w:lang w:val="es-ES"/>
              </w:rPr>
            </w:pPr>
            <w:r w:rsidRPr="00961B6E">
              <w:rPr>
                <w:rFonts w:cstheme="minorHAnsi"/>
                <w:bCs/>
                <w:noProof/>
                <w:lang w:val="es-ES"/>
              </w:rPr>
              <w:t>15.</w:t>
            </w:r>
          </w:p>
        </w:tc>
        <w:tc>
          <w:tcPr>
            <w:tcW w:w="5528" w:type="dxa"/>
          </w:tcPr>
          <w:p w14:paraId="5D0C0642" w14:textId="64FBF4E6" w:rsidR="002B06A7" w:rsidRPr="00961B6E" w:rsidRDefault="002B06A7" w:rsidP="00DA1EB3">
            <w:pPr>
              <w:rPr>
                <w:rFonts w:cstheme="minorHAnsi"/>
                <w:bCs/>
                <w:noProof/>
                <w:lang w:val="es-ES"/>
              </w:rPr>
            </w:pPr>
            <w:r w:rsidRPr="00961B6E">
              <w:rPr>
                <w:rFonts w:cstheme="minorHAnsi"/>
                <w:bCs/>
                <w:noProof/>
                <w:lang w:val="es-ES"/>
              </w:rPr>
              <w:t xml:space="preserve">Elaboración del Quinto Plan Estratégico para su aprobación en la COP15 </w:t>
            </w:r>
          </w:p>
          <w:p w14:paraId="194CFE41" w14:textId="2F771566" w:rsidR="00824D5C" w:rsidRPr="00961B6E" w:rsidRDefault="002B06A7" w:rsidP="00DA1EB3">
            <w:pPr>
              <w:rPr>
                <w:rFonts w:cstheme="minorHAnsi"/>
                <w:bCs/>
                <w:noProof/>
                <w:lang w:val="es-ES"/>
              </w:rPr>
            </w:pPr>
            <w:r w:rsidRPr="00961B6E">
              <w:rPr>
                <w:rFonts w:cstheme="minorHAnsi"/>
                <w:bCs/>
                <w:noProof/>
                <w:lang w:val="es-ES"/>
              </w:rPr>
              <w:t xml:space="preserve">Nota: Presupuesto aprobado por la Decisión SC59-32  </w:t>
            </w:r>
          </w:p>
        </w:tc>
        <w:tc>
          <w:tcPr>
            <w:tcW w:w="2217" w:type="dxa"/>
          </w:tcPr>
          <w:p w14:paraId="5EFBFB80" w14:textId="4F0C63F3" w:rsidR="00824D5C" w:rsidRPr="00961B6E" w:rsidRDefault="007C07DF" w:rsidP="00DA1EB3">
            <w:pPr>
              <w:rPr>
                <w:rFonts w:cstheme="minorHAnsi"/>
                <w:bCs/>
                <w:noProof/>
                <w:lang w:val="es-ES"/>
              </w:rPr>
            </w:pPr>
            <w:r w:rsidRPr="00961B6E">
              <w:rPr>
                <w:rFonts w:cstheme="minorHAnsi"/>
                <w:bCs/>
                <w:noProof/>
                <w:lang w:val="es-ES"/>
              </w:rPr>
              <w:t>90</w:t>
            </w:r>
            <w:r w:rsidR="002B06A7" w:rsidRPr="00961B6E">
              <w:rPr>
                <w:rFonts w:cstheme="minorHAnsi"/>
                <w:bCs/>
                <w:noProof/>
                <w:lang w:val="es-ES"/>
              </w:rPr>
              <w:t xml:space="preserve"> </w:t>
            </w:r>
            <w:r w:rsidRPr="00961B6E">
              <w:rPr>
                <w:rFonts w:cstheme="minorHAnsi"/>
                <w:bCs/>
                <w:noProof/>
                <w:lang w:val="es-ES"/>
              </w:rPr>
              <w:t>000</w:t>
            </w:r>
            <w:r w:rsidR="00FE402D" w:rsidRPr="00961B6E">
              <w:rPr>
                <w:rFonts w:cstheme="minorHAnsi"/>
                <w:bCs/>
                <w:noProof/>
                <w:lang w:val="es-ES"/>
              </w:rPr>
              <w:t xml:space="preserve"> francos suizos</w:t>
            </w:r>
          </w:p>
          <w:p w14:paraId="39C2CF4B" w14:textId="79CEE4DA" w:rsidR="00824D5C" w:rsidRPr="00961B6E" w:rsidRDefault="00824D5C" w:rsidP="00DA1EB3">
            <w:pPr>
              <w:rPr>
                <w:rFonts w:cstheme="minorHAnsi"/>
                <w:bCs/>
                <w:noProof/>
                <w:lang w:val="es-ES"/>
              </w:rPr>
            </w:pPr>
          </w:p>
        </w:tc>
      </w:tr>
    </w:tbl>
    <w:p w14:paraId="3B8DCBE1" w14:textId="77777777" w:rsidR="009175B8" w:rsidRPr="00961B6E" w:rsidRDefault="009175B8" w:rsidP="00DA1EB3">
      <w:pPr>
        <w:rPr>
          <w:rFonts w:cstheme="minorHAnsi"/>
          <w:bCs/>
          <w:noProof/>
          <w:lang w:val="es-ES"/>
        </w:rPr>
      </w:pPr>
    </w:p>
    <w:p w14:paraId="3C8A7E4A" w14:textId="77777777" w:rsidR="00E00485" w:rsidRPr="00961B6E" w:rsidRDefault="00E00485" w:rsidP="00DA1EB3">
      <w:pPr>
        <w:rPr>
          <w:rFonts w:cstheme="minorHAnsi"/>
          <w:b/>
          <w:bCs/>
          <w:noProof/>
          <w:lang w:val="es-ES" w:eastAsia="el-GR"/>
        </w:rPr>
      </w:pPr>
      <w:r w:rsidRPr="00961B6E">
        <w:rPr>
          <w:rFonts w:cstheme="minorHAnsi"/>
          <w:noProof/>
          <w:lang w:val="es-ES"/>
        </w:rPr>
        <w:br w:type="page"/>
      </w:r>
    </w:p>
    <w:p w14:paraId="67FB5ABB" w14:textId="0EAAD5B4" w:rsidR="005059A3" w:rsidRPr="00961B6E" w:rsidRDefault="005059A3" w:rsidP="00DA1EB3">
      <w:pPr>
        <w:pStyle w:val="DRTitle"/>
        <w:widowControl/>
        <w:spacing w:after="0"/>
        <w:jc w:val="left"/>
        <w:rPr>
          <w:rFonts w:asciiTheme="minorHAnsi" w:hAnsiTheme="minorHAnsi" w:cstheme="minorHAnsi"/>
          <w:noProof/>
          <w:sz w:val="24"/>
          <w:szCs w:val="24"/>
          <w:lang w:val="es-ES"/>
        </w:rPr>
      </w:pPr>
      <w:r w:rsidRPr="00961B6E">
        <w:rPr>
          <w:rFonts w:asciiTheme="minorHAnsi" w:hAnsiTheme="minorHAnsi" w:cstheme="minorHAnsi"/>
          <w:noProof/>
          <w:sz w:val="24"/>
          <w:szCs w:val="24"/>
          <w:lang w:val="es-ES"/>
        </w:rPr>
        <w:lastRenderedPageBreak/>
        <w:t>Anexo 1</w:t>
      </w:r>
    </w:p>
    <w:p w14:paraId="56CEAD45" w14:textId="363B7B89" w:rsidR="009927ED" w:rsidRPr="00961B6E" w:rsidRDefault="002B06A7" w:rsidP="005059A3">
      <w:pPr>
        <w:ind w:right="16"/>
        <w:rPr>
          <w:rFonts w:cstheme="minorHAnsi"/>
          <w:b/>
          <w:noProof/>
          <w:color w:val="FF0000"/>
          <w:sz w:val="24"/>
          <w:szCs w:val="24"/>
          <w:lang w:val="es-ES" w:eastAsia="ko-KR"/>
        </w:rPr>
      </w:pPr>
      <w:r w:rsidRPr="00961B6E">
        <w:rPr>
          <w:rFonts w:cstheme="minorHAnsi"/>
          <w:b/>
          <w:sz w:val="24"/>
          <w:szCs w:val="24"/>
          <w:lang w:val="es-ES" w:eastAsia="ko-KR"/>
        </w:rPr>
        <w:t>Proyecto de resolución</w:t>
      </w:r>
      <w:r w:rsidR="005059A3" w:rsidRPr="00961B6E">
        <w:rPr>
          <w:rFonts w:cstheme="minorHAnsi"/>
          <w:b/>
          <w:sz w:val="24"/>
          <w:szCs w:val="24"/>
          <w:lang w:val="es-ES" w:eastAsia="ko-KR"/>
        </w:rPr>
        <w:t xml:space="preserve"> sobre el examen del Cuarto Plan Estratégico de la Convención </w:t>
      </w:r>
      <w:r w:rsidR="00D02EA3">
        <w:rPr>
          <w:rFonts w:cstheme="minorHAnsi"/>
          <w:b/>
          <w:sz w:val="24"/>
          <w:szCs w:val="24"/>
          <w:lang w:val="es-ES" w:eastAsia="ko-KR"/>
        </w:rPr>
        <w:t>de Ramsar</w:t>
      </w:r>
      <w:r w:rsidR="00410B04">
        <w:rPr>
          <w:rFonts w:cstheme="minorHAnsi"/>
          <w:b/>
          <w:sz w:val="24"/>
          <w:szCs w:val="24"/>
          <w:lang w:val="es-ES" w:eastAsia="ko-KR"/>
        </w:rPr>
        <w:t xml:space="preserve"> sobre los Humedales</w:t>
      </w:r>
      <w:r w:rsidR="005059A3" w:rsidRPr="00961B6E">
        <w:rPr>
          <w:rFonts w:cstheme="minorHAnsi"/>
          <w:b/>
          <w:sz w:val="24"/>
          <w:szCs w:val="24"/>
          <w:lang w:val="es-ES" w:eastAsia="ko-KR"/>
        </w:rPr>
        <w:t>, ampliaciones para el trienio 2022-2024 y elementos fundamentales para el Quinto Plan Estratégico</w:t>
      </w:r>
      <w:r w:rsidR="005059A3" w:rsidRPr="00961B6E">
        <w:rPr>
          <w:rFonts w:cstheme="minorHAnsi"/>
          <w:b/>
          <w:noProof/>
          <w:color w:val="FF0000"/>
          <w:sz w:val="24"/>
          <w:szCs w:val="24"/>
          <w:lang w:val="es-ES" w:eastAsia="ko-KR"/>
        </w:rPr>
        <w:t xml:space="preserve"> </w:t>
      </w:r>
    </w:p>
    <w:p w14:paraId="76D6E733" w14:textId="1225FFB0" w:rsidR="005059A3" w:rsidRPr="00961B6E" w:rsidRDefault="005059A3" w:rsidP="005059A3">
      <w:pPr>
        <w:ind w:right="16"/>
        <w:rPr>
          <w:rFonts w:cstheme="minorHAnsi"/>
          <w:b/>
          <w:noProof/>
          <w:color w:val="FF0000"/>
          <w:sz w:val="24"/>
          <w:szCs w:val="24"/>
          <w:lang w:val="es-ES" w:eastAsia="ko-KR"/>
        </w:rPr>
      </w:pPr>
      <w:r w:rsidRPr="00961B6E">
        <w:rPr>
          <w:rFonts w:cstheme="minorHAnsi"/>
          <w:b/>
          <w:noProof/>
          <w:color w:val="FF0000"/>
          <w:sz w:val="24"/>
          <w:szCs w:val="24"/>
          <w:lang w:val="es-ES" w:eastAsia="ko-KR"/>
        </w:rPr>
        <w:t xml:space="preserve">  </w:t>
      </w:r>
    </w:p>
    <w:p w14:paraId="32737396" w14:textId="77777777" w:rsidR="009927ED" w:rsidRPr="00961B6E" w:rsidRDefault="009927ED" w:rsidP="009927ED">
      <w:pPr>
        <w:rPr>
          <w:rFonts w:eastAsia="Times New Roman"/>
          <w:i/>
          <w:iCs/>
          <w:noProof/>
          <w:color w:val="000000" w:themeColor="text1"/>
          <w:lang w:val="es-ES"/>
        </w:rPr>
      </w:pPr>
      <w:r w:rsidRPr="00961B6E">
        <w:rPr>
          <w:rFonts w:eastAsia="Times New Roman"/>
          <w:i/>
          <w:iCs/>
          <w:noProof/>
          <w:color w:val="000000" w:themeColor="text1"/>
          <w:lang w:val="es-ES"/>
        </w:rPr>
        <w:t xml:space="preserve">Presentado al Comité Permanente por el Grupo de trabajo sobre el examen del Plan Estratégico </w:t>
      </w:r>
    </w:p>
    <w:p w14:paraId="11614E08" w14:textId="3591462E" w:rsidR="009175B8" w:rsidRPr="00961B6E" w:rsidRDefault="009175B8" w:rsidP="00DA1EB3">
      <w:pPr>
        <w:pStyle w:val="DRTitle"/>
        <w:widowControl/>
        <w:spacing w:after="0"/>
        <w:jc w:val="left"/>
        <w:rPr>
          <w:rFonts w:asciiTheme="minorHAnsi" w:hAnsiTheme="minorHAnsi" w:cstheme="minorHAnsi"/>
          <w:noProof/>
          <w:sz w:val="22"/>
          <w:szCs w:val="22"/>
          <w:lang w:val="es-ES"/>
        </w:rPr>
      </w:pPr>
    </w:p>
    <w:p w14:paraId="213E2D9A" w14:textId="77777777" w:rsidR="00AB04E0" w:rsidRPr="00961B6E" w:rsidRDefault="00AB04E0" w:rsidP="00DA1EB3">
      <w:pPr>
        <w:pStyle w:val="DRTitle"/>
        <w:widowControl/>
        <w:spacing w:after="0"/>
        <w:jc w:val="left"/>
        <w:rPr>
          <w:rFonts w:asciiTheme="minorHAnsi" w:hAnsiTheme="minorHAnsi" w:cstheme="minorHAnsi"/>
          <w:noProof/>
          <w:sz w:val="22"/>
          <w:szCs w:val="22"/>
          <w:lang w:val="es-ES"/>
        </w:rPr>
      </w:pPr>
    </w:p>
    <w:p w14:paraId="615799CA" w14:textId="2A391886" w:rsidR="00C35DC2" w:rsidRPr="00961B6E" w:rsidRDefault="003B5419" w:rsidP="00DA1EB3">
      <w:pPr>
        <w:ind w:left="426" w:hanging="426"/>
        <w:rPr>
          <w:rFonts w:eastAsia="Calibri" w:cstheme="minorHAnsi"/>
          <w:noProof/>
          <w:lang w:val="es-ES"/>
        </w:rPr>
      </w:pPr>
      <w:r w:rsidRPr="00961B6E">
        <w:rPr>
          <w:rFonts w:eastAsia="Calibri" w:cstheme="minorHAnsi"/>
          <w:noProof/>
          <w:lang w:val="es-ES"/>
        </w:rPr>
        <w:t>1.</w:t>
      </w:r>
      <w:r w:rsidRPr="00961B6E">
        <w:rPr>
          <w:rFonts w:eastAsia="Calibri" w:cstheme="minorHAnsi"/>
          <w:noProof/>
          <w:lang w:val="es-ES"/>
        </w:rPr>
        <w:tab/>
      </w:r>
      <w:r w:rsidR="00C35DC2" w:rsidRPr="00961B6E">
        <w:rPr>
          <w:rFonts w:eastAsia="Calibri" w:cstheme="minorHAnsi"/>
          <w:noProof/>
          <w:lang w:val="es-ES"/>
        </w:rPr>
        <w:t xml:space="preserve">RECORDANDO la </w:t>
      </w:r>
      <w:r w:rsidR="00636B0E" w:rsidRPr="00961B6E">
        <w:rPr>
          <w:rFonts w:eastAsia="Calibri" w:cstheme="minorHAnsi"/>
          <w:noProof/>
          <w:lang w:val="es-ES"/>
        </w:rPr>
        <w:t>aprobación</w:t>
      </w:r>
      <w:r w:rsidR="00C35DC2" w:rsidRPr="00961B6E">
        <w:rPr>
          <w:rFonts w:eastAsia="Calibri" w:cstheme="minorHAnsi"/>
          <w:noProof/>
          <w:lang w:val="es-ES"/>
        </w:rPr>
        <w:t xml:space="preserve"> del </w:t>
      </w:r>
      <w:r w:rsidR="00C35DC2" w:rsidRPr="00961B6E">
        <w:rPr>
          <w:rFonts w:eastAsia="Calibri" w:cstheme="minorHAnsi"/>
          <w:i/>
          <w:iCs/>
          <w:noProof/>
          <w:lang w:val="es-ES"/>
        </w:rPr>
        <w:t>Plan Estratégico de Ramsar para 2016-2024</w:t>
      </w:r>
      <w:r w:rsidR="00C35DC2" w:rsidRPr="00961B6E">
        <w:rPr>
          <w:rFonts w:eastAsia="Calibri" w:cstheme="minorHAnsi"/>
          <w:noProof/>
          <w:lang w:val="es-ES"/>
        </w:rPr>
        <w:t xml:space="preserve"> mediante la Resolución XII.2 “como base para la aplicación de la Convención” durante este período</w:t>
      </w:r>
      <w:r w:rsidR="00E729F3" w:rsidRPr="00961B6E">
        <w:rPr>
          <w:rFonts w:eastAsia="Calibri" w:cstheme="minorHAnsi"/>
          <w:noProof/>
          <w:lang w:val="es-ES"/>
        </w:rPr>
        <w:t>,</w:t>
      </w:r>
      <w:r w:rsidR="00C35DC2" w:rsidRPr="00961B6E">
        <w:rPr>
          <w:rFonts w:eastAsia="Calibri" w:cstheme="minorHAnsi"/>
          <w:noProof/>
          <w:lang w:val="es-ES"/>
        </w:rPr>
        <w:t xml:space="preserve"> y la decisión de las Partes Contratantes de </w:t>
      </w:r>
      <w:r w:rsidR="00C6375F" w:rsidRPr="00961B6E">
        <w:rPr>
          <w:rFonts w:eastAsia="Calibri" w:cstheme="minorHAnsi"/>
          <w:noProof/>
          <w:lang w:val="es-ES"/>
        </w:rPr>
        <w:t>“</w:t>
      </w:r>
      <w:r w:rsidR="00C35DC2" w:rsidRPr="00961B6E">
        <w:rPr>
          <w:rFonts w:eastAsia="Calibri" w:cstheme="minorHAnsi"/>
          <w:noProof/>
          <w:lang w:val="es-ES"/>
        </w:rPr>
        <w:t xml:space="preserve">llevar a cabo un examen del cuarto Plan Estratégico en la COP14”;  </w:t>
      </w:r>
    </w:p>
    <w:p w14:paraId="5DC84616" w14:textId="12D765E3" w:rsidR="00333CEE" w:rsidRPr="00961B6E" w:rsidRDefault="00333CEE" w:rsidP="00DA1EB3">
      <w:pPr>
        <w:rPr>
          <w:rFonts w:eastAsia="Calibri" w:cstheme="minorHAnsi"/>
          <w:noProof/>
          <w:lang w:val="es-ES"/>
        </w:rPr>
      </w:pPr>
    </w:p>
    <w:p w14:paraId="1BEB57B3" w14:textId="7BD55E94" w:rsidR="00C6375F" w:rsidRPr="00961B6E" w:rsidRDefault="003B5419" w:rsidP="00DA1EB3">
      <w:pPr>
        <w:pStyle w:val="ListParagraph"/>
        <w:spacing w:after="0" w:line="240" w:lineRule="auto"/>
        <w:ind w:left="425" w:hanging="426"/>
        <w:rPr>
          <w:rFonts w:cstheme="minorHAnsi"/>
          <w:noProof/>
          <w:lang w:val="es-ES"/>
        </w:rPr>
      </w:pPr>
      <w:r w:rsidRPr="00961B6E">
        <w:rPr>
          <w:rFonts w:cstheme="minorHAnsi"/>
          <w:noProof/>
          <w:lang w:val="es-ES"/>
        </w:rPr>
        <w:t>2.</w:t>
      </w:r>
      <w:r w:rsidRPr="00961B6E">
        <w:rPr>
          <w:rFonts w:cstheme="minorHAnsi"/>
          <w:noProof/>
          <w:lang w:val="es-ES"/>
        </w:rPr>
        <w:tab/>
      </w:r>
      <w:r w:rsidR="00C6375F" w:rsidRPr="00961B6E">
        <w:rPr>
          <w:rFonts w:cstheme="minorHAnsi"/>
          <w:noProof/>
          <w:lang w:val="es-ES"/>
        </w:rPr>
        <w:t>RECORDANDO TAMBIÉN que en las Resoluciones XII.2</w:t>
      </w:r>
      <w:r w:rsidR="00636B0E" w:rsidRPr="00961B6E">
        <w:rPr>
          <w:rFonts w:cstheme="minorHAnsi"/>
          <w:noProof/>
          <w:lang w:val="es-ES"/>
        </w:rPr>
        <w:t>,</w:t>
      </w:r>
      <w:r w:rsidR="00C6375F" w:rsidRPr="00961B6E">
        <w:rPr>
          <w:rFonts w:cstheme="minorHAnsi"/>
          <w:noProof/>
          <w:lang w:val="es-ES"/>
        </w:rPr>
        <w:t xml:space="preserve"> XIII.5 y XIII.7 las Partes Contratantes reconocieron que la aplicación del Plan Estratégico de </w:t>
      </w:r>
      <w:r w:rsidR="00410B04">
        <w:rPr>
          <w:rFonts w:cstheme="minorHAnsi"/>
          <w:noProof/>
          <w:lang w:val="es-ES"/>
        </w:rPr>
        <w:t xml:space="preserve">Ramsar </w:t>
      </w:r>
      <w:r w:rsidR="00C6375F" w:rsidRPr="00961B6E">
        <w:rPr>
          <w:rFonts w:cstheme="minorHAnsi"/>
          <w:noProof/>
          <w:lang w:val="es-ES"/>
        </w:rPr>
        <w:t xml:space="preserve">supone una </w:t>
      </w:r>
      <w:r w:rsidR="00EE3400" w:rsidRPr="00961B6E">
        <w:rPr>
          <w:rFonts w:cstheme="minorHAnsi"/>
          <w:noProof/>
          <w:lang w:val="es-ES"/>
        </w:rPr>
        <w:t xml:space="preserve">contribución </w:t>
      </w:r>
      <w:r w:rsidR="00C6375F" w:rsidRPr="00961B6E">
        <w:rPr>
          <w:rFonts w:cstheme="minorHAnsi"/>
          <w:noProof/>
          <w:lang w:val="es-ES"/>
        </w:rPr>
        <w:t xml:space="preserve">importante </w:t>
      </w:r>
      <w:r w:rsidR="00EE3400" w:rsidRPr="00961B6E">
        <w:rPr>
          <w:rFonts w:cstheme="minorHAnsi"/>
          <w:noProof/>
          <w:lang w:val="es-ES"/>
        </w:rPr>
        <w:t>par</w:t>
      </w:r>
      <w:r w:rsidR="00C6375F" w:rsidRPr="00961B6E">
        <w:rPr>
          <w:rFonts w:cstheme="minorHAnsi"/>
          <w:noProof/>
          <w:lang w:val="es-ES"/>
        </w:rPr>
        <w:t>a la consecución de las Metas de Aichi para la Diversidad Biológica y los Objetivos de Desarrollo Sostenible;</w:t>
      </w:r>
    </w:p>
    <w:p w14:paraId="6C6C7C45" w14:textId="77777777" w:rsidR="00333CEE" w:rsidRPr="00961B6E" w:rsidRDefault="00333CEE" w:rsidP="00DA1EB3">
      <w:pPr>
        <w:rPr>
          <w:rFonts w:eastAsiaTheme="minorHAnsi" w:cstheme="minorHAnsi"/>
          <w:noProof/>
          <w:lang w:val="es-ES"/>
        </w:rPr>
      </w:pPr>
    </w:p>
    <w:p w14:paraId="1E4145CC" w14:textId="562BE959" w:rsidR="00C6375F" w:rsidRPr="00961B6E" w:rsidRDefault="003B5419" w:rsidP="00DA1EB3">
      <w:pPr>
        <w:pStyle w:val="ListParagraph"/>
        <w:spacing w:after="0" w:line="240" w:lineRule="auto"/>
        <w:ind w:left="425" w:hanging="426"/>
        <w:rPr>
          <w:rFonts w:eastAsia="Calibri" w:cstheme="minorHAnsi"/>
          <w:noProof/>
          <w:lang w:val="es-ES"/>
        </w:rPr>
      </w:pPr>
      <w:r w:rsidRPr="00961B6E">
        <w:rPr>
          <w:rFonts w:eastAsia="Calibri" w:cstheme="minorHAnsi"/>
          <w:noProof/>
          <w:lang w:val="es-ES"/>
        </w:rPr>
        <w:t>3.</w:t>
      </w:r>
      <w:r w:rsidRPr="00961B6E">
        <w:rPr>
          <w:rFonts w:eastAsia="Calibri" w:cstheme="minorHAnsi"/>
          <w:noProof/>
          <w:lang w:val="es-ES"/>
        </w:rPr>
        <w:tab/>
      </w:r>
      <w:r w:rsidR="00C6375F" w:rsidRPr="00961B6E">
        <w:rPr>
          <w:rFonts w:eastAsia="Calibri" w:cstheme="minorHAnsi"/>
          <w:noProof/>
          <w:lang w:val="es-ES"/>
        </w:rPr>
        <w:t xml:space="preserve">RECORDANDO ADEMÁS que, </w:t>
      </w:r>
      <w:r w:rsidR="00BD764A" w:rsidRPr="00961B6E">
        <w:rPr>
          <w:rFonts w:eastAsia="Calibri" w:cstheme="minorHAnsi"/>
          <w:noProof/>
          <w:lang w:val="es-ES"/>
        </w:rPr>
        <w:t>mediante</w:t>
      </w:r>
      <w:r w:rsidR="00C6375F" w:rsidRPr="00961B6E">
        <w:rPr>
          <w:rFonts w:eastAsia="Calibri" w:cstheme="minorHAnsi"/>
          <w:noProof/>
          <w:lang w:val="es-ES"/>
        </w:rPr>
        <w:t xml:space="preserve"> la Resolución XIII.5, </w:t>
      </w:r>
      <w:r w:rsidR="00C6375F" w:rsidRPr="00961B6E">
        <w:rPr>
          <w:rFonts w:eastAsia="Calibri" w:cstheme="minorHAnsi"/>
          <w:i/>
          <w:iCs/>
          <w:noProof/>
          <w:lang w:val="es-ES"/>
        </w:rPr>
        <w:t>Examen del Cuarto Plan Estratégico de la Convención de Ramsar</w:t>
      </w:r>
      <w:r w:rsidR="00C6375F" w:rsidRPr="00961B6E">
        <w:rPr>
          <w:rFonts w:eastAsia="Calibri" w:cstheme="minorHAnsi"/>
          <w:noProof/>
          <w:lang w:val="es-ES"/>
        </w:rPr>
        <w:t xml:space="preserve">, las Partes Contratantes aprobaron el alcance y las modalidades </w:t>
      </w:r>
      <w:r w:rsidR="00BD764A" w:rsidRPr="00961B6E">
        <w:rPr>
          <w:rFonts w:eastAsia="Calibri" w:cstheme="minorHAnsi"/>
          <w:noProof/>
          <w:lang w:val="es-ES"/>
        </w:rPr>
        <w:t>del</w:t>
      </w:r>
      <w:r w:rsidR="00C6375F" w:rsidRPr="00961B6E">
        <w:rPr>
          <w:rFonts w:eastAsia="Calibri" w:cstheme="minorHAnsi"/>
          <w:noProof/>
          <w:lang w:val="es-ES"/>
        </w:rPr>
        <w:t xml:space="preserve"> examen del Cuarto Plan Estratégico, </w:t>
      </w:r>
      <w:r w:rsidR="00BD764A" w:rsidRPr="00961B6E">
        <w:rPr>
          <w:rFonts w:eastAsia="Calibri" w:cstheme="minorHAnsi"/>
          <w:noProof/>
          <w:lang w:val="es-ES"/>
        </w:rPr>
        <w:t>pidieron</w:t>
      </w:r>
      <w:r w:rsidR="00C6375F" w:rsidRPr="00961B6E">
        <w:rPr>
          <w:rFonts w:eastAsia="Calibri" w:cstheme="minorHAnsi"/>
          <w:noProof/>
          <w:lang w:val="es-ES"/>
        </w:rPr>
        <w:t xml:space="preserve"> al Comité Permanente que estableciera un </w:t>
      </w:r>
      <w:r w:rsidR="00FD75C0" w:rsidRPr="00961B6E">
        <w:rPr>
          <w:rFonts w:eastAsia="Calibri" w:cstheme="minorHAnsi"/>
          <w:noProof/>
          <w:lang w:val="es-ES"/>
        </w:rPr>
        <w:t>g</w:t>
      </w:r>
      <w:r w:rsidR="00C6375F" w:rsidRPr="00961B6E">
        <w:rPr>
          <w:rFonts w:eastAsia="Calibri" w:cstheme="minorHAnsi"/>
          <w:noProof/>
          <w:lang w:val="es-ES"/>
        </w:rPr>
        <w:t xml:space="preserve">rupo de trabajo </w:t>
      </w:r>
      <w:r w:rsidR="00BD764A" w:rsidRPr="00961B6E">
        <w:rPr>
          <w:rFonts w:eastAsia="Calibri" w:cstheme="minorHAnsi"/>
          <w:noProof/>
          <w:lang w:val="es-ES"/>
        </w:rPr>
        <w:t xml:space="preserve">sobre </w:t>
      </w:r>
      <w:r w:rsidR="00562DFD" w:rsidRPr="00961B6E">
        <w:rPr>
          <w:rFonts w:eastAsia="Calibri" w:cstheme="minorHAnsi"/>
          <w:noProof/>
          <w:lang w:val="es-ES"/>
        </w:rPr>
        <w:t>el</w:t>
      </w:r>
      <w:r w:rsidR="00BD764A" w:rsidRPr="00961B6E">
        <w:rPr>
          <w:rFonts w:eastAsia="Calibri" w:cstheme="minorHAnsi"/>
          <w:noProof/>
          <w:lang w:val="es-ES"/>
        </w:rPr>
        <w:t xml:space="preserve"> </w:t>
      </w:r>
      <w:r w:rsidR="00C6375F" w:rsidRPr="00961B6E">
        <w:rPr>
          <w:rFonts w:eastAsia="Calibri" w:cstheme="minorHAnsi"/>
          <w:noProof/>
          <w:lang w:val="es-ES"/>
        </w:rPr>
        <w:t>Plan Estratégico</w:t>
      </w:r>
      <w:r w:rsidR="00562DFD" w:rsidRPr="00961B6E">
        <w:rPr>
          <w:rFonts w:eastAsia="Calibri" w:cstheme="minorHAnsi"/>
          <w:noProof/>
          <w:lang w:val="es-ES"/>
        </w:rPr>
        <w:t xml:space="preserve"> que realizara el examen</w:t>
      </w:r>
      <w:r w:rsidR="00C6375F" w:rsidRPr="00961B6E">
        <w:rPr>
          <w:rFonts w:eastAsia="Calibri" w:cstheme="minorHAnsi"/>
          <w:noProof/>
          <w:lang w:val="es-ES"/>
        </w:rPr>
        <w:t xml:space="preserve">, y ENCARGARON ADEMÁS al Grupo de supervisión de las actividades de CECoP que coordinara </w:t>
      </w:r>
      <w:r w:rsidR="00562DFD" w:rsidRPr="00961B6E">
        <w:rPr>
          <w:rFonts w:eastAsia="Calibri" w:cstheme="minorHAnsi"/>
          <w:noProof/>
          <w:lang w:val="es-ES"/>
        </w:rPr>
        <w:t xml:space="preserve">con el grupo de trabajo sobre el examen del Plan Estratégico </w:t>
      </w:r>
      <w:r w:rsidR="00C6375F" w:rsidRPr="00961B6E">
        <w:rPr>
          <w:rFonts w:eastAsia="Calibri" w:cstheme="minorHAnsi"/>
          <w:noProof/>
          <w:lang w:val="es-ES"/>
        </w:rPr>
        <w:t xml:space="preserve">sus </w:t>
      </w:r>
      <w:r w:rsidR="00562DFD" w:rsidRPr="00961B6E">
        <w:rPr>
          <w:rFonts w:eastAsia="Calibri" w:cstheme="minorHAnsi"/>
          <w:noProof/>
          <w:lang w:val="es-ES"/>
        </w:rPr>
        <w:t>iniciativas</w:t>
      </w:r>
      <w:r w:rsidR="00C6375F" w:rsidRPr="00961B6E">
        <w:rPr>
          <w:rFonts w:eastAsia="Calibri" w:cstheme="minorHAnsi"/>
          <w:noProof/>
          <w:lang w:val="es-ES"/>
        </w:rPr>
        <w:t xml:space="preserve"> sobre un nuevo enfoque para apoyar la aplicación de la</w:t>
      </w:r>
      <w:r w:rsidR="00BD764A" w:rsidRPr="00961B6E">
        <w:rPr>
          <w:rFonts w:eastAsia="Calibri" w:cstheme="minorHAnsi"/>
          <w:noProof/>
          <w:lang w:val="es-ES"/>
        </w:rPr>
        <w:t>s actividades de</w:t>
      </w:r>
      <w:r w:rsidR="00C6375F" w:rsidRPr="00961B6E">
        <w:rPr>
          <w:rFonts w:eastAsia="Calibri" w:cstheme="minorHAnsi"/>
          <w:noProof/>
          <w:lang w:val="es-ES"/>
        </w:rPr>
        <w:t xml:space="preserve"> CECoP;</w:t>
      </w:r>
    </w:p>
    <w:p w14:paraId="5C32267F" w14:textId="0AFBCAF4" w:rsidR="00BC747E" w:rsidRPr="00961B6E" w:rsidRDefault="00BC747E" w:rsidP="00DA1EB3">
      <w:pPr>
        <w:rPr>
          <w:rFonts w:cstheme="minorHAnsi"/>
          <w:noProof/>
          <w:lang w:val="es-ES"/>
        </w:rPr>
      </w:pPr>
    </w:p>
    <w:p w14:paraId="50479948" w14:textId="1ECB8315" w:rsidR="00474C24" w:rsidRPr="00961B6E" w:rsidRDefault="003B5419" w:rsidP="00DA1EB3">
      <w:pPr>
        <w:pStyle w:val="ListParagraph"/>
        <w:spacing w:after="0" w:line="240" w:lineRule="auto"/>
        <w:ind w:left="425" w:hanging="426"/>
        <w:rPr>
          <w:rFonts w:eastAsia="Calibri" w:cstheme="minorHAnsi"/>
          <w:noProof/>
          <w:lang w:val="es-ES"/>
        </w:rPr>
      </w:pPr>
      <w:r w:rsidRPr="00961B6E">
        <w:rPr>
          <w:rFonts w:eastAsia="Calibri" w:cstheme="minorHAnsi"/>
          <w:noProof/>
          <w:lang w:val="es-ES"/>
        </w:rPr>
        <w:t>4.</w:t>
      </w:r>
      <w:r w:rsidRPr="00961B6E">
        <w:rPr>
          <w:rFonts w:eastAsia="Calibri" w:cstheme="minorHAnsi"/>
          <w:noProof/>
          <w:lang w:val="es-ES"/>
        </w:rPr>
        <w:tab/>
      </w:r>
      <w:r w:rsidR="00474C24" w:rsidRPr="00961B6E">
        <w:rPr>
          <w:rFonts w:eastAsia="Calibri" w:cstheme="minorHAnsi"/>
          <w:noProof/>
          <w:lang w:val="es-ES"/>
        </w:rPr>
        <w:t xml:space="preserve">TOMANDO NOTA de que el examen del Cuarto Plan Estratégico de </w:t>
      </w:r>
      <w:r w:rsidR="00410B04">
        <w:rPr>
          <w:rFonts w:eastAsia="Calibri" w:cstheme="minorHAnsi"/>
          <w:noProof/>
          <w:lang w:val="es-ES"/>
        </w:rPr>
        <w:t>Ramsar</w:t>
      </w:r>
      <w:r w:rsidR="00474C24" w:rsidRPr="00961B6E">
        <w:rPr>
          <w:rFonts w:eastAsia="Calibri" w:cstheme="minorHAnsi"/>
          <w:noProof/>
          <w:lang w:val="es-ES"/>
        </w:rPr>
        <w:t xml:space="preserve"> realizado por el </w:t>
      </w:r>
      <w:r w:rsidR="00FD75C0" w:rsidRPr="00961B6E">
        <w:rPr>
          <w:rFonts w:eastAsia="Calibri" w:cstheme="minorHAnsi"/>
          <w:noProof/>
          <w:lang w:val="es-ES"/>
        </w:rPr>
        <w:t>g</w:t>
      </w:r>
      <w:r w:rsidR="00474C24" w:rsidRPr="00961B6E">
        <w:rPr>
          <w:rFonts w:eastAsia="Calibri" w:cstheme="minorHAnsi"/>
          <w:noProof/>
          <w:lang w:val="es-ES"/>
        </w:rPr>
        <w:t xml:space="preserve">rupo de </w:t>
      </w:r>
      <w:r w:rsidR="00E729F3" w:rsidRPr="00961B6E">
        <w:rPr>
          <w:rFonts w:eastAsia="Calibri" w:cstheme="minorHAnsi"/>
          <w:noProof/>
          <w:lang w:val="es-ES"/>
        </w:rPr>
        <w:t>t</w:t>
      </w:r>
      <w:r w:rsidR="00474C24" w:rsidRPr="00961B6E">
        <w:rPr>
          <w:rFonts w:eastAsia="Calibri" w:cstheme="minorHAnsi"/>
          <w:noProof/>
          <w:lang w:val="es-ES"/>
        </w:rPr>
        <w:t>rabajo sobre el</w:t>
      </w:r>
      <w:r w:rsidR="00A77252" w:rsidRPr="00961B6E">
        <w:rPr>
          <w:rFonts w:eastAsia="Calibri" w:cstheme="minorHAnsi"/>
          <w:noProof/>
          <w:lang w:val="es-ES"/>
        </w:rPr>
        <w:t xml:space="preserve"> examen del</w:t>
      </w:r>
      <w:r w:rsidR="00474C24" w:rsidRPr="00961B6E">
        <w:rPr>
          <w:rFonts w:eastAsia="Calibri" w:cstheme="minorHAnsi"/>
          <w:noProof/>
          <w:lang w:val="es-ES"/>
        </w:rPr>
        <w:t xml:space="preserve"> Plan Estratégico se fundamentó en una encuesta realizada entre las Partes Contratantes, las Organizaciones Internacionales Asociadas (OIA) y otros interesados, así como en un análisis de los </w:t>
      </w:r>
      <w:r w:rsidR="006C1275">
        <w:rPr>
          <w:rFonts w:eastAsia="Calibri" w:cstheme="minorHAnsi"/>
          <w:noProof/>
          <w:lang w:val="es-ES"/>
        </w:rPr>
        <w:t>i</w:t>
      </w:r>
      <w:r w:rsidR="00474C24" w:rsidRPr="00961B6E">
        <w:rPr>
          <w:rFonts w:eastAsia="Calibri" w:cstheme="minorHAnsi"/>
          <w:noProof/>
          <w:lang w:val="es-ES"/>
        </w:rPr>
        <w:t xml:space="preserve">nformes </w:t>
      </w:r>
      <w:r w:rsidR="006C1275">
        <w:rPr>
          <w:rFonts w:eastAsia="Calibri" w:cstheme="minorHAnsi"/>
          <w:noProof/>
          <w:lang w:val="es-ES"/>
        </w:rPr>
        <w:t>n</w:t>
      </w:r>
      <w:r w:rsidR="00474C24" w:rsidRPr="00961B6E">
        <w:rPr>
          <w:rFonts w:eastAsia="Calibri" w:cstheme="minorHAnsi"/>
          <w:noProof/>
          <w:lang w:val="es-ES"/>
        </w:rPr>
        <w:t>acionales presentados a la COP13;</w:t>
      </w:r>
    </w:p>
    <w:p w14:paraId="1744C40F" w14:textId="77777777" w:rsidR="003D7CBC" w:rsidRPr="00961B6E" w:rsidRDefault="003D7CBC" w:rsidP="00DA1EB3">
      <w:pPr>
        <w:rPr>
          <w:rFonts w:cstheme="minorHAnsi"/>
          <w:noProof/>
          <w:lang w:val="es-ES"/>
        </w:rPr>
      </w:pPr>
    </w:p>
    <w:p w14:paraId="45A7B64B" w14:textId="636E8C57" w:rsidR="00474C24" w:rsidRPr="00961B6E" w:rsidRDefault="003B5419" w:rsidP="00DA1EB3">
      <w:pPr>
        <w:autoSpaceDE w:val="0"/>
        <w:autoSpaceDN w:val="0"/>
        <w:adjustRightInd w:val="0"/>
        <w:ind w:left="426" w:hanging="426"/>
        <w:rPr>
          <w:rFonts w:cstheme="minorHAnsi"/>
          <w:noProof/>
          <w:lang w:val="es-ES"/>
        </w:rPr>
      </w:pPr>
      <w:r w:rsidRPr="00961B6E">
        <w:rPr>
          <w:rFonts w:cstheme="minorHAnsi"/>
          <w:noProof/>
          <w:lang w:val="es-ES"/>
        </w:rPr>
        <w:t>5.</w:t>
      </w:r>
      <w:r w:rsidRPr="00961B6E">
        <w:rPr>
          <w:rFonts w:cstheme="minorHAnsi"/>
          <w:noProof/>
          <w:lang w:val="es-ES"/>
        </w:rPr>
        <w:tab/>
      </w:r>
      <w:r w:rsidR="00474C24" w:rsidRPr="00961B6E">
        <w:rPr>
          <w:rFonts w:cstheme="minorHAnsi"/>
          <w:noProof/>
          <w:lang w:val="es-ES"/>
        </w:rPr>
        <w:t xml:space="preserve">OBSERVANDO ADEMÁS que los cambios mundiales a consecuencia de la pandemia y el mayor conocimiento sobre </w:t>
      </w:r>
      <w:r w:rsidR="002451A3" w:rsidRPr="00961B6E">
        <w:rPr>
          <w:rFonts w:cstheme="minorHAnsi"/>
          <w:noProof/>
          <w:lang w:val="es-ES"/>
        </w:rPr>
        <w:t>las repercusiones</w:t>
      </w:r>
      <w:r w:rsidR="00474C24" w:rsidRPr="00961B6E">
        <w:rPr>
          <w:rFonts w:cstheme="minorHAnsi"/>
          <w:noProof/>
          <w:lang w:val="es-ES"/>
        </w:rPr>
        <w:t xml:space="preserve"> de</w:t>
      </w:r>
      <w:r w:rsidR="002451A3" w:rsidRPr="00961B6E">
        <w:rPr>
          <w:rFonts w:cstheme="minorHAnsi"/>
          <w:noProof/>
          <w:lang w:val="es-ES"/>
        </w:rPr>
        <w:t xml:space="preserve"> la</w:t>
      </w:r>
      <w:r w:rsidR="00474C24" w:rsidRPr="00961B6E">
        <w:rPr>
          <w:rFonts w:cstheme="minorHAnsi"/>
          <w:noProof/>
          <w:lang w:val="es-ES"/>
        </w:rPr>
        <w:t xml:space="preserve"> pérdida de biodiversidad y </w:t>
      </w:r>
      <w:r w:rsidR="002451A3" w:rsidRPr="00961B6E">
        <w:rPr>
          <w:rFonts w:cstheme="minorHAnsi"/>
          <w:noProof/>
          <w:lang w:val="es-ES"/>
        </w:rPr>
        <w:t xml:space="preserve">el </w:t>
      </w:r>
      <w:r w:rsidR="00474C24" w:rsidRPr="00961B6E">
        <w:rPr>
          <w:rFonts w:cstheme="minorHAnsi"/>
          <w:noProof/>
          <w:lang w:val="es-ES"/>
        </w:rPr>
        <w:t xml:space="preserve">cambio climático desde la COP13 refuerzan la urgencia de detener la </w:t>
      </w:r>
      <w:r w:rsidR="00D00EE6" w:rsidRPr="00961B6E">
        <w:rPr>
          <w:rFonts w:cstheme="minorHAnsi"/>
          <w:noProof/>
          <w:lang w:val="es-ES"/>
        </w:rPr>
        <w:t>desaparición</w:t>
      </w:r>
      <w:r w:rsidR="00474C24" w:rsidRPr="00961B6E">
        <w:rPr>
          <w:rFonts w:cstheme="minorHAnsi"/>
          <w:noProof/>
          <w:lang w:val="es-ES"/>
        </w:rPr>
        <w:t xml:space="preserve"> de humedales;</w:t>
      </w:r>
    </w:p>
    <w:p w14:paraId="01279393" w14:textId="77777777" w:rsidR="00D00EE6" w:rsidRPr="00961B6E" w:rsidRDefault="00D00EE6" w:rsidP="00DA1EB3">
      <w:pPr>
        <w:autoSpaceDE w:val="0"/>
        <w:autoSpaceDN w:val="0"/>
        <w:adjustRightInd w:val="0"/>
        <w:ind w:left="426" w:hanging="426"/>
        <w:rPr>
          <w:rFonts w:cstheme="minorHAnsi"/>
          <w:noProof/>
          <w:lang w:val="es-ES"/>
        </w:rPr>
      </w:pPr>
    </w:p>
    <w:p w14:paraId="0B0D9A7C" w14:textId="34EF2FFA" w:rsidR="00D00EE6" w:rsidRPr="00961B6E" w:rsidRDefault="003B5419" w:rsidP="00DA1EB3">
      <w:pPr>
        <w:autoSpaceDE w:val="0"/>
        <w:autoSpaceDN w:val="0"/>
        <w:adjustRightInd w:val="0"/>
        <w:ind w:left="426" w:hanging="426"/>
        <w:rPr>
          <w:rFonts w:cstheme="minorHAnsi"/>
          <w:noProof/>
          <w:lang w:val="es-ES"/>
        </w:rPr>
      </w:pPr>
      <w:r w:rsidRPr="00961B6E">
        <w:rPr>
          <w:rFonts w:cstheme="minorHAnsi"/>
          <w:noProof/>
          <w:lang w:val="es-ES"/>
        </w:rPr>
        <w:t>6.</w:t>
      </w:r>
      <w:r w:rsidRPr="00961B6E">
        <w:rPr>
          <w:rFonts w:cstheme="minorHAnsi"/>
          <w:noProof/>
          <w:lang w:val="es-ES"/>
        </w:rPr>
        <w:tab/>
      </w:r>
      <w:r w:rsidR="00D00EE6" w:rsidRPr="00961B6E">
        <w:rPr>
          <w:rFonts w:cstheme="minorHAnsi"/>
          <w:noProof/>
          <w:lang w:val="es-ES"/>
        </w:rPr>
        <w:t>RECONOCIENDO las conclusiones de la edición especial de la Perspectiva mundial sobre los humedales acerca de la importancia de los humedales gestionados correctamente</w:t>
      </w:r>
      <w:r w:rsidR="00E729F3" w:rsidRPr="00961B6E">
        <w:rPr>
          <w:rFonts w:cstheme="minorHAnsi"/>
          <w:noProof/>
          <w:lang w:val="es-ES"/>
        </w:rPr>
        <w:t xml:space="preserve"> </w:t>
      </w:r>
      <w:r w:rsidR="00D00EE6" w:rsidRPr="00961B6E">
        <w:rPr>
          <w:rFonts w:cstheme="minorHAnsi"/>
          <w:noProof/>
          <w:lang w:val="es-ES"/>
        </w:rPr>
        <w:t>para la salud humana y los medios de subsistencia</w:t>
      </w:r>
      <w:r w:rsidR="00E729F3" w:rsidRPr="00961B6E">
        <w:rPr>
          <w:rFonts w:cstheme="minorHAnsi"/>
          <w:noProof/>
          <w:lang w:val="es-ES"/>
        </w:rPr>
        <w:t xml:space="preserve">, así </w:t>
      </w:r>
      <w:r w:rsidR="00D00EE6" w:rsidRPr="00961B6E">
        <w:rPr>
          <w:rFonts w:cstheme="minorHAnsi"/>
          <w:noProof/>
          <w:lang w:val="es-ES"/>
        </w:rPr>
        <w:t>como para la biodiversidad y las soluciones climáticas mediante la aplicación de la Convención</w:t>
      </w:r>
      <w:r w:rsidR="00AB04E0" w:rsidRPr="00961B6E">
        <w:rPr>
          <w:rFonts w:cstheme="minorHAnsi"/>
          <w:noProof/>
          <w:lang w:val="es-ES"/>
        </w:rPr>
        <w:t>;</w:t>
      </w:r>
    </w:p>
    <w:p w14:paraId="70046347" w14:textId="77777777" w:rsidR="004E29C2" w:rsidRPr="00961B6E" w:rsidRDefault="004E29C2" w:rsidP="00DA1EB3">
      <w:pPr>
        <w:autoSpaceDE w:val="0"/>
        <w:autoSpaceDN w:val="0"/>
        <w:adjustRightInd w:val="0"/>
        <w:rPr>
          <w:rFonts w:cstheme="minorHAnsi"/>
          <w:noProof/>
          <w:lang w:val="es-ES"/>
        </w:rPr>
      </w:pPr>
    </w:p>
    <w:p w14:paraId="187EA707" w14:textId="3A24CCE5" w:rsidR="00D00EE6" w:rsidRPr="00961B6E" w:rsidRDefault="003B5419" w:rsidP="00DA1EB3">
      <w:pPr>
        <w:autoSpaceDE w:val="0"/>
        <w:autoSpaceDN w:val="0"/>
        <w:adjustRightInd w:val="0"/>
        <w:ind w:left="426" w:hanging="426"/>
        <w:rPr>
          <w:rFonts w:cstheme="minorHAnsi"/>
          <w:noProof/>
          <w:lang w:val="es-ES"/>
        </w:rPr>
      </w:pPr>
      <w:r w:rsidRPr="00961B6E">
        <w:rPr>
          <w:rFonts w:cstheme="minorHAnsi"/>
          <w:noProof/>
          <w:lang w:val="es-ES"/>
        </w:rPr>
        <w:t>7.</w:t>
      </w:r>
      <w:r w:rsidRPr="00961B6E">
        <w:rPr>
          <w:rFonts w:cstheme="minorHAnsi"/>
          <w:noProof/>
          <w:lang w:val="es-ES"/>
        </w:rPr>
        <w:tab/>
      </w:r>
      <w:r w:rsidR="00D00EE6" w:rsidRPr="00961B6E">
        <w:rPr>
          <w:rFonts w:cstheme="minorHAnsi"/>
          <w:noProof/>
          <w:lang w:val="es-ES"/>
        </w:rPr>
        <w:t>RECONOCIENDO ADEMÁS que la aplicación de la Convención es crucial para acelerar las acciones de restauración de los humedales</w:t>
      </w:r>
      <w:r w:rsidR="00EA0AD7" w:rsidRPr="00961B6E">
        <w:rPr>
          <w:rFonts w:cstheme="minorHAnsi"/>
          <w:noProof/>
          <w:lang w:val="es-ES"/>
        </w:rPr>
        <w:t>,</w:t>
      </w:r>
      <w:r w:rsidR="00D00EE6" w:rsidRPr="00961B6E">
        <w:rPr>
          <w:rFonts w:cstheme="minorHAnsi"/>
          <w:noProof/>
          <w:lang w:val="es-ES"/>
        </w:rPr>
        <w:t xml:space="preserve"> a fin de cumplir con los compromisos y metas mundiales respecto a la biodiversidad, el cambio climático y el desarrollo sostenible en el Decenio de las Naciones Unidas </w:t>
      </w:r>
      <w:r w:rsidR="00867765" w:rsidRPr="00961B6E">
        <w:rPr>
          <w:rFonts w:cstheme="minorHAnsi"/>
          <w:noProof/>
          <w:lang w:val="es-ES"/>
        </w:rPr>
        <w:t>sobre</w:t>
      </w:r>
      <w:r w:rsidR="00D00EE6" w:rsidRPr="00961B6E">
        <w:rPr>
          <w:rFonts w:cstheme="minorHAnsi"/>
          <w:noProof/>
          <w:lang w:val="es-ES"/>
        </w:rPr>
        <w:t xml:space="preserve"> la Restauración de los Ecosistemas y cumplir con </w:t>
      </w:r>
      <w:r w:rsidR="00E86D42" w:rsidRPr="00961B6E">
        <w:rPr>
          <w:rFonts w:cstheme="minorHAnsi"/>
          <w:noProof/>
          <w:lang w:val="es-ES"/>
        </w:rPr>
        <w:t>las metas</w:t>
      </w:r>
      <w:r w:rsidR="00D00EE6" w:rsidRPr="00961B6E">
        <w:rPr>
          <w:rFonts w:cstheme="minorHAnsi"/>
          <w:noProof/>
          <w:lang w:val="es-ES"/>
        </w:rPr>
        <w:t xml:space="preserve"> relativ</w:t>
      </w:r>
      <w:r w:rsidR="00E86D42" w:rsidRPr="00961B6E">
        <w:rPr>
          <w:rFonts w:cstheme="minorHAnsi"/>
          <w:noProof/>
          <w:lang w:val="es-ES"/>
        </w:rPr>
        <w:t>a</w:t>
      </w:r>
      <w:r w:rsidR="00D00EE6" w:rsidRPr="00961B6E">
        <w:rPr>
          <w:rFonts w:cstheme="minorHAnsi"/>
          <w:noProof/>
          <w:lang w:val="es-ES"/>
        </w:rPr>
        <w:t xml:space="preserve">s a los ecosistemas de humedales del </w:t>
      </w:r>
      <w:r w:rsidR="00867765" w:rsidRPr="00961B6E">
        <w:rPr>
          <w:rFonts w:cstheme="minorHAnsi"/>
          <w:noProof/>
          <w:lang w:val="es-ES"/>
        </w:rPr>
        <w:t>Marco Mundial de la Diversidad Biológica</w:t>
      </w:r>
      <w:r w:rsidR="00D00EE6" w:rsidRPr="00961B6E">
        <w:rPr>
          <w:rFonts w:cstheme="minorHAnsi"/>
          <w:noProof/>
          <w:lang w:val="es-ES"/>
        </w:rPr>
        <w:t xml:space="preserve"> posterior a 2020</w:t>
      </w:r>
      <w:r w:rsidR="00251023" w:rsidRPr="00961B6E">
        <w:rPr>
          <w:rFonts w:cstheme="minorHAnsi"/>
          <w:noProof/>
          <w:lang w:val="es-ES"/>
        </w:rPr>
        <w:t>;</w:t>
      </w:r>
      <w:r w:rsidR="00AB04E0" w:rsidRPr="00961B6E">
        <w:rPr>
          <w:rFonts w:cstheme="minorHAnsi"/>
          <w:noProof/>
          <w:lang w:val="es-ES"/>
        </w:rPr>
        <w:t xml:space="preserve"> y</w:t>
      </w:r>
    </w:p>
    <w:p w14:paraId="30D55245" w14:textId="02C1FC2F" w:rsidR="00AB04E0" w:rsidRPr="00961B6E" w:rsidRDefault="00AB04E0" w:rsidP="00DA1EB3">
      <w:pPr>
        <w:autoSpaceDE w:val="0"/>
        <w:autoSpaceDN w:val="0"/>
        <w:adjustRightInd w:val="0"/>
        <w:ind w:left="426" w:hanging="426"/>
        <w:rPr>
          <w:rFonts w:cstheme="minorHAnsi"/>
          <w:noProof/>
          <w:lang w:val="es-ES"/>
        </w:rPr>
      </w:pPr>
    </w:p>
    <w:p w14:paraId="66F445C1" w14:textId="3EC8A419" w:rsidR="00AB04E0" w:rsidRPr="00961B6E" w:rsidRDefault="00AB04E0" w:rsidP="00DA1EB3">
      <w:pPr>
        <w:autoSpaceDE w:val="0"/>
        <w:autoSpaceDN w:val="0"/>
        <w:adjustRightInd w:val="0"/>
        <w:ind w:left="426" w:hanging="426"/>
        <w:rPr>
          <w:rFonts w:cstheme="minorHAnsi"/>
          <w:noProof/>
          <w:lang w:val="es-ES"/>
        </w:rPr>
      </w:pPr>
      <w:r w:rsidRPr="00961B6E">
        <w:rPr>
          <w:rFonts w:cstheme="minorHAnsi"/>
          <w:noProof/>
          <w:lang w:val="es-ES"/>
        </w:rPr>
        <w:t>8.</w:t>
      </w:r>
      <w:r w:rsidRPr="00961B6E">
        <w:rPr>
          <w:rFonts w:cstheme="minorHAnsi"/>
          <w:noProof/>
          <w:lang w:val="es-ES"/>
        </w:rPr>
        <w:tab/>
        <w:t>TOMANDO NOTA de las decisiones de la 59ª reunión del Comité Permanente (SC59-20 y SC59-32) de establecer un nuevo Grupo de trabajo sobre el Plan Estratégico y aprobar un presupuesto para preparar el Quinto Plan Estratégico;</w:t>
      </w:r>
    </w:p>
    <w:p w14:paraId="6671479E" w14:textId="52069AB7" w:rsidR="0088550F" w:rsidRPr="00961B6E" w:rsidRDefault="0088550F"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0EFFB8F" w14:textId="354AFEB3" w:rsidR="009175B8" w:rsidRPr="00961B6E" w:rsidRDefault="00E86D42" w:rsidP="0057613E">
      <w:pPr>
        <w:pStyle w:val="DRSubHeading"/>
        <w:keepNext/>
        <w:widowControl/>
        <w:spacing w:after="0" w:line="240" w:lineRule="auto"/>
        <w:ind w:left="0"/>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lastRenderedPageBreak/>
        <w:t>LA CONFERENCIA DE LAS PARTES CONTRATANTES</w:t>
      </w:r>
    </w:p>
    <w:p w14:paraId="6C87088A" w14:textId="493390A2" w:rsidR="006F4B9E" w:rsidRPr="00961B6E" w:rsidRDefault="006F4B9E" w:rsidP="00DA1EB3">
      <w:pPr>
        <w:pStyle w:val="DRSubHeading"/>
        <w:widowControl/>
        <w:spacing w:after="0" w:line="240" w:lineRule="auto"/>
        <w:ind w:left="0"/>
        <w:rPr>
          <w:rFonts w:asciiTheme="minorHAnsi" w:hAnsiTheme="minorHAnsi" w:cstheme="minorHAnsi"/>
          <w:noProof/>
          <w:color w:val="auto"/>
          <w:sz w:val="22"/>
          <w:szCs w:val="22"/>
          <w:lang w:val="es-ES"/>
        </w:rPr>
      </w:pPr>
    </w:p>
    <w:p w14:paraId="5A407C01" w14:textId="0CF727DD" w:rsidR="001146DD" w:rsidRPr="00961B6E" w:rsidRDefault="00E86D42" w:rsidP="00DA1EB3">
      <w:pPr>
        <w:pStyle w:val="DRSubHeading"/>
        <w:widowControl/>
        <w:spacing w:after="0" w:line="240" w:lineRule="auto"/>
        <w:ind w:hanging="426"/>
        <w:jc w:val="left"/>
        <w:rPr>
          <w:rFonts w:asciiTheme="minorHAnsi" w:hAnsiTheme="minorHAnsi" w:cstheme="minorHAnsi"/>
          <w:noProof/>
          <w:color w:val="auto"/>
          <w:sz w:val="22"/>
          <w:szCs w:val="22"/>
          <w:u w:val="single"/>
          <w:lang w:val="es-ES"/>
        </w:rPr>
      </w:pPr>
      <w:r w:rsidRPr="00961B6E">
        <w:rPr>
          <w:rFonts w:asciiTheme="minorHAnsi" w:hAnsiTheme="minorHAnsi" w:cstheme="minorHAnsi"/>
          <w:noProof/>
          <w:color w:val="auto"/>
          <w:sz w:val="22"/>
          <w:szCs w:val="22"/>
          <w:u w:val="single"/>
          <w:lang w:val="es-ES"/>
        </w:rPr>
        <w:t xml:space="preserve">Examen del Cuarto Plan Estratégico de </w:t>
      </w:r>
      <w:r w:rsidR="00AB04E0" w:rsidRPr="00961B6E">
        <w:rPr>
          <w:rFonts w:asciiTheme="minorHAnsi" w:hAnsiTheme="minorHAnsi" w:cstheme="minorHAnsi"/>
          <w:noProof/>
          <w:color w:val="auto"/>
          <w:sz w:val="22"/>
          <w:szCs w:val="22"/>
          <w:u w:val="single"/>
          <w:lang w:val="es-ES"/>
        </w:rPr>
        <w:t>Ramsar</w:t>
      </w:r>
    </w:p>
    <w:p w14:paraId="78CBD15B" w14:textId="77777777" w:rsidR="00F943A5" w:rsidRPr="00961B6E" w:rsidRDefault="00F943A5"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p>
    <w:p w14:paraId="4A5BF0DE" w14:textId="6C520D73" w:rsidR="000401B2" w:rsidRPr="00961B6E" w:rsidRDefault="00B01D6A"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Pr>
          <w:rFonts w:asciiTheme="minorHAnsi" w:hAnsiTheme="minorHAnsi" w:cstheme="minorHAnsi"/>
          <w:noProof/>
          <w:color w:val="auto"/>
          <w:sz w:val="22"/>
          <w:szCs w:val="22"/>
          <w:lang w:val="es-ES"/>
        </w:rPr>
        <w:t>9</w:t>
      </w:r>
      <w:r w:rsidR="00DE56F3" w:rsidRPr="00961B6E">
        <w:rPr>
          <w:rFonts w:asciiTheme="minorHAnsi" w:hAnsiTheme="minorHAnsi" w:cstheme="minorHAnsi"/>
          <w:noProof/>
          <w:color w:val="auto"/>
          <w:sz w:val="22"/>
          <w:szCs w:val="22"/>
          <w:lang w:val="es-ES"/>
        </w:rPr>
        <w:t>.</w:t>
      </w:r>
      <w:r w:rsidR="00DE56F3" w:rsidRPr="00961B6E">
        <w:rPr>
          <w:rFonts w:asciiTheme="minorHAnsi" w:hAnsiTheme="minorHAnsi" w:cstheme="minorHAnsi"/>
          <w:noProof/>
          <w:color w:val="auto"/>
          <w:sz w:val="22"/>
          <w:szCs w:val="22"/>
          <w:lang w:val="es-ES"/>
        </w:rPr>
        <w:tab/>
      </w:r>
      <w:r w:rsidR="000401B2" w:rsidRPr="00961B6E">
        <w:rPr>
          <w:rFonts w:asciiTheme="minorHAnsi" w:hAnsiTheme="minorHAnsi" w:cstheme="minorHAnsi"/>
          <w:noProof/>
          <w:color w:val="auto"/>
          <w:sz w:val="22"/>
          <w:szCs w:val="22"/>
          <w:lang w:val="es-ES"/>
        </w:rPr>
        <w:t xml:space="preserve">CONFIRMA que es fundamental que las Partes Contratantes y </w:t>
      </w:r>
      <w:r w:rsidR="00AB04E0" w:rsidRPr="00961B6E">
        <w:rPr>
          <w:rFonts w:asciiTheme="minorHAnsi" w:hAnsiTheme="minorHAnsi" w:cstheme="minorHAnsi"/>
          <w:noProof/>
          <w:color w:val="auto"/>
          <w:sz w:val="22"/>
          <w:szCs w:val="22"/>
          <w:lang w:val="es-ES"/>
        </w:rPr>
        <w:t>los interesados pertinentes a</w:t>
      </w:r>
      <w:r w:rsidR="000401B2" w:rsidRPr="00961B6E">
        <w:rPr>
          <w:rFonts w:asciiTheme="minorHAnsi" w:hAnsiTheme="minorHAnsi" w:cstheme="minorHAnsi"/>
          <w:noProof/>
          <w:color w:val="auto"/>
          <w:sz w:val="22"/>
          <w:szCs w:val="22"/>
          <w:lang w:val="es-ES"/>
        </w:rPr>
        <w:t xml:space="preserve">pliquen el Cuarto Plan Estratégico de </w:t>
      </w:r>
      <w:r w:rsidR="00AB04E0" w:rsidRPr="00961B6E">
        <w:rPr>
          <w:rFonts w:asciiTheme="minorHAnsi" w:hAnsiTheme="minorHAnsi" w:cstheme="minorHAnsi"/>
          <w:noProof/>
          <w:color w:val="auto"/>
          <w:sz w:val="22"/>
          <w:szCs w:val="22"/>
          <w:lang w:val="es-ES"/>
        </w:rPr>
        <w:t>Ramsar</w:t>
      </w:r>
      <w:r w:rsidR="000401B2" w:rsidRPr="00961B6E">
        <w:rPr>
          <w:rFonts w:asciiTheme="minorHAnsi" w:hAnsiTheme="minorHAnsi" w:cstheme="minorHAnsi"/>
          <w:noProof/>
          <w:color w:val="auto"/>
          <w:sz w:val="22"/>
          <w:szCs w:val="22"/>
          <w:lang w:val="es-ES"/>
        </w:rPr>
        <w:t xml:space="preserve"> para 2016-2024</w:t>
      </w:r>
      <w:r w:rsidR="00AB04E0" w:rsidRPr="00961B6E">
        <w:rPr>
          <w:rFonts w:asciiTheme="minorHAnsi" w:hAnsiTheme="minorHAnsi" w:cstheme="minorHAnsi"/>
          <w:noProof/>
          <w:color w:val="auto"/>
          <w:sz w:val="22"/>
          <w:szCs w:val="22"/>
          <w:lang w:val="es-ES"/>
        </w:rPr>
        <w:t xml:space="preserve"> para r</w:t>
      </w:r>
      <w:r w:rsidR="0035627D" w:rsidRPr="00961B6E">
        <w:rPr>
          <w:rFonts w:asciiTheme="minorHAnsi" w:hAnsiTheme="minorHAnsi" w:cstheme="minorHAnsi"/>
          <w:noProof/>
          <w:color w:val="auto"/>
          <w:sz w:val="22"/>
          <w:szCs w:val="22"/>
          <w:lang w:val="es-ES"/>
        </w:rPr>
        <w:t>ealizar</w:t>
      </w:r>
      <w:r w:rsidR="000401B2" w:rsidRPr="00961B6E">
        <w:rPr>
          <w:rFonts w:asciiTheme="minorHAnsi" w:hAnsiTheme="minorHAnsi" w:cstheme="minorHAnsi"/>
          <w:noProof/>
          <w:color w:val="auto"/>
          <w:sz w:val="22"/>
          <w:szCs w:val="22"/>
          <w:lang w:val="es-ES"/>
        </w:rPr>
        <w:t xml:space="preserve"> la misión de la Convención</w:t>
      </w:r>
      <w:r w:rsidR="00AC7EAE" w:rsidRPr="00961B6E">
        <w:rPr>
          <w:rFonts w:asciiTheme="minorHAnsi" w:hAnsiTheme="minorHAnsi" w:cstheme="minorHAnsi"/>
          <w:noProof/>
          <w:color w:val="auto"/>
          <w:sz w:val="22"/>
          <w:szCs w:val="22"/>
          <w:lang w:val="es-ES"/>
        </w:rPr>
        <w:t xml:space="preserve"> y </w:t>
      </w:r>
      <w:r w:rsidR="000401B2" w:rsidRPr="00961B6E">
        <w:rPr>
          <w:rFonts w:asciiTheme="minorHAnsi" w:hAnsiTheme="minorHAnsi" w:cstheme="minorHAnsi"/>
          <w:noProof/>
          <w:color w:val="auto"/>
          <w:sz w:val="22"/>
          <w:szCs w:val="22"/>
          <w:lang w:val="es-ES"/>
        </w:rPr>
        <w:t xml:space="preserve">contribuir a los Objetivos de Desarrollo Sostenible y las metas mundiales en materia de biodiversidad, e INSTA a las Partes Contratantes a supervisar constantemente los </w:t>
      </w:r>
      <w:r w:rsidR="0035627D" w:rsidRPr="00961B6E">
        <w:rPr>
          <w:rFonts w:asciiTheme="minorHAnsi" w:hAnsiTheme="minorHAnsi" w:cstheme="minorHAnsi"/>
          <w:noProof/>
          <w:color w:val="auto"/>
          <w:sz w:val="22"/>
          <w:szCs w:val="22"/>
          <w:lang w:val="es-ES"/>
        </w:rPr>
        <w:t>avances</w:t>
      </w:r>
      <w:r w:rsidR="000401B2" w:rsidRPr="00961B6E">
        <w:rPr>
          <w:rFonts w:asciiTheme="minorHAnsi" w:hAnsiTheme="minorHAnsi" w:cstheme="minorHAnsi"/>
          <w:noProof/>
          <w:color w:val="auto"/>
          <w:sz w:val="22"/>
          <w:szCs w:val="22"/>
          <w:lang w:val="es-ES"/>
        </w:rPr>
        <w:t xml:space="preserve"> en la aplicación del Plan;  </w:t>
      </w:r>
    </w:p>
    <w:p w14:paraId="33AE9FAE" w14:textId="77777777" w:rsidR="00B52520" w:rsidRPr="00961B6E" w:rsidRDefault="00B52520"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6651E4B1" w14:textId="127C4D5C" w:rsidR="00190BC5" w:rsidRPr="00961B6E" w:rsidRDefault="003C2525"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10</w:t>
      </w:r>
      <w:r w:rsidR="00DE56F3" w:rsidRPr="00961B6E">
        <w:rPr>
          <w:rFonts w:asciiTheme="minorHAnsi" w:hAnsiTheme="minorHAnsi" w:cstheme="minorHAnsi"/>
          <w:noProof/>
          <w:color w:val="auto"/>
          <w:sz w:val="22"/>
          <w:szCs w:val="22"/>
          <w:lang w:val="es-ES"/>
        </w:rPr>
        <w:t>.</w:t>
      </w:r>
      <w:r w:rsidR="00DE56F3" w:rsidRPr="00961B6E">
        <w:rPr>
          <w:rFonts w:asciiTheme="minorHAnsi" w:hAnsiTheme="minorHAnsi" w:cstheme="minorHAnsi"/>
          <w:noProof/>
          <w:color w:val="auto"/>
          <w:sz w:val="22"/>
          <w:szCs w:val="22"/>
          <w:lang w:val="es-ES"/>
        </w:rPr>
        <w:tab/>
      </w:r>
      <w:r w:rsidR="00190BC5" w:rsidRPr="00961B6E">
        <w:rPr>
          <w:rFonts w:asciiTheme="minorHAnsi" w:hAnsiTheme="minorHAnsi" w:cstheme="minorHAnsi"/>
          <w:noProof/>
          <w:color w:val="auto"/>
          <w:sz w:val="22"/>
          <w:szCs w:val="22"/>
          <w:lang w:val="es-ES"/>
        </w:rPr>
        <w:t>OBSERVA que el examen del Cuarto Plan Estratégico ha identificado una serie de metas e indicadores cuya aplicación presenta dificultades para algunas Partes</w:t>
      </w:r>
      <w:r w:rsidR="00612473" w:rsidRPr="00961B6E">
        <w:rPr>
          <w:rFonts w:asciiTheme="minorHAnsi" w:hAnsiTheme="minorHAnsi" w:cstheme="minorHAnsi"/>
          <w:noProof/>
          <w:color w:val="auto"/>
          <w:sz w:val="22"/>
          <w:szCs w:val="22"/>
          <w:lang w:val="es-ES"/>
        </w:rPr>
        <w:t xml:space="preserve"> Contratantes</w:t>
      </w:r>
      <w:r w:rsidR="00190BC5" w:rsidRPr="00961B6E">
        <w:rPr>
          <w:rFonts w:asciiTheme="minorHAnsi" w:hAnsiTheme="minorHAnsi" w:cstheme="minorHAnsi"/>
          <w:noProof/>
          <w:color w:val="auto"/>
          <w:sz w:val="22"/>
          <w:szCs w:val="22"/>
          <w:lang w:val="es-ES"/>
        </w:rPr>
        <w:t>,</w:t>
      </w:r>
      <w:r w:rsidR="00047632" w:rsidRPr="00961B6E">
        <w:rPr>
          <w:rFonts w:asciiTheme="minorHAnsi" w:hAnsiTheme="minorHAnsi" w:cstheme="minorHAnsi"/>
          <w:noProof/>
          <w:color w:val="auto"/>
          <w:sz w:val="22"/>
          <w:szCs w:val="22"/>
          <w:lang w:val="es-ES"/>
        </w:rPr>
        <w:t xml:space="preserve"> y</w:t>
      </w:r>
      <w:r w:rsidR="00190BC5" w:rsidRPr="00961B6E">
        <w:rPr>
          <w:rFonts w:asciiTheme="minorHAnsi" w:hAnsiTheme="minorHAnsi" w:cstheme="minorHAnsi"/>
          <w:noProof/>
          <w:color w:val="auto"/>
          <w:sz w:val="22"/>
          <w:szCs w:val="22"/>
          <w:lang w:val="es-ES"/>
        </w:rPr>
        <w:t xml:space="preserve"> ENCARGA a la Secretaría que </w:t>
      </w:r>
      <w:r w:rsidR="007A5E3C" w:rsidRPr="00961B6E">
        <w:rPr>
          <w:rFonts w:asciiTheme="minorHAnsi" w:hAnsiTheme="minorHAnsi" w:cstheme="minorHAnsi"/>
          <w:noProof/>
          <w:color w:val="auto"/>
          <w:sz w:val="22"/>
          <w:szCs w:val="22"/>
          <w:lang w:val="es-ES"/>
        </w:rPr>
        <w:t>dé a conocer</w:t>
      </w:r>
      <w:r w:rsidR="00190BC5" w:rsidRPr="00961B6E">
        <w:rPr>
          <w:rFonts w:asciiTheme="minorHAnsi" w:hAnsiTheme="minorHAnsi" w:cstheme="minorHAnsi"/>
          <w:noProof/>
          <w:color w:val="auto"/>
          <w:sz w:val="22"/>
          <w:szCs w:val="22"/>
          <w:lang w:val="es-ES"/>
        </w:rPr>
        <w:t xml:space="preserve"> las orientaciones </w:t>
      </w:r>
      <w:r w:rsidR="002E0896" w:rsidRPr="00961B6E">
        <w:rPr>
          <w:rFonts w:asciiTheme="minorHAnsi" w:hAnsiTheme="minorHAnsi" w:cstheme="minorHAnsi"/>
          <w:noProof/>
          <w:color w:val="auto"/>
          <w:sz w:val="22"/>
          <w:szCs w:val="22"/>
          <w:lang w:val="es-ES"/>
        </w:rPr>
        <w:t>existentes</w:t>
      </w:r>
      <w:r w:rsidR="00190BC5" w:rsidRPr="00961B6E">
        <w:rPr>
          <w:rFonts w:asciiTheme="minorHAnsi" w:hAnsiTheme="minorHAnsi" w:cstheme="minorHAnsi"/>
          <w:noProof/>
          <w:color w:val="auto"/>
          <w:sz w:val="22"/>
          <w:szCs w:val="22"/>
          <w:lang w:val="es-ES"/>
        </w:rPr>
        <w:t xml:space="preserve"> de </w:t>
      </w:r>
      <w:r w:rsidR="00410B04">
        <w:rPr>
          <w:rFonts w:asciiTheme="minorHAnsi" w:hAnsiTheme="minorHAnsi" w:cstheme="minorHAnsi"/>
          <w:noProof/>
          <w:color w:val="auto"/>
          <w:sz w:val="22"/>
          <w:szCs w:val="22"/>
          <w:lang w:val="es-ES"/>
        </w:rPr>
        <w:t>Ramsar</w:t>
      </w:r>
      <w:r w:rsidR="00190BC5" w:rsidRPr="00961B6E">
        <w:rPr>
          <w:rFonts w:asciiTheme="minorHAnsi" w:hAnsiTheme="minorHAnsi" w:cstheme="minorHAnsi"/>
          <w:noProof/>
          <w:color w:val="auto"/>
          <w:sz w:val="22"/>
          <w:szCs w:val="22"/>
          <w:lang w:val="es-ES"/>
        </w:rPr>
        <w:t xml:space="preserve"> y </w:t>
      </w:r>
      <w:r w:rsidR="007A5E3C" w:rsidRPr="00961B6E">
        <w:rPr>
          <w:rFonts w:asciiTheme="minorHAnsi" w:hAnsiTheme="minorHAnsi" w:cstheme="minorHAnsi"/>
          <w:noProof/>
          <w:color w:val="auto"/>
          <w:sz w:val="22"/>
          <w:szCs w:val="22"/>
          <w:lang w:val="es-ES"/>
        </w:rPr>
        <w:t>las</w:t>
      </w:r>
      <w:r w:rsidR="00190BC5" w:rsidRPr="00961B6E">
        <w:rPr>
          <w:rFonts w:asciiTheme="minorHAnsi" w:hAnsiTheme="minorHAnsi" w:cstheme="minorHAnsi"/>
          <w:noProof/>
          <w:color w:val="auto"/>
          <w:sz w:val="22"/>
          <w:szCs w:val="22"/>
          <w:lang w:val="es-ES"/>
        </w:rPr>
        <w:t xml:space="preserve"> </w:t>
      </w:r>
      <w:r w:rsidR="007A5E3C" w:rsidRPr="00961B6E">
        <w:rPr>
          <w:rFonts w:asciiTheme="minorHAnsi" w:hAnsiTheme="minorHAnsi" w:cstheme="minorHAnsi"/>
          <w:noProof/>
          <w:color w:val="auto"/>
          <w:sz w:val="22"/>
          <w:szCs w:val="22"/>
          <w:lang w:val="es-ES"/>
        </w:rPr>
        <w:t>divulgue</w:t>
      </w:r>
      <w:r w:rsidR="00190BC5" w:rsidRPr="00961B6E">
        <w:rPr>
          <w:rFonts w:asciiTheme="minorHAnsi" w:hAnsiTheme="minorHAnsi" w:cstheme="minorHAnsi"/>
          <w:noProof/>
          <w:color w:val="auto"/>
          <w:sz w:val="22"/>
          <w:szCs w:val="22"/>
          <w:lang w:val="es-ES"/>
        </w:rPr>
        <w:t xml:space="preserve"> entre las Partes </w:t>
      </w:r>
      <w:r w:rsidR="00612473" w:rsidRPr="00961B6E">
        <w:rPr>
          <w:rFonts w:asciiTheme="minorHAnsi" w:hAnsiTheme="minorHAnsi" w:cstheme="minorHAnsi"/>
          <w:noProof/>
          <w:color w:val="auto"/>
          <w:sz w:val="22"/>
          <w:szCs w:val="22"/>
          <w:lang w:val="es-ES"/>
        </w:rPr>
        <w:t xml:space="preserve">Contratantes </w:t>
      </w:r>
      <w:r w:rsidR="00190BC5" w:rsidRPr="00961B6E">
        <w:rPr>
          <w:rFonts w:asciiTheme="minorHAnsi" w:hAnsiTheme="minorHAnsi" w:cstheme="minorHAnsi"/>
          <w:noProof/>
          <w:color w:val="auto"/>
          <w:sz w:val="22"/>
          <w:szCs w:val="22"/>
          <w:lang w:val="es-ES"/>
        </w:rPr>
        <w:t>que</w:t>
      </w:r>
      <w:r w:rsidR="00156F18" w:rsidRPr="00961B6E">
        <w:rPr>
          <w:rFonts w:asciiTheme="minorHAnsi" w:hAnsiTheme="minorHAnsi" w:cstheme="minorHAnsi"/>
          <w:noProof/>
          <w:color w:val="auto"/>
          <w:sz w:val="22"/>
          <w:szCs w:val="22"/>
          <w:lang w:val="es-ES"/>
        </w:rPr>
        <w:t xml:space="preserve"> tengan</w:t>
      </w:r>
      <w:r w:rsidR="007A5E3C" w:rsidRPr="00961B6E">
        <w:rPr>
          <w:rFonts w:asciiTheme="minorHAnsi" w:hAnsiTheme="minorHAnsi" w:cstheme="minorHAnsi"/>
          <w:noProof/>
          <w:color w:val="auto"/>
          <w:sz w:val="22"/>
          <w:szCs w:val="22"/>
          <w:lang w:val="es-ES"/>
        </w:rPr>
        <w:t xml:space="preserve"> </w:t>
      </w:r>
      <w:r w:rsidR="00190BC5" w:rsidRPr="00961B6E">
        <w:rPr>
          <w:rFonts w:asciiTheme="minorHAnsi" w:hAnsiTheme="minorHAnsi" w:cstheme="minorHAnsi"/>
          <w:noProof/>
          <w:color w:val="auto"/>
          <w:sz w:val="22"/>
          <w:szCs w:val="22"/>
          <w:lang w:val="es-ES"/>
        </w:rPr>
        <w:t>dificultades;</w:t>
      </w:r>
    </w:p>
    <w:p w14:paraId="32166C59" w14:textId="51D369BD" w:rsidR="00425AB6" w:rsidRPr="00961B6E" w:rsidRDefault="00425AB6"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5FA83A33" w14:textId="6BF6E35D" w:rsidR="00047632" w:rsidRPr="00961B6E"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3C2525" w:rsidRPr="00961B6E">
        <w:rPr>
          <w:rFonts w:asciiTheme="minorHAnsi" w:hAnsiTheme="minorHAnsi" w:cstheme="minorHAnsi"/>
          <w:noProof/>
          <w:color w:val="auto"/>
          <w:sz w:val="22"/>
          <w:szCs w:val="22"/>
          <w:lang w:val="es-ES"/>
        </w:rPr>
        <w:t>1</w:t>
      </w:r>
      <w:r w:rsidRPr="00961B6E">
        <w:rPr>
          <w:rFonts w:asciiTheme="minorHAnsi" w:hAnsiTheme="minorHAnsi" w:cstheme="minorHAnsi"/>
          <w:noProof/>
          <w:color w:val="auto"/>
          <w:sz w:val="22"/>
          <w:szCs w:val="22"/>
          <w:lang w:val="es-ES"/>
        </w:rPr>
        <w:t>.</w:t>
      </w:r>
      <w:r w:rsidRPr="00961B6E">
        <w:rPr>
          <w:rFonts w:asciiTheme="minorHAnsi" w:hAnsiTheme="minorHAnsi" w:cstheme="minorHAnsi"/>
          <w:noProof/>
          <w:color w:val="auto"/>
          <w:sz w:val="22"/>
          <w:szCs w:val="22"/>
          <w:lang w:val="es-ES"/>
        </w:rPr>
        <w:tab/>
      </w:r>
      <w:r w:rsidR="00047632" w:rsidRPr="00961B6E">
        <w:rPr>
          <w:rFonts w:asciiTheme="minorHAnsi" w:hAnsiTheme="minorHAnsi" w:cstheme="minorHAnsi"/>
          <w:noProof/>
          <w:color w:val="auto"/>
          <w:sz w:val="22"/>
          <w:szCs w:val="22"/>
          <w:lang w:val="es-ES"/>
        </w:rPr>
        <w:t xml:space="preserve">TOMA NOTA ADEMÁS del </w:t>
      </w:r>
      <w:r w:rsidR="00EE40D7" w:rsidRPr="00961B6E">
        <w:rPr>
          <w:rFonts w:asciiTheme="minorHAnsi" w:hAnsiTheme="minorHAnsi" w:cstheme="minorHAnsi"/>
          <w:noProof/>
          <w:color w:val="auto"/>
          <w:sz w:val="22"/>
          <w:szCs w:val="22"/>
          <w:lang w:val="es-ES"/>
        </w:rPr>
        <w:t>i</w:t>
      </w:r>
      <w:r w:rsidR="00047632" w:rsidRPr="00961B6E">
        <w:rPr>
          <w:rFonts w:asciiTheme="minorHAnsi" w:hAnsiTheme="minorHAnsi" w:cstheme="minorHAnsi"/>
          <w:noProof/>
          <w:color w:val="auto"/>
          <w:sz w:val="22"/>
          <w:szCs w:val="22"/>
          <w:lang w:val="es-ES"/>
        </w:rPr>
        <w:t xml:space="preserve">nforme </w:t>
      </w:r>
      <w:r w:rsidR="00EE40D7" w:rsidRPr="00961B6E">
        <w:rPr>
          <w:rFonts w:asciiTheme="minorHAnsi" w:hAnsiTheme="minorHAnsi" w:cstheme="minorHAnsi"/>
          <w:noProof/>
          <w:color w:val="auto"/>
          <w:sz w:val="22"/>
          <w:szCs w:val="22"/>
          <w:lang w:val="es-ES"/>
        </w:rPr>
        <w:t xml:space="preserve">a la COP14 </w:t>
      </w:r>
      <w:r w:rsidR="00047632" w:rsidRPr="00961B6E">
        <w:rPr>
          <w:rFonts w:asciiTheme="minorHAnsi" w:hAnsiTheme="minorHAnsi" w:cstheme="minorHAnsi"/>
          <w:noProof/>
          <w:color w:val="auto"/>
          <w:sz w:val="22"/>
          <w:szCs w:val="22"/>
          <w:lang w:val="es-ES"/>
        </w:rPr>
        <w:t>sobre la aplicación de la Convención a escala mundial, que destaca las áreas en las que se han realizado progresos</w:t>
      </w:r>
      <w:r w:rsidR="006A094D" w:rsidRPr="00961B6E">
        <w:rPr>
          <w:rFonts w:asciiTheme="minorHAnsi" w:hAnsiTheme="minorHAnsi" w:cstheme="minorHAnsi"/>
          <w:noProof/>
          <w:color w:val="auto"/>
          <w:sz w:val="22"/>
          <w:szCs w:val="22"/>
          <w:lang w:val="es-ES"/>
        </w:rPr>
        <w:t>,</w:t>
      </w:r>
      <w:r w:rsidR="00047632" w:rsidRPr="00961B6E">
        <w:rPr>
          <w:rFonts w:asciiTheme="minorHAnsi" w:hAnsiTheme="minorHAnsi" w:cstheme="minorHAnsi"/>
          <w:noProof/>
          <w:color w:val="auto"/>
          <w:sz w:val="22"/>
          <w:szCs w:val="22"/>
          <w:lang w:val="es-ES"/>
        </w:rPr>
        <w:t xml:space="preserve"> </w:t>
      </w:r>
      <w:r w:rsidR="00EE40D7" w:rsidRPr="00961B6E">
        <w:rPr>
          <w:rFonts w:asciiTheme="minorHAnsi" w:hAnsiTheme="minorHAnsi" w:cstheme="minorHAnsi"/>
          <w:noProof/>
          <w:color w:val="auto"/>
          <w:sz w:val="22"/>
          <w:szCs w:val="22"/>
          <w:lang w:val="es-ES"/>
        </w:rPr>
        <w:t xml:space="preserve">así como </w:t>
      </w:r>
      <w:r w:rsidR="00047632" w:rsidRPr="00961B6E">
        <w:rPr>
          <w:rFonts w:asciiTheme="minorHAnsi" w:hAnsiTheme="minorHAnsi" w:cstheme="minorHAnsi"/>
          <w:noProof/>
          <w:color w:val="auto"/>
          <w:sz w:val="22"/>
          <w:szCs w:val="22"/>
          <w:lang w:val="es-ES"/>
        </w:rPr>
        <w:t xml:space="preserve">las dificultades en la aplicación del Cuarto Plan Estratégico de </w:t>
      </w:r>
      <w:r w:rsidR="00410B04">
        <w:rPr>
          <w:rFonts w:asciiTheme="minorHAnsi" w:hAnsiTheme="minorHAnsi" w:cstheme="minorHAnsi"/>
          <w:noProof/>
          <w:color w:val="auto"/>
          <w:sz w:val="22"/>
          <w:szCs w:val="22"/>
          <w:lang w:val="es-ES"/>
        </w:rPr>
        <w:t>Ramsar</w:t>
      </w:r>
      <w:r w:rsidR="00047632" w:rsidRPr="00961B6E">
        <w:rPr>
          <w:rFonts w:asciiTheme="minorHAnsi" w:hAnsiTheme="minorHAnsi" w:cstheme="minorHAnsi"/>
          <w:noProof/>
          <w:color w:val="auto"/>
          <w:sz w:val="22"/>
          <w:szCs w:val="22"/>
          <w:lang w:val="es-ES"/>
        </w:rPr>
        <w:t xml:space="preserve"> para 2016-2024;</w:t>
      </w:r>
    </w:p>
    <w:p w14:paraId="178D0B72" w14:textId="77777777" w:rsidR="00425AB6" w:rsidRPr="00961B6E" w:rsidRDefault="00425AB6"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1E059D5D" w14:textId="0C590E15" w:rsidR="000A1125" w:rsidRPr="00961B6E" w:rsidRDefault="00DE56F3" w:rsidP="00DA1EB3">
      <w:pPr>
        <w:ind w:left="426" w:hanging="426"/>
        <w:rPr>
          <w:rFonts w:cstheme="minorHAnsi"/>
          <w:noProof/>
          <w:lang w:val="es-ES"/>
        </w:rPr>
      </w:pPr>
      <w:r w:rsidRPr="00961B6E">
        <w:rPr>
          <w:rFonts w:cstheme="minorHAnsi"/>
          <w:noProof/>
          <w:lang w:val="es-ES"/>
        </w:rPr>
        <w:t>1</w:t>
      </w:r>
      <w:r w:rsidR="003C2525" w:rsidRPr="00961B6E">
        <w:rPr>
          <w:rFonts w:cstheme="minorHAnsi"/>
          <w:noProof/>
          <w:lang w:val="es-ES"/>
        </w:rPr>
        <w:t>2</w:t>
      </w:r>
      <w:r w:rsidRPr="00961B6E">
        <w:rPr>
          <w:rFonts w:cstheme="minorHAnsi"/>
          <w:noProof/>
          <w:lang w:val="es-ES"/>
        </w:rPr>
        <w:t>.</w:t>
      </w:r>
      <w:r w:rsidRPr="00961B6E">
        <w:rPr>
          <w:rFonts w:cstheme="minorHAnsi"/>
          <w:noProof/>
          <w:lang w:val="es-ES"/>
        </w:rPr>
        <w:tab/>
      </w:r>
      <w:r w:rsidR="000A1125" w:rsidRPr="00961B6E">
        <w:rPr>
          <w:rFonts w:cstheme="minorHAnsi"/>
          <w:noProof/>
          <w:lang w:val="es-ES"/>
        </w:rPr>
        <w:t>ACUERDA ajustar el Cuarto Plan Estratégico para agregar tres anexos temáticos</w:t>
      </w:r>
      <w:r w:rsidR="003C2C71" w:rsidRPr="00961B6E">
        <w:rPr>
          <w:rFonts w:cstheme="minorHAnsi"/>
          <w:noProof/>
          <w:lang w:val="es-ES"/>
        </w:rPr>
        <w:t xml:space="preserve">, </w:t>
      </w:r>
      <w:r w:rsidR="00EE40D7" w:rsidRPr="00961B6E">
        <w:rPr>
          <w:rFonts w:cstheme="minorHAnsi"/>
          <w:noProof/>
          <w:lang w:val="es-ES"/>
        </w:rPr>
        <w:t>enumera</w:t>
      </w:r>
      <w:r w:rsidR="003C2C71" w:rsidRPr="00961B6E">
        <w:rPr>
          <w:rFonts w:cstheme="minorHAnsi"/>
          <w:noProof/>
          <w:lang w:val="es-ES"/>
        </w:rPr>
        <w:t>dos</w:t>
      </w:r>
      <w:r w:rsidR="000A1125" w:rsidRPr="00961B6E">
        <w:rPr>
          <w:rFonts w:cstheme="minorHAnsi"/>
          <w:noProof/>
          <w:lang w:val="es-ES"/>
        </w:rPr>
        <w:t xml:space="preserve"> a continuación, para ayudar a las Partes </w:t>
      </w:r>
      <w:r w:rsidR="003C2C71" w:rsidRPr="00961B6E">
        <w:rPr>
          <w:rFonts w:cstheme="minorHAnsi"/>
          <w:noProof/>
          <w:lang w:val="es-ES"/>
        </w:rPr>
        <w:t xml:space="preserve">Contratantes </w:t>
      </w:r>
      <w:r w:rsidR="00EE40D7" w:rsidRPr="00961B6E">
        <w:rPr>
          <w:rFonts w:cstheme="minorHAnsi"/>
          <w:noProof/>
          <w:lang w:val="es-ES"/>
        </w:rPr>
        <w:t>en la aplicación de</w:t>
      </w:r>
      <w:r w:rsidR="000A1125" w:rsidRPr="00961B6E">
        <w:rPr>
          <w:rFonts w:cstheme="minorHAnsi"/>
          <w:noProof/>
          <w:lang w:val="es-ES"/>
        </w:rPr>
        <w:t xml:space="preserve"> cuestiones emergentes durante el último trienio del Plan. Estos</w:t>
      </w:r>
      <w:r w:rsidR="00EE40D7" w:rsidRPr="00961B6E">
        <w:rPr>
          <w:rFonts w:cstheme="minorHAnsi"/>
          <w:noProof/>
          <w:lang w:val="es-ES"/>
        </w:rPr>
        <w:t xml:space="preserve"> anexos</w:t>
      </w:r>
      <w:r w:rsidR="000A1125" w:rsidRPr="00961B6E">
        <w:rPr>
          <w:rFonts w:cstheme="minorHAnsi"/>
          <w:noProof/>
          <w:lang w:val="es-ES"/>
        </w:rPr>
        <w:t xml:space="preserve"> son:</w:t>
      </w:r>
    </w:p>
    <w:p w14:paraId="720E71B7" w14:textId="163DE116" w:rsidR="0099370C" w:rsidRPr="00961B6E" w:rsidRDefault="000A1125" w:rsidP="00DA1EB3">
      <w:pPr>
        <w:pStyle w:val="ListParagraph"/>
        <w:numPr>
          <w:ilvl w:val="0"/>
          <w:numId w:val="21"/>
        </w:numPr>
        <w:spacing w:after="0" w:line="240" w:lineRule="auto"/>
        <w:ind w:left="851" w:hanging="426"/>
        <w:rPr>
          <w:rFonts w:cstheme="minorHAnsi"/>
          <w:noProof/>
          <w:lang w:val="es-ES"/>
        </w:rPr>
      </w:pPr>
      <w:r w:rsidRPr="00961B6E">
        <w:rPr>
          <w:rFonts w:cstheme="minorHAnsi"/>
          <w:noProof/>
          <w:lang w:val="es-ES"/>
        </w:rPr>
        <w:t>Anexo</w:t>
      </w:r>
      <w:r w:rsidR="0099370C" w:rsidRPr="00961B6E">
        <w:rPr>
          <w:rFonts w:cstheme="minorHAnsi"/>
          <w:noProof/>
          <w:lang w:val="es-ES"/>
        </w:rPr>
        <w:t xml:space="preserve"> 3</w:t>
      </w:r>
      <w:r w:rsidR="00F5155D" w:rsidRPr="00961B6E">
        <w:rPr>
          <w:rFonts w:cstheme="minorHAnsi"/>
          <w:noProof/>
          <w:lang w:val="es-ES"/>
        </w:rPr>
        <w:t>:</w:t>
      </w:r>
      <w:r w:rsidR="0099370C" w:rsidRPr="00961B6E">
        <w:rPr>
          <w:rFonts w:cstheme="minorHAnsi"/>
          <w:noProof/>
          <w:lang w:val="es-ES"/>
        </w:rPr>
        <w:t xml:space="preserve"> </w:t>
      </w:r>
      <w:r w:rsidRPr="00961B6E">
        <w:rPr>
          <w:rFonts w:cstheme="minorHAnsi"/>
          <w:noProof/>
          <w:lang w:val="es-ES"/>
        </w:rPr>
        <w:t>Acciones de conservación de los humedales para alcanzar las metas de los Objetivos de Desarrollo Sostenible</w:t>
      </w:r>
      <w:r w:rsidR="0099370C" w:rsidRPr="00961B6E">
        <w:rPr>
          <w:rFonts w:cstheme="minorHAnsi"/>
          <w:noProof/>
          <w:lang w:val="es-ES"/>
        </w:rPr>
        <w:t xml:space="preserve">,  </w:t>
      </w:r>
    </w:p>
    <w:p w14:paraId="416C8056" w14:textId="5EF0C42F" w:rsidR="000A1125" w:rsidRPr="00961B6E" w:rsidRDefault="000A1125" w:rsidP="00DA1EB3">
      <w:pPr>
        <w:pStyle w:val="ListParagraph"/>
        <w:numPr>
          <w:ilvl w:val="0"/>
          <w:numId w:val="21"/>
        </w:numPr>
        <w:spacing w:after="0" w:line="240" w:lineRule="auto"/>
        <w:ind w:left="851" w:hanging="426"/>
        <w:rPr>
          <w:rFonts w:cstheme="minorHAnsi"/>
          <w:noProof/>
          <w:lang w:val="es-ES"/>
        </w:rPr>
      </w:pPr>
      <w:r w:rsidRPr="00961B6E">
        <w:rPr>
          <w:rFonts w:cstheme="minorHAnsi"/>
          <w:noProof/>
          <w:lang w:val="es-ES"/>
        </w:rPr>
        <w:t>Anexo</w:t>
      </w:r>
      <w:r w:rsidR="0099370C" w:rsidRPr="00961B6E">
        <w:rPr>
          <w:rFonts w:cstheme="minorHAnsi"/>
          <w:noProof/>
          <w:lang w:val="es-ES"/>
        </w:rPr>
        <w:t xml:space="preserve"> 4</w:t>
      </w:r>
      <w:r w:rsidR="00F5155D" w:rsidRPr="00961B6E">
        <w:rPr>
          <w:rFonts w:cstheme="minorHAnsi"/>
          <w:noProof/>
          <w:lang w:val="es-ES"/>
        </w:rPr>
        <w:t>:</w:t>
      </w:r>
      <w:r w:rsidR="0099370C" w:rsidRPr="00961B6E">
        <w:rPr>
          <w:rFonts w:cstheme="minorHAnsi"/>
          <w:noProof/>
          <w:lang w:val="es-ES"/>
        </w:rPr>
        <w:t xml:space="preserve"> </w:t>
      </w:r>
      <w:r w:rsidRPr="00961B6E">
        <w:rPr>
          <w:rFonts w:cstheme="minorHAnsi"/>
          <w:noProof/>
          <w:lang w:val="es-ES"/>
        </w:rPr>
        <w:t>El nuevo enfoque de las actividades de CECoP y las políticas y prácticas relativas a los humedales, y</w:t>
      </w:r>
    </w:p>
    <w:p w14:paraId="3E5F9E8D" w14:textId="55A32BF2" w:rsidR="000A1125" w:rsidRPr="00961B6E" w:rsidRDefault="000A1125" w:rsidP="00DA1EB3">
      <w:pPr>
        <w:pStyle w:val="ListParagraph"/>
        <w:numPr>
          <w:ilvl w:val="0"/>
          <w:numId w:val="21"/>
        </w:numPr>
        <w:spacing w:after="0" w:line="240" w:lineRule="auto"/>
        <w:ind w:left="851" w:hanging="426"/>
        <w:rPr>
          <w:rFonts w:cstheme="minorHAnsi"/>
          <w:noProof/>
          <w:lang w:val="es-ES"/>
        </w:rPr>
      </w:pPr>
      <w:r w:rsidRPr="00961B6E">
        <w:rPr>
          <w:rFonts w:cstheme="minorHAnsi"/>
          <w:noProof/>
          <w:lang w:val="es-ES"/>
        </w:rPr>
        <w:t>Anexo</w:t>
      </w:r>
      <w:r w:rsidR="0099370C" w:rsidRPr="00961B6E">
        <w:rPr>
          <w:rFonts w:cstheme="minorHAnsi"/>
          <w:noProof/>
          <w:lang w:val="es-ES"/>
        </w:rPr>
        <w:t xml:space="preserve"> 5</w:t>
      </w:r>
      <w:r w:rsidR="00F5155D" w:rsidRPr="00961B6E">
        <w:rPr>
          <w:rFonts w:cstheme="minorHAnsi"/>
          <w:noProof/>
          <w:lang w:val="es-ES"/>
        </w:rPr>
        <w:t>:</w:t>
      </w:r>
      <w:r w:rsidR="0099370C" w:rsidRPr="00961B6E">
        <w:rPr>
          <w:rFonts w:cstheme="minorHAnsi"/>
          <w:noProof/>
          <w:lang w:val="es-ES"/>
        </w:rPr>
        <w:t xml:space="preserve"> </w:t>
      </w:r>
      <w:r w:rsidR="00F5155D" w:rsidRPr="00961B6E">
        <w:rPr>
          <w:rFonts w:cstheme="minorHAnsi"/>
          <w:noProof/>
          <w:lang w:val="es-ES"/>
        </w:rPr>
        <w:t>Perspectiva de género en las p</w:t>
      </w:r>
      <w:r w:rsidRPr="00961B6E">
        <w:rPr>
          <w:rFonts w:cstheme="minorHAnsi"/>
          <w:noProof/>
          <w:lang w:val="es-ES"/>
        </w:rPr>
        <w:t>olíticas y prácticas relativas a los humedales para aplicar la Resolución XIII.18.</w:t>
      </w:r>
    </w:p>
    <w:p w14:paraId="4169A6A2" w14:textId="77777777" w:rsidR="0099370C" w:rsidRPr="00961B6E" w:rsidRDefault="0099370C" w:rsidP="00DA1EB3">
      <w:pPr>
        <w:ind w:left="426" w:hanging="426"/>
        <w:rPr>
          <w:rFonts w:cstheme="minorHAnsi"/>
          <w:noProof/>
          <w:lang w:val="es-ES"/>
        </w:rPr>
      </w:pPr>
    </w:p>
    <w:p w14:paraId="0EBAEED5" w14:textId="1BF5080D" w:rsidR="00F5155D" w:rsidRPr="00961B6E" w:rsidRDefault="00DE56F3" w:rsidP="00DA1EB3">
      <w:pPr>
        <w:ind w:left="426" w:hanging="426"/>
        <w:rPr>
          <w:rFonts w:cstheme="minorHAnsi"/>
          <w:noProof/>
          <w:lang w:val="es-ES"/>
        </w:rPr>
      </w:pPr>
      <w:r w:rsidRPr="00961B6E">
        <w:rPr>
          <w:rFonts w:cstheme="minorHAnsi"/>
          <w:noProof/>
          <w:lang w:val="es-ES"/>
        </w:rPr>
        <w:t>1</w:t>
      </w:r>
      <w:r w:rsidR="003C2525" w:rsidRPr="00961B6E">
        <w:rPr>
          <w:rFonts w:cstheme="minorHAnsi"/>
          <w:noProof/>
          <w:lang w:val="es-ES"/>
        </w:rPr>
        <w:t>3</w:t>
      </w:r>
      <w:r w:rsidRPr="00961B6E">
        <w:rPr>
          <w:rFonts w:cstheme="minorHAnsi"/>
          <w:noProof/>
          <w:lang w:val="es-ES"/>
        </w:rPr>
        <w:t>.</w:t>
      </w:r>
      <w:r w:rsidRPr="00961B6E">
        <w:rPr>
          <w:rFonts w:cstheme="minorHAnsi"/>
          <w:noProof/>
          <w:lang w:val="es-ES"/>
        </w:rPr>
        <w:tab/>
      </w:r>
      <w:r w:rsidR="00F5155D" w:rsidRPr="00961B6E">
        <w:rPr>
          <w:rFonts w:cstheme="minorHAnsi"/>
          <w:noProof/>
          <w:lang w:val="es-ES"/>
        </w:rPr>
        <w:t xml:space="preserve">ACUERDA ADEMÁS </w:t>
      </w:r>
      <w:r w:rsidR="00774FA8" w:rsidRPr="00961B6E">
        <w:rPr>
          <w:rFonts w:cstheme="minorHAnsi"/>
          <w:noProof/>
          <w:lang w:val="es-ES"/>
        </w:rPr>
        <w:t>que se actualice</w:t>
      </w:r>
      <w:r w:rsidR="00F5155D" w:rsidRPr="00961B6E">
        <w:rPr>
          <w:rFonts w:cstheme="minorHAnsi"/>
          <w:noProof/>
          <w:lang w:val="es-ES"/>
        </w:rPr>
        <w:t xml:space="preserve"> el actual </w:t>
      </w:r>
      <w:r w:rsidR="00774FA8" w:rsidRPr="00961B6E">
        <w:rPr>
          <w:rFonts w:cstheme="minorHAnsi"/>
          <w:noProof/>
          <w:lang w:val="es-ES"/>
        </w:rPr>
        <w:t>a</w:t>
      </w:r>
      <w:r w:rsidR="00F5155D" w:rsidRPr="00961B6E">
        <w:rPr>
          <w:rFonts w:cstheme="minorHAnsi"/>
          <w:noProof/>
          <w:lang w:val="es-ES"/>
        </w:rPr>
        <w:t xml:space="preserve">nexo 2 del </w:t>
      </w:r>
      <w:r w:rsidR="00774FA8" w:rsidRPr="00961B6E">
        <w:rPr>
          <w:rFonts w:cstheme="minorHAnsi"/>
          <w:noProof/>
          <w:lang w:val="es-ES"/>
        </w:rPr>
        <w:t>C</w:t>
      </w:r>
      <w:r w:rsidR="00F5155D" w:rsidRPr="00961B6E">
        <w:rPr>
          <w:rFonts w:cstheme="minorHAnsi"/>
          <w:noProof/>
          <w:lang w:val="es-ES"/>
        </w:rPr>
        <w:t xml:space="preserve">uarto Plan Estratégico para </w:t>
      </w:r>
      <w:r w:rsidR="00774FA8" w:rsidRPr="00961B6E">
        <w:rPr>
          <w:rFonts w:cstheme="minorHAnsi"/>
          <w:noProof/>
          <w:lang w:val="es-ES"/>
        </w:rPr>
        <w:t>incorporar</w:t>
      </w:r>
      <w:r w:rsidR="00F5155D" w:rsidRPr="00961B6E">
        <w:rPr>
          <w:rFonts w:cstheme="minorHAnsi"/>
          <w:noProof/>
          <w:lang w:val="es-ES"/>
        </w:rPr>
        <w:t xml:space="preserve"> las nuevas metas de </w:t>
      </w:r>
      <w:r w:rsidR="00774FA8" w:rsidRPr="00961B6E">
        <w:rPr>
          <w:rFonts w:cstheme="minorHAnsi"/>
          <w:noProof/>
          <w:lang w:val="es-ES"/>
        </w:rPr>
        <w:t>b</w:t>
      </w:r>
      <w:r w:rsidR="00F5155D" w:rsidRPr="00961B6E">
        <w:rPr>
          <w:rFonts w:cstheme="minorHAnsi"/>
          <w:noProof/>
          <w:lang w:val="es-ES"/>
        </w:rPr>
        <w:t xml:space="preserve">iodiversidad </w:t>
      </w:r>
      <w:r w:rsidR="00774FA8" w:rsidRPr="00961B6E">
        <w:rPr>
          <w:rFonts w:cstheme="minorHAnsi"/>
          <w:noProof/>
          <w:lang w:val="es-ES"/>
        </w:rPr>
        <w:t>mundial</w:t>
      </w:r>
      <w:r w:rsidR="00D53985" w:rsidRPr="00961B6E">
        <w:rPr>
          <w:rFonts w:cstheme="minorHAnsi"/>
          <w:noProof/>
          <w:lang w:val="es-ES"/>
        </w:rPr>
        <w:t>,</w:t>
      </w:r>
      <w:r w:rsidR="00F5155D" w:rsidRPr="00961B6E">
        <w:rPr>
          <w:rFonts w:cstheme="minorHAnsi"/>
          <w:noProof/>
          <w:lang w:val="es-ES"/>
        </w:rPr>
        <w:t xml:space="preserve"> </w:t>
      </w:r>
      <w:r w:rsidR="00774FA8" w:rsidRPr="00961B6E">
        <w:rPr>
          <w:rFonts w:cstheme="minorHAnsi"/>
          <w:noProof/>
          <w:lang w:val="es-ES"/>
        </w:rPr>
        <w:t>a fin de</w:t>
      </w:r>
      <w:r w:rsidR="00F5155D" w:rsidRPr="00961B6E">
        <w:rPr>
          <w:rFonts w:cstheme="minorHAnsi"/>
          <w:noProof/>
          <w:lang w:val="es-ES"/>
        </w:rPr>
        <w:t xml:space="preserve"> </w:t>
      </w:r>
      <w:r w:rsidR="00774FA8" w:rsidRPr="00961B6E">
        <w:rPr>
          <w:rFonts w:cstheme="minorHAnsi"/>
          <w:noProof/>
          <w:lang w:val="es-ES"/>
        </w:rPr>
        <w:t>armonizarlas</w:t>
      </w:r>
      <w:r w:rsidR="00F5155D" w:rsidRPr="00961B6E">
        <w:rPr>
          <w:rFonts w:cstheme="minorHAnsi"/>
          <w:noProof/>
          <w:lang w:val="es-ES"/>
        </w:rPr>
        <w:t xml:space="preserve"> con los objetivos y metas del Plan Estratégico de </w:t>
      </w:r>
      <w:r w:rsidR="00410B04">
        <w:rPr>
          <w:rFonts w:cstheme="minorHAnsi"/>
          <w:noProof/>
          <w:lang w:val="es-ES"/>
        </w:rPr>
        <w:t>Ramsar</w:t>
      </w:r>
      <w:r w:rsidR="00F5155D" w:rsidRPr="00961B6E">
        <w:rPr>
          <w:rFonts w:cstheme="minorHAnsi"/>
          <w:noProof/>
          <w:lang w:val="es-ES"/>
        </w:rPr>
        <w:t>;</w:t>
      </w:r>
    </w:p>
    <w:p w14:paraId="4A039326" w14:textId="77777777" w:rsidR="006C2337" w:rsidRPr="00961B6E" w:rsidRDefault="006C2337" w:rsidP="00DA1EB3">
      <w:pPr>
        <w:jc w:val="both"/>
        <w:rPr>
          <w:rFonts w:cstheme="minorHAnsi"/>
          <w:noProof/>
          <w:lang w:val="es-ES"/>
        </w:rPr>
      </w:pPr>
    </w:p>
    <w:p w14:paraId="70E3E915" w14:textId="6C0FFF07" w:rsidR="00774FA8" w:rsidRPr="00961B6E"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3C2525" w:rsidRPr="00961B6E">
        <w:rPr>
          <w:rFonts w:asciiTheme="minorHAnsi" w:hAnsiTheme="minorHAnsi" w:cstheme="minorHAnsi"/>
          <w:noProof/>
          <w:color w:val="auto"/>
          <w:sz w:val="22"/>
          <w:szCs w:val="22"/>
          <w:lang w:val="es-ES"/>
        </w:rPr>
        <w:t>4</w:t>
      </w:r>
      <w:r w:rsidRPr="00961B6E">
        <w:rPr>
          <w:rFonts w:asciiTheme="minorHAnsi" w:hAnsiTheme="minorHAnsi" w:cstheme="minorHAnsi"/>
          <w:noProof/>
          <w:color w:val="auto"/>
          <w:sz w:val="22"/>
          <w:szCs w:val="22"/>
          <w:lang w:val="es-ES"/>
        </w:rPr>
        <w:t>.</w:t>
      </w:r>
      <w:r w:rsidRPr="00961B6E">
        <w:rPr>
          <w:rFonts w:asciiTheme="minorHAnsi" w:hAnsiTheme="minorHAnsi" w:cstheme="minorHAnsi"/>
          <w:noProof/>
          <w:color w:val="auto"/>
          <w:sz w:val="22"/>
          <w:szCs w:val="22"/>
          <w:lang w:val="es-ES"/>
        </w:rPr>
        <w:tab/>
      </w:r>
      <w:r w:rsidR="00774FA8" w:rsidRPr="00961B6E">
        <w:rPr>
          <w:rFonts w:asciiTheme="minorHAnsi" w:hAnsiTheme="minorHAnsi" w:cstheme="minorHAnsi"/>
          <w:noProof/>
          <w:color w:val="auto"/>
          <w:sz w:val="22"/>
          <w:szCs w:val="22"/>
          <w:lang w:val="es-ES"/>
        </w:rPr>
        <w:t xml:space="preserve">ALIENTA a las Partes a tener en cuenta estos anexos en su aplicación del </w:t>
      </w:r>
      <w:r w:rsidR="00EE40D7" w:rsidRPr="00961B6E">
        <w:rPr>
          <w:rFonts w:asciiTheme="minorHAnsi" w:hAnsiTheme="minorHAnsi" w:cstheme="minorHAnsi"/>
          <w:noProof/>
          <w:color w:val="auto"/>
          <w:sz w:val="22"/>
          <w:szCs w:val="22"/>
          <w:lang w:val="es-ES"/>
        </w:rPr>
        <w:t>C</w:t>
      </w:r>
      <w:r w:rsidR="00774FA8" w:rsidRPr="00961B6E">
        <w:rPr>
          <w:rFonts w:asciiTheme="minorHAnsi" w:hAnsiTheme="minorHAnsi" w:cstheme="minorHAnsi"/>
          <w:noProof/>
          <w:color w:val="auto"/>
          <w:sz w:val="22"/>
          <w:szCs w:val="22"/>
          <w:lang w:val="es-ES"/>
        </w:rPr>
        <w:t>uarto Plan Estratégico, asignar</w:t>
      </w:r>
      <w:r w:rsidR="00D53985" w:rsidRPr="00961B6E">
        <w:rPr>
          <w:rFonts w:asciiTheme="minorHAnsi" w:hAnsiTheme="minorHAnsi" w:cstheme="minorHAnsi"/>
          <w:noProof/>
          <w:color w:val="auto"/>
          <w:sz w:val="22"/>
          <w:szCs w:val="22"/>
          <w:lang w:val="es-ES"/>
        </w:rPr>
        <w:t xml:space="preserve"> para este fin</w:t>
      </w:r>
      <w:r w:rsidR="00EE40D7" w:rsidRPr="00961B6E">
        <w:rPr>
          <w:rFonts w:asciiTheme="minorHAnsi" w:hAnsiTheme="minorHAnsi" w:cstheme="minorHAnsi"/>
          <w:noProof/>
          <w:color w:val="auto"/>
          <w:sz w:val="22"/>
          <w:szCs w:val="22"/>
          <w:lang w:val="es-ES"/>
        </w:rPr>
        <w:t xml:space="preserve"> recursos financieros</w:t>
      </w:r>
      <w:r w:rsidR="00774FA8" w:rsidRPr="00961B6E">
        <w:rPr>
          <w:rFonts w:asciiTheme="minorHAnsi" w:hAnsiTheme="minorHAnsi" w:cstheme="minorHAnsi"/>
          <w:noProof/>
          <w:color w:val="auto"/>
          <w:sz w:val="22"/>
          <w:szCs w:val="22"/>
          <w:lang w:val="es-ES"/>
        </w:rPr>
        <w:t xml:space="preserve"> con cargo a los presupuestos nacionales</w:t>
      </w:r>
      <w:r w:rsidR="00EE40D7" w:rsidRPr="00961B6E">
        <w:rPr>
          <w:rFonts w:asciiTheme="minorHAnsi" w:hAnsiTheme="minorHAnsi" w:cstheme="minorHAnsi"/>
          <w:noProof/>
          <w:color w:val="auto"/>
          <w:sz w:val="22"/>
          <w:szCs w:val="22"/>
          <w:lang w:val="es-ES"/>
        </w:rPr>
        <w:t>,</w:t>
      </w:r>
      <w:r w:rsidR="00774FA8" w:rsidRPr="00961B6E">
        <w:rPr>
          <w:rFonts w:asciiTheme="minorHAnsi" w:hAnsiTheme="minorHAnsi" w:cstheme="minorHAnsi"/>
          <w:noProof/>
          <w:color w:val="auto"/>
          <w:sz w:val="22"/>
          <w:szCs w:val="22"/>
          <w:lang w:val="es-ES"/>
        </w:rPr>
        <w:t xml:space="preserve"> </w:t>
      </w:r>
      <w:r w:rsidR="00EE40D7" w:rsidRPr="00961B6E">
        <w:rPr>
          <w:rFonts w:asciiTheme="minorHAnsi" w:hAnsiTheme="minorHAnsi" w:cstheme="minorHAnsi"/>
          <w:noProof/>
          <w:color w:val="auto"/>
          <w:sz w:val="22"/>
          <w:szCs w:val="22"/>
          <w:lang w:val="es-ES"/>
        </w:rPr>
        <w:t>e</w:t>
      </w:r>
      <w:r w:rsidR="00774FA8" w:rsidRPr="00961B6E">
        <w:rPr>
          <w:rFonts w:asciiTheme="minorHAnsi" w:hAnsiTheme="minorHAnsi" w:cstheme="minorHAnsi"/>
          <w:noProof/>
          <w:color w:val="auto"/>
          <w:sz w:val="22"/>
          <w:szCs w:val="22"/>
          <w:lang w:val="es-ES"/>
        </w:rPr>
        <w:t xml:space="preserve"> incluir dicha aplicación en </w:t>
      </w:r>
      <w:r w:rsidR="00EE40D7" w:rsidRPr="00961B6E">
        <w:rPr>
          <w:rFonts w:asciiTheme="minorHAnsi" w:hAnsiTheme="minorHAnsi" w:cstheme="minorHAnsi"/>
          <w:noProof/>
          <w:color w:val="auto"/>
          <w:sz w:val="22"/>
          <w:szCs w:val="22"/>
          <w:lang w:val="es-ES"/>
        </w:rPr>
        <w:t>sus</w:t>
      </w:r>
      <w:r w:rsidR="00774FA8" w:rsidRPr="00961B6E">
        <w:rPr>
          <w:rFonts w:asciiTheme="minorHAnsi" w:hAnsiTheme="minorHAnsi" w:cstheme="minorHAnsi"/>
          <w:noProof/>
          <w:color w:val="auto"/>
          <w:sz w:val="22"/>
          <w:szCs w:val="22"/>
          <w:lang w:val="es-ES"/>
        </w:rPr>
        <w:t xml:space="preserve"> informes nacionales </w:t>
      </w:r>
      <w:r w:rsidR="00EE40D7" w:rsidRPr="00961B6E">
        <w:rPr>
          <w:rFonts w:asciiTheme="minorHAnsi" w:hAnsiTheme="minorHAnsi" w:cstheme="minorHAnsi"/>
          <w:noProof/>
          <w:color w:val="auto"/>
          <w:sz w:val="22"/>
          <w:szCs w:val="22"/>
          <w:lang w:val="es-ES"/>
        </w:rPr>
        <w:t xml:space="preserve">a presentarse </w:t>
      </w:r>
      <w:r w:rsidR="00774FA8" w:rsidRPr="00961B6E">
        <w:rPr>
          <w:rFonts w:asciiTheme="minorHAnsi" w:hAnsiTheme="minorHAnsi" w:cstheme="minorHAnsi"/>
          <w:noProof/>
          <w:color w:val="auto"/>
          <w:sz w:val="22"/>
          <w:szCs w:val="22"/>
          <w:lang w:val="es-ES"/>
        </w:rPr>
        <w:t>a la 15ª reunión de la Conferencia de las Partes</w:t>
      </w:r>
      <w:r w:rsidR="003C2C71" w:rsidRPr="00961B6E">
        <w:rPr>
          <w:rFonts w:asciiTheme="minorHAnsi" w:hAnsiTheme="minorHAnsi" w:cstheme="minorHAnsi"/>
          <w:noProof/>
          <w:color w:val="auto"/>
          <w:sz w:val="22"/>
          <w:szCs w:val="22"/>
          <w:lang w:val="es-ES"/>
        </w:rPr>
        <w:t xml:space="preserve"> Contratantes</w:t>
      </w:r>
      <w:r w:rsidR="00774FA8" w:rsidRPr="00961B6E">
        <w:rPr>
          <w:rFonts w:asciiTheme="minorHAnsi" w:hAnsiTheme="minorHAnsi" w:cstheme="minorHAnsi"/>
          <w:noProof/>
          <w:color w:val="auto"/>
          <w:sz w:val="22"/>
          <w:szCs w:val="22"/>
          <w:lang w:val="es-ES"/>
        </w:rPr>
        <w:t xml:space="preserve">;  </w:t>
      </w:r>
    </w:p>
    <w:p w14:paraId="43764298" w14:textId="2AE5A9D2" w:rsidR="009A767E" w:rsidRPr="00961B6E" w:rsidRDefault="009A767E"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65E4F2C" w14:textId="3F1C78B2" w:rsidR="00EE40D7" w:rsidRPr="00961B6E"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3C2525" w:rsidRPr="00961B6E">
        <w:rPr>
          <w:rFonts w:asciiTheme="minorHAnsi" w:hAnsiTheme="minorHAnsi" w:cstheme="minorHAnsi"/>
          <w:noProof/>
          <w:color w:val="auto"/>
          <w:sz w:val="22"/>
          <w:szCs w:val="22"/>
          <w:lang w:val="es-ES"/>
        </w:rPr>
        <w:t>5</w:t>
      </w:r>
      <w:r w:rsidRPr="00961B6E">
        <w:rPr>
          <w:rFonts w:asciiTheme="minorHAnsi" w:hAnsiTheme="minorHAnsi" w:cstheme="minorHAnsi"/>
          <w:noProof/>
          <w:color w:val="auto"/>
          <w:sz w:val="22"/>
          <w:szCs w:val="22"/>
          <w:lang w:val="es-ES"/>
        </w:rPr>
        <w:t>.</w:t>
      </w:r>
      <w:r w:rsidRPr="00961B6E">
        <w:rPr>
          <w:rFonts w:asciiTheme="minorHAnsi" w:hAnsiTheme="minorHAnsi" w:cstheme="minorHAnsi"/>
          <w:noProof/>
          <w:color w:val="auto"/>
          <w:sz w:val="22"/>
          <w:szCs w:val="22"/>
          <w:lang w:val="es-ES"/>
        </w:rPr>
        <w:tab/>
      </w:r>
      <w:r w:rsidR="00EE40D7" w:rsidRPr="00961B6E">
        <w:rPr>
          <w:rFonts w:asciiTheme="minorHAnsi" w:hAnsiTheme="minorHAnsi" w:cstheme="minorHAnsi"/>
          <w:noProof/>
          <w:color w:val="auto"/>
          <w:sz w:val="22"/>
          <w:szCs w:val="22"/>
          <w:lang w:val="es-ES"/>
        </w:rPr>
        <w:t xml:space="preserve">ACUERDA que el plazo del </w:t>
      </w:r>
      <w:r w:rsidR="00A23A57" w:rsidRPr="00961B6E">
        <w:rPr>
          <w:rFonts w:asciiTheme="minorHAnsi" w:hAnsiTheme="minorHAnsi" w:cstheme="minorHAnsi"/>
          <w:noProof/>
          <w:color w:val="auto"/>
          <w:sz w:val="22"/>
          <w:szCs w:val="22"/>
          <w:lang w:val="es-ES"/>
        </w:rPr>
        <w:t>C</w:t>
      </w:r>
      <w:r w:rsidR="00EE40D7" w:rsidRPr="00961B6E">
        <w:rPr>
          <w:rFonts w:asciiTheme="minorHAnsi" w:hAnsiTheme="minorHAnsi" w:cstheme="minorHAnsi"/>
          <w:noProof/>
          <w:color w:val="auto"/>
          <w:sz w:val="22"/>
          <w:szCs w:val="22"/>
          <w:lang w:val="es-ES"/>
        </w:rPr>
        <w:t xml:space="preserve">uarto Plan Estratégico se prorrogue desde 2024 hasta la celebración de la COP15 para garantizar la continuidad entre los sucesivos </w:t>
      </w:r>
      <w:r w:rsidR="006C1275">
        <w:rPr>
          <w:rFonts w:asciiTheme="minorHAnsi" w:hAnsiTheme="minorHAnsi" w:cstheme="minorHAnsi"/>
          <w:noProof/>
          <w:color w:val="auto"/>
          <w:sz w:val="22"/>
          <w:szCs w:val="22"/>
          <w:lang w:val="es-ES"/>
        </w:rPr>
        <w:t>p</w:t>
      </w:r>
      <w:r w:rsidR="00EE40D7" w:rsidRPr="00961B6E">
        <w:rPr>
          <w:rFonts w:asciiTheme="minorHAnsi" w:hAnsiTheme="minorHAnsi" w:cstheme="minorHAnsi"/>
          <w:noProof/>
          <w:color w:val="auto"/>
          <w:sz w:val="22"/>
          <w:szCs w:val="22"/>
          <w:lang w:val="es-ES"/>
        </w:rPr>
        <w:t xml:space="preserve">lanes </w:t>
      </w:r>
      <w:r w:rsidR="006C1275">
        <w:rPr>
          <w:rFonts w:asciiTheme="minorHAnsi" w:hAnsiTheme="minorHAnsi" w:cstheme="minorHAnsi"/>
          <w:noProof/>
          <w:color w:val="auto"/>
          <w:sz w:val="22"/>
          <w:szCs w:val="22"/>
          <w:lang w:val="es-ES"/>
        </w:rPr>
        <w:t>e</w:t>
      </w:r>
      <w:r w:rsidR="00EE40D7" w:rsidRPr="00961B6E">
        <w:rPr>
          <w:rFonts w:asciiTheme="minorHAnsi" w:hAnsiTheme="minorHAnsi" w:cstheme="minorHAnsi"/>
          <w:noProof/>
          <w:color w:val="auto"/>
          <w:sz w:val="22"/>
          <w:szCs w:val="22"/>
          <w:lang w:val="es-ES"/>
        </w:rPr>
        <w:t>stratégicos.</w:t>
      </w:r>
    </w:p>
    <w:p w14:paraId="47B0A6A5" w14:textId="7B71F12B" w:rsidR="009A767E" w:rsidRPr="00961B6E" w:rsidRDefault="009A767E"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1F6509F" w14:textId="424F28B2" w:rsidR="009A40B0" w:rsidRPr="00961B6E" w:rsidRDefault="003C2525" w:rsidP="003C2525">
      <w:pPr>
        <w:pStyle w:val="DRText"/>
        <w:widowControl/>
        <w:numPr>
          <w:ilvl w:val="0"/>
          <w:numId w:val="0"/>
        </w:numPr>
        <w:spacing w:after="0" w:line="240" w:lineRule="auto"/>
        <w:rPr>
          <w:rFonts w:asciiTheme="minorHAnsi" w:hAnsiTheme="minorHAnsi" w:cstheme="minorHAnsi"/>
          <w:noProof/>
          <w:color w:val="auto"/>
          <w:sz w:val="22"/>
          <w:szCs w:val="22"/>
          <w:u w:val="single"/>
          <w:lang w:val="es-ES" w:eastAsia="ko-KR"/>
        </w:rPr>
      </w:pPr>
      <w:r w:rsidRPr="00961B6E">
        <w:rPr>
          <w:rFonts w:asciiTheme="minorHAnsi" w:hAnsiTheme="minorHAnsi" w:cstheme="minorHAnsi"/>
          <w:noProof/>
          <w:color w:val="auto"/>
          <w:sz w:val="22"/>
          <w:szCs w:val="22"/>
          <w:u w:val="single"/>
          <w:lang w:val="es-ES"/>
        </w:rPr>
        <w:t>Elementos básicos para la pr</w:t>
      </w:r>
      <w:r w:rsidR="006C1275">
        <w:rPr>
          <w:rFonts w:asciiTheme="minorHAnsi" w:hAnsiTheme="minorHAnsi" w:cstheme="minorHAnsi"/>
          <w:noProof/>
          <w:color w:val="auto"/>
          <w:sz w:val="22"/>
          <w:szCs w:val="22"/>
          <w:u w:val="single"/>
          <w:lang w:val="es-ES"/>
        </w:rPr>
        <w:t>e</w:t>
      </w:r>
      <w:r w:rsidRPr="00961B6E">
        <w:rPr>
          <w:rFonts w:asciiTheme="minorHAnsi" w:hAnsiTheme="minorHAnsi" w:cstheme="minorHAnsi"/>
          <w:noProof/>
          <w:color w:val="auto"/>
          <w:sz w:val="22"/>
          <w:szCs w:val="22"/>
          <w:u w:val="single"/>
          <w:lang w:val="es-ES"/>
        </w:rPr>
        <w:t xml:space="preserve">paración de la propuesta de un marco </w:t>
      </w:r>
      <w:r w:rsidR="00596E1C" w:rsidRPr="00961B6E">
        <w:rPr>
          <w:rFonts w:asciiTheme="minorHAnsi" w:hAnsiTheme="minorHAnsi" w:cstheme="minorHAnsi"/>
          <w:noProof/>
          <w:color w:val="auto"/>
          <w:sz w:val="22"/>
          <w:szCs w:val="22"/>
          <w:u w:val="single"/>
          <w:lang w:val="es-ES"/>
        </w:rPr>
        <w:t>para la elaboración del Quinto Plan Estratégico de Ramsar</w:t>
      </w:r>
    </w:p>
    <w:p w14:paraId="7375DFBF" w14:textId="77777777" w:rsidR="009A40B0" w:rsidRPr="00961B6E" w:rsidRDefault="009A40B0"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eastAsia="ko-KR"/>
        </w:rPr>
      </w:pPr>
    </w:p>
    <w:p w14:paraId="1890C4B6" w14:textId="05858BC7" w:rsidR="00596E1C" w:rsidRPr="00961B6E" w:rsidRDefault="00DE56F3" w:rsidP="00DA1EB3">
      <w:pPr>
        <w:autoSpaceDE w:val="0"/>
        <w:autoSpaceDN w:val="0"/>
        <w:adjustRightInd w:val="0"/>
        <w:ind w:left="425" w:hanging="425"/>
        <w:rPr>
          <w:rFonts w:cstheme="minorHAnsi"/>
          <w:noProof/>
          <w:lang w:val="es-ES"/>
        </w:rPr>
      </w:pPr>
      <w:r w:rsidRPr="00961B6E">
        <w:rPr>
          <w:rFonts w:cstheme="minorHAnsi"/>
          <w:noProof/>
          <w:lang w:val="es-ES"/>
        </w:rPr>
        <w:t>1</w:t>
      </w:r>
      <w:r w:rsidR="00B14845" w:rsidRPr="00961B6E">
        <w:rPr>
          <w:rFonts w:cstheme="minorHAnsi"/>
          <w:noProof/>
          <w:lang w:val="es-ES"/>
        </w:rPr>
        <w:t>6</w:t>
      </w:r>
      <w:r w:rsidRPr="00961B6E">
        <w:rPr>
          <w:rFonts w:cstheme="minorHAnsi"/>
          <w:noProof/>
          <w:lang w:val="es-ES"/>
        </w:rPr>
        <w:t>.</w:t>
      </w:r>
      <w:r w:rsidRPr="00961B6E">
        <w:rPr>
          <w:rFonts w:cstheme="minorHAnsi"/>
          <w:noProof/>
          <w:lang w:val="es-ES"/>
        </w:rPr>
        <w:tab/>
      </w:r>
      <w:r w:rsidR="00B14845" w:rsidRPr="00961B6E">
        <w:rPr>
          <w:rFonts w:cstheme="minorHAnsi"/>
          <w:noProof/>
          <w:lang w:val="es-ES"/>
        </w:rPr>
        <w:t>OBSERVA que el nuevo</w:t>
      </w:r>
      <w:r w:rsidR="00596E1C" w:rsidRPr="00961B6E">
        <w:rPr>
          <w:rFonts w:cstheme="minorHAnsi"/>
          <w:noProof/>
          <w:lang w:val="es-ES"/>
        </w:rPr>
        <w:t xml:space="preserve"> </w:t>
      </w:r>
      <w:r w:rsidR="00A23A57" w:rsidRPr="00961B6E">
        <w:rPr>
          <w:rFonts w:cstheme="minorHAnsi"/>
          <w:noProof/>
          <w:lang w:val="es-ES"/>
        </w:rPr>
        <w:t>G</w:t>
      </w:r>
      <w:r w:rsidR="00596E1C" w:rsidRPr="00961B6E">
        <w:rPr>
          <w:rFonts w:cstheme="minorHAnsi"/>
          <w:noProof/>
          <w:lang w:val="es-ES"/>
        </w:rPr>
        <w:t xml:space="preserve">rupo de trabajo sobre el Plan Estratégico ha iniciado </w:t>
      </w:r>
      <w:r w:rsidR="00A23A57" w:rsidRPr="00961B6E">
        <w:rPr>
          <w:rFonts w:cstheme="minorHAnsi"/>
          <w:noProof/>
          <w:lang w:val="es-ES"/>
        </w:rPr>
        <w:t>las</w:t>
      </w:r>
      <w:r w:rsidR="00596E1C" w:rsidRPr="00961B6E">
        <w:rPr>
          <w:rFonts w:cstheme="minorHAnsi"/>
          <w:noProof/>
          <w:lang w:val="es-ES"/>
        </w:rPr>
        <w:t xml:space="preserve"> </w:t>
      </w:r>
      <w:r w:rsidR="00A23A57" w:rsidRPr="00961B6E">
        <w:rPr>
          <w:rFonts w:cstheme="minorHAnsi"/>
          <w:noProof/>
          <w:lang w:val="es-ES"/>
        </w:rPr>
        <w:t>labores</w:t>
      </w:r>
      <w:r w:rsidR="00596E1C" w:rsidRPr="00961B6E">
        <w:rPr>
          <w:rFonts w:cstheme="minorHAnsi"/>
          <w:noProof/>
          <w:lang w:val="es-ES"/>
        </w:rPr>
        <w:t xml:space="preserve"> preliminares para garantizar </w:t>
      </w:r>
      <w:r w:rsidR="00FD75C0" w:rsidRPr="00961B6E">
        <w:rPr>
          <w:rFonts w:cstheme="minorHAnsi"/>
          <w:noProof/>
          <w:lang w:val="es-ES"/>
        </w:rPr>
        <w:t xml:space="preserve">la </w:t>
      </w:r>
      <w:r w:rsidR="006A094D" w:rsidRPr="00961B6E">
        <w:rPr>
          <w:rFonts w:cstheme="minorHAnsi"/>
          <w:noProof/>
          <w:lang w:val="es-ES"/>
        </w:rPr>
        <w:t>presentación</w:t>
      </w:r>
      <w:r w:rsidR="00FD75C0" w:rsidRPr="00961B6E">
        <w:rPr>
          <w:rFonts w:cstheme="minorHAnsi"/>
          <w:noProof/>
          <w:lang w:val="es-ES"/>
        </w:rPr>
        <w:t xml:space="preserve"> de</w:t>
      </w:r>
      <w:r w:rsidR="00596E1C" w:rsidRPr="00961B6E">
        <w:rPr>
          <w:rFonts w:cstheme="minorHAnsi"/>
          <w:noProof/>
          <w:lang w:val="es-ES"/>
        </w:rPr>
        <w:t xml:space="preserve"> un proyecto de Plan para su aprobación en la COP1</w:t>
      </w:r>
      <w:r w:rsidR="00B14845" w:rsidRPr="00961B6E">
        <w:rPr>
          <w:rFonts w:cstheme="minorHAnsi"/>
          <w:noProof/>
          <w:lang w:val="es-ES"/>
        </w:rPr>
        <w:t>5 y OBSERVA ADEMÁS que se realizarán ajustes en el Grupo de trabajo sobre el Plan Estratégico en la COP14 a partir de la selección de los nuevos representantes regionales en el Comité Permanente;</w:t>
      </w:r>
    </w:p>
    <w:p w14:paraId="119E0308" w14:textId="3D3EC940" w:rsidR="00D50D15" w:rsidRPr="00961B6E" w:rsidRDefault="00D50D15" w:rsidP="00DA1EB3">
      <w:pPr>
        <w:pStyle w:val="DRText"/>
        <w:widowControl/>
        <w:numPr>
          <w:ilvl w:val="0"/>
          <w:numId w:val="0"/>
        </w:numPr>
        <w:spacing w:after="0" w:line="240" w:lineRule="auto"/>
        <w:rPr>
          <w:rFonts w:asciiTheme="minorHAnsi" w:hAnsiTheme="minorHAnsi" w:cstheme="minorHAnsi"/>
          <w:noProof/>
          <w:color w:val="auto"/>
          <w:sz w:val="22"/>
          <w:szCs w:val="22"/>
          <w:lang w:val="es-ES" w:eastAsia="ko-KR"/>
        </w:rPr>
      </w:pPr>
    </w:p>
    <w:p w14:paraId="3B334584" w14:textId="767B3841" w:rsidR="00FC1384"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B14845" w:rsidRPr="00961B6E">
        <w:rPr>
          <w:rFonts w:asciiTheme="minorHAnsi" w:hAnsiTheme="minorHAnsi" w:cstheme="minorHAnsi"/>
          <w:noProof/>
          <w:color w:val="auto"/>
          <w:sz w:val="22"/>
          <w:szCs w:val="22"/>
          <w:lang w:val="es-ES"/>
        </w:rPr>
        <w:t>7</w:t>
      </w:r>
      <w:r w:rsidRPr="00961B6E">
        <w:rPr>
          <w:rFonts w:asciiTheme="minorHAnsi" w:hAnsiTheme="minorHAnsi" w:cstheme="minorHAnsi"/>
          <w:noProof/>
          <w:color w:val="auto"/>
          <w:sz w:val="22"/>
          <w:szCs w:val="22"/>
          <w:lang w:val="es-ES"/>
        </w:rPr>
        <w:t>.</w:t>
      </w:r>
      <w:r w:rsidRPr="00961B6E">
        <w:rPr>
          <w:rFonts w:asciiTheme="minorHAnsi" w:hAnsiTheme="minorHAnsi" w:cstheme="minorHAnsi"/>
          <w:noProof/>
          <w:color w:val="auto"/>
          <w:sz w:val="22"/>
          <w:szCs w:val="22"/>
          <w:lang w:val="es-ES"/>
        </w:rPr>
        <w:tab/>
      </w:r>
      <w:r w:rsidR="00FC1384" w:rsidRPr="00961B6E">
        <w:rPr>
          <w:rFonts w:asciiTheme="minorHAnsi" w:hAnsiTheme="minorHAnsi" w:cstheme="minorHAnsi"/>
          <w:noProof/>
          <w:color w:val="auto"/>
          <w:sz w:val="22"/>
          <w:szCs w:val="22"/>
          <w:lang w:val="es-ES"/>
        </w:rPr>
        <w:t xml:space="preserve">REAFIRMA </w:t>
      </w:r>
      <w:bookmarkStart w:id="1" w:name="_GoBack"/>
      <w:bookmarkEnd w:id="1"/>
      <w:r w:rsidR="00FC1384" w:rsidRPr="00961B6E">
        <w:rPr>
          <w:rFonts w:asciiTheme="minorHAnsi" w:hAnsiTheme="minorHAnsi" w:cstheme="minorHAnsi"/>
          <w:noProof/>
          <w:color w:val="auto"/>
          <w:sz w:val="22"/>
          <w:szCs w:val="22"/>
          <w:lang w:val="es-ES"/>
        </w:rPr>
        <w:t>que el principio de uso racional de la Convención tiene en cuenta las necesidades y aspiraciones de las generaciones actuales y futuras;</w:t>
      </w:r>
    </w:p>
    <w:p w14:paraId="5D3838E8" w14:textId="38FEAD2C" w:rsidR="007B6BFB" w:rsidRPr="00961B6E" w:rsidRDefault="00FC1384"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lastRenderedPageBreak/>
        <w:t xml:space="preserve">  </w:t>
      </w:r>
    </w:p>
    <w:p w14:paraId="2DA2C776" w14:textId="0F9604F9" w:rsidR="00FC1384"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eastAsia="ko-KR"/>
        </w:rPr>
      </w:pPr>
      <w:r w:rsidRPr="00961B6E">
        <w:rPr>
          <w:rFonts w:asciiTheme="minorHAnsi" w:hAnsiTheme="minorHAnsi" w:cstheme="minorHAnsi"/>
          <w:noProof/>
          <w:color w:val="auto"/>
          <w:sz w:val="22"/>
          <w:szCs w:val="22"/>
          <w:lang w:val="es-ES" w:eastAsia="ko-KR"/>
        </w:rPr>
        <w:t>1</w:t>
      </w:r>
      <w:r w:rsidR="00B14845" w:rsidRPr="00961B6E">
        <w:rPr>
          <w:rFonts w:asciiTheme="minorHAnsi" w:hAnsiTheme="minorHAnsi" w:cstheme="minorHAnsi"/>
          <w:noProof/>
          <w:color w:val="auto"/>
          <w:sz w:val="22"/>
          <w:szCs w:val="22"/>
          <w:lang w:val="es-ES" w:eastAsia="ko-KR"/>
        </w:rPr>
        <w:t>8</w:t>
      </w:r>
      <w:r w:rsidRPr="00961B6E">
        <w:rPr>
          <w:rFonts w:asciiTheme="minorHAnsi" w:hAnsiTheme="minorHAnsi" w:cstheme="minorHAnsi"/>
          <w:noProof/>
          <w:color w:val="auto"/>
          <w:sz w:val="22"/>
          <w:szCs w:val="22"/>
          <w:lang w:val="es-ES" w:eastAsia="ko-KR"/>
        </w:rPr>
        <w:t>.</w:t>
      </w:r>
      <w:r w:rsidRPr="00961B6E">
        <w:rPr>
          <w:rFonts w:asciiTheme="minorHAnsi" w:hAnsiTheme="minorHAnsi" w:cstheme="minorHAnsi"/>
          <w:noProof/>
          <w:color w:val="auto"/>
          <w:sz w:val="22"/>
          <w:szCs w:val="22"/>
          <w:lang w:val="es-ES" w:eastAsia="ko-KR"/>
        </w:rPr>
        <w:tab/>
      </w:r>
      <w:r w:rsidR="00FC1384" w:rsidRPr="00961B6E">
        <w:rPr>
          <w:rFonts w:asciiTheme="minorHAnsi" w:hAnsiTheme="minorHAnsi" w:cstheme="minorHAnsi"/>
          <w:noProof/>
          <w:color w:val="auto"/>
          <w:sz w:val="22"/>
          <w:szCs w:val="22"/>
          <w:lang w:val="es-ES" w:eastAsia="ko-KR"/>
        </w:rPr>
        <w:t xml:space="preserve">ACUERDA que los objetivos del Cuarto Plan Estratégico de </w:t>
      </w:r>
      <w:r w:rsidR="00410B04">
        <w:rPr>
          <w:rFonts w:asciiTheme="minorHAnsi" w:hAnsiTheme="minorHAnsi" w:cstheme="minorHAnsi"/>
          <w:noProof/>
          <w:color w:val="auto"/>
          <w:sz w:val="22"/>
          <w:szCs w:val="22"/>
          <w:lang w:val="es-ES" w:eastAsia="ko-KR"/>
        </w:rPr>
        <w:t>Ramsar</w:t>
      </w:r>
      <w:r w:rsidR="00FC1384" w:rsidRPr="00961B6E">
        <w:rPr>
          <w:rFonts w:asciiTheme="minorHAnsi" w:hAnsiTheme="minorHAnsi" w:cstheme="minorHAnsi"/>
          <w:noProof/>
          <w:color w:val="auto"/>
          <w:sz w:val="22"/>
          <w:szCs w:val="22"/>
          <w:lang w:val="es-ES" w:eastAsia="ko-KR"/>
        </w:rPr>
        <w:t xml:space="preserve"> se </w:t>
      </w:r>
      <w:r w:rsidR="00BC6827" w:rsidRPr="00961B6E">
        <w:rPr>
          <w:rFonts w:asciiTheme="minorHAnsi" w:hAnsiTheme="minorHAnsi" w:cstheme="minorHAnsi"/>
          <w:noProof/>
          <w:color w:val="auto"/>
          <w:sz w:val="22"/>
          <w:szCs w:val="22"/>
          <w:lang w:val="es-ES" w:eastAsia="ko-KR"/>
        </w:rPr>
        <w:t>conserven</w:t>
      </w:r>
      <w:r w:rsidR="00FC1384" w:rsidRPr="00961B6E">
        <w:rPr>
          <w:rFonts w:asciiTheme="minorHAnsi" w:hAnsiTheme="minorHAnsi" w:cstheme="minorHAnsi"/>
          <w:noProof/>
          <w:color w:val="auto"/>
          <w:sz w:val="22"/>
          <w:szCs w:val="22"/>
          <w:lang w:val="es-ES" w:eastAsia="ko-KR"/>
        </w:rPr>
        <w:t xml:space="preserve"> en el Quinto Plan Estratégico de </w:t>
      </w:r>
      <w:r w:rsidR="006C1275">
        <w:rPr>
          <w:rFonts w:asciiTheme="minorHAnsi" w:hAnsiTheme="minorHAnsi" w:cstheme="minorHAnsi"/>
          <w:noProof/>
          <w:color w:val="auto"/>
          <w:sz w:val="22"/>
          <w:szCs w:val="22"/>
          <w:lang w:val="es-ES" w:eastAsia="ko-KR"/>
        </w:rPr>
        <w:t xml:space="preserve">Ramsar </w:t>
      </w:r>
      <w:r w:rsidR="00016EE3" w:rsidRPr="00961B6E">
        <w:rPr>
          <w:rFonts w:asciiTheme="minorHAnsi" w:hAnsiTheme="minorHAnsi" w:cstheme="minorHAnsi"/>
          <w:noProof/>
          <w:color w:val="auto"/>
          <w:sz w:val="22"/>
          <w:szCs w:val="22"/>
          <w:lang w:val="es-ES" w:eastAsia="ko-KR"/>
        </w:rPr>
        <w:t xml:space="preserve">para </w:t>
      </w:r>
      <w:r w:rsidR="00BC6827" w:rsidRPr="00961B6E">
        <w:rPr>
          <w:rFonts w:asciiTheme="minorHAnsi" w:hAnsiTheme="minorHAnsi" w:cstheme="minorHAnsi"/>
          <w:noProof/>
          <w:color w:val="auto"/>
          <w:sz w:val="22"/>
          <w:szCs w:val="22"/>
          <w:lang w:val="es-ES" w:eastAsia="ko-KR"/>
        </w:rPr>
        <w:t>mantener</w:t>
      </w:r>
      <w:r w:rsidR="00FC1384" w:rsidRPr="00961B6E">
        <w:rPr>
          <w:rFonts w:asciiTheme="minorHAnsi" w:hAnsiTheme="minorHAnsi" w:cstheme="minorHAnsi"/>
          <w:noProof/>
          <w:color w:val="auto"/>
          <w:sz w:val="22"/>
          <w:szCs w:val="22"/>
          <w:lang w:val="es-ES" w:eastAsia="ko-KR"/>
        </w:rPr>
        <w:t xml:space="preserve"> </w:t>
      </w:r>
      <w:r w:rsidR="00BC6827" w:rsidRPr="00961B6E">
        <w:rPr>
          <w:rFonts w:asciiTheme="minorHAnsi" w:hAnsiTheme="minorHAnsi" w:cstheme="minorHAnsi"/>
          <w:noProof/>
          <w:color w:val="auto"/>
          <w:sz w:val="22"/>
          <w:szCs w:val="22"/>
          <w:lang w:val="es-ES" w:eastAsia="ko-KR"/>
        </w:rPr>
        <w:t xml:space="preserve">la </w:t>
      </w:r>
      <w:r w:rsidR="00FC1384" w:rsidRPr="00961B6E">
        <w:rPr>
          <w:rFonts w:asciiTheme="minorHAnsi" w:hAnsiTheme="minorHAnsi" w:cstheme="minorHAnsi"/>
          <w:noProof/>
          <w:color w:val="auto"/>
          <w:sz w:val="22"/>
          <w:szCs w:val="22"/>
          <w:lang w:val="es-ES" w:eastAsia="ko-KR"/>
        </w:rPr>
        <w:t>coherencia y continuidad en la presentación de informes</w:t>
      </w:r>
      <w:r w:rsidR="00300646" w:rsidRPr="00961B6E">
        <w:rPr>
          <w:rFonts w:asciiTheme="minorHAnsi" w:hAnsiTheme="minorHAnsi" w:cstheme="minorHAnsi"/>
          <w:noProof/>
          <w:color w:val="auto"/>
          <w:sz w:val="22"/>
          <w:szCs w:val="22"/>
          <w:lang w:val="es-ES" w:eastAsia="ko-KR"/>
        </w:rPr>
        <w:t>,</w:t>
      </w:r>
      <w:r w:rsidR="00FC1384" w:rsidRPr="00961B6E">
        <w:rPr>
          <w:rFonts w:asciiTheme="minorHAnsi" w:hAnsiTheme="minorHAnsi" w:cstheme="minorHAnsi"/>
          <w:noProof/>
          <w:color w:val="auto"/>
          <w:sz w:val="22"/>
          <w:szCs w:val="22"/>
          <w:lang w:val="es-ES" w:eastAsia="ko-KR"/>
        </w:rPr>
        <w:t xml:space="preserve"> y que </w:t>
      </w:r>
      <w:r w:rsidR="00BC6827" w:rsidRPr="00961B6E">
        <w:rPr>
          <w:rFonts w:asciiTheme="minorHAnsi" w:hAnsiTheme="minorHAnsi" w:cstheme="minorHAnsi"/>
          <w:noProof/>
          <w:color w:val="auto"/>
          <w:sz w:val="22"/>
          <w:szCs w:val="22"/>
          <w:lang w:val="es-ES" w:eastAsia="ko-KR"/>
        </w:rPr>
        <w:t>las metas</w:t>
      </w:r>
      <w:r w:rsidR="00FC1384" w:rsidRPr="00961B6E">
        <w:rPr>
          <w:rFonts w:asciiTheme="minorHAnsi" w:hAnsiTheme="minorHAnsi" w:cstheme="minorHAnsi"/>
          <w:noProof/>
          <w:color w:val="auto"/>
          <w:sz w:val="22"/>
          <w:szCs w:val="22"/>
          <w:lang w:val="es-ES" w:eastAsia="ko-KR"/>
        </w:rPr>
        <w:t xml:space="preserve"> y acciones se enmarquen </w:t>
      </w:r>
      <w:r w:rsidR="00BC6827" w:rsidRPr="00961B6E">
        <w:rPr>
          <w:rFonts w:asciiTheme="minorHAnsi" w:hAnsiTheme="minorHAnsi" w:cstheme="minorHAnsi"/>
          <w:noProof/>
          <w:color w:val="auto"/>
          <w:sz w:val="22"/>
          <w:szCs w:val="22"/>
          <w:lang w:val="es-ES" w:eastAsia="ko-KR"/>
        </w:rPr>
        <w:t>para realizar</w:t>
      </w:r>
      <w:r w:rsidR="00FC1384" w:rsidRPr="00961B6E">
        <w:rPr>
          <w:rFonts w:asciiTheme="minorHAnsi" w:hAnsiTheme="minorHAnsi" w:cstheme="minorHAnsi"/>
          <w:noProof/>
          <w:color w:val="auto"/>
          <w:sz w:val="22"/>
          <w:szCs w:val="22"/>
          <w:lang w:val="es-ES" w:eastAsia="ko-KR"/>
        </w:rPr>
        <w:t xml:space="preserve"> contribuciones cruciales </w:t>
      </w:r>
      <w:r w:rsidR="00016EE3" w:rsidRPr="00961B6E">
        <w:rPr>
          <w:rFonts w:asciiTheme="minorHAnsi" w:hAnsiTheme="minorHAnsi" w:cstheme="minorHAnsi"/>
          <w:noProof/>
          <w:color w:val="auto"/>
          <w:sz w:val="22"/>
          <w:szCs w:val="22"/>
          <w:lang w:val="es-ES" w:eastAsia="ko-KR"/>
        </w:rPr>
        <w:t>a favor de</w:t>
      </w:r>
      <w:r w:rsidR="00FC1384" w:rsidRPr="00961B6E">
        <w:rPr>
          <w:rFonts w:asciiTheme="minorHAnsi" w:hAnsiTheme="minorHAnsi" w:cstheme="minorHAnsi"/>
          <w:noProof/>
          <w:color w:val="auto"/>
          <w:sz w:val="22"/>
          <w:szCs w:val="22"/>
          <w:lang w:val="es-ES" w:eastAsia="ko-KR"/>
        </w:rPr>
        <w:t xml:space="preserve"> los humedales </w:t>
      </w:r>
      <w:r w:rsidR="00016EE3" w:rsidRPr="00961B6E">
        <w:rPr>
          <w:rFonts w:asciiTheme="minorHAnsi" w:hAnsiTheme="minorHAnsi" w:cstheme="minorHAnsi"/>
          <w:noProof/>
          <w:color w:val="auto"/>
          <w:sz w:val="22"/>
          <w:szCs w:val="22"/>
          <w:lang w:val="es-ES" w:eastAsia="ko-KR"/>
        </w:rPr>
        <w:t>a fin de</w:t>
      </w:r>
      <w:r w:rsidR="00FC1384" w:rsidRPr="00961B6E">
        <w:rPr>
          <w:rFonts w:asciiTheme="minorHAnsi" w:hAnsiTheme="minorHAnsi" w:cstheme="minorHAnsi"/>
          <w:noProof/>
          <w:color w:val="auto"/>
          <w:sz w:val="22"/>
          <w:szCs w:val="22"/>
          <w:lang w:val="es-ES" w:eastAsia="ko-KR"/>
        </w:rPr>
        <w:t xml:space="preserve"> hacer frente a los </w:t>
      </w:r>
      <w:r w:rsidR="00016EE3" w:rsidRPr="00961B6E">
        <w:rPr>
          <w:rFonts w:asciiTheme="minorHAnsi" w:hAnsiTheme="minorHAnsi" w:cstheme="minorHAnsi"/>
          <w:noProof/>
          <w:color w:val="auto"/>
          <w:sz w:val="22"/>
          <w:szCs w:val="22"/>
          <w:lang w:val="es-ES" w:eastAsia="ko-KR"/>
        </w:rPr>
        <w:t>problemas</w:t>
      </w:r>
      <w:r w:rsidR="00FC1384" w:rsidRPr="00961B6E">
        <w:rPr>
          <w:rFonts w:asciiTheme="minorHAnsi" w:hAnsiTheme="minorHAnsi" w:cstheme="minorHAnsi"/>
          <w:noProof/>
          <w:color w:val="auto"/>
          <w:sz w:val="22"/>
          <w:szCs w:val="22"/>
          <w:lang w:val="es-ES" w:eastAsia="ko-KR"/>
        </w:rPr>
        <w:t xml:space="preserve"> ambientales a escala mundial durante el período de aplicación del nuevo Plan;</w:t>
      </w:r>
    </w:p>
    <w:p w14:paraId="2598123B" w14:textId="77777777" w:rsidR="007B6BFB" w:rsidRPr="00961B6E" w:rsidRDefault="007B6BFB"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31C3E463" w14:textId="6AB849E4" w:rsidR="004328A2"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B14845" w:rsidRPr="00961B6E">
        <w:rPr>
          <w:rFonts w:asciiTheme="minorHAnsi" w:hAnsiTheme="minorHAnsi" w:cstheme="minorHAnsi"/>
          <w:noProof/>
          <w:color w:val="auto"/>
          <w:sz w:val="22"/>
          <w:szCs w:val="22"/>
          <w:lang w:val="es-ES"/>
        </w:rPr>
        <w:t>9</w:t>
      </w:r>
      <w:r w:rsidRPr="00961B6E">
        <w:rPr>
          <w:rFonts w:asciiTheme="minorHAnsi" w:hAnsiTheme="minorHAnsi" w:cstheme="minorHAnsi"/>
          <w:noProof/>
          <w:color w:val="auto"/>
          <w:sz w:val="22"/>
          <w:szCs w:val="22"/>
          <w:lang w:val="es-ES"/>
        </w:rPr>
        <w:t>.</w:t>
      </w:r>
      <w:r w:rsidR="00C51E4B" w:rsidRPr="00961B6E">
        <w:rPr>
          <w:rFonts w:asciiTheme="minorHAnsi" w:hAnsiTheme="minorHAnsi" w:cstheme="minorHAnsi"/>
          <w:noProof/>
          <w:color w:val="auto"/>
          <w:sz w:val="22"/>
          <w:szCs w:val="22"/>
          <w:lang w:val="es-ES"/>
        </w:rPr>
        <w:tab/>
      </w:r>
      <w:r w:rsidR="004328A2" w:rsidRPr="00961B6E">
        <w:rPr>
          <w:rFonts w:asciiTheme="minorHAnsi" w:hAnsiTheme="minorHAnsi" w:cstheme="minorHAnsi"/>
          <w:noProof/>
          <w:color w:val="auto"/>
          <w:sz w:val="22"/>
          <w:szCs w:val="22"/>
          <w:lang w:val="es-ES"/>
        </w:rPr>
        <w:t>ACUERDA ADEMÁS que el Quinto Plan Estratégico se fundamentará en la edición especial de la Perspectiva mundial sobre los humedales</w:t>
      </w:r>
      <w:r w:rsidR="00300646" w:rsidRPr="00961B6E">
        <w:rPr>
          <w:rFonts w:asciiTheme="minorHAnsi" w:hAnsiTheme="minorHAnsi" w:cstheme="minorHAnsi"/>
          <w:noProof/>
          <w:color w:val="auto"/>
          <w:sz w:val="22"/>
          <w:szCs w:val="22"/>
          <w:lang w:val="es-ES"/>
        </w:rPr>
        <w:t xml:space="preserve"> y</w:t>
      </w:r>
      <w:r w:rsidR="004328A2" w:rsidRPr="00961B6E">
        <w:rPr>
          <w:rFonts w:asciiTheme="minorHAnsi" w:hAnsiTheme="minorHAnsi" w:cstheme="minorHAnsi"/>
          <w:noProof/>
          <w:color w:val="auto"/>
          <w:sz w:val="22"/>
          <w:szCs w:val="22"/>
          <w:lang w:val="es-ES"/>
        </w:rPr>
        <w:t xml:space="preserve"> el análisis de la Secretaría de los </w:t>
      </w:r>
      <w:r w:rsidR="006C1275">
        <w:rPr>
          <w:rFonts w:asciiTheme="minorHAnsi" w:hAnsiTheme="minorHAnsi" w:cstheme="minorHAnsi"/>
          <w:noProof/>
          <w:color w:val="auto"/>
          <w:sz w:val="22"/>
          <w:szCs w:val="22"/>
          <w:lang w:val="es-ES"/>
        </w:rPr>
        <w:t>i</w:t>
      </w:r>
      <w:r w:rsidR="004328A2" w:rsidRPr="00961B6E">
        <w:rPr>
          <w:rFonts w:asciiTheme="minorHAnsi" w:hAnsiTheme="minorHAnsi" w:cstheme="minorHAnsi"/>
          <w:noProof/>
          <w:color w:val="auto"/>
          <w:sz w:val="22"/>
          <w:szCs w:val="22"/>
          <w:lang w:val="es-ES"/>
        </w:rPr>
        <w:t xml:space="preserve">nformes </w:t>
      </w:r>
      <w:r w:rsidR="006C1275">
        <w:rPr>
          <w:rFonts w:asciiTheme="minorHAnsi" w:hAnsiTheme="minorHAnsi" w:cstheme="minorHAnsi"/>
          <w:noProof/>
          <w:color w:val="auto"/>
          <w:sz w:val="22"/>
          <w:szCs w:val="22"/>
          <w:lang w:val="es-ES"/>
        </w:rPr>
        <w:t>n</w:t>
      </w:r>
      <w:r w:rsidR="004328A2" w:rsidRPr="00961B6E">
        <w:rPr>
          <w:rFonts w:asciiTheme="minorHAnsi" w:hAnsiTheme="minorHAnsi" w:cstheme="minorHAnsi"/>
          <w:noProof/>
          <w:color w:val="auto"/>
          <w:sz w:val="22"/>
          <w:szCs w:val="22"/>
          <w:lang w:val="es-ES"/>
        </w:rPr>
        <w:t xml:space="preserve">acionales presentados a la COP14, así como en elementos </w:t>
      </w:r>
      <w:r w:rsidR="00251023" w:rsidRPr="00961B6E">
        <w:rPr>
          <w:rFonts w:asciiTheme="minorHAnsi" w:hAnsiTheme="minorHAnsi" w:cstheme="minorHAnsi"/>
          <w:noProof/>
          <w:color w:val="auto"/>
          <w:sz w:val="22"/>
          <w:szCs w:val="22"/>
          <w:lang w:val="es-ES"/>
        </w:rPr>
        <w:t>esenciales</w:t>
      </w:r>
      <w:r w:rsidR="004328A2" w:rsidRPr="00961B6E">
        <w:rPr>
          <w:rFonts w:asciiTheme="minorHAnsi" w:hAnsiTheme="minorHAnsi" w:cstheme="minorHAnsi"/>
          <w:noProof/>
          <w:color w:val="auto"/>
          <w:sz w:val="22"/>
          <w:szCs w:val="22"/>
          <w:lang w:val="es-ES"/>
        </w:rPr>
        <w:t xml:space="preserve"> externos a la Convención, los Objetivos de Desarrollo Sostenible, el Marco Mundial </w:t>
      </w:r>
      <w:r w:rsidR="00C34635" w:rsidRPr="00961B6E">
        <w:rPr>
          <w:rFonts w:asciiTheme="minorHAnsi" w:hAnsiTheme="minorHAnsi" w:cstheme="minorHAnsi"/>
          <w:noProof/>
          <w:color w:val="auto"/>
          <w:sz w:val="22"/>
          <w:szCs w:val="22"/>
          <w:lang w:val="es-ES"/>
        </w:rPr>
        <w:t>de</w:t>
      </w:r>
      <w:r w:rsidR="004328A2" w:rsidRPr="00961B6E">
        <w:rPr>
          <w:rFonts w:asciiTheme="minorHAnsi" w:hAnsiTheme="minorHAnsi" w:cstheme="minorHAnsi"/>
          <w:noProof/>
          <w:color w:val="auto"/>
          <w:sz w:val="22"/>
          <w:szCs w:val="22"/>
          <w:lang w:val="es-ES"/>
        </w:rPr>
        <w:t xml:space="preserve"> la </w:t>
      </w:r>
      <w:r w:rsidR="00C34635" w:rsidRPr="00961B6E">
        <w:rPr>
          <w:rFonts w:asciiTheme="minorHAnsi" w:hAnsiTheme="minorHAnsi" w:cstheme="minorHAnsi"/>
          <w:noProof/>
          <w:color w:val="auto"/>
          <w:sz w:val="22"/>
          <w:szCs w:val="22"/>
          <w:lang w:val="es-ES"/>
        </w:rPr>
        <w:t>D</w:t>
      </w:r>
      <w:r w:rsidR="004328A2" w:rsidRPr="00961B6E">
        <w:rPr>
          <w:rFonts w:asciiTheme="minorHAnsi" w:hAnsiTheme="minorHAnsi" w:cstheme="minorHAnsi"/>
          <w:noProof/>
          <w:color w:val="auto"/>
          <w:sz w:val="22"/>
          <w:szCs w:val="22"/>
          <w:lang w:val="es-ES"/>
        </w:rPr>
        <w:t>iversidad</w:t>
      </w:r>
      <w:r w:rsidR="00C34635" w:rsidRPr="00961B6E">
        <w:rPr>
          <w:rFonts w:asciiTheme="minorHAnsi" w:hAnsiTheme="minorHAnsi" w:cstheme="minorHAnsi"/>
          <w:noProof/>
          <w:color w:val="auto"/>
          <w:sz w:val="22"/>
          <w:szCs w:val="22"/>
          <w:lang w:val="es-ES"/>
        </w:rPr>
        <w:t xml:space="preserve"> Biológica</w:t>
      </w:r>
      <w:r w:rsidR="004328A2" w:rsidRPr="00961B6E">
        <w:rPr>
          <w:rFonts w:asciiTheme="minorHAnsi" w:hAnsiTheme="minorHAnsi" w:cstheme="minorHAnsi"/>
          <w:noProof/>
          <w:color w:val="auto"/>
          <w:sz w:val="22"/>
          <w:szCs w:val="22"/>
          <w:lang w:val="es-ES"/>
        </w:rPr>
        <w:t xml:space="preserve">, el Decenio de las Naciones Unidas </w:t>
      </w:r>
      <w:r w:rsidR="00C34635" w:rsidRPr="00961B6E">
        <w:rPr>
          <w:rFonts w:asciiTheme="minorHAnsi" w:hAnsiTheme="minorHAnsi" w:cstheme="minorHAnsi"/>
          <w:noProof/>
          <w:color w:val="auto"/>
          <w:sz w:val="22"/>
          <w:szCs w:val="22"/>
          <w:lang w:val="es-ES"/>
        </w:rPr>
        <w:t>sobre</w:t>
      </w:r>
      <w:r w:rsidR="004328A2" w:rsidRPr="00961B6E">
        <w:rPr>
          <w:rFonts w:asciiTheme="minorHAnsi" w:hAnsiTheme="minorHAnsi" w:cstheme="minorHAnsi"/>
          <w:noProof/>
          <w:color w:val="auto"/>
          <w:sz w:val="22"/>
          <w:szCs w:val="22"/>
          <w:lang w:val="es-ES"/>
        </w:rPr>
        <w:t xml:space="preserve"> la Restauración</w:t>
      </w:r>
      <w:r w:rsidR="00C34635" w:rsidRPr="00961B6E">
        <w:rPr>
          <w:rFonts w:asciiTheme="minorHAnsi" w:hAnsiTheme="minorHAnsi" w:cstheme="minorHAnsi"/>
          <w:noProof/>
          <w:color w:val="auto"/>
          <w:sz w:val="22"/>
          <w:szCs w:val="22"/>
          <w:lang w:val="es-ES"/>
        </w:rPr>
        <w:t xml:space="preserve"> de los Ecosistemas</w:t>
      </w:r>
      <w:r w:rsidR="004328A2" w:rsidRPr="00961B6E">
        <w:rPr>
          <w:rFonts w:asciiTheme="minorHAnsi" w:hAnsiTheme="minorHAnsi" w:cstheme="minorHAnsi"/>
          <w:noProof/>
          <w:color w:val="auto"/>
          <w:sz w:val="22"/>
          <w:szCs w:val="22"/>
          <w:lang w:val="es-ES"/>
        </w:rPr>
        <w:t xml:space="preserve"> y todo trabajo pertinente de la IPBES o el IPCC;</w:t>
      </w:r>
    </w:p>
    <w:p w14:paraId="684305B2" w14:textId="6E3E673C" w:rsidR="007B56DC" w:rsidRPr="00961B6E" w:rsidRDefault="007B56DC"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p>
    <w:p w14:paraId="15AC1EC7" w14:textId="35E37516" w:rsidR="00C21961" w:rsidRPr="00961B6E" w:rsidRDefault="00B14845"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20</w:t>
      </w:r>
      <w:r w:rsidR="00DE56F3" w:rsidRPr="00961B6E">
        <w:rPr>
          <w:rFonts w:asciiTheme="minorHAnsi" w:hAnsiTheme="minorHAnsi" w:cstheme="minorHAnsi"/>
          <w:noProof/>
          <w:color w:val="auto"/>
          <w:sz w:val="22"/>
          <w:szCs w:val="22"/>
          <w:lang w:val="es-ES"/>
        </w:rPr>
        <w:t>.</w:t>
      </w:r>
      <w:r w:rsidR="005B050C" w:rsidRPr="00961B6E">
        <w:rPr>
          <w:rFonts w:asciiTheme="minorHAnsi" w:hAnsiTheme="minorHAnsi" w:cstheme="minorHAnsi"/>
          <w:noProof/>
          <w:color w:val="auto"/>
          <w:sz w:val="22"/>
          <w:szCs w:val="22"/>
          <w:lang w:val="es-ES"/>
        </w:rPr>
        <w:tab/>
      </w:r>
      <w:r w:rsidR="00C21961" w:rsidRPr="00961B6E">
        <w:rPr>
          <w:rFonts w:asciiTheme="minorHAnsi" w:hAnsiTheme="minorHAnsi" w:cstheme="minorHAnsi"/>
          <w:noProof/>
          <w:color w:val="auto"/>
          <w:sz w:val="22"/>
          <w:szCs w:val="22"/>
          <w:lang w:val="es-ES"/>
        </w:rPr>
        <w:t>RECONOCE el papel fundamental que desempeñan los jóvenes, las mujeres, las comunidades indígenas y locales y el sector empresarial en la aportación de soluciones a los retos ambientales a escala mundial mediante la conservación y gestión de los humedales;</w:t>
      </w:r>
    </w:p>
    <w:p w14:paraId="11D5DDEF" w14:textId="77777777" w:rsidR="00C21961" w:rsidRPr="00961B6E" w:rsidRDefault="00C21961"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p>
    <w:p w14:paraId="7AB3CE7D" w14:textId="178E2A5F" w:rsidR="00C21961"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2</w:t>
      </w:r>
      <w:r w:rsidR="00B14845" w:rsidRPr="00961B6E">
        <w:rPr>
          <w:rFonts w:asciiTheme="minorHAnsi" w:hAnsiTheme="minorHAnsi" w:cstheme="minorHAnsi"/>
          <w:noProof/>
          <w:color w:val="auto"/>
          <w:sz w:val="22"/>
          <w:szCs w:val="22"/>
          <w:lang w:val="es-ES"/>
        </w:rPr>
        <w:t>1</w:t>
      </w:r>
      <w:r w:rsidRPr="00961B6E">
        <w:rPr>
          <w:rFonts w:asciiTheme="minorHAnsi" w:hAnsiTheme="minorHAnsi" w:cstheme="minorHAnsi"/>
          <w:noProof/>
          <w:color w:val="auto"/>
          <w:sz w:val="22"/>
          <w:szCs w:val="22"/>
          <w:lang w:val="es-ES"/>
        </w:rPr>
        <w:t>.</w:t>
      </w:r>
      <w:r w:rsidR="004E6A6A" w:rsidRPr="00961B6E">
        <w:rPr>
          <w:rFonts w:asciiTheme="minorHAnsi" w:hAnsiTheme="minorHAnsi" w:cstheme="minorHAnsi"/>
          <w:noProof/>
          <w:color w:val="auto"/>
          <w:sz w:val="22"/>
          <w:szCs w:val="22"/>
          <w:lang w:val="es-ES"/>
        </w:rPr>
        <w:tab/>
      </w:r>
      <w:r w:rsidR="00C21961" w:rsidRPr="00961B6E">
        <w:rPr>
          <w:rFonts w:asciiTheme="minorHAnsi" w:hAnsiTheme="minorHAnsi" w:cstheme="minorHAnsi"/>
          <w:noProof/>
          <w:color w:val="auto"/>
          <w:sz w:val="22"/>
          <w:szCs w:val="22"/>
          <w:lang w:val="es-ES"/>
        </w:rPr>
        <w:t>ACUERDA utilizar los anexos temáticos del Cuarto Plan Estratégico en el marco y la elaboración del Quinto Plan Estratégico; y</w:t>
      </w:r>
    </w:p>
    <w:p w14:paraId="70B31B21" w14:textId="2224B564" w:rsidR="006A3A9B" w:rsidRPr="00961B6E" w:rsidRDefault="006A3A9B"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00431DFA" w14:textId="3E587A19" w:rsidR="00D54D92"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2</w:t>
      </w:r>
      <w:r w:rsidR="00B14845" w:rsidRPr="00961B6E">
        <w:rPr>
          <w:rFonts w:asciiTheme="minorHAnsi" w:hAnsiTheme="minorHAnsi" w:cstheme="minorHAnsi"/>
          <w:noProof/>
          <w:color w:val="auto"/>
          <w:sz w:val="22"/>
          <w:szCs w:val="22"/>
          <w:lang w:val="es-ES"/>
        </w:rPr>
        <w:t>2</w:t>
      </w:r>
      <w:r w:rsidRPr="00961B6E">
        <w:rPr>
          <w:rFonts w:asciiTheme="minorHAnsi" w:hAnsiTheme="minorHAnsi" w:cstheme="minorHAnsi"/>
          <w:noProof/>
          <w:color w:val="auto"/>
          <w:sz w:val="22"/>
          <w:szCs w:val="22"/>
          <w:lang w:val="es-ES"/>
        </w:rPr>
        <w:t>.</w:t>
      </w:r>
      <w:r w:rsidR="006A3A9B" w:rsidRPr="00961B6E">
        <w:rPr>
          <w:rFonts w:asciiTheme="minorHAnsi" w:hAnsiTheme="minorHAnsi" w:cstheme="minorHAnsi"/>
          <w:noProof/>
          <w:color w:val="auto"/>
          <w:sz w:val="22"/>
          <w:szCs w:val="22"/>
          <w:lang w:val="es-ES"/>
        </w:rPr>
        <w:tab/>
      </w:r>
      <w:r w:rsidR="00C21961" w:rsidRPr="00961B6E">
        <w:rPr>
          <w:rFonts w:asciiTheme="minorHAnsi" w:hAnsiTheme="minorHAnsi" w:cstheme="minorHAnsi"/>
          <w:noProof/>
          <w:color w:val="auto"/>
          <w:sz w:val="22"/>
          <w:szCs w:val="22"/>
          <w:lang w:val="es-ES"/>
        </w:rPr>
        <w:t xml:space="preserve">ENCARGA al GECT que conceda prioridad a su participación en la elaboración del Quinto Plan Estratégico como parte de su Plan de </w:t>
      </w:r>
      <w:r w:rsidR="00867765" w:rsidRPr="00961B6E">
        <w:rPr>
          <w:rFonts w:asciiTheme="minorHAnsi" w:hAnsiTheme="minorHAnsi" w:cstheme="minorHAnsi"/>
          <w:noProof/>
          <w:color w:val="auto"/>
          <w:sz w:val="22"/>
          <w:szCs w:val="22"/>
          <w:lang w:val="es-ES"/>
        </w:rPr>
        <w:t>t</w:t>
      </w:r>
      <w:r w:rsidR="00C21961" w:rsidRPr="00961B6E">
        <w:rPr>
          <w:rFonts w:asciiTheme="minorHAnsi" w:hAnsiTheme="minorHAnsi" w:cstheme="minorHAnsi"/>
          <w:noProof/>
          <w:color w:val="auto"/>
          <w:sz w:val="22"/>
          <w:szCs w:val="22"/>
          <w:lang w:val="es-ES"/>
        </w:rPr>
        <w:t>rabajo para 2022-2024.</w:t>
      </w:r>
    </w:p>
    <w:p w14:paraId="62A19915" w14:textId="77777777" w:rsidR="00D54D92" w:rsidRPr="00961B6E" w:rsidRDefault="00D54D92" w:rsidP="00DA1EB3">
      <w:pPr>
        <w:pStyle w:val="DRTitle"/>
        <w:widowControl/>
        <w:spacing w:after="0"/>
        <w:jc w:val="left"/>
        <w:rPr>
          <w:rFonts w:asciiTheme="minorHAnsi" w:hAnsiTheme="minorHAnsi" w:cstheme="minorHAnsi"/>
          <w:iCs/>
          <w:noProof/>
          <w:sz w:val="22"/>
          <w:szCs w:val="22"/>
          <w:lang w:val="es-ES"/>
        </w:rPr>
      </w:pPr>
    </w:p>
    <w:p w14:paraId="41C0B0AC" w14:textId="77777777" w:rsidR="00DE56F3" w:rsidRPr="00961B6E" w:rsidRDefault="00DE56F3" w:rsidP="00DA1EB3">
      <w:pPr>
        <w:rPr>
          <w:rFonts w:cstheme="minorHAnsi"/>
          <w:b/>
          <w:bCs/>
          <w:iCs/>
          <w:noProof/>
          <w:lang w:val="es-ES" w:eastAsia="el-GR"/>
        </w:rPr>
      </w:pPr>
      <w:r w:rsidRPr="00961B6E">
        <w:rPr>
          <w:rFonts w:cstheme="minorHAnsi"/>
          <w:iCs/>
          <w:noProof/>
          <w:lang w:val="es-ES"/>
        </w:rPr>
        <w:br w:type="page"/>
      </w:r>
    </w:p>
    <w:p w14:paraId="5507883A" w14:textId="77777777" w:rsidR="00D36AB7" w:rsidRPr="00961B6E" w:rsidRDefault="00D36AB7" w:rsidP="00DA1EB3">
      <w:pPr>
        <w:pStyle w:val="DRTitle"/>
        <w:widowControl/>
        <w:spacing w:after="0"/>
        <w:jc w:val="left"/>
        <w:rPr>
          <w:rFonts w:asciiTheme="minorHAnsi" w:hAnsiTheme="minorHAnsi" w:cstheme="minorHAnsi"/>
          <w:iCs/>
          <w:noProof/>
          <w:sz w:val="22"/>
          <w:szCs w:val="22"/>
          <w:lang w:val="es-ES"/>
        </w:rPr>
      </w:pPr>
      <w:r w:rsidRPr="00961B6E">
        <w:rPr>
          <w:rFonts w:asciiTheme="minorHAnsi" w:hAnsiTheme="minorHAnsi" w:cstheme="minorHAnsi"/>
          <w:iCs/>
          <w:noProof/>
          <w:sz w:val="22"/>
          <w:szCs w:val="22"/>
          <w:lang w:val="es-ES"/>
        </w:rPr>
        <w:lastRenderedPageBreak/>
        <w:t>ANEXO</w:t>
      </w:r>
    </w:p>
    <w:p w14:paraId="1D01FED3" w14:textId="77777777" w:rsidR="00D36AB7" w:rsidRPr="00961B6E" w:rsidRDefault="00D36AB7" w:rsidP="00DA1EB3">
      <w:pPr>
        <w:pStyle w:val="DRTitle"/>
        <w:widowControl/>
        <w:spacing w:after="0"/>
        <w:jc w:val="left"/>
        <w:rPr>
          <w:rFonts w:asciiTheme="minorHAnsi" w:hAnsiTheme="minorHAnsi" w:cstheme="minorHAnsi"/>
          <w:iCs/>
          <w:noProof/>
          <w:sz w:val="22"/>
          <w:szCs w:val="22"/>
          <w:lang w:val="es-ES"/>
        </w:rPr>
      </w:pPr>
    </w:p>
    <w:p w14:paraId="7099B1C0" w14:textId="77777777" w:rsidR="00D36AB7" w:rsidRPr="00961B6E" w:rsidRDefault="00D36AB7" w:rsidP="00DA1EB3">
      <w:pPr>
        <w:pStyle w:val="DRTitle"/>
        <w:widowControl/>
        <w:spacing w:after="0"/>
        <w:jc w:val="left"/>
        <w:rPr>
          <w:rFonts w:asciiTheme="minorHAnsi" w:hAnsiTheme="minorHAnsi" w:cstheme="minorHAnsi"/>
          <w:iCs/>
          <w:noProof/>
          <w:sz w:val="22"/>
          <w:szCs w:val="22"/>
          <w:lang w:val="es-ES"/>
        </w:rPr>
      </w:pPr>
      <w:r w:rsidRPr="00961B6E">
        <w:rPr>
          <w:rFonts w:asciiTheme="minorHAnsi" w:hAnsiTheme="minorHAnsi" w:cstheme="minorHAnsi"/>
          <w:iCs/>
          <w:noProof/>
          <w:sz w:val="22"/>
          <w:szCs w:val="22"/>
          <w:lang w:val="es-ES"/>
        </w:rPr>
        <w:t xml:space="preserve">Ajustes al Plan Estratégico de la Convención para 2016-2024  </w:t>
      </w:r>
    </w:p>
    <w:p w14:paraId="53450F6E" w14:textId="77777777" w:rsidR="00D36AB7" w:rsidRPr="00961B6E" w:rsidRDefault="00D36AB7" w:rsidP="00DA1EB3">
      <w:pPr>
        <w:rPr>
          <w:b/>
          <w:bCs/>
          <w:noProof/>
          <w:lang w:val="es-ES"/>
        </w:rPr>
      </w:pPr>
    </w:p>
    <w:p w14:paraId="1B6DD265" w14:textId="4ECE31ED" w:rsidR="00D36AB7" w:rsidRPr="00961B6E" w:rsidRDefault="00D36AB7" w:rsidP="00DA1EB3">
      <w:pPr>
        <w:rPr>
          <w:i/>
          <w:iCs/>
          <w:noProof/>
          <w:lang w:val="es-ES"/>
        </w:rPr>
      </w:pPr>
      <w:r w:rsidRPr="00961B6E">
        <w:rPr>
          <w:i/>
          <w:iCs/>
          <w:noProof/>
          <w:lang w:val="es-ES"/>
        </w:rPr>
        <w:t>Agregar al Plan Estratégico</w:t>
      </w:r>
      <w:r w:rsidR="00C73355" w:rsidRPr="00961B6E">
        <w:rPr>
          <w:i/>
          <w:iCs/>
          <w:noProof/>
          <w:lang w:val="es-ES"/>
        </w:rPr>
        <w:t xml:space="preserve"> actual</w:t>
      </w:r>
      <w:r w:rsidRPr="00961B6E">
        <w:rPr>
          <w:i/>
          <w:iCs/>
          <w:noProof/>
          <w:lang w:val="es-ES"/>
        </w:rPr>
        <w:t xml:space="preserve"> los</w:t>
      </w:r>
      <w:r w:rsidR="00C73355" w:rsidRPr="00961B6E">
        <w:rPr>
          <w:i/>
          <w:iCs/>
          <w:noProof/>
          <w:lang w:val="es-ES"/>
        </w:rPr>
        <w:t xml:space="preserve"> siguientes</w:t>
      </w:r>
      <w:r w:rsidRPr="00961B6E">
        <w:rPr>
          <w:i/>
          <w:iCs/>
          <w:noProof/>
          <w:lang w:val="es-ES"/>
        </w:rPr>
        <w:t xml:space="preserve"> anexos cuya numeración será consecutiva después del actual anexo 1.  </w:t>
      </w:r>
    </w:p>
    <w:p w14:paraId="5F2D2197" w14:textId="77777777" w:rsidR="00D36AB7" w:rsidRPr="00961B6E" w:rsidRDefault="00D36AB7" w:rsidP="00DA1EB3">
      <w:pPr>
        <w:rPr>
          <w:rFonts w:eastAsia="Times New Roman" w:cstheme="minorHAnsi"/>
          <w:noProof/>
          <w:lang w:val="es-ES" w:eastAsia="en-GB"/>
        </w:rPr>
      </w:pPr>
    </w:p>
    <w:p w14:paraId="616E80D6" w14:textId="77777777" w:rsidR="00D36AB7" w:rsidRPr="00961B6E" w:rsidRDefault="00D36AB7" w:rsidP="00DA1EB3">
      <w:pPr>
        <w:rPr>
          <w:rFonts w:eastAsia="Times New Roman" w:cstheme="minorHAnsi"/>
          <w:noProof/>
          <w:lang w:val="es-ES" w:eastAsia="en-GB"/>
        </w:rPr>
      </w:pPr>
    </w:p>
    <w:p w14:paraId="6751698E" w14:textId="77777777" w:rsidR="00D36AB7" w:rsidRPr="00961B6E" w:rsidRDefault="00D36AB7" w:rsidP="00DA1EB3">
      <w:pPr>
        <w:rPr>
          <w:rFonts w:cstheme="minorHAnsi"/>
          <w:b/>
          <w:bCs/>
          <w:noProof/>
          <w:lang w:val="es-ES"/>
        </w:rPr>
      </w:pPr>
      <w:r w:rsidRPr="00961B6E">
        <w:rPr>
          <w:b/>
          <w:bCs/>
          <w:noProof/>
          <w:lang w:val="es-ES"/>
        </w:rPr>
        <w:t xml:space="preserve">ANEXO 2: </w:t>
      </w:r>
    </w:p>
    <w:p w14:paraId="472251DE" w14:textId="5E13E5EC" w:rsidR="00D36AB7" w:rsidRPr="00961B6E" w:rsidRDefault="00D36AB7" w:rsidP="00DA1EB3">
      <w:pPr>
        <w:rPr>
          <w:rFonts w:eastAsia="Times New Roman" w:cstheme="minorHAnsi"/>
          <w:noProof/>
          <w:lang w:val="es-ES" w:eastAsia="en-GB"/>
        </w:rPr>
      </w:pPr>
      <w:r w:rsidRPr="00961B6E">
        <w:rPr>
          <w:rFonts w:eastAsia="Times New Roman" w:cstheme="minorHAnsi"/>
          <w:noProof/>
          <w:lang w:val="es-ES" w:eastAsia="en-GB"/>
        </w:rPr>
        <w:t xml:space="preserve">Este anexo se actualizará utilizando un formato similar para </w:t>
      </w:r>
      <w:r w:rsidR="005D6649" w:rsidRPr="00961B6E">
        <w:rPr>
          <w:rFonts w:eastAsia="Times New Roman" w:cstheme="minorHAnsi"/>
          <w:noProof/>
          <w:lang w:val="es-ES" w:eastAsia="en-GB"/>
        </w:rPr>
        <w:t>correlacionar</w:t>
      </w:r>
      <w:r w:rsidRPr="00961B6E">
        <w:rPr>
          <w:rFonts w:eastAsia="Times New Roman" w:cstheme="minorHAnsi"/>
          <w:noProof/>
          <w:lang w:val="es-ES" w:eastAsia="en-GB"/>
        </w:rPr>
        <w:t xml:space="preserve"> </w:t>
      </w:r>
      <w:r w:rsidR="005D6649" w:rsidRPr="00961B6E">
        <w:rPr>
          <w:rFonts w:eastAsia="Times New Roman" w:cstheme="minorHAnsi"/>
          <w:noProof/>
          <w:lang w:val="es-ES" w:eastAsia="en-GB"/>
        </w:rPr>
        <w:t>las metas</w:t>
      </w:r>
      <w:r w:rsidRPr="00961B6E">
        <w:rPr>
          <w:rFonts w:eastAsia="Times New Roman" w:cstheme="minorHAnsi"/>
          <w:noProof/>
          <w:lang w:val="es-ES" w:eastAsia="en-GB"/>
        </w:rPr>
        <w:t xml:space="preserve"> del nuevo Marco </w:t>
      </w:r>
      <w:r w:rsidR="005D6649" w:rsidRPr="00961B6E">
        <w:rPr>
          <w:rFonts w:eastAsia="Times New Roman" w:cstheme="minorHAnsi"/>
          <w:noProof/>
          <w:lang w:val="es-ES" w:eastAsia="en-GB"/>
        </w:rPr>
        <w:t>Mundial</w:t>
      </w:r>
      <w:r w:rsidRPr="00961B6E">
        <w:rPr>
          <w:rFonts w:eastAsia="Times New Roman" w:cstheme="minorHAnsi"/>
          <w:noProof/>
          <w:lang w:val="es-ES" w:eastAsia="en-GB"/>
        </w:rPr>
        <w:t xml:space="preserve"> </w:t>
      </w:r>
      <w:r w:rsidR="005D6649" w:rsidRPr="00961B6E">
        <w:rPr>
          <w:rFonts w:eastAsia="Times New Roman" w:cstheme="minorHAnsi"/>
          <w:noProof/>
          <w:lang w:val="es-ES" w:eastAsia="en-GB"/>
        </w:rPr>
        <w:t>para la Diversidad Biológica</w:t>
      </w:r>
      <w:r w:rsidRPr="00961B6E">
        <w:rPr>
          <w:rFonts w:eastAsia="Times New Roman" w:cstheme="minorHAnsi"/>
          <w:noProof/>
          <w:lang w:val="es-ES" w:eastAsia="en-GB"/>
        </w:rPr>
        <w:t xml:space="preserve"> del CDB con los objetivos y metas del Plan Estratégico de </w:t>
      </w:r>
      <w:r w:rsidR="005D6649" w:rsidRPr="00961B6E">
        <w:rPr>
          <w:rFonts w:eastAsia="Times New Roman" w:cstheme="minorHAnsi"/>
          <w:noProof/>
          <w:lang w:val="es-ES" w:eastAsia="en-GB"/>
        </w:rPr>
        <w:t>la Convención para los Humedales</w:t>
      </w:r>
      <w:r w:rsidRPr="00961B6E">
        <w:rPr>
          <w:rFonts w:eastAsia="Times New Roman" w:cstheme="minorHAnsi"/>
          <w:noProof/>
          <w:lang w:val="es-ES" w:eastAsia="en-GB"/>
        </w:rPr>
        <w:t>.</w:t>
      </w:r>
    </w:p>
    <w:p w14:paraId="13852F45" w14:textId="77777777" w:rsidR="00175AF5" w:rsidRPr="00961B6E" w:rsidRDefault="00175AF5" w:rsidP="00DA1EB3">
      <w:pPr>
        <w:rPr>
          <w:rFonts w:eastAsia="Times New Roman" w:cstheme="minorHAnsi"/>
          <w:noProof/>
          <w:lang w:val="es-ES" w:eastAsia="en-GB"/>
        </w:rPr>
      </w:pPr>
    </w:p>
    <w:p w14:paraId="3A454573" w14:textId="77777777" w:rsidR="00EA1D1A" w:rsidRPr="00961B6E" w:rsidRDefault="00D443A7" w:rsidP="00DA1EB3">
      <w:pPr>
        <w:rPr>
          <w:rFonts w:eastAsia="Times New Roman" w:cstheme="minorHAnsi"/>
          <w:noProof/>
          <w:lang w:val="es-ES" w:eastAsia="en-GB"/>
        </w:rPr>
      </w:pPr>
      <w:r w:rsidRPr="00961B6E">
        <w:rPr>
          <w:rFonts w:eastAsia="Times New Roman" w:cstheme="minorHAnsi"/>
          <w:noProof/>
          <w:lang w:val="es-ES" w:eastAsia="en-GB"/>
        </w:rPr>
        <w:t xml:space="preserve">Se espera que el Marco Mundial de la Diversidad Biológica se </w:t>
      </w:r>
      <w:r w:rsidR="00C73355" w:rsidRPr="00961B6E">
        <w:rPr>
          <w:rFonts w:eastAsia="Times New Roman" w:cstheme="minorHAnsi"/>
          <w:noProof/>
          <w:lang w:val="es-ES" w:eastAsia="en-GB"/>
        </w:rPr>
        <w:t>apruebe</w:t>
      </w:r>
      <w:r w:rsidRPr="00961B6E">
        <w:rPr>
          <w:rFonts w:eastAsia="Times New Roman" w:cstheme="minorHAnsi"/>
          <w:noProof/>
          <w:lang w:val="es-ES" w:eastAsia="en-GB"/>
        </w:rPr>
        <w:t xml:space="preserve"> </w:t>
      </w:r>
      <w:r w:rsidR="00C73355" w:rsidRPr="00961B6E">
        <w:rPr>
          <w:rFonts w:eastAsia="Times New Roman" w:cstheme="minorHAnsi"/>
          <w:noProof/>
          <w:lang w:val="es-ES" w:eastAsia="en-GB"/>
        </w:rPr>
        <w:t xml:space="preserve">en mayo de 2022, </w:t>
      </w:r>
      <w:r w:rsidRPr="00961B6E">
        <w:rPr>
          <w:rFonts w:eastAsia="Times New Roman" w:cstheme="minorHAnsi"/>
          <w:noProof/>
          <w:lang w:val="es-ES" w:eastAsia="en-GB"/>
        </w:rPr>
        <w:t>durante la reanudación de la 15ª reunión de la Conferencia de las Partes en el Convenio sobre la Diversidad Biológica</w:t>
      </w:r>
      <w:r w:rsidR="00EA1D1A" w:rsidRPr="00961B6E">
        <w:rPr>
          <w:rFonts w:eastAsia="Times New Roman" w:cstheme="minorHAnsi"/>
          <w:noProof/>
          <w:lang w:val="es-ES" w:eastAsia="en-GB"/>
        </w:rPr>
        <w:t>.</w:t>
      </w:r>
    </w:p>
    <w:p w14:paraId="5591B724" w14:textId="263AD68A" w:rsidR="00BE3994" w:rsidRPr="00961B6E" w:rsidRDefault="00D443A7" w:rsidP="00DA1EB3">
      <w:pPr>
        <w:rPr>
          <w:rFonts w:eastAsia="Times New Roman" w:cstheme="minorHAnsi"/>
          <w:noProof/>
          <w:lang w:val="es-ES" w:eastAsia="en-GB"/>
        </w:rPr>
      </w:pPr>
      <w:r w:rsidRPr="00961B6E">
        <w:rPr>
          <w:rFonts w:eastAsia="Times New Roman" w:cstheme="minorHAnsi"/>
          <w:noProof/>
          <w:lang w:val="es-ES" w:eastAsia="en-GB"/>
        </w:rPr>
        <w:t>https://www.cbd.int/conferences/2021-2022</w:t>
      </w:r>
    </w:p>
    <w:p w14:paraId="7348D560" w14:textId="4C2EBC0F" w:rsidR="00BE3994" w:rsidRPr="00961B6E" w:rsidRDefault="00BE3994" w:rsidP="00DA1EB3">
      <w:pPr>
        <w:rPr>
          <w:rFonts w:eastAsia="Times New Roman" w:cstheme="minorHAnsi"/>
          <w:noProof/>
          <w:lang w:val="es-ES" w:eastAsia="en-GB"/>
        </w:rPr>
      </w:pPr>
    </w:p>
    <w:p w14:paraId="37F172C7" w14:textId="44CD0247" w:rsidR="00BE3994" w:rsidRPr="00961B6E" w:rsidRDefault="00BE3994" w:rsidP="00DA1EB3">
      <w:pPr>
        <w:rPr>
          <w:rFonts w:eastAsia="Times New Roman" w:cstheme="minorHAnsi"/>
          <w:noProof/>
          <w:lang w:val="es-ES" w:eastAsia="en-GB"/>
        </w:rPr>
      </w:pPr>
    </w:p>
    <w:p w14:paraId="07DD2A4C" w14:textId="4AAC6A8B" w:rsidR="00BE3994" w:rsidRPr="00961B6E" w:rsidRDefault="00BE3994" w:rsidP="00DA1EB3">
      <w:pPr>
        <w:rPr>
          <w:rFonts w:eastAsia="Times New Roman" w:cstheme="minorHAnsi"/>
          <w:noProof/>
          <w:lang w:val="es-ES" w:eastAsia="en-GB"/>
        </w:rPr>
      </w:pPr>
    </w:p>
    <w:p w14:paraId="53803488" w14:textId="786C1DAB" w:rsidR="00BE3994" w:rsidRPr="00961B6E" w:rsidRDefault="00BE3994" w:rsidP="00DA1EB3">
      <w:pPr>
        <w:rPr>
          <w:rFonts w:eastAsia="Times New Roman" w:cstheme="minorHAnsi"/>
          <w:noProof/>
          <w:lang w:val="es-ES" w:eastAsia="en-GB"/>
        </w:rPr>
      </w:pPr>
    </w:p>
    <w:p w14:paraId="66BB2846" w14:textId="3504E8B6" w:rsidR="00BE3994" w:rsidRPr="00961B6E" w:rsidRDefault="00BE3994" w:rsidP="00DA1EB3">
      <w:pPr>
        <w:rPr>
          <w:rFonts w:eastAsia="Times New Roman" w:cstheme="minorHAnsi"/>
          <w:noProof/>
          <w:lang w:val="es-ES" w:eastAsia="en-GB"/>
        </w:rPr>
      </w:pPr>
    </w:p>
    <w:p w14:paraId="18605B72" w14:textId="43A0E946" w:rsidR="00BE3994" w:rsidRPr="00961B6E" w:rsidRDefault="00BE3994" w:rsidP="00DA1EB3">
      <w:pPr>
        <w:rPr>
          <w:rFonts w:eastAsia="Times New Roman" w:cstheme="minorHAnsi"/>
          <w:noProof/>
          <w:lang w:val="es-ES" w:eastAsia="en-GB"/>
        </w:rPr>
      </w:pPr>
    </w:p>
    <w:p w14:paraId="0F21F980" w14:textId="256D5986" w:rsidR="00BE3994" w:rsidRPr="00961B6E" w:rsidRDefault="00BE3994" w:rsidP="00DA1EB3">
      <w:pPr>
        <w:rPr>
          <w:rFonts w:eastAsia="Times New Roman" w:cstheme="minorHAnsi"/>
          <w:noProof/>
          <w:lang w:val="es-ES" w:eastAsia="en-GB"/>
        </w:rPr>
      </w:pPr>
    </w:p>
    <w:p w14:paraId="6F104218" w14:textId="5DC47972" w:rsidR="00BE3994" w:rsidRPr="00961B6E" w:rsidRDefault="00BE3994" w:rsidP="00DA1EB3">
      <w:pPr>
        <w:rPr>
          <w:rFonts w:eastAsia="Times New Roman" w:cstheme="minorHAnsi"/>
          <w:noProof/>
          <w:lang w:val="es-ES" w:eastAsia="en-GB"/>
        </w:rPr>
      </w:pPr>
    </w:p>
    <w:p w14:paraId="5573E573" w14:textId="08BC56EE" w:rsidR="00BE3994" w:rsidRPr="00961B6E" w:rsidRDefault="004C0584" w:rsidP="00DA1EB3">
      <w:pPr>
        <w:rPr>
          <w:rFonts w:eastAsia="Times New Roman" w:cstheme="minorHAnsi"/>
          <w:i/>
          <w:iCs/>
          <w:noProof/>
          <w:lang w:val="es-ES" w:eastAsia="en-GB"/>
        </w:rPr>
      </w:pPr>
      <w:r w:rsidRPr="00961B6E">
        <w:rPr>
          <w:rFonts w:eastAsia="Times New Roman" w:cstheme="minorHAnsi"/>
          <w:i/>
          <w:iCs/>
          <w:noProof/>
          <w:lang w:val="es-ES" w:eastAsia="en-GB"/>
        </w:rPr>
        <w:t xml:space="preserve">Esta página se ha dejado deliberadamente en blanco. </w:t>
      </w:r>
    </w:p>
    <w:p w14:paraId="733C5F28" w14:textId="6E1B7C1D" w:rsidR="00BE3994" w:rsidRPr="00961B6E" w:rsidRDefault="00BE3994" w:rsidP="00DA1EB3">
      <w:pPr>
        <w:rPr>
          <w:rFonts w:eastAsia="Times New Roman" w:cstheme="minorHAnsi"/>
          <w:noProof/>
          <w:lang w:val="es-ES" w:eastAsia="en-GB"/>
        </w:rPr>
      </w:pPr>
    </w:p>
    <w:p w14:paraId="2813311E" w14:textId="77777777" w:rsidR="005017C4" w:rsidRPr="00961B6E" w:rsidRDefault="005017C4" w:rsidP="00DA1EB3">
      <w:pPr>
        <w:rPr>
          <w:rFonts w:eastAsia="Times New Roman" w:cstheme="minorHAnsi"/>
          <w:noProof/>
          <w:lang w:val="es-ES" w:eastAsia="en-GB"/>
        </w:rPr>
      </w:pPr>
      <w:r w:rsidRPr="00961B6E">
        <w:rPr>
          <w:rFonts w:eastAsia="Times New Roman" w:cstheme="minorHAnsi"/>
          <w:noProof/>
          <w:lang w:val="es-ES" w:eastAsia="en-GB"/>
        </w:rPr>
        <w:br w:type="page"/>
      </w:r>
    </w:p>
    <w:p w14:paraId="3A1A87D6" w14:textId="77777777" w:rsidR="00251023" w:rsidRPr="00961B6E" w:rsidRDefault="00251023" w:rsidP="00DA1EB3">
      <w:pPr>
        <w:rPr>
          <w:b/>
          <w:bCs/>
          <w:noProof/>
          <w:lang w:val="es-ES"/>
        </w:rPr>
      </w:pPr>
      <w:r w:rsidRPr="00961B6E">
        <w:rPr>
          <w:b/>
          <w:bCs/>
          <w:noProof/>
          <w:lang w:val="es-ES"/>
        </w:rPr>
        <w:lastRenderedPageBreak/>
        <w:t>ANEXO 3: OBJETIVOS DE DESARROLLO SOSTENIBLE (ODS)</w:t>
      </w:r>
    </w:p>
    <w:p w14:paraId="26D9F097" w14:textId="77777777" w:rsidR="00251023" w:rsidRPr="00961B6E" w:rsidRDefault="00251023" w:rsidP="00DA1EB3">
      <w:pPr>
        <w:rPr>
          <w:b/>
          <w:bCs/>
          <w:noProof/>
          <w:lang w:val="es-ES"/>
        </w:rPr>
      </w:pPr>
    </w:p>
    <w:p w14:paraId="11EF8E26" w14:textId="77777777" w:rsidR="00251023" w:rsidRPr="00961B6E" w:rsidRDefault="00251023" w:rsidP="00DA1EB3">
      <w:pPr>
        <w:rPr>
          <w:b/>
          <w:bCs/>
          <w:noProof/>
          <w:lang w:val="es-ES"/>
        </w:rPr>
      </w:pPr>
      <w:r w:rsidRPr="00961B6E">
        <w:rPr>
          <w:b/>
          <w:bCs/>
          <w:noProof/>
          <w:lang w:val="es-ES"/>
        </w:rPr>
        <w:t xml:space="preserve">Contexto  </w:t>
      </w:r>
    </w:p>
    <w:p w14:paraId="5B47C7A8" w14:textId="77777777" w:rsidR="005017C4" w:rsidRPr="00961B6E" w:rsidRDefault="005017C4" w:rsidP="00DA1EB3">
      <w:pPr>
        <w:rPr>
          <w:noProof/>
          <w:lang w:val="es-ES"/>
        </w:rPr>
      </w:pPr>
    </w:p>
    <w:p w14:paraId="1B96F88B" w14:textId="6EB7F163" w:rsidR="004C0584" w:rsidRPr="00961B6E" w:rsidRDefault="004C0584" w:rsidP="00DA1EB3">
      <w:pPr>
        <w:rPr>
          <w:noProof/>
          <w:lang w:val="es-ES"/>
        </w:rPr>
      </w:pPr>
      <w:r w:rsidRPr="00961B6E">
        <w:rPr>
          <w:noProof/>
          <w:lang w:val="es-ES"/>
        </w:rPr>
        <w:t>La Agenda 2030 y sus ODS ofrecen una guía para la acción nacional e internacional por parte de los gobiernos, la sociedad civil, el sector privado y otros actores para lograr el desarrollo sostenible para las generaciones actuales y futuras. Los humedales aportan una serie de beneficios y servicios</w:t>
      </w:r>
      <w:r w:rsidR="0082379B" w:rsidRPr="00961B6E">
        <w:rPr>
          <w:noProof/>
          <w:lang w:val="es-ES"/>
        </w:rPr>
        <w:t>,</w:t>
      </w:r>
      <w:r w:rsidRPr="00961B6E">
        <w:rPr>
          <w:noProof/>
          <w:lang w:val="es-ES"/>
        </w:rPr>
        <w:t xml:space="preserve"> como agua limpia, alimentos, biodiversidad e infraestructura</w:t>
      </w:r>
      <w:r w:rsidR="0082379B" w:rsidRPr="00961B6E">
        <w:rPr>
          <w:noProof/>
          <w:lang w:val="es-ES"/>
        </w:rPr>
        <w:t>,</w:t>
      </w:r>
      <w:r w:rsidRPr="00961B6E">
        <w:rPr>
          <w:noProof/>
          <w:lang w:val="es-ES"/>
        </w:rPr>
        <w:t xml:space="preserve"> que sustentan los medios de subsistencia y las economías, desde las locales hasta las nacionales. </w:t>
      </w:r>
      <w:r w:rsidR="0082379B" w:rsidRPr="00961B6E">
        <w:rPr>
          <w:noProof/>
          <w:lang w:val="es-ES"/>
        </w:rPr>
        <w:t>La inversión</w:t>
      </w:r>
      <w:r w:rsidRPr="00961B6E">
        <w:rPr>
          <w:noProof/>
          <w:lang w:val="es-ES"/>
        </w:rPr>
        <w:t xml:space="preserve"> en los humedales </w:t>
      </w:r>
      <w:r w:rsidR="0082379B" w:rsidRPr="00961B6E">
        <w:rPr>
          <w:noProof/>
          <w:lang w:val="es-ES"/>
        </w:rPr>
        <w:t>generará</w:t>
      </w:r>
      <w:r w:rsidRPr="00961B6E">
        <w:rPr>
          <w:noProof/>
          <w:lang w:val="es-ES"/>
        </w:rPr>
        <w:t xml:space="preserve"> muchos beneficios colaterales para la naturaleza y la sociedad.</w:t>
      </w:r>
    </w:p>
    <w:p w14:paraId="1E729825" w14:textId="77777777" w:rsidR="004C0584" w:rsidRPr="00961B6E" w:rsidRDefault="004C0584" w:rsidP="00DA1EB3">
      <w:pPr>
        <w:rPr>
          <w:noProof/>
          <w:lang w:val="es-ES"/>
        </w:rPr>
      </w:pPr>
    </w:p>
    <w:p w14:paraId="69FDF98B" w14:textId="20A0DB13" w:rsidR="009A142C" w:rsidRPr="00961B6E" w:rsidRDefault="0082379B" w:rsidP="00DA1EB3">
      <w:pPr>
        <w:rPr>
          <w:noProof/>
          <w:lang w:val="es-ES"/>
        </w:rPr>
      </w:pPr>
      <w:r w:rsidRPr="00961B6E">
        <w:rPr>
          <w:noProof/>
          <w:lang w:val="es-ES"/>
        </w:rPr>
        <w:t xml:space="preserve">El compromiso de las Partes </w:t>
      </w:r>
      <w:r w:rsidR="003C2C71" w:rsidRPr="00961B6E">
        <w:rPr>
          <w:rFonts w:cstheme="minorHAnsi"/>
          <w:noProof/>
          <w:lang w:val="es-ES"/>
        </w:rPr>
        <w:t>Contratantes</w:t>
      </w:r>
      <w:r w:rsidR="003C2C71" w:rsidRPr="00961B6E">
        <w:rPr>
          <w:noProof/>
          <w:lang w:val="es-ES"/>
        </w:rPr>
        <w:t xml:space="preserve"> </w:t>
      </w:r>
      <w:r w:rsidRPr="00961B6E">
        <w:rPr>
          <w:noProof/>
          <w:lang w:val="es-ES"/>
        </w:rPr>
        <w:t>en la Convención sobre los Humedales de designar Humedales de Importancia Internacional y conservar y utilizar de forma racional todos sus humedales es fundamental para alcanzar los ODS. Por lo tanto, la Convención es una plataforma</w:t>
      </w:r>
      <w:r w:rsidR="00D817B4" w:rsidRPr="00961B6E">
        <w:rPr>
          <w:noProof/>
          <w:lang w:val="es-ES"/>
        </w:rPr>
        <w:t xml:space="preserve"> adecuada</w:t>
      </w:r>
      <w:r w:rsidRPr="00961B6E">
        <w:rPr>
          <w:noProof/>
          <w:lang w:val="es-ES"/>
        </w:rPr>
        <w:t xml:space="preserve"> para aplicar los ODS.</w:t>
      </w:r>
    </w:p>
    <w:p w14:paraId="1D7E9AB4" w14:textId="77777777" w:rsidR="0082379B" w:rsidRPr="00961B6E" w:rsidRDefault="0082379B" w:rsidP="00DA1EB3">
      <w:pPr>
        <w:rPr>
          <w:noProof/>
          <w:lang w:val="es-ES"/>
        </w:rPr>
      </w:pPr>
    </w:p>
    <w:p w14:paraId="7B13361C" w14:textId="6F33FE4C" w:rsidR="009A142C" w:rsidRPr="00961B6E" w:rsidRDefault="00F32A41" w:rsidP="00DA1EB3">
      <w:pPr>
        <w:rPr>
          <w:noProof/>
          <w:lang w:val="es-ES"/>
        </w:rPr>
      </w:pPr>
      <w:r w:rsidRPr="00961B6E">
        <w:rPr>
          <w:noProof/>
          <w:lang w:val="es-ES"/>
        </w:rPr>
        <w:t xml:space="preserve">El Cuarto Plan Estratégico de </w:t>
      </w:r>
      <w:r w:rsidR="006C1275">
        <w:rPr>
          <w:noProof/>
          <w:lang w:val="es-ES"/>
        </w:rPr>
        <w:t>Ramsar</w:t>
      </w:r>
      <w:r w:rsidRPr="00961B6E">
        <w:rPr>
          <w:noProof/>
          <w:lang w:val="es-ES"/>
        </w:rPr>
        <w:t xml:space="preserve"> (2016-2024) identifica cuatro objetivos generales y 19 metas específicas que apoyan directamente la consecución de los ODS </w:t>
      </w:r>
      <w:r w:rsidR="00191506" w:rsidRPr="00961B6E">
        <w:rPr>
          <w:noProof/>
          <w:lang w:val="es-ES"/>
        </w:rPr>
        <w:t xml:space="preserve">y </w:t>
      </w:r>
      <w:r w:rsidRPr="00961B6E">
        <w:rPr>
          <w:noProof/>
          <w:lang w:val="es-ES"/>
        </w:rPr>
        <w:t>las Metas de Aichi que estableció el Convenio sobre la Diversidad Biológica. El carácter integrado de los ODS, las Metas de Aichi y el Plan Estratégico de la Convención sobre los Humedales requiere una mayor integración y sinergias entre las agendas multilaterales existentes.</w:t>
      </w:r>
    </w:p>
    <w:p w14:paraId="3DC086BB" w14:textId="77777777" w:rsidR="00F32A41" w:rsidRPr="00961B6E" w:rsidRDefault="00F32A41" w:rsidP="00DA1EB3">
      <w:pPr>
        <w:rPr>
          <w:rFonts w:eastAsia="Times New Roman" w:cstheme="minorHAnsi"/>
          <w:noProof/>
          <w:lang w:val="es-ES" w:eastAsia="en-GB"/>
        </w:rPr>
      </w:pPr>
    </w:p>
    <w:p w14:paraId="0E599AA6" w14:textId="10BC9EC9" w:rsidR="00D0021B" w:rsidRPr="00961B6E" w:rsidRDefault="002F035D" w:rsidP="00DA1EB3">
      <w:pPr>
        <w:rPr>
          <w:rFonts w:eastAsia="Times New Roman" w:cstheme="minorHAnsi"/>
          <w:noProof/>
          <w:lang w:val="es-ES" w:eastAsia="en-GB"/>
        </w:rPr>
      </w:pPr>
      <w:r w:rsidRPr="00961B6E">
        <w:rPr>
          <w:rFonts w:eastAsia="Times New Roman" w:cstheme="minorHAnsi"/>
          <w:noProof/>
          <w:lang w:val="es-ES" w:eastAsia="en-GB"/>
        </w:rPr>
        <w:t xml:space="preserve">La </w:t>
      </w:r>
      <w:r w:rsidRPr="00961B6E">
        <w:rPr>
          <w:rFonts w:eastAsia="Times New Roman" w:cstheme="minorHAnsi"/>
          <w:noProof/>
          <w:u w:val="single"/>
          <w:lang w:val="es-ES" w:eastAsia="en-GB"/>
        </w:rPr>
        <w:t>Resolución XIII.7</w:t>
      </w:r>
      <w:r w:rsidRPr="00961B6E">
        <w:rPr>
          <w:rFonts w:eastAsia="Times New Roman" w:cstheme="minorHAnsi"/>
          <w:noProof/>
          <w:lang w:val="es-ES" w:eastAsia="en-GB"/>
        </w:rPr>
        <w:t xml:space="preserve"> (párrafos 14 a 19 y 39 a 44) </w:t>
      </w:r>
      <w:r w:rsidR="00CB42F4" w:rsidRPr="00961B6E">
        <w:rPr>
          <w:rFonts w:eastAsia="Times New Roman" w:cstheme="minorHAnsi"/>
          <w:noProof/>
          <w:lang w:val="es-ES" w:eastAsia="en-GB"/>
        </w:rPr>
        <w:t>refleja la magnitud</w:t>
      </w:r>
      <w:r w:rsidRPr="00961B6E">
        <w:rPr>
          <w:rFonts w:eastAsia="Times New Roman" w:cstheme="minorHAnsi"/>
          <w:noProof/>
          <w:lang w:val="es-ES" w:eastAsia="en-GB"/>
        </w:rPr>
        <w:t xml:space="preserve"> </w:t>
      </w:r>
      <w:r w:rsidR="0013044C" w:rsidRPr="00961B6E">
        <w:rPr>
          <w:rFonts w:eastAsia="Times New Roman" w:cstheme="minorHAnsi"/>
          <w:noProof/>
          <w:lang w:val="es-ES" w:eastAsia="en-GB"/>
        </w:rPr>
        <w:t>de la relación entre</w:t>
      </w:r>
      <w:r w:rsidR="00CB42F4" w:rsidRPr="00961B6E">
        <w:rPr>
          <w:rFonts w:eastAsia="Times New Roman" w:cstheme="minorHAnsi"/>
          <w:noProof/>
          <w:lang w:val="es-ES" w:eastAsia="en-GB"/>
        </w:rPr>
        <w:t xml:space="preserve"> los ODS y</w:t>
      </w:r>
      <w:r w:rsidRPr="00961B6E">
        <w:rPr>
          <w:rFonts w:eastAsia="Times New Roman" w:cstheme="minorHAnsi"/>
          <w:noProof/>
          <w:lang w:val="es-ES" w:eastAsia="en-GB"/>
        </w:rPr>
        <w:t xml:space="preserve"> la Convención sobre los Humedales. </w:t>
      </w:r>
      <w:r w:rsidR="00CC07AC" w:rsidRPr="00961B6E">
        <w:rPr>
          <w:rFonts w:eastAsia="Times New Roman" w:cstheme="minorHAnsi"/>
          <w:noProof/>
          <w:lang w:val="es-ES" w:eastAsia="en-GB"/>
        </w:rPr>
        <w:t>Además</w:t>
      </w:r>
      <w:r w:rsidRPr="00961B6E">
        <w:rPr>
          <w:rFonts w:eastAsia="Times New Roman" w:cstheme="minorHAnsi"/>
          <w:noProof/>
          <w:lang w:val="es-ES" w:eastAsia="en-GB"/>
        </w:rPr>
        <w:t>,</w:t>
      </w:r>
      <w:r w:rsidR="0013044C" w:rsidRPr="00961B6E">
        <w:rPr>
          <w:rFonts w:eastAsia="Times New Roman" w:cstheme="minorHAnsi"/>
          <w:noProof/>
          <w:lang w:val="es-ES" w:eastAsia="en-GB"/>
        </w:rPr>
        <w:t xml:space="preserve"> se ha encargado a la Secretaría,</w:t>
      </w:r>
      <w:r w:rsidRPr="00961B6E">
        <w:rPr>
          <w:rFonts w:eastAsia="Times New Roman" w:cstheme="minorHAnsi"/>
          <w:noProof/>
          <w:lang w:val="es-ES" w:eastAsia="en-GB"/>
        </w:rPr>
        <w:t xml:space="preserve"> en su calidad de co</w:t>
      </w:r>
      <w:r w:rsidR="00CC07AC" w:rsidRPr="00961B6E">
        <w:rPr>
          <w:rFonts w:eastAsia="Times New Roman" w:cstheme="minorHAnsi"/>
          <w:noProof/>
          <w:lang w:val="es-ES" w:eastAsia="en-GB"/>
        </w:rPr>
        <w:t xml:space="preserve">rresponsable </w:t>
      </w:r>
      <w:r w:rsidRPr="00961B6E">
        <w:rPr>
          <w:rFonts w:eastAsia="Times New Roman" w:cstheme="minorHAnsi"/>
          <w:noProof/>
          <w:lang w:val="es-ES" w:eastAsia="en-GB"/>
        </w:rPr>
        <w:t xml:space="preserve">del Indicador 6.6.1 del Objetivo 6, </w:t>
      </w:r>
      <w:r w:rsidR="0013044C" w:rsidRPr="00961B6E">
        <w:rPr>
          <w:rFonts w:eastAsia="Times New Roman" w:cstheme="minorHAnsi"/>
          <w:noProof/>
          <w:lang w:val="es-ES" w:eastAsia="en-GB"/>
        </w:rPr>
        <w:t>que continúe</w:t>
      </w:r>
      <w:r w:rsidRPr="00961B6E">
        <w:rPr>
          <w:rFonts w:eastAsia="Times New Roman" w:cstheme="minorHAnsi"/>
          <w:noProof/>
          <w:lang w:val="es-ES" w:eastAsia="en-GB"/>
        </w:rPr>
        <w:t xml:space="preserve"> </w:t>
      </w:r>
      <w:r w:rsidR="00CC07AC" w:rsidRPr="00961B6E">
        <w:rPr>
          <w:rFonts w:eastAsia="Times New Roman" w:cstheme="minorHAnsi"/>
          <w:noProof/>
          <w:lang w:val="es-ES" w:eastAsia="en-GB"/>
        </w:rPr>
        <w:t>colaborando</w:t>
      </w:r>
      <w:r w:rsidRPr="00961B6E">
        <w:rPr>
          <w:rFonts w:eastAsia="Times New Roman" w:cstheme="minorHAnsi"/>
          <w:noProof/>
          <w:lang w:val="es-ES" w:eastAsia="en-GB"/>
        </w:rPr>
        <w:t xml:space="preserve"> con las Partes Contratantes en la realización de inventarios nacionales </w:t>
      </w:r>
      <w:r w:rsidR="00CC07AC" w:rsidRPr="00961B6E">
        <w:rPr>
          <w:rFonts w:eastAsia="Times New Roman" w:cstheme="minorHAnsi"/>
          <w:noProof/>
          <w:lang w:val="es-ES" w:eastAsia="en-GB"/>
        </w:rPr>
        <w:t>sobre los</w:t>
      </w:r>
      <w:r w:rsidRPr="00961B6E">
        <w:rPr>
          <w:rFonts w:eastAsia="Times New Roman" w:cstheme="minorHAnsi"/>
          <w:noProof/>
          <w:lang w:val="es-ES" w:eastAsia="en-GB"/>
        </w:rPr>
        <w:t xml:space="preserve"> humedales y </w:t>
      </w:r>
      <w:r w:rsidR="00CC07AC" w:rsidRPr="00961B6E">
        <w:rPr>
          <w:rFonts w:eastAsia="Times New Roman" w:cstheme="minorHAnsi"/>
          <w:noProof/>
          <w:lang w:val="es-ES" w:eastAsia="en-GB"/>
        </w:rPr>
        <w:t>la</w:t>
      </w:r>
      <w:r w:rsidRPr="00961B6E">
        <w:rPr>
          <w:rFonts w:eastAsia="Times New Roman" w:cstheme="minorHAnsi"/>
          <w:noProof/>
          <w:lang w:val="es-ES" w:eastAsia="en-GB"/>
        </w:rPr>
        <w:t xml:space="preserve"> extensión</w:t>
      </w:r>
      <w:r w:rsidR="00CC07AC" w:rsidRPr="00961B6E">
        <w:rPr>
          <w:rFonts w:eastAsia="Times New Roman" w:cstheme="minorHAnsi"/>
          <w:noProof/>
          <w:lang w:val="es-ES" w:eastAsia="en-GB"/>
        </w:rPr>
        <w:t xml:space="preserve"> de los mismos</w:t>
      </w:r>
      <w:r w:rsidRPr="00961B6E">
        <w:rPr>
          <w:rFonts w:eastAsia="Times New Roman" w:cstheme="minorHAnsi"/>
          <w:noProof/>
          <w:lang w:val="es-ES" w:eastAsia="en-GB"/>
        </w:rPr>
        <w:t xml:space="preserve"> para informar sobre el Indicador 6.6.1 de los ODS.</w:t>
      </w:r>
    </w:p>
    <w:p w14:paraId="57D757A1" w14:textId="77777777" w:rsidR="002F035D" w:rsidRPr="00961B6E" w:rsidRDefault="002F035D" w:rsidP="00DA1EB3">
      <w:pPr>
        <w:rPr>
          <w:rFonts w:eastAsia="Times New Roman" w:cstheme="minorHAnsi"/>
          <w:noProof/>
          <w:lang w:val="es-ES" w:eastAsia="en-GB"/>
        </w:rPr>
      </w:pPr>
    </w:p>
    <w:p w14:paraId="1E8E8269" w14:textId="13820610" w:rsidR="00D0021B" w:rsidRPr="00961B6E" w:rsidRDefault="00CC07AC" w:rsidP="00DA1EB3">
      <w:pPr>
        <w:rPr>
          <w:rFonts w:eastAsia="Times New Roman" w:cstheme="minorHAnsi"/>
          <w:noProof/>
          <w:lang w:val="es-ES" w:eastAsia="en-GB"/>
        </w:rPr>
      </w:pPr>
      <w:r w:rsidRPr="00961B6E">
        <w:rPr>
          <w:rFonts w:eastAsia="Times New Roman" w:cstheme="minorHAnsi"/>
          <w:noProof/>
          <w:lang w:val="es-ES" w:eastAsia="en-GB"/>
        </w:rPr>
        <w:t xml:space="preserve">También se </w:t>
      </w:r>
      <w:r w:rsidR="008A32AE" w:rsidRPr="00961B6E">
        <w:rPr>
          <w:rFonts w:eastAsia="Times New Roman" w:cstheme="minorHAnsi"/>
          <w:noProof/>
          <w:lang w:val="es-ES" w:eastAsia="en-GB"/>
        </w:rPr>
        <w:t xml:space="preserve">ha </w:t>
      </w:r>
      <w:r w:rsidRPr="00961B6E">
        <w:rPr>
          <w:rFonts w:eastAsia="Times New Roman" w:cstheme="minorHAnsi"/>
          <w:noProof/>
          <w:lang w:val="es-ES" w:eastAsia="en-GB"/>
        </w:rPr>
        <w:t>encarga</w:t>
      </w:r>
      <w:r w:rsidR="008A32AE" w:rsidRPr="00961B6E">
        <w:rPr>
          <w:rFonts w:eastAsia="Times New Roman" w:cstheme="minorHAnsi"/>
          <w:noProof/>
          <w:lang w:val="es-ES" w:eastAsia="en-GB"/>
        </w:rPr>
        <w:t>do</w:t>
      </w:r>
      <w:r w:rsidRPr="00961B6E">
        <w:rPr>
          <w:rFonts w:eastAsia="Times New Roman" w:cstheme="minorHAnsi"/>
          <w:noProof/>
          <w:lang w:val="es-ES" w:eastAsia="en-GB"/>
        </w:rPr>
        <w:t xml:space="preserve"> a la Secretaría que participe, según corresponda, en iniciativas internacionales pertinentes para abordar los Objetivos </w:t>
      </w:r>
      <w:r w:rsidR="008A32AE" w:rsidRPr="00961B6E">
        <w:rPr>
          <w:rFonts w:eastAsia="Times New Roman" w:cstheme="minorHAnsi"/>
          <w:noProof/>
          <w:lang w:val="es-ES" w:eastAsia="en-GB"/>
        </w:rPr>
        <w:t xml:space="preserve">para </w:t>
      </w:r>
      <w:r w:rsidRPr="00961B6E">
        <w:rPr>
          <w:rFonts w:eastAsia="Times New Roman" w:cstheme="minorHAnsi"/>
          <w:noProof/>
          <w:lang w:val="es-ES" w:eastAsia="en-GB"/>
        </w:rPr>
        <w:t xml:space="preserve">2030 y, específicamente, los Objetivos </w:t>
      </w:r>
      <w:hyperlink r:id="rId8" w:history="1">
        <w:r w:rsidRPr="00961B6E">
          <w:rPr>
            <w:rFonts w:eastAsia="Times New Roman" w:cstheme="minorHAnsi"/>
            <w:noProof/>
            <w:u w:val="single"/>
            <w:lang w:val="es-ES" w:eastAsia="en-GB"/>
          </w:rPr>
          <w:t>14</w:t>
        </w:r>
      </w:hyperlink>
      <w:r w:rsidRPr="00961B6E">
        <w:rPr>
          <w:rFonts w:eastAsia="Times New Roman" w:cstheme="minorHAnsi"/>
          <w:noProof/>
          <w:lang w:val="es-ES" w:eastAsia="en-GB"/>
        </w:rPr>
        <w:t xml:space="preserve"> y </w:t>
      </w:r>
      <w:hyperlink r:id="rId9" w:history="1">
        <w:r w:rsidRPr="00961B6E">
          <w:rPr>
            <w:rFonts w:eastAsia="Times New Roman" w:cstheme="minorHAnsi"/>
            <w:noProof/>
            <w:u w:val="single"/>
            <w:lang w:val="es-ES" w:eastAsia="en-GB"/>
          </w:rPr>
          <w:t>15</w:t>
        </w:r>
      </w:hyperlink>
      <w:r w:rsidRPr="00961B6E">
        <w:rPr>
          <w:rFonts w:eastAsia="Times New Roman" w:cstheme="minorHAnsi"/>
          <w:noProof/>
          <w:vertAlign w:val="superscript"/>
          <w:lang w:val="es-ES" w:eastAsia="en-GB"/>
        </w:rPr>
        <w:footnoteReference w:id="1"/>
      </w:r>
      <w:r w:rsidRPr="00961B6E">
        <w:rPr>
          <w:rFonts w:eastAsia="Times New Roman" w:cstheme="minorHAnsi"/>
          <w:noProof/>
          <w:lang w:val="es-ES" w:eastAsia="en-GB"/>
        </w:rPr>
        <w:t xml:space="preserve"> y las Meta</w:t>
      </w:r>
      <w:r w:rsidR="00FE78A7" w:rsidRPr="00961B6E">
        <w:rPr>
          <w:rFonts w:eastAsia="Times New Roman" w:cstheme="minorHAnsi"/>
          <w:noProof/>
          <w:lang w:val="es-ES" w:eastAsia="en-GB"/>
        </w:rPr>
        <w:t xml:space="preserve">s </w:t>
      </w:r>
      <w:hyperlink r:id="rId10" w:history="1">
        <w:r w:rsidR="00FE78A7" w:rsidRPr="00961B6E">
          <w:rPr>
            <w:rFonts w:eastAsia="Times New Roman" w:cstheme="minorHAnsi"/>
            <w:noProof/>
            <w:u w:val="single"/>
            <w:lang w:val="es-ES" w:eastAsia="en-GB"/>
          </w:rPr>
          <w:t>14.2</w:t>
        </w:r>
      </w:hyperlink>
      <w:r w:rsidR="00FE78A7" w:rsidRPr="00961B6E">
        <w:rPr>
          <w:rFonts w:eastAsia="Times New Roman" w:cstheme="minorHAnsi"/>
          <w:noProof/>
          <w:lang w:val="es-ES" w:eastAsia="en-GB"/>
        </w:rPr>
        <w:t xml:space="preserve"> and </w:t>
      </w:r>
      <w:hyperlink r:id="rId11" w:history="1">
        <w:r w:rsidR="00FE78A7" w:rsidRPr="00961B6E">
          <w:rPr>
            <w:rFonts w:eastAsia="Times New Roman" w:cstheme="minorHAnsi"/>
            <w:noProof/>
            <w:u w:val="single"/>
            <w:lang w:val="es-ES" w:eastAsia="en-GB"/>
          </w:rPr>
          <w:t>15.1</w:t>
        </w:r>
      </w:hyperlink>
      <w:r w:rsidR="00FE78A7" w:rsidRPr="00961B6E">
        <w:rPr>
          <w:rFonts w:eastAsia="Times New Roman" w:cstheme="minorHAnsi"/>
          <w:noProof/>
          <w:lang w:val="es-ES" w:eastAsia="en-GB"/>
        </w:rPr>
        <w:t xml:space="preserve">. </w:t>
      </w:r>
      <w:r w:rsidRPr="00961B6E">
        <w:rPr>
          <w:rFonts w:eastAsia="Times New Roman" w:cstheme="minorHAnsi"/>
          <w:noProof/>
          <w:lang w:val="es-ES" w:eastAsia="en-GB"/>
        </w:rPr>
        <w:t xml:space="preserve">La misma </w:t>
      </w:r>
      <w:r w:rsidR="00FE78A7" w:rsidRPr="00961B6E">
        <w:rPr>
          <w:rFonts w:eastAsia="Times New Roman" w:cstheme="minorHAnsi"/>
          <w:noProof/>
          <w:lang w:val="es-ES" w:eastAsia="en-GB"/>
        </w:rPr>
        <w:t>R</w:t>
      </w:r>
      <w:r w:rsidRPr="00961B6E">
        <w:rPr>
          <w:rFonts w:eastAsia="Times New Roman" w:cstheme="minorHAnsi"/>
          <w:noProof/>
          <w:lang w:val="es-ES" w:eastAsia="en-GB"/>
        </w:rPr>
        <w:t>esolución</w:t>
      </w:r>
      <w:r w:rsidR="00FE78A7" w:rsidRPr="00961B6E">
        <w:rPr>
          <w:rFonts w:eastAsia="Times New Roman" w:cstheme="minorHAnsi"/>
          <w:noProof/>
          <w:lang w:val="es-ES" w:eastAsia="en-GB"/>
        </w:rPr>
        <w:t xml:space="preserve"> </w:t>
      </w:r>
      <w:r w:rsidRPr="00961B6E">
        <w:rPr>
          <w:rFonts w:eastAsia="Times New Roman" w:cstheme="minorHAnsi"/>
          <w:noProof/>
          <w:lang w:val="es-ES" w:eastAsia="en-GB"/>
        </w:rPr>
        <w:t>subrayó la relevancia de los ODS 1, 2, 5, 11 y 13 para la Convención</w:t>
      </w:r>
      <w:r w:rsidR="00D0021B" w:rsidRPr="00961B6E">
        <w:rPr>
          <w:rFonts w:eastAsia="Times New Roman" w:cstheme="minorHAnsi"/>
          <w:noProof/>
          <w:lang w:val="es-ES" w:eastAsia="en-GB"/>
        </w:rPr>
        <w:t>.</w:t>
      </w:r>
      <w:r w:rsidR="00D0021B" w:rsidRPr="00961B6E">
        <w:rPr>
          <w:rFonts w:eastAsia="Times New Roman" w:cstheme="minorHAnsi"/>
          <w:noProof/>
          <w:vertAlign w:val="superscript"/>
          <w:lang w:val="es-ES" w:eastAsia="en-GB"/>
        </w:rPr>
        <w:footnoteReference w:id="2"/>
      </w:r>
    </w:p>
    <w:p w14:paraId="5C2DC125" w14:textId="77777777" w:rsidR="00D0021B" w:rsidRPr="00961B6E" w:rsidRDefault="00D0021B" w:rsidP="00DA1EB3">
      <w:pPr>
        <w:rPr>
          <w:rFonts w:eastAsia="Times New Roman" w:cstheme="minorHAnsi"/>
          <w:noProof/>
          <w:lang w:val="es-ES" w:eastAsia="en-GB"/>
        </w:rPr>
      </w:pPr>
    </w:p>
    <w:p w14:paraId="294BF953" w14:textId="03AF4436" w:rsidR="008759FF" w:rsidRPr="00961B6E" w:rsidRDefault="00FE78A7" w:rsidP="00DA1EB3">
      <w:pPr>
        <w:rPr>
          <w:rFonts w:cstheme="minorHAnsi"/>
          <w:noProof/>
          <w:lang w:val="es-ES"/>
        </w:rPr>
      </w:pPr>
      <w:r w:rsidRPr="00961B6E">
        <w:rPr>
          <w:rFonts w:cstheme="minorHAnsi"/>
          <w:noProof/>
          <w:lang w:val="es-ES"/>
        </w:rPr>
        <w:t xml:space="preserve">Sobre la base del informe de la Secretaría </w:t>
      </w:r>
      <w:r w:rsidRPr="00961B6E">
        <w:rPr>
          <w:rFonts w:cstheme="minorHAnsi"/>
          <w:i/>
          <w:iCs/>
          <w:noProof/>
          <w:lang w:val="es-ES"/>
        </w:rPr>
        <w:t>Wetlands and the SDGs - scaling up wetland conservation, wise use and restoration to achieve the SDGs</w:t>
      </w:r>
      <w:r w:rsidRPr="00961B6E">
        <w:rPr>
          <w:rFonts w:cstheme="minorHAnsi"/>
          <w:noProof/>
          <w:lang w:val="es-ES"/>
        </w:rPr>
        <w:t xml:space="preserve"> </w:t>
      </w:r>
      <w:r w:rsidR="007A79CF" w:rsidRPr="00961B6E">
        <w:rPr>
          <w:rFonts w:cstheme="minorHAnsi"/>
          <w:noProof/>
          <w:lang w:val="es-ES"/>
        </w:rPr>
        <w:t>[</w:t>
      </w:r>
      <w:r w:rsidRPr="00961B6E">
        <w:rPr>
          <w:rFonts w:cstheme="minorHAnsi"/>
          <w:noProof/>
          <w:lang w:val="es-ES"/>
        </w:rPr>
        <w:t xml:space="preserve">Los humedales y los ODS: </w:t>
      </w:r>
      <w:r w:rsidR="007A79CF" w:rsidRPr="00961B6E">
        <w:rPr>
          <w:rFonts w:cstheme="minorHAnsi"/>
          <w:noProof/>
          <w:lang w:val="es-ES"/>
        </w:rPr>
        <w:t>intensificación de</w:t>
      </w:r>
      <w:r w:rsidRPr="00961B6E">
        <w:rPr>
          <w:rFonts w:cstheme="minorHAnsi"/>
          <w:noProof/>
          <w:lang w:val="es-ES"/>
        </w:rPr>
        <w:t xml:space="preserve"> la conservación, el uso racional y la restauración de los humedales para </w:t>
      </w:r>
      <w:r w:rsidR="007A79CF" w:rsidRPr="00961B6E">
        <w:rPr>
          <w:rFonts w:cstheme="minorHAnsi"/>
          <w:noProof/>
          <w:lang w:val="es-ES"/>
        </w:rPr>
        <w:t>lograr</w:t>
      </w:r>
      <w:r w:rsidRPr="00961B6E">
        <w:rPr>
          <w:rFonts w:cstheme="minorHAnsi"/>
          <w:noProof/>
          <w:lang w:val="es-ES"/>
        </w:rPr>
        <w:t xml:space="preserve"> los ODS</w:t>
      </w:r>
      <w:r w:rsidR="007A79CF" w:rsidRPr="00961B6E">
        <w:rPr>
          <w:rFonts w:cstheme="minorHAnsi"/>
          <w:noProof/>
          <w:lang w:val="es-ES"/>
        </w:rPr>
        <w:t>]</w:t>
      </w:r>
      <w:r w:rsidRPr="00961B6E">
        <w:rPr>
          <w:rFonts w:cstheme="minorHAnsi"/>
          <w:noProof/>
          <w:lang w:val="es-ES"/>
        </w:rPr>
        <w:t xml:space="preserve">, en el siguiente cuadro </w:t>
      </w:r>
      <w:r w:rsidR="008A32AE" w:rsidRPr="00961B6E">
        <w:rPr>
          <w:rFonts w:cstheme="minorHAnsi"/>
          <w:noProof/>
          <w:lang w:val="es-ES"/>
        </w:rPr>
        <w:t>se indica en qué aspectos</w:t>
      </w:r>
      <w:r w:rsidRPr="00961B6E">
        <w:rPr>
          <w:rFonts w:cstheme="minorHAnsi"/>
          <w:noProof/>
          <w:lang w:val="es-ES"/>
        </w:rPr>
        <w:t xml:space="preserve"> las Partes Contratantes pueden </w:t>
      </w:r>
      <w:r w:rsidR="008A32AE" w:rsidRPr="00961B6E">
        <w:rPr>
          <w:rFonts w:cstheme="minorHAnsi"/>
          <w:noProof/>
          <w:lang w:val="es-ES"/>
        </w:rPr>
        <w:t>integrar aún más</w:t>
      </w:r>
      <w:r w:rsidR="006C53ED" w:rsidRPr="00961B6E">
        <w:rPr>
          <w:rFonts w:cstheme="minorHAnsi"/>
          <w:noProof/>
          <w:lang w:val="es-ES"/>
        </w:rPr>
        <w:t xml:space="preserve"> </w:t>
      </w:r>
      <w:r w:rsidRPr="00961B6E">
        <w:rPr>
          <w:rFonts w:cstheme="minorHAnsi"/>
          <w:noProof/>
          <w:lang w:val="es-ES"/>
        </w:rPr>
        <w:t>los ODS como parte de su aplicación práctica del Plan Estratégico.</w:t>
      </w:r>
    </w:p>
    <w:p w14:paraId="40F5964B" w14:textId="77777777" w:rsidR="008759FF" w:rsidRPr="00961B6E" w:rsidRDefault="008759FF" w:rsidP="00DA1EB3">
      <w:pPr>
        <w:rPr>
          <w:rFonts w:cstheme="minorHAnsi"/>
          <w:b/>
          <w:noProof/>
          <w:lang w:val="es-ES"/>
        </w:rPr>
      </w:pPr>
      <w:r w:rsidRPr="00961B6E">
        <w:rPr>
          <w:rFonts w:cstheme="minorHAnsi"/>
          <w:b/>
          <w:noProof/>
          <w:lang w:val="es-ES"/>
        </w:rPr>
        <w:br w:type="page"/>
      </w:r>
    </w:p>
    <w:p w14:paraId="021FFE03" w14:textId="6CDCE8E8" w:rsidR="00ED4CD8" w:rsidRPr="00961B6E" w:rsidRDefault="00BE7F85" w:rsidP="00DA1EB3">
      <w:pPr>
        <w:rPr>
          <w:rFonts w:cstheme="minorHAnsi"/>
          <w:b/>
          <w:noProof/>
          <w:lang w:val="es-ES"/>
        </w:rPr>
      </w:pPr>
      <w:r w:rsidRPr="00961B6E">
        <w:rPr>
          <w:rFonts w:cstheme="minorHAnsi"/>
          <w:b/>
          <w:noProof/>
          <w:lang w:val="es-ES"/>
        </w:rPr>
        <w:lastRenderedPageBreak/>
        <w:t xml:space="preserve">Principales medidas para apoyar la aplicación práctica de los ODS </w:t>
      </w:r>
    </w:p>
    <w:p w14:paraId="7B4173FB" w14:textId="7ADE8350" w:rsidR="008759FF" w:rsidRPr="00961B6E" w:rsidRDefault="008759FF" w:rsidP="00DA1EB3">
      <w:pPr>
        <w:rPr>
          <w:rFonts w:eastAsia="Times New Roman" w:cstheme="minorHAnsi"/>
          <w:b/>
          <w:bCs/>
          <w:noProof/>
          <w:lang w:val="es-ES" w:eastAsia="en-GB"/>
        </w:rPr>
      </w:pPr>
    </w:p>
    <w:tbl>
      <w:tblPr>
        <w:tblStyle w:val="TableGrid"/>
        <w:tblW w:w="0" w:type="auto"/>
        <w:tblLayout w:type="fixed"/>
        <w:tblLook w:val="04A0" w:firstRow="1" w:lastRow="0" w:firstColumn="1" w:lastColumn="0" w:noHBand="0" w:noVBand="1"/>
      </w:tblPr>
      <w:tblGrid>
        <w:gridCol w:w="3256"/>
        <w:gridCol w:w="3543"/>
        <w:gridCol w:w="2217"/>
      </w:tblGrid>
      <w:tr w:rsidR="00BE7F85" w:rsidRPr="001E0965" w14:paraId="6E946589" w14:textId="77777777" w:rsidTr="00453A3D">
        <w:trPr>
          <w:tblHeader/>
        </w:trPr>
        <w:tc>
          <w:tcPr>
            <w:tcW w:w="3256" w:type="dxa"/>
          </w:tcPr>
          <w:p w14:paraId="717425C1" w14:textId="77777777" w:rsidR="00BE7F85" w:rsidRPr="00961B6E" w:rsidRDefault="00BE7F85" w:rsidP="00DA1EB3">
            <w:pPr>
              <w:pStyle w:val="ListParagraph"/>
              <w:ind w:left="0"/>
              <w:rPr>
                <w:rFonts w:cstheme="minorHAnsi"/>
                <w:b/>
                <w:bCs/>
                <w:noProof/>
                <w:sz w:val="20"/>
                <w:szCs w:val="20"/>
                <w:lang w:val="es-ES"/>
              </w:rPr>
            </w:pPr>
            <w:r w:rsidRPr="00961B6E">
              <w:rPr>
                <w:rFonts w:cstheme="minorHAnsi"/>
                <w:b/>
                <w:bCs/>
                <w:noProof/>
                <w:sz w:val="20"/>
                <w:szCs w:val="20"/>
                <w:lang w:val="es-ES"/>
              </w:rPr>
              <w:t>Objetivos y metas del Plan Estratégico</w:t>
            </w:r>
          </w:p>
        </w:tc>
        <w:tc>
          <w:tcPr>
            <w:tcW w:w="3543" w:type="dxa"/>
          </w:tcPr>
          <w:p w14:paraId="0FD943EB" w14:textId="77777777" w:rsidR="00BE7F85" w:rsidRPr="00961B6E" w:rsidRDefault="00BE7F85" w:rsidP="00DA1EB3">
            <w:pPr>
              <w:pStyle w:val="ListParagraph"/>
              <w:ind w:left="0"/>
              <w:rPr>
                <w:rFonts w:cstheme="minorHAnsi"/>
                <w:b/>
                <w:bCs/>
                <w:noProof/>
                <w:sz w:val="20"/>
                <w:szCs w:val="20"/>
                <w:lang w:val="es-ES"/>
              </w:rPr>
            </w:pPr>
            <w:r w:rsidRPr="00961B6E">
              <w:rPr>
                <w:rFonts w:cstheme="minorHAnsi"/>
                <w:b/>
                <w:bCs/>
                <w:noProof/>
                <w:sz w:val="20"/>
                <w:szCs w:val="20"/>
                <w:lang w:val="es-ES"/>
              </w:rPr>
              <w:t>Medidas para integrar los humedales en los procesos de planificación de los ODS</w:t>
            </w:r>
          </w:p>
        </w:tc>
        <w:tc>
          <w:tcPr>
            <w:tcW w:w="2217" w:type="dxa"/>
          </w:tcPr>
          <w:p w14:paraId="1D0F49F1" w14:textId="77777777" w:rsidR="00BE7F85" w:rsidRPr="00961B6E" w:rsidRDefault="00BE7F85" w:rsidP="00DA1EB3">
            <w:pPr>
              <w:pStyle w:val="ListParagraph"/>
              <w:ind w:left="0"/>
              <w:rPr>
                <w:rFonts w:cstheme="minorHAnsi"/>
                <w:b/>
                <w:bCs/>
                <w:noProof/>
                <w:sz w:val="20"/>
                <w:szCs w:val="20"/>
                <w:lang w:val="es-ES"/>
              </w:rPr>
            </w:pPr>
            <w:r w:rsidRPr="00961B6E">
              <w:rPr>
                <w:rFonts w:cstheme="minorHAnsi"/>
                <w:b/>
                <w:bCs/>
                <w:noProof/>
                <w:sz w:val="20"/>
                <w:szCs w:val="20"/>
                <w:lang w:val="es-ES"/>
              </w:rPr>
              <w:t>Metas de los ODS conexas</w:t>
            </w:r>
          </w:p>
        </w:tc>
      </w:tr>
      <w:tr w:rsidR="00BE7F85" w:rsidRPr="001E0965" w14:paraId="28F7E2D0" w14:textId="77777777" w:rsidTr="00453A3D">
        <w:tc>
          <w:tcPr>
            <w:tcW w:w="9016" w:type="dxa"/>
            <w:gridSpan w:val="3"/>
          </w:tcPr>
          <w:p w14:paraId="4E082172"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1: </w:t>
            </w:r>
            <w:r w:rsidRPr="00961B6E">
              <w:rPr>
                <w:rFonts w:asciiTheme="minorHAnsi" w:hAnsiTheme="minorHAnsi" w:cstheme="minorHAnsi"/>
                <w:b/>
                <w:bCs/>
                <w:noProof/>
                <w:sz w:val="20"/>
                <w:szCs w:val="20"/>
                <w:lang w:val="es-ES"/>
              </w:rPr>
              <w:t>Hacer frente a los factores que impulsan la pérdida y degradación de los humedales</w:t>
            </w:r>
          </w:p>
        </w:tc>
      </w:tr>
      <w:tr w:rsidR="00BE7F85" w:rsidRPr="00961B6E" w14:paraId="118F3701" w14:textId="77777777" w:rsidTr="00453A3D">
        <w:tc>
          <w:tcPr>
            <w:tcW w:w="3256" w:type="dxa"/>
          </w:tcPr>
          <w:p w14:paraId="48C51B94"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w:t>
            </w:r>
            <w:r w:rsidRPr="00961B6E">
              <w:rPr>
                <w:rFonts w:asciiTheme="minorHAnsi" w:hAnsiTheme="minorHAnsi" w:cstheme="minorHAnsi"/>
                <w:b/>
                <w:bCs/>
                <w:noProof/>
                <w:sz w:val="20"/>
                <w:szCs w:val="20"/>
                <w:lang w:val="es-ES"/>
              </w:rPr>
              <w:t xml:space="preserve"> </w:t>
            </w:r>
            <w:r w:rsidRPr="00961B6E">
              <w:rPr>
                <w:rFonts w:asciiTheme="minorHAnsi" w:hAnsiTheme="minorHAnsi" w:cstheme="minorHAnsi"/>
                <w:noProof/>
                <w:sz w:val="20"/>
                <w:szCs w:val="20"/>
                <w:lang w:val="es-ES"/>
              </w:rPr>
              <w:t>Los beneficios de los humedales están integrados en las políticas o estrategias y planes nacionales o locales relativos a sectores clave como el agua, la energía, la minería, la agricultura, el turismo, el desarrollo urbano, las infraestructuras, la industria, la silvicultura, la acuicultura y la pesca a escala nacional y local.</w:t>
            </w:r>
          </w:p>
        </w:tc>
        <w:tc>
          <w:tcPr>
            <w:tcW w:w="3543" w:type="dxa"/>
          </w:tcPr>
          <w:p w14:paraId="4CBFEAAF" w14:textId="77777777" w:rsidR="00BE7F85" w:rsidRPr="00961B6E" w:rsidRDefault="00BE7F85" w:rsidP="00DA1EB3">
            <w:pPr>
              <w:pStyle w:val="paralevel1"/>
              <w:numPr>
                <w:ilvl w:val="0"/>
                <w:numId w:val="0"/>
              </w:numPr>
              <w:spacing w:after="0"/>
              <w:ind w:left="73"/>
              <w:rPr>
                <w:rFonts w:asciiTheme="minorHAnsi" w:hAnsiTheme="minorHAnsi" w:cstheme="minorHAnsi"/>
                <w:noProof/>
                <w:lang w:val="es-ES"/>
              </w:rPr>
            </w:pPr>
            <w:r w:rsidRPr="00961B6E">
              <w:rPr>
                <w:rFonts w:asciiTheme="minorHAnsi" w:hAnsiTheme="minorHAnsi" w:cstheme="minorHAnsi"/>
                <w:noProof/>
                <w:lang w:val="es-ES"/>
              </w:rPr>
              <w:t>Adoptar políticas y prácticas para la conservación y el uso sostenible de los humedales con miras a invertir la pérdida y degradación actual y futura de los humedales.</w:t>
            </w:r>
          </w:p>
          <w:p w14:paraId="799B2751" w14:textId="77777777" w:rsidR="00BE7F85" w:rsidRPr="00961B6E" w:rsidRDefault="00BE7F85" w:rsidP="00DA1EB3">
            <w:pPr>
              <w:pStyle w:val="paralevel1"/>
              <w:numPr>
                <w:ilvl w:val="0"/>
                <w:numId w:val="0"/>
              </w:numPr>
              <w:tabs>
                <w:tab w:val="left" w:pos="749"/>
              </w:tabs>
              <w:spacing w:after="0"/>
              <w:ind w:left="73"/>
              <w:rPr>
                <w:rFonts w:asciiTheme="minorHAnsi" w:hAnsiTheme="minorHAnsi" w:cstheme="minorHAnsi"/>
                <w:noProof/>
                <w:lang w:val="es-ES"/>
              </w:rPr>
            </w:pPr>
          </w:p>
          <w:p w14:paraId="50405645" w14:textId="77777777" w:rsidR="00BE7F85" w:rsidRPr="00961B6E" w:rsidRDefault="00BE7F85" w:rsidP="00DA1EB3">
            <w:pPr>
              <w:pStyle w:val="paralevel1"/>
              <w:numPr>
                <w:ilvl w:val="0"/>
                <w:numId w:val="0"/>
              </w:numPr>
              <w:tabs>
                <w:tab w:val="left" w:pos="749"/>
              </w:tabs>
              <w:spacing w:after="0"/>
              <w:ind w:left="73"/>
              <w:rPr>
                <w:rFonts w:asciiTheme="minorHAnsi" w:hAnsiTheme="minorHAnsi" w:cstheme="minorHAnsi"/>
                <w:noProof/>
                <w:lang w:val="es-ES"/>
              </w:rPr>
            </w:pPr>
            <w:r w:rsidRPr="00961B6E">
              <w:rPr>
                <w:rFonts w:asciiTheme="minorHAnsi" w:hAnsiTheme="minorHAnsi" w:cstheme="minorHAnsi"/>
                <w:noProof/>
                <w:lang w:val="es-ES"/>
              </w:rPr>
              <w:t>Integrar la conservación, el uso racional y la restauración de los humedales en diversas políticas sectoriales, como la agricultura, la silvicultura o la planificación urbanística entre otras, para promover su papel en el cumplimiento de diversos objetivos.</w:t>
            </w:r>
          </w:p>
        </w:tc>
        <w:tc>
          <w:tcPr>
            <w:tcW w:w="2217" w:type="dxa"/>
          </w:tcPr>
          <w:p w14:paraId="4F3A7B0B"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1.b; 2.4; 6.1; 6.2; 6.5; 8.3; 8.9; 11.3; 11.4; 11.a; 11.b; 13.2; 14.4; 14.5; 14.c; 15.9</w:t>
            </w:r>
          </w:p>
        </w:tc>
      </w:tr>
      <w:tr w:rsidR="00BE7F85" w:rsidRPr="00961B6E" w14:paraId="3A4D58A1" w14:textId="77777777" w:rsidTr="00453A3D">
        <w:tc>
          <w:tcPr>
            <w:tcW w:w="3256" w:type="dxa"/>
          </w:tcPr>
          <w:p w14:paraId="3E3DEB51"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2. El uso del agua respeta las necesidades de los ecosistemas de humedales para que estos puedan cumplir sus funciones y proporcionar servicios a la escala adecuada, por ejemplo, en una cuenca hidrográfica o una zona costera.</w:t>
            </w:r>
          </w:p>
        </w:tc>
        <w:tc>
          <w:tcPr>
            <w:tcW w:w="3543" w:type="dxa"/>
          </w:tcPr>
          <w:p w14:paraId="687966FA"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Ampliar las intervenciones sobre los humedales. Un enfoque a escala del paisaje o de las cuencas hidrográficas que tenga en cuenta una zona más extensa puede contribuir a tener en cuenta los procesos ecológicos más amplios de los humedales y los efectos de su pérdida y restauración sobre las personas.</w:t>
            </w:r>
          </w:p>
        </w:tc>
        <w:tc>
          <w:tcPr>
            <w:tcW w:w="2217" w:type="dxa"/>
          </w:tcPr>
          <w:p w14:paraId="14707BE2"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6.4; 6.5; 6.6</w:t>
            </w:r>
          </w:p>
        </w:tc>
      </w:tr>
      <w:tr w:rsidR="00BE7F85" w:rsidRPr="00961B6E" w14:paraId="532232DC" w14:textId="77777777" w:rsidTr="00453A3D">
        <w:tc>
          <w:tcPr>
            <w:tcW w:w="3256" w:type="dxa"/>
          </w:tcPr>
          <w:p w14:paraId="444DF5ED"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3. Los sectores público y privado han aumentado sus esfuerzos para aplicar lineamientos y buenas prácticas para el uso racional del agua y de los humedales.</w:t>
            </w:r>
          </w:p>
          <w:p w14:paraId="7DE04BFA" w14:textId="77777777" w:rsidR="00BE7F85" w:rsidRPr="00961B6E" w:rsidRDefault="00BE7F85" w:rsidP="00DA1EB3">
            <w:pPr>
              <w:pStyle w:val="ListParagraph"/>
              <w:ind w:left="0"/>
              <w:rPr>
                <w:rFonts w:cstheme="minorHAnsi"/>
                <w:noProof/>
                <w:sz w:val="20"/>
                <w:szCs w:val="20"/>
                <w:lang w:val="es-ES"/>
              </w:rPr>
            </w:pPr>
          </w:p>
        </w:tc>
        <w:tc>
          <w:tcPr>
            <w:tcW w:w="3543" w:type="dxa"/>
          </w:tcPr>
          <w:p w14:paraId="20CFAF95" w14:textId="77777777" w:rsidR="00BE7F85" w:rsidRPr="00961B6E" w:rsidRDefault="00BE7F85" w:rsidP="00DA1EB3">
            <w:pPr>
              <w:spacing w:line="256" w:lineRule="auto"/>
              <w:rPr>
                <w:rFonts w:cstheme="minorHAnsi"/>
                <w:noProof/>
                <w:sz w:val="20"/>
                <w:szCs w:val="20"/>
                <w:lang w:val="es-ES"/>
              </w:rPr>
            </w:pPr>
          </w:p>
        </w:tc>
        <w:tc>
          <w:tcPr>
            <w:tcW w:w="2217" w:type="dxa"/>
          </w:tcPr>
          <w:p w14:paraId="5A8FA10C" w14:textId="77777777" w:rsidR="00BE7F85" w:rsidRPr="00961B6E" w:rsidRDefault="00BE7F85" w:rsidP="00DA1EB3">
            <w:pPr>
              <w:spacing w:line="256" w:lineRule="auto"/>
              <w:rPr>
                <w:rFonts w:cstheme="minorHAnsi"/>
                <w:noProof/>
                <w:sz w:val="20"/>
                <w:szCs w:val="20"/>
                <w:lang w:val="es-ES"/>
              </w:rPr>
            </w:pPr>
            <w:r w:rsidRPr="00961B6E">
              <w:rPr>
                <w:rFonts w:cstheme="minorHAnsi"/>
                <w:noProof/>
                <w:sz w:val="20"/>
                <w:szCs w:val="20"/>
                <w:lang w:val="es-ES"/>
              </w:rPr>
              <w:t>2.3; 2.5; 3.9; 6.3; 6.4; 6.5; 6.6; 6.a; 6.b; 8.4; 9.1; 9.5; 11.4; 11.5; 11.6; 11.7; 12.2; 12.6; 14.1; 14.2; 14.3; 14.4; 14.5; 14.7; 14.b; 15.1; 15.2; 15.3; 15.4; 15.5; 15.6; 15.7</w:t>
            </w:r>
          </w:p>
        </w:tc>
      </w:tr>
      <w:tr w:rsidR="00BE7F85" w:rsidRPr="00961B6E" w14:paraId="6C8C6474" w14:textId="77777777" w:rsidTr="00453A3D">
        <w:tc>
          <w:tcPr>
            <w:tcW w:w="3256" w:type="dxa"/>
          </w:tcPr>
          <w:p w14:paraId="6205F22B"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4. Se identifican y priorizan especies exóticas invasoras y sus vías de entrada y expansión, se controlan o erradican las especies exóticas invasoras prioritarias y se preparan y aplican medidas de manejo para evitar su introducción y establecimiento.</w:t>
            </w:r>
          </w:p>
        </w:tc>
        <w:tc>
          <w:tcPr>
            <w:tcW w:w="3543" w:type="dxa"/>
          </w:tcPr>
          <w:p w14:paraId="19284A11" w14:textId="77777777" w:rsidR="00BE7F85" w:rsidRPr="00961B6E" w:rsidRDefault="00BE7F85" w:rsidP="00DA1EB3">
            <w:pPr>
              <w:pStyle w:val="ListParagraph"/>
              <w:ind w:left="0"/>
              <w:rPr>
                <w:rFonts w:cstheme="minorHAnsi"/>
                <w:noProof/>
                <w:sz w:val="20"/>
                <w:szCs w:val="20"/>
                <w:lang w:val="es-ES"/>
              </w:rPr>
            </w:pPr>
          </w:p>
        </w:tc>
        <w:tc>
          <w:tcPr>
            <w:tcW w:w="2217" w:type="dxa"/>
          </w:tcPr>
          <w:p w14:paraId="39AE3DFA"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15.8</w:t>
            </w:r>
          </w:p>
        </w:tc>
      </w:tr>
      <w:tr w:rsidR="00BE7F85" w:rsidRPr="001E0965" w14:paraId="40E8DA64" w14:textId="77777777" w:rsidTr="00453A3D">
        <w:tc>
          <w:tcPr>
            <w:tcW w:w="6799" w:type="dxa"/>
            <w:gridSpan w:val="2"/>
          </w:tcPr>
          <w:p w14:paraId="60F69EAA"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2: </w:t>
            </w:r>
            <w:r w:rsidRPr="00961B6E">
              <w:rPr>
                <w:rFonts w:asciiTheme="minorHAnsi" w:hAnsiTheme="minorHAnsi" w:cstheme="minorHAnsi"/>
                <w:b/>
                <w:bCs/>
                <w:noProof/>
                <w:sz w:val="20"/>
                <w:szCs w:val="20"/>
                <w:lang w:val="es-ES"/>
              </w:rPr>
              <w:t>Llevar a cabo una conservación y un manejo eficaces de la red de sitios Ramsar</w:t>
            </w:r>
          </w:p>
        </w:tc>
        <w:tc>
          <w:tcPr>
            <w:tcW w:w="2217" w:type="dxa"/>
          </w:tcPr>
          <w:p w14:paraId="7031C894" w14:textId="77777777" w:rsidR="00BE7F85" w:rsidRPr="00961B6E" w:rsidRDefault="00BE7F85" w:rsidP="00DA1EB3">
            <w:pPr>
              <w:rPr>
                <w:rFonts w:cstheme="minorHAnsi"/>
                <w:b/>
                <w:noProof/>
                <w:sz w:val="20"/>
                <w:szCs w:val="20"/>
                <w:lang w:val="es-ES"/>
              </w:rPr>
            </w:pPr>
          </w:p>
        </w:tc>
      </w:tr>
      <w:tr w:rsidR="00BE7F85" w:rsidRPr="00961B6E" w14:paraId="552C0958" w14:textId="77777777" w:rsidTr="00453A3D">
        <w:tc>
          <w:tcPr>
            <w:tcW w:w="3256" w:type="dxa"/>
          </w:tcPr>
          <w:p w14:paraId="400EF549"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5. Se mantienen o restauran las características ecológicas de los sitios Ramsar a través de una planificación eficaz y un manejo integrado.</w:t>
            </w:r>
          </w:p>
        </w:tc>
        <w:tc>
          <w:tcPr>
            <w:tcW w:w="3543" w:type="dxa"/>
          </w:tcPr>
          <w:p w14:paraId="18E4CBE3"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Construir alianzas entre interesados múltiples como manera crucial de llevar a cabo la conservación, el uso racional y la restauración de los humedales. En consecuencia, se necesitan esfuerzos para promover estas alianzas entre distintos sectores de la sociedad en los sitios Ramsar.</w:t>
            </w:r>
          </w:p>
        </w:tc>
        <w:tc>
          <w:tcPr>
            <w:tcW w:w="2217" w:type="dxa"/>
          </w:tcPr>
          <w:p w14:paraId="1C6E7931"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6.3; 6.4; 6.5; 6.6; 11.3; 11.4; 11.a; 11.b; 13.1; 14.2; 15.1; 15.2; 15.3; 15.4</w:t>
            </w:r>
          </w:p>
        </w:tc>
      </w:tr>
      <w:tr w:rsidR="00BE7F85" w:rsidRPr="00961B6E" w14:paraId="53C2E54F" w14:textId="77777777" w:rsidTr="00453A3D">
        <w:tc>
          <w:tcPr>
            <w:tcW w:w="3256" w:type="dxa"/>
          </w:tcPr>
          <w:p w14:paraId="156F45D2"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lastRenderedPageBreak/>
              <w:t>6. Se produce un aumento considerable de la superficie, la cantidad y conectividad ecológica de la red de sitios Ramsar, particularmente en lo que se refiere a tipos de humedales insuficientemente representados, inclusive en ecorregiones insuficientemente representadas y sitios transfronterizos.</w:t>
            </w:r>
          </w:p>
        </w:tc>
        <w:tc>
          <w:tcPr>
            <w:tcW w:w="3543" w:type="dxa"/>
          </w:tcPr>
          <w:p w14:paraId="68D63C63" w14:textId="77777777" w:rsidR="00BE7F85" w:rsidRPr="00961B6E" w:rsidRDefault="00BE7F85" w:rsidP="00DA1EB3">
            <w:pPr>
              <w:rPr>
                <w:rFonts w:cstheme="minorHAnsi"/>
                <w:noProof/>
                <w:sz w:val="20"/>
                <w:szCs w:val="20"/>
                <w:lang w:val="es-ES"/>
              </w:rPr>
            </w:pPr>
          </w:p>
        </w:tc>
        <w:tc>
          <w:tcPr>
            <w:tcW w:w="2217" w:type="dxa"/>
          </w:tcPr>
          <w:p w14:paraId="7DD79D85" w14:textId="77777777" w:rsidR="00BE7F85" w:rsidRPr="00961B6E" w:rsidRDefault="00BE7F85" w:rsidP="00DA1EB3">
            <w:pPr>
              <w:rPr>
                <w:rFonts w:cstheme="minorHAnsi"/>
                <w:noProof/>
                <w:sz w:val="20"/>
                <w:szCs w:val="20"/>
                <w:lang w:val="es-ES"/>
              </w:rPr>
            </w:pPr>
            <w:r w:rsidRPr="00961B6E">
              <w:rPr>
                <w:rFonts w:cstheme="minorHAnsi"/>
                <w:noProof/>
                <w:sz w:val="20"/>
                <w:szCs w:val="20"/>
                <w:lang w:val="es-ES"/>
              </w:rPr>
              <w:t>6.5; 6.6; 11.3; 11.4; 11.a; 11.b; 13.1; 14.2; 15.1; 15.2; 15.3; 15.4</w:t>
            </w:r>
          </w:p>
        </w:tc>
      </w:tr>
      <w:tr w:rsidR="00BE7F85" w:rsidRPr="00961B6E" w14:paraId="5490365B" w14:textId="77777777" w:rsidTr="00453A3D">
        <w:tc>
          <w:tcPr>
            <w:tcW w:w="3256" w:type="dxa"/>
          </w:tcPr>
          <w:p w14:paraId="76E3FA69"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7. Se hace frente a las amenazas de los sitios con riesgo de cambios en sus características ecológicas.</w:t>
            </w:r>
          </w:p>
        </w:tc>
        <w:tc>
          <w:tcPr>
            <w:tcW w:w="3543" w:type="dxa"/>
          </w:tcPr>
          <w:p w14:paraId="230A91DF" w14:textId="77777777" w:rsidR="00BE7F85" w:rsidRPr="00961B6E" w:rsidRDefault="00BE7F85" w:rsidP="00DA1EB3">
            <w:pPr>
              <w:pStyle w:val="ListParagraph"/>
              <w:ind w:left="0"/>
              <w:rPr>
                <w:rFonts w:cstheme="minorHAnsi"/>
                <w:noProof/>
                <w:sz w:val="20"/>
                <w:szCs w:val="20"/>
                <w:lang w:val="es-ES"/>
              </w:rPr>
            </w:pPr>
          </w:p>
        </w:tc>
        <w:tc>
          <w:tcPr>
            <w:tcW w:w="2217" w:type="dxa"/>
          </w:tcPr>
          <w:p w14:paraId="678AD813"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6.5; 6.6; 11.3; 11.4; 11.a; 11.b; 12.4; 13.1; 14.2; 15.1; 15.2; 15.3; 15.4</w:t>
            </w:r>
          </w:p>
        </w:tc>
      </w:tr>
      <w:tr w:rsidR="00BE7F85" w:rsidRPr="00961B6E" w14:paraId="403110BD" w14:textId="77777777" w:rsidTr="00453A3D">
        <w:tc>
          <w:tcPr>
            <w:tcW w:w="6799" w:type="dxa"/>
            <w:gridSpan w:val="2"/>
          </w:tcPr>
          <w:p w14:paraId="3B8218A6"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3: </w:t>
            </w:r>
            <w:r w:rsidRPr="00961B6E">
              <w:rPr>
                <w:rFonts w:asciiTheme="minorHAnsi" w:hAnsiTheme="minorHAnsi" w:cstheme="minorHAnsi"/>
                <w:b/>
                <w:bCs/>
                <w:noProof/>
                <w:sz w:val="20"/>
                <w:szCs w:val="20"/>
                <w:lang w:val="es-ES"/>
              </w:rPr>
              <w:t>Realizar un uso racional de todos los humedales</w:t>
            </w:r>
          </w:p>
        </w:tc>
        <w:tc>
          <w:tcPr>
            <w:tcW w:w="2217" w:type="dxa"/>
          </w:tcPr>
          <w:p w14:paraId="08F87F1C" w14:textId="77777777" w:rsidR="00BE7F85" w:rsidRPr="00961B6E" w:rsidRDefault="00BE7F85" w:rsidP="00DA1EB3">
            <w:pPr>
              <w:pStyle w:val="NormalWeb"/>
              <w:rPr>
                <w:rFonts w:cstheme="minorHAnsi"/>
                <w:b/>
                <w:noProof/>
                <w:sz w:val="20"/>
                <w:szCs w:val="20"/>
                <w:lang w:val="es-ES"/>
              </w:rPr>
            </w:pPr>
          </w:p>
        </w:tc>
      </w:tr>
      <w:tr w:rsidR="00BE7F85" w:rsidRPr="00961B6E" w14:paraId="06720414" w14:textId="77777777" w:rsidTr="00453A3D">
        <w:tc>
          <w:tcPr>
            <w:tcW w:w="3256" w:type="dxa"/>
          </w:tcPr>
          <w:p w14:paraId="355C0C03"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8. Se han iniciado, completado o actualizado, divulgado y utilizado inventarios nacionales de humedales para promover la conservación y el manejo eficaz de todos los humedales.</w:t>
            </w:r>
          </w:p>
        </w:tc>
        <w:tc>
          <w:tcPr>
            <w:tcW w:w="3543" w:type="dxa"/>
          </w:tcPr>
          <w:p w14:paraId="27459167" w14:textId="77777777" w:rsidR="00BE7F85" w:rsidRPr="00961B6E" w:rsidRDefault="00BE7F85" w:rsidP="00DA1EB3">
            <w:pPr>
              <w:pStyle w:val="ListParagraph"/>
              <w:numPr>
                <w:ilvl w:val="0"/>
                <w:numId w:val="25"/>
              </w:numPr>
              <w:spacing w:after="0" w:line="240" w:lineRule="auto"/>
              <w:ind w:left="37" w:hanging="680"/>
              <w:rPr>
                <w:rFonts w:cstheme="minorHAnsi"/>
                <w:noProof/>
                <w:sz w:val="20"/>
                <w:szCs w:val="20"/>
                <w:lang w:val="es-ES"/>
              </w:rPr>
            </w:pPr>
            <w:r w:rsidRPr="00961B6E">
              <w:rPr>
                <w:rFonts w:cstheme="minorHAnsi"/>
                <w:noProof/>
                <w:sz w:val="20"/>
                <w:szCs w:val="20"/>
                <w:lang w:val="es-ES"/>
              </w:rPr>
              <w:t>Utilizar los informes nacionales de Ramsar y los mecanismos conexos de presentación de informes para aportar información que sirva para generar inventarios y realizar un seguimiento en relación con el indicador 6.6.1 y la meta 15.1 de los ODS.</w:t>
            </w:r>
          </w:p>
        </w:tc>
        <w:tc>
          <w:tcPr>
            <w:tcW w:w="2217" w:type="dxa"/>
          </w:tcPr>
          <w:p w14:paraId="32E7ECBE"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6.6; 11.4; 14.5; 15.1</w:t>
            </w:r>
          </w:p>
        </w:tc>
      </w:tr>
      <w:tr w:rsidR="00BE7F85" w:rsidRPr="00961B6E" w14:paraId="0F1436FE" w14:textId="77777777" w:rsidTr="00453A3D">
        <w:tc>
          <w:tcPr>
            <w:tcW w:w="3256" w:type="dxa"/>
          </w:tcPr>
          <w:p w14:paraId="5F131894"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9. El uso racional de los humedales se refuerza a través del manejo integrado de los recursos a la escala adecuada, por ejemplo, en una cuenca hidrográfica o una zona costera.</w:t>
            </w:r>
          </w:p>
        </w:tc>
        <w:tc>
          <w:tcPr>
            <w:tcW w:w="3543" w:type="dxa"/>
          </w:tcPr>
          <w:p w14:paraId="7AA2D122" w14:textId="77777777" w:rsidR="00BE7F85" w:rsidRPr="00961B6E" w:rsidRDefault="00BE7F85" w:rsidP="00DA1EB3">
            <w:pPr>
              <w:pStyle w:val="ListParagraph"/>
              <w:ind w:left="0"/>
              <w:rPr>
                <w:rFonts w:cstheme="minorHAnsi"/>
                <w:noProof/>
                <w:sz w:val="20"/>
                <w:szCs w:val="20"/>
                <w:lang w:val="es-ES"/>
              </w:rPr>
            </w:pPr>
          </w:p>
        </w:tc>
        <w:tc>
          <w:tcPr>
            <w:tcW w:w="2217" w:type="dxa"/>
          </w:tcPr>
          <w:p w14:paraId="533E10B8"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1.4; 5.a; 6.5; 8.4; 11.b; 14.7; 14.c</w:t>
            </w:r>
          </w:p>
        </w:tc>
      </w:tr>
      <w:tr w:rsidR="00BE7F85" w:rsidRPr="00961B6E" w14:paraId="5F3ECA20" w14:textId="77777777" w:rsidTr="00453A3D">
        <w:trPr>
          <w:trHeight w:val="3534"/>
        </w:trPr>
        <w:tc>
          <w:tcPr>
            <w:tcW w:w="3256" w:type="dxa"/>
          </w:tcPr>
          <w:p w14:paraId="158E6114"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10. El conocimiento tradicional, las innovaciones y las prácticas de los pueblos indígenas y las comunidades locales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c>
          <w:tcPr>
            <w:tcW w:w="3543" w:type="dxa"/>
          </w:tcPr>
          <w:p w14:paraId="122EF597"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Implicar a los interesados a todos los niveles para facilitar la integración de la conservación, el uso racional y la restauración de los humedales en las estrategias sobre los medios de vida, garantizando así la sostenibilidad de esos esfuerzos. Concretamente, se valoran cada vez más la función y los conocimientos de las comunidades locales e indígenas, considerando que son fundamentales para la sostenibilidad de las intervenciones a largo plazo.</w:t>
            </w:r>
          </w:p>
          <w:p w14:paraId="2E90539C" w14:textId="77777777" w:rsidR="00BE7F85" w:rsidRPr="00961B6E" w:rsidRDefault="00BE7F85" w:rsidP="00DA1EB3">
            <w:pPr>
              <w:pStyle w:val="ListParagraph"/>
              <w:ind w:left="0"/>
              <w:rPr>
                <w:rFonts w:cstheme="minorHAnsi"/>
                <w:noProof/>
                <w:sz w:val="20"/>
                <w:szCs w:val="20"/>
                <w:lang w:val="es-ES"/>
              </w:rPr>
            </w:pPr>
          </w:p>
        </w:tc>
        <w:tc>
          <w:tcPr>
            <w:tcW w:w="2217" w:type="dxa"/>
          </w:tcPr>
          <w:p w14:paraId="71E45286"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2.3; 2.5; 5.5; 5.a; 6.b; 12.8; 15.c</w:t>
            </w:r>
          </w:p>
        </w:tc>
      </w:tr>
      <w:tr w:rsidR="00BE7F85" w:rsidRPr="00961B6E" w14:paraId="4C786DC1" w14:textId="77777777" w:rsidTr="00453A3D">
        <w:tc>
          <w:tcPr>
            <w:tcW w:w="3256" w:type="dxa"/>
          </w:tcPr>
          <w:p w14:paraId="06DD19C0"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 xml:space="preserve">11. Se demuestran, documentan y divulgan ampliamente las funciones, los servicios y los beneficios de los humedales. </w:t>
            </w:r>
          </w:p>
        </w:tc>
        <w:tc>
          <w:tcPr>
            <w:tcW w:w="3543" w:type="dxa"/>
          </w:tcPr>
          <w:p w14:paraId="6B319258" w14:textId="77777777" w:rsidR="00BE7F85" w:rsidRPr="00961B6E" w:rsidRDefault="00BE7F85" w:rsidP="00DA1EB3">
            <w:pPr>
              <w:pStyle w:val="paralevel1"/>
              <w:numPr>
                <w:ilvl w:val="0"/>
                <w:numId w:val="24"/>
              </w:numPr>
              <w:spacing w:after="0"/>
              <w:ind w:left="37" w:hanging="680"/>
              <w:rPr>
                <w:rFonts w:asciiTheme="minorHAnsi" w:hAnsiTheme="minorHAnsi" w:cstheme="minorHAnsi"/>
                <w:noProof/>
                <w:lang w:val="es-ES"/>
              </w:rPr>
            </w:pPr>
            <w:r w:rsidRPr="00961B6E">
              <w:rPr>
                <w:rFonts w:asciiTheme="minorHAnsi" w:hAnsiTheme="minorHAnsi" w:cstheme="minorHAnsi"/>
                <w:noProof/>
                <w:lang w:val="es-ES"/>
              </w:rPr>
              <w:t xml:space="preserve">Determinar claramente los servicios que brindan a las personas y al medio ambiente los humedales, incluidos los sitios Ramsar, cuando estos son designados, para que se entiendan mejor los valores de los sitios concretos y las medidas ulteriores propuestas para su conservación, uso y restauración. Se pueden gestionar los sitios Ramsar </w:t>
            </w:r>
            <w:r w:rsidRPr="00961B6E">
              <w:rPr>
                <w:rFonts w:asciiTheme="minorHAnsi" w:hAnsiTheme="minorHAnsi" w:cstheme="minorHAnsi"/>
                <w:noProof/>
                <w:lang w:val="es-ES"/>
              </w:rPr>
              <w:lastRenderedPageBreak/>
              <w:t>como sitios piloto para promover el desarrollo sostenible.</w:t>
            </w:r>
          </w:p>
          <w:p w14:paraId="67C831A1" w14:textId="77777777" w:rsidR="00BE7F85" w:rsidRPr="00961B6E" w:rsidRDefault="00BE7F85" w:rsidP="00DA1EB3">
            <w:pPr>
              <w:pStyle w:val="paralevel1"/>
              <w:numPr>
                <w:ilvl w:val="0"/>
                <w:numId w:val="24"/>
              </w:numPr>
              <w:spacing w:after="0"/>
              <w:ind w:left="37" w:hanging="680"/>
              <w:rPr>
                <w:rFonts w:asciiTheme="minorHAnsi" w:hAnsiTheme="minorHAnsi" w:cstheme="minorHAnsi"/>
                <w:noProof/>
                <w:lang w:val="es-ES"/>
              </w:rPr>
            </w:pPr>
          </w:p>
        </w:tc>
        <w:tc>
          <w:tcPr>
            <w:tcW w:w="2217" w:type="dxa"/>
          </w:tcPr>
          <w:p w14:paraId="0624CA7A"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lastRenderedPageBreak/>
              <w:t>1.5; 14.7; 15.9</w:t>
            </w:r>
          </w:p>
        </w:tc>
      </w:tr>
      <w:tr w:rsidR="00BE7F85" w:rsidRPr="00961B6E" w14:paraId="3FA927EB" w14:textId="77777777" w:rsidTr="00453A3D">
        <w:tc>
          <w:tcPr>
            <w:tcW w:w="3256" w:type="dxa"/>
          </w:tcPr>
          <w:p w14:paraId="4317713C"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12. La restauración está en curso en los humedales degradados, dando prioridad a los humedales importantes para la conservación de la biodiversidad, la reducción del riesgo de desastres, los medios de vida y/o la mitigación del cambio climático y la adaptación a este.</w:t>
            </w:r>
          </w:p>
        </w:tc>
        <w:tc>
          <w:tcPr>
            <w:tcW w:w="3543" w:type="dxa"/>
          </w:tcPr>
          <w:p w14:paraId="755FE8C1"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Integrar los servicios de los ecosistemas en las contribuciones determinadas a nivel nacional en el marco del Acuerdo de París sobre el Cambio Climático.</w:t>
            </w:r>
          </w:p>
        </w:tc>
        <w:tc>
          <w:tcPr>
            <w:tcW w:w="2217" w:type="dxa"/>
          </w:tcPr>
          <w:p w14:paraId="7B712BC5"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6.6; 14.2; 14.4; 15.1; 15.2; 15.3</w:t>
            </w:r>
          </w:p>
        </w:tc>
      </w:tr>
      <w:tr w:rsidR="00BE7F85" w:rsidRPr="00961B6E" w14:paraId="34063C3B" w14:textId="77777777" w:rsidTr="00453A3D">
        <w:tc>
          <w:tcPr>
            <w:tcW w:w="3256" w:type="dxa"/>
          </w:tcPr>
          <w:p w14:paraId="576D25E1"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13. Mayor sostenibilidad de sectores clave como el agua, la energía, la minería, la agricultura, el turismo, el desarrollo urbano, las infraestructuras, la industria, la silvicultura, la acuicultura y la pesca cuando estos afectan a los humedales, contribuyendo a la conservación de la biodiversidad y a los medios de vida de las personas</w:t>
            </w:r>
          </w:p>
        </w:tc>
        <w:tc>
          <w:tcPr>
            <w:tcW w:w="3543" w:type="dxa"/>
          </w:tcPr>
          <w:p w14:paraId="11531BD5" w14:textId="77777777" w:rsidR="00BE7F85" w:rsidRPr="00961B6E" w:rsidRDefault="00BE7F85" w:rsidP="00DA1EB3">
            <w:pPr>
              <w:pStyle w:val="ListParagraph"/>
              <w:ind w:left="0"/>
              <w:rPr>
                <w:rFonts w:cstheme="minorHAnsi"/>
                <w:noProof/>
                <w:sz w:val="20"/>
                <w:szCs w:val="20"/>
                <w:lang w:val="es-ES"/>
              </w:rPr>
            </w:pPr>
          </w:p>
        </w:tc>
        <w:tc>
          <w:tcPr>
            <w:tcW w:w="2217" w:type="dxa"/>
          </w:tcPr>
          <w:p w14:paraId="3C5F6DDB"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1.b; 2.4; 6.5; 8.3; 8.9; 11.3; 11.4; 11.a; 11.b; 12b; 13.2; 14.4; 14.5; 14.c; 15.9</w:t>
            </w:r>
          </w:p>
        </w:tc>
      </w:tr>
      <w:tr w:rsidR="00BE7F85" w:rsidRPr="00961B6E" w14:paraId="1C3B7CC1" w14:textId="77777777" w:rsidTr="00453A3D">
        <w:tc>
          <w:tcPr>
            <w:tcW w:w="3256" w:type="dxa"/>
          </w:tcPr>
          <w:p w14:paraId="6E417CD2"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14. Se desarrollan orientaciones científicas y metodologías técnicas a escala mundial y regional sobre temas relevantes que están disponibles para los responsables de políticas y los profesionales en un formato y un lenguaje apropiados</w:t>
            </w:r>
          </w:p>
        </w:tc>
        <w:tc>
          <w:tcPr>
            <w:tcW w:w="3543" w:type="dxa"/>
          </w:tcPr>
          <w:p w14:paraId="615E78E0" w14:textId="77777777" w:rsidR="00BE7F85" w:rsidRPr="00961B6E" w:rsidRDefault="00BE7F85" w:rsidP="00DA1EB3">
            <w:pPr>
              <w:pStyle w:val="ListParagraph"/>
              <w:ind w:left="0"/>
              <w:rPr>
                <w:rFonts w:cstheme="minorHAnsi"/>
                <w:noProof/>
                <w:sz w:val="20"/>
                <w:szCs w:val="20"/>
                <w:lang w:val="es-ES"/>
              </w:rPr>
            </w:pPr>
          </w:p>
        </w:tc>
        <w:tc>
          <w:tcPr>
            <w:tcW w:w="2217" w:type="dxa"/>
          </w:tcPr>
          <w:p w14:paraId="00501B7F"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9.5; 9.a; 14.3; 14.4; 14.5; 17.6</w:t>
            </w:r>
          </w:p>
        </w:tc>
      </w:tr>
      <w:tr w:rsidR="00BE7F85" w:rsidRPr="00961B6E" w14:paraId="66696B9D" w14:textId="77777777" w:rsidTr="00453A3D">
        <w:tc>
          <w:tcPr>
            <w:tcW w:w="3256" w:type="dxa"/>
          </w:tcPr>
          <w:p w14:paraId="312DB2A3"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15. Con la participación activa y el apoyo de las Partes de cada región, se refuerzan las Iniciativas Regionales de Ramsar y se convierten en herramientas eficaces para contribuir a la aplicación plena de la Convención.</w:t>
            </w:r>
          </w:p>
        </w:tc>
        <w:tc>
          <w:tcPr>
            <w:tcW w:w="3543" w:type="dxa"/>
          </w:tcPr>
          <w:p w14:paraId="412AD3C2" w14:textId="77777777" w:rsidR="00BE7F85" w:rsidRPr="00961B6E" w:rsidRDefault="00BE7F85" w:rsidP="00DA1EB3">
            <w:pPr>
              <w:pStyle w:val="ListParagraph"/>
              <w:ind w:left="0"/>
              <w:rPr>
                <w:rFonts w:cstheme="minorHAnsi"/>
                <w:noProof/>
                <w:sz w:val="20"/>
                <w:szCs w:val="20"/>
                <w:lang w:val="es-ES"/>
              </w:rPr>
            </w:pPr>
          </w:p>
        </w:tc>
        <w:tc>
          <w:tcPr>
            <w:tcW w:w="2217" w:type="dxa"/>
          </w:tcPr>
          <w:p w14:paraId="230A8A54"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1.b; 2.5; 6.5; 6.6; 9.1; 11.a; 14.2; 15.1; 17.6; 17.7; 17.9</w:t>
            </w:r>
          </w:p>
        </w:tc>
      </w:tr>
      <w:tr w:rsidR="00BE7F85" w:rsidRPr="00961B6E" w14:paraId="0C77368D" w14:textId="77777777" w:rsidTr="00453A3D">
        <w:tc>
          <w:tcPr>
            <w:tcW w:w="6799" w:type="dxa"/>
            <w:gridSpan w:val="2"/>
          </w:tcPr>
          <w:p w14:paraId="75526197"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4: </w:t>
            </w:r>
            <w:r w:rsidRPr="00961B6E">
              <w:rPr>
                <w:rFonts w:asciiTheme="minorHAnsi" w:hAnsiTheme="minorHAnsi" w:cstheme="minorHAnsi"/>
                <w:b/>
                <w:bCs/>
                <w:noProof/>
                <w:sz w:val="20"/>
                <w:szCs w:val="20"/>
                <w:lang w:val="es-ES"/>
              </w:rPr>
              <w:t>Mejorar la aplicación</w:t>
            </w:r>
          </w:p>
        </w:tc>
        <w:tc>
          <w:tcPr>
            <w:tcW w:w="2217" w:type="dxa"/>
          </w:tcPr>
          <w:p w14:paraId="7476CBD9" w14:textId="77777777" w:rsidR="00BE7F85" w:rsidRPr="00961B6E" w:rsidRDefault="00BE7F85" w:rsidP="00DA1EB3">
            <w:pPr>
              <w:rPr>
                <w:rFonts w:cstheme="minorHAnsi"/>
                <w:b/>
                <w:noProof/>
                <w:sz w:val="20"/>
                <w:szCs w:val="20"/>
                <w:lang w:val="es-ES"/>
              </w:rPr>
            </w:pPr>
          </w:p>
        </w:tc>
      </w:tr>
      <w:tr w:rsidR="00BE7F85" w:rsidRPr="00961B6E" w14:paraId="01E75AD5" w14:textId="77777777" w:rsidTr="00453A3D">
        <w:tc>
          <w:tcPr>
            <w:tcW w:w="3256" w:type="dxa"/>
          </w:tcPr>
          <w:p w14:paraId="5474764B"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16. La conservación y el uso racional de los humedales se integran a través de la comunicación, el desarrollo de capacidad, la educación, concienciación y participación</w:t>
            </w:r>
          </w:p>
        </w:tc>
        <w:tc>
          <w:tcPr>
            <w:tcW w:w="3543" w:type="dxa"/>
          </w:tcPr>
          <w:p w14:paraId="12EB087F"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Garantizar que la conservación, el uso racional y la restauración de los humedales se integren en la planificación y ejecución de los ODS.</w:t>
            </w:r>
          </w:p>
        </w:tc>
        <w:tc>
          <w:tcPr>
            <w:tcW w:w="2217" w:type="dxa"/>
          </w:tcPr>
          <w:p w14:paraId="5DB19D2B"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2.4; 4.7; 4.a; 6.a; 11.3; 13.1; 13.3; 15.7; 17.9</w:t>
            </w:r>
          </w:p>
        </w:tc>
      </w:tr>
      <w:tr w:rsidR="00BE7F85" w:rsidRPr="00961B6E" w14:paraId="51C5B7B2" w14:textId="77777777" w:rsidTr="00453A3D">
        <w:tc>
          <w:tcPr>
            <w:tcW w:w="3256" w:type="dxa"/>
          </w:tcPr>
          <w:p w14:paraId="2394598C"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17. Se facilitan recursos financieros y de otro tipo procedentes de todas las fuentes para ejecutar de forma efectiva el Cuarto Plan Estratégico de Ramsar (2016-2024).</w:t>
            </w:r>
          </w:p>
        </w:tc>
        <w:tc>
          <w:tcPr>
            <w:tcW w:w="3543" w:type="dxa"/>
          </w:tcPr>
          <w:p w14:paraId="0D3C243C"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Incrementar la financiación encaminada a aplicar medidas integrales en los humedales, incluidos los sitios Ramsar, que reflejen la importancia de esos sitios, no solo desde la perspectiva de la biodiversidad sino también del desarrollo sostenible.</w:t>
            </w:r>
          </w:p>
        </w:tc>
        <w:tc>
          <w:tcPr>
            <w:tcW w:w="2217" w:type="dxa"/>
          </w:tcPr>
          <w:p w14:paraId="5746CA24"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9.a; 10.6; 15.a; 15.b; 17.3</w:t>
            </w:r>
          </w:p>
        </w:tc>
      </w:tr>
      <w:tr w:rsidR="00BE7F85" w:rsidRPr="00961B6E" w14:paraId="701F22C1" w14:textId="77777777" w:rsidTr="00453A3D">
        <w:tc>
          <w:tcPr>
            <w:tcW w:w="3256" w:type="dxa"/>
          </w:tcPr>
          <w:p w14:paraId="292501BB"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18. Se refuerza la cooperación internacional a todos los niveles (</w:t>
            </w:r>
            <w:r w:rsidRPr="00961B6E">
              <w:rPr>
                <w:rFonts w:asciiTheme="minorHAnsi" w:hAnsiTheme="minorHAnsi" w:cstheme="minorHAnsi"/>
                <w:i/>
                <w:iCs/>
                <w:noProof/>
                <w:sz w:val="20"/>
                <w:szCs w:val="20"/>
                <w:lang w:val="es-ES"/>
              </w:rPr>
              <w:t xml:space="preserve">local, nacional, subregional (por </w:t>
            </w:r>
            <w:r w:rsidRPr="00961B6E">
              <w:rPr>
                <w:rFonts w:asciiTheme="minorHAnsi" w:hAnsiTheme="minorHAnsi" w:cstheme="minorHAnsi"/>
                <w:i/>
                <w:iCs/>
                <w:noProof/>
                <w:sz w:val="20"/>
                <w:szCs w:val="20"/>
                <w:lang w:val="es-ES"/>
              </w:rPr>
              <w:lastRenderedPageBreak/>
              <w:t>ejemplo, las IRR), regional y mundial</w:t>
            </w:r>
            <w:r w:rsidRPr="00961B6E">
              <w:rPr>
                <w:rFonts w:asciiTheme="minorHAnsi" w:hAnsiTheme="minorHAnsi" w:cstheme="minorHAnsi"/>
                <w:noProof/>
                <w:sz w:val="20"/>
                <w:szCs w:val="20"/>
                <w:lang w:val="es-ES"/>
              </w:rPr>
              <w:t>).</w:t>
            </w:r>
          </w:p>
        </w:tc>
        <w:tc>
          <w:tcPr>
            <w:tcW w:w="3543" w:type="dxa"/>
          </w:tcPr>
          <w:p w14:paraId="0BC02327" w14:textId="77777777" w:rsidR="00BE7F85" w:rsidRPr="00961B6E" w:rsidRDefault="00BE7F85" w:rsidP="00DA1EB3">
            <w:pPr>
              <w:pStyle w:val="paralevel1"/>
              <w:numPr>
                <w:ilvl w:val="0"/>
                <w:numId w:val="26"/>
              </w:numPr>
              <w:spacing w:after="0"/>
              <w:ind w:left="28" w:hanging="680"/>
              <w:rPr>
                <w:rFonts w:asciiTheme="minorHAnsi" w:hAnsiTheme="minorHAnsi" w:cstheme="minorHAnsi"/>
                <w:noProof/>
                <w:lang w:val="es-ES"/>
              </w:rPr>
            </w:pPr>
            <w:r w:rsidRPr="00961B6E">
              <w:rPr>
                <w:rFonts w:asciiTheme="minorHAnsi" w:hAnsiTheme="minorHAnsi" w:cstheme="minorHAnsi"/>
                <w:noProof/>
                <w:lang w:val="es-ES"/>
              </w:rPr>
              <w:lastRenderedPageBreak/>
              <w:t xml:space="preserve">Aprovechar las oportunidades y sinergias con otros sectores, convenciones y prioridades. Una medida importante es promover la colaboración </w:t>
            </w:r>
            <w:r w:rsidRPr="00961B6E">
              <w:rPr>
                <w:rFonts w:asciiTheme="minorHAnsi" w:hAnsiTheme="minorHAnsi" w:cstheme="minorHAnsi"/>
                <w:noProof/>
                <w:lang w:val="es-ES"/>
              </w:rPr>
              <w:lastRenderedPageBreak/>
              <w:t>entre los coordinadores nacionales de distintas convenciones y los coordinadores nacionales responsables de la planificación y ejecución de los ODS y particularmente las oficinas de estadística para promover enfoques a escala del paisaje para la conservación y el desarrollo sostenible en relación con los sitios Ramsar, pero también con otras áreas protegidas como los sitios del Patrimonio Mundial.</w:t>
            </w:r>
          </w:p>
          <w:p w14:paraId="651135D4" w14:textId="77777777" w:rsidR="00BE7F85" w:rsidRPr="00961B6E" w:rsidRDefault="00BE7F85" w:rsidP="00DA1EB3">
            <w:pPr>
              <w:pStyle w:val="paralevel1"/>
              <w:numPr>
                <w:ilvl w:val="0"/>
                <w:numId w:val="26"/>
              </w:numPr>
              <w:spacing w:after="0"/>
              <w:ind w:left="28" w:hanging="680"/>
              <w:rPr>
                <w:rFonts w:asciiTheme="minorHAnsi" w:hAnsiTheme="minorHAnsi" w:cstheme="minorHAnsi"/>
                <w:noProof/>
                <w:lang w:val="es-ES"/>
              </w:rPr>
            </w:pPr>
          </w:p>
          <w:p w14:paraId="604AFBBA" w14:textId="77777777" w:rsidR="00BE7F85" w:rsidRPr="00961B6E" w:rsidRDefault="00BE7F85" w:rsidP="00DA1EB3">
            <w:pPr>
              <w:pStyle w:val="paralevel1"/>
              <w:numPr>
                <w:ilvl w:val="0"/>
                <w:numId w:val="26"/>
              </w:numPr>
              <w:spacing w:after="0"/>
              <w:ind w:left="28" w:hanging="680"/>
              <w:rPr>
                <w:rFonts w:asciiTheme="minorHAnsi" w:hAnsiTheme="minorHAnsi" w:cstheme="minorHAnsi"/>
                <w:noProof/>
                <w:lang w:val="es-ES"/>
              </w:rPr>
            </w:pPr>
            <w:r w:rsidRPr="00961B6E">
              <w:rPr>
                <w:rFonts w:asciiTheme="minorHAnsi" w:hAnsiTheme="minorHAnsi" w:cstheme="minorHAnsi"/>
                <w:noProof/>
                <w:lang w:val="es-ES"/>
              </w:rPr>
              <w:t>Las Partes Contratantes deberían asegurarse de integrar sus esfuerzos para ejecutar el Plan Estratégico de Ramsar en la planificación y aplicación de sus planes nacionales relativos a los ODS.</w:t>
            </w:r>
          </w:p>
          <w:p w14:paraId="37A7F61F" w14:textId="77777777" w:rsidR="00BE7F85" w:rsidRPr="00961B6E" w:rsidRDefault="00BE7F85" w:rsidP="00DA1EB3">
            <w:pPr>
              <w:pStyle w:val="paralevel1"/>
              <w:numPr>
                <w:ilvl w:val="0"/>
                <w:numId w:val="27"/>
              </w:numPr>
              <w:spacing w:after="0"/>
              <w:ind w:left="28" w:hanging="680"/>
              <w:rPr>
                <w:rFonts w:asciiTheme="minorHAnsi" w:hAnsiTheme="minorHAnsi" w:cstheme="minorHAnsi"/>
                <w:noProof/>
                <w:lang w:val="es-ES"/>
              </w:rPr>
            </w:pPr>
          </w:p>
          <w:p w14:paraId="4199DE26" w14:textId="77777777" w:rsidR="00BE7F85" w:rsidRPr="00961B6E" w:rsidRDefault="00BE7F85" w:rsidP="00DA1EB3">
            <w:pPr>
              <w:pStyle w:val="paralevel1"/>
              <w:numPr>
                <w:ilvl w:val="0"/>
                <w:numId w:val="27"/>
              </w:numPr>
              <w:spacing w:after="0"/>
              <w:ind w:left="28" w:hanging="680"/>
              <w:rPr>
                <w:rFonts w:asciiTheme="minorHAnsi" w:hAnsiTheme="minorHAnsi" w:cstheme="minorHAnsi"/>
                <w:noProof/>
                <w:lang w:val="es-ES"/>
              </w:rPr>
            </w:pPr>
            <w:r w:rsidRPr="00961B6E">
              <w:rPr>
                <w:rFonts w:asciiTheme="minorHAnsi" w:hAnsiTheme="minorHAnsi" w:cstheme="minorHAnsi"/>
                <w:noProof/>
                <w:lang w:val="es-ES"/>
              </w:rPr>
              <w:t xml:space="preserve">Las Partes Contratantes deberían asegurarse de que sus informes sobre los progresos en los ODS reflejen las contribuciones de los humedales de forma que su conservación, uso racional y restauración estén vinculados a la agenda de desarrollo sostenible. </w:t>
            </w:r>
          </w:p>
        </w:tc>
        <w:tc>
          <w:tcPr>
            <w:tcW w:w="2217" w:type="dxa"/>
          </w:tcPr>
          <w:p w14:paraId="46EC3E4E" w14:textId="77777777" w:rsidR="00BE7F85" w:rsidRPr="00961B6E" w:rsidRDefault="00BE7F85" w:rsidP="00DA1EB3">
            <w:pPr>
              <w:rPr>
                <w:rFonts w:cstheme="minorHAnsi"/>
                <w:noProof/>
                <w:sz w:val="20"/>
                <w:szCs w:val="20"/>
                <w:lang w:val="es-ES"/>
              </w:rPr>
            </w:pPr>
            <w:r w:rsidRPr="00961B6E">
              <w:rPr>
                <w:rFonts w:cstheme="minorHAnsi"/>
                <w:noProof/>
                <w:sz w:val="20"/>
                <w:szCs w:val="20"/>
                <w:lang w:val="es-ES"/>
              </w:rPr>
              <w:lastRenderedPageBreak/>
              <w:t>1.b; 2.5; 6.5; 6.6; 6.a; 10.6; 12.4; 14.5; 14.c; 15.1; 15.6; 16.8; 17.6; 17.7; 17.9</w:t>
            </w:r>
          </w:p>
        </w:tc>
      </w:tr>
      <w:tr w:rsidR="00BE7F85" w:rsidRPr="00961B6E" w14:paraId="45B2F599" w14:textId="77777777" w:rsidTr="00453A3D">
        <w:tc>
          <w:tcPr>
            <w:tcW w:w="3256" w:type="dxa"/>
          </w:tcPr>
          <w:p w14:paraId="75853FF2"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19. Se potencia la creación de capacidad para la aplicación de la Convención y del Cuarto Plan Estratégico de Ramsar (2016-2024)</w:t>
            </w:r>
          </w:p>
        </w:tc>
        <w:tc>
          <w:tcPr>
            <w:tcW w:w="3543" w:type="dxa"/>
          </w:tcPr>
          <w:p w14:paraId="13F30E3E" w14:textId="77777777" w:rsidR="00BE7F85" w:rsidRPr="00961B6E" w:rsidRDefault="00BE7F85" w:rsidP="00DA1EB3">
            <w:pPr>
              <w:rPr>
                <w:rFonts w:cstheme="minorHAnsi"/>
                <w:noProof/>
                <w:sz w:val="20"/>
                <w:szCs w:val="20"/>
                <w:lang w:val="es-ES"/>
              </w:rPr>
            </w:pPr>
          </w:p>
        </w:tc>
        <w:tc>
          <w:tcPr>
            <w:tcW w:w="2217" w:type="dxa"/>
          </w:tcPr>
          <w:p w14:paraId="6E762694" w14:textId="77777777" w:rsidR="00BE7F85" w:rsidRPr="00961B6E" w:rsidRDefault="00BE7F85" w:rsidP="00DA1EB3">
            <w:pPr>
              <w:rPr>
                <w:rFonts w:cstheme="minorHAnsi"/>
                <w:noProof/>
                <w:sz w:val="20"/>
                <w:szCs w:val="20"/>
                <w:lang w:val="es-ES"/>
              </w:rPr>
            </w:pPr>
            <w:r w:rsidRPr="00961B6E">
              <w:rPr>
                <w:rFonts w:cstheme="minorHAnsi"/>
                <w:noProof/>
                <w:sz w:val="20"/>
                <w:szCs w:val="20"/>
                <w:lang w:val="es-ES"/>
              </w:rPr>
              <w:t>2.4; 6.a; 11.3; 13.1; 13.3; 15.c; 17.9</w:t>
            </w:r>
          </w:p>
        </w:tc>
      </w:tr>
    </w:tbl>
    <w:p w14:paraId="45609CF5" w14:textId="77777777" w:rsidR="00BE7F85" w:rsidRPr="00961B6E" w:rsidRDefault="00BE7F85" w:rsidP="00DA1EB3">
      <w:pPr>
        <w:rPr>
          <w:rFonts w:eastAsia="Times New Roman" w:cstheme="minorHAnsi"/>
          <w:b/>
          <w:bCs/>
          <w:noProof/>
          <w:lang w:val="es-ES" w:eastAsia="en-GB"/>
        </w:rPr>
      </w:pPr>
    </w:p>
    <w:p w14:paraId="1BE3759D" w14:textId="77777777" w:rsidR="00BE7F85" w:rsidRPr="00961B6E" w:rsidRDefault="00BE7F85" w:rsidP="00DA1EB3">
      <w:pPr>
        <w:rPr>
          <w:rFonts w:eastAsia="Times New Roman" w:cstheme="minorHAnsi"/>
          <w:b/>
          <w:bCs/>
          <w:noProof/>
          <w:lang w:val="es-ES" w:eastAsia="en-GB"/>
        </w:rPr>
      </w:pPr>
      <w:r w:rsidRPr="00961B6E">
        <w:rPr>
          <w:rFonts w:eastAsia="Times New Roman" w:cstheme="minorHAnsi"/>
          <w:b/>
          <w:bCs/>
          <w:noProof/>
          <w:lang w:val="es-ES" w:eastAsia="en-GB"/>
        </w:rPr>
        <w:t xml:space="preserve">Fuentes y recursos disponibles </w:t>
      </w:r>
    </w:p>
    <w:p w14:paraId="7DB5D1A0" w14:textId="4A75A513" w:rsidR="00C939D0" w:rsidRPr="00961B6E" w:rsidRDefault="00BE7F85" w:rsidP="00DA1EB3">
      <w:pPr>
        <w:rPr>
          <w:rFonts w:eastAsia="Times New Roman" w:cstheme="minorHAnsi"/>
          <w:noProof/>
          <w:lang w:val="es-ES" w:eastAsia="en-GB"/>
        </w:rPr>
      </w:pPr>
      <w:r w:rsidRPr="00961B6E">
        <w:rPr>
          <w:noProof/>
          <w:lang w:val="es-ES"/>
        </w:rPr>
        <w:t xml:space="preserve">How Wetlands Achieve select SDGs: </w:t>
      </w:r>
      <w:hyperlink r:id="rId12" w:history="1">
        <w:r w:rsidRPr="00961B6E">
          <w:rPr>
            <w:rFonts w:eastAsia="Times New Roman" w:cstheme="minorHAnsi"/>
            <w:i/>
            <w:iCs/>
            <w:noProof/>
            <w:u w:val="single"/>
            <w:lang w:val="es-ES" w:eastAsia="en-GB"/>
          </w:rPr>
          <w:t>Scaling up wetland conservation, wise use and restoration to achieve the Sustainable Development Goals</w:t>
        </w:r>
      </w:hyperlink>
      <w:r w:rsidRPr="00961B6E">
        <w:rPr>
          <w:rFonts w:eastAsia="Times New Roman" w:cstheme="minorHAnsi"/>
          <w:noProof/>
          <w:lang w:val="es-ES" w:eastAsia="en-GB"/>
        </w:rPr>
        <w:t xml:space="preserve">. </w:t>
      </w:r>
      <w:r w:rsidR="00435566" w:rsidRPr="00961B6E">
        <w:rPr>
          <w:rFonts w:eastAsia="Times New Roman" w:cstheme="minorHAnsi"/>
          <w:noProof/>
          <w:lang w:val="es-ES" w:eastAsia="en-GB"/>
        </w:rPr>
        <w:t>[</w:t>
      </w:r>
      <w:r w:rsidRPr="00961B6E">
        <w:rPr>
          <w:rFonts w:eastAsia="Times New Roman" w:cstheme="minorHAnsi"/>
          <w:noProof/>
          <w:lang w:val="es-ES" w:eastAsia="en-GB"/>
        </w:rPr>
        <w:t>Cómo los humedales logran determinados ODS: Incrementar la conservación, el uso racional y la restauración de los humedales para lograr los Objetivos de Desarrollo Sostenible</w:t>
      </w:r>
      <w:r w:rsidR="00435566" w:rsidRPr="00961B6E">
        <w:rPr>
          <w:rFonts w:eastAsia="Times New Roman" w:cstheme="minorHAnsi"/>
          <w:noProof/>
          <w:lang w:val="es-ES" w:eastAsia="en-GB"/>
        </w:rPr>
        <w:t>]</w:t>
      </w:r>
      <w:r w:rsidRPr="00961B6E">
        <w:rPr>
          <w:rFonts w:eastAsia="Times New Roman" w:cstheme="minorHAnsi"/>
          <w:noProof/>
          <w:lang w:val="es-ES" w:eastAsia="en-GB"/>
        </w:rPr>
        <w:t>.</w:t>
      </w:r>
    </w:p>
    <w:p w14:paraId="0688CFA8" w14:textId="1FCC5A6D" w:rsidR="005017C4" w:rsidRPr="00961B6E" w:rsidRDefault="005017C4" w:rsidP="00DA1EB3">
      <w:pPr>
        <w:rPr>
          <w:rFonts w:eastAsia="Times New Roman" w:cstheme="minorHAnsi"/>
          <w:noProof/>
          <w:lang w:val="es-ES" w:eastAsia="en-GB"/>
        </w:rPr>
      </w:pPr>
      <w:r w:rsidRPr="00961B6E">
        <w:rPr>
          <w:b/>
          <w:bCs/>
          <w:noProof/>
          <w:lang w:val="es-ES"/>
        </w:rPr>
        <w:br w:type="page"/>
      </w:r>
    </w:p>
    <w:p w14:paraId="15A5D50D" w14:textId="7E492DF9" w:rsidR="00027E94" w:rsidRPr="00961B6E" w:rsidRDefault="00027E94" w:rsidP="00DA1EB3">
      <w:pPr>
        <w:rPr>
          <w:rFonts w:cs="Arial"/>
          <w:b/>
          <w:bCs/>
          <w:noProof/>
          <w:lang w:val="es-ES"/>
        </w:rPr>
      </w:pPr>
      <w:r w:rsidRPr="00961B6E">
        <w:rPr>
          <w:b/>
          <w:bCs/>
          <w:noProof/>
          <w:lang w:val="es-ES"/>
        </w:rPr>
        <w:lastRenderedPageBreak/>
        <w:t>ANEXO 4: NUEVO ENFOQUE DE LAS ACTIVIDADES DE CECOP</w:t>
      </w:r>
    </w:p>
    <w:p w14:paraId="057CBC1F" w14:textId="77777777" w:rsidR="008759FF" w:rsidRPr="00961B6E" w:rsidRDefault="008759FF" w:rsidP="00DA1EB3">
      <w:pPr>
        <w:rPr>
          <w:rFonts w:cs="Arial"/>
          <w:b/>
          <w:noProof/>
          <w:lang w:val="es-ES"/>
        </w:rPr>
      </w:pPr>
    </w:p>
    <w:p w14:paraId="534804FD" w14:textId="77777777" w:rsidR="00027E94" w:rsidRPr="00961B6E" w:rsidRDefault="00027E94" w:rsidP="00DA1EB3">
      <w:pPr>
        <w:rPr>
          <w:rFonts w:cs="Arial"/>
          <w:b/>
          <w:noProof/>
          <w:lang w:val="es-ES"/>
        </w:rPr>
      </w:pPr>
      <w:r w:rsidRPr="00961B6E">
        <w:rPr>
          <w:rFonts w:cs="Arial"/>
          <w:b/>
          <w:noProof/>
          <w:lang w:val="es-ES"/>
        </w:rPr>
        <w:t>Contexto</w:t>
      </w:r>
    </w:p>
    <w:p w14:paraId="0CF44876" w14:textId="77777777" w:rsidR="00027E94" w:rsidRPr="00961B6E" w:rsidRDefault="00027E94" w:rsidP="00DA1EB3">
      <w:pPr>
        <w:rPr>
          <w:noProof/>
          <w:lang w:val="es-ES"/>
        </w:rPr>
      </w:pPr>
    </w:p>
    <w:p w14:paraId="128C9596" w14:textId="77777777" w:rsidR="00027E94" w:rsidRPr="00961B6E" w:rsidRDefault="00027E94" w:rsidP="00DA1EB3">
      <w:pPr>
        <w:rPr>
          <w:rFonts w:cs="Arial"/>
          <w:noProof/>
          <w:lang w:val="es-ES"/>
        </w:rPr>
      </w:pPr>
      <w:r w:rsidRPr="00961B6E">
        <w:rPr>
          <w:rFonts w:cs="Arial"/>
          <w:noProof/>
          <w:lang w:val="es-ES"/>
        </w:rPr>
        <w:t>En general, las actividades y elementos de CECoP deberían integrarse en la planificación y las actividades de la Convención (a escala local, nacional e internacional), según proceda, centrando los esfuerzos en un número más pequeño de actividades altamente prioritarias.</w:t>
      </w:r>
    </w:p>
    <w:p w14:paraId="3653503E" w14:textId="77777777" w:rsidR="00027E94" w:rsidRPr="00961B6E" w:rsidRDefault="00027E94" w:rsidP="00DA1EB3">
      <w:pPr>
        <w:rPr>
          <w:rFonts w:cs="Arial"/>
          <w:noProof/>
          <w:lang w:val="es-ES"/>
        </w:rPr>
      </w:pPr>
    </w:p>
    <w:p w14:paraId="353A2F91" w14:textId="78E70840" w:rsidR="00027E94" w:rsidRPr="00961B6E" w:rsidRDefault="00027E94" w:rsidP="00DA1EB3">
      <w:pPr>
        <w:rPr>
          <w:rFonts w:eastAsia="Calibri" w:cstheme="minorHAnsi"/>
          <w:noProof/>
          <w:lang w:val="es-ES"/>
        </w:rPr>
      </w:pPr>
      <w:r w:rsidRPr="00961B6E">
        <w:rPr>
          <w:rFonts w:eastAsia="Calibri" w:cstheme="minorHAnsi"/>
          <w:noProof/>
          <w:lang w:val="es-ES"/>
        </w:rPr>
        <w:t xml:space="preserve">Las orientaciones que figuran a continuación son una </w:t>
      </w:r>
      <w:r w:rsidR="00612473" w:rsidRPr="00961B6E">
        <w:rPr>
          <w:rFonts w:eastAsia="Calibri" w:cstheme="minorHAnsi"/>
          <w:noProof/>
          <w:lang w:val="es-ES"/>
        </w:rPr>
        <w:t>gu</w:t>
      </w:r>
      <w:r w:rsidRPr="00961B6E">
        <w:rPr>
          <w:rFonts w:eastAsia="Calibri" w:cstheme="minorHAnsi"/>
          <w:noProof/>
          <w:lang w:val="es-ES"/>
        </w:rPr>
        <w:t>ía para que las Partes Contratantes trabajen en la incorporación de este enfoque de CECoP en su aplicación de la Convención durante el próximo trienio.</w:t>
      </w:r>
    </w:p>
    <w:p w14:paraId="49D4A202" w14:textId="77777777" w:rsidR="00027E94" w:rsidRPr="00961B6E" w:rsidRDefault="00027E94" w:rsidP="00DA1EB3">
      <w:pPr>
        <w:rPr>
          <w:rFonts w:cstheme="minorHAnsi"/>
          <w:b/>
          <w:noProof/>
          <w:lang w:val="es-ES"/>
        </w:rPr>
      </w:pPr>
    </w:p>
    <w:p w14:paraId="1DB4DC52" w14:textId="52EA316A" w:rsidR="00811FD5" w:rsidRPr="00961B6E" w:rsidRDefault="00811FD5" w:rsidP="00DA1EB3">
      <w:pPr>
        <w:rPr>
          <w:rFonts w:cs="Arial"/>
          <w:b/>
          <w:noProof/>
          <w:lang w:val="es-ES"/>
        </w:rPr>
      </w:pPr>
      <w:r w:rsidRPr="00961B6E">
        <w:rPr>
          <w:rFonts w:cs="Arial"/>
          <w:b/>
          <w:noProof/>
          <w:lang w:val="es-ES"/>
        </w:rPr>
        <w:t>Consideraciones generales que apoyan la ejecución del</w:t>
      </w:r>
      <w:r w:rsidRPr="00961B6E">
        <w:rPr>
          <w:rFonts w:cstheme="minorHAnsi"/>
          <w:b/>
          <w:noProof/>
          <w:lang w:val="es-ES"/>
        </w:rPr>
        <w:t xml:space="preserve"> </w:t>
      </w:r>
      <w:r w:rsidR="00435566" w:rsidRPr="00961B6E">
        <w:rPr>
          <w:rFonts w:cstheme="minorHAnsi"/>
          <w:b/>
          <w:noProof/>
          <w:lang w:val="es-ES"/>
        </w:rPr>
        <w:t>Cuarto Plan Estratégico</w:t>
      </w:r>
    </w:p>
    <w:p w14:paraId="3E7504B0" w14:textId="77777777" w:rsidR="00811FD5" w:rsidRPr="00961B6E" w:rsidRDefault="00811FD5" w:rsidP="00DA1EB3">
      <w:pPr>
        <w:pStyle w:val="ListParagraph"/>
        <w:spacing w:after="0" w:line="240" w:lineRule="auto"/>
        <w:ind w:left="0"/>
        <w:rPr>
          <w:rFonts w:cs="Arial"/>
          <w:b/>
          <w:noProof/>
          <w:lang w:val="es-ES"/>
        </w:rPr>
      </w:pPr>
    </w:p>
    <w:p w14:paraId="2A41B80B" w14:textId="77777777" w:rsidR="00811FD5" w:rsidRPr="00961B6E" w:rsidRDefault="00811FD5" w:rsidP="00DA1EB3">
      <w:pPr>
        <w:pStyle w:val="ListParagraph"/>
        <w:spacing w:after="0" w:line="240" w:lineRule="auto"/>
        <w:ind w:left="0"/>
        <w:rPr>
          <w:rFonts w:cs="Arial"/>
          <w:b/>
          <w:noProof/>
          <w:lang w:val="es-ES"/>
        </w:rPr>
      </w:pPr>
      <w:r w:rsidRPr="00961B6E">
        <w:rPr>
          <w:rFonts w:cs="Arial"/>
          <w:b/>
          <w:noProof/>
          <w:lang w:val="es-ES"/>
        </w:rPr>
        <w:t>Apoyar a los coordinadores nacionales y establecer más redes y alianzas</w:t>
      </w:r>
    </w:p>
    <w:p w14:paraId="363E4B40" w14:textId="77777777" w:rsidR="00811FD5" w:rsidRPr="00961B6E" w:rsidRDefault="00811FD5" w:rsidP="00DA1EB3">
      <w:pPr>
        <w:pStyle w:val="ListParagraph"/>
        <w:spacing w:after="0" w:line="240" w:lineRule="auto"/>
        <w:ind w:left="0"/>
        <w:rPr>
          <w:rFonts w:cs="Times New Roman"/>
          <w:noProof/>
          <w:szCs w:val="24"/>
          <w:lang w:val="es-ES"/>
        </w:rPr>
      </w:pPr>
      <w:r w:rsidRPr="00961B6E">
        <w:rPr>
          <w:noProof/>
          <w:szCs w:val="24"/>
          <w:lang w:val="es-ES"/>
        </w:rPr>
        <w:t xml:space="preserve">Los coordinadores nacionales y los coordinadores nacionales de CECoP son importantes para garantizar un enfoque nacional coordinado y estratégico para la aplicación de Ramsar. Se debería reconocer a los coordinadores nacionales de CECoP como los principales ejecutores de la CECoP y se les deberían brindar herramientas y oportunidades de formación adecuadas según proceda. </w:t>
      </w:r>
    </w:p>
    <w:p w14:paraId="0ED99425" w14:textId="77777777" w:rsidR="00811FD5" w:rsidRPr="00961B6E" w:rsidRDefault="00811FD5" w:rsidP="00DA1EB3">
      <w:pPr>
        <w:pStyle w:val="ListParagraph"/>
        <w:spacing w:after="0" w:line="240" w:lineRule="auto"/>
        <w:ind w:left="0"/>
        <w:rPr>
          <w:noProof/>
          <w:szCs w:val="24"/>
          <w:lang w:val="es-ES"/>
        </w:rPr>
      </w:pPr>
    </w:p>
    <w:p w14:paraId="4C150444" w14:textId="77777777" w:rsidR="00811FD5" w:rsidRPr="00961B6E" w:rsidRDefault="00811FD5" w:rsidP="00DA1EB3">
      <w:pPr>
        <w:rPr>
          <w:rFonts w:cs="Arial"/>
          <w:noProof/>
          <w:lang w:val="es-ES"/>
        </w:rPr>
      </w:pPr>
      <w:r w:rsidRPr="00961B6E">
        <w:rPr>
          <w:noProof/>
          <w:szCs w:val="24"/>
          <w:lang w:val="es-ES"/>
        </w:rPr>
        <w:t xml:space="preserve">Las Partes Contratantes deberían velar por que se informe a los coordinadores nacionales sobre sus responsabilidades. La </w:t>
      </w:r>
      <w:bookmarkStart w:id="2" w:name="_Hlk33614291"/>
      <w:r w:rsidRPr="00961B6E">
        <w:rPr>
          <w:noProof/>
          <w:szCs w:val="24"/>
          <w:lang w:val="es-ES"/>
        </w:rPr>
        <w:t xml:space="preserve">Secretaría puede proporcionar asesoramiento e información a las Partes Contratantes, por ejemplo, materiales introductorios sobre el trabajo de CECoP de Ramsar para los nuevos coordinadores nacionales de CECoP y coordinadores no gubernamentales de CECoP, y compartir buenos ejemplos de otros países. </w:t>
      </w:r>
    </w:p>
    <w:p w14:paraId="5D5180B7" w14:textId="77777777" w:rsidR="00811FD5" w:rsidRPr="00961B6E" w:rsidRDefault="00811FD5" w:rsidP="00DA1EB3">
      <w:pPr>
        <w:pStyle w:val="ListParagraph"/>
        <w:spacing w:after="0" w:line="240" w:lineRule="auto"/>
        <w:ind w:left="0"/>
        <w:rPr>
          <w:noProof/>
          <w:szCs w:val="24"/>
          <w:lang w:val="es-ES"/>
        </w:rPr>
      </w:pPr>
    </w:p>
    <w:bookmarkEnd w:id="2"/>
    <w:p w14:paraId="1AC3C86C" w14:textId="77777777" w:rsidR="00811FD5" w:rsidRPr="00961B6E" w:rsidRDefault="00811FD5" w:rsidP="00DA1EB3">
      <w:pPr>
        <w:pStyle w:val="ListParagraph"/>
        <w:spacing w:after="0" w:line="240" w:lineRule="auto"/>
        <w:ind w:left="0"/>
        <w:rPr>
          <w:noProof/>
          <w:szCs w:val="24"/>
          <w:lang w:val="es-ES"/>
        </w:rPr>
      </w:pPr>
      <w:r w:rsidRPr="00961B6E">
        <w:rPr>
          <w:noProof/>
          <w:szCs w:val="24"/>
          <w:lang w:val="es-ES"/>
        </w:rPr>
        <w:t xml:space="preserve">Se alienta a las Partes Contratantes que tengan necesidades similares en materia de CECoP a cooperar en las actividades en ese ámbito. Algunos ejemplos de esa cooperación pueden ser el intercambio de experiencias sobre campañas de CECoP y el trabajo en cooperación para elaborar materiales de comunicación y traducirlos a distintos idiomas en función de las necesidades de las Partes Contratantes en cuestión. También se debería alentar a las Partes Contratantes a coordinarse con sus coordinadores nacionales de otros acuerdos multilaterales sobre el medio ambiente (AMMA) que estén realizando una labor similar. </w:t>
      </w:r>
    </w:p>
    <w:p w14:paraId="63EC85D7" w14:textId="77777777" w:rsidR="00811FD5" w:rsidRPr="00961B6E" w:rsidRDefault="00811FD5" w:rsidP="00DA1EB3">
      <w:pPr>
        <w:pStyle w:val="ListParagraph"/>
        <w:spacing w:after="0" w:line="240" w:lineRule="auto"/>
        <w:ind w:left="0"/>
        <w:rPr>
          <w:noProof/>
          <w:szCs w:val="24"/>
          <w:lang w:val="es-ES"/>
        </w:rPr>
      </w:pPr>
    </w:p>
    <w:p w14:paraId="03D76233" w14:textId="52347509" w:rsidR="00811FD5" w:rsidRPr="00961B6E" w:rsidRDefault="00811FD5" w:rsidP="00DA1EB3">
      <w:pPr>
        <w:pStyle w:val="ListParagraph"/>
        <w:spacing w:after="0" w:line="240" w:lineRule="auto"/>
        <w:ind w:left="0"/>
        <w:rPr>
          <w:noProof/>
          <w:szCs w:val="24"/>
          <w:lang w:val="es-ES"/>
        </w:rPr>
      </w:pPr>
      <w:r w:rsidRPr="00961B6E">
        <w:rPr>
          <w:noProof/>
          <w:szCs w:val="24"/>
          <w:lang w:val="es-ES"/>
        </w:rPr>
        <w:t>Las Partes Contratantes deberían incrementar su colaboración con otros sectores, en consonancia con las prioridades definidas en el Plan Estratégico a escala nacional. En particular, se deberían adaptar los mensajes para poner de relieve los temas que sean importantes para el público destinatario.</w:t>
      </w:r>
    </w:p>
    <w:p w14:paraId="78DEF0E0" w14:textId="77777777" w:rsidR="00811FD5" w:rsidRPr="00961B6E" w:rsidRDefault="00811FD5" w:rsidP="00DA1EB3">
      <w:pPr>
        <w:pStyle w:val="ListParagraph"/>
        <w:spacing w:after="0" w:line="240" w:lineRule="auto"/>
        <w:ind w:left="0"/>
        <w:rPr>
          <w:noProof/>
          <w:szCs w:val="24"/>
          <w:lang w:val="es-ES"/>
        </w:rPr>
      </w:pPr>
    </w:p>
    <w:p w14:paraId="1BCBC3FA" w14:textId="77777777" w:rsidR="00811FD5" w:rsidRPr="00961B6E" w:rsidRDefault="00811FD5" w:rsidP="00DA1EB3">
      <w:pPr>
        <w:pStyle w:val="ListParagraph"/>
        <w:spacing w:after="0" w:line="240" w:lineRule="auto"/>
        <w:ind w:left="0"/>
        <w:rPr>
          <w:b/>
          <w:bCs/>
          <w:noProof/>
          <w:szCs w:val="24"/>
          <w:lang w:val="es-ES"/>
        </w:rPr>
      </w:pPr>
      <w:r w:rsidRPr="00961B6E">
        <w:rPr>
          <w:b/>
          <w:bCs/>
          <w:noProof/>
          <w:szCs w:val="24"/>
          <w:lang w:val="es-ES"/>
        </w:rPr>
        <w:t xml:space="preserve">Consideraciones específicas para que las Partes Contratantes puedan aplicar el nuevo enfoque de CECoP con miras a apoyar la ejecución del Plan Estratégico </w:t>
      </w:r>
    </w:p>
    <w:p w14:paraId="394530B1" w14:textId="77777777" w:rsidR="00D0021B" w:rsidRPr="00961B6E" w:rsidRDefault="00D0021B" w:rsidP="00DA1EB3">
      <w:pPr>
        <w:pStyle w:val="ListParagraph"/>
        <w:spacing w:after="0" w:line="240" w:lineRule="auto"/>
        <w:ind w:left="0"/>
        <w:rPr>
          <w:noProof/>
          <w:szCs w:val="24"/>
          <w:lang w:val="es-ES"/>
        </w:rPr>
      </w:pPr>
    </w:p>
    <w:tbl>
      <w:tblPr>
        <w:tblStyle w:val="TableGrid"/>
        <w:tblW w:w="0" w:type="auto"/>
        <w:tblLook w:val="04A0" w:firstRow="1" w:lastRow="0" w:firstColumn="1" w:lastColumn="0" w:noHBand="0" w:noVBand="1"/>
      </w:tblPr>
      <w:tblGrid>
        <w:gridCol w:w="3256"/>
        <w:gridCol w:w="5670"/>
      </w:tblGrid>
      <w:tr w:rsidR="00AE7628" w:rsidRPr="001E0965" w14:paraId="6AB722EE" w14:textId="77777777" w:rsidTr="00453A3D">
        <w:trPr>
          <w:tblHeader/>
        </w:trPr>
        <w:tc>
          <w:tcPr>
            <w:tcW w:w="3256" w:type="dxa"/>
          </w:tcPr>
          <w:p w14:paraId="4082E940" w14:textId="77777777" w:rsidR="00AE7628" w:rsidRPr="00961B6E" w:rsidRDefault="00AE7628" w:rsidP="00DA1EB3">
            <w:pPr>
              <w:pStyle w:val="ListParagraph"/>
              <w:ind w:left="0"/>
              <w:rPr>
                <w:rFonts w:cstheme="minorHAnsi"/>
                <w:b/>
                <w:bCs/>
                <w:noProof/>
                <w:sz w:val="20"/>
                <w:szCs w:val="20"/>
                <w:lang w:val="es-ES"/>
              </w:rPr>
            </w:pPr>
            <w:r w:rsidRPr="00961B6E">
              <w:rPr>
                <w:rFonts w:cstheme="minorHAnsi"/>
                <w:b/>
                <w:bCs/>
                <w:noProof/>
                <w:sz w:val="20"/>
                <w:szCs w:val="20"/>
                <w:lang w:val="es-ES"/>
              </w:rPr>
              <w:t>Objetivos y metas pertinentes</w:t>
            </w:r>
          </w:p>
        </w:tc>
        <w:tc>
          <w:tcPr>
            <w:tcW w:w="5670" w:type="dxa"/>
          </w:tcPr>
          <w:p w14:paraId="793B1590" w14:textId="77777777" w:rsidR="00AE7628" w:rsidRPr="00961B6E" w:rsidRDefault="00AE7628" w:rsidP="00DA1EB3">
            <w:pPr>
              <w:pStyle w:val="ListParagraph"/>
              <w:ind w:left="0"/>
              <w:rPr>
                <w:rFonts w:cstheme="minorHAnsi"/>
                <w:b/>
                <w:bCs/>
                <w:noProof/>
                <w:sz w:val="20"/>
                <w:szCs w:val="20"/>
                <w:lang w:val="es-ES"/>
              </w:rPr>
            </w:pPr>
            <w:r w:rsidRPr="00961B6E">
              <w:rPr>
                <w:rFonts w:cstheme="minorHAnsi"/>
                <w:b/>
                <w:bCs/>
                <w:noProof/>
                <w:sz w:val="20"/>
                <w:szCs w:val="20"/>
                <w:lang w:val="es-ES"/>
              </w:rPr>
              <w:t>Aplicación del nuevo enfoque de CECoP</w:t>
            </w:r>
          </w:p>
        </w:tc>
      </w:tr>
      <w:tr w:rsidR="00AE7628" w:rsidRPr="001E0965" w14:paraId="0F785081" w14:textId="77777777" w:rsidTr="00453A3D">
        <w:tc>
          <w:tcPr>
            <w:tcW w:w="8926" w:type="dxa"/>
            <w:gridSpan w:val="2"/>
          </w:tcPr>
          <w:p w14:paraId="0EC3FAC7"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1: </w:t>
            </w:r>
            <w:r w:rsidRPr="00961B6E">
              <w:rPr>
                <w:rFonts w:asciiTheme="minorHAnsi" w:hAnsiTheme="minorHAnsi" w:cstheme="minorHAnsi"/>
                <w:b/>
                <w:bCs/>
                <w:noProof/>
                <w:sz w:val="20"/>
                <w:szCs w:val="20"/>
                <w:lang w:val="es-ES"/>
              </w:rPr>
              <w:t>Hacer frente a los factores que impulsan la pérdida y degradación de los humedales</w:t>
            </w:r>
          </w:p>
        </w:tc>
      </w:tr>
      <w:tr w:rsidR="00AE7628" w:rsidRPr="001E0965" w14:paraId="4E60889C" w14:textId="77777777" w:rsidTr="00453A3D">
        <w:tc>
          <w:tcPr>
            <w:tcW w:w="3256" w:type="dxa"/>
          </w:tcPr>
          <w:p w14:paraId="15B51EC9"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w:t>
            </w:r>
            <w:r w:rsidRPr="00961B6E">
              <w:rPr>
                <w:rFonts w:asciiTheme="minorHAnsi" w:hAnsiTheme="minorHAnsi" w:cstheme="minorHAnsi"/>
                <w:b/>
                <w:bCs/>
                <w:noProof/>
                <w:sz w:val="20"/>
                <w:szCs w:val="20"/>
                <w:lang w:val="es-ES"/>
              </w:rPr>
              <w:t xml:space="preserve"> </w:t>
            </w:r>
            <w:r w:rsidRPr="00961B6E">
              <w:rPr>
                <w:rFonts w:asciiTheme="minorHAnsi" w:hAnsiTheme="minorHAnsi" w:cstheme="minorHAnsi"/>
                <w:noProof/>
                <w:sz w:val="20"/>
                <w:szCs w:val="20"/>
                <w:lang w:val="es-ES"/>
              </w:rPr>
              <w:t xml:space="preserve">Los beneficios de los humedales están integrados en las políticas o estrategias y planes nacionales o locales relativos a sectores clave como el agua, la energía, la minería, la agricultura, el turismo, el desarrollo urbano, las infraestructuras, la industria, la </w:t>
            </w:r>
            <w:r w:rsidRPr="00961B6E">
              <w:rPr>
                <w:rFonts w:asciiTheme="minorHAnsi" w:hAnsiTheme="minorHAnsi" w:cstheme="minorHAnsi"/>
                <w:noProof/>
                <w:sz w:val="20"/>
                <w:szCs w:val="20"/>
                <w:lang w:val="es-ES"/>
              </w:rPr>
              <w:lastRenderedPageBreak/>
              <w:t>silvicultura, la acuicultura y la pesca a escala nacional y local.</w:t>
            </w:r>
          </w:p>
        </w:tc>
        <w:tc>
          <w:tcPr>
            <w:tcW w:w="5670" w:type="dxa"/>
          </w:tcPr>
          <w:p w14:paraId="606AC827" w14:textId="77777777" w:rsidR="00AE7628" w:rsidRPr="00961B6E" w:rsidRDefault="00AE7628" w:rsidP="00DA1EB3">
            <w:pPr>
              <w:pStyle w:val="ListParagraph"/>
              <w:numPr>
                <w:ilvl w:val="0"/>
                <w:numId w:val="32"/>
              </w:numPr>
              <w:spacing w:after="0" w:line="240" w:lineRule="auto"/>
              <w:ind w:left="454" w:hanging="426"/>
              <w:rPr>
                <w:rFonts w:cstheme="minorHAnsi"/>
                <w:noProof/>
                <w:sz w:val="20"/>
                <w:szCs w:val="20"/>
                <w:lang w:val="es-ES"/>
              </w:rPr>
            </w:pPr>
            <w:r w:rsidRPr="00961B6E">
              <w:rPr>
                <w:rFonts w:cstheme="minorHAnsi"/>
                <w:noProof/>
                <w:sz w:val="20"/>
                <w:szCs w:val="20"/>
                <w:lang w:val="es-ES"/>
              </w:rPr>
              <w:lastRenderedPageBreak/>
              <w:t>Las Partes Contratantes deberían seguir aportando información sobre humedales al debate sobre cuestiones de política mundiales, incluidos los Objetivos de Desarrollo Sostenible, el marco de la diversidad biológica posterior a 2020 y los esfuerzos de descarbonización del Acuerdo de París, entre otras cosas mediante los ecosistemas de carbono azul.</w:t>
            </w:r>
          </w:p>
          <w:p w14:paraId="7B8D76C7" w14:textId="77777777" w:rsidR="00AE7628" w:rsidRPr="00961B6E" w:rsidRDefault="00AE7628" w:rsidP="00DA1EB3">
            <w:pPr>
              <w:pStyle w:val="ListParagraph"/>
              <w:numPr>
                <w:ilvl w:val="0"/>
                <w:numId w:val="32"/>
              </w:numPr>
              <w:spacing w:after="0" w:line="240" w:lineRule="auto"/>
              <w:ind w:left="454" w:hanging="426"/>
              <w:rPr>
                <w:rFonts w:cstheme="minorHAnsi"/>
                <w:noProof/>
                <w:sz w:val="20"/>
                <w:szCs w:val="20"/>
                <w:lang w:val="es-ES"/>
              </w:rPr>
            </w:pPr>
            <w:r w:rsidRPr="00961B6E">
              <w:rPr>
                <w:rFonts w:cstheme="minorHAnsi"/>
                <w:noProof/>
                <w:sz w:val="20"/>
                <w:szCs w:val="20"/>
                <w:lang w:val="es-ES"/>
              </w:rPr>
              <w:lastRenderedPageBreak/>
              <w:t>Las Partes Contratantes deberían seleccionar mecanismos para realizar mayores aportaciones sectoriales a la planificación de Ramsar y de la CECoP, entre otras cosas reconociendo el valor, la experiencia y los recursos de las OIA, las ONG, las Partes Contratantes y los interlocutores comerciales en la planificación, dotación de recursos, elaboración y aplicación de mensajes y productos de CECoP de Ramsar.</w:t>
            </w:r>
          </w:p>
          <w:p w14:paraId="7D129EBC" w14:textId="77777777" w:rsidR="00AE7628" w:rsidRPr="00961B6E" w:rsidRDefault="00AE7628" w:rsidP="00DA1EB3">
            <w:pPr>
              <w:pStyle w:val="ListParagraph"/>
              <w:numPr>
                <w:ilvl w:val="0"/>
                <w:numId w:val="32"/>
              </w:numPr>
              <w:spacing w:after="0" w:line="240" w:lineRule="auto"/>
              <w:ind w:left="454" w:hanging="426"/>
              <w:rPr>
                <w:rFonts w:cstheme="minorHAnsi"/>
                <w:noProof/>
                <w:sz w:val="20"/>
                <w:szCs w:val="20"/>
                <w:lang w:val="es-ES"/>
              </w:rPr>
            </w:pPr>
            <w:r w:rsidRPr="00961B6E">
              <w:rPr>
                <w:rFonts w:cstheme="minorHAnsi"/>
                <w:noProof/>
                <w:sz w:val="20"/>
                <w:szCs w:val="20"/>
                <w:lang w:val="es-ES"/>
              </w:rPr>
              <w:t>Las Partes Contratantes deberían incrementar su colaboración con sectores que tengan un impacto sobre los humedales, en consonancia con las prioridades determinadas en el Plan Estratégico a escala nacional. En particular, se deberían adaptar los mensajes para poner de relieve los temas que sean importantes para el público destinatario.</w:t>
            </w:r>
          </w:p>
        </w:tc>
      </w:tr>
      <w:tr w:rsidR="00AE7628" w:rsidRPr="001E0965" w14:paraId="4AF1273A" w14:textId="77777777" w:rsidTr="00453A3D">
        <w:tc>
          <w:tcPr>
            <w:tcW w:w="3256" w:type="dxa"/>
          </w:tcPr>
          <w:p w14:paraId="68659B51"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lastRenderedPageBreak/>
              <w:t>2. El uso del agua respeta las necesidades de los ecosistemas de humedales para que estos puedan cumplir sus funciones y proporcionar servicios a la escala adecuada, por ejemplo, en una cuenca hidrográfica o una zona costera.</w:t>
            </w:r>
          </w:p>
        </w:tc>
        <w:tc>
          <w:tcPr>
            <w:tcW w:w="5670" w:type="dxa"/>
          </w:tcPr>
          <w:p w14:paraId="1D0459AE" w14:textId="77777777" w:rsidR="00AE7628" w:rsidRPr="00961B6E" w:rsidRDefault="00AE7628" w:rsidP="00DA1EB3">
            <w:pPr>
              <w:pStyle w:val="ListParagraph"/>
              <w:numPr>
                <w:ilvl w:val="0"/>
                <w:numId w:val="29"/>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deberían promover estudios de caso sobre la gestión sostenible de humedales urbanos, incluyendo ejemplos de la acreditación de Ciudad de Humedal, y realizar actividades de CECoP que impliquen a los interesados y promuevan el uso racional y la gestión de sus humedales y sus alrededores de manera que se tenga en cuenta tanto la calidad como la cantidad de agua.</w:t>
            </w:r>
          </w:p>
        </w:tc>
      </w:tr>
      <w:tr w:rsidR="00AE7628" w:rsidRPr="001E0965" w14:paraId="5E0C1688" w14:textId="77777777" w:rsidTr="00453A3D">
        <w:tc>
          <w:tcPr>
            <w:tcW w:w="3256" w:type="dxa"/>
          </w:tcPr>
          <w:p w14:paraId="207AACB2"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3. Los sectores público y privado han aumentado sus esfuerzos para aplicar lineamientos y buenas prácticas para el uso racional del agua y de los humedales.</w:t>
            </w:r>
          </w:p>
          <w:p w14:paraId="1D3FED3A" w14:textId="77777777" w:rsidR="00AE7628" w:rsidRPr="00961B6E" w:rsidRDefault="00AE7628" w:rsidP="00DA1EB3">
            <w:pPr>
              <w:pStyle w:val="ListParagraph"/>
              <w:ind w:left="0"/>
              <w:rPr>
                <w:rFonts w:cstheme="minorHAnsi"/>
                <w:noProof/>
                <w:sz w:val="20"/>
                <w:szCs w:val="20"/>
                <w:lang w:val="es-ES"/>
              </w:rPr>
            </w:pPr>
          </w:p>
        </w:tc>
        <w:tc>
          <w:tcPr>
            <w:tcW w:w="5670" w:type="dxa"/>
          </w:tcPr>
          <w:p w14:paraId="387C8544" w14:textId="77777777" w:rsidR="00AE7628" w:rsidRPr="00961B6E" w:rsidRDefault="00AE7628" w:rsidP="00DA1EB3">
            <w:pPr>
              <w:pStyle w:val="ListParagraph"/>
              <w:numPr>
                <w:ilvl w:val="0"/>
                <w:numId w:val="28"/>
              </w:numPr>
              <w:spacing w:after="0" w:line="240" w:lineRule="auto"/>
              <w:ind w:left="454" w:hanging="284"/>
              <w:rPr>
                <w:rFonts w:cstheme="minorHAnsi"/>
                <w:noProof/>
                <w:sz w:val="20"/>
                <w:szCs w:val="20"/>
                <w:lang w:val="es-ES"/>
              </w:rPr>
            </w:pPr>
            <w:r w:rsidRPr="00961B6E">
              <w:rPr>
                <w:rFonts w:cstheme="minorHAnsi"/>
                <w:noProof/>
                <w:sz w:val="20"/>
                <w:szCs w:val="20"/>
                <w:lang w:val="es-ES"/>
              </w:rPr>
              <w:t xml:space="preserve">Las Partes Contratantes deberían promover las orientaciones existentes de la Convención y compartir con otras Partes Contratantes orientaciones prácticas locales, buenas prácticas y estudios de caso que puedan ser relevantes de manera más general. </w:t>
            </w:r>
          </w:p>
          <w:p w14:paraId="1C114837" w14:textId="77777777" w:rsidR="00AE7628" w:rsidRPr="00961B6E" w:rsidRDefault="00AE7628" w:rsidP="00DA1EB3">
            <w:pPr>
              <w:pStyle w:val="ListParagraph"/>
              <w:numPr>
                <w:ilvl w:val="0"/>
                <w:numId w:val="28"/>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deberían compartir estudios de caso sobre buenas prácticas.</w:t>
            </w:r>
          </w:p>
        </w:tc>
      </w:tr>
      <w:tr w:rsidR="00AE7628" w:rsidRPr="001E0965" w14:paraId="171BEAFB" w14:textId="77777777" w:rsidTr="00453A3D">
        <w:tc>
          <w:tcPr>
            <w:tcW w:w="3256" w:type="dxa"/>
          </w:tcPr>
          <w:p w14:paraId="10C95439"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4. Se identifican y priorizan especies exóticas invasoras y sus vías de entrada y expansión, se controlan o erradican las especies exóticas invasoras prioritarias y se preparan y aplican medidas de manejo para evitar su introducción y establecimiento.</w:t>
            </w:r>
          </w:p>
        </w:tc>
        <w:tc>
          <w:tcPr>
            <w:tcW w:w="5670" w:type="dxa"/>
          </w:tcPr>
          <w:p w14:paraId="16B0C901" w14:textId="77777777" w:rsidR="00AE7628" w:rsidRPr="00961B6E" w:rsidRDefault="00AE7628" w:rsidP="00DA1EB3">
            <w:pPr>
              <w:pStyle w:val="ListParagraph"/>
              <w:numPr>
                <w:ilvl w:val="0"/>
                <w:numId w:val="31"/>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deberían crear conciencia sobre las especies exóticas invasoras en los ecosistemas terrestres mediante la preparación y divulgación de materiales de formación y comunicación entre los sectores público y privado.</w:t>
            </w:r>
          </w:p>
        </w:tc>
      </w:tr>
      <w:tr w:rsidR="00AE7628" w:rsidRPr="001E0965" w14:paraId="4C3340F8" w14:textId="77777777" w:rsidTr="00453A3D">
        <w:tc>
          <w:tcPr>
            <w:tcW w:w="8926" w:type="dxa"/>
            <w:gridSpan w:val="2"/>
          </w:tcPr>
          <w:p w14:paraId="25125AD4"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Objetivo 2:</w:t>
            </w:r>
            <w:r w:rsidRPr="00961B6E">
              <w:rPr>
                <w:rFonts w:asciiTheme="minorHAnsi" w:hAnsiTheme="minorHAnsi" w:cstheme="minorHAnsi"/>
                <w:b/>
                <w:noProof/>
                <w:sz w:val="20"/>
                <w:szCs w:val="20"/>
                <w:lang w:val="es-ES"/>
              </w:rPr>
              <w:tab/>
            </w:r>
            <w:r w:rsidRPr="00961B6E">
              <w:rPr>
                <w:rFonts w:asciiTheme="minorHAnsi" w:hAnsiTheme="minorHAnsi" w:cstheme="minorHAnsi"/>
                <w:b/>
                <w:bCs/>
                <w:noProof/>
                <w:sz w:val="20"/>
                <w:szCs w:val="20"/>
                <w:lang w:val="es-ES"/>
              </w:rPr>
              <w:t>Llevar a cabo una conservación y un manejo eficaces de la red de sitios Ramsar</w:t>
            </w:r>
          </w:p>
        </w:tc>
      </w:tr>
      <w:tr w:rsidR="00AE7628" w:rsidRPr="001E0965" w14:paraId="0F6F1444" w14:textId="77777777" w:rsidTr="00453A3D">
        <w:tc>
          <w:tcPr>
            <w:tcW w:w="3256" w:type="dxa"/>
          </w:tcPr>
          <w:p w14:paraId="65504EA5"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5. Se mantienen o restauran las características ecológicas de los sitios Ramsar a través de una planificación eficaz y un manejo integrado.</w:t>
            </w:r>
          </w:p>
        </w:tc>
        <w:tc>
          <w:tcPr>
            <w:tcW w:w="5670" w:type="dxa"/>
          </w:tcPr>
          <w:p w14:paraId="54E60700" w14:textId="77777777" w:rsidR="00AE7628" w:rsidRPr="00961B6E" w:rsidRDefault="00AE7628" w:rsidP="00DA1EB3">
            <w:pPr>
              <w:pStyle w:val="ListParagraph"/>
              <w:numPr>
                <w:ilvl w:val="0"/>
                <w:numId w:val="30"/>
              </w:numPr>
              <w:spacing w:after="0" w:line="240" w:lineRule="auto"/>
              <w:ind w:left="454" w:hanging="284"/>
              <w:rPr>
                <w:rFonts w:cstheme="minorHAnsi"/>
                <w:noProof/>
                <w:sz w:val="20"/>
                <w:szCs w:val="20"/>
                <w:lang w:val="es-ES" w:eastAsia="en-AU"/>
              </w:rPr>
            </w:pPr>
            <w:r w:rsidRPr="00961B6E">
              <w:rPr>
                <w:rFonts w:cstheme="minorHAnsi"/>
                <w:noProof/>
                <w:sz w:val="20"/>
                <w:szCs w:val="20"/>
                <w:lang w:val="es-ES"/>
              </w:rPr>
              <w:t>Las Partes Contratantes deberían integrar las actividades de CECoP en todos los planes de gestión y/o planes de actividades de los sitios Ramsar.</w:t>
            </w:r>
            <w:r w:rsidRPr="00961B6E">
              <w:rPr>
                <w:rFonts w:cstheme="minorHAnsi"/>
                <w:noProof/>
                <w:sz w:val="20"/>
                <w:szCs w:val="20"/>
                <w:lang w:val="es-ES" w:eastAsia="en-AU"/>
              </w:rPr>
              <w:t xml:space="preserve"> </w:t>
            </w:r>
          </w:p>
          <w:p w14:paraId="17A77CE5" w14:textId="77777777" w:rsidR="00AE7628" w:rsidRPr="00961B6E" w:rsidRDefault="00AE7628" w:rsidP="00DA1EB3">
            <w:pPr>
              <w:pStyle w:val="ListParagraph"/>
              <w:ind w:left="454" w:hanging="284"/>
              <w:rPr>
                <w:rFonts w:cstheme="minorHAnsi"/>
                <w:noProof/>
                <w:sz w:val="20"/>
                <w:szCs w:val="20"/>
                <w:lang w:val="es-ES"/>
              </w:rPr>
            </w:pPr>
          </w:p>
        </w:tc>
      </w:tr>
      <w:tr w:rsidR="00AE7628" w:rsidRPr="001E0965" w14:paraId="479E30AC" w14:textId="77777777" w:rsidTr="00453A3D">
        <w:tc>
          <w:tcPr>
            <w:tcW w:w="3256" w:type="dxa"/>
          </w:tcPr>
          <w:p w14:paraId="33693B96"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7. Se hace frente a las amenazas de los sitios con riesgo de cambios en sus características ecológicas.</w:t>
            </w:r>
          </w:p>
        </w:tc>
        <w:tc>
          <w:tcPr>
            <w:tcW w:w="5670" w:type="dxa"/>
          </w:tcPr>
          <w:p w14:paraId="671FBCE3" w14:textId="77777777" w:rsidR="00AE7628" w:rsidRPr="00961B6E" w:rsidRDefault="00AE7628" w:rsidP="00DA1EB3">
            <w:pPr>
              <w:pStyle w:val="ListParagraph"/>
              <w:numPr>
                <w:ilvl w:val="0"/>
                <w:numId w:val="30"/>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deberían definir las amenazas actuales y emergentes, incluida la amenaza global del cambio climático, y elaborar herramientas prácticas de CECoP y orientaciones para gestionar los sitios Ramsar y otros humedales a largo plazo y compartirlas entre las Partes.</w:t>
            </w:r>
          </w:p>
        </w:tc>
      </w:tr>
      <w:tr w:rsidR="00AE7628" w:rsidRPr="00961B6E" w14:paraId="09D282D3" w14:textId="77777777" w:rsidTr="00453A3D">
        <w:tc>
          <w:tcPr>
            <w:tcW w:w="8926" w:type="dxa"/>
            <w:gridSpan w:val="2"/>
          </w:tcPr>
          <w:p w14:paraId="1ABE1905"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Objetivo 3:</w:t>
            </w:r>
            <w:r w:rsidRPr="00961B6E">
              <w:rPr>
                <w:rFonts w:asciiTheme="minorHAnsi" w:hAnsiTheme="minorHAnsi" w:cstheme="minorHAnsi"/>
                <w:b/>
                <w:noProof/>
                <w:sz w:val="20"/>
                <w:szCs w:val="20"/>
                <w:lang w:val="es-ES"/>
              </w:rPr>
              <w:tab/>
            </w:r>
            <w:r w:rsidRPr="00961B6E">
              <w:rPr>
                <w:rFonts w:asciiTheme="minorHAnsi" w:hAnsiTheme="minorHAnsi" w:cstheme="minorHAnsi"/>
                <w:b/>
                <w:bCs/>
                <w:noProof/>
                <w:sz w:val="20"/>
                <w:szCs w:val="20"/>
                <w:lang w:val="es-ES"/>
              </w:rPr>
              <w:t>Realizar un uso racional de todos los humedales</w:t>
            </w:r>
          </w:p>
        </w:tc>
      </w:tr>
      <w:tr w:rsidR="00AE7628" w:rsidRPr="001E0965" w14:paraId="6AD29E43" w14:textId="77777777" w:rsidTr="00453A3D">
        <w:tc>
          <w:tcPr>
            <w:tcW w:w="3256" w:type="dxa"/>
          </w:tcPr>
          <w:p w14:paraId="6BF1A05B"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8. Se han iniciado, completado o actualizado, divulgado y utilizado inventarios nacionales de humedales para promover la conservación y el manejo eficaz de todos los humedales.</w:t>
            </w:r>
          </w:p>
        </w:tc>
        <w:tc>
          <w:tcPr>
            <w:tcW w:w="5670" w:type="dxa"/>
          </w:tcPr>
          <w:p w14:paraId="2FA1BCBE" w14:textId="77777777" w:rsidR="00AE7628" w:rsidRPr="00961B6E" w:rsidRDefault="00AE7628" w:rsidP="00DA1EB3">
            <w:pPr>
              <w:pStyle w:val="ListParagraph"/>
              <w:numPr>
                <w:ilvl w:val="0"/>
                <w:numId w:val="30"/>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comunican los resultados de los inventarios nacionales de humedales para promover la conservación y gestión eficaces de todos los humedales.</w:t>
            </w:r>
          </w:p>
        </w:tc>
      </w:tr>
      <w:tr w:rsidR="00AE7628" w:rsidRPr="001E0965" w14:paraId="2A313C0A" w14:textId="77777777" w:rsidTr="00453A3D">
        <w:tc>
          <w:tcPr>
            <w:tcW w:w="3256" w:type="dxa"/>
          </w:tcPr>
          <w:p w14:paraId="2D0E56FE"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lastRenderedPageBreak/>
              <w:t>9. El uso racional de los humedales se refuerza a través del manejo integrado de los recursos a la escala adecuada, por ejemplo, en una cuenca hidrográfica o una zona costera.</w:t>
            </w:r>
          </w:p>
        </w:tc>
        <w:tc>
          <w:tcPr>
            <w:tcW w:w="5670" w:type="dxa"/>
          </w:tcPr>
          <w:p w14:paraId="1A2C226C" w14:textId="77777777" w:rsidR="00AE7628" w:rsidRPr="00961B6E" w:rsidRDefault="00AE7628" w:rsidP="00DA1EB3">
            <w:pPr>
              <w:pStyle w:val="ListParagraph"/>
              <w:numPr>
                <w:ilvl w:val="0"/>
                <w:numId w:val="30"/>
              </w:numPr>
              <w:spacing w:after="0" w:line="240" w:lineRule="auto"/>
              <w:ind w:left="454" w:hanging="284"/>
              <w:rPr>
                <w:rFonts w:cstheme="minorHAnsi"/>
                <w:noProof/>
                <w:sz w:val="20"/>
                <w:szCs w:val="20"/>
                <w:lang w:val="es-ES"/>
              </w:rPr>
            </w:pPr>
            <w:r w:rsidRPr="00961B6E">
              <w:rPr>
                <w:rFonts w:cstheme="minorHAnsi"/>
                <w:noProof/>
                <w:sz w:val="20"/>
                <w:szCs w:val="20"/>
                <w:lang w:val="es-ES"/>
              </w:rPr>
              <w:t>Véanse la meta 1 y la meta 13.</w:t>
            </w:r>
          </w:p>
        </w:tc>
      </w:tr>
      <w:tr w:rsidR="00AE7628" w:rsidRPr="001E0965" w14:paraId="280C86F7" w14:textId="77777777" w:rsidTr="00453A3D">
        <w:trPr>
          <w:trHeight w:val="3534"/>
        </w:trPr>
        <w:tc>
          <w:tcPr>
            <w:tcW w:w="3256" w:type="dxa"/>
          </w:tcPr>
          <w:p w14:paraId="3DD904F4"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10. El conocimiento tradicional, las innovaciones y las prácticas de los pueblos indígenas y las comunidades locales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c>
          <w:tcPr>
            <w:tcW w:w="5670" w:type="dxa"/>
          </w:tcPr>
          <w:p w14:paraId="499FDCC2" w14:textId="77777777" w:rsidR="00AE7628" w:rsidRPr="00961B6E" w:rsidRDefault="00AE7628" w:rsidP="00DA1EB3">
            <w:pPr>
              <w:pStyle w:val="ListParagraph"/>
              <w:numPr>
                <w:ilvl w:val="0"/>
                <w:numId w:val="30"/>
              </w:numPr>
              <w:spacing w:after="0" w:line="240" w:lineRule="auto"/>
              <w:ind w:left="595" w:hanging="550"/>
              <w:rPr>
                <w:rFonts w:cstheme="minorHAnsi"/>
                <w:noProof/>
                <w:sz w:val="20"/>
                <w:szCs w:val="20"/>
                <w:lang w:val="es-ES"/>
              </w:rPr>
            </w:pPr>
            <w:r w:rsidRPr="00961B6E">
              <w:rPr>
                <w:rFonts w:cstheme="minorHAnsi"/>
                <w:noProof/>
                <w:sz w:val="20"/>
                <w:szCs w:val="20"/>
                <w:lang w:val="es-ES"/>
              </w:rPr>
              <w:t>Las Partes Contratantes deberían hacer participar mejor a los pueblos indígenas en la investigación, planificación, gestión, restauración y actividades de CECoP relativas a los humedales (incluidos los estudios de caso) y promover los conocimientos tradicionales, las innovaciones y prácticas de los pueblos indígenas y las comunidades locales que sean pertinentes para el uso racional de los humedales a escala nacional y local.</w:t>
            </w:r>
          </w:p>
          <w:p w14:paraId="14E4C955" w14:textId="77777777" w:rsidR="00AE7628" w:rsidRPr="00961B6E" w:rsidRDefault="00AE7628" w:rsidP="00DA1EB3">
            <w:pPr>
              <w:pStyle w:val="ListParagraph"/>
              <w:ind w:left="595" w:hanging="550"/>
              <w:rPr>
                <w:rFonts w:cstheme="minorHAnsi"/>
                <w:noProof/>
                <w:sz w:val="20"/>
                <w:szCs w:val="20"/>
                <w:lang w:val="es-ES"/>
              </w:rPr>
            </w:pPr>
          </w:p>
        </w:tc>
      </w:tr>
      <w:tr w:rsidR="00AE7628" w:rsidRPr="001E0965" w14:paraId="4C3D6EB4" w14:textId="77777777" w:rsidTr="00453A3D">
        <w:tc>
          <w:tcPr>
            <w:tcW w:w="3256" w:type="dxa"/>
          </w:tcPr>
          <w:p w14:paraId="03A27758"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11. Se demuestran, documentan y divulgan ampliamente las funciones, los servicios y los beneficios de los humedales.</w:t>
            </w:r>
          </w:p>
          <w:p w14:paraId="0AC914A2" w14:textId="77777777" w:rsidR="00AE7628" w:rsidRPr="00961B6E" w:rsidRDefault="00AE7628" w:rsidP="00DA1EB3">
            <w:pPr>
              <w:pStyle w:val="ListParagraph"/>
              <w:ind w:left="0"/>
              <w:rPr>
                <w:rFonts w:cstheme="minorHAnsi"/>
                <w:noProof/>
                <w:sz w:val="20"/>
                <w:szCs w:val="20"/>
                <w:lang w:val="es-ES"/>
              </w:rPr>
            </w:pPr>
          </w:p>
        </w:tc>
        <w:tc>
          <w:tcPr>
            <w:tcW w:w="5670" w:type="dxa"/>
          </w:tcPr>
          <w:p w14:paraId="5F293E07" w14:textId="77777777" w:rsidR="00AE7628" w:rsidRPr="00961B6E" w:rsidRDefault="00AE7628" w:rsidP="00DA1EB3">
            <w:pPr>
              <w:pStyle w:val="ListParagraph"/>
              <w:numPr>
                <w:ilvl w:val="0"/>
                <w:numId w:val="30"/>
              </w:numPr>
              <w:spacing w:after="0" w:line="240" w:lineRule="auto"/>
              <w:ind w:left="595" w:hanging="550"/>
              <w:rPr>
                <w:rFonts w:cstheme="minorHAnsi"/>
                <w:noProof/>
                <w:sz w:val="20"/>
                <w:szCs w:val="20"/>
                <w:lang w:val="es-ES"/>
              </w:rPr>
            </w:pPr>
            <w:r w:rsidRPr="00961B6E">
              <w:rPr>
                <w:rFonts w:cstheme="minorHAnsi"/>
                <w:noProof/>
                <w:sz w:val="20"/>
                <w:szCs w:val="20"/>
                <w:lang w:val="es-ES"/>
              </w:rPr>
              <w:t>Las Partes Contratantes deberían ayudar a los administradores de sitios Ramsar a elaborar señalética para comunicar los valores de los sitios.</w:t>
            </w:r>
          </w:p>
        </w:tc>
      </w:tr>
      <w:tr w:rsidR="00AE7628" w:rsidRPr="001E0965" w14:paraId="23109FCD" w14:textId="77777777" w:rsidTr="00453A3D">
        <w:tc>
          <w:tcPr>
            <w:tcW w:w="3256" w:type="dxa"/>
          </w:tcPr>
          <w:p w14:paraId="6BCCD943"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13. Mayor sostenibilidad de sectores clave como el agua, la energía, la minería, la agricultura, el turismo, el desarrollo urbano, las infraestructuras, la industria, la silvicultura, la acuicultura y la pesca cuando estos afectan a los humedales, contribuyendo a la conservación de la biodiversidad y a los medios de vida de las personas.</w:t>
            </w:r>
          </w:p>
        </w:tc>
        <w:tc>
          <w:tcPr>
            <w:tcW w:w="5670" w:type="dxa"/>
          </w:tcPr>
          <w:p w14:paraId="2CB7D26E" w14:textId="77777777" w:rsidR="00AE7628" w:rsidRPr="00961B6E" w:rsidRDefault="00AE7628" w:rsidP="00DA1EB3">
            <w:pPr>
              <w:pStyle w:val="ListParagraph"/>
              <w:numPr>
                <w:ilvl w:val="0"/>
                <w:numId w:val="30"/>
              </w:numPr>
              <w:spacing w:after="0" w:line="240" w:lineRule="auto"/>
              <w:ind w:left="595" w:hanging="550"/>
              <w:rPr>
                <w:rFonts w:cstheme="minorHAnsi"/>
                <w:noProof/>
                <w:sz w:val="20"/>
                <w:szCs w:val="20"/>
                <w:lang w:val="es-ES"/>
              </w:rPr>
            </w:pPr>
            <w:r w:rsidRPr="00961B6E">
              <w:rPr>
                <w:rFonts w:cstheme="minorHAnsi"/>
                <w:noProof/>
                <w:sz w:val="20"/>
                <w:szCs w:val="20"/>
                <w:lang w:val="es-ES"/>
              </w:rPr>
              <w:t>Las Partes Contratantes deberían dar prioridad a incitar a los responsables de la toma de decisiones a escala sectorial a integrar los valores de los humedales en su planificación y toma de decisiones.</w:t>
            </w:r>
          </w:p>
        </w:tc>
      </w:tr>
      <w:tr w:rsidR="00AE7628" w:rsidRPr="00961B6E" w14:paraId="5ECF5DD4" w14:textId="77777777" w:rsidTr="00453A3D">
        <w:tc>
          <w:tcPr>
            <w:tcW w:w="8926" w:type="dxa"/>
            <w:gridSpan w:val="2"/>
          </w:tcPr>
          <w:p w14:paraId="4FCF4D25"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Objetivo 4:</w:t>
            </w:r>
            <w:r w:rsidRPr="00961B6E">
              <w:rPr>
                <w:rFonts w:asciiTheme="minorHAnsi" w:hAnsiTheme="minorHAnsi" w:cstheme="minorHAnsi"/>
                <w:b/>
                <w:noProof/>
                <w:sz w:val="20"/>
                <w:szCs w:val="20"/>
                <w:lang w:val="es-ES"/>
              </w:rPr>
              <w:tab/>
            </w:r>
            <w:r w:rsidRPr="00961B6E">
              <w:rPr>
                <w:rFonts w:asciiTheme="minorHAnsi" w:hAnsiTheme="minorHAnsi" w:cstheme="minorHAnsi"/>
                <w:b/>
                <w:bCs/>
                <w:noProof/>
                <w:sz w:val="20"/>
                <w:szCs w:val="20"/>
                <w:lang w:val="es-ES"/>
              </w:rPr>
              <w:t>Mejorar la aplicación</w:t>
            </w:r>
          </w:p>
        </w:tc>
      </w:tr>
      <w:tr w:rsidR="00AE7628" w:rsidRPr="001E0965" w14:paraId="63993C59" w14:textId="77777777" w:rsidTr="00453A3D">
        <w:tc>
          <w:tcPr>
            <w:tcW w:w="3256" w:type="dxa"/>
          </w:tcPr>
          <w:p w14:paraId="544F829A"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16. La conservación y el uso racional de los humedales se integran a través de la comunicación, el desarrollo de capacidad, la educación, concienciación y participación.</w:t>
            </w:r>
          </w:p>
        </w:tc>
        <w:tc>
          <w:tcPr>
            <w:tcW w:w="5670" w:type="dxa"/>
          </w:tcPr>
          <w:p w14:paraId="09524011"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Las Partes Contratantes deberían aprovechar las actividades de CECoP y la participación logradas mediante el Día Mundial de los Humedales, las iniciativas regionales de Ramsar y los centros educativos sobre humedales, por ejemplo.</w:t>
            </w:r>
          </w:p>
          <w:p w14:paraId="337071CA"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Las Partes Contratantes deberían utilizar redes y estructuras (p. ej., la red Wetland Link International, las iniciativas regionales de Ramsar, los centros educativos sobre humedales, Youth Engaged in Wetlands) para incrementar el apoyo a la aplicación de la Convención, por ejemplo, creando conciencia e impulsando la participación en las actividades y la creación de capacidad.</w:t>
            </w:r>
          </w:p>
          <w:p w14:paraId="7BCA3343"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 xml:space="preserve">Las Partes Contratantes deberían utilizar distintos canales mediáticos que sean apropiados para los fines en cuestión, tales como redes sociales para crear conciencia entre el público (y posiblemente generar una preocupación y </w:t>
            </w:r>
            <w:r w:rsidRPr="00961B6E">
              <w:rPr>
                <w:rFonts w:cstheme="minorHAnsi"/>
                <w:noProof/>
                <w:sz w:val="20"/>
                <w:szCs w:val="20"/>
                <w:lang w:val="es-ES"/>
              </w:rPr>
              <w:lastRenderedPageBreak/>
              <w:t xml:space="preserve">presión públicas sobre los responsables de la toma de decisiones) además de otros enfoques para implicar a los responsables de la toma de decisiones a escala sectorial. </w:t>
            </w:r>
          </w:p>
          <w:p w14:paraId="171D8C3A"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Las Partes Contratantes deberían identificar nuevas oportunidades y vías de comunicación para promover los objetivos de Ramsar.</w:t>
            </w:r>
          </w:p>
        </w:tc>
      </w:tr>
      <w:tr w:rsidR="00AE7628" w:rsidRPr="001E0965" w14:paraId="166E0D45" w14:textId="77777777" w:rsidTr="00453A3D">
        <w:tc>
          <w:tcPr>
            <w:tcW w:w="3256" w:type="dxa"/>
          </w:tcPr>
          <w:p w14:paraId="08AD13C7"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lastRenderedPageBreak/>
              <w:t>18. Se refuerza la cooperación internacional a todos los niveles (</w:t>
            </w:r>
            <w:r w:rsidRPr="00961B6E">
              <w:rPr>
                <w:rFonts w:asciiTheme="minorHAnsi" w:hAnsiTheme="minorHAnsi" w:cstheme="minorHAnsi"/>
                <w:i/>
                <w:iCs/>
                <w:noProof/>
                <w:sz w:val="20"/>
                <w:szCs w:val="20"/>
                <w:lang w:val="es-ES"/>
              </w:rPr>
              <w:t>local, nacional, subregional (por ejemplo, las IRR), regional y mundial</w:t>
            </w:r>
            <w:r w:rsidRPr="00961B6E">
              <w:rPr>
                <w:rFonts w:asciiTheme="minorHAnsi" w:hAnsiTheme="minorHAnsi" w:cstheme="minorHAnsi"/>
                <w:noProof/>
                <w:sz w:val="20"/>
                <w:szCs w:val="20"/>
                <w:lang w:val="es-ES"/>
              </w:rPr>
              <w:t>).</w:t>
            </w:r>
          </w:p>
        </w:tc>
        <w:tc>
          <w:tcPr>
            <w:tcW w:w="5670" w:type="dxa"/>
          </w:tcPr>
          <w:p w14:paraId="72DC6CEA"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 xml:space="preserve">Las Partes Contratantes que tengan necesidades similares en materia de CECoP deberían cooperar en las actividades de CECoP. Algunos ejemplos de esa cooperación pueden ser el intercambio de experiencias sobre campañas de CECoP y el trabajo en colaboración para elaborar materiales de comunicación y traducirlos a distintos idiomas en función de las necesidades de las Partes Contratantes en cuestión. </w:t>
            </w:r>
          </w:p>
          <w:p w14:paraId="0D4B52FC"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Las Partes Contratantes deberían alentar a sus coordinadores nacionales de Ramsar a que lleven a cabo las actividades de CECoP en colaboración con sus coordinadores nacionales de otros AMMA.</w:t>
            </w:r>
          </w:p>
          <w:p w14:paraId="1DBB3855" w14:textId="77777777" w:rsidR="00AE7628" w:rsidRPr="00961B6E" w:rsidRDefault="00AE7628" w:rsidP="00DA1EB3">
            <w:pPr>
              <w:pStyle w:val="ListParagraph"/>
              <w:numPr>
                <w:ilvl w:val="0"/>
                <w:numId w:val="30"/>
              </w:numPr>
              <w:spacing w:after="0" w:line="240" w:lineRule="auto"/>
              <w:ind w:left="454" w:hanging="426"/>
              <w:rPr>
                <w:rFonts w:cstheme="minorHAnsi"/>
                <w:bCs/>
                <w:noProof/>
                <w:sz w:val="20"/>
                <w:szCs w:val="20"/>
                <w:lang w:val="es-ES"/>
              </w:rPr>
            </w:pPr>
            <w:r w:rsidRPr="00961B6E">
              <w:rPr>
                <w:rFonts w:cstheme="minorHAnsi"/>
                <w:noProof/>
                <w:sz w:val="20"/>
                <w:szCs w:val="20"/>
                <w:lang w:val="es-ES"/>
              </w:rPr>
              <w:t>Las Partes Contratantes deberían asegurarse de que se tengan en cuenta los aspectos de CECoP al planificar y elaborar todas las resoluciones, los materiales orientativos, los productos del GECT y otros productos de la Convención de Ramsar.</w:t>
            </w:r>
          </w:p>
          <w:p w14:paraId="326CE3DB" w14:textId="77777777" w:rsidR="00AE7628" w:rsidRPr="00961B6E" w:rsidRDefault="00AE7628" w:rsidP="00DA1EB3">
            <w:pPr>
              <w:pStyle w:val="ListParagraph"/>
              <w:numPr>
                <w:ilvl w:val="0"/>
                <w:numId w:val="30"/>
              </w:numPr>
              <w:spacing w:after="0" w:line="240" w:lineRule="auto"/>
              <w:ind w:left="454" w:hanging="426"/>
              <w:rPr>
                <w:rFonts w:cstheme="minorHAnsi"/>
                <w:noProof/>
                <w:sz w:val="20"/>
                <w:szCs w:val="20"/>
                <w:lang w:val="es-ES"/>
              </w:rPr>
            </w:pPr>
            <w:r w:rsidRPr="00961B6E">
              <w:rPr>
                <w:rFonts w:cstheme="minorHAnsi"/>
                <w:noProof/>
                <w:sz w:val="20"/>
                <w:szCs w:val="20"/>
                <w:lang w:val="es-ES"/>
              </w:rPr>
              <w:t>Las Partes Contratantes deberían estudiar las oportunidades de mejorar la conservación de los humedales aplicando técnicas extraídas de la economía conductual y la psicología y realizar proyectos conjuntos con equipos o unidades que apliquen un enfoque conductual.</w:t>
            </w:r>
          </w:p>
        </w:tc>
      </w:tr>
      <w:tr w:rsidR="00AE7628" w:rsidRPr="001E0965" w14:paraId="0948C190" w14:textId="77777777" w:rsidTr="00453A3D">
        <w:tc>
          <w:tcPr>
            <w:tcW w:w="3256" w:type="dxa"/>
          </w:tcPr>
          <w:p w14:paraId="16FFD933"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19. Se potencia la creación de capacidad para la aplicación de la Convención y del Cuarto Plan Estratégico de Ramsar (2016-2024).</w:t>
            </w:r>
          </w:p>
        </w:tc>
        <w:tc>
          <w:tcPr>
            <w:tcW w:w="5670" w:type="dxa"/>
          </w:tcPr>
          <w:p w14:paraId="703C37CA" w14:textId="77777777" w:rsidR="00AE7628" w:rsidRPr="00961B6E" w:rsidRDefault="00AE7628" w:rsidP="00DA1EB3">
            <w:pPr>
              <w:pStyle w:val="ListParagraph"/>
              <w:numPr>
                <w:ilvl w:val="0"/>
                <w:numId w:val="33"/>
              </w:numPr>
              <w:spacing w:after="0" w:line="240" w:lineRule="auto"/>
              <w:ind w:left="454" w:hanging="426"/>
              <w:rPr>
                <w:rFonts w:cstheme="minorHAnsi"/>
                <w:noProof/>
                <w:sz w:val="20"/>
                <w:szCs w:val="20"/>
                <w:lang w:val="es-ES"/>
              </w:rPr>
            </w:pPr>
            <w:r w:rsidRPr="00961B6E">
              <w:rPr>
                <w:rFonts w:cstheme="minorHAnsi"/>
                <w:noProof/>
                <w:sz w:val="20"/>
                <w:szCs w:val="20"/>
                <w:lang w:val="es-ES"/>
              </w:rPr>
              <w:t>Las Partes Contratantes deberían hacer hincapié en la creación de capacidad para apoyar a las personas que desempeñen distintas funciones en la conservación y el uso sostenible. Esto conllevaría la utilización de los conocimientos del Grupo de Examen Científico y Técnico (GECT), las comunicaciones y el trabajo en red de la Secretaría y el intercambio de experiencias entre las Partes Contratantes.</w:t>
            </w:r>
          </w:p>
          <w:p w14:paraId="51353E69" w14:textId="77777777" w:rsidR="00AE7628" w:rsidRPr="00961B6E" w:rsidRDefault="00AE7628" w:rsidP="00DA1EB3">
            <w:pPr>
              <w:pStyle w:val="ListParagraph"/>
              <w:numPr>
                <w:ilvl w:val="0"/>
                <w:numId w:val="33"/>
              </w:numPr>
              <w:spacing w:after="0" w:line="240" w:lineRule="auto"/>
              <w:ind w:left="454" w:hanging="426"/>
              <w:rPr>
                <w:rFonts w:cstheme="minorHAnsi"/>
                <w:noProof/>
                <w:sz w:val="20"/>
                <w:szCs w:val="20"/>
                <w:lang w:val="es-ES"/>
              </w:rPr>
            </w:pPr>
            <w:r w:rsidRPr="00961B6E">
              <w:rPr>
                <w:rFonts w:cstheme="minorHAnsi"/>
                <w:noProof/>
                <w:sz w:val="20"/>
                <w:szCs w:val="20"/>
                <w:lang w:val="es-ES"/>
              </w:rPr>
              <w:t>Las Partes Contratantes deberían evaluar el alcance y la efectividad de las actividades, incluidas las de CECoP, de forma que se puedan identificar, compartir y aplicar distintos enfoques.</w:t>
            </w:r>
          </w:p>
          <w:p w14:paraId="02A83012" w14:textId="77777777" w:rsidR="00AE7628" w:rsidRPr="00961B6E" w:rsidRDefault="00AE7628" w:rsidP="00DA1EB3">
            <w:pPr>
              <w:pStyle w:val="ListParagraph"/>
              <w:numPr>
                <w:ilvl w:val="0"/>
                <w:numId w:val="33"/>
              </w:numPr>
              <w:spacing w:after="0" w:line="240" w:lineRule="auto"/>
              <w:ind w:left="454" w:hanging="426"/>
              <w:rPr>
                <w:rFonts w:cstheme="minorHAnsi"/>
                <w:noProof/>
                <w:sz w:val="20"/>
                <w:szCs w:val="20"/>
                <w:lang w:val="es-ES"/>
              </w:rPr>
            </w:pPr>
            <w:r w:rsidRPr="00961B6E">
              <w:rPr>
                <w:rFonts w:cstheme="minorHAnsi"/>
                <w:noProof/>
                <w:sz w:val="20"/>
                <w:szCs w:val="20"/>
                <w:lang w:val="es-ES"/>
              </w:rPr>
              <w:t xml:space="preserve">Las Partes Contratantes deberían garantizar que se informe a los coordinadores nacionales sobre sus responsabilidades. Se debería reconocer a los coordinadores nacionales de CECoP como los principales ejecutores de la CECoP y se les deberían brindar herramientas y oportunidades de formación adecuadas cuando las necesiten. </w:t>
            </w:r>
          </w:p>
        </w:tc>
      </w:tr>
    </w:tbl>
    <w:p w14:paraId="50031BE5" w14:textId="77777777" w:rsidR="00D0021B" w:rsidRPr="00961B6E" w:rsidRDefault="00D0021B" w:rsidP="00DA1EB3">
      <w:pPr>
        <w:pStyle w:val="ListParagraph"/>
        <w:spacing w:after="0" w:line="240" w:lineRule="auto"/>
        <w:ind w:left="0"/>
        <w:rPr>
          <w:rFonts w:cstheme="minorHAnsi"/>
          <w:noProof/>
          <w:sz w:val="20"/>
          <w:szCs w:val="20"/>
          <w:lang w:val="es-ES"/>
        </w:rPr>
      </w:pPr>
    </w:p>
    <w:p w14:paraId="3A7E9A0C" w14:textId="77777777" w:rsidR="00AE7628" w:rsidRPr="00961B6E" w:rsidRDefault="00AE7628" w:rsidP="00DA1EB3">
      <w:pPr>
        <w:rPr>
          <w:rFonts w:cs="Arial"/>
          <w:b/>
          <w:bCs/>
          <w:noProof/>
          <w:lang w:val="es-ES"/>
        </w:rPr>
      </w:pPr>
      <w:r w:rsidRPr="00961B6E">
        <w:rPr>
          <w:rFonts w:cs="Arial"/>
          <w:b/>
          <w:bCs/>
          <w:noProof/>
          <w:lang w:val="es-ES"/>
        </w:rPr>
        <w:t>Recursos disponibles</w:t>
      </w:r>
    </w:p>
    <w:p w14:paraId="0197E025" w14:textId="65C498AF" w:rsidR="00AE7628" w:rsidRPr="00961B6E" w:rsidRDefault="00AE7628" w:rsidP="00DA1EB3">
      <w:pPr>
        <w:rPr>
          <w:rFonts w:cs="Arial"/>
          <w:b/>
          <w:bCs/>
          <w:noProof/>
          <w:lang w:val="es-ES"/>
        </w:rPr>
      </w:pPr>
      <w:r w:rsidRPr="00961B6E">
        <w:rPr>
          <w:noProof/>
          <w:szCs w:val="24"/>
          <w:lang w:val="es-ES"/>
        </w:rPr>
        <w:t>Proyecto de resolución XIV.XX. Nuevo enfoque de las actividades de CECoP.</w:t>
      </w:r>
    </w:p>
    <w:p w14:paraId="56351336" w14:textId="77777777" w:rsidR="00D0021B" w:rsidRPr="00961B6E" w:rsidRDefault="00D0021B" w:rsidP="00DA1EB3">
      <w:pPr>
        <w:rPr>
          <w:rFonts w:cs="Arial"/>
          <w:noProof/>
          <w:lang w:val="es-ES"/>
        </w:rPr>
      </w:pPr>
    </w:p>
    <w:p w14:paraId="4D2EE80A" w14:textId="77777777" w:rsidR="00D0021B" w:rsidRPr="00961B6E" w:rsidRDefault="00D0021B" w:rsidP="00DA1EB3">
      <w:pPr>
        <w:rPr>
          <w:rFonts w:cs="Arial"/>
          <w:noProof/>
          <w:lang w:val="es-ES"/>
        </w:rPr>
      </w:pPr>
    </w:p>
    <w:p w14:paraId="1B88B747" w14:textId="77777777" w:rsidR="00D0021B" w:rsidRPr="00961B6E" w:rsidRDefault="00D0021B" w:rsidP="00DA1EB3">
      <w:pPr>
        <w:rPr>
          <w:rFonts w:cs="Arial"/>
          <w:noProof/>
          <w:lang w:val="es-ES"/>
        </w:rPr>
      </w:pPr>
    </w:p>
    <w:p w14:paraId="2E77D220" w14:textId="77777777" w:rsidR="00391157" w:rsidRPr="00961B6E" w:rsidRDefault="00391157" w:rsidP="00DA1EB3">
      <w:pPr>
        <w:rPr>
          <w:rFonts w:cs="Arial"/>
          <w:noProof/>
          <w:lang w:val="es-ES"/>
        </w:rPr>
      </w:pPr>
      <w:r w:rsidRPr="00961B6E">
        <w:rPr>
          <w:rFonts w:cs="Arial"/>
          <w:noProof/>
          <w:lang w:val="es-ES"/>
        </w:rPr>
        <w:br w:type="page"/>
      </w:r>
    </w:p>
    <w:p w14:paraId="2C56F5A5" w14:textId="5A1D81D6" w:rsidR="00AE7628" w:rsidRPr="00961B6E" w:rsidRDefault="00AE7628" w:rsidP="00DA1EB3">
      <w:pPr>
        <w:suppressAutoHyphens/>
        <w:rPr>
          <w:rFonts w:cstheme="minorHAnsi"/>
          <w:b/>
          <w:noProof/>
          <w:lang w:val="es-ES"/>
        </w:rPr>
      </w:pPr>
      <w:r w:rsidRPr="00961B6E">
        <w:rPr>
          <w:rFonts w:cstheme="minorHAnsi"/>
          <w:b/>
          <w:noProof/>
          <w:lang w:val="es-ES"/>
        </w:rPr>
        <w:lastRenderedPageBreak/>
        <w:t xml:space="preserve">ANEXO 5: LAS CONSIDERACIONES DE GÉNERO Y LA CONVENCIÓN DE RAMSAR  </w:t>
      </w:r>
    </w:p>
    <w:p w14:paraId="207915F8" w14:textId="77777777" w:rsidR="00D0021B" w:rsidRPr="00961B6E" w:rsidRDefault="00D0021B" w:rsidP="00DA1EB3">
      <w:pPr>
        <w:suppressAutoHyphens/>
        <w:rPr>
          <w:rFonts w:eastAsia="Calibri" w:cstheme="minorHAnsi"/>
          <w:b/>
          <w:bCs/>
          <w:noProof/>
          <w:lang w:val="es-ES"/>
        </w:rPr>
      </w:pPr>
    </w:p>
    <w:p w14:paraId="604CA1DC" w14:textId="62364056" w:rsidR="00D0021B" w:rsidRPr="00961B6E" w:rsidRDefault="00D0021B" w:rsidP="00DA1EB3">
      <w:pPr>
        <w:pStyle w:val="paralevel1"/>
        <w:numPr>
          <w:ilvl w:val="0"/>
          <w:numId w:val="0"/>
        </w:numPr>
        <w:tabs>
          <w:tab w:val="left" w:pos="720"/>
        </w:tabs>
        <w:spacing w:after="0"/>
        <w:rPr>
          <w:rFonts w:asciiTheme="minorHAnsi" w:eastAsia="Calibri" w:hAnsiTheme="minorHAnsi" w:cstheme="minorHAnsi"/>
          <w:b/>
          <w:bCs/>
          <w:noProof/>
          <w:sz w:val="22"/>
          <w:szCs w:val="22"/>
          <w:lang w:val="es-ES"/>
        </w:rPr>
      </w:pPr>
      <w:r w:rsidRPr="00961B6E">
        <w:rPr>
          <w:rFonts w:asciiTheme="minorHAnsi" w:eastAsia="Calibri" w:hAnsiTheme="minorHAnsi" w:cstheme="minorHAnsi"/>
          <w:b/>
          <w:bCs/>
          <w:noProof/>
          <w:sz w:val="22"/>
          <w:szCs w:val="22"/>
          <w:lang w:val="es-ES"/>
        </w:rPr>
        <w:t>Contex</w:t>
      </w:r>
      <w:r w:rsidR="00AE7628" w:rsidRPr="00961B6E">
        <w:rPr>
          <w:rFonts w:asciiTheme="minorHAnsi" w:eastAsia="Calibri" w:hAnsiTheme="minorHAnsi" w:cstheme="minorHAnsi"/>
          <w:b/>
          <w:bCs/>
          <w:noProof/>
          <w:sz w:val="22"/>
          <w:szCs w:val="22"/>
          <w:lang w:val="es-ES"/>
        </w:rPr>
        <w:t>to</w:t>
      </w:r>
      <w:r w:rsidRPr="00961B6E">
        <w:rPr>
          <w:rFonts w:asciiTheme="minorHAnsi" w:eastAsia="Calibri" w:hAnsiTheme="minorHAnsi" w:cstheme="minorHAnsi"/>
          <w:b/>
          <w:bCs/>
          <w:noProof/>
          <w:sz w:val="22"/>
          <w:szCs w:val="22"/>
          <w:lang w:val="es-ES"/>
        </w:rPr>
        <w:t xml:space="preserve">: </w:t>
      </w:r>
    </w:p>
    <w:p w14:paraId="7D0AC45F" w14:textId="77777777" w:rsidR="008759FF" w:rsidRPr="00961B6E" w:rsidRDefault="008759FF" w:rsidP="00DA1EB3">
      <w:pPr>
        <w:pStyle w:val="paralevel1"/>
        <w:numPr>
          <w:ilvl w:val="0"/>
          <w:numId w:val="0"/>
        </w:numPr>
        <w:tabs>
          <w:tab w:val="left" w:pos="720"/>
        </w:tabs>
        <w:spacing w:after="0"/>
        <w:rPr>
          <w:rFonts w:asciiTheme="minorHAnsi" w:eastAsia="Calibri" w:hAnsiTheme="minorHAnsi" w:cstheme="minorHAnsi"/>
          <w:b/>
          <w:bCs/>
          <w:noProof/>
          <w:sz w:val="22"/>
          <w:szCs w:val="22"/>
          <w:lang w:val="es-ES"/>
        </w:rPr>
      </w:pPr>
    </w:p>
    <w:p w14:paraId="622BBA24" w14:textId="77777777" w:rsidR="00751104" w:rsidRPr="00961B6E" w:rsidRDefault="00751104" w:rsidP="00DA1EB3">
      <w:pPr>
        <w:rPr>
          <w:rFonts w:cstheme="minorHAnsi"/>
          <w:bCs/>
          <w:noProof/>
          <w:lang w:val="es-ES"/>
        </w:rPr>
      </w:pPr>
      <w:r w:rsidRPr="00961B6E">
        <w:rPr>
          <w:rFonts w:cstheme="minorHAnsi"/>
          <w:bCs/>
          <w:noProof/>
          <w:lang w:val="es-ES"/>
        </w:rPr>
        <w:t xml:space="preserve">Mujeres y hombres tienen distintos niveles de acceso a los recursos de humedales, los conocimientos sobre ellos y la información sobre su conservación y uso sostenible. Esto repercute en la gestión de los humedales y también en los derechos y usos tradicionales de sus productos y servicios. </w:t>
      </w:r>
    </w:p>
    <w:p w14:paraId="4290E1B4" w14:textId="77777777" w:rsidR="00751104" w:rsidRPr="00961B6E" w:rsidRDefault="00751104" w:rsidP="00DA1EB3">
      <w:pPr>
        <w:rPr>
          <w:rFonts w:cstheme="minorHAnsi"/>
          <w:bCs/>
          <w:noProof/>
          <w:lang w:val="es-ES"/>
        </w:rPr>
      </w:pPr>
    </w:p>
    <w:p w14:paraId="4B2F7C13" w14:textId="77777777" w:rsidR="00751104" w:rsidRPr="00961B6E" w:rsidRDefault="00751104" w:rsidP="00DA1EB3">
      <w:pPr>
        <w:rPr>
          <w:rFonts w:cstheme="minorHAnsi"/>
          <w:bCs/>
          <w:noProof/>
          <w:lang w:val="es-ES"/>
        </w:rPr>
      </w:pPr>
      <w:r w:rsidRPr="00961B6E">
        <w:rPr>
          <w:rFonts w:cstheme="minorHAnsi"/>
          <w:bCs/>
          <w:noProof/>
          <w:lang w:val="es-ES"/>
        </w:rPr>
        <w:t xml:space="preserve">Se sigue ignorando y subestimando el papel de las mujeres en la gestión de los humedales, y las normas sociales y culturales suelen reforzar su participación desigual en la toma de decisiones. La recolección de agua suele recaer de forma desproporcionada </w:t>
      </w:r>
      <w:r w:rsidRPr="00961B6E">
        <w:rPr>
          <w:rFonts w:cstheme="minorHAnsi"/>
          <w:noProof/>
          <w:lang w:val="es-ES"/>
        </w:rPr>
        <w:t xml:space="preserve">sobre las mujeres y niñas. La falta de disponibilidad de agua </w:t>
      </w:r>
      <w:r w:rsidRPr="00961B6E">
        <w:rPr>
          <w:rFonts w:cstheme="minorHAnsi"/>
          <w:i/>
          <w:iCs/>
          <w:noProof/>
          <w:lang w:val="es-ES"/>
        </w:rPr>
        <w:t>in situ</w:t>
      </w:r>
      <w:r w:rsidRPr="00961B6E">
        <w:rPr>
          <w:rFonts w:cstheme="minorHAnsi"/>
          <w:noProof/>
          <w:lang w:val="es-ES"/>
        </w:rPr>
        <w:t xml:space="preserve"> puede incrementar la vulnerabilidad a la violencia de mujeres y niñas ya que el desplazamiento a las fuentes de agua las expone al acoso y abuso sexual. En cambio, un mayor acceso al agua puede incrementar la asistencia a la escuela y la generación de ingresos, reduciendo las desigualdades de género y la pobreza.</w:t>
      </w:r>
    </w:p>
    <w:p w14:paraId="77B7BBE4" w14:textId="77777777" w:rsidR="00751104" w:rsidRPr="00961B6E" w:rsidRDefault="00751104" w:rsidP="00DA1EB3">
      <w:pPr>
        <w:suppressAutoHyphens/>
        <w:rPr>
          <w:rFonts w:cstheme="minorHAnsi"/>
          <w:noProof/>
          <w:lang w:val="es-ES"/>
        </w:rPr>
      </w:pPr>
    </w:p>
    <w:p w14:paraId="5EB0159C" w14:textId="77777777" w:rsidR="00751104" w:rsidRPr="00961B6E" w:rsidRDefault="00751104" w:rsidP="00DA1EB3">
      <w:pPr>
        <w:pStyle w:val="CommentText"/>
        <w:rPr>
          <w:rFonts w:cstheme="minorHAnsi"/>
          <w:noProof/>
          <w:color w:val="000000" w:themeColor="text1"/>
          <w:sz w:val="22"/>
          <w:szCs w:val="22"/>
          <w:lang w:val="es-ES"/>
        </w:rPr>
      </w:pPr>
      <w:r w:rsidRPr="00961B6E">
        <w:rPr>
          <w:rFonts w:cstheme="minorHAnsi"/>
          <w:noProof/>
          <w:color w:val="000000" w:themeColor="text1"/>
          <w:sz w:val="22"/>
          <w:szCs w:val="22"/>
          <w:lang w:val="es-ES"/>
        </w:rPr>
        <w:t xml:space="preserve">En la Resolución XIII.18, </w:t>
      </w:r>
      <w:r w:rsidRPr="00961B6E">
        <w:rPr>
          <w:rFonts w:cstheme="minorHAnsi"/>
          <w:i/>
          <w:iCs/>
          <w:noProof/>
          <w:color w:val="000000" w:themeColor="text1"/>
          <w:sz w:val="22"/>
          <w:szCs w:val="22"/>
          <w:lang w:val="es-ES"/>
        </w:rPr>
        <w:t>Los humedales y el género</w:t>
      </w:r>
      <w:r w:rsidRPr="00961B6E">
        <w:rPr>
          <w:rFonts w:cstheme="minorHAnsi"/>
          <w:noProof/>
          <w:color w:val="000000" w:themeColor="text1"/>
          <w:sz w:val="22"/>
          <w:szCs w:val="22"/>
          <w:lang w:val="es-ES"/>
        </w:rPr>
        <w:t>, aprobada en la 13ª reunión de la Conferencia de las Partes Contratantes (COP13) en 2018, se alienta a las Partes a incorporar una perspectiva de género en su aplicación de la Convención y se pide que se elaboren orientaciones sobre el modo de integrar las cuestiones de género en la aplicación de la Convención. En los informes nacionales a la C</w:t>
      </w:r>
      <w:r w:rsidRPr="00961B6E">
        <w:rPr>
          <w:rFonts w:cstheme="minorHAnsi"/>
          <w:bCs/>
          <w:noProof/>
          <w:color w:val="000000" w:themeColor="text1"/>
          <w:sz w:val="22"/>
          <w:szCs w:val="22"/>
          <w:lang w:val="es-ES"/>
        </w:rPr>
        <w:t xml:space="preserve">OP14 también se incluyó por primera vez información de las </w:t>
      </w:r>
      <w:r w:rsidRPr="00961B6E">
        <w:rPr>
          <w:rFonts w:cstheme="minorHAnsi"/>
          <w:noProof/>
          <w:color w:val="000000" w:themeColor="text1"/>
          <w:sz w:val="22"/>
          <w:szCs w:val="22"/>
          <w:lang w:val="es-ES"/>
        </w:rPr>
        <w:t>Partes Contratantes sobre el equilibrio de género en las actividades relacionadas con los humedales.</w:t>
      </w:r>
    </w:p>
    <w:p w14:paraId="2439DE36" w14:textId="77777777" w:rsidR="00751104" w:rsidRPr="00961B6E" w:rsidRDefault="00751104" w:rsidP="00DA1EB3">
      <w:pPr>
        <w:pStyle w:val="CommentText"/>
        <w:rPr>
          <w:rFonts w:eastAsia="Calibri" w:cstheme="minorHAnsi"/>
          <w:noProof/>
          <w:sz w:val="22"/>
          <w:szCs w:val="22"/>
          <w:lang w:val="es-ES"/>
        </w:rPr>
      </w:pPr>
    </w:p>
    <w:p w14:paraId="5B0E7D9B" w14:textId="77777777" w:rsidR="00751104" w:rsidRPr="00961B6E" w:rsidRDefault="00751104" w:rsidP="00DA1EB3">
      <w:pPr>
        <w:pStyle w:val="CommentText"/>
        <w:rPr>
          <w:rFonts w:eastAsia="Calibri" w:cstheme="minorHAnsi"/>
          <w:noProof/>
          <w:sz w:val="22"/>
          <w:szCs w:val="22"/>
          <w:lang w:val="es-ES"/>
        </w:rPr>
      </w:pPr>
      <w:r w:rsidRPr="00961B6E">
        <w:rPr>
          <w:rFonts w:eastAsia="Calibri" w:cstheme="minorHAnsi"/>
          <w:noProof/>
          <w:sz w:val="22"/>
          <w:szCs w:val="22"/>
          <w:lang w:val="es-ES"/>
        </w:rPr>
        <w:t xml:space="preserve">Se han publicado las “Directrices sobre la transversalización de género en la Convención de Ramsar sobre los Humedales” para proporcionar una serie de puntos de entrada operativos y prácticos clave con miras a mejorar la incorporación de la igualdad de género en la Convención. Las orientaciones que figuran a continuación presentan una vía para las Partes Contratantes que deseen incorporar de manera significativa las consideraciones de género en la aplicación de la Convención. </w:t>
      </w:r>
    </w:p>
    <w:p w14:paraId="0E13B131" w14:textId="77777777" w:rsidR="00D0021B" w:rsidRPr="00961B6E" w:rsidRDefault="00D0021B" w:rsidP="00DA1EB3">
      <w:pPr>
        <w:rPr>
          <w:rFonts w:cstheme="minorHAnsi"/>
          <w:bCs/>
          <w:noProof/>
          <w:lang w:val="es-ES"/>
        </w:rPr>
      </w:pPr>
    </w:p>
    <w:p w14:paraId="647AA946" w14:textId="146C474E" w:rsidR="00751104" w:rsidRPr="00961B6E" w:rsidRDefault="00751104" w:rsidP="00DA1EB3">
      <w:pPr>
        <w:pStyle w:val="paralevel1"/>
        <w:numPr>
          <w:ilvl w:val="0"/>
          <w:numId w:val="0"/>
        </w:numPr>
        <w:tabs>
          <w:tab w:val="left" w:pos="720"/>
        </w:tabs>
        <w:spacing w:after="0"/>
        <w:rPr>
          <w:rFonts w:asciiTheme="minorHAnsi" w:eastAsiaTheme="minorHAnsi" w:hAnsiTheme="minorHAnsi" w:cstheme="minorHAnsi"/>
          <w:b/>
          <w:noProof/>
          <w:sz w:val="22"/>
          <w:szCs w:val="22"/>
          <w:lang w:val="es-ES"/>
        </w:rPr>
      </w:pPr>
      <w:r w:rsidRPr="00961B6E">
        <w:rPr>
          <w:rFonts w:asciiTheme="minorHAnsi" w:eastAsiaTheme="minorHAnsi" w:hAnsiTheme="minorHAnsi" w:cstheme="minorHAnsi"/>
          <w:b/>
          <w:noProof/>
          <w:sz w:val="22"/>
          <w:szCs w:val="22"/>
          <w:lang w:val="es-ES"/>
        </w:rPr>
        <w:t xml:space="preserve">Consideraciones generales que apoyan la ejecución del Cuarto Plan Estratégico: </w:t>
      </w:r>
    </w:p>
    <w:p w14:paraId="18F847D7" w14:textId="77777777" w:rsidR="00751104" w:rsidRPr="00961B6E" w:rsidRDefault="00751104" w:rsidP="00DA1EB3">
      <w:pPr>
        <w:pStyle w:val="paralevel1"/>
        <w:numPr>
          <w:ilvl w:val="0"/>
          <w:numId w:val="0"/>
        </w:numPr>
        <w:tabs>
          <w:tab w:val="left" w:pos="720"/>
        </w:tabs>
        <w:spacing w:after="0"/>
        <w:rPr>
          <w:rFonts w:asciiTheme="minorHAnsi" w:eastAsiaTheme="minorHAnsi" w:hAnsiTheme="minorHAnsi" w:cstheme="minorHAnsi"/>
          <w:b/>
          <w:noProof/>
          <w:sz w:val="22"/>
          <w:szCs w:val="22"/>
          <w:lang w:val="es-ES"/>
        </w:rPr>
      </w:pPr>
    </w:p>
    <w:p w14:paraId="50BCC243" w14:textId="77777777" w:rsidR="00751104" w:rsidRPr="00961B6E" w:rsidRDefault="00751104" w:rsidP="00DA1EB3">
      <w:pPr>
        <w:pStyle w:val="ListParagraph"/>
        <w:spacing w:after="0" w:line="240" w:lineRule="auto"/>
        <w:ind w:left="0"/>
        <w:rPr>
          <w:rFonts w:cstheme="minorHAnsi"/>
          <w:noProof/>
          <w:lang w:val="es-ES"/>
        </w:rPr>
      </w:pPr>
      <w:r w:rsidRPr="00961B6E">
        <w:rPr>
          <w:rFonts w:cstheme="minorHAnsi"/>
          <w:noProof/>
          <w:lang w:val="es-ES"/>
        </w:rPr>
        <w:t xml:space="preserve">Se alienta a las Partes Contratantes a ejecutar el Plan Estratégico a escala nacional y regional mediante la elaboración de políticas nacionales, estrategias, planes de acción, proyectos y programas sobre humedales. </w:t>
      </w:r>
    </w:p>
    <w:p w14:paraId="74756A64" w14:textId="77777777" w:rsidR="00751104" w:rsidRPr="00961B6E" w:rsidRDefault="00751104" w:rsidP="00DA1EB3">
      <w:pPr>
        <w:pStyle w:val="ListParagraph"/>
        <w:spacing w:after="0" w:line="240" w:lineRule="auto"/>
        <w:ind w:left="0"/>
        <w:rPr>
          <w:rFonts w:cstheme="minorHAnsi"/>
          <w:noProof/>
          <w:lang w:val="es-ES"/>
        </w:rPr>
      </w:pPr>
    </w:p>
    <w:p w14:paraId="577F674D" w14:textId="77777777" w:rsidR="00751104" w:rsidRPr="00961B6E" w:rsidRDefault="00751104" w:rsidP="00DA1EB3">
      <w:pPr>
        <w:pStyle w:val="ListParagraph"/>
        <w:spacing w:after="0" w:line="240" w:lineRule="auto"/>
        <w:ind w:left="0"/>
        <w:rPr>
          <w:rFonts w:cstheme="minorHAnsi"/>
          <w:noProof/>
          <w:lang w:val="es-ES"/>
        </w:rPr>
      </w:pPr>
      <w:r w:rsidRPr="00961B6E">
        <w:rPr>
          <w:rFonts w:cstheme="minorHAnsi"/>
          <w:noProof/>
          <w:lang w:val="es-ES"/>
        </w:rPr>
        <w:t xml:space="preserve">Estos instrumentos deberían tener en cuenta intrínsecamente enfoques transversales, sensibles al género y basados en los derechos humanos para promover la conservación y el uso racional de los humedales a fin de garantizar lo siguiente: </w:t>
      </w:r>
    </w:p>
    <w:p w14:paraId="4DAAE13E" w14:textId="77777777" w:rsidR="00751104" w:rsidRPr="00961B6E" w:rsidRDefault="00751104" w:rsidP="00DA1EB3">
      <w:pPr>
        <w:pStyle w:val="ListParagraph"/>
        <w:spacing w:after="0" w:line="240" w:lineRule="auto"/>
        <w:ind w:left="0"/>
        <w:rPr>
          <w:rFonts w:cstheme="minorHAnsi"/>
          <w:noProof/>
          <w:lang w:val="es-ES"/>
        </w:rPr>
      </w:pPr>
    </w:p>
    <w:p w14:paraId="2F8FF36C" w14:textId="77777777" w:rsidR="00751104" w:rsidRPr="00961B6E" w:rsidRDefault="00751104" w:rsidP="00DA1EB3">
      <w:pPr>
        <w:pStyle w:val="ListParagraph"/>
        <w:numPr>
          <w:ilvl w:val="0"/>
          <w:numId w:val="23"/>
        </w:numPr>
        <w:suppressAutoHyphens/>
        <w:spacing w:after="0" w:line="240" w:lineRule="auto"/>
        <w:ind w:left="284" w:hanging="284"/>
        <w:contextualSpacing w:val="0"/>
        <w:rPr>
          <w:rFonts w:cstheme="minorHAnsi"/>
          <w:noProof/>
          <w:lang w:val="es-ES"/>
        </w:rPr>
      </w:pPr>
      <w:r w:rsidRPr="00961B6E">
        <w:rPr>
          <w:rFonts w:cstheme="minorHAnsi"/>
          <w:noProof/>
          <w:lang w:val="es-ES"/>
        </w:rPr>
        <w:t>Una gobernanza centrada en las personas que respete a las mujeres en toda su diversidad y a aquellas que viven al margen del desarrollo mediante el acceso y control plenos en relación con activos valiosos, como la propiedad de la tierra, los derechos y la autonomía financiera.</w:t>
      </w:r>
    </w:p>
    <w:p w14:paraId="407A3F4A" w14:textId="77777777" w:rsidR="00751104" w:rsidRPr="00961B6E" w:rsidRDefault="00751104" w:rsidP="00DA1EB3">
      <w:pPr>
        <w:pStyle w:val="ListParagraph"/>
        <w:spacing w:after="0" w:line="240" w:lineRule="auto"/>
        <w:ind w:left="284" w:hanging="284"/>
        <w:rPr>
          <w:rFonts w:cstheme="minorHAnsi"/>
          <w:noProof/>
          <w:lang w:val="es-ES"/>
        </w:rPr>
      </w:pPr>
    </w:p>
    <w:p w14:paraId="2CDAD78B" w14:textId="77777777" w:rsidR="00751104" w:rsidRPr="00961B6E" w:rsidRDefault="00751104" w:rsidP="00DA1EB3">
      <w:pPr>
        <w:pStyle w:val="ListParagraph"/>
        <w:numPr>
          <w:ilvl w:val="0"/>
          <w:numId w:val="23"/>
        </w:numPr>
        <w:suppressAutoHyphens/>
        <w:spacing w:after="0" w:line="240" w:lineRule="auto"/>
        <w:ind w:left="284" w:hanging="284"/>
        <w:contextualSpacing w:val="0"/>
        <w:rPr>
          <w:rFonts w:cstheme="minorHAnsi"/>
          <w:noProof/>
          <w:lang w:val="es-ES"/>
        </w:rPr>
      </w:pPr>
      <w:r w:rsidRPr="00961B6E">
        <w:rPr>
          <w:rFonts w:cstheme="minorHAnsi"/>
          <w:noProof/>
          <w:lang w:val="es-ES"/>
        </w:rPr>
        <w:t>La garantía de un acceso a los recursos naturales y un control de estos que sean igualitarios para las mujeres de forma que estas puedan gestionar y proteger sus medios de vida.</w:t>
      </w:r>
    </w:p>
    <w:p w14:paraId="628BCB48" w14:textId="77777777" w:rsidR="00751104" w:rsidRPr="00961B6E" w:rsidRDefault="00751104" w:rsidP="00DA1EB3">
      <w:pPr>
        <w:pStyle w:val="ListParagraph"/>
        <w:spacing w:after="0" w:line="240" w:lineRule="auto"/>
        <w:rPr>
          <w:rFonts w:cstheme="minorHAnsi"/>
          <w:noProof/>
          <w:lang w:val="es-ES"/>
        </w:rPr>
      </w:pPr>
    </w:p>
    <w:p w14:paraId="2802768E" w14:textId="77777777" w:rsidR="00751104" w:rsidRPr="00961B6E" w:rsidRDefault="00751104" w:rsidP="00DA1EB3">
      <w:pPr>
        <w:pStyle w:val="ListParagraph"/>
        <w:numPr>
          <w:ilvl w:val="0"/>
          <w:numId w:val="23"/>
        </w:numPr>
        <w:suppressAutoHyphens/>
        <w:spacing w:after="0" w:line="240" w:lineRule="auto"/>
        <w:ind w:left="284" w:hanging="284"/>
        <w:contextualSpacing w:val="0"/>
        <w:rPr>
          <w:rFonts w:cstheme="minorHAnsi"/>
          <w:noProof/>
          <w:lang w:val="es-ES"/>
        </w:rPr>
      </w:pPr>
      <w:r w:rsidRPr="00961B6E">
        <w:rPr>
          <w:rFonts w:cstheme="minorHAnsi"/>
          <w:noProof/>
          <w:lang w:val="es-ES"/>
        </w:rPr>
        <w:t>El reconocimiento de las mujeres como responsables de la toma de decisiones y líderes que participan en los procesos de toma de decisiones a todos los niveles sobre el uso racional y la conservación de los humedales.</w:t>
      </w:r>
    </w:p>
    <w:p w14:paraId="521E601A" w14:textId="77777777" w:rsidR="00D0021B" w:rsidRPr="00961B6E" w:rsidRDefault="00D0021B" w:rsidP="00DA1EB3">
      <w:pPr>
        <w:ind w:hanging="426"/>
        <w:rPr>
          <w:rFonts w:cstheme="minorHAnsi"/>
          <w:noProof/>
          <w:lang w:val="es-ES"/>
        </w:rPr>
      </w:pPr>
      <w:r w:rsidRPr="00961B6E">
        <w:rPr>
          <w:rFonts w:cstheme="minorHAnsi"/>
          <w:noProof/>
          <w:lang w:val="es-ES"/>
        </w:rPr>
        <w:br w:type="page"/>
      </w:r>
    </w:p>
    <w:p w14:paraId="084F05AC" w14:textId="072CA48E" w:rsidR="00751104" w:rsidRPr="00961B6E" w:rsidRDefault="00751104" w:rsidP="00DA1EB3">
      <w:pPr>
        <w:pStyle w:val="ListParagraph"/>
        <w:spacing w:after="0" w:line="240" w:lineRule="auto"/>
        <w:ind w:left="0"/>
        <w:rPr>
          <w:b/>
          <w:bCs/>
          <w:noProof/>
          <w:szCs w:val="24"/>
          <w:lang w:val="es-ES"/>
        </w:rPr>
      </w:pPr>
      <w:r w:rsidRPr="00961B6E">
        <w:rPr>
          <w:b/>
          <w:bCs/>
          <w:noProof/>
          <w:szCs w:val="24"/>
          <w:lang w:val="es-ES"/>
        </w:rPr>
        <w:lastRenderedPageBreak/>
        <w:t xml:space="preserve">Incorporación de las consideraciones de género en el Plan Estratégico </w:t>
      </w:r>
    </w:p>
    <w:p w14:paraId="56B19D86" w14:textId="77777777" w:rsidR="003D01F4" w:rsidRPr="00961B6E" w:rsidRDefault="003D01F4" w:rsidP="00DA1EB3">
      <w:pPr>
        <w:pStyle w:val="ListParagraph"/>
        <w:spacing w:after="0" w:line="240" w:lineRule="auto"/>
        <w:ind w:left="0"/>
        <w:rPr>
          <w:b/>
          <w:bCs/>
          <w:noProof/>
          <w:szCs w:val="24"/>
          <w:lang w:val="es-ES"/>
        </w:rPr>
      </w:pPr>
    </w:p>
    <w:tbl>
      <w:tblPr>
        <w:tblStyle w:val="TableGrid"/>
        <w:tblW w:w="9067" w:type="dxa"/>
        <w:tblLook w:val="04A0" w:firstRow="1" w:lastRow="0" w:firstColumn="1" w:lastColumn="0" w:noHBand="0" w:noVBand="1"/>
      </w:tblPr>
      <w:tblGrid>
        <w:gridCol w:w="2122"/>
        <w:gridCol w:w="3402"/>
        <w:gridCol w:w="3543"/>
      </w:tblGrid>
      <w:tr w:rsidR="003D01F4" w:rsidRPr="00961B6E" w14:paraId="03A094B2" w14:textId="77777777" w:rsidTr="00DA1EB3">
        <w:trPr>
          <w:tblHeader/>
        </w:trPr>
        <w:tc>
          <w:tcPr>
            <w:tcW w:w="2122" w:type="dxa"/>
            <w:shd w:val="clear" w:color="auto" w:fill="auto"/>
          </w:tcPr>
          <w:p w14:paraId="651F1173"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b/>
                <w:noProof/>
                <w:lang w:val="es-ES"/>
              </w:rPr>
              <w:t>Objetivos</w:t>
            </w:r>
          </w:p>
        </w:tc>
        <w:tc>
          <w:tcPr>
            <w:tcW w:w="3402" w:type="dxa"/>
            <w:shd w:val="clear" w:color="auto" w:fill="auto"/>
          </w:tcPr>
          <w:p w14:paraId="73ED5F9C"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b/>
                <w:noProof/>
                <w:lang w:val="es-ES"/>
              </w:rPr>
              <w:t>Consideraciones de género</w:t>
            </w:r>
          </w:p>
        </w:tc>
        <w:tc>
          <w:tcPr>
            <w:tcW w:w="3543" w:type="dxa"/>
            <w:shd w:val="clear" w:color="auto" w:fill="auto"/>
          </w:tcPr>
          <w:p w14:paraId="7479E705"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b/>
                <w:noProof/>
                <w:lang w:val="es-ES"/>
              </w:rPr>
              <w:t>Principales metas</w:t>
            </w:r>
          </w:p>
        </w:tc>
      </w:tr>
      <w:tr w:rsidR="003D01F4" w:rsidRPr="001E0965" w14:paraId="694F609C" w14:textId="77777777" w:rsidTr="00DA1EB3">
        <w:tc>
          <w:tcPr>
            <w:tcW w:w="2122" w:type="dxa"/>
          </w:tcPr>
          <w:p w14:paraId="367C882A" w14:textId="22B06E77" w:rsidR="003D01F4" w:rsidRPr="00961B6E" w:rsidRDefault="003D01F4" w:rsidP="00DA1EB3">
            <w:pPr>
              <w:pStyle w:val="NormalWeb"/>
              <w:shd w:val="clear" w:color="auto" w:fill="FFFFFF"/>
              <w:rPr>
                <w:rFonts w:asciiTheme="minorHAnsi" w:eastAsiaTheme="minorHAnsi" w:hAnsiTheme="minorHAnsi" w:cstheme="minorHAnsi"/>
                <w:b/>
                <w:noProof/>
                <w:lang w:val="es-ES"/>
              </w:rPr>
            </w:pPr>
            <w:r w:rsidRPr="00961B6E">
              <w:rPr>
                <w:rFonts w:asciiTheme="minorHAnsi" w:eastAsiaTheme="minorHAnsi" w:hAnsiTheme="minorHAnsi" w:cstheme="minorHAnsi"/>
                <w:b/>
                <w:noProof/>
                <w:sz w:val="20"/>
                <w:szCs w:val="20"/>
                <w:lang w:val="es-ES"/>
              </w:rPr>
              <w:t>Objetivo 1: H</w:t>
            </w:r>
            <w:r w:rsidRPr="00961B6E">
              <w:rPr>
                <w:rFonts w:ascii="Calibri" w:hAnsi="Calibri" w:cs="Calibri"/>
                <w:b/>
                <w:bCs/>
                <w:noProof/>
                <w:sz w:val="20"/>
                <w:szCs w:val="20"/>
                <w:lang w:val="es-ES"/>
              </w:rPr>
              <w:t xml:space="preserve">acer frente a los factores que impulsan la pérdida y degradación de los humedales </w:t>
            </w:r>
          </w:p>
        </w:tc>
        <w:tc>
          <w:tcPr>
            <w:tcW w:w="3402" w:type="dxa"/>
          </w:tcPr>
          <w:p w14:paraId="62808D05"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i/>
                <w:iCs/>
                <w:noProof/>
                <w:lang w:val="es-ES"/>
              </w:rPr>
              <w:t xml:space="preserve">Las Partes reconocen que los factores impulsores de la degradación de los humedales se solapan con el género y otras dimensiones sociales y tienen un impacto sobre ellos. </w:t>
            </w:r>
          </w:p>
        </w:tc>
        <w:tc>
          <w:tcPr>
            <w:tcW w:w="3543" w:type="dxa"/>
          </w:tcPr>
          <w:p w14:paraId="78AEE9E1"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r>
      <w:tr w:rsidR="003D01F4" w:rsidRPr="001E0965" w14:paraId="6AA42547" w14:textId="77777777" w:rsidTr="00DA1EB3">
        <w:tc>
          <w:tcPr>
            <w:tcW w:w="2122" w:type="dxa"/>
          </w:tcPr>
          <w:p w14:paraId="253A34E3" w14:textId="77777777" w:rsidR="003D01F4" w:rsidRPr="00961B6E" w:rsidRDefault="003D01F4"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2: </w:t>
            </w:r>
            <w:r w:rsidRPr="00961B6E">
              <w:rPr>
                <w:rFonts w:asciiTheme="minorHAnsi" w:hAnsiTheme="minorHAnsi" w:cstheme="minorHAnsi"/>
                <w:b/>
                <w:bCs/>
                <w:noProof/>
                <w:sz w:val="20"/>
                <w:szCs w:val="20"/>
                <w:lang w:val="es-ES"/>
              </w:rPr>
              <w:t xml:space="preserve">Llevar a cabo una conservación y un manejo eficaces de la red de sitios Ramsar </w:t>
            </w:r>
          </w:p>
          <w:p w14:paraId="450BB7BD"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c>
          <w:tcPr>
            <w:tcW w:w="3402" w:type="dxa"/>
          </w:tcPr>
          <w:p w14:paraId="7BED5F87" w14:textId="4C8D0232"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noProof/>
                <w:lang w:val="es-ES"/>
              </w:rPr>
            </w:pPr>
            <w:r w:rsidRPr="00961B6E">
              <w:rPr>
                <w:rFonts w:asciiTheme="minorHAnsi" w:eastAsiaTheme="minorHAnsi" w:hAnsiTheme="minorHAnsi" w:cstheme="minorHAnsi"/>
                <w:i/>
                <w:iCs/>
                <w:noProof/>
                <w:lang w:val="es-ES"/>
              </w:rPr>
              <w:t>Las Partes se comprometen a proteger y gestionar de manera eficaz los sitios Ramsar existentes y permitir la participación plena y efectiva de los interesados, incluidas las mujeres, en toda su diversidad, con representación de la juventud y los pueblos indígenas y comunidades locales.</w:t>
            </w:r>
          </w:p>
        </w:tc>
        <w:tc>
          <w:tcPr>
            <w:tcW w:w="3543" w:type="dxa"/>
          </w:tcPr>
          <w:p w14:paraId="5C76CA88"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noProof/>
                <w:lang w:val="es-ES"/>
              </w:rPr>
            </w:pPr>
            <w:r w:rsidRPr="00961B6E">
              <w:rPr>
                <w:rFonts w:asciiTheme="minorHAnsi" w:eastAsiaTheme="minorHAnsi" w:hAnsiTheme="minorHAnsi" w:cstheme="minorHAnsi"/>
                <w:noProof/>
                <w:lang w:val="es-ES"/>
              </w:rPr>
              <w:t xml:space="preserve">Meta 5.7 </w:t>
            </w:r>
          </w:p>
          <w:p w14:paraId="5444B36C"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noProof/>
                <w:lang w:val="es-ES"/>
              </w:rPr>
              <w:t xml:space="preserve">Cuántos </w:t>
            </w:r>
            <w:r w:rsidRPr="00961B6E">
              <w:rPr>
                <w:rFonts w:asciiTheme="minorHAnsi" w:eastAsiaTheme="minorHAnsi" w:hAnsiTheme="minorHAnsi" w:cstheme="minorHAnsi"/>
                <w:noProof/>
                <w:color w:val="000000" w:themeColor="text1"/>
                <w:lang w:val="es-ES"/>
              </w:rPr>
              <w:t xml:space="preserve">sitios Ramsar disponen de comités sectoriales de </w:t>
            </w:r>
            <w:r w:rsidRPr="00961B6E">
              <w:rPr>
                <w:rFonts w:asciiTheme="minorHAnsi" w:eastAsiaTheme="minorHAnsi" w:hAnsiTheme="minorHAnsi" w:cstheme="minorHAnsi"/>
                <w:noProof/>
                <w:lang w:val="es-ES"/>
              </w:rPr>
              <w:t>gestión que permitan la toma de decisiones participativa e inclusiva con las mujeres, en toda su diversidad, con representación de la juventud y los pueblos indígenas.</w:t>
            </w:r>
          </w:p>
        </w:tc>
      </w:tr>
      <w:tr w:rsidR="003D01F4" w:rsidRPr="001E0965" w14:paraId="5EFDDFB4" w14:textId="77777777" w:rsidTr="00DA1EB3">
        <w:tc>
          <w:tcPr>
            <w:tcW w:w="2122" w:type="dxa"/>
          </w:tcPr>
          <w:p w14:paraId="3636F5FA" w14:textId="77777777" w:rsidR="003D01F4" w:rsidRPr="00961B6E" w:rsidRDefault="003D01F4" w:rsidP="00DA1EB3">
            <w:pPr>
              <w:rPr>
                <w:rFonts w:cstheme="minorHAnsi"/>
                <w:b/>
                <w:noProof/>
                <w:sz w:val="20"/>
                <w:szCs w:val="20"/>
                <w:lang w:val="es-ES"/>
              </w:rPr>
            </w:pPr>
            <w:r w:rsidRPr="00961B6E">
              <w:rPr>
                <w:rFonts w:cstheme="minorHAnsi"/>
                <w:b/>
                <w:noProof/>
                <w:sz w:val="20"/>
                <w:szCs w:val="20"/>
                <w:lang w:val="es-ES"/>
              </w:rPr>
              <w:t>Objetivo 3: Realizar un uso racional de todos los humedales</w:t>
            </w:r>
          </w:p>
        </w:tc>
        <w:tc>
          <w:tcPr>
            <w:tcW w:w="3402" w:type="dxa"/>
          </w:tcPr>
          <w:p w14:paraId="758741D9" w14:textId="77777777" w:rsidR="003D01F4" w:rsidRPr="00961B6E" w:rsidRDefault="003D01F4" w:rsidP="00DA1EB3">
            <w:pPr>
              <w:rPr>
                <w:rFonts w:cstheme="minorHAnsi"/>
                <w:noProof/>
                <w:sz w:val="20"/>
                <w:szCs w:val="20"/>
                <w:lang w:val="es-ES"/>
              </w:rPr>
            </w:pPr>
            <w:r w:rsidRPr="00961B6E">
              <w:rPr>
                <w:rFonts w:cstheme="minorHAnsi"/>
                <w:i/>
                <w:iCs/>
                <w:noProof/>
                <w:sz w:val="20"/>
                <w:szCs w:val="20"/>
                <w:lang w:val="es-ES"/>
              </w:rPr>
              <w:t>Las Partes se ocupan de todos los humedales y no solo de los que están incluidos en la red de sitios Ramsar. La incorporación de especificaciones de género en sectores muy diversos y con un amplio abanico de actores contribuirá a garantizar el éxito de este esfuerzo</w:t>
            </w:r>
            <w:r w:rsidRPr="00961B6E">
              <w:rPr>
                <w:rFonts w:cstheme="minorHAnsi"/>
                <w:noProof/>
                <w:sz w:val="20"/>
                <w:szCs w:val="20"/>
                <w:lang w:val="es-ES"/>
              </w:rPr>
              <w:t>.</w:t>
            </w:r>
          </w:p>
          <w:p w14:paraId="60F60D5A"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c>
          <w:tcPr>
            <w:tcW w:w="3543" w:type="dxa"/>
          </w:tcPr>
          <w:p w14:paraId="5A6B28B5" w14:textId="77777777" w:rsidR="003D01F4" w:rsidRPr="00961B6E" w:rsidRDefault="003D01F4" w:rsidP="00DA1EB3">
            <w:pPr>
              <w:pStyle w:val="NormalWeb"/>
              <w:spacing w:before="0" w:beforeAutospacing="0" w:after="0" w:afterAutospacing="0" w:line="240" w:lineRule="atLeast"/>
              <w:rPr>
                <w:rFonts w:asciiTheme="minorHAnsi" w:eastAsiaTheme="minorHAnsi" w:hAnsiTheme="minorHAnsi" w:cstheme="minorHAnsi"/>
                <w:noProof/>
                <w:sz w:val="20"/>
                <w:szCs w:val="20"/>
                <w:lang w:val="es-ES" w:eastAsia="en-US"/>
              </w:rPr>
            </w:pPr>
            <w:r w:rsidRPr="00961B6E">
              <w:rPr>
                <w:rFonts w:asciiTheme="minorHAnsi" w:eastAsiaTheme="minorHAnsi" w:hAnsiTheme="minorHAnsi" w:cstheme="minorHAnsi"/>
                <w:noProof/>
                <w:sz w:val="20"/>
                <w:szCs w:val="20"/>
                <w:lang w:val="es-ES" w:eastAsia="en-US"/>
              </w:rPr>
              <w:t xml:space="preserve">Meta 10: </w:t>
            </w:r>
          </w:p>
          <w:p w14:paraId="5C05A0FD" w14:textId="77777777" w:rsidR="003D01F4" w:rsidRPr="00961B6E" w:rsidRDefault="003D01F4" w:rsidP="00DA1EB3">
            <w:pPr>
              <w:pStyle w:val="NormalWeb"/>
              <w:spacing w:before="0" w:beforeAutospacing="0" w:after="0" w:afterAutospacing="0" w:line="240" w:lineRule="atLeast"/>
              <w:rPr>
                <w:rFonts w:asciiTheme="minorHAnsi" w:eastAsiaTheme="minorHAnsi" w:hAnsiTheme="minorHAnsi" w:cstheme="minorHAnsi"/>
                <w:noProof/>
                <w:sz w:val="20"/>
                <w:szCs w:val="20"/>
                <w:lang w:val="es-ES" w:eastAsia="en-US"/>
              </w:rPr>
            </w:pPr>
            <w:r w:rsidRPr="00961B6E">
              <w:rPr>
                <w:rFonts w:asciiTheme="minorHAnsi" w:eastAsiaTheme="minorHAnsi" w:hAnsiTheme="minorHAnsi" w:cstheme="minorHAnsi"/>
                <w:noProof/>
                <w:sz w:val="20"/>
                <w:szCs w:val="20"/>
                <w:lang w:val="es-ES" w:eastAsia="en-US"/>
              </w:rPr>
              <w:t>El conocimiento tradicional, las innovaciones y las prácticas de los pueblos indígenas y las comunidades locales</w:t>
            </w:r>
            <w:r w:rsidRPr="00961B6E">
              <w:rPr>
                <w:rFonts w:ascii="Calibri" w:hAnsi="Calibri" w:cs="Calibri"/>
                <w:noProof/>
                <w:sz w:val="20"/>
                <w:szCs w:val="20"/>
                <w:lang w:val="es-ES"/>
              </w:rPr>
              <w:t xml:space="preserve">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r>
      <w:tr w:rsidR="003D01F4" w:rsidRPr="001E0965" w14:paraId="726D8923" w14:textId="77777777" w:rsidTr="00DA1EB3">
        <w:tc>
          <w:tcPr>
            <w:tcW w:w="2122" w:type="dxa"/>
          </w:tcPr>
          <w:p w14:paraId="4C7BD568" w14:textId="77777777" w:rsidR="003D01F4" w:rsidRPr="00961B6E" w:rsidRDefault="003D01F4" w:rsidP="00DA1EB3">
            <w:pPr>
              <w:rPr>
                <w:rFonts w:cstheme="minorHAnsi"/>
                <w:b/>
                <w:noProof/>
                <w:sz w:val="20"/>
                <w:szCs w:val="20"/>
                <w:lang w:val="es-ES"/>
              </w:rPr>
            </w:pPr>
            <w:r w:rsidRPr="00961B6E">
              <w:rPr>
                <w:rFonts w:cstheme="minorHAnsi"/>
                <w:b/>
                <w:noProof/>
                <w:sz w:val="20"/>
                <w:szCs w:val="20"/>
                <w:lang w:val="es-ES"/>
              </w:rPr>
              <w:t>Objetivo 4: Mejorar la aplicación</w:t>
            </w:r>
          </w:p>
          <w:p w14:paraId="45B6C887"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p w14:paraId="1037C367"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hAnsiTheme="minorHAnsi" w:cstheme="minorHAnsi"/>
                <w:noProof/>
                <w:lang w:val="es-ES"/>
              </w:rPr>
              <w:t>El párrafo 11 de la Resolución XIII.18 alienta “...a examinar la manera en que estén representados los géneros en los materiales de comunicación sobre humedales a fin de promover una representación igualitaria y equitativa”.</w:t>
            </w:r>
          </w:p>
        </w:tc>
        <w:tc>
          <w:tcPr>
            <w:tcW w:w="3402" w:type="dxa"/>
          </w:tcPr>
          <w:p w14:paraId="46501086" w14:textId="77777777" w:rsidR="003D01F4" w:rsidRPr="00961B6E" w:rsidRDefault="003D01F4" w:rsidP="00DA1EB3">
            <w:pPr>
              <w:rPr>
                <w:rFonts w:cstheme="minorHAnsi"/>
                <w:i/>
                <w:iCs/>
                <w:noProof/>
                <w:sz w:val="20"/>
                <w:szCs w:val="20"/>
                <w:lang w:val="es-ES"/>
              </w:rPr>
            </w:pPr>
            <w:r w:rsidRPr="00961B6E">
              <w:rPr>
                <w:rFonts w:cstheme="minorHAnsi"/>
                <w:i/>
                <w:iCs/>
                <w:noProof/>
                <w:sz w:val="20"/>
                <w:szCs w:val="20"/>
                <w:lang w:val="es-ES"/>
              </w:rPr>
              <w:t>Las Partes se aseguran de que las estrategias y los materiales de comunicación reflejen las percepciones, necesidades y perspectivas de las mujeres. Debe prestarse una atención particular a la selección de los canales de comunicación que sean más adecuados para las mujeres.</w:t>
            </w:r>
          </w:p>
          <w:p w14:paraId="0896B0CF" w14:textId="77777777" w:rsidR="003D01F4" w:rsidRPr="00961B6E" w:rsidRDefault="003D01F4" w:rsidP="00DA1EB3">
            <w:pPr>
              <w:rPr>
                <w:rFonts w:cstheme="minorHAnsi"/>
                <w:i/>
                <w:iCs/>
                <w:noProof/>
                <w:sz w:val="20"/>
                <w:szCs w:val="20"/>
                <w:lang w:val="es-ES"/>
              </w:rPr>
            </w:pPr>
          </w:p>
          <w:p w14:paraId="1809BDA8" w14:textId="77777777" w:rsidR="003D01F4" w:rsidRPr="00961B6E" w:rsidRDefault="003D01F4" w:rsidP="00DA1EB3">
            <w:pPr>
              <w:rPr>
                <w:rFonts w:cstheme="minorHAnsi"/>
                <w:i/>
                <w:iCs/>
                <w:noProof/>
                <w:sz w:val="20"/>
                <w:szCs w:val="20"/>
                <w:lang w:val="es-ES"/>
              </w:rPr>
            </w:pPr>
            <w:r w:rsidRPr="00961B6E">
              <w:rPr>
                <w:rFonts w:cstheme="minorHAnsi"/>
                <w:i/>
                <w:iCs/>
                <w:noProof/>
                <w:sz w:val="20"/>
                <w:szCs w:val="20"/>
                <w:lang w:val="es-ES"/>
              </w:rPr>
              <w:t>Las propias Partes, y también en colaboración con otras Partes y entidades, deberían adoptar un enfoque sensible al género en relación con el asesoramiento y las orientaciones de carácter científico y técnico, la movilización de recursos, la concienciación pública, la visibilidad y la creación de capacidad.</w:t>
            </w:r>
          </w:p>
          <w:p w14:paraId="48BDA24F" w14:textId="77777777" w:rsidR="003D01F4" w:rsidRPr="00961B6E" w:rsidRDefault="003D01F4" w:rsidP="00DA1EB3">
            <w:pPr>
              <w:ind w:left="1418" w:hanging="1418"/>
              <w:rPr>
                <w:rFonts w:cstheme="minorHAnsi"/>
                <w:i/>
                <w:iCs/>
                <w:noProof/>
                <w:sz w:val="20"/>
                <w:szCs w:val="20"/>
                <w:lang w:val="es-ES"/>
              </w:rPr>
            </w:pPr>
          </w:p>
          <w:p w14:paraId="2E088718" w14:textId="77777777" w:rsidR="003D01F4" w:rsidRPr="00961B6E" w:rsidRDefault="003D01F4" w:rsidP="00DA1EB3">
            <w:pPr>
              <w:rPr>
                <w:i/>
                <w:noProof/>
                <w:sz w:val="20"/>
                <w:szCs w:val="20"/>
                <w:lang w:val="es-ES"/>
              </w:rPr>
            </w:pPr>
            <w:r w:rsidRPr="00961B6E">
              <w:rPr>
                <w:rFonts w:cstheme="minorHAnsi"/>
                <w:i/>
                <w:iCs/>
                <w:noProof/>
                <w:sz w:val="20"/>
                <w:szCs w:val="20"/>
                <w:lang w:val="es-ES"/>
              </w:rPr>
              <w:t>Todos los principales mecanismos de financiación ambiental ya disponen de políticas, planes de acción y mandatos sobre el género que se deben cumplir para obtener financiación.</w:t>
            </w:r>
          </w:p>
        </w:tc>
        <w:tc>
          <w:tcPr>
            <w:tcW w:w="3543" w:type="dxa"/>
          </w:tcPr>
          <w:p w14:paraId="183367C2" w14:textId="77777777" w:rsidR="003D01F4" w:rsidRPr="00961B6E" w:rsidRDefault="003D01F4" w:rsidP="00DA1EB3">
            <w:pPr>
              <w:rPr>
                <w:rFonts w:cstheme="minorHAnsi"/>
                <w:noProof/>
                <w:sz w:val="20"/>
                <w:szCs w:val="20"/>
                <w:lang w:val="es-ES"/>
              </w:rPr>
            </w:pPr>
            <w:r w:rsidRPr="00961B6E">
              <w:rPr>
                <w:rFonts w:cstheme="minorHAnsi"/>
                <w:noProof/>
                <w:sz w:val="20"/>
                <w:szCs w:val="20"/>
                <w:lang w:val="es-ES"/>
              </w:rPr>
              <w:t xml:space="preserve">Meta 16: La conservación y el uso racional de los humedales se integran con una perspectiva de género a través de la comunicación, el desarrollo de capacidad, la educación, concienciación y participación. </w:t>
            </w:r>
          </w:p>
          <w:p w14:paraId="07202E42" w14:textId="77777777" w:rsidR="003D01F4" w:rsidRPr="00961B6E" w:rsidRDefault="003D01F4" w:rsidP="00DA1EB3">
            <w:pPr>
              <w:rPr>
                <w:rFonts w:cstheme="minorHAnsi"/>
                <w:noProof/>
                <w:sz w:val="20"/>
                <w:szCs w:val="20"/>
                <w:lang w:val="es-ES"/>
              </w:rPr>
            </w:pPr>
          </w:p>
          <w:p w14:paraId="789B56F7" w14:textId="77777777" w:rsidR="003D01F4" w:rsidRPr="00961B6E" w:rsidRDefault="003D01F4" w:rsidP="00DA1EB3">
            <w:pPr>
              <w:rPr>
                <w:rFonts w:cstheme="minorHAnsi"/>
                <w:i/>
                <w:iCs/>
                <w:noProof/>
                <w:sz w:val="20"/>
                <w:szCs w:val="20"/>
                <w:lang w:val="es-ES"/>
              </w:rPr>
            </w:pPr>
            <w:r w:rsidRPr="00961B6E">
              <w:rPr>
                <w:rFonts w:cstheme="minorHAnsi"/>
                <w:i/>
                <w:iCs/>
                <w:noProof/>
                <w:sz w:val="20"/>
                <w:szCs w:val="20"/>
                <w:lang w:val="es-ES"/>
              </w:rPr>
              <w:t>Nota: El nuevo enfoque de CECoP incluye la incorporación de la igualdad de género como una actividad.</w:t>
            </w:r>
          </w:p>
          <w:p w14:paraId="7A643C63"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r>
    </w:tbl>
    <w:p w14:paraId="73F2BD2C" w14:textId="1FD7BF39" w:rsidR="00D0021B" w:rsidRPr="00961B6E" w:rsidRDefault="00D0021B" w:rsidP="00DA1EB3">
      <w:pPr>
        <w:pStyle w:val="ListParagraph"/>
        <w:spacing w:after="0" w:line="240" w:lineRule="auto"/>
        <w:ind w:left="0"/>
        <w:rPr>
          <w:rFonts w:cstheme="minorHAnsi"/>
          <w:noProof/>
          <w:lang w:val="es-ES"/>
        </w:rPr>
      </w:pPr>
    </w:p>
    <w:p w14:paraId="705157B3" w14:textId="12EADAEF" w:rsidR="003D01F4" w:rsidRPr="00961B6E" w:rsidRDefault="003D01F4" w:rsidP="00DA1EB3">
      <w:pPr>
        <w:rPr>
          <w:rFonts w:cstheme="minorHAnsi"/>
          <w:b/>
          <w:bCs/>
          <w:noProof/>
          <w:lang w:val="es-ES"/>
        </w:rPr>
      </w:pPr>
      <w:r w:rsidRPr="00961B6E">
        <w:rPr>
          <w:rFonts w:cstheme="minorHAnsi"/>
          <w:b/>
          <w:bCs/>
          <w:noProof/>
          <w:lang w:val="es-ES"/>
        </w:rPr>
        <w:t>Recursos disponibles:</w:t>
      </w:r>
    </w:p>
    <w:p w14:paraId="7B9E5C2B" w14:textId="12BDB58F" w:rsidR="003D01F4" w:rsidRPr="00961B6E" w:rsidRDefault="003D01F4" w:rsidP="00DA1EB3">
      <w:pPr>
        <w:pStyle w:val="NormalWeb"/>
        <w:spacing w:before="0" w:beforeAutospacing="0" w:after="0" w:afterAutospacing="0"/>
        <w:rPr>
          <w:rFonts w:asciiTheme="minorHAnsi" w:hAnsiTheme="minorHAnsi" w:cstheme="minorHAnsi"/>
          <w:noProof/>
          <w:color w:val="000000" w:themeColor="text1"/>
          <w:sz w:val="22"/>
          <w:szCs w:val="22"/>
          <w:lang w:val="es-ES"/>
        </w:rPr>
      </w:pPr>
      <w:r w:rsidRPr="00961B6E">
        <w:rPr>
          <w:rFonts w:asciiTheme="minorHAnsi" w:hAnsiTheme="minorHAnsi" w:cstheme="minorHAnsi"/>
          <w:noProof/>
          <w:color w:val="000000" w:themeColor="text1"/>
          <w:sz w:val="22"/>
          <w:szCs w:val="22"/>
          <w:lang w:val="es-ES"/>
        </w:rPr>
        <w:t xml:space="preserve">Las directrices proporcionan a las Partes Contratantes en la Convención una serie de puntos de entrada operacionales y prácticos clave para mejorar la incorporación de la igualdad de género en la Convención y presentan varios estudios de caso que muestran el valor de adoptar un enfoque de género para el uso racional y el manejo de los humedales. El documento se puede descargar en la dirección: </w:t>
      </w:r>
    </w:p>
    <w:p w14:paraId="0542DE6D" w14:textId="5CC406A4" w:rsidR="003D01F4" w:rsidRPr="00961B6E" w:rsidRDefault="00B01D6A" w:rsidP="00DA1EB3">
      <w:pPr>
        <w:pStyle w:val="NormalWeb"/>
        <w:spacing w:before="0" w:beforeAutospacing="0" w:after="0" w:afterAutospacing="0"/>
        <w:rPr>
          <w:rFonts w:asciiTheme="minorHAnsi" w:hAnsiTheme="minorHAnsi" w:cstheme="minorHAnsi"/>
          <w:noProof/>
          <w:color w:val="000000" w:themeColor="text1"/>
          <w:sz w:val="22"/>
          <w:szCs w:val="22"/>
          <w:lang w:val="es-ES"/>
        </w:rPr>
      </w:pPr>
      <w:hyperlink r:id="rId13" w:history="1">
        <w:r w:rsidR="003D01F4" w:rsidRPr="00961B6E">
          <w:rPr>
            <w:rFonts w:asciiTheme="minorHAnsi" w:hAnsiTheme="minorHAnsi" w:cstheme="minorHAnsi"/>
            <w:noProof/>
            <w:color w:val="000000" w:themeColor="text1"/>
            <w:sz w:val="22"/>
            <w:szCs w:val="22"/>
            <w:lang w:val="es-ES"/>
          </w:rPr>
          <w:t>https://www.ramsar.org/es/documento/directrices-para-la-transversalizacion-de-genero-en-la-convencion-de-ramsar-sobre-los</w:t>
        </w:r>
      </w:hyperlink>
    </w:p>
    <w:p w14:paraId="673FB989" w14:textId="77777777" w:rsidR="003D01F4" w:rsidRPr="00961B6E" w:rsidRDefault="003D01F4" w:rsidP="00DA1EB3">
      <w:pPr>
        <w:pStyle w:val="NormalWeb"/>
        <w:spacing w:before="0" w:beforeAutospacing="0" w:after="0" w:afterAutospacing="0"/>
        <w:rPr>
          <w:rFonts w:asciiTheme="minorHAnsi" w:hAnsiTheme="minorHAnsi" w:cstheme="minorHAnsi"/>
          <w:noProof/>
          <w:sz w:val="22"/>
          <w:szCs w:val="22"/>
          <w:lang w:val="es-ES"/>
        </w:rPr>
      </w:pPr>
    </w:p>
    <w:p w14:paraId="30A3D002" w14:textId="77777777" w:rsidR="00D0021B" w:rsidRPr="00961B6E" w:rsidRDefault="00D0021B" w:rsidP="00DA1EB3">
      <w:pPr>
        <w:pStyle w:val="NormalWeb"/>
        <w:spacing w:before="0" w:beforeAutospacing="0" w:after="0" w:afterAutospacing="0"/>
        <w:rPr>
          <w:rFonts w:asciiTheme="minorHAnsi" w:hAnsiTheme="minorHAnsi" w:cstheme="minorHAnsi"/>
          <w:noProof/>
          <w:sz w:val="22"/>
          <w:szCs w:val="22"/>
          <w:lang w:val="es-ES"/>
        </w:rPr>
      </w:pPr>
    </w:p>
    <w:p w14:paraId="0B1DC14C" w14:textId="77777777" w:rsidR="00D0021B" w:rsidRPr="00961B6E" w:rsidRDefault="00D0021B" w:rsidP="00DA1EB3">
      <w:pPr>
        <w:pStyle w:val="ListParagraph"/>
        <w:suppressAutoHyphens/>
        <w:spacing w:after="0" w:line="240" w:lineRule="auto"/>
        <w:ind w:left="284"/>
        <w:contextualSpacing w:val="0"/>
        <w:rPr>
          <w:rFonts w:cstheme="minorHAnsi"/>
          <w:noProof/>
          <w:lang w:val="es-ES"/>
        </w:rPr>
      </w:pPr>
    </w:p>
    <w:p w14:paraId="5075BE6F" w14:textId="77777777" w:rsidR="0027390F" w:rsidRPr="00961B6E" w:rsidRDefault="0027390F" w:rsidP="00DA1EB3">
      <w:pPr>
        <w:pStyle w:val="Annextext"/>
        <w:widowControl/>
        <w:numPr>
          <w:ilvl w:val="0"/>
          <w:numId w:val="0"/>
        </w:numPr>
        <w:spacing w:after="0" w:line="240" w:lineRule="auto"/>
        <w:rPr>
          <w:rFonts w:asciiTheme="minorHAnsi" w:hAnsiTheme="minorHAnsi" w:cstheme="minorHAnsi"/>
          <w:b/>
          <w:bCs/>
          <w:iCs/>
          <w:noProof/>
          <w:color w:val="auto"/>
          <w:sz w:val="22"/>
          <w:szCs w:val="22"/>
          <w:lang w:val="es-ES"/>
        </w:rPr>
      </w:pPr>
    </w:p>
    <w:sectPr w:rsidR="0027390F" w:rsidRPr="00961B6E" w:rsidSect="00DA1EB3">
      <w:footerReference w:type="default" r:id="rId14"/>
      <w:pgSz w:w="11906" w:h="16838" w:code="9"/>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6D4B" w14:textId="77777777" w:rsidR="00FA6D5A" w:rsidRDefault="00FA6D5A" w:rsidP="00494467">
      <w:r>
        <w:separator/>
      </w:r>
    </w:p>
  </w:endnote>
  <w:endnote w:type="continuationSeparator" w:id="0">
    <w:p w14:paraId="789C18EE" w14:textId="77777777" w:rsidR="00FA6D5A" w:rsidRDefault="00FA6D5A"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C8D9" w14:textId="0E5EBEEF" w:rsidR="00EE3400" w:rsidRPr="00DA1EB3" w:rsidRDefault="00DA1EB3" w:rsidP="00DA1EB3">
    <w:pPr>
      <w:pStyle w:val="Footer"/>
      <w:tabs>
        <w:tab w:val="clear" w:pos="9026"/>
        <w:tab w:val="right" w:pos="13892"/>
      </w:tabs>
      <w:rPr>
        <w:sz w:val="20"/>
        <w:szCs w:val="20"/>
      </w:rPr>
    </w:pPr>
    <w:r w:rsidRPr="009E3AF4">
      <w:rPr>
        <w:sz w:val="20"/>
        <w:szCs w:val="20"/>
      </w:rPr>
      <w:t>SC59/2022 Doc.10</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B01D6A">
      <w:rPr>
        <w:noProof/>
        <w:sz w:val="20"/>
        <w:szCs w:val="20"/>
      </w:rPr>
      <w:t>19</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AE0A3" w14:textId="77777777" w:rsidR="00FA6D5A" w:rsidRDefault="00FA6D5A" w:rsidP="00494467">
      <w:r>
        <w:separator/>
      </w:r>
    </w:p>
  </w:footnote>
  <w:footnote w:type="continuationSeparator" w:id="0">
    <w:p w14:paraId="51CCC25C" w14:textId="77777777" w:rsidR="00FA6D5A" w:rsidRDefault="00FA6D5A" w:rsidP="00494467">
      <w:r>
        <w:continuationSeparator/>
      </w:r>
    </w:p>
  </w:footnote>
  <w:footnote w:id="1">
    <w:p w14:paraId="0CF4B6CD" w14:textId="58386E14" w:rsidR="00CC07AC" w:rsidRPr="00CF54E8" w:rsidRDefault="00CC07AC" w:rsidP="00CC07AC">
      <w:pPr>
        <w:pStyle w:val="FootnoteText"/>
        <w:rPr>
          <w:rFonts w:cstheme="minorHAnsi"/>
          <w:noProof/>
          <w:lang w:val="es-ES"/>
        </w:rPr>
      </w:pPr>
      <w:r w:rsidRPr="00CF54E8">
        <w:rPr>
          <w:rStyle w:val="FootnoteReference"/>
          <w:rFonts w:cstheme="minorHAnsi"/>
          <w:noProof/>
          <w:lang w:val="es-ES"/>
        </w:rPr>
        <w:footnoteRef/>
      </w:r>
      <w:r w:rsidRPr="00CF54E8">
        <w:rPr>
          <w:rFonts w:cstheme="minorHAnsi"/>
          <w:noProof/>
          <w:lang w:val="es-ES"/>
        </w:rPr>
        <w:t xml:space="preserve"> </w:t>
      </w:r>
      <w:r w:rsidR="00147FCB" w:rsidRPr="00CF54E8">
        <w:rPr>
          <w:rFonts w:cstheme="minorHAnsi"/>
          <w:b/>
          <w:bCs/>
          <w:noProof/>
          <w:lang w:val="es-ES"/>
        </w:rPr>
        <w:t>Objetivo 14</w:t>
      </w:r>
      <w:r w:rsidR="00147FCB" w:rsidRPr="00CF54E8">
        <w:rPr>
          <w:rFonts w:cstheme="minorHAnsi"/>
          <w:noProof/>
          <w:lang w:val="es-ES"/>
        </w:rPr>
        <w:t xml:space="preserve">: Conservar y utilizar en forma sostenible los océanos, los mares y los recursos marinos para el desarrollo sostenible; </w:t>
      </w:r>
      <w:r w:rsidR="00147FCB" w:rsidRPr="00CF54E8">
        <w:rPr>
          <w:rFonts w:cstheme="minorHAnsi"/>
          <w:b/>
          <w:bCs/>
          <w:noProof/>
          <w:lang w:val="es-ES"/>
        </w:rPr>
        <w:t>Objetivo 15</w:t>
      </w:r>
      <w:r w:rsidR="00147FCB" w:rsidRPr="00CF54E8">
        <w:rPr>
          <w:rFonts w:cstheme="minorHAnsi"/>
          <w:noProof/>
          <w:lang w:val="es-ES"/>
        </w:rPr>
        <w:t>: Proteger, restablecer y promover el uso sostenible de los ecosistemas terrestres, gestionar sosteniblemente los bosques, luchar contra la desertificación, detener e invertir la degradación de las tierras y detener la pérdida de biodiversidad</w:t>
      </w:r>
      <w:r w:rsidRPr="00CF54E8">
        <w:rPr>
          <w:rFonts w:cstheme="minorHAnsi"/>
          <w:noProof/>
          <w:lang w:val="es-ES"/>
        </w:rPr>
        <w:t>.</w:t>
      </w:r>
    </w:p>
  </w:footnote>
  <w:footnote w:id="2">
    <w:p w14:paraId="432EAD99" w14:textId="5F20A197" w:rsidR="00D0021B" w:rsidRPr="00CF54E8" w:rsidRDefault="00D0021B" w:rsidP="00D0021B">
      <w:pPr>
        <w:pStyle w:val="FootnoteText"/>
        <w:rPr>
          <w:rFonts w:cstheme="minorHAnsi"/>
          <w:noProof/>
          <w:lang w:val="es-ES"/>
        </w:rPr>
      </w:pPr>
      <w:r w:rsidRPr="00CF54E8">
        <w:rPr>
          <w:rStyle w:val="FootnoteReference"/>
          <w:rFonts w:cstheme="minorHAnsi"/>
          <w:noProof/>
          <w:lang w:val="es-ES"/>
        </w:rPr>
        <w:footnoteRef/>
      </w:r>
      <w:r w:rsidRPr="00CF54E8">
        <w:rPr>
          <w:rFonts w:cstheme="minorHAnsi"/>
          <w:noProof/>
          <w:lang w:val="es-ES"/>
        </w:rPr>
        <w:t xml:space="preserve"> </w:t>
      </w:r>
      <w:r w:rsidR="002574EA" w:rsidRPr="00CF54E8">
        <w:rPr>
          <w:rFonts w:cstheme="minorHAnsi"/>
          <w:i/>
          <w:iCs/>
          <w:noProof/>
          <w:lang w:val="es-ES"/>
        </w:rPr>
        <w:t>TOMANDO NOTA TAMBIÉN de que los siguientes ODS también son pertinentes para la Convención: ODS 1, “Poner fin a la pobreza en todas sus formas en todo el mundo”; ODS 2, “Poner fin al hambre, lograr la seguridad alimentaria y la mejora de la nutrición y promover la agricultura sostenible”; ODS 5, “Lograr la igualdad entre los géneros y empoderar a todas las mujeres y las niñas”; ODS 11, “Lograr que las ciudades y los asentamientos humanos sean inclusivos, seguros, resilientes y sostenibles”; y ODS 13, “Adoptar medidas urgentes para combatir el cambio climático y sus efectos”</w:t>
      </w:r>
      <w:r w:rsidR="002574EA" w:rsidRPr="00CF54E8">
        <w:rPr>
          <w:rFonts w:cstheme="minorHAnsi"/>
          <w:noProof/>
          <w:lang w:val="es-ES"/>
        </w:rPr>
        <w:t xml:space="preserve"> [párrafo 17]</w:t>
      </w:r>
      <w:r w:rsidRPr="00CF54E8">
        <w:rPr>
          <w:rFonts w:cstheme="minorHAnsi"/>
          <w:noProof/>
          <w:lang w:val="es-ES"/>
        </w:rPr>
        <w:t>.</w:t>
      </w:r>
    </w:p>
    <w:p w14:paraId="70C6963A" w14:textId="77777777" w:rsidR="00D0021B" w:rsidRPr="00CF54E8" w:rsidRDefault="00D0021B" w:rsidP="00D0021B">
      <w:pPr>
        <w:pStyle w:val="FootnoteText"/>
        <w:rPr>
          <w:noProof/>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4"/>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3"/>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 Jennings">
    <w15:presenceInfo w15:providerId="None" w15:userId="Ed Jenn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10C2C"/>
    <w:rsid w:val="00011DB0"/>
    <w:rsid w:val="0001280E"/>
    <w:rsid w:val="000133C8"/>
    <w:rsid w:val="0001469A"/>
    <w:rsid w:val="00014CFE"/>
    <w:rsid w:val="0001591C"/>
    <w:rsid w:val="00015DEF"/>
    <w:rsid w:val="00016EE3"/>
    <w:rsid w:val="000206CE"/>
    <w:rsid w:val="00021682"/>
    <w:rsid w:val="00021B27"/>
    <w:rsid w:val="00022AD3"/>
    <w:rsid w:val="00023034"/>
    <w:rsid w:val="00025003"/>
    <w:rsid w:val="00027E94"/>
    <w:rsid w:val="000304F5"/>
    <w:rsid w:val="000328D1"/>
    <w:rsid w:val="00035772"/>
    <w:rsid w:val="000401B2"/>
    <w:rsid w:val="00043388"/>
    <w:rsid w:val="000443DD"/>
    <w:rsid w:val="00045D65"/>
    <w:rsid w:val="00047632"/>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4BA3"/>
    <w:rsid w:val="00097AB9"/>
    <w:rsid w:val="000A00C0"/>
    <w:rsid w:val="000A022D"/>
    <w:rsid w:val="000A0826"/>
    <w:rsid w:val="000A1125"/>
    <w:rsid w:val="000A2346"/>
    <w:rsid w:val="000A33C5"/>
    <w:rsid w:val="000A47C3"/>
    <w:rsid w:val="000A49C1"/>
    <w:rsid w:val="000B499F"/>
    <w:rsid w:val="000B60F3"/>
    <w:rsid w:val="000C1D88"/>
    <w:rsid w:val="000C2C5A"/>
    <w:rsid w:val="000C60D7"/>
    <w:rsid w:val="000C77E3"/>
    <w:rsid w:val="000D0CD3"/>
    <w:rsid w:val="000D4610"/>
    <w:rsid w:val="000D6FEA"/>
    <w:rsid w:val="000E07CB"/>
    <w:rsid w:val="000E11AC"/>
    <w:rsid w:val="000E14C2"/>
    <w:rsid w:val="000E1805"/>
    <w:rsid w:val="000E232C"/>
    <w:rsid w:val="000E44D5"/>
    <w:rsid w:val="000E699A"/>
    <w:rsid w:val="000E7D10"/>
    <w:rsid w:val="000F1282"/>
    <w:rsid w:val="000F1867"/>
    <w:rsid w:val="000F2311"/>
    <w:rsid w:val="000F5622"/>
    <w:rsid w:val="000F5802"/>
    <w:rsid w:val="000F5FA6"/>
    <w:rsid w:val="000F764E"/>
    <w:rsid w:val="000F7938"/>
    <w:rsid w:val="000F7BF2"/>
    <w:rsid w:val="001006AC"/>
    <w:rsid w:val="001041A3"/>
    <w:rsid w:val="0010444F"/>
    <w:rsid w:val="00107557"/>
    <w:rsid w:val="00111DD7"/>
    <w:rsid w:val="001146DD"/>
    <w:rsid w:val="00116C33"/>
    <w:rsid w:val="00117EAC"/>
    <w:rsid w:val="00125F94"/>
    <w:rsid w:val="00127506"/>
    <w:rsid w:val="0013044C"/>
    <w:rsid w:val="00131E5B"/>
    <w:rsid w:val="00132A10"/>
    <w:rsid w:val="00132A85"/>
    <w:rsid w:val="00133D59"/>
    <w:rsid w:val="00136A97"/>
    <w:rsid w:val="0013751C"/>
    <w:rsid w:val="001379A2"/>
    <w:rsid w:val="00140E9D"/>
    <w:rsid w:val="001416F3"/>
    <w:rsid w:val="0014171B"/>
    <w:rsid w:val="0014595B"/>
    <w:rsid w:val="00147FCB"/>
    <w:rsid w:val="001511EF"/>
    <w:rsid w:val="0015490B"/>
    <w:rsid w:val="00156F18"/>
    <w:rsid w:val="00160064"/>
    <w:rsid w:val="00162991"/>
    <w:rsid w:val="0016365B"/>
    <w:rsid w:val="00165CF6"/>
    <w:rsid w:val="00167E81"/>
    <w:rsid w:val="00172B93"/>
    <w:rsid w:val="00174A87"/>
    <w:rsid w:val="00175779"/>
    <w:rsid w:val="00175AF5"/>
    <w:rsid w:val="00177070"/>
    <w:rsid w:val="00180529"/>
    <w:rsid w:val="00181028"/>
    <w:rsid w:val="00181C63"/>
    <w:rsid w:val="00182DBF"/>
    <w:rsid w:val="00183708"/>
    <w:rsid w:val="00190BC5"/>
    <w:rsid w:val="00190DBB"/>
    <w:rsid w:val="00191506"/>
    <w:rsid w:val="00191B0A"/>
    <w:rsid w:val="001920B0"/>
    <w:rsid w:val="00193077"/>
    <w:rsid w:val="0019373A"/>
    <w:rsid w:val="001937B3"/>
    <w:rsid w:val="0019722D"/>
    <w:rsid w:val="00197364"/>
    <w:rsid w:val="001A044F"/>
    <w:rsid w:val="001A39D6"/>
    <w:rsid w:val="001A46BE"/>
    <w:rsid w:val="001A64E9"/>
    <w:rsid w:val="001A69A1"/>
    <w:rsid w:val="001A75CB"/>
    <w:rsid w:val="001B3DE9"/>
    <w:rsid w:val="001B45DC"/>
    <w:rsid w:val="001B49FE"/>
    <w:rsid w:val="001B4DD5"/>
    <w:rsid w:val="001B57CF"/>
    <w:rsid w:val="001B5F59"/>
    <w:rsid w:val="001B72EB"/>
    <w:rsid w:val="001C010E"/>
    <w:rsid w:val="001C169F"/>
    <w:rsid w:val="001C1830"/>
    <w:rsid w:val="001C1F1B"/>
    <w:rsid w:val="001C3F0C"/>
    <w:rsid w:val="001C4114"/>
    <w:rsid w:val="001C7D2B"/>
    <w:rsid w:val="001D002D"/>
    <w:rsid w:val="001D01AC"/>
    <w:rsid w:val="001D14C7"/>
    <w:rsid w:val="001D7642"/>
    <w:rsid w:val="001D798B"/>
    <w:rsid w:val="001D7D50"/>
    <w:rsid w:val="001E0965"/>
    <w:rsid w:val="001E36CF"/>
    <w:rsid w:val="001E3D08"/>
    <w:rsid w:val="001E5E58"/>
    <w:rsid w:val="001F0528"/>
    <w:rsid w:val="001F0FDC"/>
    <w:rsid w:val="001F25E9"/>
    <w:rsid w:val="001F38AA"/>
    <w:rsid w:val="001F4BC1"/>
    <w:rsid w:val="00201A87"/>
    <w:rsid w:val="002053AF"/>
    <w:rsid w:val="0020553F"/>
    <w:rsid w:val="00205AA1"/>
    <w:rsid w:val="00206B88"/>
    <w:rsid w:val="00206FBA"/>
    <w:rsid w:val="00215D3D"/>
    <w:rsid w:val="00216DE8"/>
    <w:rsid w:val="00216E35"/>
    <w:rsid w:val="00223CAC"/>
    <w:rsid w:val="002258BB"/>
    <w:rsid w:val="00227E6E"/>
    <w:rsid w:val="00233197"/>
    <w:rsid w:val="00233FFF"/>
    <w:rsid w:val="00236EBA"/>
    <w:rsid w:val="00242AEC"/>
    <w:rsid w:val="002451A3"/>
    <w:rsid w:val="00245C0A"/>
    <w:rsid w:val="002478BA"/>
    <w:rsid w:val="00251023"/>
    <w:rsid w:val="002574EA"/>
    <w:rsid w:val="002576F2"/>
    <w:rsid w:val="00257ED5"/>
    <w:rsid w:val="00266E06"/>
    <w:rsid w:val="0027344D"/>
    <w:rsid w:val="002738EC"/>
    <w:rsid w:val="0027390F"/>
    <w:rsid w:val="002745DB"/>
    <w:rsid w:val="002802BB"/>
    <w:rsid w:val="0028153E"/>
    <w:rsid w:val="002815EE"/>
    <w:rsid w:val="00282BBD"/>
    <w:rsid w:val="00283172"/>
    <w:rsid w:val="00290067"/>
    <w:rsid w:val="002912B0"/>
    <w:rsid w:val="00291A9F"/>
    <w:rsid w:val="0029586D"/>
    <w:rsid w:val="002A098F"/>
    <w:rsid w:val="002A139E"/>
    <w:rsid w:val="002A25A7"/>
    <w:rsid w:val="002A342F"/>
    <w:rsid w:val="002A4427"/>
    <w:rsid w:val="002A5F33"/>
    <w:rsid w:val="002B06A7"/>
    <w:rsid w:val="002B115A"/>
    <w:rsid w:val="002B5482"/>
    <w:rsid w:val="002B559B"/>
    <w:rsid w:val="002B5ADC"/>
    <w:rsid w:val="002B78B1"/>
    <w:rsid w:val="002C2CAE"/>
    <w:rsid w:val="002C34FE"/>
    <w:rsid w:val="002D1CE7"/>
    <w:rsid w:val="002D2700"/>
    <w:rsid w:val="002D3E55"/>
    <w:rsid w:val="002D6461"/>
    <w:rsid w:val="002D6599"/>
    <w:rsid w:val="002E0896"/>
    <w:rsid w:val="002E08EB"/>
    <w:rsid w:val="002E1B00"/>
    <w:rsid w:val="002E3F92"/>
    <w:rsid w:val="002E4798"/>
    <w:rsid w:val="002E577E"/>
    <w:rsid w:val="002E7ACD"/>
    <w:rsid w:val="002E7BFF"/>
    <w:rsid w:val="002E7E4E"/>
    <w:rsid w:val="002F035D"/>
    <w:rsid w:val="002F04FE"/>
    <w:rsid w:val="002F3B1F"/>
    <w:rsid w:val="002F4B33"/>
    <w:rsid w:val="002F70AE"/>
    <w:rsid w:val="002F70DE"/>
    <w:rsid w:val="002F7D72"/>
    <w:rsid w:val="00300646"/>
    <w:rsid w:val="0030236E"/>
    <w:rsid w:val="00302BF9"/>
    <w:rsid w:val="00303EE3"/>
    <w:rsid w:val="0030493B"/>
    <w:rsid w:val="00305F38"/>
    <w:rsid w:val="0030672A"/>
    <w:rsid w:val="00306CFE"/>
    <w:rsid w:val="003104AE"/>
    <w:rsid w:val="00313363"/>
    <w:rsid w:val="00320074"/>
    <w:rsid w:val="003214A8"/>
    <w:rsid w:val="00322330"/>
    <w:rsid w:val="00327534"/>
    <w:rsid w:val="0033279A"/>
    <w:rsid w:val="00333CEE"/>
    <w:rsid w:val="00334223"/>
    <w:rsid w:val="003360D0"/>
    <w:rsid w:val="00336CD5"/>
    <w:rsid w:val="00337FA8"/>
    <w:rsid w:val="00342664"/>
    <w:rsid w:val="00345272"/>
    <w:rsid w:val="00345433"/>
    <w:rsid w:val="0034618D"/>
    <w:rsid w:val="0035175E"/>
    <w:rsid w:val="003547D9"/>
    <w:rsid w:val="0035627D"/>
    <w:rsid w:val="003564A1"/>
    <w:rsid w:val="00356E38"/>
    <w:rsid w:val="0035738C"/>
    <w:rsid w:val="00357E15"/>
    <w:rsid w:val="003618E6"/>
    <w:rsid w:val="00364DCB"/>
    <w:rsid w:val="00367CD1"/>
    <w:rsid w:val="00373AFF"/>
    <w:rsid w:val="00373EEB"/>
    <w:rsid w:val="003743A0"/>
    <w:rsid w:val="003778CE"/>
    <w:rsid w:val="00383B97"/>
    <w:rsid w:val="00383FA9"/>
    <w:rsid w:val="00390ADC"/>
    <w:rsid w:val="00391157"/>
    <w:rsid w:val="00391DAA"/>
    <w:rsid w:val="0039229E"/>
    <w:rsid w:val="00394124"/>
    <w:rsid w:val="00394EC1"/>
    <w:rsid w:val="003A09C2"/>
    <w:rsid w:val="003A5B73"/>
    <w:rsid w:val="003A6C5B"/>
    <w:rsid w:val="003B0403"/>
    <w:rsid w:val="003B1D9D"/>
    <w:rsid w:val="003B2C81"/>
    <w:rsid w:val="003B4741"/>
    <w:rsid w:val="003B51BC"/>
    <w:rsid w:val="003B5419"/>
    <w:rsid w:val="003B79D3"/>
    <w:rsid w:val="003C1FC2"/>
    <w:rsid w:val="003C2224"/>
    <w:rsid w:val="003C2525"/>
    <w:rsid w:val="003C2C71"/>
    <w:rsid w:val="003C3F04"/>
    <w:rsid w:val="003C6329"/>
    <w:rsid w:val="003C639C"/>
    <w:rsid w:val="003D01F4"/>
    <w:rsid w:val="003D22D1"/>
    <w:rsid w:val="003D2943"/>
    <w:rsid w:val="003D2CB1"/>
    <w:rsid w:val="003D3042"/>
    <w:rsid w:val="003D30FA"/>
    <w:rsid w:val="003D36DD"/>
    <w:rsid w:val="003D4C1B"/>
    <w:rsid w:val="003D64C9"/>
    <w:rsid w:val="003D7CBC"/>
    <w:rsid w:val="003E16F8"/>
    <w:rsid w:val="003E2ADA"/>
    <w:rsid w:val="003E3E5E"/>
    <w:rsid w:val="003E41D7"/>
    <w:rsid w:val="003E59B1"/>
    <w:rsid w:val="003F47C5"/>
    <w:rsid w:val="003F64C4"/>
    <w:rsid w:val="003F6AE8"/>
    <w:rsid w:val="0040283F"/>
    <w:rsid w:val="00402DEA"/>
    <w:rsid w:val="004041B5"/>
    <w:rsid w:val="00404380"/>
    <w:rsid w:val="0040664E"/>
    <w:rsid w:val="004106A1"/>
    <w:rsid w:val="00410B04"/>
    <w:rsid w:val="00411533"/>
    <w:rsid w:val="00413703"/>
    <w:rsid w:val="0041478B"/>
    <w:rsid w:val="00421B2F"/>
    <w:rsid w:val="004256F8"/>
    <w:rsid w:val="00425AB6"/>
    <w:rsid w:val="004268F9"/>
    <w:rsid w:val="004328A2"/>
    <w:rsid w:val="0043333F"/>
    <w:rsid w:val="004341EA"/>
    <w:rsid w:val="00435566"/>
    <w:rsid w:val="0044386D"/>
    <w:rsid w:val="00444313"/>
    <w:rsid w:val="00445981"/>
    <w:rsid w:val="004459BD"/>
    <w:rsid w:val="0044628E"/>
    <w:rsid w:val="00446B8D"/>
    <w:rsid w:val="00446CA8"/>
    <w:rsid w:val="00447CBF"/>
    <w:rsid w:val="00450E1A"/>
    <w:rsid w:val="00451260"/>
    <w:rsid w:val="00451B46"/>
    <w:rsid w:val="00453085"/>
    <w:rsid w:val="004534F7"/>
    <w:rsid w:val="004554B5"/>
    <w:rsid w:val="004609A9"/>
    <w:rsid w:val="00462D28"/>
    <w:rsid w:val="004635FE"/>
    <w:rsid w:val="004656E0"/>
    <w:rsid w:val="00466B4C"/>
    <w:rsid w:val="004715ED"/>
    <w:rsid w:val="00474A42"/>
    <w:rsid w:val="00474C24"/>
    <w:rsid w:val="0047576A"/>
    <w:rsid w:val="0047706F"/>
    <w:rsid w:val="00481074"/>
    <w:rsid w:val="00484C80"/>
    <w:rsid w:val="00490019"/>
    <w:rsid w:val="004914BF"/>
    <w:rsid w:val="0049290A"/>
    <w:rsid w:val="00492D1B"/>
    <w:rsid w:val="00493800"/>
    <w:rsid w:val="00494467"/>
    <w:rsid w:val="004957E5"/>
    <w:rsid w:val="00495EAA"/>
    <w:rsid w:val="00497414"/>
    <w:rsid w:val="004A0CFC"/>
    <w:rsid w:val="004A4BFC"/>
    <w:rsid w:val="004A79F7"/>
    <w:rsid w:val="004B03A5"/>
    <w:rsid w:val="004B0A15"/>
    <w:rsid w:val="004B49D3"/>
    <w:rsid w:val="004B4E4A"/>
    <w:rsid w:val="004B56BE"/>
    <w:rsid w:val="004B5FC3"/>
    <w:rsid w:val="004B6228"/>
    <w:rsid w:val="004C0584"/>
    <w:rsid w:val="004C5DF2"/>
    <w:rsid w:val="004C6198"/>
    <w:rsid w:val="004C7072"/>
    <w:rsid w:val="004C73BC"/>
    <w:rsid w:val="004D0FB1"/>
    <w:rsid w:val="004D547F"/>
    <w:rsid w:val="004E12CA"/>
    <w:rsid w:val="004E1688"/>
    <w:rsid w:val="004E29C2"/>
    <w:rsid w:val="004E3094"/>
    <w:rsid w:val="004E45E0"/>
    <w:rsid w:val="004E6A6A"/>
    <w:rsid w:val="004E7640"/>
    <w:rsid w:val="004F1C38"/>
    <w:rsid w:val="004F3FEC"/>
    <w:rsid w:val="004F477F"/>
    <w:rsid w:val="004F4C8B"/>
    <w:rsid w:val="004F55EB"/>
    <w:rsid w:val="005017C4"/>
    <w:rsid w:val="00501CA1"/>
    <w:rsid w:val="00501D7E"/>
    <w:rsid w:val="005046B3"/>
    <w:rsid w:val="00504F70"/>
    <w:rsid w:val="005059A3"/>
    <w:rsid w:val="00506EC0"/>
    <w:rsid w:val="0051251F"/>
    <w:rsid w:val="00513853"/>
    <w:rsid w:val="00514532"/>
    <w:rsid w:val="005149DA"/>
    <w:rsid w:val="00514B5B"/>
    <w:rsid w:val="005156E2"/>
    <w:rsid w:val="005163DF"/>
    <w:rsid w:val="00521697"/>
    <w:rsid w:val="00522BB2"/>
    <w:rsid w:val="00525A9A"/>
    <w:rsid w:val="00536072"/>
    <w:rsid w:val="00541E03"/>
    <w:rsid w:val="00545FD9"/>
    <w:rsid w:val="0055083E"/>
    <w:rsid w:val="005559F7"/>
    <w:rsid w:val="00557C76"/>
    <w:rsid w:val="005601E1"/>
    <w:rsid w:val="00561214"/>
    <w:rsid w:val="0056213C"/>
    <w:rsid w:val="00562685"/>
    <w:rsid w:val="00562DFD"/>
    <w:rsid w:val="0056640A"/>
    <w:rsid w:val="00566A5A"/>
    <w:rsid w:val="00567129"/>
    <w:rsid w:val="00567E29"/>
    <w:rsid w:val="00572276"/>
    <w:rsid w:val="0057613E"/>
    <w:rsid w:val="00583E73"/>
    <w:rsid w:val="00587070"/>
    <w:rsid w:val="00587812"/>
    <w:rsid w:val="005910F9"/>
    <w:rsid w:val="0059297D"/>
    <w:rsid w:val="00593C92"/>
    <w:rsid w:val="00594809"/>
    <w:rsid w:val="00596432"/>
    <w:rsid w:val="00596E1C"/>
    <w:rsid w:val="00597D89"/>
    <w:rsid w:val="005A1310"/>
    <w:rsid w:val="005A306E"/>
    <w:rsid w:val="005A4A5C"/>
    <w:rsid w:val="005A5C79"/>
    <w:rsid w:val="005A668F"/>
    <w:rsid w:val="005B050C"/>
    <w:rsid w:val="005B1E2B"/>
    <w:rsid w:val="005B3FD3"/>
    <w:rsid w:val="005B45DA"/>
    <w:rsid w:val="005B4625"/>
    <w:rsid w:val="005B6E14"/>
    <w:rsid w:val="005B7E78"/>
    <w:rsid w:val="005C0686"/>
    <w:rsid w:val="005C2846"/>
    <w:rsid w:val="005C2AEE"/>
    <w:rsid w:val="005C51E1"/>
    <w:rsid w:val="005D1AA4"/>
    <w:rsid w:val="005D1C23"/>
    <w:rsid w:val="005D4DBD"/>
    <w:rsid w:val="005D6649"/>
    <w:rsid w:val="005D670A"/>
    <w:rsid w:val="005D7E45"/>
    <w:rsid w:val="005E07AE"/>
    <w:rsid w:val="005E18EA"/>
    <w:rsid w:val="005E2177"/>
    <w:rsid w:val="005E24E4"/>
    <w:rsid w:val="005E2899"/>
    <w:rsid w:val="005E4FA6"/>
    <w:rsid w:val="005F023C"/>
    <w:rsid w:val="005F361E"/>
    <w:rsid w:val="005F5651"/>
    <w:rsid w:val="00600962"/>
    <w:rsid w:val="00601AB7"/>
    <w:rsid w:val="006040AC"/>
    <w:rsid w:val="006040C5"/>
    <w:rsid w:val="00604C8C"/>
    <w:rsid w:val="00605888"/>
    <w:rsid w:val="00605B84"/>
    <w:rsid w:val="00605F4B"/>
    <w:rsid w:val="00612473"/>
    <w:rsid w:val="00616AA0"/>
    <w:rsid w:val="006174A5"/>
    <w:rsid w:val="0062023F"/>
    <w:rsid w:val="0062044B"/>
    <w:rsid w:val="00621D00"/>
    <w:rsid w:val="006228A5"/>
    <w:rsid w:val="00624D36"/>
    <w:rsid w:val="006326D4"/>
    <w:rsid w:val="00632A76"/>
    <w:rsid w:val="0063374E"/>
    <w:rsid w:val="00635182"/>
    <w:rsid w:val="00636B0E"/>
    <w:rsid w:val="006416BA"/>
    <w:rsid w:val="006438A5"/>
    <w:rsid w:val="00645552"/>
    <w:rsid w:val="006460BA"/>
    <w:rsid w:val="0065251B"/>
    <w:rsid w:val="00656BF2"/>
    <w:rsid w:val="00656F65"/>
    <w:rsid w:val="00661935"/>
    <w:rsid w:val="00662E79"/>
    <w:rsid w:val="00665785"/>
    <w:rsid w:val="0066587C"/>
    <w:rsid w:val="006663B9"/>
    <w:rsid w:val="00670D59"/>
    <w:rsid w:val="006732B6"/>
    <w:rsid w:val="0067477A"/>
    <w:rsid w:val="00680C07"/>
    <w:rsid w:val="0068264F"/>
    <w:rsid w:val="00687B47"/>
    <w:rsid w:val="00695709"/>
    <w:rsid w:val="006964FF"/>
    <w:rsid w:val="006976C5"/>
    <w:rsid w:val="006A094D"/>
    <w:rsid w:val="006A2378"/>
    <w:rsid w:val="006A3A9B"/>
    <w:rsid w:val="006A44A3"/>
    <w:rsid w:val="006A6FE3"/>
    <w:rsid w:val="006A715A"/>
    <w:rsid w:val="006B15F4"/>
    <w:rsid w:val="006B500D"/>
    <w:rsid w:val="006B5F27"/>
    <w:rsid w:val="006B71D4"/>
    <w:rsid w:val="006C1275"/>
    <w:rsid w:val="006C2337"/>
    <w:rsid w:val="006C422F"/>
    <w:rsid w:val="006C4F31"/>
    <w:rsid w:val="006C520F"/>
    <w:rsid w:val="006C53ED"/>
    <w:rsid w:val="006C60E8"/>
    <w:rsid w:val="006C6FA4"/>
    <w:rsid w:val="006D052E"/>
    <w:rsid w:val="006D09FB"/>
    <w:rsid w:val="006D105E"/>
    <w:rsid w:val="006D214E"/>
    <w:rsid w:val="006D2E0A"/>
    <w:rsid w:val="006D32DE"/>
    <w:rsid w:val="006D6080"/>
    <w:rsid w:val="006E09C4"/>
    <w:rsid w:val="006E44FD"/>
    <w:rsid w:val="006F2124"/>
    <w:rsid w:val="006F4B9E"/>
    <w:rsid w:val="006F513A"/>
    <w:rsid w:val="006F7B5E"/>
    <w:rsid w:val="00700FE1"/>
    <w:rsid w:val="00701BE4"/>
    <w:rsid w:val="00702385"/>
    <w:rsid w:val="00702C2D"/>
    <w:rsid w:val="00702E31"/>
    <w:rsid w:val="00702F0F"/>
    <w:rsid w:val="00703B7E"/>
    <w:rsid w:val="0070439D"/>
    <w:rsid w:val="007067FF"/>
    <w:rsid w:val="007124F3"/>
    <w:rsid w:val="00713DE6"/>
    <w:rsid w:val="00715A22"/>
    <w:rsid w:val="0071738F"/>
    <w:rsid w:val="007176D1"/>
    <w:rsid w:val="00724A09"/>
    <w:rsid w:val="00727B62"/>
    <w:rsid w:val="007306B1"/>
    <w:rsid w:val="00731E4F"/>
    <w:rsid w:val="00735FF3"/>
    <w:rsid w:val="0074194F"/>
    <w:rsid w:val="00743E28"/>
    <w:rsid w:val="00751104"/>
    <w:rsid w:val="00762A05"/>
    <w:rsid w:val="007632A2"/>
    <w:rsid w:val="00763D73"/>
    <w:rsid w:val="00766DD0"/>
    <w:rsid w:val="00766EE9"/>
    <w:rsid w:val="00772245"/>
    <w:rsid w:val="00773EE1"/>
    <w:rsid w:val="00774FA8"/>
    <w:rsid w:val="00776071"/>
    <w:rsid w:val="0078160D"/>
    <w:rsid w:val="007821A9"/>
    <w:rsid w:val="007830A4"/>
    <w:rsid w:val="00790790"/>
    <w:rsid w:val="00790886"/>
    <w:rsid w:val="007910F7"/>
    <w:rsid w:val="00793708"/>
    <w:rsid w:val="00794C42"/>
    <w:rsid w:val="007959CF"/>
    <w:rsid w:val="00795D64"/>
    <w:rsid w:val="00796D41"/>
    <w:rsid w:val="00797984"/>
    <w:rsid w:val="007A2764"/>
    <w:rsid w:val="007A4DC3"/>
    <w:rsid w:val="007A5E3C"/>
    <w:rsid w:val="007A6494"/>
    <w:rsid w:val="007A79CF"/>
    <w:rsid w:val="007A7F5B"/>
    <w:rsid w:val="007B2EAD"/>
    <w:rsid w:val="007B56DC"/>
    <w:rsid w:val="007B6BFB"/>
    <w:rsid w:val="007C012D"/>
    <w:rsid w:val="007C07DF"/>
    <w:rsid w:val="007C111E"/>
    <w:rsid w:val="007C1BFC"/>
    <w:rsid w:val="007C3A07"/>
    <w:rsid w:val="007C52D5"/>
    <w:rsid w:val="007D0CFD"/>
    <w:rsid w:val="007D62AD"/>
    <w:rsid w:val="007E2BD9"/>
    <w:rsid w:val="007E2C9B"/>
    <w:rsid w:val="007E4447"/>
    <w:rsid w:val="007E4476"/>
    <w:rsid w:val="007E6F88"/>
    <w:rsid w:val="007E7385"/>
    <w:rsid w:val="007F0068"/>
    <w:rsid w:val="007F0174"/>
    <w:rsid w:val="007F28F1"/>
    <w:rsid w:val="007F37EF"/>
    <w:rsid w:val="007F4874"/>
    <w:rsid w:val="007F54DC"/>
    <w:rsid w:val="007F5E27"/>
    <w:rsid w:val="007F7063"/>
    <w:rsid w:val="007F7244"/>
    <w:rsid w:val="00802E68"/>
    <w:rsid w:val="00804AFF"/>
    <w:rsid w:val="00805B6A"/>
    <w:rsid w:val="00810535"/>
    <w:rsid w:val="00810F69"/>
    <w:rsid w:val="00811FD5"/>
    <w:rsid w:val="008170AA"/>
    <w:rsid w:val="00817638"/>
    <w:rsid w:val="0082379B"/>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2F5"/>
    <w:rsid w:val="00854615"/>
    <w:rsid w:val="008608B9"/>
    <w:rsid w:val="008643F0"/>
    <w:rsid w:val="00864AE7"/>
    <w:rsid w:val="00865789"/>
    <w:rsid w:val="00867765"/>
    <w:rsid w:val="00873B05"/>
    <w:rsid w:val="008746E4"/>
    <w:rsid w:val="008759FF"/>
    <w:rsid w:val="0087725A"/>
    <w:rsid w:val="00877B00"/>
    <w:rsid w:val="00880D77"/>
    <w:rsid w:val="00880F28"/>
    <w:rsid w:val="00881ABB"/>
    <w:rsid w:val="00881C85"/>
    <w:rsid w:val="008825C2"/>
    <w:rsid w:val="0088550F"/>
    <w:rsid w:val="0088573E"/>
    <w:rsid w:val="00886580"/>
    <w:rsid w:val="008902C0"/>
    <w:rsid w:val="00890665"/>
    <w:rsid w:val="00892274"/>
    <w:rsid w:val="0089741F"/>
    <w:rsid w:val="008A0614"/>
    <w:rsid w:val="008A2CB6"/>
    <w:rsid w:val="008A32AE"/>
    <w:rsid w:val="008A495E"/>
    <w:rsid w:val="008A5A3C"/>
    <w:rsid w:val="008A746B"/>
    <w:rsid w:val="008B0787"/>
    <w:rsid w:val="008B155E"/>
    <w:rsid w:val="008B268B"/>
    <w:rsid w:val="008B2BF8"/>
    <w:rsid w:val="008B3250"/>
    <w:rsid w:val="008B49EE"/>
    <w:rsid w:val="008B4A8E"/>
    <w:rsid w:val="008B4B00"/>
    <w:rsid w:val="008B5716"/>
    <w:rsid w:val="008C13FE"/>
    <w:rsid w:val="008C1D1E"/>
    <w:rsid w:val="008C3B4F"/>
    <w:rsid w:val="008C6F45"/>
    <w:rsid w:val="008D63CF"/>
    <w:rsid w:val="008D7B12"/>
    <w:rsid w:val="008E069A"/>
    <w:rsid w:val="008E113D"/>
    <w:rsid w:val="008E1ED5"/>
    <w:rsid w:val="008E2061"/>
    <w:rsid w:val="008E3600"/>
    <w:rsid w:val="008E52FD"/>
    <w:rsid w:val="008E67DF"/>
    <w:rsid w:val="008E715D"/>
    <w:rsid w:val="008E757A"/>
    <w:rsid w:val="008E7CA4"/>
    <w:rsid w:val="008F59EC"/>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68F2"/>
    <w:rsid w:val="00927479"/>
    <w:rsid w:val="00934081"/>
    <w:rsid w:val="009347A7"/>
    <w:rsid w:val="00934C32"/>
    <w:rsid w:val="009353E2"/>
    <w:rsid w:val="00937FF7"/>
    <w:rsid w:val="009449B3"/>
    <w:rsid w:val="0094657D"/>
    <w:rsid w:val="00950644"/>
    <w:rsid w:val="0095240B"/>
    <w:rsid w:val="00952F98"/>
    <w:rsid w:val="00954B6C"/>
    <w:rsid w:val="00956D6B"/>
    <w:rsid w:val="0095771C"/>
    <w:rsid w:val="00961B6E"/>
    <w:rsid w:val="009635A3"/>
    <w:rsid w:val="00964FEB"/>
    <w:rsid w:val="00965CB9"/>
    <w:rsid w:val="0096634E"/>
    <w:rsid w:val="00972ADB"/>
    <w:rsid w:val="009738C7"/>
    <w:rsid w:val="009742DD"/>
    <w:rsid w:val="00974BD5"/>
    <w:rsid w:val="00984450"/>
    <w:rsid w:val="00984896"/>
    <w:rsid w:val="00985193"/>
    <w:rsid w:val="0098731A"/>
    <w:rsid w:val="00987DB8"/>
    <w:rsid w:val="00990404"/>
    <w:rsid w:val="009913C3"/>
    <w:rsid w:val="00991C12"/>
    <w:rsid w:val="009927ED"/>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3290"/>
    <w:rsid w:val="009C5371"/>
    <w:rsid w:val="009C6E01"/>
    <w:rsid w:val="009D0F50"/>
    <w:rsid w:val="009D420F"/>
    <w:rsid w:val="009D4BF6"/>
    <w:rsid w:val="009D6DC4"/>
    <w:rsid w:val="009E34CD"/>
    <w:rsid w:val="009E5668"/>
    <w:rsid w:val="009E67C9"/>
    <w:rsid w:val="009E68BA"/>
    <w:rsid w:val="009E6E7C"/>
    <w:rsid w:val="009E7182"/>
    <w:rsid w:val="009E71FD"/>
    <w:rsid w:val="009E7DC7"/>
    <w:rsid w:val="009F0B76"/>
    <w:rsid w:val="009F5C69"/>
    <w:rsid w:val="009F6E2E"/>
    <w:rsid w:val="009F7DE7"/>
    <w:rsid w:val="00A02A60"/>
    <w:rsid w:val="00A06470"/>
    <w:rsid w:val="00A07776"/>
    <w:rsid w:val="00A14C4C"/>
    <w:rsid w:val="00A155DA"/>
    <w:rsid w:val="00A15D8A"/>
    <w:rsid w:val="00A219A5"/>
    <w:rsid w:val="00A22462"/>
    <w:rsid w:val="00A23A57"/>
    <w:rsid w:val="00A25912"/>
    <w:rsid w:val="00A30476"/>
    <w:rsid w:val="00A32660"/>
    <w:rsid w:val="00A33241"/>
    <w:rsid w:val="00A33640"/>
    <w:rsid w:val="00A343B5"/>
    <w:rsid w:val="00A34511"/>
    <w:rsid w:val="00A3594D"/>
    <w:rsid w:val="00A41F53"/>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6914"/>
    <w:rsid w:val="00A77252"/>
    <w:rsid w:val="00A80D64"/>
    <w:rsid w:val="00A8110E"/>
    <w:rsid w:val="00A81BA3"/>
    <w:rsid w:val="00A84093"/>
    <w:rsid w:val="00A84C91"/>
    <w:rsid w:val="00A85E90"/>
    <w:rsid w:val="00A8657E"/>
    <w:rsid w:val="00A8678B"/>
    <w:rsid w:val="00A87534"/>
    <w:rsid w:val="00A94C26"/>
    <w:rsid w:val="00AA11B0"/>
    <w:rsid w:val="00AA125E"/>
    <w:rsid w:val="00AA4111"/>
    <w:rsid w:val="00AA5CA5"/>
    <w:rsid w:val="00AA7266"/>
    <w:rsid w:val="00AB0010"/>
    <w:rsid w:val="00AB04E0"/>
    <w:rsid w:val="00AB0F9D"/>
    <w:rsid w:val="00AB2605"/>
    <w:rsid w:val="00AB3258"/>
    <w:rsid w:val="00AC41DE"/>
    <w:rsid w:val="00AC41F5"/>
    <w:rsid w:val="00AC422C"/>
    <w:rsid w:val="00AC5D3F"/>
    <w:rsid w:val="00AC7EAE"/>
    <w:rsid w:val="00AD2EC5"/>
    <w:rsid w:val="00AD578B"/>
    <w:rsid w:val="00AD740E"/>
    <w:rsid w:val="00AD7DEC"/>
    <w:rsid w:val="00AE00C4"/>
    <w:rsid w:val="00AE0E95"/>
    <w:rsid w:val="00AE2876"/>
    <w:rsid w:val="00AE669B"/>
    <w:rsid w:val="00AE6F9D"/>
    <w:rsid w:val="00AE7628"/>
    <w:rsid w:val="00AE79EC"/>
    <w:rsid w:val="00AF0399"/>
    <w:rsid w:val="00AF2E89"/>
    <w:rsid w:val="00B01D6A"/>
    <w:rsid w:val="00B02D01"/>
    <w:rsid w:val="00B03C1D"/>
    <w:rsid w:val="00B06C44"/>
    <w:rsid w:val="00B07774"/>
    <w:rsid w:val="00B1054F"/>
    <w:rsid w:val="00B14845"/>
    <w:rsid w:val="00B168F3"/>
    <w:rsid w:val="00B218EF"/>
    <w:rsid w:val="00B22DB0"/>
    <w:rsid w:val="00B30383"/>
    <w:rsid w:val="00B33802"/>
    <w:rsid w:val="00B33F66"/>
    <w:rsid w:val="00B34F51"/>
    <w:rsid w:val="00B36895"/>
    <w:rsid w:val="00B41494"/>
    <w:rsid w:val="00B41C72"/>
    <w:rsid w:val="00B4256D"/>
    <w:rsid w:val="00B44D9F"/>
    <w:rsid w:val="00B46653"/>
    <w:rsid w:val="00B52520"/>
    <w:rsid w:val="00B60329"/>
    <w:rsid w:val="00B611BE"/>
    <w:rsid w:val="00B62338"/>
    <w:rsid w:val="00B64122"/>
    <w:rsid w:val="00B64F73"/>
    <w:rsid w:val="00B67F97"/>
    <w:rsid w:val="00B67FAE"/>
    <w:rsid w:val="00B70CFA"/>
    <w:rsid w:val="00B77E3B"/>
    <w:rsid w:val="00B8126A"/>
    <w:rsid w:val="00B814AC"/>
    <w:rsid w:val="00B82FE3"/>
    <w:rsid w:val="00B8520C"/>
    <w:rsid w:val="00B86B3D"/>
    <w:rsid w:val="00B94F19"/>
    <w:rsid w:val="00B9789D"/>
    <w:rsid w:val="00BA0A7F"/>
    <w:rsid w:val="00BA0B59"/>
    <w:rsid w:val="00BA23F9"/>
    <w:rsid w:val="00BA5D46"/>
    <w:rsid w:val="00BB2FDB"/>
    <w:rsid w:val="00BB3439"/>
    <w:rsid w:val="00BB39A1"/>
    <w:rsid w:val="00BB636F"/>
    <w:rsid w:val="00BB641C"/>
    <w:rsid w:val="00BC0626"/>
    <w:rsid w:val="00BC0BA1"/>
    <w:rsid w:val="00BC2592"/>
    <w:rsid w:val="00BC2A50"/>
    <w:rsid w:val="00BC3EE3"/>
    <w:rsid w:val="00BC4231"/>
    <w:rsid w:val="00BC5669"/>
    <w:rsid w:val="00BC6827"/>
    <w:rsid w:val="00BC747E"/>
    <w:rsid w:val="00BC7A09"/>
    <w:rsid w:val="00BD0299"/>
    <w:rsid w:val="00BD764A"/>
    <w:rsid w:val="00BE2F3E"/>
    <w:rsid w:val="00BE3426"/>
    <w:rsid w:val="00BE3994"/>
    <w:rsid w:val="00BE514F"/>
    <w:rsid w:val="00BE7F85"/>
    <w:rsid w:val="00BF2700"/>
    <w:rsid w:val="00BF2C88"/>
    <w:rsid w:val="00BF4F3D"/>
    <w:rsid w:val="00BF510A"/>
    <w:rsid w:val="00BF5D86"/>
    <w:rsid w:val="00BF6EFC"/>
    <w:rsid w:val="00BF7A51"/>
    <w:rsid w:val="00C0120F"/>
    <w:rsid w:val="00C01A20"/>
    <w:rsid w:val="00C023BE"/>
    <w:rsid w:val="00C0737C"/>
    <w:rsid w:val="00C07BC4"/>
    <w:rsid w:val="00C11C05"/>
    <w:rsid w:val="00C2046D"/>
    <w:rsid w:val="00C20C0E"/>
    <w:rsid w:val="00C21465"/>
    <w:rsid w:val="00C21961"/>
    <w:rsid w:val="00C22A7C"/>
    <w:rsid w:val="00C24207"/>
    <w:rsid w:val="00C25652"/>
    <w:rsid w:val="00C2717C"/>
    <w:rsid w:val="00C30C94"/>
    <w:rsid w:val="00C31F87"/>
    <w:rsid w:val="00C33815"/>
    <w:rsid w:val="00C34635"/>
    <w:rsid w:val="00C35453"/>
    <w:rsid w:val="00C35DC2"/>
    <w:rsid w:val="00C3694A"/>
    <w:rsid w:val="00C36B43"/>
    <w:rsid w:val="00C378CD"/>
    <w:rsid w:val="00C44B78"/>
    <w:rsid w:val="00C46DE6"/>
    <w:rsid w:val="00C47F37"/>
    <w:rsid w:val="00C51E4B"/>
    <w:rsid w:val="00C549EE"/>
    <w:rsid w:val="00C556A1"/>
    <w:rsid w:val="00C55A09"/>
    <w:rsid w:val="00C626BE"/>
    <w:rsid w:val="00C6375F"/>
    <w:rsid w:val="00C657C6"/>
    <w:rsid w:val="00C660ED"/>
    <w:rsid w:val="00C70696"/>
    <w:rsid w:val="00C73355"/>
    <w:rsid w:val="00C7441A"/>
    <w:rsid w:val="00C74B37"/>
    <w:rsid w:val="00C7598C"/>
    <w:rsid w:val="00C770F1"/>
    <w:rsid w:val="00C82D18"/>
    <w:rsid w:val="00C84001"/>
    <w:rsid w:val="00C84A96"/>
    <w:rsid w:val="00C900C2"/>
    <w:rsid w:val="00C939D0"/>
    <w:rsid w:val="00CA61DC"/>
    <w:rsid w:val="00CA6F22"/>
    <w:rsid w:val="00CB166E"/>
    <w:rsid w:val="00CB3C73"/>
    <w:rsid w:val="00CB42F4"/>
    <w:rsid w:val="00CB6606"/>
    <w:rsid w:val="00CB67BB"/>
    <w:rsid w:val="00CB6E41"/>
    <w:rsid w:val="00CC07AC"/>
    <w:rsid w:val="00CC3954"/>
    <w:rsid w:val="00CC4C93"/>
    <w:rsid w:val="00CD089B"/>
    <w:rsid w:val="00CD48BB"/>
    <w:rsid w:val="00CD5A88"/>
    <w:rsid w:val="00CD6CB8"/>
    <w:rsid w:val="00CE04F0"/>
    <w:rsid w:val="00CE23E7"/>
    <w:rsid w:val="00CE618B"/>
    <w:rsid w:val="00CE662A"/>
    <w:rsid w:val="00CE6ECC"/>
    <w:rsid w:val="00CF06D3"/>
    <w:rsid w:val="00CF0B5A"/>
    <w:rsid w:val="00CF4497"/>
    <w:rsid w:val="00CF4CBA"/>
    <w:rsid w:val="00CF54E8"/>
    <w:rsid w:val="00CF6B9D"/>
    <w:rsid w:val="00CF6F33"/>
    <w:rsid w:val="00D0021B"/>
    <w:rsid w:val="00D00EE6"/>
    <w:rsid w:val="00D02632"/>
    <w:rsid w:val="00D02EA3"/>
    <w:rsid w:val="00D03A58"/>
    <w:rsid w:val="00D04DEE"/>
    <w:rsid w:val="00D06ACA"/>
    <w:rsid w:val="00D10526"/>
    <w:rsid w:val="00D20A28"/>
    <w:rsid w:val="00D21BD5"/>
    <w:rsid w:val="00D2272F"/>
    <w:rsid w:val="00D27DB3"/>
    <w:rsid w:val="00D307A1"/>
    <w:rsid w:val="00D308A4"/>
    <w:rsid w:val="00D337AB"/>
    <w:rsid w:val="00D338CE"/>
    <w:rsid w:val="00D35DCF"/>
    <w:rsid w:val="00D36A4B"/>
    <w:rsid w:val="00D36AB7"/>
    <w:rsid w:val="00D3780D"/>
    <w:rsid w:val="00D42326"/>
    <w:rsid w:val="00D443A7"/>
    <w:rsid w:val="00D47871"/>
    <w:rsid w:val="00D47DEB"/>
    <w:rsid w:val="00D50120"/>
    <w:rsid w:val="00D50D15"/>
    <w:rsid w:val="00D518B6"/>
    <w:rsid w:val="00D53985"/>
    <w:rsid w:val="00D53F55"/>
    <w:rsid w:val="00D54D92"/>
    <w:rsid w:val="00D577DD"/>
    <w:rsid w:val="00D60EAB"/>
    <w:rsid w:val="00D61607"/>
    <w:rsid w:val="00D618E6"/>
    <w:rsid w:val="00D62E49"/>
    <w:rsid w:val="00D67707"/>
    <w:rsid w:val="00D73DBA"/>
    <w:rsid w:val="00D7537C"/>
    <w:rsid w:val="00D75475"/>
    <w:rsid w:val="00D7582F"/>
    <w:rsid w:val="00D76F66"/>
    <w:rsid w:val="00D77E7F"/>
    <w:rsid w:val="00D81003"/>
    <w:rsid w:val="00D8102A"/>
    <w:rsid w:val="00D8136E"/>
    <w:rsid w:val="00D817B4"/>
    <w:rsid w:val="00D81985"/>
    <w:rsid w:val="00D85324"/>
    <w:rsid w:val="00D85E68"/>
    <w:rsid w:val="00D85E71"/>
    <w:rsid w:val="00D9362A"/>
    <w:rsid w:val="00D93C7D"/>
    <w:rsid w:val="00D947F5"/>
    <w:rsid w:val="00D95D8C"/>
    <w:rsid w:val="00DA190C"/>
    <w:rsid w:val="00DA1EB3"/>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0BD2"/>
    <w:rsid w:val="00DE1703"/>
    <w:rsid w:val="00DE2548"/>
    <w:rsid w:val="00DE3E23"/>
    <w:rsid w:val="00DE56F3"/>
    <w:rsid w:val="00DE5A11"/>
    <w:rsid w:val="00DE72D9"/>
    <w:rsid w:val="00DF27B0"/>
    <w:rsid w:val="00E00485"/>
    <w:rsid w:val="00E02F6B"/>
    <w:rsid w:val="00E0533B"/>
    <w:rsid w:val="00E067E8"/>
    <w:rsid w:val="00E10E90"/>
    <w:rsid w:val="00E166BE"/>
    <w:rsid w:val="00E174CB"/>
    <w:rsid w:val="00E17682"/>
    <w:rsid w:val="00E221D1"/>
    <w:rsid w:val="00E23EAB"/>
    <w:rsid w:val="00E24918"/>
    <w:rsid w:val="00E2571F"/>
    <w:rsid w:val="00E26914"/>
    <w:rsid w:val="00E30785"/>
    <w:rsid w:val="00E33958"/>
    <w:rsid w:val="00E33B13"/>
    <w:rsid w:val="00E36926"/>
    <w:rsid w:val="00E41398"/>
    <w:rsid w:val="00E444D8"/>
    <w:rsid w:val="00E44952"/>
    <w:rsid w:val="00E47AC8"/>
    <w:rsid w:val="00E50CC3"/>
    <w:rsid w:val="00E52E54"/>
    <w:rsid w:val="00E534E3"/>
    <w:rsid w:val="00E54D9E"/>
    <w:rsid w:val="00E550FB"/>
    <w:rsid w:val="00E551D6"/>
    <w:rsid w:val="00E555AE"/>
    <w:rsid w:val="00E55AE2"/>
    <w:rsid w:val="00E62228"/>
    <w:rsid w:val="00E62C91"/>
    <w:rsid w:val="00E711EE"/>
    <w:rsid w:val="00E7278A"/>
    <w:rsid w:val="00E729F3"/>
    <w:rsid w:val="00E73031"/>
    <w:rsid w:val="00E73881"/>
    <w:rsid w:val="00E7461E"/>
    <w:rsid w:val="00E757C2"/>
    <w:rsid w:val="00E7636F"/>
    <w:rsid w:val="00E76C78"/>
    <w:rsid w:val="00E77065"/>
    <w:rsid w:val="00E81682"/>
    <w:rsid w:val="00E825D9"/>
    <w:rsid w:val="00E8290F"/>
    <w:rsid w:val="00E85565"/>
    <w:rsid w:val="00E86D42"/>
    <w:rsid w:val="00E86E38"/>
    <w:rsid w:val="00E91D74"/>
    <w:rsid w:val="00E92DF3"/>
    <w:rsid w:val="00E94E74"/>
    <w:rsid w:val="00E960C6"/>
    <w:rsid w:val="00EA0691"/>
    <w:rsid w:val="00EA0AD7"/>
    <w:rsid w:val="00EA185B"/>
    <w:rsid w:val="00EA1D1A"/>
    <w:rsid w:val="00EA4EE0"/>
    <w:rsid w:val="00EB26BF"/>
    <w:rsid w:val="00EB57B8"/>
    <w:rsid w:val="00EC16A9"/>
    <w:rsid w:val="00EC19C6"/>
    <w:rsid w:val="00EC2F20"/>
    <w:rsid w:val="00EC302D"/>
    <w:rsid w:val="00EC3209"/>
    <w:rsid w:val="00EC6795"/>
    <w:rsid w:val="00EC7069"/>
    <w:rsid w:val="00EC7C43"/>
    <w:rsid w:val="00ED1C94"/>
    <w:rsid w:val="00ED4A4E"/>
    <w:rsid w:val="00ED4CD8"/>
    <w:rsid w:val="00ED6316"/>
    <w:rsid w:val="00ED65F6"/>
    <w:rsid w:val="00EE0AAF"/>
    <w:rsid w:val="00EE3400"/>
    <w:rsid w:val="00EE40D7"/>
    <w:rsid w:val="00EE44B8"/>
    <w:rsid w:val="00EE4727"/>
    <w:rsid w:val="00EE4E5A"/>
    <w:rsid w:val="00EE6F63"/>
    <w:rsid w:val="00EF33B8"/>
    <w:rsid w:val="00EF4DBB"/>
    <w:rsid w:val="00EF4F76"/>
    <w:rsid w:val="00EF73B2"/>
    <w:rsid w:val="00F00EFC"/>
    <w:rsid w:val="00F00FFD"/>
    <w:rsid w:val="00F036B6"/>
    <w:rsid w:val="00F04291"/>
    <w:rsid w:val="00F06080"/>
    <w:rsid w:val="00F06AE8"/>
    <w:rsid w:val="00F15CCB"/>
    <w:rsid w:val="00F233DD"/>
    <w:rsid w:val="00F24697"/>
    <w:rsid w:val="00F24D78"/>
    <w:rsid w:val="00F2595B"/>
    <w:rsid w:val="00F32A41"/>
    <w:rsid w:val="00F40B53"/>
    <w:rsid w:val="00F42465"/>
    <w:rsid w:val="00F46FDF"/>
    <w:rsid w:val="00F478AB"/>
    <w:rsid w:val="00F5155D"/>
    <w:rsid w:val="00F520C5"/>
    <w:rsid w:val="00F536D5"/>
    <w:rsid w:val="00F5374B"/>
    <w:rsid w:val="00F538A4"/>
    <w:rsid w:val="00F53C9B"/>
    <w:rsid w:val="00F57580"/>
    <w:rsid w:val="00F6556A"/>
    <w:rsid w:val="00F71EE0"/>
    <w:rsid w:val="00F736B0"/>
    <w:rsid w:val="00F75091"/>
    <w:rsid w:val="00F75DC0"/>
    <w:rsid w:val="00F773AD"/>
    <w:rsid w:val="00F81DC1"/>
    <w:rsid w:val="00F83577"/>
    <w:rsid w:val="00F83AA6"/>
    <w:rsid w:val="00F941D3"/>
    <w:rsid w:val="00F943A5"/>
    <w:rsid w:val="00FA0293"/>
    <w:rsid w:val="00FA12A5"/>
    <w:rsid w:val="00FA18F5"/>
    <w:rsid w:val="00FA3DBD"/>
    <w:rsid w:val="00FA6D5A"/>
    <w:rsid w:val="00FB01A9"/>
    <w:rsid w:val="00FB142E"/>
    <w:rsid w:val="00FB1904"/>
    <w:rsid w:val="00FB1B9A"/>
    <w:rsid w:val="00FB288C"/>
    <w:rsid w:val="00FB6225"/>
    <w:rsid w:val="00FB7B41"/>
    <w:rsid w:val="00FC1384"/>
    <w:rsid w:val="00FC1609"/>
    <w:rsid w:val="00FC2C65"/>
    <w:rsid w:val="00FC5638"/>
    <w:rsid w:val="00FC7B25"/>
    <w:rsid w:val="00FD0103"/>
    <w:rsid w:val="00FD2D53"/>
    <w:rsid w:val="00FD2F7D"/>
    <w:rsid w:val="00FD5A8C"/>
    <w:rsid w:val="00FD6288"/>
    <w:rsid w:val="00FD6734"/>
    <w:rsid w:val="00FD75C0"/>
    <w:rsid w:val="00FE1E91"/>
    <w:rsid w:val="00FE2B36"/>
    <w:rsid w:val="00FE402D"/>
    <w:rsid w:val="00FE4698"/>
    <w:rsid w:val="00FE51A3"/>
    <w:rsid w:val="00FE78A7"/>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en-ZA"/>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lang w:val="de-AT"/>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en-GB"/>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unhideWhenUsed/>
    <w:rsid w:val="00D0021B"/>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en-GB"/>
    </w:rPr>
  </w:style>
  <w:style w:type="character" w:customStyle="1" w:styleId="Mencinsinresolver1">
    <w:name w:val="Mención sin resolver1"/>
    <w:basedOn w:val="DefaultParagraphFont"/>
    <w:uiPriority w:val="99"/>
    <w:semiHidden/>
    <w:unhideWhenUsed/>
    <w:rsid w:val="00D443A7"/>
    <w:rPr>
      <w:color w:val="605E5C"/>
      <w:shd w:val="clear" w:color="auto" w:fill="E1DFDD"/>
    </w:rPr>
  </w:style>
  <w:style w:type="character" w:customStyle="1" w:styleId="UnresolvedMention">
    <w:name w:val="Unresolved Mention"/>
    <w:basedOn w:val="DefaultParagraphFont"/>
    <w:uiPriority w:val="99"/>
    <w:semiHidden/>
    <w:unhideWhenUsed/>
    <w:rsid w:val="0041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23238980">
      <w:bodyDiv w:val="1"/>
      <w:marLeft w:val="0"/>
      <w:marRight w:val="0"/>
      <w:marTop w:val="0"/>
      <w:marBottom w:val="0"/>
      <w:divBdr>
        <w:top w:val="none" w:sz="0" w:space="0" w:color="auto"/>
        <w:left w:val="none" w:sz="0" w:space="0" w:color="auto"/>
        <w:bottom w:val="none" w:sz="0" w:space="0" w:color="auto"/>
        <w:right w:val="none" w:sz="0" w:space="0" w:color="auto"/>
      </w:divBdr>
      <w:divsChild>
        <w:div w:id="1715740074">
          <w:marLeft w:val="0"/>
          <w:marRight w:val="0"/>
          <w:marTop w:val="0"/>
          <w:marBottom w:val="0"/>
          <w:divBdr>
            <w:top w:val="none" w:sz="0" w:space="0" w:color="auto"/>
            <w:left w:val="none" w:sz="0" w:space="0" w:color="auto"/>
            <w:bottom w:val="none" w:sz="0" w:space="0" w:color="auto"/>
            <w:right w:val="none" w:sz="0" w:space="0" w:color="auto"/>
          </w:divBdr>
          <w:divsChild>
            <w:div w:id="216010319">
              <w:marLeft w:val="0"/>
              <w:marRight w:val="0"/>
              <w:marTop w:val="0"/>
              <w:marBottom w:val="0"/>
              <w:divBdr>
                <w:top w:val="none" w:sz="0" w:space="0" w:color="auto"/>
                <w:left w:val="none" w:sz="0" w:space="0" w:color="auto"/>
                <w:bottom w:val="none" w:sz="0" w:space="0" w:color="auto"/>
                <w:right w:val="none" w:sz="0" w:space="0" w:color="auto"/>
              </w:divBdr>
              <w:divsChild>
                <w:div w:id="1207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350842197">
      <w:bodyDiv w:val="1"/>
      <w:marLeft w:val="0"/>
      <w:marRight w:val="0"/>
      <w:marTop w:val="0"/>
      <w:marBottom w:val="0"/>
      <w:divBdr>
        <w:top w:val="none" w:sz="0" w:space="0" w:color="auto"/>
        <w:left w:val="none" w:sz="0" w:space="0" w:color="auto"/>
        <w:bottom w:val="none" w:sz="0" w:space="0" w:color="auto"/>
        <w:right w:val="none" w:sz="0" w:space="0" w:color="auto"/>
      </w:divBdr>
      <w:divsChild>
        <w:div w:id="2020965859">
          <w:marLeft w:val="0"/>
          <w:marRight w:val="0"/>
          <w:marTop w:val="0"/>
          <w:marBottom w:val="0"/>
          <w:divBdr>
            <w:top w:val="none" w:sz="0" w:space="0" w:color="auto"/>
            <w:left w:val="none" w:sz="0" w:space="0" w:color="auto"/>
            <w:bottom w:val="none" w:sz="0" w:space="0" w:color="auto"/>
            <w:right w:val="none" w:sz="0" w:space="0" w:color="auto"/>
          </w:divBdr>
          <w:divsChild>
            <w:div w:id="2131782770">
              <w:marLeft w:val="0"/>
              <w:marRight w:val="0"/>
              <w:marTop w:val="0"/>
              <w:marBottom w:val="0"/>
              <w:divBdr>
                <w:top w:val="none" w:sz="0" w:space="0" w:color="auto"/>
                <w:left w:val="none" w:sz="0" w:space="0" w:color="auto"/>
                <w:bottom w:val="none" w:sz="0" w:space="0" w:color="auto"/>
                <w:right w:val="none" w:sz="0" w:space="0" w:color="auto"/>
              </w:divBdr>
              <w:divsChild>
                <w:div w:id="460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4763">
      <w:bodyDiv w:val="1"/>
      <w:marLeft w:val="0"/>
      <w:marRight w:val="0"/>
      <w:marTop w:val="0"/>
      <w:marBottom w:val="0"/>
      <w:divBdr>
        <w:top w:val="none" w:sz="0" w:space="0" w:color="auto"/>
        <w:left w:val="none" w:sz="0" w:space="0" w:color="auto"/>
        <w:bottom w:val="none" w:sz="0" w:space="0" w:color="auto"/>
        <w:right w:val="none" w:sz="0" w:space="0" w:color="auto"/>
      </w:divBdr>
      <w:divsChild>
        <w:div w:id="107047204">
          <w:marLeft w:val="0"/>
          <w:marRight w:val="0"/>
          <w:marTop w:val="0"/>
          <w:marBottom w:val="0"/>
          <w:divBdr>
            <w:top w:val="none" w:sz="0" w:space="0" w:color="auto"/>
            <w:left w:val="none" w:sz="0" w:space="0" w:color="auto"/>
            <w:bottom w:val="none" w:sz="0" w:space="0" w:color="auto"/>
            <w:right w:val="none" w:sz="0" w:space="0" w:color="auto"/>
          </w:divBdr>
          <w:divsChild>
            <w:div w:id="1511874266">
              <w:marLeft w:val="0"/>
              <w:marRight w:val="0"/>
              <w:marTop w:val="0"/>
              <w:marBottom w:val="0"/>
              <w:divBdr>
                <w:top w:val="none" w:sz="0" w:space="0" w:color="auto"/>
                <w:left w:val="none" w:sz="0" w:space="0" w:color="auto"/>
                <w:bottom w:val="none" w:sz="0" w:space="0" w:color="auto"/>
                <w:right w:val="none" w:sz="0" w:space="0" w:color="auto"/>
              </w:divBdr>
              <w:divsChild>
                <w:div w:id="13788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482035462">
      <w:bodyDiv w:val="1"/>
      <w:marLeft w:val="0"/>
      <w:marRight w:val="0"/>
      <w:marTop w:val="0"/>
      <w:marBottom w:val="0"/>
      <w:divBdr>
        <w:top w:val="none" w:sz="0" w:space="0" w:color="auto"/>
        <w:left w:val="none" w:sz="0" w:space="0" w:color="auto"/>
        <w:bottom w:val="none" w:sz="0" w:space="0" w:color="auto"/>
        <w:right w:val="none" w:sz="0" w:space="0" w:color="auto"/>
      </w:divBdr>
      <w:divsChild>
        <w:div w:id="920526002">
          <w:marLeft w:val="0"/>
          <w:marRight w:val="0"/>
          <w:marTop w:val="0"/>
          <w:marBottom w:val="0"/>
          <w:divBdr>
            <w:top w:val="none" w:sz="0" w:space="0" w:color="auto"/>
            <w:left w:val="none" w:sz="0" w:space="0" w:color="auto"/>
            <w:bottom w:val="none" w:sz="0" w:space="0" w:color="auto"/>
            <w:right w:val="none" w:sz="0" w:space="0" w:color="auto"/>
          </w:divBdr>
          <w:divsChild>
            <w:div w:id="465855606">
              <w:marLeft w:val="0"/>
              <w:marRight w:val="0"/>
              <w:marTop w:val="0"/>
              <w:marBottom w:val="0"/>
              <w:divBdr>
                <w:top w:val="none" w:sz="0" w:space="0" w:color="auto"/>
                <w:left w:val="none" w:sz="0" w:space="0" w:color="auto"/>
                <w:bottom w:val="none" w:sz="0" w:space="0" w:color="auto"/>
                <w:right w:val="none" w:sz="0" w:space="0" w:color="auto"/>
              </w:divBdr>
              <w:divsChild>
                <w:div w:id="5613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 w:id="2141727798">
      <w:bodyDiv w:val="1"/>
      <w:marLeft w:val="0"/>
      <w:marRight w:val="0"/>
      <w:marTop w:val="0"/>
      <w:marBottom w:val="0"/>
      <w:divBdr>
        <w:top w:val="none" w:sz="0" w:space="0" w:color="auto"/>
        <w:left w:val="none" w:sz="0" w:space="0" w:color="auto"/>
        <w:bottom w:val="none" w:sz="0" w:space="0" w:color="auto"/>
        <w:right w:val="none" w:sz="0" w:space="0" w:color="auto"/>
      </w:divBdr>
      <w:divsChild>
        <w:div w:id="1271626193">
          <w:marLeft w:val="0"/>
          <w:marRight w:val="0"/>
          <w:marTop w:val="0"/>
          <w:marBottom w:val="0"/>
          <w:divBdr>
            <w:top w:val="none" w:sz="0" w:space="0" w:color="auto"/>
            <w:left w:val="none" w:sz="0" w:space="0" w:color="auto"/>
            <w:bottom w:val="none" w:sz="0" w:space="0" w:color="auto"/>
            <w:right w:val="none" w:sz="0" w:space="0" w:color="auto"/>
          </w:divBdr>
          <w:divsChild>
            <w:div w:id="389505336">
              <w:marLeft w:val="0"/>
              <w:marRight w:val="0"/>
              <w:marTop w:val="0"/>
              <w:marBottom w:val="0"/>
              <w:divBdr>
                <w:top w:val="none" w:sz="0" w:space="0" w:color="auto"/>
                <w:left w:val="none" w:sz="0" w:space="0" w:color="auto"/>
                <w:bottom w:val="none" w:sz="0" w:space="0" w:color="auto"/>
                <w:right w:val="none" w:sz="0" w:space="0" w:color="auto"/>
              </w:divBdr>
              <w:divsChild>
                <w:div w:id="1659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goal14" TargetMode="External"/><Relationship Id="rId13" Type="http://schemas.openxmlformats.org/officeDocument/2006/relationships/hyperlink" Target="https://www.ramsar.org/es/documento/directrices-para-la-transversalizacion-de-genero-en-la-convencion-de-ramsar-sobre-l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wetlands_sdgs_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sdgs/metadata?Text=&amp;Goal=15&amp;Target=1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stats.un.org/sdgs/metadata/?Text=&amp;Goal=&amp;Target=14.2" TargetMode="External"/><Relationship Id="rId4" Type="http://schemas.openxmlformats.org/officeDocument/2006/relationships/settings" Target="settings.xml"/><Relationship Id="rId9" Type="http://schemas.openxmlformats.org/officeDocument/2006/relationships/hyperlink" Target="https://sdgs.un.org/goals/goal15"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B611-8AEC-4FDB-8DA8-3CD8CF80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7159</Words>
  <Characters>40808</Characters>
  <Application>Microsoft Office Word</Application>
  <DocSecurity>0</DocSecurity>
  <Lines>340</Lines>
  <Paragraphs>95</Paragraphs>
  <ScaleCrop>false</ScaleCrop>
  <HeadingPairs>
    <vt:vector size="10" baseType="variant">
      <vt:variant>
        <vt:lpstr>Title</vt:lpstr>
      </vt:variant>
      <vt:variant>
        <vt:i4>1</vt:i4>
      </vt:variant>
      <vt:variant>
        <vt:lpstr>Título</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5" baseType="lpstr">
      <vt:lpstr/>
      <vt:lpstr/>
      <vt:lpstr/>
      <vt:lpstr/>
      <vt:lpstr/>
    </vt:vector>
  </TitlesOfParts>
  <Manager/>
  <Company/>
  <LinksUpToDate>false</LinksUpToDate>
  <CharactersWithSpaces>47872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4</cp:revision>
  <cp:lastPrinted>2021-12-24T00:51:00Z</cp:lastPrinted>
  <dcterms:created xsi:type="dcterms:W3CDTF">2022-04-01T07:53:00Z</dcterms:created>
  <dcterms:modified xsi:type="dcterms:W3CDTF">2022-04-01T08:01:00Z</dcterms:modified>
  <cp:category/>
</cp:coreProperties>
</file>