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047" w14:textId="77777777" w:rsidR="00CF4CBA" w:rsidRPr="0077568B" w:rsidRDefault="00CF4CBA"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noProof/>
          <w:lang w:val="es-ES"/>
        </w:rPr>
      </w:pPr>
      <w:r w:rsidRPr="0077568B">
        <w:rPr>
          <w:rFonts w:cstheme="minorHAnsi"/>
          <w:bCs/>
          <w:noProof/>
          <w:lang w:val="es-ES"/>
        </w:rPr>
        <w:t>LA CONVENCIÓN SOBRE LOS HUMEDALES</w:t>
      </w:r>
    </w:p>
    <w:p w14:paraId="5667A11C" w14:textId="0F26A055" w:rsidR="00CF4CBA" w:rsidRPr="0077568B" w:rsidRDefault="00CF4CBA"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noProof/>
          <w:lang w:val="es-ES"/>
        </w:rPr>
      </w:pPr>
      <w:r w:rsidRPr="0077568B">
        <w:rPr>
          <w:bCs/>
          <w:noProof/>
          <w:lang w:val="es-ES"/>
        </w:rPr>
        <w:t>59ª Reunión del Comité Permanente</w:t>
      </w:r>
    </w:p>
    <w:p w14:paraId="2C344E90" w14:textId="1A532380" w:rsidR="009B5651" w:rsidRPr="0077568B" w:rsidRDefault="00CF4CBA"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noProof/>
          <w:lang w:val="es-ES"/>
        </w:rPr>
      </w:pPr>
      <w:r w:rsidRPr="0077568B">
        <w:rPr>
          <w:rFonts w:cstheme="minorHAnsi"/>
          <w:bCs/>
          <w:noProof/>
          <w:lang w:val="es-ES"/>
        </w:rPr>
        <w:t>Reanudación de la reunión</w:t>
      </w:r>
    </w:p>
    <w:p w14:paraId="0EDA42E1" w14:textId="2B858922" w:rsidR="00922E89" w:rsidRPr="0077568B" w:rsidRDefault="009B5651"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noProof/>
          <w:sz w:val="28"/>
          <w:lang w:val="es-ES"/>
        </w:rPr>
      </w:pPr>
      <w:r w:rsidRPr="0077568B">
        <w:rPr>
          <w:rFonts w:cstheme="minorHAnsi"/>
          <w:bCs/>
          <w:noProof/>
          <w:lang w:val="es-ES"/>
        </w:rPr>
        <w:t xml:space="preserve">Gland, </w:t>
      </w:r>
      <w:r w:rsidR="00CF4CBA" w:rsidRPr="0077568B">
        <w:rPr>
          <w:rFonts w:cstheme="minorHAnsi"/>
          <w:bCs/>
          <w:noProof/>
          <w:lang w:val="es-ES"/>
        </w:rPr>
        <w:t>Suiza</w:t>
      </w:r>
      <w:r w:rsidRPr="0077568B">
        <w:rPr>
          <w:rFonts w:cstheme="minorHAnsi"/>
          <w:bCs/>
          <w:noProof/>
          <w:lang w:val="es-ES"/>
        </w:rPr>
        <w:t xml:space="preserve">, </w:t>
      </w:r>
      <w:r w:rsidR="00CF4CBA" w:rsidRPr="0077568B">
        <w:rPr>
          <w:bCs/>
          <w:noProof/>
          <w:lang w:val="es-ES"/>
        </w:rPr>
        <w:t>23 a 27 de mayo de 2022</w:t>
      </w:r>
    </w:p>
    <w:p w14:paraId="725FAA21" w14:textId="77777777" w:rsidR="00276648" w:rsidRPr="0077568B" w:rsidRDefault="00276648" w:rsidP="00DA1EB3">
      <w:pPr>
        <w:jc w:val="right"/>
        <w:rPr>
          <w:rFonts w:cstheme="minorHAnsi"/>
          <w:b/>
          <w:noProof/>
          <w:sz w:val="28"/>
          <w:szCs w:val="28"/>
          <w:lang w:val="es-ES"/>
        </w:rPr>
      </w:pPr>
    </w:p>
    <w:p w14:paraId="6644619E" w14:textId="11FEADD6" w:rsidR="00922E89" w:rsidRPr="0077568B" w:rsidRDefault="00922E89" w:rsidP="00DA1EB3">
      <w:pPr>
        <w:jc w:val="right"/>
        <w:rPr>
          <w:rFonts w:cstheme="minorHAnsi"/>
          <w:b/>
          <w:noProof/>
          <w:sz w:val="28"/>
          <w:szCs w:val="28"/>
          <w:lang w:val="es-ES"/>
        </w:rPr>
      </w:pPr>
      <w:r w:rsidRPr="0077568B">
        <w:rPr>
          <w:rFonts w:cstheme="minorHAnsi"/>
          <w:b/>
          <w:noProof/>
          <w:sz w:val="28"/>
          <w:szCs w:val="28"/>
          <w:lang w:val="es-ES"/>
        </w:rPr>
        <w:t>SC</w:t>
      </w:r>
      <w:r w:rsidR="00DD24B8" w:rsidRPr="0077568B">
        <w:rPr>
          <w:rFonts w:cstheme="minorHAnsi"/>
          <w:b/>
          <w:noProof/>
          <w:sz w:val="28"/>
          <w:szCs w:val="28"/>
          <w:lang w:val="es-ES"/>
        </w:rPr>
        <w:t>59</w:t>
      </w:r>
      <w:r w:rsidR="009B5651" w:rsidRPr="0077568B">
        <w:rPr>
          <w:rFonts w:cstheme="minorHAnsi"/>
          <w:b/>
          <w:noProof/>
          <w:sz w:val="28"/>
          <w:szCs w:val="28"/>
          <w:lang w:val="es-ES"/>
        </w:rPr>
        <w:t>/2022 Doc.10</w:t>
      </w:r>
      <w:r w:rsidR="002C06AC" w:rsidRPr="0077568B">
        <w:rPr>
          <w:rFonts w:cstheme="minorHAnsi"/>
          <w:b/>
          <w:noProof/>
          <w:sz w:val="28"/>
          <w:szCs w:val="28"/>
          <w:lang w:val="es-ES"/>
        </w:rPr>
        <w:t xml:space="preserve"> Rev.</w:t>
      </w:r>
      <w:r w:rsidR="00276648" w:rsidRPr="0077568B">
        <w:rPr>
          <w:rFonts w:cstheme="minorHAnsi"/>
          <w:b/>
          <w:noProof/>
          <w:sz w:val="28"/>
          <w:szCs w:val="28"/>
          <w:lang w:val="es-ES"/>
        </w:rPr>
        <w:t>2</w:t>
      </w:r>
    </w:p>
    <w:p w14:paraId="412CCB53" w14:textId="77777777" w:rsidR="009B5651" w:rsidRPr="0077568B" w:rsidRDefault="009B5651" w:rsidP="00DA1EB3">
      <w:pPr>
        <w:ind w:right="16"/>
        <w:jc w:val="center"/>
        <w:rPr>
          <w:rFonts w:cstheme="minorHAnsi"/>
          <w:b/>
          <w:noProof/>
          <w:sz w:val="28"/>
          <w:szCs w:val="28"/>
          <w:lang w:val="es-ES" w:eastAsia="ko-KR"/>
        </w:rPr>
      </w:pPr>
    </w:p>
    <w:p w14:paraId="3C8A7E4A" w14:textId="265455BB" w:rsidR="00E00485" w:rsidRPr="0077568B" w:rsidRDefault="00E00485" w:rsidP="00DA1EB3">
      <w:pPr>
        <w:rPr>
          <w:rFonts w:cstheme="minorHAnsi"/>
          <w:b/>
          <w:bCs/>
          <w:noProof/>
          <w:lang w:val="es-ES" w:eastAsia="el-GR"/>
        </w:rPr>
      </w:pPr>
    </w:p>
    <w:p w14:paraId="11614E08" w14:textId="728A48FE" w:rsidR="009175B8" w:rsidRPr="0077568B" w:rsidRDefault="00306FEA" w:rsidP="00DA1EB3">
      <w:pPr>
        <w:pStyle w:val="DRTitle"/>
        <w:widowControl/>
        <w:spacing w:after="0"/>
        <w:jc w:val="left"/>
        <w:rPr>
          <w:rFonts w:asciiTheme="minorHAnsi" w:hAnsiTheme="minorHAnsi" w:cstheme="minorHAnsi"/>
          <w:noProof/>
          <w:sz w:val="22"/>
          <w:szCs w:val="22"/>
          <w:lang w:val="es-ES"/>
        </w:rPr>
      </w:pPr>
      <w:r w:rsidRPr="0077568B">
        <w:rPr>
          <w:rFonts w:asciiTheme="minorHAnsi" w:hAnsiTheme="minorHAnsi" w:cstheme="minorHAnsi"/>
          <w:noProof/>
          <w:sz w:val="22"/>
          <w:szCs w:val="22"/>
          <w:lang w:val="es-ES"/>
        </w:rPr>
        <w:t>Proyecto de resolución</w:t>
      </w:r>
    </w:p>
    <w:p w14:paraId="3E1F2A51" w14:textId="46840A18" w:rsidR="007A1118" w:rsidRPr="0077568B" w:rsidRDefault="007A1118" w:rsidP="00DA1EB3">
      <w:pPr>
        <w:pStyle w:val="DRTitle"/>
        <w:widowControl/>
        <w:spacing w:after="0"/>
        <w:jc w:val="left"/>
        <w:rPr>
          <w:rFonts w:asciiTheme="minorHAnsi" w:hAnsiTheme="minorHAnsi" w:cstheme="minorHAnsi"/>
          <w:noProof/>
          <w:sz w:val="22"/>
          <w:szCs w:val="22"/>
          <w:u w:val="single"/>
          <w:lang w:val="es-ES"/>
        </w:rPr>
      </w:pPr>
      <w:r w:rsidRPr="0077568B">
        <w:rPr>
          <w:rFonts w:asciiTheme="minorHAnsi" w:hAnsiTheme="minorHAnsi" w:cstheme="minorHAnsi"/>
          <w:noProof/>
          <w:sz w:val="22"/>
          <w:szCs w:val="22"/>
          <w:u w:val="single"/>
          <w:lang w:val="es-ES"/>
        </w:rPr>
        <w:t>Examen del Cuarto Plan Estratégico de la Convención sobre los Humedales, adiciones para el período comprendido entre la COP14 y la COP15 y elementos esenciales para el Quinto Plan Estratégico</w:t>
      </w:r>
    </w:p>
    <w:p w14:paraId="213E2D9A" w14:textId="77777777" w:rsidR="00AB04E0" w:rsidRPr="0077568B" w:rsidRDefault="00AB04E0" w:rsidP="00DA1EB3">
      <w:pPr>
        <w:pStyle w:val="DRTitle"/>
        <w:widowControl/>
        <w:spacing w:after="0"/>
        <w:jc w:val="left"/>
        <w:rPr>
          <w:rFonts w:asciiTheme="minorHAnsi" w:hAnsiTheme="minorHAnsi" w:cstheme="minorHAnsi"/>
          <w:noProof/>
          <w:sz w:val="22"/>
          <w:szCs w:val="22"/>
          <w:lang w:val="es-ES"/>
        </w:rPr>
      </w:pPr>
    </w:p>
    <w:p w14:paraId="615799CA" w14:textId="2A391886" w:rsidR="00C35DC2" w:rsidRPr="0077568B" w:rsidRDefault="003B5419" w:rsidP="00DA1EB3">
      <w:pPr>
        <w:ind w:left="426" w:hanging="426"/>
        <w:rPr>
          <w:rFonts w:eastAsia="Calibri" w:cstheme="minorHAnsi"/>
          <w:noProof/>
          <w:lang w:val="es-ES"/>
        </w:rPr>
      </w:pPr>
      <w:r w:rsidRPr="0077568B">
        <w:rPr>
          <w:rFonts w:eastAsia="Calibri" w:cstheme="minorHAnsi"/>
          <w:noProof/>
          <w:lang w:val="es-ES"/>
        </w:rPr>
        <w:t>1.</w:t>
      </w:r>
      <w:r w:rsidRPr="0077568B">
        <w:rPr>
          <w:rFonts w:eastAsia="Calibri" w:cstheme="minorHAnsi"/>
          <w:noProof/>
          <w:lang w:val="es-ES"/>
        </w:rPr>
        <w:tab/>
      </w:r>
      <w:r w:rsidR="00C35DC2" w:rsidRPr="0077568B">
        <w:rPr>
          <w:rFonts w:eastAsia="Calibri" w:cstheme="minorHAnsi"/>
          <w:noProof/>
          <w:lang w:val="es-ES"/>
        </w:rPr>
        <w:t xml:space="preserve">RECORDANDO la </w:t>
      </w:r>
      <w:r w:rsidR="00636B0E" w:rsidRPr="0077568B">
        <w:rPr>
          <w:rFonts w:eastAsia="Calibri" w:cstheme="minorHAnsi"/>
          <w:noProof/>
          <w:lang w:val="es-ES"/>
        </w:rPr>
        <w:t>aprobación</w:t>
      </w:r>
      <w:r w:rsidR="00C35DC2" w:rsidRPr="0077568B">
        <w:rPr>
          <w:rFonts w:eastAsia="Calibri" w:cstheme="minorHAnsi"/>
          <w:noProof/>
          <w:lang w:val="es-ES"/>
        </w:rPr>
        <w:t xml:space="preserve"> del </w:t>
      </w:r>
      <w:r w:rsidR="00C35DC2" w:rsidRPr="0077568B">
        <w:rPr>
          <w:rFonts w:eastAsia="Calibri" w:cstheme="minorHAnsi"/>
          <w:i/>
          <w:iCs/>
          <w:noProof/>
          <w:lang w:val="es-ES"/>
        </w:rPr>
        <w:t>Plan Estratégico de Ramsar para 2016-2024</w:t>
      </w:r>
      <w:r w:rsidR="00C35DC2" w:rsidRPr="0077568B">
        <w:rPr>
          <w:rFonts w:eastAsia="Calibri" w:cstheme="minorHAnsi"/>
          <w:noProof/>
          <w:lang w:val="es-ES"/>
        </w:rPr>
        <w:t xml:space="preserve"> mediante la Resolución XII.2 “como base para la aplicación de la Convención” durante este período</w:t>
      </w:r>
      <w:r w:rsidR="00E729F3" w:rsidRPr="0077568B">
        <w:rPr>
          <w:rFonts w:eastAsia="Calibri" w:cstheme="minorHAnsi"/>
          <w:noProof/>
          <w:lang w:val="es-ES"/>
        </w:rPr>
        <w:t>,</w:t>
      </w:r>
      <w:r w:rsidR="00C35DC2" w:rsidRPr="0077568B">
        <w:rPr>
          <w:rFonts w:eastAsia="Calibri" w:cstheme="minorHAnsi"/>
          <w:noProof/>
          <w:lang w:val="es-ES"/>
        </w:rPr>
        <w:t xml:space="preserve"> y la decisión de las Partes Contratantes de </w:t>
      </w:r>
      <w:r w:rsidR="00C6375F" w:rsidRPr="0077568B">
        <w:rPr>
          <w:rFonts w:eastAsia="Calibri" w:cstheme="minorHAnsi"/>
          <w:noProof/>
          <w:lang w:val="es-ES"/>
        </w:rPr>
        <w:t>“</w:t>
      </w:r>
      <w:r w:rsidR="00C35DC2" w:rsidRPr="0077568B">
        <w:rPr>
          <w:rFonts w:eastAsia="Calibri" w:cstheme="minorHAnsi"/>
          <w:noProof/>
          <w:lang w:val="es-ES"/>
        </w:rPr>
        <w:t xml:space="preserve">llevar a cabo un examen del cuarto Plan Estratégico en la COP14”;  </w:t>
      </w:r>
    </w:p>
    <w:p w14:paraId="5DC84616" w14:textId="12D765E3" w:rsidR="00333CEE" w:rsidRPr="0077568B" w:rsidRDefault="00333CEE" w:rsidP="00DA1EB3">
      <w:pPr>
        <w:rPr>
          <w:rFonts w:eastAsia="Calibri" w:cstheme="minorHAnsi"/>
          <w:noProof/>
          <w:lang w:val="es-ES"/>
        </w:rPr>
      </w:pPr>
    </w:p>
    <w:p w14:paraId="1BEB57B3" w14:textId="7BD55E94" w:rsidR="00C6375F" w:rsidRPr="0077568B" w:rsidRDefault="003B5419" w:rsidP="00DA1EB3">
      <w:pPr>
        <w:pStyle w:val="ListParagraph"/>
        <w:spacing w:after="0" w:line="240" w:lineRule="auto"/>
        <w:ind w:left="425" w:hanging="426"/>
        <w:rPr>
          <w:rFonts w:cstheme="minorHAnsi"/>
          <w:noProof/>
          <w:lang w:val="es-ES"/>
        </w:rPr>
      </w:pPr>
      <w:r w:rsidRPr="0077568B">
        <w:rPr>
          <w:rFonts w:cstheme="minorHAnsi"/>
          <w:noProof/>
          <w:lang w:val="es-ES"/>
        </w:rPr>
        <w:t>2.</w:t>
      </w:r>
      <w:r w:rsidRPr="0077568B">
        <w:rPr>
          <w:rFonts w:cstheme="minorHAnsi"/>
          <w:noProof/>
          <w:lang w:val="es-ES"/>
        </w:rPr>
        <w:tab/>
      </w:r>
      <w:r w:rsidR="00C6375F" w:rsidRPr="0077568B">
        <w:rPr>
          <w:rFonts w:cstheme="minorHAnsi"/>
          <w:noProof/>
          <w:lang w:val="es-ES"/>
        </w:rPr>
        <w:t>RECORDANDO TAMBIÉN que en las Resoluciones XII.2</w:t>
      </w:r>
      <w:r w:rsidR="00636B0E" w:rsidRPr="0077568B">
        <w:rPr>
          <w:rFonts w:cstheme="minorHAnsi"/>
          <w:noProof/>
          <w:lang w:val="es-ES"/>
        </w:rPr>
        <w:t>,</w:t>
      </w:r>
      <w:r w:rsidR="00C6375F" w:rsidRPr="0077568B">
        <w:rPr>
          <w:rFonts w:cstheme="minorHAnsi"/>
          <w:noProof/>
          <w:lang w:val="es-ES"/>
        </w:rPr>
        <w:t xml:space="preserve"> XIII.5 y XIII.7 las Partes Contratantes reconocieron que la aplicación del Plan Estratégico de </w:t>
      </w:r>
      <w:r w:rsidR="00410B04" w:rsidRPr="0077568B">
        <w:rPr>
          <w:rFonts w:cstheme="minorHAnsi"/>
          <w:noProof/>
          <w:lang w:val="es-ES"/>
        </w:rPr>
        <w:t xml:space="preserve">Ramsar </w:t>
      </w:r>
      <w:r w:rsidR="00C6375F" w:rsidRPr="0077568B">
        <w:rPr>
          <w:rFonts w:cstheme="minorHAnsi"/>
          <w:noProof/>
          <w:lang w:val="es-ES"/>
        </w:rPr>
        <w:t xml:space="preserve">supone una </w:t>
      </w:r>
      <w:r w:rsidR="00EE3400" w:rsidRPr="0077568B">
        <w:rPr>
          <w:rFonts w:cstheme="minorHAnsi"/>
          <w:noProof/>
          <w:lang w:val="es-ES"/>
        </w:rPr>
        <w:t xml:space="preserve">contribución </w:t>
      </w:r>
      <w:r w:rsidR="00C6375F" w:rsidRPr="0077568B">
        <w:rPr>
          <w:rFonts w:cstheme="minorHAnsi"/>
          <w:noProof/>
          <w:lang w:val="es-ES"/>
        </w:rPr>
        <w:t xml:space="preserve">importante </w:t>
      </w:r>
      <w:r w:rsidR="00EE3400" w:rsidRPr="0077568B">
        <w:rPr>
          <w:rFonts w:cstheme="minorHAnsi"/>
          <w:noProof/>
          <w:lang w:val="es-ES"/>
        </w:rPr>
        <w:t>par</w:t>
      </w:r>
      <w:r w:rsidR="00C6375F" w:rsidRPr="0077568B">
        <w:rPr>
          <w:rFonts w:cstheme="minorHAnsi"/>
          <w:noProof/>
          <w:lang w:val="es-ES"/>
        </w:rPr>
        <w:t>a la consecución de las Metas de Aichi para la Diversidad Biológica y los Objetivos de Desarrollo Sostenible;</w:t>
      </w:r>
    </w:p>
    <w:p w14:paraId="6C6C7C45" w14:textId="77777777" w:rsidR="00333CEE" w:rsidRPr="0077568B" w:rsidRDefault="00333CEE" w:rsidP="00DA1EB3">
      <w:pPr>
        <w:rPr>
          <w:rFonts w:eastAsiaTheme="minorHAnsi" w:cstheme="minorHAnsi"/>
          <w:noProof/>
          <w:lang w:val="es-ES"/>
        </w:rPr>
      </w:pPr>
    </w:p>
    <w:p w14:paraId="1E4145CC" w14:textId="562BE959" w:rsidR="00C6375F" w:rsidRPr="0077568B" w:rsidRDefault="003B5419" w:rsidP="00DA1EB3">
      <w:pPr>
        <w:pStyle w:val="ListParagraph"/>
        <w:spacing w:after="0" w:line="240" w:lineRule="auto"/>
        <w:ind w:left="425" w:hanging="426"/>
        <w:rPr>
          <w:rFonts w:eastAsia="Calibri" w:cstheme="minorHAnsi"/>
          <w:noProof/>
          <w:lang w:val="es-ES"/>
        </w:rPr>
      </w:pPr>
      <w:r w:rsidRPr="0077568B">
        <w:rPr>
          <w:rFonts w:eastAsia="Calibri" w:cstheme="minorHAnsi"/>
          <w:noProof/>
          <w:lang w:val="es-ES"/>
        </w:rPr>
        <w:t>3.</w:t>
      </w:r>
      <w:r w:rsidRPr="0077568B">
        <w:rPr>
          <w:rFonts w:eastAsia="Calibri" w:cstheme="minorHAnsi"/>
          <w:noProof/>
          <w:lang w:val="es-ES"/>
        </w:rPr>
        <w:tab/>
      </w:r>
      <w:r w:rsidR="00C6375F" w:rsidRPr="0077568B">
        <w:rPr>
          <w:rFonts w:eastAsia="Calibri" w:cstheme="minorHAnsi"/>
          <w:noProof/>
          <w:lang w:val="es-ES"/>
        </w:rPr>
        <w:t xml:space="preserve">RECORDANDO ADEMÁS que, </w:t>
      </w:r>
      <w:r w:rsidR="00BD764A" w:rsidRPr="0077568B">
        <w:rPr>
          <w:rFonts w:eastAsia="Calibri" w:cstheme="minorHAnsi"/>
          <w:noProof/>
          <w:lang w:val="es-ES"/>
        </w:rPr>
        <w:t>mediante</w:t>
      </w:r>
      <w:r w:rsidR="00C6375F" w:rsidRPr="0077568B">
        <w:rPr>
          <w:rFonts w:eastAsia="Calibri" w:cstheme="minorHAnsi"/>
          <w:noProof/>
          <w:lang w:val="es-ES"/>
        </w:rPr>
        <w:t xml:space="preserve"> la Resolución XIII.5, </w:t>
      </w:r>
      <w:r w:rsidR="00C6375F" w:rsidRPr="0077568B">
        <w:rPr>
          <w:rFonts w:eastAsia="Calibri" w:cstheme="minorHAnsi"/>
          <w:i/>
          <w:iCs/>
          <w:noProof/>
          <w:lang w:val="es-ES"/>
        </w:rPr>
        <w:t>Examen del Cuarto Plan Estratégico de la Convención de Ramsar</w:t>
      </w:r>
      <w:r w:rsidR="00C6375F" w:rsidRPr="0077568B">
        <w:rPr>
          <w:rFonts w:eastAsia="Calibri" w:cstheme="minorHAnsi"/>
          <w:noProof/>
          <w:lang w:val="es-ES"/>
        </w:rPr>
        <w:t xml:space="preserve">, las Partes Contratantes aprobaron el alcance y las modalidades </w:t>
      </w:r>
      <w:r w:rsidR="00BD764A" w:rsidRPr="0077568B">
        <w:rPr>
          <w:rFonts w:eastAsia="Calibri" w:cstheme="minorHAnsi"/>
          <w:noProof/>
          <w:lang w:val="es-ES"/>
        </w:rPr>
        <w:t>del</w:t>
      </w:r>
      <w:r w:rsidR="00C6375F" w:rsidRPr="0077568B">
        <w:rPr>
          <w:rFonts w:eastAsia="Calibri" w:cstheme="minorHAnsi"/>
          <w:noProof/>
          <w:lang w:val="es-ES"/>
        </w:rPr>
        <w:t xml:space="preserve"> examen del Cuarto Plan Estratégico, </w:t>
      </w:r>
      <w:r w:rsidR="00BD764A" w:rsidRPr="0077568B">
        <w:rPr>
          <w:rFonts w:eastAsia="Calibri" w:cstheme="minorHAnsi"/>
          <w:noProof/>
          <w:lang w:val="es-ES"/>
        </w:rPr>
        <w:t>pidieron</w:t>
      </w:r>
      <w:r w:rsidR="00C6375F" w:rsidRPr="0077568B">
        <w:rPr>
          <w:rFonts w:eastAsia="Calibri" w:cstheme="minorHAnsi"/>
          <w:noProof/>
          <w:lang w:val="es-ES"/>
        </w:rPr>
        <w:t xml:space="preserve"> al Comité Permanente que estableciera un </w:t>
      </w:r>
      <w:r w:rsidR="00FD75C0" w:rsidRPr="0077568B">
        <w:rPr>
          <w:rFonts w:eastAsia="Calibri" w:cstheme="minorHAnsi"/>
          <w:noProof/>
          <w:lang w:val="es-ES"/>
        </w:rPr>
        <w:t>g</w:t>
      </w:r>
      <w:r w:rsidR="00C6375F" w:rsidRPr="0077568B">
        <w:rPr>
          <w:rFonts w:eastAsia="Calibri" w:cstheme="minorHAnsi"/>
          <w:noProof/>
          <w:lang w:val="es-ES"/>
        </w:rPr>
        <w:t xml:space="preserve">rupo de trabajo </w:t>
      </w:r>
      <w:r w:rsidR="00BD764A" w:rsidRPr="0077568B">
        <w:rPr>
          <w:rFonts w:eastAsia="Calibri" w:cstheme="minorHAnsi"/>
          <w:noProof/>
          <w:lang w:val="es-ES"/>
        </w:rPr>
        <w:t xml:space="preserve">sobre </w:t>
      </w:r>
      <w:r w:rsidR="00562DFD" w:rsidRPr="0077568B">
        <w:rPr>
          <w:rFonts w:eastAsia="Calibri" w:cstheme="minorHAnsi"/>
          <w:noProof/>
          <w:lang w:val="es-ES"/>
        </w:rPr>
        <w:t>el</w:t>
      </w:r>
      <w:r w:rsidR="00BD764A" w:rsidRPr="0077568B">
        <w:rPr>
          <w:rFonts w:eastAsia="Calibri" w:cstheme="minorHAnsi"/>
          <w:noProof/>
          <w:lang w:val="es-ES"/>
        </w:rPr>
        <w:t xml:space="preserve"> </w:t>
      </w:r>
      <w:r w:rsidR="00C6375F" w:rsidRPr="0077568B">
        <w:rPr>
          <w:rFonts w:eastAsia="Calibri" w:cstheme="minorHAnsi"/>
          <w:noProof/>
          <w:lang w:val="es-ES"/>
        </w:rPr>
        <w:t>Plan Estratégico</w:t>
      </w:r>
      <w:r w:rsidR="00562DFD" w:rsidRPr="0077568B">
        <w:rPr>
          <w:rFonts w:eastAsia="Calibri" w:cstheme="minorHAnsi"/>
          <w:noProof/>
          <w:lang w:val="es-ES"/>
        </w:rPr>
        <w:t xml:space="preserve"> que realizara el examen</w:t>
      </w:r>
      <w:r w:rsidR="00C6375F" w:rsidRPr="0077568B">
        <w:rPr>
          <w:rFonts w:eastAsia="Calibri" w:cstheme="minorHAnsi"/>
          <w:noProof/>
          <w:lang w:val="es-ES"/>
        </w:rPr>
        <w:t xml:space="preserve">, y ENCARGARON ADEMÁS al Grupo de supervisión de las actividades de CECoP que coordinara </w:t>
      </w:r>
      <w:r w:rsidR="00562DFD" w:rsidRPr="0077568B">
        <w:rPr>
          <w:rFonts w:eastAsia="Calibri" w:cstheme="minorHAnsi"/>
          <w:noProof/>
          <w:lang w:val="es-ES"/>
        </w:rPr>
        <w:t xml:space="preserve">con el grupo de trabajo sobre el examen del Plan Estratégico </w:t>
      </w:r>
      <w:r w:rsidR="00C6375F" w:rsidRPr="0077568B">
        <w:rPr>
          <w:rFonts w:eastAsia="Calibri" w:cstheme="minorHAnsi"/>
          <w:noProof/>
          <w:lang w:val="es-ES"/>
        </w:rPr>
        <w:t xml:space="preserve">sus </w:t>
      </w:r>
      <w:r w:rsidR="00562DFD" w:rsidRPr="0077568B">
        <w:rPr>
          <w:rFonts w:eastAsia="Calibri" w:cstheme="minorHAnsi"/>
          <w:noProof/>
          <w:lang w:val="es-ES"/>
        </w:rPr>
        <w:t>iniciativas</w:t>
      </w:r>
      <w:r w:rsidR="00C6375F" w:rsidRPr="0077568B">
        <w:rPr>
          <w:rFonts w:eastAsia="Calibri" w:cstheme="minorHAnsi"/>
          <w:noProof/>
          <w:lang w:val="es-ES"/>
        </w:rPr>
        <w:t xml:space="preserve"> sobre un nuevo enfoque para apoyar la aplicación de la</w:t>
      </w:r>
      <w:r w:rsidR="00BD764A" w:rsidRPr="0077568B">
        <w:rPr>
          <w:rFonts w:eastAsia="Calibri" w:cstheme="minorHAnsi"/>
          <w:noProof/>
          <w:lang w:val="es-ES"/>
        </w:rPr>
        <w:t>s actividades de</w:t>
      </w:r>
      <w:r w:rsidR="00C6375F" w:rsidRPr="0077568B">
        <w:rPr>
          <w:rFonts w:eastAsia="Calibri" w:cstheme="minorHAnsi"/>
          <w:noProof/>
          <w:lang w:val="es-ES"/>
        </w:rPr>
        <w:t xml:space="preserve"> CECoP;</w:t>
      </w:r>
    </w:p>
    <w:p w14:paraId="5C32267F" w14:textId="0AFBCAF4" w:rsidR="00BC747E" w:rsidRPr="0077568B" w:rsidRDefault="00BC747E" w:rsidP="00DA1EB3">
      <w:pPr>
        <w:rPr>
          <w:rFonts w:cstheme="minorHAnsi"/>
          <w:noProof/>
          <w:lang w:val="es-ES"/>
        </w:rPr>
      </w:pPr>
    </w:p>
    <w:p w14:paraId="50479948" w14:textId="1ECB8315" w:rsidR="00474C24" w:rsidRPr="0077568B" w:rsidRDefault="003B5419" w:rsidP="00DA1EB3">
      <w:pPr>
        <w:pStyle w:val="ListParagraph"/>
        <w:spacing w:after="0" w:line="240" w:lineRule="auto"/>
        <w:ind w:left="425" w:hanging="426"/>
        <w:rPr>
          <w:rFonts w:eastAsia="Calibri" w:cstheme="minorHAnsi"/>
          <w:noProof/>
          <w:lang w:val="es-ES"/>
        </w:rPr>
      </w:pPr>
      <w:r w:rsidRPr="0077568B">
        <w:rPr>
          <w:rFonts w:eastAsia="Calibri" w:cstheme="minorHAnsi"/>
          <w:noProof/>
          <w:lang w:val="es-ES"/>
        </w:rPr>
        <w:t>4.</w:t>
      </w:r>
      <w:r w:rsidRPr="0077568B">
        <w:rPr>
          <w:rFonts w:eastAsia="Calibri" w:cstheme="minorHAnsi"/>
          <w:noProof/>
          <w:lang w:val="es-ES"/>
        </w:rPr>
        <w:tab/>
      </w:r>
      <w:r w:rsidR="00474C24" w:rsidRPr="0077568B">
        <w:rPr>
          <w:rFonts w:eastAsia="Calibri" w:cstheme="minorHAnsi"/>
          <w:noProof/>
          <w:lang w:val="es-ES"/>
        </w:rPr>
        <w:t xml:space="preserve">TOMANDO NOTA de que el examen del Cuarto Plan Estratégico de </w:t>
      </w:r>
      <w:r w:rsidR="00410B04" w:rsidRPr="0077568B">
        <w:rPr>
          <w:rFonts w:eastAsia="Calibri" w:cstheme="minorHAnsi"/>
          <w:noProof/>
          <w:lang w:val="es-ES"/>
        </w:rPr>
        <w:t>Ramsar</w:t>
      </w:r>
      <w:r w:rsidR="00474C24" w:rsidRPr="0077568B">
        <w:rPr>
          <w:rFonts w:eastAsia="Calibri" w:cstheme="minorHAnsi"/>
          <w:noProof/>
          <w:lang w:val="es-ES"/>
        </w:rPr>
        <w:t xml:space="preserve"> realizado por el </w:t>
      </w:r>
      <w:r w:rsidR="00FD75C0" w:rsidRPr="0077568B">
        <w:rPr>
          <w:rFonts w:eastAsia="Calibri" w:cstheme="minorHAnsi"/>
          <w:noProof/>
          <w:lang w:val="es-ES"/>
        </w:rPr>
        <w:t>g</w:t>
      </w:r>
      <w:r w:rsidR="00474C24" w:rsidRPr="0077568B">
        <w:rPr>
          <w:rFonts w:eastAsia="Calibri" w:cstheme="minorHAnsi"/>
          <w:noProof/>
          <w:lang w:val="es-ES"/>
        </w:rPr>
        <w:t xml:space="preserve">rupo de </w:t>
      </w:r>
      <w:r w:rsidR="00E729F3" w:rsidRPr="0077568B">
        <w:rPr>
          <w:rFonts w:eastAsia="Calibri" w:cstheme="minorHAnsi"/>
          <w:noProof/>
          <w:lang w:val="es-ES"/>
        </w:rPr>
        <w:t>t</w:t>
      </w:r>
      <w:r w:rsidR="00474C24" w:rsidRPr="0077568B">
        <w:rPr>
          <w:rFonts w:eastAsia="Calibri" w:cstheme="minorHAnsi"/>
          <w:noProof/>
          <w:lang w:val="es-ES"/>
        </w:rPr>
        <w:t>rabajo sobre el</w:t>
      </w:r>
      <w:r w:rsidR="00A77252" w:rsidRPr="0077568B">
        <w:rPr>
          <w:rFonts w:eastAsia="Calibri" w:cstheme="minorHAnsi"/>
          <w:noProof/>
          <w:lang w:val="es-ES"/>
        </w:rPr>
        <w:t xml:space="preserve"> examen del</w:t>
      </w:r>
      <w:r w:rsidR="00474C24" w:rsidRPr="0077568B">
        <w:rPr>
          <w:rFonts w:eastAsia="Calibri" w:cstheme="minorHAnsi"/>
          <w:noProof/>
          <w:lang w:val="es-ES"/>
        </w:rPr>
        <w:t xml:space="preserve"> Plan Estratégico se fundamentó en una encuesta realizada entre las Partes Contratantes, las Organizaciones Internacionales Asociadas (OIA) y otros interesados, así como en un análisis de los </w:t>
      </w:r>
      <w:r w:rsidR="006C1275" w:rsidRPr="0077568B">
        <w:rPr>
          <w:rFonts w:eastAsia="Calibri" w:cstheme="minorHAnsi"/>
          <w:noProof/>
          <w:lang w:val="es-ES"/>
        </w:rPr>
        <w:t>i</w:t>
      </w:r>
      <w:r w:rsidR="00474C24" w:rsidRPr="0077568B">
        <w:rPr>
          <w:rFonts w:eastAsia="Calibri" w:cstheme="minorHAnsi"/>
          <w:noProof/>
          <w:lang w:val="es-ES"/>
        </w:rPr>
        <w:t xml:space="preserve">nformes </w:t>
      </w:r>
      <w:r w:rsidR="006C1275" w:rsidRPr="0077568B">
        <w:rPr>
          <w:rFonts w:eastAsia="Calibri" w:cstheme="minorHAnsi"/>
          <w:noProof/>
          <w:lang w:val="es-ES"/>
        </w:rPr>
        <w:t>n</w:t>
      </w:r>
      <w:r w:rsidR="00474C24" w:rsidRPr="0077568B">
        <w:rPr>
          <w:rFonts w:eastAsia="Calibri" w:cstheme="minorHAnsi"/>
          <w:noProof/>
          <w:lang w:val="es-ES"/>
        </w:rPr>
        <w:t>acionales presentados a la COP13;</w:t>
      </w:r>
    </w:p>
    <w:p w14:paraId="1744C40F" w14:textId="77777777" w:rsidR="003D7CBC" w:rsidRPr="0077568B" w:rsidRDefault="003D7CBC" w:rsidP="00DA1EB3">
      <w:pPr>
        <w:rPr>
          <w:rFonts w:cstheme="minorHAnsi"/>
          <w:noProof/>
          <w:lang w:val="es-ES"/>
        </w:rPr>
      </w:pPr>
    </w:p>
    <w:p w14:paraId="45A7B64B" w14:textId="636E8C57" w:rsidR="00474C24" w:rsidRPr="0077568B" w:rsidRDefault="003B5419" w:rsidP="00DA1EB3">
      <w:pPr>
        <w:autoSpaceDE w:val="0"/>
        <w:autoSpaceDN w:val="0"/>
        <w:adjustRightInd w:val="0"/>
        <w:ind w:left="426" w:hanging="426"/>
        <w:rPr>
          <w:rFonts w:cstheme="minorHAnsi"/>
          <w:noProof/>
          <w:lang w:val="es-ES"/>
        </w:rPr>
      </w:pPr>
      <w:r w:rsidRPr="0077568B">
        <w:rPr>
          <w:rFonts w:cstheme="minorHAnsi"/>
          <w:noProof/>
          <w:lang w:val="es-ES"/>
        </w:rPr>
        <w:t>5.</w:t>
      </w:r>
      <w:r w:rsidRPr="0077568B">
        <w:rPr>
          <w:rFonts w:cstheme="minorHAnsi"/>
          <w:noProof/>
          <w:lang w:val="es-ES"/>
        </w:rPr>
        <w:tab/>
      </w:r>
      <w:r w:rsidR="00474C24" w:rsidRPr="0077568B">
        <w:rPr>
          <w:rFonts w:cstheme="minorHAnsi"/>
          <w:noProof/>
          <w:lang w:val="es-ES"/>
        </w:rPr>
        <w:t xml:space="preserve">OBSERVANDO ADEMÁS que los cambios mundiales a consecuencia de la pandemia y el mayor conocimiento sobre </w:t>
      </w:r>
      <w:r w:rsidR="002451A3" w:rsidRPr="0077568B">
        <w:rPr>
          <w:rFonts w:cstheme="minorHAnsi"/>
          <w:noProof/>
          <w:lang w:val="es-ES"/>
        </w:rPr>
        <w:t>las repercusiones</w:t>
      </w:r>
      <w:r w:rsidR="00474C24" w:rsidRPr="0077568B">
        <w:rPr>
          <w:rFonts w:cstheme="minorHAnsi"/>
          <w:noProof/>
          <w:lang w:val="es-ES"/>
        </w:rPr>
        <w:t xml:space="preserve"> de</w:t>
      </w:r>
      <w:r w:rsidR="002451A3" w:rsidRPr="0077568B">
        <w:rPr>
          <w:rFonts w:cstheme="minorHAnsi"/>
          <w:noProof/>
          <w:lang w:val="es-ES"/>
        </w:rPr>
        <w:t xml:space="preserve"> la</w:t>
      </w:r>
      <w:r w:rsidR="00474C24" w:rsidRPr="0077568B">
        <w:rPr>
          <w:rFonts w:cstheme="minorHAnsi"/>
          <w:noProof/>
          <w:lang w:val="es-ES"/>
        </w:rPr>
        <w:t xml:space="preserve"> pérdida de biodiversidad y </w:t>
      </w:r>
      <w:r w:rsidR="002451A3" w:rsidRPr="0077568B">
        <w:rPr>
          <w:rFonts w:cstheme="minorHAnsi"/>
          <w:noProof/>
          <w:lang w:val="es-ES"/>
        </w:rPr>
        <w:t xml:space="preserve">el </w:t>
      </w:r>
      <w:r w:rsidR="00474C24" w:rsidRPr="0077568B">
        <w:rPr>
          <w:rFonts w:cstheme="minorHAnsi"/>
          <w:noProof/>
          <w:lang w:val="es-ES"/>
        </w:rPr>
        <w:t xml:space="preserve">cambio climático desde la COP13 refuerzan la urgencia de detener la </w:t>
      </w:r>
      <w:r w:rsidR="00D00EE6" w:rsidRPr="0077568B">
        <w:rPr>
          <w:rFonts w:cstheme="minorHAnsi"/>
          <w:noProof/>
          <w:lang w:val="es-ES"/>
        </w:rPr>
        <w:t>desaparición</w:t>
      </w:r>
      <w:r w:rsidR="00474C24" w:rsidRPr="0077568B">
        <w:rPr>
          <w:rFonts w:cstheme="minorHAnsi"/>
          <w:noProof/>
          <w:lang w:val="es-ES"/>
        </w:rPr>
        <w:t xml:space="preserve"> de humedales;</w:t>
      </w:r>
    </w:p>
    <w:p w14:paraId="01279393" w14:textId="77777777" w:rsidR="00D00EE6" w:rsidRPr="0077568B" w:rsidRDefault="00D00EE6" w:rsidP="00DA1EB3">
      <w:pPr>
        <w:autoSpaceDE w:val="0"/>
        <w:autoSpaceDN w:val="0"/>
        <w:adjustRightInd w:val="0"/>
        <w:ind w:left="426" w:hanging="426"/>
        <w:rPr>
          <w:rFonts w:cstheme="minorHAnsi"/>
          <w:noProof/>
          <w:lang w:val="es-ES"/>
        </w:rPr>
      </w:pPr>
    </w:p>
    <w:p w14:paraId="0B0D9A7C" w14:textId="5C4ABEB5" w:rsidR="00D00EE6" w:rsidRPr="0077568B" w:rsidRDefault="003B5419" w:rsidP="00DA1EB3">
      <w:pPr>
        <w:autoSpaceDE w:val="0"/>
        <w:autoSpaceDN w:val="0"/>
        <w:adjustRightInd w:val="0"/>
        <w:ind w:left="426" w:hanging="426"/>
        <w:rPr>
          <w:rFonts w:cstheme="minorHAnsi"/>
          <w:noProof/>
          <w:lang w:val="es-ES"/>
        </w:rPr>
      </w:pPr>
      <w:r w:rsidRPr="0077568B">
        <w:rPr>
          <w:rFonts w:cstheme="minorHAnsi"/>
          <w:noProof/>
          <w:lang w:val="es-ES"/>
        </w:rPr>
        <w:t>6.</w:t>
      </w:r>
      <w:r w:rsidRPr="0077568B">
        <w:rPr>
          <w:rFonts w:cstheme="minorHAnsi"/>
          <w:noProof/>
          <w:lang w:val="es-ES"/>
        </w:rPr>
        <w:tab/>
      </w:r>
      <w:r w:rsidR="00D00EE6" w:rsidRPr="0077568B">
        <w:rPr>
          <w:rFonts w:cstheme="minorHAnsi"/>
          <w:noProof/>
          <w:lang w:val="es-ES"/>
        </w:rPr>
        <w:t>RECONOCIENDO las conclusiones de la edición especial de la Perspectiva mundial sobre los humedales acerca de la importancia de los humedales gestionados correctamente</w:t>
      </w:r>
      <w:r w:rsidR="00E729F3" w:rsidRPr="0077568B">
        <w:rPr>
          <w:rFonts w:cstheme="minorHAnsi"/>
          <w:noProof/>
          <w:lang w:val="es-ES"/>
        </w:rPr>
        <w:t xml:space="preserve"> </w:t>
      </w:r>
      <w:r w:rsidR="00D00EE6" w:rsidRPr="0077568B">
        <w:rPr>
          <w:rFonts w:cstheme="minorHAnsi"/>
          <w:noProof/>
          <w:lang w:val="es-ES"/>
        </w:rPr>
        <w:t>para la salud humana y los medios de subsistencia</w:t>
      </w:r>
      <w:r w:rsidR="00950E6B" w:rsidRPr="0077568B">
        <w:rPr>
          <w:rFonts w:cstheme="minorHAnsi"/>
          <w:strike/>
          <w:noProof/>
          <w:lang w:val="es-ES"/>
        </w:rPr>
        <w:t>, así como para la biodiversidad y las soluciones climáticas</w:t>
      </w:r>
      <w:r w:rsidR="007A1118" w:rsidRPr="0077568B">
        <w:rPr>
          <w:rFonts w:cstheme="minorHAnsi"/>
          <w:noProof/>
          <w:lang w:val="es-ES"/>
        </w:rPr>
        <w:t xml:space="preserve"> </w:t>
      </w:r>
      <w:r w:rsidR="00D00EE6" w:rsidRPr="0077568B">
        <w:rPr>
          <w:rFonts w:cstheme="minorHAnsi"/>
          <w:noProof/>
          <w:lang w:val="es-ES"/>
        </w:rPr>
        <w:t>mediante la aplicación de la Convención</w:t>
      </w:r>
      <w:r w:rsidR="00AB04E0" w:rsidRPr="0077568B">
        <w:rPr>
          <w:rFonts w:cstheme="minorHAnsi"/>
          <w:noProof/>
          <w:lang w:val="es-ES"/>
        </w:rPr>
        <w:t>;</w:t>
      </w:r>
      <w:r w:rsidR="00133684" w:rsidRPr="0077568B">
        <w:rPr>
          <w:rFonts w:cstheme="minorHAnsi"/>
          <w:noProof/>
          <w:lang w:val="es-ES"/>
        </w:rPr>
        <w:t xml:space="preserve"> y</w:t>
      </w:r>
    </w:p>
    <w:p w14:paraId="70046347" w14:textId="77777777" w:rsidR="004E29C2" w:rsidRPr="0077568B" w:rsidRDefault="004E29C2" w:rsidP="00DA1EB3">
      <w:pPr>
        <w:autoSpaceDE w:val="0"/>
        <w:autoSpaceDN w:val="0"/>
        <w:adjustRightInd w:val="0"/>
        <w:rPr>
          <w:rFonts w:cstheme="minorHAnsi"/>
          <w:noProof/>
          <w:lang w:val="es-ES"/>
        </w:rPr>
      </w:pPr>
    </w:p>
    <w:p w14:paraId="187EA707" w14:textId="66DDF71C" w:rsidR="00D00EE6" w:rsidRPr="0077568B" w:rsidRDefault="003B5419" w:rsidP="00DA1EB3">
      <w:pPr>
        <w:autoSpaceDE w:val="0"/>
        <w:autoSpaceDN w:val="0"/>
        <w:adjustRightInd w:val="0"/>
        <w:ind w:left="426" w:hanging="426"/>
        <w:rPr>
          <w:rFonts w:cstheme="minorHAnsi"/>
          <w:noProof/>
          <w:lang w:val="es-ES"/>
        </w:rPr>
      </w:pPr>
      <w:r w:rsidRPr="0077568B">
        <w:rPr>
          <w:rFonts w:cstheme="minorHAnsi"/>
          <w:noProof/>
          <w:lang w:val="es-ES"/>
        </w:rPr>
        <w:t>7.</w:t>
      </w:r>
      <w:r w:rsidRPr="0077568B">
        <w:rPr>
          <w:rFonts w:cstheme="minorHAnsi"/>
          <w:noProof/>
          <w:lang w:val="es-ES"/>
        </w:rPr>
        <w:tab/>
      </w:r>
      <w:r w:rsidR="00D00EE6" w:rsidRPr="0077568B">
        <w:rPr>
          <w:rFonts w:cstheme="minorHAnsi"/>
          <w:noProof/>
          <w:lang w:val="es-ES"/>
        </w:rPr>
        <w:t>RECONOCIENDO ADEMÁS que la aplicación de la Convención es crucial para acelerar las acciones de restauración de los humedales</w:t>
      </w:r>
      <w:r w:rsidR="00EA0AD7" w:rsidRPr="0077568B">
        <w:rPr>
          <w:rFonts w:cstheme="minorHAnsi"/>
          <w:noProof/>
          <w:lang w:val="es-ES"/>
        </w:rPr>
        <w:t>,</w:t>
      </w:r>
      <w:r w:rsidR="00D00EE6" w:rsidRPr="0077568B">
        <w:rPr>
          <w:rFonts w:cstheme="minorHAnsi"/>
          <w:noProof/>
          <w:lang w:val="es-ES"/>
        </w:rPr>
        <w:t xml:space="preserve"> a fin de cumplir con los compromisos y metas mundiales respecto a la biodiversidad, </w:t>
      </w:r>
      <w:r w:rsidR="007A1118" w:rsidRPr="0077568B">
        <w:rPr>
          <w:rFonts w:cstheme="minorHAnsi"/>
          <w:noProof/>
          <w:u w:val="single"/>
          <w:lang w:val="es-ES"/>
        </w:rPr>
        <w:t>la mitigación del</w:t>
      </w:r>
      <w:r w:rsidR="007A1118" w:rsidRPr="0077568B">
        <w:rPr>
          <w:rFonts w:cstheme="minorHAnsi"/>
          <w:noProof/>
          <w:lang w:val="es-ES"/>
        </w:rPr>
        <w:t xml:space="preserve"> </w:t>
      </w:r>
      <w:r w:rsidR="00950E6B" w:rsidRPr="0077568B">
        <w:rPr>
          <w:rFonts w:cstheme="minorHAnsi"/>
          <w:strike/>
          <w:noProof/>
          <w:lang w:val="es-ES"/>
        </w:rPr>
        <w:t>el</w:t>
      </w:r>
      <w:r w:rsidR="00950E6B" w:rsidRPr="0077568B">
        <w:rPr>
          <w:rFonts w:cstheme="minorHAnsi"/>
          <w:noProof/>
          <w:lang w:val="es-ES"/>
        </w:rPr>
        <w:t xml:space="preserve"> </w:t>
      </w:r>
      <w:r w:rsidR="007A1118" w:rsidRPr="0077568B">
        <w:rPr>
          <w:rFonts w:cstheme="minorHAnsi"/>
          <w:noProof/>
          <w:lang w:val="es-ES"/>
        </w:rPr>
        <w:t xml:space="preserve">cambio climático </w:t>
      </w:r>
      <w:r w:rsidR="007A1118" w:rsidRPr="0077568B">
        <w:rPr>
          <w:rFonts w:cstheme="minorHAnsi"/>
          <w:noProof/>
          <w:u w:val="single"/>
          <w:lang w:val="es-ES"/>
        </w:rPr>
        <w:t>y la adaptación a él,</w:t>
      </w:r>
      <w:r w:rsidR="007A1118" w:rsidRPr="0077568B">
        <w:rPr>
          <w:rFonts w:cstheme="minorHAnsi"/>
          <w:noProof/>
          <w:lang w:val="es-ES"/>
        </w:rPr>
        <w:t xml:space="preserve"> </w:t>
      </w:r>
      <w:r w:rsidR="00FC41BE" w:rsidRPr="0077568B">
        <w:rPr>
          <w:rFonts w:cstheme="minorHAnsi"/>
          <w:strike/>
          <w:noProof/>
          <w:lang w:val="es-ES"/>
        </w:rPr>
        <w:t>y</w:t>
      </w:r>
      <w:r w:rsidR="00FC41BE" w:rsidRPr="0077568B">
        <w:rPr>
          <w:rFonts w:cstheme="minorHAnsi"/>
          <w:noProof/>
          <w:lang w:val="es-ES"/>
        </w:rPr>
        <w:t xml:space="preserve"> </w:t>
      </w:r>
      <w:r w:rsidR="00D00EE6" w:rsidRPr="0077568B">
        <w:rPr>
          <w:rFonts w:cstheme="minorHAnsi"/>
          <w:noProof/>
          <w:lang w:val="es-ES"/>
        </w:rPr>
        <w:t xml:space="preserve">el desarrollo sostenible en el Decenio de las Naciones Unidas </w:t>
      </w:r>
      <w:r w:rsidR="00867765" w:rsidRPr="0077568B">
        <w:rPr>
          <w:rFonts w:cstheme="minorHAnsi"/>
          <w:noProof/>
          <w:lang w:val="es-ES"/>
        </w:rPr>
        <w:t>sobre</w:t>
      </w:r>
      <w:r w:rsidR="00D00EE6" w:rsidRPr="0077568B">
        <w:rPr>
          <w:rFonts w:cstheme="minorHAnsi"/>
          <w:noProof/>
          <w:lang w:val="es-ES"/>
        </w:rPr>
        <w:t xml:space="preserve"> la Restauración de los Ecosistemas y cumplir con </w:t>
      </w:r>
      <w:r w:rsidR="00E86D42" w:rsidRPr="0077568B">
        <w:rPr>
          <w:rFonts w:cstheme="minorHAnsi"/>
          <w:noProof/>
          <w:lang w:val="es-ES"/>
        </w:rPr>
        <w:t>las metas</w:t>
      </w:r>
      <w:r w:rsidR="00D00EE6" w:rsidRPr="0077568B">
        <w:rPr>
          <w:rFonts w:cstheme="minorHAnsi"/>
          <w:noProof/>
          <w:lang w:val="es-ES"/>
        </w:rPr>
        <w:t xml:space="preserve"> </w:t>
      </w:r>
      <w:r w:rsidR="00FC41BE" w:rsidRPr="0077568B">
        <w:rPr>
          <w:rFonts w:cstheme="minorHAnsi"/>
          <w:strike/>
          <w:noProof/>
          <w:lang w:val="es-ES"/>
        </w:rPr>
        <w:t>relativas a los ecosistemas de humedales</w:t>
      </w:r>
      <w:r w:rsidR="00FC41BE" w:rsidRPr="0077568B">
        <w:rPr>
          <w:rFonts w:cstheme="minorHAnsi"/>
          <w:noProof/>
          <w:lang w:val="es-ES"/>
        </w:rPr>
        <w:t xml:space="preserve"> </w:t>
      </w:r>
      <w:r w:rsidR="00D00EE6" w:rsidRPr="0077568B">
        <w:rPr>
          <w:rFonts w:cstheme="minorHAnsi"/>
          <w:noProof/>
          <w:lang w:val="es-ES"/>
        </w:rPr>
        <w:t xml:space="preserve">del </w:t>
      </w:r>
      <w:r w:rsidR="00867765" w:rsidRPr="0077568B">
        <w:rPr>
          <w:rFonts w:cstheme="minorHAnsi"/>
          <w:noProof/>
          <w:lang w:val="es-ES"/>
        </w:rPr>
        <w:t>Marco Mundial de la Diversidad Biológica</w:t>
      </w:r>
      <w:r w:rsidR="00D00EE6" w:rsidRPr="0077568B">
        <w:rPr>
          <w:rFonts w:cstheme="minorHAnsi"/>
          <w:noProof/>
          <w:lang w:val="es-ES"/>
        </w:rPr>
        <w:t xml:space="preserve"> posterior a 2020</w:t>
      </w:r>
      <w:r w:rsidR="00CC7B88" w:rsidRPr="0077568B">
        <w:rPr>
          <w:rFonts w:cstheme="minorHAnsi"/>
          <w:noProof/>
          <w:lang w:val="es-ES"/>
        </w:rPr>
        <w:t xml:space="preserve"> </w:t>
      </w:r>
      <w:r w:rsidR="00CC7B88" w:rsidRPr="0077568B">
        <w:rPr>
          <w:rFonts w:cstheme="minorHAnsi"/>
          <w:noProof/>
          <w:u w:val="single"/>
          <w:lang w:val="es-ES"/>
        </w:rPr>
        <w:t>relacionadas con los humedales</w:t>
      </w:r>
      <w:r w:rsidR="00133684" w:rsidRPr="0077568B">
        <w:rPr>
          <w:rFonts w:cstheme="minorHAnsi"/>
          <w:noProof/>
          <w:lang w:val="es-ES"/>
        </w:rPr>
        <w:t>;</w:t>
      </w:r>
    </w:p>
    <w:p w14:paraId="6671479E" w14:textId="52069AB7" w:rsidR="0088550F" w:rsidRPr="0077568B" w:rsidRDefault="0088550F"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0EFFB8F" w14:textId="354AFEB3" w:rsidR="009175B8" w:rsidRPr="0077568B" w:rsidRDefault="00E86D42" w:rsidP="0057613E">
      <w:pPr>
        <w:pStyle w:val="DRSubHeading"/>
        <w:keepNext/>
        <w:widowControl/>
        <w:spacing w:after="0" w:line="240" w:lineRule="auto"/>
        <w:ind w:left="0"/>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LA CONFERENCIA DE LAS PARTES CONTRATANTES</w:t>
      </w:r>
    </w:p>
    <w:p w14:paraId="6C87088A" w14:textId="493390A2" w:rsidR="006F4B9E" w:rsidRPr="0077568B" w:rsidRDefault="006F4B9E" w:rsidP="00DA1EB3">
      <w:pPr>
        <w:pStyle w:val="DRSubHeading"/>
        <w:widowControl/>
        <w:spacing w:after="0" w:line="240" w:lineRule="auto"/>
        <w:ind w:left="0"/>
        <w:rPr>
          <w:rFonts w:asciiTheme="minorHAnsi" w:hAnsiTheme="minorHAnsi" w:cstheme="minorHAnsi"/>
          <w:noProof/>
          <w:color w:val="auto"/>
          <w:sz w:val="22"/>
          <w:szCs w:val="22"/>
          <w:lang w:val="es-ES"/>
        </w:rPr>
      </w:pPr>
    </w:p>
    <w:p w14:paraId="5A407C01" w14:textId="0CF727DD" w:rsidR="001146DD" w:rsidRPr="0077568B" w:rsidRDefault="00E86D42" w:rsidP="00DA1EB3">
      <w:pPr>
        <w:pStyle w:val="DRSubHeading"/>
        <w:widowControl/>
        <w:spacing w:after="0" w:line="240" w:lineRule="auto"/>
        <w:ind w:hanging="426"/>
        <w:jc w:val="left"/>
        <w:rPr>
          <w:rFonts w:asciiTheme="minorHAnsi" w:hAnsiTheme="minorHAnsi" w:cstheme="minorHAnsi"/>
          <w:noProof/>
          <w:color w:val="auto"/>
          <w:sz w:val="22"/>
          <w:szCs w:val="22"/>
          <w:u w:val="single"/>
          <w:lang w:val="es-ES"/>
        </w:rPr>
      </w:pPr>
      <w:r w:rsidRPr="0077568B">
        <w:rPr>
          <w:rFonts w:asciiTheme="minorHAnsi" w:hAnsiTheme="minorHAnsi" w:cstheme="minorHAnsi"/>
          <w:noProof/>
          <w:color w:val="auto"/>
          <w:sz w:val="22"/>
          <w:szCs w:val="22"/>
          <w:u w:val="single"/>
          <w:lang w:val="es-ES"/>
        </w:rPr>
        <w:t xml:space="preserve">Examen del Cuarto Plan Estratégico de </w:t>
      </w:r>
      <w:r w:rsidR="00AB04E0" w:rsidRPr="0077568B">
        <w:rPr>
          <w:rFonts w:asciiTheme="minorHAnsi" w:hAnsiTheme="minorHAnsi" w:cstheme="minorHAnsi"/>
          <w:noProof/>
          <w:color w:val="auto"/>
          <w:sz w:val="22"/>
          <w:szCs w:val="22"/>
          <w:u w:val="single"/>
          <w:lang w:val="es-ES"/>
        </w:rPr>
        <w:t>Ramsar</w:t>
      </w:r>
    </w:p>
    <w:p w14:paraId="78CBD15B" w14:textId="77777777" w:rsidR="00F943A5" w:rsidRPr="0077568B" w:rsidRDefault="00F943A5"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p>
    <w:p w14:paraId="4A5BF0DE" w14:textId="30A5AE5F" w:rsidR="000401B2" w:rsidRPr="0077568B" w:rsidRDefault="00133684"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8.</w:t>
      </w:r>
      <w:r w:rsidR="00DE56F3" w:rsidRPr="0077568B">
        <w:rPr>
          <w:rFonts w:asciiTheme="minorHAnsi" w:hAnsiTheme="minorHAnsi" w:cstheme="minorHAnsi"/>
          <w:noProof/>
          <w:color w:val="auto"/>
          <w:sz w:val="22"/>
          <w:szCs w:val="22"/>
          <w:lang w:val="es-ES"/>
        </w:rPr>
        <w:tab/>
      </w:r>
      <w:r w:rsidR="000401B2" w:rsidRPr="0077568B">
        <w:rPr>
          <w:rFonts w:asciiTheme="minorHAnsi" w:hAnsiTheme="minorHAnsi" w:cstheme="minorHAnsi"/>
          <w:noProof/>
          <w:color w:val="auto"/>
          <w:sz w:val="22"/>
          <w:szCs w:val="22"/>
          <w:lang w:val="es-ES"/>
        </w:rPr>
        <w:t xml:space="preserve">CONFIRMA que es fundamental que las Partes Contratantes y </w:t>
      </w:r>
      <w:r w:rsidRPr="0077568B">
        <w:rPr>
          <w:rFonts w:asciiTheme="minorHAnsi" w:hAnsiTheme="minorHAnsi" w:cstheme="minorHAnsi"/>
          <w:noProof/>
          <w:color w:val="auto"/>
          <w:sz w:val="22"/>
          <w:szCs w:val="22"/>
          <w:lang w:val="es-ES"/>
        </w:rPr>
        <w:t>las Organizaciones Internacionales Asociadas</w:t>
      </w:r>
      <w:r w:rsidR="00AB04E0" w:rsidRPr="0077568B">
        <w:rPr>
          <w:rFonts w:asciiTheme="minorHAnsi" w:hAnsiTheme="minorHAnsi" w:cstheme="minorHAnsi"/>
          <w:noProof/>
          <w:color w:val="auto"/>
          <w:sz w:val="22"/>
          <w:szCs w:val="22"/>
          <w:lang w:val="es-ES"/>
        </w:rPr>
        <w:t xml:space="preserve"> a</w:t>
      </w:r>
      <w:r w:rsidR="000401B2" w:rsidRPr="0077568B">
        <w:rPr>
          <w:rFonts w:asciiTheme="minorHAnsi" w:hAnsiTheme="minorHAnsi" w:cstheme="minorHAnsi"/>
          <w:noProof/>
          <w:color w:val="auto"/>
          <w:sz w:val="22"/>
          <w:szCs w:val="22"/>
          <w:lang w:val="es-ES"/>
        </w:rPr>
        <w:t xml:space="preserve">pliquen el Cuarto Plan Estratégico de </w:t>
      </w:r>
      <w:r w:rsidR="00AB04E0" w:rsidRPr="0077568B">
        <w:rPr>
          <w:rFonts w:asciiTheme="minorHAnsi" w:hAnsiTheme="minorHAnsi" w:cstheme="minorHAnsi"/>
          <w:noProof/>
          <w:color w:val="auto"/>
          <w:sz w:val="22"/>
          <w:szCs w:val="22"/>
          <w:lang w:val="es-ES"/>
        </w:rPr>
        <w:t>Ramsar</w:t>
      </w:r>
      <w:r w:rsidR="000401B2" w:rsidRPr="0077568B">
        <w:rPr>
          <w:rFonts w:asciiTheme="minorHAnsi" w:hAnsiTheme="minorHAnsi" w:cstheme="minorHAnsi"/>
          <w:noProof/>
          <w:color w:val="auto"/>
          <w:sz w:val="22"/>
          <w:szCs w:val="22"/>
          <w:lang w:val="es-ES"/>
        </w:rPr>
        <w:t xml:space="preserve"> para 2016-2024</w:t>
      </w:r>
      <w:r w:rsidR="00AB04E0" w:rsidRPr="0077568B">
        <w:rPr>
          <w:rFonts w:asciiTheme="minorHAnsi" w:hAnsiTheme="minorHAnsi" w:cstheme="minorHAnsi"/>
          <w:noProof/>
          <w:color w:val="auto"/>
          <w:sz w:val="22"/>
          <w:szCs w:val="22"/>
          <w:lang w:val="es-ES"/>
        </w:rPr>
        <w:t xml:space="preserve"> para r</w:t>
      </w:r>
      <w:r w:rsidR="0035627D" w:rsidRPr="0077568B">
        <w:rPr>
          <w:rFonts w:asciiTheme="minorHAnsi" w:hAnsiTheme="minorHAnsi" w:cstheme="minorHAnsi"/>
          <w:noProof/>
          <w:color w:val="auto"/>
          <w:sz w:val="22"/>
          <w:szCs w:val="22"/>
          <w:lang w:val="es-ES"/>
        </w:rPr>
        <w:t>ealizar</w:t>
      </w:r>
      <w:r w:rsidR="000401B2" w:rsidRPr="0077568B">
        <w:rPr>
          <w:rFonts w:asciiTheme="minorHAnsi" w:hAnsiTheme="minorHAnsi" w:cstheme="minorHAnsi"/>
          <w:noProof/>
          <w:color w:val="auto"/>
          <w:sz w:val="22"/>
          <w:szCs w:val="22"/>
          <w:lang w:val="es-ES"/>
        </w:rPr>
        <w:t xml:space="preserve"> la misión de la Convención</w:t>
      </w:r>
      <w:r w:rsidR="006A793E" w:rsidRPr="0077568B">
        <w:rPr>
          <w:rFonts w:asciiTheme="minorHAnsi" w:hAnsiTheme="minorHAnsi" w:cstheme="minorHAnsi"/>
          <w:noProof/>
          <w:color w:val="auto"/>
          <w:sz w:val="22"/>
          <w:szCs w:val="22"/>
          <w:lang w:val="es-ES"/>
        </w:rPr>
        <w:t>,</w:t>
      </w:r>
      <w:r w:rsidR="00AC7EAE" w:rsidRPr="0077568B">
        <w:rPr>
          <w:rFonts w:asciiTheme="minorHAnsi" w:hAnsiTheme="minorHAnsi" w:cstheme="minorHAnsi"/>
          <w:noProof/>
          <w:color w:val="auto"/>
          <w:sz w:val="22"/>
          <w:szCs w:val="22"/>
          <w:lang w:val="es-ES"/>
        </w:rPr>
        <w:t xml:space="preserve"> </w:t>
      </w:r>
      <w:r w:rsidR="006A793E" w:rsidRPr="0077568B">
        <w:rPr>
          <w:rFonts w:asciiTheme="minorHAnsi" w:hAnsiTheme="minorHAnsi" w:cstheme="minorHAnsi"/>
          <w:noProof/>
          <w:color w:val="auto"/>
          <w:sz w:val="22"/>
          <w:szCs w:val="22"/>
          <w:lang w:val="es-ES"/>
        </w:rPr>
        <w:t>así como</w:t>
      </w:r>
      <w:r w:rsidR="00AC7EAE" w:rsidRPr="0077568B">
        <w:rPr>
          <w:rFonts w:asciiTheme="minorHAnsi" w:hAnsiTheme="minorHAnsi" w:cstheme="minorHAnsi"/>
          <w:noProof/>
          <w:color w:val="auto"/>
          <w:sz w:val="22"/>
          <w:szCs w:val="22"/>
          <w:lang w:val="es-ES"/>
        </w:rPr>
        <w:t xml:space="preserve"> </w:t>
      </w:r>
      <w:r w:rsidR="000401B2" w:rsidRPr="0077568B">
        <w:rPr>
          <w:rFonts w:asciiTheme="minorHAnsi" w:hAnsiTheme="minorHAnsi" w:cstheme="minorHAnsi"/>
          <w:noProof/>
          <w:color w:val="auto"/>
          <w:sz w:val="22"/>
          <w:szCs w:val="22"/>
          <w:lang w:val="es-ES"/>
        </w:rPr>
        <w:t>contribuir a los Objetivos de Desarrollo Sostenible y las metas mundiales en materia de biodiversidad,</w:t>
      </w:r>
      <w:r w:rsidR="00CC7B88" w:rsidRPr="0077568B">
        <w:rPr>
          <w:rFonts w:asciiTheme="minorHAnsi" w:hAnsiTheme="minorHAnsi" w:cstheme="minorHAnsi"/>
          <w:noProof/>
          <w:color w:val="auto"/>
          <w:sz w:val="22"/>
          <w:szCs w:val="22"/>
          <w:lang w:val="es-ES"/>
        </w:rPr>
        <w:t xml:space="preserve"> </w:t>
      </w:r>
      <w:r w:rsidR="00CC7B88" w:rsidRPr="0077568B">
        <w:rPr>
          <w:rFonts w:asciiTheme="minorHAnsi" w:hAnsiTheme="minorHAnsi" w:cstheme="minorHAnsi"/>
          <w:noProof/>
          <w:color w:val="auto"/>
          <w:sz w:val="22"/>
          <w:szCs w:val="22"/>
          <w:u w:val="single"/>
          <w:lang w:val="es-ES"/>
        </w:rPr>
        <w:t xml:space="preserve">y </w:t>
      </w:r>
      <w:r w:rsidR="006A793E" w:rsidRPr="0077568B">
        <w:rPr>
          <w:rFonts w:asciiTheme="minorHAnsi" w:hAnsiTheme="minorHAnsi" w:cstheme="minorHAnsi"/>
          <w:noProof/>
          <w:color w:val="auto"/>
          <w:sz w:val="22"/>
          <w:szCs w:val="22"/>
          <w:u w:val="single"/>
          <w:lang w:val="es-ES"/>
        </w:rPr>
        <w:t>las vías de mitigación para los humedales en el marco de la CMNUCC,</w:t>
      </w:r>
      <w:r w:rsidR="006A793E" w:rsidRPr="0077568B">
        <w:rPr>
          <w:rFonts w:asciiTheme="minorHAnsi" w:hAnsiTheme="minorHAnsi" w:cstheme="minorHAnsi"/>
          <w:noProof/>
          <w:color w:val="auto"/>
          <w:sz w:val="22"/>
          <w:szCs w:val="22"/>
          <w:lang w:val="es-ES"/>
        </w:rPr>
        <w:t xml:space="preserve"> </w:t>
      </w:r>
      <w:r w:rsidR="000401B2" w:rsidRPr="0077568B">
        <w:rPr>
          <w:rFonts w:asciiTheme="minorHAnsi" w:hAnsiTheme="minorHAnsi" w:cstheme="minorHAnsi"/>
          <w:noProof/>
          <w:color w:val="auto"/>
          <w:sz w:val="22"/>
          <w:szCs w:val="22"/>
          <w:lang w:val="es-ES"/>
        </w:rPr>
        <w:t xml:space="preserve">e INSTA a las Partes Contratantes a supervisar constantemente los </w:t>
      </w:r>
      <w:r w:rsidR="0035627D" w:rsidRPr="0077568B">
        <w:rPr>
          <w:rFonts w:asciiTheme="minorHAnsi" w:hAnsiTheme="minorHAnsi" w:cstheme="minorHAnsi"/>
          <w:noProof/>
          <w:color w:val="auto"/>
          <w:sz w:val="22"/>
          <w:szCs w:val="22"/>
          <w:lang w:val="es-ES"/>
        </w:rPr>
        <w:t>avances</w:t>
      </w:r>
      <w:r w:rsidR="000401B2" w:rsidRPr="0077568B">
        <w:rPr>
          <w:rFonts w:asciiTheme="minorHAnsi" w:hAnsiTheme="minorHAnsi" w:cstheme="minorHAnsi"/>
          <w:noProof/>
          <w:color w:val="auto"/>
          <w:sz w:val="22"/>
          <w:szCs w:val="22"/>
          <w:lang w:val="es-ES"/>
        </w:rPr>
        <w:t xml:space="preserve"> en la aplicación del Plan;  </w:t>
      </w:r>
    </w:p>
    <w:p w14:paraId="33AE9FAE" w14:textId="77777777" w:rsidR="00B52520" w:rsidRPr="0077568B" w:rsidRDefault="00B52520"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6651E4B1" w14:textId="5A623B10" w:rsidR="00190BC5" w:rsidRPr="0077568B" w:rsidRDefault="00133684"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9</w:t>
      </w:r>
      <w:r w:rsidR="00DE56F3" w:rsidRPr="0077568B">
        <w:rPr>
          <w:rFonts w:asciiTheme="minorHAnsi" w:hAnsiTheme="minorHAnsi" w:cstheme="minorHAnsi"/>
          <w:noProof/>
          <w:color w:val="auto"/>
          <w:sz w:val="22"/>
          <w:szCs w:val="22"/>
          <w:lang w:val="es-ES"/>
        </w:rPr>
        <w:t>.</w:t>
      </w:r>
      <w:r w:rsidR="00DE56F3" w:rsidRPr="0077568B">
        <w:rPr>
          <w:rFonts w:asciiTheme="minorHAnsi" w:hAnsiTheme="minorHAnsi" w:cstheme="minorHAnsi"/>
          <w:noProof/>
          <w:color w:val="auto"/>
          <w:sz w:val="22"/>
          <w:szCs w:val="22"/>
          <w:lang w:val="es-ES"/>
        </w:rPr>
        <w:tab/>
      </w:r>
      <w:r w:rsidR="00190BC5" w:rsidRPr="0077568B">
        <w:rPr>
          <w:rFonts w:asciiTheme="minorHAnsi" w:hAnsiTheme="minorHAnsi" w:cstheme="minorHAnsi"/>
          <w:noProof/>
          <w:color w:val="auto"/>
          <w:sz w:val="22"/>
          <w:szCs w:val="22"/>
          <w:lang w:val="es-ES"/>
        </w:rPr>
        <w:t>OBSERVA que el examen del Cuarto Plan Estratégico ha identificado una serie de metas e indicadores cuya aplicación presenta dificultades para algunas Partes</w:t>
      </w:r>
      <w:r w:rsidR="00612473" w:rsidRPr="0077568B">
        <w:rPr>
          <w:rFonts w:asciiTheme="minorHAnsi" w:hAnsiTheme="minorHAnsi" w:cstheme="minorHAnsi"/>
          <w:noProof/>
          <w:color w:val="auto"/>
          <w:sz w:val="22"/>
          <w:szCs w:val="22"/>
          <w:lang w:val="es-ES"/>
        </w:rPr>
        <w:t xml:space="preserve"> Contratantes</w:t>
      </w:r>
      <w:r w:rsidR="00190BC5" w:rsidRPr="0077568B">
        <w:rPr>
          <w:rFonts w:asciiTheme="minorHAnsi" w:hAnsiTheme="minorHAnsi" w:cstheme="minorHAnsi"/>
          <w:noProof/>
          <w:color w:val="auto"/>
          <w:sz w:val="22"/>
          <w:szCs w:val="22"/>
          <w:lang w:val="es-ES"/>
        </w:rPr>
        <w:t>,</w:t>
      </w:r>
      <w:r w:rsidR="00047632" w:rsidRPr="0077568B">
        <w:rPr>
          <w:rFonts w:asciiTheme="minorHAnsi" w:hAnsiTheme="minorHAnsi" w:cstheme="minorHAnsi"/>
          <w:noProof/>
          <w:color w:val="auto"/>
          <w:sz w:val="22"/>
          <w:szCs w:val="22"/>
          <w:lang w:val="es-ES"/>
        </w:rPr>
        <w:t xml:space="preserve"> y</w:t>
      </w:r>
      <w:r w:rsidR="00190BC5" w:rsidRPr="0077568B">
        <w:rPr>
          <w:rFonts w:asciiTheme="minorHAnsi" w:hAnsiTheme="minorHAnsi" w:cstheme="minorHAnsi"/>
          <w:noProof/>
          <w:color w:val="auto"/>
          <w:sz w:val="22"/>
          <w:szCs w:val="22"/>
          <w:lang w:val="es-ES"/>
        </w:rPr>
        <w:t xml:space="preserve"> ENCARGA a la Secretaría que </w:t>
      </w:r>
      <w:r w:rsidR="007A5E3C" w:rsidRPr="0077568B">
        <w:rPr>
          <w:rFonts w:asciiTheme="minorHAnsi" w:hAnsiTheme="minorHAnsi" w:cstheme="minorHAnsi"/>
          <w:noProof/>
          <w:color w:val="auto"/>
          <w:sz w:val="22"/>
          <w:szCs w:val="22"/>
          <w:lang w:val="es-ES"/>
        </w:rPr>
        <w:t>dé a conocer</w:t>
      </w:r>
      <w:r w:rsidR="00190BC5" w:rsidRPr="0077568B">
        <w:rPr>
          <w:rFonts w:asciiTheme="minorHAnsi" w:hAnsiTheme="minorHAnsi" w:cstheme="minorHAnsi"/>
          <w:noProof/>
          <w:color w:val="auto"/>
          <w:sz w:val="22"/>
          <w:szCs w:val="22"/>
          <w:lang w:val="es-ES"/>
        </w:rPr>
        <w:t xml:space="preserve"> las orientaciones </w:t>
      </w:r>
      <w:r w:rsidR="002E0896" w:rsidRPr="0077568B">
        <w:rPr>
          <w:rFonts w:asciiTheme="minorHAnsi" w:hAnsiTheme="minorHAnsi" w:cstheme="minorHAnsi"/>
          <w:noProof/>
          <w:color w:val="auto"/>
          <w:sz w:val="22"/>
          <w:szCs w:val="22"/>
          <w:lang w:val="es-ES"/>
        </w:rPr>
        <w:t>existentes</w:t>
      </w:r>
      <w:r w:rsidR="00190BC5" w:rsidRPr="0077568B">
        <w:rPr>
          <w:rFonts w:asciiTheme="minorHAnsi" w:hAnsiTheme="minorHAnsi" w:cstheme="minorHAnsi"/>
          <w:noProof/>
          <w:color w:val="auto"/>
          <w:sz w:val="22"/>
          <w:szCs w:val="22"/>
          <w:lang w:val="es-ES"/>
        </w:rPr>
        <w:t xml:space="preserve"> de </w:t>
      </w:r>
      <w:r w:rsidR="00410B04" w:rsidRPr="0077568B">
        <w:rPr>
          <w:rFonts w:asciiTheme="minorHAnsi" w:hAnsiTheme="minorHAnsi" w:cstheme="minorHAnsi"/>
          <w:noProof/>
          <w:color w:val="auto"/>
          <w:sz w:val="22"/>
          <w:szCs w:val="22"/>
          <w:lang w:val="es-ES"/>
        </w:rPr>
        <w:t>Ramsar</w:t>
      </w:r>
      <w:r w:rsidR="00190BC5" w:rsidRPr="0077568B">
        <w:rPr>
          <w:rFonts w:asciiTheme="minorHAnsi" w:hAnsiTheme="minorHAnsi" w:cstheme="minorHAnsi"/>
          <w:noProof/>
          <w:color w:val="auto"/>
          <w:sz w:val="22"/>
          <w:szCs w:val="22"/>
          <w:lang w:val="es-ES"/>
        </w:rPr>
        <w:t xml:space="preserve"> y </w:t>
      </w:r>
      <w:r w:rsidR="007A5E3C" w:rsidRPr="0077568B">
        <w:rPr>
          <w:rFonts w:asciiTheme="minorHAnsi" w:hAnsiTheme="minorHAnsi" w:cstheme="minorHAnsi"/>
          <w:noProof/>
          <w:color w:val="auto"/>
          <w:sz w:val="22"/>
          <w:szCs w:val="22"/>
          <w:lang w:val="es-ES"/>
        </w:rPr>
        <w:t>las</w:t>
      </w:r>
      <w:r w:rsidR="00190BC5" w:rsidRPr="0077568B">
        <w:rPr>
          <w:rFonts w:asciiTheme="minorHAnsi" w:hAnsiTheme="minorHAnsi" w:cstheme="minorHAnsi"/>
          <w:noProof/>
          <w:color w:val="auto"/>
          <w:sz w:val="22"/>
          <w:szCs w:val="22"/>
          <w:lang w:val="es-ES"/>
        </w:rPr>
        <w:t xml:space="preserve"> </w:t>
      </w:r>
      <w:r w:rsidR="007A5E3C" w:rsidRPr="0077568B">
        <w:rPr>
          <w:rFonts w:asciiTheme="minorHAnsi" w:hAnsiTheme="minorHAnsi" w:cstheme="minorHAnsi"/>
          <w:noProof/>
          <w:color w:val="auto"/>
          <w:sz w:val="22"/>
          <w:szCs w:val="22"/>
          <w:lang w:val="es-ES"/>
        </w:rPr>
        <w:t>divulgue</w:t>
      </w:r>
      <w:r w:rsidR="00190BC5" w:rsidRPr="0077568B">
        <w:rPr>
          <w:rFonts w:asciiTheme="minorHAnsi" w:hAnsiTheme="minorHAnsi" w:cstheme="minorHAnsi"/>
          <w:noProof/>
          <w:color w:val="auto"/>
          <w:sz w:val="22"/>
          <w:szCs w:val="22"/>
          <w:lang w:val="es-ES"/>
        </w:rPr>
        <w:t xml:space="preserve"> entre las Partes </w:t>
      </w:r>
      <w:r w:rsidR="00612473" w:rsidRPr="0077568B">
        <w:rPr>
          <w:rFonts w:asciiTheme="minorHAnsi" w:hAnsiTheme="minorHAnsi" w:cstheme="minorHAnsi"/>
          <w:noProof/>
          <w:color w:val="auto"/>
          <w:sz w:val="22"/>
          <w:szCs w:val="22"/>
          <w:lang w:val="es-ES"/>
        </w:rPr>
        <w:t xml:space="preserve">Contratantes </w:t>
      </w:r>
      <w:r w:rsidR="00190BC5" w:rsidRPr="0077568B">
        <w:rPr>
          <w:rFonts w:asciiTheme="minorHAnsi" w:hAnsiTheme="minorHAnsi" w:cstheme="minorHAnsi"/>
          <w:noProof/>
          <w:color w:val="auto"/>
          <w:sz w:val="22"/>
          <w:szCs w:val="22"/>
          <w:lang w:val="es-ES"/>
        </w:rPr>
        <w:t>que</w:t>
      </w:r>
      <w:r w:rsidR="00156F18" w:rsidRPr="0077568B">
        <w:rPr>
          <w:rFonts w:asciiTheme="minorHAnsi" w:hAnsiTheme="minorHAnsi" w:cstheme="minorHAnsi"/>
          <w:noProof/>
          <w:color w:val="auto"/>
          <w:sz w:val="22"/>
          <w:szCs w:val="22"/>
          <w:lang w:val="es-ES"/>
        </w:rPr>
        <w:t xml:space="preserve"> tengan</w:t>
      </w:r>
      <w:r w:rsidR="007A5E3C" w:rsidRPr="0077568B">
        <w:rPr>
          <w:rFonts w:asciiTheme="minorHAnsi" w:hAnsiTheme="minorHAnsi" w:cstheme="minorHAnsi"/>
          <w:noProof/>
          <w:color w:val="auto"/>
          <w:sz w:val="22"/>
          <w:szCs w:val="22"/>
          <w:lang w:val="es-ES"/>
        </w:rPr>
        <w:t xml:space="preserve"> </w:t>
      </w:r>
      <w:r w:rsidR="00190BC5" w:rsidRPr="0077568B">
        <w:rPr>
          <w:rFonts w:asciiTheme="minorHAnsi" w:hAnsiTheme="minorHAnsi" w:cstheme="minorHAnsi"/>
          <w:noProof/>
          <w:color w:val="auto"/>
          <w:sz w:val="22"/>
          <w:szCs w:val="22"/>
          <w:lang w:val="es-ES"/>
        </w:rPr>
        <w:t>dificultades;</w:t>
      </w:r>
    </w:p>
    <w:p w14:paraId="32166C59" w14:textId="51D369BD" w:rsidR="00425AB6" w:rsidRPr="0077568B" w:rsidRDefault="00425AB6"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5FA83A33" w14:textId="34C1ADF4" w:rsidR="00047632" w:rsidRPr="0077568B" w:rsidRDefault="00DE56F3"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1</w:t>
      </w:r>
      <w:r w:rsidR="00133684" w:rsidRPr="0077568B">
        <w:rPr>
          <w:rFonts w:asciiTheme="minorHAnsi" w:hAnsiTheme="minorHAnsi" w:cstheme="minorHAnsi"/>
          <w:noProof/>
          <w:color w:val="auto"/>
          <w:sz w:val="22"/>
          <w:szCs w:val="22"/>
          <w:lang w:val="es-ES"/>
        </w:rPr>
        <w:t>0</w:t>
      </w:r>
      <w:r w:rsidRPr="0077568B">
        <w:rPr>
          <w:rFonts w:asciiTheme="minorHAnsi" w:hAnsiTheme="minorHAnsi" w:cstheme="minorHAnsi"/>
          <w:noProof/>
          <w:color w:val="auto"/>
          <w:sz w:val="22"/>
          <w:szCs w:val="22"/>
          <w:lang w:val="es-ES"/>
        </w:rPr>
        <w:t>.</w:t>
      </w:r>
      <w:r w:rsidRPr="0077568B">
        <w:rPr>
          <w:rFonts w:asciiTheme="minorHAnsi" w:hAnsiTheme="minorHAnsi" w:cstheme="minorHAnsi"/>
          <w:noProof/>
          <w:color w:val="auto"/>
          <w:sz w:val="22"/>
          <w:szCs w:val="22"/>
          <w:lang w:val="es-ES"/>
        </w:rPr>
        <w:tab/>
      </w:r>
      <w:r w:rsidR="00047632" w:rsidRPr="0077568B">
        <w:rPr>
          <w:rFonts w:asciiTheme="minorHAnsi" w:hAnsiTheme="minorHAnsi" w:cstheme="minorHAnsi"/>
          <w:noProof/>
          <w:color w:val="auto"/>
          <w:sz w:val="22"/>
          <w:szCs w:val="22"/>
          <w:lang w:val="es-ES"/>
        </w:rPr>
        <w:t xml:space="preserve">TOMA NOTA ADEMÁS del </w:t>
      </w:r>
      <w:r w:rsidR="00EE40D7" w:rsidRPr="0077568B">
        <w:rPr>
          <w:rFonts w:asciiTheme="minorHAnsi" w:hAnsiTheme="minorHAnsi" w:cstheme="minorHAnsi"/>
          <w:noProof/>
          <w:color w:val="auto"/>
          <w:sz w:val="22"/>
          <w:szCs w:val="22"/>
          <w:lang w:val="es-ES"/>
        </w:rPr>
        <w:t>i</w:t>
      </w:r>
      <w:r w:rsidR="00047632" w:rsidRPr="0077568B">
        <w:rPr>
          <w:rFonts w:asciiTheme="minorHAnsi" w:hAnsiTheme="minorHAnsi" w:cstheme="minorHAnsi"/>
          <w:noProof/>
          <w:color w:val="auto"/>
          <w:sz w:val="22"/>
          <w:szCs w:val="22"/>
          <w:lang w:val="es-ES"/>
        </w:rPr>
        <w:t xml:space="preserve">nforme </w:t>
      </w:r>
      <w:r w:rsidR="00EE40D7" w:rsidRPr="0077568B">
        <w:rPr>
          <w:rFonts w:asciiTheme="minorHAnsi" w:hAnsiTheme="minorHAnsi" w:cstheme="minorHAnsi"/>
          <w:noProof/>
          <w:color w:val="auto"/>
          <w:sz w:val="22"/>
          <w:szCs w:val="22"/>
          <w:lang w:val="es-ES"/>
        </w:rPr>
        <w:t xml:space="preserve">a la COP14 </w:t>
      </w:r>
      <w:r w:rsidR="00047632" w:rsidRPr="0077568B">
        <w:rPr>
          <w:rFonts w:asciiTheme="minorHAnsi" w:hAnsiTheme="minorHAnsi" w:cstheme="minorHAnsi"/>
          <w:noProof/>
          <w:color w:val="auto"/>
          <w:sz w:val="22"/>
          <w:szCs w:val="22"/>
          <w:lang w:val="es-ES"/>
        </w:rPr>
        <w:t>sobre la aplicación de la Convención a escala mundial, que destaca las áreas en las que se han realizado progresos</w:t>
      </w:r>
      <w:r w:rsidR="006A094D" w:rsidRPr="0077568B">
        <w:rPr>
          <w:rFonts w:asciiTheme="minorHAnsi" w:hAnsiTheme="minorHAnsi" w:cstheme="minorHAnsi"/>
          <w:noProof/>
          <w:color w:val="auto"/>
          <w:sz w:val="22"/>
          <w:szCs w:val="22"/>
          <w:lang w:val="es-ES"/>
        </w:rPr>
        <w:t>,</w:t>
      </w:r>
      <w:r w:rsidR="00047632" w:rsidRPr="0077568B">
        <w:rPr>
          <w:rFonts w:asciiTheme="minorHAnsi" w:hAnsiTheme="minorHAnsi" w:cstheme="minorHAnsi"/>
          <w:noProof/>
          <w:color w:val="auto"/>
          <w:sz w:val="22"/>
          <w:szCs w:val="22"/>
          <w:lang w:val="es-ES"/>
        </w:rPr>
        <w:t xml:space="preserve"> </w:t>
      </w:r>
      <w:r w:rsidR="00EE40D7" w:rsidRPr="0077568B">
        <w:rPr>
          <w:rFonts w:asciiTheme="minorHAnsi" w:hAnsiTheme="minorHAnsi" w:cstheme="minorHAnsi"/>
          <w:noProof/>
          <w:color w:val="auto"/>
          <w:sz w:val="22"/>
          <w:szCs w:val="22"/>
          <w:lang w:val="es-ES"/>
        </w:rPr>
        <w:t xml:space="preserve">así como </w:t>
      </w:r>
      <w:r w:rsidR="00047632" w:rsidRPr="0077568B">
        <w:rPr>
          <w:rFonts w:asciiTheme="minorHAnsi" w:hAnsiTheme="minorHAnsi" w:cstheme="minorHAnsi"/>
          <w:noProof/>
          <w:color w:val="auto"/>
          <w:sz w:val="22"/>
          <w:szCs w:val="22"/>
          <w:lang w:val="es-ES"/>
        </w:rPr>
        <w:t xml:space="preserve">las dificultades en la aplicación del Cuarto Plan Estratégico de </w:t>
      </w:r>
      <w:r w:rsidR="00410B04" w:rsidRPr="0077568B">
        <w:rPr>
          <w:rFonts w:asciiTheme="minorHAnsi" w:hAnsiTheme="minorHAnsi" w:cstheme="minorHAnsi"/>
          <w:noProof/>
          <w:color w:val="auto"/>
          <w:sz w:val="22"/>
          <w:szCs w:val="22"/>
          <w:lang w:val="es-ES"/>
        </w:rPr>
        <w:t>Ramsar</w:t>
      </w:r>
      <w:r w:rsidR="00047632" w:rsidRPr="0077568B">
        <w:rPr>
          <w:rFonts w:asciiTheme="minorHAnsi" w:hAnsiTheme="minorHAnsi" w:cstheme="minorHAnsi"/>
          <w:noProof/>
          <w:color w:val="auto"/>
          <w:sz w:val="22"/>
          <w:szCs w:val="22"/>
          <w:lang w:val="es-ES"/>
        </w:rPr>
        <w:t xml:space="preserve"> para 2016-2024;</w:t>
      </w:r>
    </w:p>
    <w:p w14:paraId="178D0B72" w14:textId="77777777" w:rsidR="00425AB6" w:rsidRPr="0077568B" w:rsidRDefault="00425AB6"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1E059D5D" w14:textId="4BAD0D78" w:rsidR="000A1125" w:rsidRPr="0077568B" w:rsidRDefault="00DE56F3" w:rsidP="00DA1EB3">
      <w:pPr>
        <w:ind w:left="426" w:hanging="426"/>
        <w:rPr>
          <w:rFonts w:cstheme="minorHAnsi"/>
          <w:noProof/>
          <w:lang w:val="es-ES"/>
        </w:rPr>
      </w:pPr>
      <w:r w:rsidRPr="0077568B">
        <w:rPr>
          <w:rFonts w:cstheme="minorHAnsi"/>
          <w:noProof/>
          <w:lang w:val="es-ES"/>
        </w:rPr>
        <w:t>1</w:t>
      </w:r>
      <w:r w:rsidR="00133684" w:rsidRPr="0077568B">
        <w:rPr>
          <w:rFonts w:cstheme="minorHAnsi"/>
          <w:noProof/>
          <w:lang w:val="es-ES"/>
        </w:rPr>
        <w:t>1</w:t>
      </w:r>
      <w:r w:rsidRPr="0077568B">
        <w:rPr>
          <w:rFonts w:cstheme="minorHAnsi"/>
          <w:noProof/>
          <w:lang w:val="es-ES"/>
        </w:rPr>
        <w:t>.</w:t>
      </w:r>
      <w:r w:rsidRPr="0077568B">
        <w:rPr>
          <w:rFonts w:cstheme="minorHAnsi"/>
          <w:noProof/>
          <w:lang w:val="es-ES"/>
        </w:rPr>
        <w:tab/>
      </w:r>
      <w:r w:rsidR="000A1125" w:rsidRPr="0077568B">
        <w:rPr>
          <w:rFonts w:cstheme="minorHAnsi"/>
          <w:noProof/>
          <w:lang w:val="es-ES"/>
        </w:rPr>
        <w:t>ACUERDA ajustar el Cuarto Plan Estratégico para agregar tres anexos temáticos</w:t>
      </w:r>
      <w:r w:rsidR="003C2C71" w:rsidRPr="0077568B">
        <w:rPr>
          <w:rFonts w:cstheme="minorHAnsi"/>
          <w:noProof/>
          <w:lang w:val="es-ES"/>
        </w:rPr>
        <w:t xml:space="preserve">, </w:t>
      </w:r>
      <w:r w:rsidR="00EE40D7" w:rsidRPr="0077568B">
        <w:rPr>
          <w:rFonts w:cstheme="minorHAnsi"/>
          <w:noProof/>
          <w:lang w:val="es-ES"/>
        </w:rPr>
        <w:t>enumera</w:t>
      </w:r>
      <w:r w:rsidR="003C2C71" w:rsidRPr="0077568B">
        <w:rPr>
          <w:rFonts w:cstheme="minorHAnsi"/>
          <w:noProof/>
          <w:lang w:val="es-ES"/>
        </w:rPr>
        <w:t>dos</w:t>
      </w:r>
      <w:r w:rsidR="000A1125" w:rsidRPr="0077568B">
        <w:rPr>
          <w:rFonts w:cstheme="minorHAnsi"/>
          <w:noProof/>
          <w:lang w:val="es-ES"/>
        </w:rPr>
        <w:t xml:space="preserve"> a continuación, para ayudar a las Partes </w:t>
      </w:r>
      <w:r w:rsidR="003C2C71" w:rsidRPr="0077568B">
        <w:rPr>
          <w:rFonts w:cstheme="minorHAnsi"/>
          <w:noProof/>
          <w:lang w:val="es-ES"/>
        </w:rPr>
        <w:t xml:space="preserve">Contratantes </w:t>
      </w:r>
      <w:r w:rsidR="00EE40D7" w:rsidRPr="0077568B">
        <w:rPr>
          <w:rFonts w:cstheme="minorHAnsi"/>
          <w:noProof/>
          <w:lang w:val="es-ES"/>
        </w:rPr>
        <w:t>en la aplicación de</w:t>
      </w:r>
      <w:r w:rsidR="000A1125" w:rsidRPr="0077568B">
        <w:rPr>
          <w:rFonts w:cstheme="minorHAnsi"/>
          <w:noProof/>
          <w:lang w:val="es-ES"/>
        </w:rPr>
        <w:t xml:space="preserve"> cuestiones emergentes durante el último trienio del Plan. Estos</w:t>
      </w:r>
      <w:r w:rsidR="00EE40D7" w:rsidRPr="0077568B">
        <w:rPr>
          <w:rFonts w:cstheme="minorHAnsi"/>
          <w:noProof/>
          <w:lang w:val="es-ES"/>
        </w:rPr>
        <w:t xml:space="preserve"> anexos</w:t>
      </w:r>
      <w:r w:rsidR="000A1125" w:rsidRPr="0077568B">
        <w:rPr>
          <w:rFonts w:cstheme="minorHAnsi"/>
          <w:noProof/>
          <w:lang w:val="es-ES"/>
        </w:rPr>
        <w:t xml:space="preserve"> son:</w:t>
      </w:r>
    </w:p>
    <w:p w14:paraId="720E71B7" w14:textId="163DE116" w:rsidR="0099370C" w:rsidRPr="0077568B" w:rsidRDefault="000A1125" w:rsidP="00DA1EB3">
      <w:pPr>
        <w:pStyle w:val="ListParagraph"/>
        <w:numPr>
          <w:ilvl w:val="0"/>
          <w:numId w:val="21"/>
        </w:numPr>
        <w:spacing w:after="0" w:line="240" w:lineRule="auto"/>
        <w:ind w:left="851" w:hanging="426"/>
        <w:rPr>
          <w:rFonts w:cstheme="minorHAnsi"/>
          <w:noProof/>
          <w:lang w:val="es-ES"/>
        </w:rPr>
      </w:pPr>
      <w:r w:rsidRPr="0077568B">
        <w:rPr>
          <w:rFonts w:cstheme="minorHAnsi"/>
          <w:noProof/>
          <w:lang w:val="es-ES"/>
        </w:rPr>
        <w:t>Anexo</w:t>
      </w:r>
      <w:r w:rsidR="0099370C" w:rsidRPr="0077568B">
        <w:rPr>
          <w:rFonts w:cstheme="minorHAnsi"/>
          <w:noProof/>
          <w:lang w:val="es-ES"/>
        </w:rPr>
        <w:t xml:space="preserve"> 3</w:t>
      </w:r>
      <w:r w:rsidR="00F5155D" w:rsidRPr="0077568B">
        <w:rPr>
          <w:rFonts w:cstheme="minorHAnsi"/>
          <w:noProof/>
          <w:lang w:val="es-ES"/>
        </w:rPr>
        <w:t>:</w:t>
      </w:r>
      <w:r w:rsidR="0099370C" w:rsidRPr="0077568B">
        <w:rPr>
          <w:rFonts w:cstheme="minorHAnsi"/>
          <w:noProof/>
          <w:lang w:val="es-ES"/>
        </w:rPr>
        <w:t xml:space="preserve"> </w:t>
      </w:r>
      <w:r w:rsidRPr="0077568B">
        <w:rPr>
          <w:rFonts w:cstheme="minorHAnsi"/>
          <w:noProof/>
          <w:lang w:val="es-ES"/>
        </w:rPr>
        <w:t>Acciones de conservación de los humedales para alcanzar las metas de los Objetivos de Desarrollo Sostenible</w:t>
      </w:r>
      <w:r w:rsidR="0099370C" w:rsidRPr="0077568B">
        <w:rPr>
          <w:rFonts w:cstheme="minorHAnsi"/>
          <w:noProof/>
          <w:lang w:val="es-ES"/>
        </w:rPr>
        <w:t xml:space="preserve">,  </w:t>
      </w:r>
    </w:p>
    <w:p w14:paraId="416C8056" w14:textId="5EF0C42F" w:rsidR="000A1125" w:rsidRPr="0077568B" w:rsidRDefault="000A1125" w:rsidP="00DA1EB3">
      <w:pPr>
        <w:pStyle w:val="ListParagraph"/>
        <w:numPr>
          <w:ilvl w:val="0"/>
          <w:numId w:val="21"/>
        </w:numPr>
        <w:spacing w:after="0" w:line="240" w:lineRule="auto"/>
        <w:ind w:left="851" w:hanging="426"/>
        <w:rPr>
          <w:rFonts w:cstheme="minorHAnsi"/>
          <w:noProof/>
          <w:lang w:val="es-ES"/>
        </w:rPr>
      </w:pPr>
      <w:r w:rsidRPr="0077568B">
        <w:rPr>
          <w:rFonts w:cstheme="minorHAnsi"/>
          <w:noProof/>
          <w:lang w:val="es-ES"/>
        </w:rPr>
        <w:t>Anexo</w:t>
      </w:r>
      <w:r w:rsidR="0099370C" w:rsidRPr="0077568B">
        <w:rPr>
          <w:rFonts w:cstheme="minorHAnsi"/>
          <w:noProof/>
          <w:lang w:val="es-ES"/>
        </w:rPr>
        <w:t xml:space="preserve"> 4</w:t>
      </w:r>
      <w:r w:rsidR="00F5155D" w:rsidRPr="0077568B">
        <w:rPr>
          <w:rFonts w:cstheme="minorHAnsi"/>
          <w:noProof/>
          <w:lang w:val="es-ES"/>
        </w:rPr>
        <w:t>:</w:t>
      </w:r>
      <w:r w:rsidR="0099370C" w:rsidRPr="0077568B">
        <w:rPr>
          <w:rFonts w:cstheme="minorHAnsi"/>
          <w:noProof/>
          <w:lang w:val="es-ES"/>
        </w:rPr>
        <w:t xml:space="preserve"> </w:t>
      </w:r>
      <w:r w:rsidRPr="0077568B">
        <w:rPr>
          <w:rFonts w:cstheme="minorHAnsi"/>
          <w:noProof/>
          <w:lang w:val="es-ES"/>
        </w:rPr>
        <w:t>El nuevo enfoque de las actividades de CECoP y las políticas y prácticas relativas a los humedales, y</w:t>
      </w:r>
    </w:p>
    <w:p w14:paraId="3E5F9E8D" w14:textId="55A32BF2" w:rsidR="000A1125" w:rsidRPr="0077568B" w:rsidRDefault="000A1125" w:rsidP="00DA1EB3">
      <w:pPr>
        <w:pStyle w:val="ListParagraph"/>
        <w:numPr>
          <w:ilvl w:val="0"/>
          <w:numId w:val="21"/>
        </w:numPr>
        <w:spacing w:after="0" w:line="240" w:lineRule="auto"/>
        <w:ind w:left="851" w:hanging="426"/>
        <w:rPr>
          <w:rFonts w:cstheme="minorHAnsi"/>
          <w:noProof/>
          <w:lang w:val="es-ES"/>
        </w:rPr>
      </w:pPr>
      <w:r w:rsidRPr="0077568B">
        <w:rPr>
          <w:rFonts w:cstheme="minorHAnsi"/>
          <w:noProof/>
          <w:lang w:val="es-ES"/>
        </w:rPr>
        <w:t>Anexo</w:t>
      </w:r>
      <w:r w:rsidR="0099370C" w:rsidRPr="0077568B">
        <w:rPr>
          <w:rFonts w:cstheme="minorHAnsi"/>
          <w:noProof/>
          <w:lang w:val="es-ES"/>
        </w:rPr>
        <w:t xml:space="preserve"> 5</w:t>
      </w:r>
      <w:r w:rsidR="00F5155D" w:rsidRPr="0077568B">
        <w:rPr>
          <w:rFonts w:cstheme="minorHAnsi"/>
          <w:noProof/>
          <w:lang w:val="es-ES"/>
        </w:rPr>
        <w:t>:</w:t>
      </w:r>
      <w:r w:rsidR="0099370C" w:rsidRPr="0077568B">
        <w:rPr>
          <w:rFonts w:cstheme="minorHAnsi"/>
          <w:noProof/>
          <w:lang w:val="es-ES"/>
        </w:rPr>
        <w:t xml:space="preserve"> </w:t>
      </w:r>
      <w:r w:rsidR="00F5155D" w:rsidRPr="0077568B">
        <w:rPr>
          <w:rFonts w:cstheme="minorHAnsi"/>
          <w:noProof/>
          <w:lang w:val="es-ES"/>
        </w:rPr>
        <w:t>Perspectiva de género en las p</w:t>
      </w:r>
      <w:r w:rsidRPr="0077568B">
        <w:rPr>
          <w:rFonts w:cstheme="minorHAnsi"/>
          <w:noProof/>
          <w:lang w:val="es-ES"/>
        </w:rPr>
        <w:t>olíticas y prácticas relativas a los humedales para aplicar la Resolución XIII.18.</w:t>
      </w:r>
    </w:p>
    <w:p w14:paraId="4169A6A2" w14:textId="77777777" w:rsidR="0099370C" w:rsidRPr="0077568B" w:rsidRDefault="0099370C" w:rsidP="00DA1EB3">
      <w:pPr>
        <w:ind w:left="426" w:hanging="426"/>
        <w:rPr>
          <w:rFonts w:cstheme="minorHAnsi"/>
          <w:noProof/>
          <w:lang w:val="es-ES"/>
        </w:rPr>
      </w:pPr>
    </w:p>
    <w:p w14:paraId="0EBAEED5" w14:textId="49FF236E" w:rsidR="00F5155D" w:rsidRPr="0077568B" w:rsidRDefault="00DE56F3" w:rsidP="00DA1EB3">
      <w:pPr>
        <w:ind w:left="426" w:hanging="426"/>
        <w:rPr>
          <w:rFonts w:cstheme="minorHAnsi"/>
          <w:noProof/>
          <w:lang w:val="es-ES"/>
        </w:rPr>
      </w:pPr>
      <w:r w:rsidRPr="0077568B">
        <w:rPr>
          <w:rFonts w:cstheme="minorHAnsi"/>
          <w:noProof/>
          <w:lang w:val="es-ES"/>
        </w:rPr>
        <w:t>1</w:t>
      </w:r>
      <w:r w:rsidR="00133684" w:rsidRPr="0077568B">
        <w:rPr>
          <w:rFonts w:cstheme="minorHAnsi"/>
          <w:noProof/>
          <w:lang w:val="es-ES"/>
        </w:rPr>
        <w:t>2</w:t>
      </w:r>
      <w:r w:rsidRPr="0077568B">
        <w:rPr>
          <w:rFonts w:cstheme="minorHAnsi"/>
          <w:noProof/>
          <w:lang w:val="es-ES"/>
        </w:rPr>
        <w:t>.</w:t>
      </w:r>
      <w:r w:rsidRPr="0077568B">
        <w:rPr>
          <w:rFonts w:cstheme="minorHAnsi"/>
          <w:noProof/>
          <w:lang w:val="es-ES"/>
        </w:rPr>
        <w:tab/>
      </w:r>
      <w:r w:rsidR="00F5155D" w:rsidRPr="0077568B">
        <w:rPr>
          <w:rFonts w:cstheme="minorHAnsi"/>
          <w:noProof/>
          <w:lang w:val="es-ES"/>
        </w:rPr>
        <w:t xml:space="preserve">ACUERDA ADEMÁS </w:t>
      </w:r>
      <w:r w:rsidR="00774FA8" w:rsidRPr="0077568B">
        <w:rPr>
          <w:rFonts w:cstheme="minorHAnsi"/>
          <w:noProof/>
          <w:lang w:val="es-ES"/>
        </w:rPr>
        <w:t>que se actualice</w:t>
      </w:r>
      <w:r w:rsidR="00F5155D" w:rsidRPr="0077568B">
        <w:rPr>
          <w:rFonts w:cstheme="minorHAnsi"/>
          <w:noProof/>
          <w:lang w:val="es-ES"/>
        </w:rPr>
        <w:t xml:space="preserve"> el actual </w:t>
      </w:r>
      <w:r w:rsidR="00F50EB3" w:rsidRPr="0077568B">
        <w:rPr>
          <w:rFonts w:cstheme="minorHAnsi"/>
          <w:noProof/>
          <w:lang w:val="es-ES"/>
        </w:rPr>
        <w:t>A</w:t>
      </w:r>
      <w:r w:rsidR="00F5155D" w:rsidRPr="0077568B">
        <w:rPr>
          <w:rFonts w:cstheme="minorHAnsi"/>
          <w:noProof/>
          <w:lang w:val="es-ES"/>
        </w:rPr>
        <w:t xml:space="preserve">nexo 2 del </w:t>
      </w:r>
      <w:r w:rsidR="00774FA8" w:rsidRPr="0077568B">
        <w:rPr>
          <w:rFonts w:cstheme="minorHAnsi"/>
          <w:noProof/>
          <w:lang w:val="es-ES"/>
        </w:rPr>
        <w:t>C</w:t>
      </w:r>
      <w:r w:rsidR="00F5155D" w:rsidRPr="0077568B">
        <w:rPr>
          <w:rFonts w:cstheme="minorHAnsi"/>
          <w:noProof/>
          <w:lang w:val="es-ES"/>
        </w:rPr>
        <w:t xml:space="preserve">uarto Plan Estratégico para </w:t>
      </w:r>
      <w:r w:rsidR="00774FA8" w:rsidRPr="0077568B">
        <w:rPr>
          <w:rFonts w:cstheme="minorHAnsi"/>
          <w:noProof/>
          <w:lang w:val="es-ES"/>
        </w:rPr>
        <w:t>incorporar</w:t>
      </w:r>
      <w:r w:rsidR="00F5155D" w:rsidRPr="0077568B">
        <w:rPr>
          <w:rFonts w:cstheme="minorHAnsi"/>
          <w:noProof/>
          <w:lang w:val="es-ES"/>
        </w:rPr>
        <w:t xml:space="preserve"> las nuevas metas de </w:t>
      </w:r>
      <w:r w:rsidR="00774FA8" w:rsidRPr="0077568B">
        <w:rPr>
          <w:rFonts w:cstheme="minorHAnsi"/>
          <w:noProof/>
          <w:lang w:val="es-ES"/>
        </w:rPr>
        <w:t>b</w:t>
      </w:r>
      <w:r w:rsidR="00F5155D" w:rsidRPr="0077568B">
        <w:rPr>
          <w:rFonts w:cstheme="minorHAnsi"/>
          <w:noProof/>
          <w:lang w:val="es-ES"/>
        </w:rPr>
        <w:t xml:space="preserve">iodiversidad </w:t>
      </w:r>
      <w:r w:rsidR="00774FA8" w:rsidRPr="0077568B">
        <w:rPr>
          <w:rFonts w:cstheme="minorHAnsi"/>
          <w:noProof/>
          <w:lang w:val="es-ES"/>
        </w:rPr>
        <w:t>mundial</w:t>
      </w:r>
      <w:r w:rsidR="00D53985" w:rsidRPr="0077568B">
        <w:rPr>
          <w:rFonts w:cstheme="minorHAnsi"/>
          <w:noProof/>
          <w:lang w:val="es-ES"/>
        </w:rPr>
        <w:t>,</w:t>
      </w:r>
      <w:r w:rsidR="00F5155D" w:rsidRPr="0077568B">
        <w:rPr>
          <w:rFonts w:cstheme="minorHAnsi"/>
          <w:noProof/>
          <w:lang w:val="es-ES"/>
        </w:rPr>
        <w:t xml:space="preserve"> </w:t>
      </w:r>
      <w:r w:rsidR="00774FA8" w:rsidRPr="0077568B">
        <w:rPr>
          <w:rFonts w:cstheme="minorHAnsi"/>
          <w:noProof/>
          <w:lang w:val="es-ES"/>
        </w:rPr>
        <w:t>a fin de</w:t>
      </w:r>
      <w:r w:rsidR="00F5155D" w:rsidRPr="0077568B">
        <w:rPr>
          <w:rFonts w:cstheme="minorHAnsi"/>
          <w:noProof/>
          <w:lang w:val="es-ES"/>
        </w:rPr>
        <w:t xml:space="preserve"> </w:t>
      </w:r>
      <w:r w:rsidR="00774FA8" w:rsidRPr="0077568B">
        <w:rPr>
          <w:rFonts w:cstheme="minorHAnsi"/>
          <w:noProof/>
          <w:lang w:val="es-ES"/>
        </w:rPr>
        <w:t>armonizarlas</w:t>
      </w:r>
      <w:r w:rsidR="00F5155D" w:rsidRPr="0077568B">
        <w:rPr>
          <w:rFonts w:cstheme="minorHAnsi"/>
          <w:noProof/>
          <w:lang w:val="es-ES"/>
        </w:rPr>
        <w:t xml:space="preserve"> con los objetivos y metas del Plan Estratégico de </w:t>
      </w:r>
      <w:r w:rsidR="00410B04" w:rsidRPr="0077568B">
        <w:rPr>
          <w:rFonts w:cstheme="minorHAnsi"/>
          <w:noProof/>
          <w:lang w:val="es-ES"/>
        </w:rPr>
        <w:t>Ramsar</w:t>
      </w:r>
      <w:r w:rsidR="00F5155D" w:rsidRPr="0077568B">
        <w:rPr>
          <w:rFonts w:cstheme="minorHAnsi"/>
          <w:noProof/>
          <w:lang w:val="es-ES"/>
        </w:rPr>
        <w:t>;</w:t>
      </w:r>
    </w:p>
    <w:p w14:paraId="4A039326" w14:textId="77777777" w:rsidR="006C2337" w:rsidRPr="0077568B" w:rsidRDefault="006C2337" w:rsidP="00DA1EB3">
      <w:pPr>
        <w:jc w:val="both"/>
        <w:rPr>
          <w:rFonts w:cstheme="minorHAnsi"/>
          <w:noProof/>
          <w:lang w:val="es-ES"/>
        </w:rPr>
      </w:pPr>
    </w:p>
    <w:p w14:paraId="70E3E915" w14:textId="7E3C7CF0" w:rsidR="00774FA8" w:rsidRPr="0077568B" w:rsidRDefault="00DE56F3"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1</w:t>
      </w:r>
      <w:r w:rsidR="00133684" w:rsidRPr="0077568B">
        <w:rPr>
          <w:rFonts w:asciiTheme="minorHAnsi" w:hAnsiTheme="minorHAnsi" w:cstheme="minorHAnsi"/>
          <w:noProof/>
          <w:color w:val="auto"/>
          <w:sz w:val="22"/>
          <w:szCs w:val="22"/>
          <w:lang w:val="es-ES"/>
        </w:rPr>
        <w:t>3</w:t>
      </w:r>
      <w:r w:rsidRPr="0077568B">
        <w:rPr>
          <w:rFonts w:asciiTheme="minorHAnsi" w:hAnsiTheme="minorHAnsi" w:cstheme="minorHAnsi"/>
          <w:noProof/>
          <w:color w:val="auto"/>
          <w:sz w:val="22"/>
          <w:szCs w:val="22"/>
          <w:lang w:val="es-ES"/>
        </w:rPr>
        <w:t>.</w:t>
      </w:r>
      <w:r w:rsidRPr="0077568B">
        <w:rPr>
          <w:rFonts w:asciiTheme="minorHAnsi" w:hAnsiTheme="minorHAnsi" w:cstheme="minorHAnsi"/>
          <w:noProof/>
          <w:color w:val="auto"/>
          <w:sz w:val="22"/>
          <w:szCs w:val="22"/>
          <w:lang w:val="es-ES"/>
        </w:rPr>
        <w:tab/>
      </w:r>
      <w:r w:rsidR="00774FA8" w:rsidRPr="0077568B">
        <w:rPr>
          <w:rFonts w:asciiTheme="minorHAnsi" w:hAnsiTheme="minorHAnsi" w:cstheme="minorHAnsi"/>
          <w:noProof/>
          <w:color w:val="auto"/>
          <w:sz w:val="22"/>
          <w:szCs w:val="22"/>
          <w:lang w:val="es-ES"/>
        </w:rPr>
        <w:t xml:space="preserve">ALIENTA a las Partes a tener en cuenta estos anexos en su aplicación del </w:t>
      </w:r>
      <w:r w:rsidR="00EE40D7" w:rsidRPr="0077568B">
        <w:rPr>
          <w:rFonts w:asciiTheme="minorHAnsi" w:hAnsiTheme="minorHAnsi" w:cstheme="minorHAnsi"/>
          <w:noProof/>
          <w:color w:val="auto"/>
          <w:sz w:val="22"/>
          <w:szCs w:val="22"/>
          <w:lang w:val="es-ES"/>
        </w:rPr>
        <w:t>C</w:t>
      </w:r>
      <w:r w:rsidR="00774FA8" w:rsidRPr="0077568B">
        <w:rPr>
          <w:rFonts w:asciiTheme="minorHAnsi" w:hAnsiTheme="minorHAnsi" w:cstheme="minorHAnsi"/>
          <w:noProof/>
          <w:color w:val="auto"/>
          <w:sz w:val="22"/>
          <w:szCs w:val="22"/>
          <w:lang w:val="es-ES"/>
        </w:rPr>
        <w:t>uarto Plan Estratégico, asignar</w:t>
      </w:r>
      <w:r w:rsidR="00D53985" w:rsidRPr="0077568B">
        <w:rPr>
          <w:rFonts w:asciiTheme="minorHAnsi" w:hAnsiTheme="minorHAnsi" w:cstheme="minorHAnsi"/>
          <w:noProof/>
          <w:color w:val="auto"/>
          <w:sz w:val="22"/>
          <w:szCs w:val="22"/>
          <w:lang w:val="es-ES"/>
        </w:rPr>
        <w:t xml:space="preserve"> para este fin</w:t>
      </w:r>
      <w:r w:rsidR="00EE40D7" w:rsidRPr="0077568B">
        <w:rPr>
          <w:rFonts w:asciiTheme="minorHAnsi" w:hAnsiTheme="minorHAnsi" w:cstheme="minorHAnsi"/>
          <w:noProof/>
          <w:color w:val="auto"/>
          <w:sz w:val="22"/>
          <w:szCs w:val="22"/>
          <w:lang w:val="es-ES"/>
        </w:rPr>
        <w:t xml:space="preserve"> recursos financieros</w:t>
      </w:r>
      <w:r w:rsidR="006A793E" w:rsidRPr="0077568B">
        <w:rPr>
          <w:rFonts w:asciiTheme="minorHAnsi" w:hAnsiTheme="minorHAnsi" w:cstheme="minorHAnsi"/>
          <w:noProof/>
          <w:color w:val="auto"/>
          <w:sz w:val="22"/>
          <w:szCs w:val="22"/>
          <w:lang w:val="es-ES"/>
        </w:rPr>
        <w:t xml:space="preserve"> </w:t>
      </w:r>
      <w:r w:rsidR="00F64EB1" w:rsidRPr="0077568B">
        <w:rPr>
          <w:rFonts w:asciiTheme="minorHAnsi" w:hAnsiTheme="minorHAnsi" w:cstheme="minorHAnsi"/>
          <w:strike/>
          <w:noProof/>
          <w:color w:val="auto"/>
          <w:sz w:val="22"/>
          <w:szCs w:val="22"/>
          <w:lang w:val="es-ES"/>
        </w:rPr>
        <w:t>con cargo a los presupuestos nacionales</w:t>
      </w:r>
      <w:r w:rsidR="00F64EB1" w:rsidRPr="0077568B">
        <w:rPr>
          <w:rFonts w:asciiTheme="minorHAnsi" w:hAnsiTheme="minorHAnsi" w:cstheme="minorHAnsi"/>
          <w:noProof/>
          <w:color w:val="auto"/>
          <w:sz w:val="22"/>
          <w:szCs w:val="22"/>
          <w:lang w:val="es-ES"/>
        </w:rPr>
        <w:t xml:space="preserve"> </w:t>
      </w:r>
      <w:r w:rsidR="006A793E" w:rsidRPr="0077568B">
        <w:rPr>
          <w:rFonts w:asciiTheme="minorHAnsi" w:hAnsiTheme="minorHAnsi" w:cstheme="minorHAnsi"/>
          <w:noProof/>
          <w:color w:val="auto"/>
          <w:sz w:val="22"/>
          <w:szCs w:val="22"/>
          <w:u w:val="single"/>
          <w:lang w:val="es-ES"/>
        </w:rPr>
        <w:t>de acuerdo con las circunstancias y prioridades nacionales</w:t>
      </w:r>
      <w:r w:rsidR="00EE40D7" w:rsidRPr="0077568B">
        <w:rPr>
          <w:rFonts w:asciiTheme="minorHAnsi" w:hAnsiTheme="minorHAnsi" w:cstheme="minorHAnsi"/>
          <w:noProof/>
          <w:color w:val="auto"/>
          <w:sz w:val="22"/>
          <w:szCs w:val="22"/>
          <w:lang w:val="es-ES"/>
        </w:rPr>
        <w:t>,</w:t>
      </w:r>
      <w:r w:rsidR="00774FA8" w:rsidRPr="0077568B">
        <w:rPr>
          <w:rFonts w:asciiTheme="minorHAnsi" w:hAnsiTheme="minorHAnsi" w:cstheme="minorHAnsi"/>
          <w:noProof/>
          <w:color w:val="auto"/>
          <w:sz w:val="22"/>
          <w:szCs w:val="22"/>
          <w:lang w:val="es-ES"/>
        </w:rPr>
        <w:t xml:space="preserve"> </w:t>
      </w:r>
      <w:r w:rsidR="00EE40D7" w:rsidRPr="0077568B">
        <w:rPr>
          <w:rFonts w:asciiTheme="minorHAnsi" w:hAnsiTheme="minorHAnsi" w:cstheme="minorHAnsi"/>
          <w:noProof/>
          <w:color w:val="auto"/>
          <w:sz w:val="22"/>
          <w:szCs w:val="22"/>
          <w:lang w:val="es-ES"/>
        </w:rPr>
        <w:t>e</w:t>
      </w:r>
      <w:r w:rsidR="00774FA8" w:rsidRPr="0077568B">
        <w:rPr>
          <w:rFonts w:asciiTheme="minorHAnsi" w:hAnsiTheme="minorHAnsi" w:cstheme="minorHAnsi"/>
          <w:noProof/>
          <w:color w:val="auto"/>
          <w:sz w:val="22"/>
          <w:szCs w:val="22"/>
          <w:lang w:val="es-ES"/>
        </w:rPr>
        <w:t xml:space="preserve"> incluir dicha aplicación en </w:t>
      </w:r>
      <w:r w:rsidR="00EE40D7" w:rsidRPr="0077568B">
        <w:rPr>
          <w:rFonts w:asciiTheme="minorHAnsi" w:hAnsiTheme="minorHAnsi" w:cstheme="minorHAnsi"/>
          <w:noProof/>
          <w:color w:val="auto"/>
          <w:sz w:val="22"/>
          <w:szCs w:val="22"/>
          <w:lang w:val="es-ES"/>
        </w:rPr>
        <w:t>sus</w:t>
      </w:r>
      <w:r w:rsidR="00774FA8" w:rsidRPr="0077568B">
        <w:rPr>
          <w:rFonts w:asciiTheme="minorHAnsi" w:hAnsiTheme="minorHAnsi" w:cstheme="minorHAnsi"/>
          <w:noProof/>
          <w:color w:val="auto"/>
          <w:sz w:val="22"/>
          <w:szCs w:val="22"/>
          <w:lang w:val="es-ES"/>
        </w:rPr>
        <w:t xml:space="preserve"> informes nacionales </w:t>
      </w:r>
      <w:r w:rsidR="00EE40D7" w:rsidRPr="0077568B">
        <w:rPr>
          <w:rFonts w:asciiTheme="minorHAnsi" w:hAnsiTheme="minorHAnsi" w:cstheme="minorHAnsi"/>
          <w:noProof/>
          <w:color w:val="auto"/>
          <w:sz w:val="22"/>
          <w:szCs w:val="22"/>
          <w:lang w:val="es-ES"/>
        </w:rPr>
        <w:t xml:space="preserve">a presentarse </w:t>
      </w:r>
      <w:r w:rsidR="00774FA8" w:rsidRPr="0077568B">
        <w:rPr>
          <w:rFonts w:asciiTheme="minorHAnsi" w:hAnsiTheme="minorHAnsi" w:cstheme="minorHAnsi"/>
          <w:noProof/>
          <w:color w:val="auto"/>
          <w:sz w:val="22"/>
          <w:szCs w:val="22"/>
          <w:lang w:val="es-ES"/>
        </w:rPr>
        <w:t>a la 15ª reunión de la Conferencia de las Partes</w:t>
      </w:r>
      <w:r w:rsidR="003C2C71" w:rsidRPr="0077568B">
        <w:rPr>
          <w:rFonts w:asciiTheme="minorHAnsi" w:hAnsiTheme="minorHAnsi" w:cstheme="minorHAnsi"/>
          <w:noProof/>
          <w:color w:val="auto"/>
          <w:sz w:val="22"/>
          <w:szCs w:val="22"/>
          <w:lang w:val="es-ES"/>
        </w:rPr>
        <w:t xml:space="preserve"> Contratantes</w:t>
      </w:r>
      <w:r w:rsidR="00774FA8" w:rsidRPr="0077568B">
        <w:rPr>
          <w:rFonts w:asciiTheme="minorHAnsi" w:hAnsiTheme="minorHAnsi" w:cstheme="minorHAnsi"/>
          <w:noProof/>
          <w:color w:val="auto"/>
          <w:sz w:val="22"/>
          <w:szCs w:val="22"/>
          <w:lang w:val="es-ES"/>
        </w:rPr>
        <w:t xml:space="preserve">;  </w:t>
      </w:r>
    </w:p>
    <w:p w14:paraId="43764298" w14:textId="2AE5A9D2" w:rsidR="009A767E" w:rsidRPr="0077568B" w:rsidRDefault="009A767E"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65E4F2C" w14:textId="6682AB4B" w:rsidR="00EE40D7" w:rsidRPr="0077568B" w:rsidRDefault="00DE56F3"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1</w:t>
      </w:r>
      <w:r w:rsidR="00133684" w:rsidRPr="0077568B">
        <w:rPr>
          <w:rFonts w:asciiTheme="minorHAnsi" w:hAnsiTheme="minorHAnsi" w:cstheme="minorHAnsi"/>
          <w:noProof/>
          <w:color w:val="auto"/>
          <w:sz w:val="22"/>
          <w:szCs w:val="22"/>
          <w:lang w:val="es-ES"/>
        </w:rPr>
        <w:t>4</w:t>
      </w:r>
      <w:r w:rsidRPr="0077568B">
        <w:rPr>
          <w:rFonts w:asciiTheme="minorHAnsi" w:hAnsiTheme="minorHAnsi" w:cstheme="minorHAnsi"/>
          <w:noProof/>
          <w:color w:val="auto"/>
          <w:sz w:val="22"/>
          <w:szCs w:val="22"/>
          <w:lang w:val="es-ES"/>
        </w:rPr>
        <w:t>.</w:t>
      </w:r>
      <w:r w:rsidRPr="0077568B">
        <w:rPr>
          <w:rFonts w:asciiTheme="minorHAnsi" w:hAnsiTheme="minorHAnsi" w:cstheme="minorHAnsi"/>
          <w:noProof/>
          <w:color w:val="auto"/>
          <w:sz w:val="22"/>
          <w:szCs w:val="22"/>
          <w:lang w:val="es-ES"/>
        </w:rPr>
        <w:tab/>
      </w:r>
      <w:r w:rsidR="00EE40D7" w:rsidRPr="0077568B">
        <w:rPr>
          <w:rFonts w:asciiTheme="minorHAnsi" w:hAnsiTheme="minorHAnsi" w:cstheme="minorHAnsi"/>
          <w:noProof/>
          <w:color w:val="auto"/>
          <w:sz w:val="22"/>
          <w:szCs w:val="22"/>
          <w:lang w:val="es-ES"/>
        </w:rPr>
        <w:t xml:space="preserve">ACUERDA que el plazo del </w:t>
      </w:r>
      <w:r w:rsidR="00A23A57" w:rsidRPr="0077568B">
        <w:rPr>
          <w:rFonts w:asciiTheme="minorHAnsi" w:hAnsiTheme="minorHAnsi" w:cstheme="minorHAnsi"/>
          <w:noProof/>
          <w:color w:val="auto"/>
          <w:sz w:val="22"/>
          <w:szCs w:val="22"/>
          <w:lang w:val="es-ES"/>
        </w:rPr>
        <w:t>C</w:t>
      </w:r>
      <w:r w:rsidR="00EE40D7" w:rsidRPr="0077568B">
        <w:rPr>
          <w:rFonts w:asciiTheme="minorHAnsi" w:hAnsiTheme="minorHAnsi" w:cstheme="minorHAnsi"/>
          <w:noProof/>
          <w:color w:val="auto"/>
          <w:sz w:val="22"/>
          <w:szCs w:val="22"/>
          <w:lang w:val="es-ES"/>
        </w:rPr>
        <w:t xml:space="preserve">uarto Plan Estratégico se prorrogue desde 2024 hasta </w:t>
      </w:r>
      <w:r w:rsidR="002066AF" w:rsidRPr="0077568B">
        <w:rPr>
          <w:rFonts w:asciiTheme="minorHAnsi" w:hAnsiTheme="minorHAnsi" w:cstheme="minorHAnsi"/>
          <w:noProof/>
          <w:color w:val="auto"/>
          <w:sz w:val="22"/>
          <w:szCs w:val="22"/>
          <w:lang w:val="es-ES"/>
        </w:rPr>
        <w:t>que se celebre</w:t>
      </w:r>
      <w:r w:rsidR="00EE40D7" w:rsidRPr="0077568B">
        <w:rPr>
          <w:rFonts w:asciiTheme="minorHAnsi" w:hAnsiTheme="minorHAnsi" w:cstheme="minorHAnsi"/>
          <w:noProof/>
          <w:color w:val="auto"/>
          <w:sz w:val="22"/>
          <w:szCs w:val="22"/>
          <w:lang w:val="es-ES"/>
        </w:rPr>
        <w:t xml:space="preserve"> la COP15 para garantizar la continuidad entre los sucesivos </w:t>
      </w:r>
      <w:r w:rsidR="006C1275" w:rsidRPr="0077568B">
        <w:rPr>
          <w:rFonts w:asciiTheme="minorHAnsi" w:hAnsiTheme="minorHAnsi" w:cstheme="minorHAnsi"/>
          <w:noProof/>
          <w:color w:val="auto"/>
          <w:sz w:val="22"/>
          <w:szCs w:val="22"/>
          <w:lang w:val="es-ES"/>
        </w:rPr>
        <w:t>p</w:t>
      </w:r>
      <w:r w:rsidR="00EE40D7" w:rsidRPr="0077568B">
        <w:rPr>
          <w:rFonts w:asciiTheme="minorHAnsi" w:hAnsiTheme="minorHAnsi" w:cstheme="minorHAnsi"/>
          <w:noProof/>
          <w:color w:val="auto"/>
          <w:sz w:val="22"/>
          <w:szCs w:val="22"/>
          <w:lang w:val="es-ES"/>
        </w:rPr>
        <w:t xml:space="preserve">lanes </w:t>
      </w:r>
      <w:r w:rsidR="006C1275" w:rsidRPr="0077568B">
        <w:rPr>
          <w:rFonts w:asciiTheme="minorHAnsi" w:hAnsiTheme="minorHAnsi" w:cstheme="minorHAnsi"/>
          <w:noProof/>
          <w:color w:val="auto"/>
          <w:sz w:val="22"/>
          <w:szCs w:val="22"/>
          <w:lang w:val="es-ES"/>
        </w:rPr>
        <w:t>e</w:t>
      </w:r>
      <w:r w:rsidR="00EE40D7" w:rsidRPr="0077568B">
        <w:rPr>
          <w:rFonts w:asciiTheme="minorHAnsi" w:hAnsiTheme="minorHAnsi" w:cstheme="minorHAnsi"/>
          <w:noProof/>
          <w:color w:val="auto"/>
          <w:sz w:val="22"/>
          <w:szCs w:val="22"/>
          <w:lang w:val="es-ES"/>
        </w:rPr>
        <w:t>stratégicos.</w:t>
      </w:r>
    </w:p>
    <w:p w14:paraId="3DF24260" w14:textId="11E92675" w:rsidR="006A793E" w:rsidRPr="0077568B" w:rsidRDefault="006A793E"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p>
    <w:p w14:paraId="38751838" w14:textId="6D1151C3" w:rsidR="006A793E" w:rsidRPr="0077568B" w:rsidRDefault="006A793E" w:rsidP="00587A18">
      <w:pPr>
        <w:rPr>
          <w:rFonts w:cstheme="minorHAnsi"/>
          <w:i/>
          <w:iCs/>
          <w:noProof/>
          <w:u w:val="single"/>
          <w:lang w:val="es-ES"/>
        </w:rPr>
      </w:pPr>
      <w:r w:rsidRPr="0077568B">
        <w:rPr>
          <w:rFonts w:cstheme="minorHAnsi"/>
          <w:i/>
          <w:iCs/>
          <w:noProof/>
          <w:u w:val="single"/>
          <w:lang w:val="es-ES"/>
        </w:rPr>
        <w:t xml:space="preserve">El Grupo de trabajo sobre el Quinto Plan Estratégico propone </w:t>
      </w:r>
      <w:r w:rsidR="00587A18" w:rsidRPr="0077568B">
        <w:rPr>
          <w:rFonts w:cstheme="minorHAnsi"/>
          <w:i/>
          <w:iCs/>
          <w:noProof/>
          <w:u w:val="single"/>
          <w:lang w:val="es-ES"/>
        </w:rPr>
        <w:t>que se examine</w:t>
      </w:r>
      <w:r w:rsidRPr="0077568B">
        <w:rPr>
          <w:rFonts w:cstheme="minorHAnsi"/>
          <w:i/>
          <w:iCs/>
          <w:noProof/>
          <w:u w:val="single"/>
          <w:lang w:val="es-ES"/>
        </w:rPr>
        <w:t xml:space="preserve"> este párrafo para el proyecto de resolución SC</w:t>
      </w:r>
      <w:r w:rsidR="00587A18" w:rsidRPr="0077568B">
        <w:rPr>
          <w:rFonts w:cstheme="minorHAnsi"/>
          <w:i/>
          <w:iCs/>
          <w:noProof/>
          <w:u w:val="single"/>
          <w:lang w:val="es-ES"/>
        </w:rPr>
        <w:t>59 Doc.16:</w:t>
      </w:r>
    </w:p>
    <w:p w14:paraId="66675CC2" w14:textId="71FC47E4" w:rsidR="00587A18" w:rsidRPr="0077568B" w:rsidRDefault="00587A18" w:rsidP="00587A18">
      <w:pPr>
        <w:rPr>
          <w:rFonts w:eastAsia="Times New Roman" w:cstheme="minorHAnsi"/>
          <w:noProof/>
          <w:u w:val="single"/>
          <w:lang w:val="es-ES" w:eastAsia="en-GB"/>
        </w:rPr>
      </w:pPr>
      <w:r w:rsidRPr="0077568B">
        <w:rPr>
          <w:rFonts w:eastAsia="Times New Roman" w:cstheme="minorHAnsi"/>
          <w:noProof/>
          <w:u w:val="single"/>
          <w:lang w:val="es-ES" w:eastAsia="en-GB"/>
        </w:rPr>
        <w:t xml:space="preserve">Destaca la importancia de una mayor cooperación internacional, incluso mediante el fortalecimiento de </w:t>
      </w:r>
      <w:r w:rsidRPr="0077568B">
        <w:rPr>
          <w:rFonts w:cstheme="minorHAnsi"/>
          <w:noProof/>
          <w:u w:val="single"/>
          <w:lang w:val="es-ES"/>
        </w:rPr>
        <w:t>la creación de capacidad, la cooperación técnica y científica, la transferencia de tecnología y la asistencia financiera a</w:t>
      </w:r>
      <w:r w:rsidRPr="0077568B">
        <w:rPr>
          <w:rFonts w:eastAsia="Times New Roman" w:cstheme="minorHAnsi"/>
          <w:noProof/>
          <w:u w:val="single"/>
          <w:lang w:val="es-ES" w:eastAsia="en-GB"/>
        </w:rPr>
        <w:t xml:space="preserve"> </w:t>
      </w:r>
      <w:r w:rsidRPr="0077568B">
        <w:rPr>
          <w:rFonts w:cstheme="minorHAnsi"/>
          <w:noProof/>
          <w:u w:val="single"/>
          <w:lang w:val="es-ES"/>
        </w:rPr>
        <w:t>los países en desarrollo que son Partes Contratantes, para apoyar la aplicación del Cuarto Plan Estratégico en su último trienio</w:t>
      </w:r>
      <w:r w:rsidRPr="0077568B">
        <w:rPr>
          <w:rFonts w:cstheme="minorHAnsi"/>
          <w:i/>
          <w:iCs/>
          <w:noProof/>
          <w:u w:val="single"/>
          <w:lang w:val="es-ES"/>
        </w:rPr>
        <w:t>.</w:t>
      </w:r>
    </w:p>
    <w:p w14:paraId="47B0A6A5" w14:textId="7B71F12B" w:rsidR="009A767E" w:rsidRPr="0077568B" w:rsidRDefault="009A767E"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1F6509F" w14:textId="1853E5A5" w:rsidR="009A40B0" w:rsidRPr="0077568B" w:rsidRDefault="00133684" w:rsidP="002E3148">
      <w:pPr>
        <w:pStyle w:val="DRText"/>
        <w:keepNext/>
        <w:widowControl/>
        <w:numPr>
          <w:ilvl w:val="0"/>
          <w:numId w:val="0"/>
        </w:numPr>
        <w:spacing w:after="0" w:line="240" w:lineRule="auto"/>
        <w:rPr>
          <w:rFonts w:asciiTheme="minorHAnsi" w:hAnsiTheme="minorHAnsi" w:cstheme="minorHAnsi"/>
          <w:noProof/>
          <w:color w:val="auto"/>
          <w:sz w:val="22"/>
          <w:szCs w:val="22"/>
          <w:u w:val="single"/>
          <w:lang w:val="es-ES" w:eastAsia="ko-KR"/>
        </w:rPr>
      </w:pPr>
      <w:r w:rsidRPr="0077568B">
        <w:rPr>
          <w:rFonts w:asciiTheme="minorHAnsi" w:hAnsiTheme="minorHAnsi" w:cstheme="minorHAnsi"/>
          <w:noProof/>
          <w:color w:val="auto"/>
          <w:sz w:val="22"/>
          <w:szCs w:val="22"/>
          <w:u w:val="single"/>
          <w:lang w:val="es-ES"/>
        </w:rPr>
        <w:lastRenderedPageBreak/>
        <w:t>M</w:t>
      </w:r>
      <w:r w:rsidR="003C2525" w:rsidRPr="0077568B">
        <w:rPr>
          <w:rFonts w:asciiTheme="minorHAnsi" w:hAnsiTheme="minorHAnsi" w:cstheme="minorHAnsi"/>
          <w:noProof/>
          <w:color w:val="auto"/>
          <w:sz w:val="22"/>
          <w:szCs w:val="22"/>
          <w:u w:val="single"/>
          <w:lang w:val="es-ES"/>
        </w:rPr>
        <w:t xml:space="preserve">arco </w:t>
      </w:r>
      <w:r w:rsidR="00596E1C" w:rsidRPr="0077568B">
        <w:rPr>
          <w:rFonts w:asciiTheme="minorHAnsi" w:hAnsiTheme="minorHAnsi" w:cstheme="minorHAnsi"/>
          <w:noProof/>
          <w:color w:val="auto"/>
          <w:sz w:val="22"/>
          <w:szCs w:val="22"/>
          <w:u w:val="single"/>
          <w:lang w:val="es-ES"/>
        </w:rPr>
        <w:t>para la elaboración del Quinto Plan Estratégico de Ramsar</w:t>
      </w:r>
    </w:p>
    <w:p w14:paraId="7375DFBF" w14:textId="77777777" w:rsidR="009A40B0" w:rsidRPr="0077568B" w:rsidRDefault="009A40B0" w:rsidP="002E3148">
      <w:pPr>
        <w:pStyle w:val="DRText"/>
        <w:keepNext/>
        <w:widowControl/>
        <w:numPr>
          <w:ilvl w:val="0"/>
          <w:numId w:val="0"/>
        </w:numPr>
        <w:spacing w:after="0" w:line="240" w:lineRule="auto"/>
        <w:ind w:left="426" w:hanging="426"/>
        <w:rPr>
          <w:rFonts w:asciiTheme="minorHAnsi" w:hAnsiTheme="minorHAnsi" w:cstheme="minorHAnsi"/>
          <w:noProof/>
          <w:color w:val="auto"/>
          <w:sz w:val="22"/>
          <w:szCs w:val="22"/>
          <w:lang w:val="es-ES" w:eastAsia="ko-KR"/>
        </w:rPr>
      </w:pPr>
    </w:p>
    <w:p w14:paraId="65AA7077" w14:textId="2490FC3E" w:rsidR="00E52C66" w:rsidRPr="0077568B" w:rsidRDefault="00DE56F3" w:rsidP="00DA1EB3">
      <w:pPr>
        <w:autoSpaceDE w:val="0"/>
        <w:autoSpaceDN w:val="0"/>
        <w:adjustRightInd w:val="0"/>
        <w:ind w:left="425" w:hanging="425"/>
        <w:rPr>
          <w:rFonts w:cstheme="minorHAnsi"/>
          <w:noProof/>
          <w:lang w:val="es-ES"/>
        </w:rPr>
      </w:pPr>
      <w:r w:rsidRPr="0077568B">
        <w:rPr>
          <w:rFonts w:cstheme="minorHAnsi"/>
          <w:noProof/>
          <w:lang w:val="es-ES"/>
        </w:rPr>
        <w:t>1</w:t>
      </w:r>
      <w:r w:rsidR="00133684" w:rsidRPr="0077568B">
        <w:rPr>
          <w:rFonts w:cstheme="minorHAnsi"/>
          <w:noProof/>
          <w:lang w:val="es-ES"/>
        </w:rPr>
        <w:t>5</w:t>
      </w:r>
      <w:r w:rsidRPr="0077568B">
        <w:rPr>
          <w:rFonts w:cstheme="minorHAnsi"/>
          <w:noProof/>
          <w:lang w:val="es-ES"/>
        </w:rPr>
        <w:t>.</w:t>
      </w:r>
      <w:r w:rsidRPr="0077568B">
        <w:rPr>
          <w:rFonts w:cstheme="minorHAnsi"/>
          <w:noProof/>
          <w:lang w:val="es-ES"/>
        </w:rPr>
        <w:tab/>
      </w:r>
      <w:r w:rsidR="00E52C66" w:rsidRPr="0077568B">
        <w:rPr>
          <w:rFonts w:cstheme="minorHAnsi"/>
          <w:noProof/>
          <w:lang w:val="es-ES"/>
        </w:rPr>
        <w:t>REAFIRMA las Decisiones de la 59ª Reunión del Comité Permanente (SC59-20, SC59-32) de establecer un nuevo Grupo de Trabajo sobre el Plan Estratégico, y aprobar un presupuesto para preparar el quinto Plan Estratégico y, OBSERVA que el nuevo Grupo de Trabajo ha comenzado los trabajos preparatorios para asegurar que un proyecto de Plan esté listo para su aprobación en la COP15;</w:t>
      </w:r>
    </w:p>
    <w:p w14:paraId="119E0308" w14:textId="3D3EC940" w:rsidR="00D50D15" w:rsidRPr="0077568B" w:rsidRDefault="00D50D15" w:rsidP="00DA1EB3">
      <w:pPr>
        <w:pStyle w:val="DRText"/>
        <w:widowControl/>
        <w:numPr>
          <w:ilvl w:val="0"/>
          <w:numId w:val="0"/>
        </w:numPr>
        <w:spacing w:after="0" w:line="240" w:lineRule="auto"/>
        <w:rPr>
          <w:rFonts w:asciiTheme="minorHAnsi" w:hAnsiTheme="minorHAnsi" w:cstheme="minorHAnsi"/>
          <w:noProof/>
          <w:color w:val="auto"/>
          <w:sz w:val="22"/>
          <w:szCs w:val="22"/>
          <w:lang w:val="es-ES" w:eastAsia="ko-KR"/>
        </w:rPr>
      </w:pPr>
    </w:p>
    <w:p w14:paraId="3B334584" w14:textId="623F3DBD" w:rsidR="00FC1384" w:rsidRPr="0077568B"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1</w:t>
      </w:r>
      <w:r w:rsidR="00E52C66" w:rsidRPr="0077568B">
        <w:rPr>
          <w:rFonts w:asciiTheme="minorHAnsi" w:hAnsiTheme="minorHAnsi" w:cstheme="minorHAnsi"/>
          <w:noProof/>
          <w:color w:val="auto"/>
          <w:sz w:val="22"/>
          <w:szCs w:val="22"/>
          <w:lang w:val="es-ES"/>
        </w:rPr>
        <w:t>6</w:t>
      </w:r>
      <w:r w:rsidRPr="0077568B">
        <w:rPr>
          <w:rFonts w:asciiTheme="minorHAnsi" w:hAnsiTheme="minorHAnsi" w:cstheme="minorHAnsi"/>
          <w:noProof/>
          <w:color w:val="auto"/>
          <w:sz w:val="22"/>
          <w:szCs w:val="22"/>
          <w:lang w:val="es-ES"/>
        </w:rPr>
        <w:t>.</w:t>
      </w:r>
      <w:r w:rsidRPr="0077568B">
        <w:rPr>
          <w:rFonts w:asciiTheme="minorHAnsi" w:hAnsiTheme="minorHAnsi" w:cstheme="minorHAnsi"/>
          <w:noProof/>
          <w:color w:val="auto"/>
          <w:sz w:val="22"/>
          <w:szCs w:val="22"/>
          <w:lang w:val="es-ES"/>
        </w:rPr>
        <w:tab/>
      </w:r>
      <w:r w:rsidR="00FC1384" w:rsidRPr="0077568B">
        <w:rPr>
          <w:rFonts w:asciiTheme="minorHAnsi" w:hAnsiTheme="minorHAnsi" w:cstheme="minorHAnsi"/>
          <w:noProof/>
          <w:color w:val="auto"/>
          <w:sz w:val="22"/>
          <w:szCs w:val="22"/>
          <w:lang w:val="es-ES"/>
        </w:rPr>
        <w:t xml:space="preserve">REAFIRMA </w:t>
      </w:r>
      <w:r w:rsidR="00E52C66" w:rsidRPr="0077568B">
        <w:rPr>
          <w:rFonts w:asciiTheme="minorHAnsi" w:hAnsiTheme="minorHAnsi" w:cstheme="minorHAnsi"/>
          <w:noProof/>
          <w:color w:val="auto"/>
          <w:sz w:val="22"/>
          <w:szCs w:val="22"/>
          <w:lang w:val="es-ES"/>
        </w:rPr>
        <w:t xml:space="preserve">ADEMÁS </w:t>
      </w:r>
      <w:r w:rsidR="00FC1384" w:rsidRPr="0077568B">
        <w:rPr>
          <w:rFonts w:asciiTheme="minorHAnsi" w:hAnsiTheme="minorHAnsi" w:cstheme="minorHAnsi"/>
          <w:noProof/>
          <w:color w:val="auto"/>
          <w:sz w:val="22"/>
          <w:szCs w:val="22"/>
          <w:lang w:val="es-ES"/>
        </w:rPr>
        <w:t>que el principio de uso racional de la Convención tiene en cuenta las necesidades y aspiraciones de las generaciones actuales y futuras;</w:t>
      </w:r>
    </w:p>
    <w:p w14:paraId="5D3838E8" w14:textId="38FEAD2C" w:rsidR="007B6BFB" w:rsidRPr="0077568B" w:rsidRDefault="00FC1384"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 xml:space="preserve">  </w:t>
      </w:r>
    </w:p>
    <w:p w14:paraId="2DA2C776" w14:textId="6F2DA7A0" w:rsidR="00FC1384" w:rsidRPr="0077568B"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eastAsia="ko-KR"/>
        </w:rPr>
      </w:pPr>
      <w:r w:rsidRPr="0077568B">
        <w:rPr>
          <w:rFonts w:asciiTheme="minorHAnsi" w:hAnsiTheme="minorHAnsi" w:cstheme="minorHAnsi"/>
          <w:noProof/>
          <w:color w:val="auto"/>
          <w:sz w:val="22"/>
          <w:szCs w:val="22"/>
          <w:lang w:val="es-ES" w:eastAsia="ko-KR"/>
        </w:rPr>
        <w:t>1</w:t>
      </w:r>
      <w:r w:rsidR="00E52C66" w:rsidRPr="0077568B">
        <w:rPr>
          <w:rFonts w:asciiTheme="minorHAnsi" w:hAnsiTheme="minorHAnsi" w:cstheme="minorHAnsi"/>
          <w:noProof/>
          <w:color w:val="auto"/>
          <w:sz w:val="22"/>
          <w:szCs w:val="22"/>
          <w:lang w:val="es-ES" w:eastAsia="ko-KR"/>
        </w:rPr>
        <w:t>7</w:t>
      </w:r>
      <w:r w:rsidRPr="0077568B">
        <w:rPr>
          <w:rFonts w:asciiTheme="minorHAnsi" w:hAnsiTheme="minorHAnsi" w:cstheme="minorHAnsi"/>
          <w:noProof/>
          <w:color w:val="auto"/>
          <w:sz w:val="22"/>
          <w:szCs w:val="22"/>
          <w:lang w:val="es-ES" w:eastAsia="ko-KR"/>
        </w:rPr>
        <w:t>.</w:t>
      </w:r>
      <w:r w:rsidRPr="0077568B">
        <w:rPr>
          <w:rFonts w:asciiTheme="minorHAnsi" w:hAnsiTheme="minorHAnsi" w:cstheme="minorHAnsi"/>
          <w:noProof/>
          <w:color w:val="auto"/>
          <w:sz w:val="22"/>
          <w:szCs w:val="22"/>
          <w:lang w:val="es-ES" w:eastAsia="ko-KR"/>
        </w:rPr>
        <w:tab/>
      </w:r>
      <w:r w:rsidR="00FC1384" w:rsidRPr="0077568B">
        <w:rPr>
          <w:rFonts w:asciiTheme="minorHAnsi" w:hAnsiTheme="minorHAnsi" w:cstheme="minorHAnsi"/>
          <w:noProof/>
          <w:color w:val="auto"/>
          <w:sz w:val="22"/>
          <w:szCs w:val="22"/>
          <w:lang w:val="es-ES" w:eastAsia="ko-KR"/>
        </w:rPr>
        <w:t xml:space="preserve">ACUERDA que los objetivos del Cuarto Plan Estratégico de </w:t>
      </w:r>
      <w:r w:rsidR="00410B04" w:rsidRPr="0077568B">
        <w:rPr>
          <w:rFonts w:asciiTheme="minorHAnsi" w:hAnsiTheme="minorHAnsi" w:cstheme="minorHAnsi"/>
          <w:noProof/>
          <w:color w:val="auto"/>
          <w:sz w:val="22"/>
          <w:szCs w:val="22"/>
          <w:lang w:val="es-ES" w:eastAsia="ko-KR"/>
        </w:rPr>
        <w:t>Ramsar</w:t>
      </w:r>
      <w:r w:rsidR="00FC1384" w:rsidRPr="0077568B">
        <w:rPr>
          <w:rFonts w:asciiTheme="minorHAnsi" w:hAnsiTheme="minorHAnsi" w:cstheme="minorHAnsi"/>
          <w:noProof/>
          <w:color w:val="auto"/>
          <w:sz w:val="22"/>
          <w:szCs w:val="22"/>
          <w:lang w:val="es-ES" w:eastAsia="ko-KR"/>
        </w:rPr>
        <w:t xml:space="preserve"> se </w:t>
      </w:r>
      <w:r w:rsidR="00BC6827" w:rsidRPr="0077568B">
        <w:rPr>
          <w:rFonts w:asciiTheme="minorHAnsi" w:hAnsiTheme="minorHAnsi" w:cstheme="minorHAnsi"/>
          <w:noProof/>
          <w:color w:val="auto"/>
          <w:sz w:val="22"/>
          <w:szCs w:val="22"/>
          <w:lang w:val="es-ES" w:eastAsia="ko-KR"/>
        </w:rPr>
        <w:t>conserven</w:t>
      </w:r>
      <w:r w:rsidR="00FC1384" w:rsidRPr="0077568B">
        <w:rPr>
          <w:rFonts w:asciiTheme="minorHAnsi" w:hAnsiTheme="minorHAnsi" w:cstheme="minorHAnsi"/>
          <w:noProof/>
          <w:color w:val="auto"/>
          <w:sz w:val="22"/>
          <w:szCs w:val="22"/>
          <w:lang w:val="es-ES" w:eastAsia="ko-KR"/>
        </w:rPr>
        <w:t xml:space="preserve"> en el Quinto Plan Estratégico de </w:t>
      </w:r>
      <w:r w:rsidR="006C1275" w:rsidRPr="0077568B">
        <w:rPr>
          <w:rFonts w:asciiTheme="minorHAnsi" w:hAnsiTheme="minorHAnsi" w:cstheme="minorHAnsi"/>
          <w:noProof/>
          <w:color w:val="auto"/>
          <w:sz w:val="22"/>
          <w:szCs w:val="22"/>
          <w:lang w:val="es-ES" w:eastAsia="ko-KR"/>
        </w:rPr>
        <w:t xml:space="preserve">Ramsar </w:t>
      </w:r>
      <w:r w:rsidR="00016EE3" w:rsidRPr="0077568B">
        <w:rPr>
          <w:rFonts w:asciiTheme="minorHAnsi" w:hAnsiTheme="minorHAnsi" w:cstheme="minorHAnsi"/>
          <w:noProof/>
          <w:color w:val="auto"/>
          <w:sz w:val="22"/>
          <w:szCs w:val="22"/>
          <w:lang w:val="es-ES" w:eastAsia="ko-KR"/>
        </w:rPr>
        <w:t xml:space="preserve">para </w:t>
      </w:r>
      <w:r w:rsidR="00BC6827" w:rsidRPr="0077568B">
        <w:rPr>
          <w:rFonts w:asciiTheme="minorHAnsi" w:hAnsiTheme="minorHAnsi" w:cstheme="minorHAnsi"/>
          <w:noProof/>
          <w:color w:val="auto"/>
          <w:sz w:val="22"/>
          <w:szCs w:val="22"/>
          <w:lang w:val="es-ES" w:eastAsia="ko-KR"/>
        </w:rPr>
        <w:t>mantener</w:t>
      </w:r>
      <w:r w:rsidR="00FC1384" w:rsidRPr="0077568B">
        <w:rPr>
          <w:rFonts w:asciiTheme="minorHAnsi" w:hAnsiTheme="minorHAnsi" w:cstheme="minorHAnsi"/>
          <w:noProof/>
          <w:color w:val="auto"/>
          <w:sz w:val="22"/>
          <w:szCs w:val="22"/>
          <w:lang w:val="es-ES" w:eastAsia="ko-KR"/>
        </w:rPr>
        <w:t xml:space="preserve"> </w:t>
      </w:r>
      <w:r w:rsidR="00BC6827" w:rsidRPr="0077568B">
        <w:rPr>
          <w:rFonts w:asciiTheme="minorHAnsi" w:hAnsiTheme="minorHAnsi" w:cstheme="minorHAnsi"/>
          <w:noProof/>
          <w:color w:val="auto"/>
          <w:sz w:val="22"/>
          <w:szCs w:val="22"/>
          <w:lang w:val="es-ES" w:eastAsia="ko-KR"/>
        </w:rPr>
        <w:t xml:space="preserve">la </w:t>
      </w:r>
      <w:r w:rsidR="00FC1384" w:rsidRPr="0077568B">
        <w:rPr>
          <w:rFonts w:asciiTheme="minorHAnsi" w:hAnsiTheme="minorHAnsi" w:cstheme="minorHAnsi"/>
          <w:noProof/>
          <w:color w:val="auto"/>
          <w:sz w:val="22"/>
          <w:szCs w:val="22"/>
          <w:lang w:val="es-ES" w:eastAsia="ko-KR"/>
        </w:rPr>
        <w:t>coherencia y continuidad en la presentación de informes</w:t>
      </w:r>
      <w:r w:rsidR="00300646" w:rsidRPr="0077568B">
        <w:rPr>
          <w:rFonts w:asciiTheme="minorHAnsi" w:hAnsiTheme="minorHAnsi" w:cstheme="minorHAnsi"/>
          <w:noProof/>
          <w:color w:val="auto"/>
          <w:sz w:val="22"/>
          <w:szCs w:val="22"/>
          <w:lang w:val="es-ES" w:eastAsia="ko-KR"/>
        </w:rPr>
        <w:t>,</w:t>
      </w:r>
      <w:r w:rsidR="00FC1384" w:rsidRPr="0077568B">
        <w:rPr>
          <w:rFonts w:asciiTheme="minorHAnsi" w:hAnsiTheme="minorHAnsi" w:cstheme="minorHAnsi"/>
          <w:noProof/>
          <w:color w:val="auto"/>
          <w:sz w:val="22"/>
          <w:szCs w:val="22"/>
          <w:lang w:val="es-ES" w:eastAsia="ko-KR"/>
        </w:rPr>
        <w:t xml:space="preserve"> y que </w:t>
      </w:r>
      <w:r w:rsidR="00BC6827" w:rsidRPr="0077568B">
        <w:rPr>
          <w:rFonts w:asciiTheme="minorHAnsi" w:hAnsiTheme="minorHAnsi" w:cstheme="minorHAnsi"/>
          <w:noProof/>
          <w:color w:val="auto"/>
          <w:sz w:val="22"/>
          <w:szCs w:val="22"/>
          <w:lang w:val="es-ES" w:eastAsia="ko-KR"/>
        </w:rPr>
        <w:t>las metas</w:t>
      </w:r>
      <w:r w:rsidR="00FC1384" w:rsidRPr="0077568B">
        <w:rPr>
          <w:rFonts w:asciiTheme="minorHAnsi" w:hAnsiTheme="minorHAnsi" w:cstheme="minorHAnsi"/>
          <w:noProof/>
          <w:color w:val="auto"/>
          <w:sz w:val="22"/>
          <w:szCs w:val="22"/>
          <w:lang w:val="es-ES" w:eastAsia="ko-KR"/>
        </w:rPr>
        <w:t xml:space="preserve"> y acciones se enmarquen </w:t>
      </w:r>
      <w:r w:rsidR="00BC6827" w:rsidRPr="0077568B">
        <w:rPr>
          <w:rFonts w:asciiTheme="minorHAnsi" w:hAnsiTheme="minorHAnsi" w:cstheme="minorHAnsi"/>
          <w:noProof/>
          <w:color w:val="auto"/>
          <w:sz w:val="22"/>
          <w:szCs w:val="22"/>
          <w:lang w:val="es-ES" w:eastAsia="ko-KR"/>
        </w:rPr>
        <w:t>para realizar</w:t>
      </w:r>
      <w:r w:rsidR="00FC1384" w:rsidRPr="0077568B">
        <w:rPr>
          <w:rFonts w:asciiTheme="minorHAnsi" w:hAnsiTheme="minorHAnsi" w:cstheme="minorHAnsi"/>
          <w:noProof/>
          <w:color w:val="auto"/>
          <w:sz w:val="22"/>
          <w:szCs w:val="22"/>
          <w:lang w:val="es-ES" w:eastAsia="ko-KR"/>
        </w:rPr>
        <w:t xml:space="preserve"> contribuciones</w:t>
      </w:r>
      <w:r w:rsidR="00F64EB1" w:rsidRPr="0077568B">
        <w:rPr>
          <w:rFonts w:asciiTheme="minorHAnsi" w:hAnsiTheme="minorHAnsi" w:cstheme="minorHAnsi"/>
          <w:noProof/>
          <w:color w:val="auto"/>
          <w:sz w:val="22"/>
          <w:szCs w:val="22"/>
          <w:lang w:val="es-ES" w:eastAsia="ko-KR"/>
        </w:rPr>
        <w:t xml:space="preserve"> </w:t>
      </w:r>
      <w:r w:rsidR="00F64EB1" w:rsidRPr="0077568B">
        <w:rPr>
          <w:rFonts w:asciiTheme="minorHAnsi" w:hAnsiTheme="minorHAnsi" w:cstheme="minorHAnsi"/>
          <w:strike/>
          <w:noProof/>
          <w:color w:val="auto"/>
          <w:sz w:val="22"/>
          <w:szCs w:val="22"/>
          <w:lang w:val="es-ES" w:eastAsia="ko-KR"/>
        </w:rPr>
        <w:t>cruciales</w:t>
      </w:r>
      <w:r w:rsidR="00FC1384" w:rsidRPr="0077568B">
        <w:rPr>
          <w:rFonts w:asciiTheme="minorHAnsi" w:hAnsiTheme="minorHAnsi" w:cstheme="minorHAnsi"/>
          <w:noProof/>
          <w:color w:val="auto"/>
          <w:sz w:val="22"/>
          <w:szCs w:val="22"/>
          <w:lang w:val="es-ES" w:eastAsia="ko-KR"/>
        </w:rPr>
        <w:t xml:space="preserve"> </w:t>
      </w:r>
      <w:r w:rsidR="00587A18" w:rsidRPr="0077568B">
        <w:rPr>
          <w:rFonts w:asciiTheme="minorHAnsi" w:hAnsiTheme="minorHAnsi" w:cstheme="minorHAnsi"/>
          <w:noProof/>
          <w:color w:val="auto"/>
          <w:sz w:val="22"/>
          <w:szCs w:val="22"/>
          <w:u w:val="single"/>
          <w:lang w:val="es-ES" w:eastAsia="ko-KR"/>
        </w:rPr>
        <w:t>importantes</w:t>
      </w:r>
      <w:r w:rsidR="00FC1384" w:rsidRPr="0077568B">
        <w:rPr>
          <w:rFonts w:asciiTheme="minorHAnsi" w:hAnsiTheme="minorHAnsi" w:cstheme="minorHAnsi"/>
          <w:noProof/>
          <w:color w:val="auto"/>
          <w:sz w:val="22"/>
          <w:szCs w:val="22"/>
          <w:lang w:val="es-ES" w:eastAsia="ko-KR"/>
        </w:rPr>
        <w:t xml:space="preserve"> </w:t>
      </w:r>
      <w:r w:rsidR="00016EE3" w:rsidRPr="0077568B">
        <w:rPr>
          <w:rFonts w:asciiTheme="minorHAnsi" w:hAnsiTheme="minorHAnsi" w:cstheme="minorHAnsi"/>
          <w:noProof/>
          <w:color w:val="auto"/>
          <w:sz w:val="22"/>
          <w:szCs w:val="22"/>
          <w:lang w:val="es-ES" w:eastAsia="ko-KR"/>
        </w:rPr>
        <w:t>a favor de</w:t>
      </w:r>
      <w:r w:rsidR="00FC1384" w:rsidRPr="0077568B">
        <w:rPr>
          <w:rFonts w:asciiTheme="minorHAnsi" w:hAnsiTheme="minorHAnsi" w:cstheme="minorHAnsi"/>
          <w:noProof/>
          <w:color w:val="auto"/>
          <w:sz w:val="22"/>
          <w:szCs w:val="22"/>
          <w:lang w:val="es-ES" w:eastAsia="ko-KR"/>
        </w:rPr>
        <w:t xml:space="preserve"> los humedales </w:t>
      </w:r>
      <w:r w:rsidR="00016EE3" w:rsidRPr="0077568B">
        <w:rPr>
          <w:rFonts w:asciiTheme="minorHAnsi" w:hAnsiTheme="minorHAnsi" w:cstheme="minorHAnsi"/>
          <w:noProof/>
          <w:color w:val="auto"/>
          <w:sz w:val="22"/>
          <w:szCs w:val="22"/>
          <w:lang w:val="es-ES" w:eastAsia="ko-KR"/>
        </w:rPr>
        <w:t>a fin de</w:t>
      </w:r>
      <w:r w:rsidR="00FC1384" w:rsidRPr="0077568B">
        <w:rPr>
          <w:rFonts w:asciiTheme="minorHAnsi" w:hAnsiTheme="minorHAnsi" w:cstheme="minorHAnsi"/>
          <w:noProof/>
          <w:color w:val="auto"/>
          <w:sz w:val="22"/>
          <w:szCs w:val="22"/>
          <w:lang w:val="es-ES" w:eastAsia="ko-KR"/>
        </w:rPr>
        <w:t xml:space="preserve"> hacer frente a los </w:t>
      </w:r>
      <w:r w:rsidR="00016EE3" w:rsidRPr="0077568B">
        <w:rPr>
          <w:rFonts w:asciiTheme="minorHAnsi" w:hAnsiTheme="minorHAnsi" w:cstheme="minorHAnsi"/>
          <w:noProof/>
          <w:color w:val="auto"/>
          <w:sz w:val="22"/>
          <w:szCs w:val="22"/>
          <w:lang w:val="es-ES" w:eastAsia="ko-KR"/>
        </w:rPr>
        <w:t>problemas</w:t>
      </w:r>
      <w:r w:rsidR="00FC1384" w:rsidRPr="0077568B">
        <w:rPr>
          <w:rFonts w:asciiTheme="minorHAnsi" w:hAnsiTheme="minorHAnsi" w:cstheme="minorHAnsi"/>
          <w:noProof/>
          <w:color w:val="auto"/>
          <w:sz w:val="22"/>
          <w:szCs w:val="22"/>
          <w:lang w:val="es-ES" w:eastAsia="ko-KR"/>
        </w:rPr>
        <w:t xml:space="preserve"> ambientales a escala mundial durante el período de aplicación del nuevo Plan</w:t>
      </w:r>
      <w:r w:rsidR="002D4DC4" w:rsidRPr="0077568B">
        <w:rPr>
          <w:rFonts w:asciiTheme="minorHAnsi" w:hAnsiTheme="minorHAnsi" w:cstheme="minorHAnsi"/>
          <w:noProof/>
          <w:color w:val="auto"/>
          <w:sz w:val="22"/>
          <w:szCs w:val="22"/>
          <w:u w:val="single"/>
          <w:lang w:val="es-ES" w:eastAsia="ko-KR"/>
        </w:rPr>
        <w:t>, garantizando los medios adecuados de aplicación, y OBSERVANDO que los ecosistemas de humedales proporcionan beneficios ambientales, económicos y sociales que están directamente relacionados con los medios de vida sostenibles y la resiliencia climática y la adaptación al cambio climático</w:t>
      </w:r>
      <w:r w:rsidR="00FC1384" w:rsidRPr="0077568B">
        <w:rPr>
          <w:rFonts w:asciiTheme="minorHAnsi" w:hAnsiTheme="minorHAnsi" w:cstheme="minorHAnsi"/>
          <w:noProof/>
          <w:color w:val="auto"/>
          <w:sz w:val="22"/>
          <w:szCs w:val="22"/>
          <w:lang w:val="es-ES" w:eastAsia="ko-KR"/>
        </w:rPr>
        <w:t>;</w:t>
      </w:r>
    </w:p>
    <w:p w14:paraId="2598123B" w14:textId="77777777" w:rsidR="007B6BFB" w:rsidRPr="0077568B" w:rsidRDefault="007B6BFB" w:rsidP="002D4DC4">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eastAsia="ko-KR"/>
        </w:rPr>
      </w:pPr>
    </w:p>
    <w:p w14:paraId="31C3E463" w14:textId="71334D1A" w:rsidR="004328A2" w:rsidRPr="0077568B"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1</w:t>
      </w:r>
      <w:r w:rsidR="00E52C66" w:rsidRPr="0077568B">
        <w:rPr>
          <w:rFonts w:asciiTheme="minorHAnsi" w:hAnsiTheme="minorHAnsi" w:cstheme="minorHAnsi"/>
          <w:noProof/>
          <w:color w:val="auto"/>
          <w:sz w:val="22"/>
          <w:szCs w:val="22"/>
          <w:lang w:val="es-ES"/>
        </w:rPr>
        <w:t>8</w:t>
      </w:r>
      <w:r w:rsidRPr="0077568B">
        <w:rPr>
          <w:rFonts w:asciiTheme="minorHAnsi" w:hAnsiTheme="minorHAnsi" w:cstheme="minorHAnsi"/>
          <w:noProof/>
          <w:color w:val="auto"/>
          <w:sz w:val="22"/>
          <w:szCs w:val="22"/>
          <w:lang w:val="es-ES"/>
        </w:rPr>
        <w:t>.</w:t>
      </w:r>
      <w:r w:rsidR="00C51E4B" w:rsidRPr="0077568B">
        <w:rPr>
          <w:rFonts w:asciiTheme="minorHAnsi" w:hAnsiTheme="minorHAnsi" w:cstheme="minorHAnsi"/>
          <w:noProof/>
          <w:color w:val="auto"/>
          <w:sz w:val="22"/>
          <w:szCs w:val="22"/>
          <w:lang w:val="es-ES"/>
        </w:rPr>
        <w:tab/>
      </w:r>
      <w:r w:rsidR="004328A2" w:rsidRPr="0077568B">
        <w:rPr>
          <w:rFonts w:asciiTheme="minorHAnsi" w:hAnsiTheme="minorHAnsi" w:cstheme="minorHAnsi"/>
          <w:noProof/>
          <w:color w:val="auto"/>
          <w:sz w:val="22"/>
          <w:szCs w:val="22"/>
          <w:lang w:val="es-ES"/>
        </w:rPr>
        <w:t>ACUERDA ADEMÁS que el Quinto Plan Estratégico se fundamentará en la edición especial de la Perspectiva mundial sobre los humedales</w:t>
      </w:r>
      <w:r w:rsidR="00300646" w:rsidRPr="0077568B">
        <w:rPr>
          <w:rFonts w:asciiTheme="minorHAnsi" w:hAnsiTheme="minorHAnsi" w:cstheme="minorHAnsi"/>
          <w:noProof/>
          <w:color w:val="auto"/>
          <w:sz w:val="22"/>
          <w:szCs w:val="22"/>
          <w:lang w:val="es-ES"/>
        </w:rPr>
        <w:t xml:space="preserve"> y</w:t>
      </w:r>
      <w:r w:rsidR="004328A2" w:rsidRPr="0077568B">
        <w:rPr>
          <w:rFonts w:asciiTheme="minorHAnsi" w:hAnsiTheme="minorHAnsi" w:cstheme="minorHAnsi"/>
          <w:noProof/>
          <w:color w:val="auto"/>
          <w:sz w:val="22"/>
          <w:szCs w:val="22"/>
          <w:lang w:val="es-ES"/>
        </w:rPr>
        <w:t xml:space="preserve"> el análisis de la Secretaría de los </w:t>
      </w:r>
      <w:r w:rsidR="006C1275" w:rsidRPr="0077568B">
        <w:rPr>
          <w:rFonts w:asciiTheme="minorHAnsi" w:hAnsiTheme="minorHAnsi" w:cstheme="minorHAnsi"/>
          <w:noProof/>
          <w:color w:val="auto"/>
          <w:sz w:val="22"/>
          <w:szCs w:val="22"/>
          <w:lang w:val="es-ES"/>
        </w:rPr>
        <w:t>i</w:t>
      </w:r>
      <w:r w:rsidR="004328A2" w:rsidRPr="0077568B">
        <w:rPr>
          <w:rFonts w:asciiTheme="minorHAnsi" w:hAnsiTheme="minorHAnsi" w:cstheme="minorHAnsi"/>
          <w:noProof/>
          <w:color w:val="auto"/>
          <w:sz w:val="22"/>
          <w:szCs w:val="22"/>
          <w:lang w:val="es-ES"/>
        </w:rPr>
        <w:t xml:space="preserve">nformes </w:t>
      </w:r>
      <w:r w:rsidR="006C1275" w:rsidRPr="0077568B">
        <w:rPr>
          <w:rFonts w:asciiTheme="minorHAnsi" w:hAnsiTheme="minorHAnsi" w:cstheme="minorHAnsi"/>
          <w:noProof/>
          <w:color w:val="auto"/>
          <w:sz w:val="22"/>
          <w:szCs w:val="22"/>
          <w:lang w:val="es-ES"/>
        </w:rPr>
        <w:t>n</w:t>
      </w:r>
      <w:r w:rsidR="004328A2" w:rsidRPr="0077568B">
        <w:rPr>
          <w:rFonts w:asciiTheme="minorHAnsi" w:hAnsiTheme="minorHAnsi" w:cstheme="minorHAnsi"/>
          <w:noProof/>
          <w:color w:val="auto"/>
          <w:sz w:val="22"/>
          <w:szCs w:val="22"/>
          <w:lang w:val="es-ES"/>
        </w:rPr>
        <w:t xml:space="preserve">acionales presentados a la COP14, así como en elementos </w:t>
      </w:r>
      <w:r w:rsidR="00251023" w:rsidRPr="0077568B">
        <w:rPr>
          <w:rFonts w:asciiTheme="minorHAnsi" w:hAnsiTheme="minorHAnsi" w:cstheme="minorHAnsi"/>
          <w:noProof/>
          <w:color w:val="auto"/>
          <w:sz w:val="22"/>
          <w:szCs w:val="22"/>
          <w:lang w:val="es-ES"/>
        </w:rPr>
        <w:t>esenciales</w:t>
      </w:r>
      <w:r w:rsidR="004328A2" w:rsidRPr="0077568B">
        <w:rPr>
          <w:rFonts w:asciiTheme="minorHAnsi" w:hAnsiTheme="minorHAnsi" w:cstheme="minorHAnsi"/>
          <w:noProof/>
          <w:color w:val="auto"/>
          <w:sz w:val="22"/>
          <w:szCs w:val="22"/>
          <w:lang w:val="es-ES"/>
        </w:rPr>
        <w:t xml:space="preserve"> </w:t>
      </w:r>
      <w:r w:rsidR="002D4DC4" w:rsidRPr="0077568B">
        <w:rPr>
          <w:rFonts w:asciiTheme="minorHAnsi" w:hAnsiTheme="minorHAnsi" w:cstheme="minorHAnsi"/>
          <w:noProof/>
          <w:color w:val="auto"/>
          <w:sz w:val="22"/>
          <w:szCs w:val="22"/>
          <w:u w:val="single"/>
          <w:lang w:val="es-ES"/>
        </w:rPr>
        <w:t>acordados</w:t>
      </w:r>
      <w:r w:rsidR="002D4DC4" w:rsidRPr="0077568B">
        <w:rPr>
          <w:rFonts w:asciiTheme="minorHAnsi" w:hAnsiTheme="minorHAnsi" w:cstheme="minorHAnsi"/>
          <w:noProof/>
          <w:color w:val="auto"/>
          <w:sz w:val="22"/>
          <w:szCs w:val="22"/>
          <w:lang w:val="es-ES"/>
        </w:rPr>
        <w:t xml:space="preserve"> </w:t>
      </w:r>
      <w:r w:rsidR="004328A2" w:rsidRPr="0077568B">
        <w:rPr>
          <w:rFonts w:asciiTheme="minorHAnsi" w:hAnsiTheme="minorHAnsi" w:cstheme="minorHAnsi"/>
          <w:noProof/>
          <w:color w:val="auto"/>
          <w:sz w:val="22"/>
          <w:szCs w:val="22"/>
          <w:lang w:val="es-ES"/>
        </w:rPr>
        <w:t>externos a la Convención, los Objetivos de Desarrollo Sostenible</w:t>
      </w:r>
      <w:r w:rsidR="00D6652E" w:rsidRPr="0077568B">
        <w:rPr>
          <w:rFonts w:asciiTheme="minorHAnsi" w:hAnsiTheme="minorHAnsi" w:cstheme="minorHAnsi"/>
          <w:noProof/>
          <w:color w:val="auto"/>
          <w:sz w:val="22"/>
          <w:szCs w:val="22"/>
          <w:lang w:val="es-ES"/>
        </w:rPr>
        <w:t xml:space="preserve">, </w:t>
      </w:r>
      <w:r w:rsidR="004328A2" w:rsidRPr="0077568B">
        <w:rPr>
          <w:rFonts w:asciiTheme="minorHAnsi" w:hAnsiTheme="minorHAnsi" w:cstheme="minorHAnsi"/>
          <w:noProof/>
          <w:color w:val="auto"/>
          <w:sz w:val="22"/>
          <w:szCs w:val="22"/>
          <w:lang w:val="es-ES"/>
        </w:rPr>
        <w:t xml:space="preserve">el Marco Mundial </w:t>
      </w:r>
      <w:r w:rsidR="00C34635" w:rsidRPr="0077568B">
        <w:rPr>
          <w:rFonts w:asciiTheme="minorHAnsi" w:hAnsiTheme="minorHAnsi" w:cstheme="minorHAnsi"/>
          <w:noProof/>
          <w:color w:val="auto"/>
          <w:sz w:val="22"/>
          <w:szCs w:val="22"/>
          <w:lang w:val="es-ES"/>
        </w:rPr>
        <w:t>de</w:t>
      </w:r>
      <w:r w:rsidR="004328A2" w:rsidRPr="0077568B">
        <w:rPr>
          <w:rFonts w:asciiTheme="minorHAnsi" w:hAnsiTheme="minorHAnsi" w:cstheme="minorHAnsi"/>
          <w:noProof/>
          <w:color w:val="auto"/>
          <w:sz w:val="22"/>
          <w:szCs w:val="22"/>
          <w:lang w:val="es-ES"/>
        </w:rPr>
        <w:t xml:space="preserve"> la </w:t>
      </w:r>
      <w:r w:rsidR="00C34635" w:rsidRPr="0077568B">
        <w:rPr>
          <w:rFonts w:asciiTheme="minorHAnsi" w:hAnsiTheme="minorHAnsi" w:cstheme="minorHAnsi"/>
          <w:noProof/>
          <w:color w:val="auto"/>
          <w:sz w:val="22"/>
          <w:szCs w:val="22"/>
          <w:lang w:val="es-ES"/>
        </w:rPr>
        <w:t>D</w:t>
      </w:r>
      <w:r w:rsidR="004328A2" w:rsidRPr="0077568B">
        <w:rPr>
          <w:rFonts w:asciiTheme="minorHAnsi" w:hAnsiTheme="minorHAnsi" w:cstheme="minorHAnsi"/>
          <w:noProof/>
          <w:color w:val="auto"/>
          <w:sz w:val="22"/>
          <w:szCs w:val="22"/>
          <w:lang w:val="es-ES"/>
        </w:rPr>
        <w:t>iversidad</w:t>
      </w:r>
      <w:r w:rsidR="00C34635" w:rsidRPr="0077568B">
        <w:rPr>
          <w:rFonts w:asciiTheme="minorHAnsi" w:hAnsiTheme="minorHAnsi" w:cstheme="minorHAnsi"/>
          <w:noProof/>
          <w:color w:val="auto"/>
          <w:sz w:val="22"/>
          <w:szCs w:val="22"/>
          <w:lang w:val="es-ES"/>
        </w:rPr>
        <w:t xml:space="preserve"> Biológica</w:t>
      </w:r>
      <w:r w:rsidR="004328A2" w:rsidRPr="0077568B">
        <w:rPr>
          <w:rFonts w:asciiTheme="minorHAnsi" w:hAnsiTheme="minorHAnsi" w:cstheme="minorHAnsi"/>
          <w:noProof/>
          <w:color w:val="auto"/>
          <w:sz w:val="22"/>
          <w:szCs w:val="22"/>
          <w:lang w:val="es-ES"/>
        </w:rPr>
        <w:t xml:space="preserve">, </w:t>
      </w:r>
      <w:r w:rsidR="00D6652E" w:rsidRPr="0077568B">
        <w:rPr>
          <w:rFonts w:asciiTheme="minorHAnsi" w:hAnsiTheme="minorHAnsi" w:cstheme="minorHAnsi"/>
          <w:noProof/>
          <w:color w:val="auto"/>
          <w:sz w:val="22"/>
          <w:szCs w:val="22"/>
          <w:u w:val="single"/>
          <w:lang w:val="es-ES"/>
        </w:rPr>
        <w:t>las contribuciones de los humedales al CMNUCC,</w:t>
      </w:r>
      <w:r w:rsidR="00D6652E" w:rsidRPr="0077568B">
        <w:rPr>
          <w:rFonts w:asciiTheme="minorHAnsi" w:hAnsiTheme="minorHAnsi" w:cstheme="minorHAnsi"/>
          <w:noProof/>
          <w:color w:val="auto"/>
          <w:sz w:val="22"/>
          <w:szCs w:val="22"/>
          <w:lang w:val="es-ES"/>
        </w:rPr>
        <w:t xml:space="preserve"> </w:t>
      </w:r>
      <w:r w:rsidR="004328A2" w:rsidRPr="0077568B">
        <w:rPr>
          <w:rFonts w:asciiTheme="minorHAnsi" w:hAnsiTheme="minorHAnsi" w:cstheme="minorHAnsi"/>
          <w:noProof/>
          <w:color w:val="auto"/>
          <w:sz w:val="22"/>
          <w:szCs w:val="22"/>
          <w:lang w:val="es-ES"/>
        </w:rPr>
        <w:t xml:space="preserve">el Decenio de las Naciones Unidas </w:t>
      </w:r>
      <w:r w:rsidR="00C34635" w:rsidRPr="0077568B">
        <w:rPr>
          <w:rFonts w:asciiTheme="minorHAnsi" w:hAnsiTheme="minorHAnsi" w:cstheme="minorHAnsi"/>
          <w:noProof/>
          <w:color w:val="auto"/>
          <w:sz w:val="22"/>
          <w:szCs w:val="22"/>
          <w:lang w:val="es-ES"/>
        </w:rPr>
        <w:t>sobre</w:t>
      </w:r>
      <w:r w:rsidR="004328A2" w:rsidRPr="0077568B">
        <w:rPr>
          <w:rFonts w:asciiTheme="minorHAnsi" w:hAnsiTheme="minorHAnsi" w:cstheme="minorHAnsi"/>
          <w:noProof/>
          <w:color w:val="auto"/>
          <w:sz w:val="22"/>
          <w:szCs w:val="22"/>
          <w:lang w:val="es-ES"/>
        </w:rPr>
        <w:t xml:space="preserve"> la Restauración</w:t>
      </w:r>
      <w:r w:rsidR="00C34635" w:rsidRPr="0077568B">
        <w:rPr>
          <w:rFonts w:asciiTheme="minorHAnsi" w:hAnsiTheme="minorHAnsi" w:cstheme="minorHAnsi"/>
          <w:noProof/>
          <w:color w:val="auto"/>
          <w:sz w:val="22"/>
          <w:szCs w:val="22"/>
          <w:lang w:val="es-ES"/>
        </w:rPr>
        <w:t xml:space="preserve"> de los Ecosistemas</w:t>
      </w:r>
      <w:r w:rsidR="004328A2" w:rsidRPr="0077568B">
        <w:rPr>
          <w:rFonts w:asciiTheme="minorHAnsi" w:hAnsiTheme="minorHAnsi" w:cstheme="minorHAnsi"/>
          <w:noProof/>
          <w:color w:val="auto"/>
          <w:sz w:val="22"/>
          <w:szCs w:val="22"/>
          <w:lang w:val="es-ES"/>
        </w:rPr>
        <w:t xml:space="preserve"> y todo trabajo pertinente de la IPBES</w:t>
      </w:r>
      <w:r w:rsidR="00D6652E" w:rsidRPr="0077568B">
        <w:rPr>
          <w:rFonts w:asciiTheme="minorHAnsi" w:hAnsiTheme="minorHAnsi" w:cstheme="minorHAnsi"/>
          <w:noProof/>
          <w:color w:val="auto"/>
          <w:sz w:val="22"/>
          <w:szCs w:val="22"/>
          <w:u w:val="single"/>
          <w:lang w:val="es-ES"/>
        </w:rPr>
        <w:t>,</w:t>
      </w:r>
      <w:r w:rsidR="00D6652E" w:rsidRPr="0077568B">
        <w:rPr>
          <w:rFonts w:asciiTheme="minorHAnsi" w:hAnsiTheme="minorHAnsi" w:cstheme="minorHAnsi"/>
          <w:noProof/>
          <w:color w:val="auto"/>
          <w:sz w:val="22"/>
          <w:szCs w:val="22"/>
          <w:lang w:val="es-ES"/>
        </w:rPr>
        <w:t xml:space="preserve"> </w:t>
      </w:r>
      <w:r w:rsidR="00F64EB1" w:rsidRPr="0077568B">
        <w:rPr>
          <w:rFonts w:asciiTheme="minorHAnsi" w:hAnsiTheme="minorHAnsi" w:cstheme="minorHAnsi"/>
          <w:strike/>
          <w:noProof/>
          <w:color w:val="auto"/>
          <w:sz w:val="22"/>
          <w:szCs w:val="22"/>
          <w:lang w:val="es-ES"/>
        </w:rPr>
        <w:t xml:space="preserve">o </w:t>
      </w:r>
      <w:r w:rsidR="004328A2" w:rsidRPr="0077568B">
        <w:rPr>
          <w:rFonts w:asciiTheme="minorHAnsi" w:hAnsiTheme="minorHAnsi" w:cstheme="minorHAnsi"/>
          <w:noProof/>
          <w:color w:val="auto"/>
          <w:sz w:val="22"/>
          <w:szCs w:val="22"/>
          <w:lang w:val="es-ES"/>
        </w:rPr>
        <w:t xml:space="preserve">el </w:t>
      </w:r>
      <w:r w:rsidR="004328A2" w:rsidRPr="0077568B">
        <w:rPr>
          <w:rFonts w:asciiTheme="minorHAnsi" w:hAnsiTheme="minorHAnsi" w:cstheme="minorHAnsi"/>
          <w:noProof/>
          <w:color w:val="auto"/>
          <w:sz w:val="22"/>
          <w:szCs w:val="22"/>
          <w:u w:val="single"/>
          <w:lang w:val="es-ES"/>
        </w:rPr>
        <w:t>IPCC</w:t>
      </w:r>
      <w:r w:rsidR="00D6652E" w:rsidRPr="0077568B">
        <w:rPr>
          <w:rFonts w:asciiTheme="minorHAnsi" w:hAnsiTheme="minorHAnsi" w:cstheme="minorHAnsi"/>
          <w:noProof/>
          <w:color w:val="auto"/>
          <w:sz w:val="22"/>
          <w:szCs w:val="22"/>
          <w:u w:val="single"/>
          <w:lang w:val="es-ES"/>
        </w:rPr>
        <w:t xml:space="preserve"> y el trabajo de otros organismos y programas de las Naciones Unidas relacionados con los humedales</w:t>
      </w:r>
      <w:r w:rsidR="004328A2" w:rsidRPr="0077568B">
        <w:rPr>
          <w:rFonts w:asciiTheme="minorHAnsi" w:hAnsiTheme="minorHAnsi" w:cstheme="minorHAnsi"/>
          <w:noProof/>
          <w:color w:val="auto"/>
          <w:sz w:val="22"/>
          <w:szCs w:val="22"/>
          <w:lang w:val="es-ES"/>
        </w:rPr>
        <w:t>;</w:t>
      </w:r>
    </w:p>
    <w:p w14:paraId="684305B2" w14:textId="6E3E673C" w:rsidR="007B56DC" w:rsidRPr="0077568B" w:rsidRDefault="007B56DC"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p>
    <w:p w14:paraId="15AC1EC7" w14:textId="11B09136" w:rsidR="00C21961" w:rsidRPr="0077568B" w:rsidRDefault="00E52C66" w:rsidP="00DA1EB3">
      <w:pPr>
        <w:pStyle w:val="DRText"/>
        <w:widowControl/>
        <w:numPr>
          <w:ilvl w:val="0"/>
          <w:numId w:val="0"/>
        </w:numPr>
        <w:spacing w:after="0" w:line="240" w:lineRule="auto"/>
        <w:ind w:left="426" w:hanging="425"/>
        <w:rPr>
          <w:rFonts w:asciiTheme="minorHAnsi" w:hAnsiTheme="minorHAnsi" w:cstheme="minorHAnsi"/>
          <w:strike/>
          <w:noProof/>
          <w:color w:val="auto"/>
          <w:sz w:val="22"/>
          <w:szCs w:val="22"/>
          <w:lang w:val="es-ES"/>
        </w:rPr>
      </w:pPr>
      <w:r w:rsidRPr="0077568B">
        <w:rPr>
          <w:rFonts w:asciiTheme="minorHAnsi" w:hAnsiTheme="minorHAnsi" w:cstheme="minorHAnsi"/>
          <w:noProof/>
          <w:color w:val="auto"/>
          <w:sz w:val="22"/>
          <w:szCs w:val="22"/>
          <w:lang w:val="es-ES"/>
        </w:rPr>
        <w:t>19</w:t>
      </w:r>
      <w:r w:rsidR="00DE56F3" w:rsidRPr="0077568B">
        <w:rPr>
          <w:rFonts w:asciiTheme="minorHAnsi" w:hAnsiTheme="minorHAnsi" w:cstheme="minorHAnsi"/>
          <w:noProof/>
          <w:color w:val="auto"/>
          <w:sz w:val="22"/>
          <w:szCs w:val="22"/>
          <w:lang w:val="es-ES"/>
        </w:rPr>
        <w:t>.</w:t>
      </w:r>
      <w:r w:rsidR="005B050C" w:rsidRPr="0077568B">
        <w:rPr>
          <w:rFonts w:asciiTheme="minorHAnsi" w:hAnsiTheme="minorHAnsi" w:cstheme="minorHAnsi"/>
          <w:noProof/>
          <w:color w:val="auto"/>
          <w:sz w:val="22"/>
          <w:szCs w:val="22"/>
          <w:lang w:val="es-ES"/>
        </w:rPr>
        <w:tab/>
      </w:r>
      <w:r w:rsidR="00D6652E" w:rsidRPr="0077568B">
        <w:rPr>
          <w:rFonts w:asciiTheme="minorHAnsi" w:hAnsiTheme="minorHAnsi" w:cstheme="minorHAnsi"/>
          <w:noProof/>
          <w:color w:val="auto"/>
          <w:sz w:val="22"/>
          <w:szCs w:val="22"/>
          <w:u w:val="single"/>
          <w:lang w:val="es-ES"/>
        </w:rPr>
        <w:t>RECONOCE el papel importante que pueden desempeñar todas las personas individuales, sociedades y organizaciones, así como las contribuciones de los jóvenes, las mujeres</w:t>
      </w:r>
      <w:r w:rsidR="00D34D87" w:rsidRPr="0077568B">
        <w:rPr>
          <w:rFonts w:asciiTheme="minorHAnsi" w:hAnsiTheme="minorHAnsi" w:cstheme="minorHAnsi"/>
          <w:noProof/>
          <w:color w:val="auto"/>
          <w:sz w:val="22"/>
          <w:szCs w:val="22"/>
          <w:u w:val="single"/>
          <w:lang w:val="es-ES"/>
        </w:rPr>
        <w:t xml:space="preserve"> en toda su diversidad</w:t>
      </w:r>
      <w:r w:rsidR="00D6652E" w:rsidRPr="0077568B">
        <w:rPr>
          <w:rFonts w:asciiTheme="minorHAnsi" w:hAnsiTheme="minorHAnsi" w:cstheme="minorHAnsi"/>
          <w:noProof/>
          <w:color w:val="auto"/>
          <w:sz w:val="22"/>
          <w:szCs w:val="22"/>
          <w:u w:val="single"/>
          <w:lang w:val="es-ES"/>
        </w:rPr>
        <w:t xml:space="preserve">, las comunidades indígenas y locales, el sector empresarial y todos los interesados pertinentes para aportar soluciones a los problemas ambientales mundiales mediante la conservación y </w:t>
      </w:r>
      <w:r w:rsidR="003467A8" w:rsidRPr="0077568B">
        <w:rPr>
          <w:rFonts w:asciiTheme="minorHAnsi" w:hAnsiTheme="minorHAnsi" w:cstheme="minorHAnsi"/>
          <w:noProof/>
          <w:color w:val="auto"/>
          <w:sz w:val="22"/>
          <w:szCs w:val="22"/>
          <w:u w:val="single"/>
          <w:lang w:val="es-ES"/>
        </w:rPr>
        <w:t>el manejo</w:t>
      </w:r>
      <w:r w:rsidR="00D6652E" w:rsidRPr="0077568B">
        <w:rPr>
          <w:rFonts w:asciiTheme="minorHAnsi" w:hAnsiTheme="minorHAnsi" w:cstheme="minorHAnsi"/>
          <w:noProof/>
          <w:color w:val="auto"/>
          <w:sz w:val="22"/>
          <w:szCs w:val="22"/>
          <w:u w:val="single"/>
          <w:lang w:val="es-ES"/>
        </w:rPr>
        <w:t xml:space="preserve"> de los humedales;</w:t>
      </w:r>
      <w:r w:rsidR="00A800C9" w:rsidRPr="0077568B">
        <w:rPr>
          <w:rFonts w:asciiTheme="minorHAnsi" w:hAnsiTheme="minorHAnsi" w:cstheme="minorHAnsi"/>
          <w:noProof/>
          <w:color w:val="auto"/>
          <w:sz w:val="22"/>
          <w:szCs w:val="22"/>
          <w:lang w:val="es-ES"/>
        </w:rPr>
        <w:t xml:space="preserve"> </w:t>
      </w:r>
      <w:r w:rsidR="00A800C9" w:rsidRPr="0077568B">
        <w:rPr>
          <w:rFonts w:asciiTheme="minorHAnsi" w:hAnsiTheme="minorHAnsi" w:cstheme="minorHAnsi"/>
          <w:strike/>
          <w:noProof/>
          <w:color w:val="auto"/>
          <w:sz w:val="22"/>
          <w:szCs w:val="22"/>
          <w:lang w:val="es-ES"/>
        </w:rPr>
        <w:t>RECONOCE el papel fundamental que desempeñan los jóvenes, las mujeres, las comunidades indígenas y locales y el sector empresarial en la aportación de soluciones a los retos ambientales a escala mundial mediante la conservación y gestión de los humedales;</w:t>
      </w:r>
    </w:p>
    <w:p w14:paraId="71329F7A" w14:textId="09ABC68B" w:rsidR="003467A8" w:rsidRPr="0077568B" w:rsidRDefault="003467A8"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p>
    <w:p w14:paraId="1DEC7021" w14:textId="71759B7D" w:rsidR="003467A8" w:rsidRPr="0077568B" w:rsidRDefault="003467A8" w:rsidP="00DA1EB3">
      <w:pPr>
        <w:pStyle w:val="DRText"/>
        <w:widowControl/>
        <w:numPr>
          <w:ilvl w:val="0"/>
          <w:numId w:val="0"/>
        </w:numPr>
        <w:spacing w:after="0" w:line="240" w:lineRule="auto"/>
        <w:ind w:left="426" w:hanging="425"/>
        <w:rPr>
          <w:rFonts w:asciiTheme="minorHAnsi" w:hAnsiTheme="minorHAnsi" w:cstheme="minorHAnsi"/>
          <w:i/>
          <w:iCs/>
          <w:noProof/>
          <w:color w:val="auto"/>
          <w:sz w:val="22"/>
          <w:szCs w:val="22"/>
          <w:u w:val="single"/>
          <w:lang w:val="es-ES"/>
        </w:rPr>
      </w:pPr>
      <w:r w:rsidRPr="0077568B">
        <w:rPr>
          <w:rFonts w:asciiTheme="minorHAnsi" w:hAnsiTheme="minorHAnsi" w:cstheme="minorHAnsi"/>
          <w:i/>
          <w:iCs/>
          <w:noProof/>
          <w:color w:val="auto"/>
          <w:sz w:val="22"/>
          <w:szCs w:val="22"/>
          <w:u w:val="single"/>
          <w:lang w:val="es-ES"/>
        </w:rPr>
        <w:t>El Grupo de trabajo sobre el Quinto Plan Estratégico propone el siguiente párrafo nuevo:</w:t>
      </w:r>
    </w:p>
    <w:p w14:paraId="47DB07B1" w14:textId="323754E1" w:rsidR="003467A8" w:rsidRPr="0077568B" w:rsidRDefault="003467A8" w:rsidP="003467A8">
      <w:pPr>
        <w:rPr>
          <w:rFonts w:cstheme="minorHAnsi"/>
          <w:noProof/>
          <w:u w:val="single"/>
          <w:lang w:val="es-ES"/>
        </w:rPr>
      </w:pPr>
      <w:r w:rsidRPr="0077568B">
        <w:rPr>
          <w:rFonts w:eastAsia="Times New Roman" w:cstheme="minorHAnsi"/>
          <w:noProof/>
          <w:u w:val="single"/>
          <w:lang w:val="es-ES" w:eastAsia="en-GB"/>
        </w:rPr>
        <w:t>ACUERDA</w:t>
      </w:r>
      <w:r w:rsidRPr="0077568B">
        <w:rPr>
          <w:rFonts w:cstheme="minorHAnsi"/>
          <w:noProof/>
          <w:u w:val="single"/>
          <w:lang w:val="es-ES"/>
        </w:rPr>
        <w:t xml:space="preserve"> que el proceso de elaboración del Quinto Plan Estratégico sea inclusivo, transparente y accesible para todas las partes interesadas;</w:t>
      </w:r>
    </w:p>
    <w:p w14:paraId="11D5DDEF" w14:textId="77777777" w:rsidR="00C21961" w:rsidRPr="0077568B" w:rsidRDefault="00C21961" w:rsidP="003467A8">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AB3CE7D" w14:textId="5B472069" w:rsidR="00C21961" w:rsidRPr="0077568B"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2</w:t>
      </w:r>
      <w:r w:rsidR="00E52C66" w:rsidRPr="0077568B">
        <w:rPr>
          <w:rFonts w:asciiTheme="minorHAnsi" w:hAnsiTheme="minorHAnsi" w:cstheme="minorHAnsi"/>
          <w:noProof/>
          <w:color w:val="auto"/>
          <w:sz w:val="22"/>
          <w:szCs w:val="22"/>
          <w:lang w:val="es-ES"/>
        </w:rPr>
        <w:t>0</w:t>
      </w:r>
      <w:r w:rsidRPr="0077568B">
        <w:rPr>
          <w:rFonts w:asciiTheme="minorHAnsi" w:hAnsiTheme="minorHAnsi" w:cstheme="minorHAnsi"/>
          <w:noProof/>
          <w:color w:val="auto"/>
          <w:sz w:val="22"/>
          <w:szCs w:val="22"/>
          <w:lang w:val="es-ES"/>
        </w:rPr>
        <w:t>.</w:t>
      </w:r>
      <w:r w:rsidR="004E6A6A" w:rsidRPr="0077568B">
        <w:rPr>
          <w:rFonts w:asciiTheme="minorHAnsi" w:hAnsiTheme="minorHAnsi" w:cstheme="minorHAnsi"/>
          <w:noProof/>
          <w:color w:val="auto"/>
          <w:sz w:val="22"/>
          <w:szCs w:val="22"/>
          <w:lang w:val="es-ES"/>
        </w:rPr>
        <w:tab/>
      </w:r>
      <w:r w:rsidR="00C21961" w:rsidRPr="0077568B">
        <w:rPr>
          <w:rFonts w:asciiTheme="minorHAnsi" w:hAnsiTheme="minorHAnsi" w:cstheme="minorHAnsi"/>
          <w:noProof/>
          <w:color w:val="auto"/>
          <w:sz w:val="22"/>
          <w:szCs w:val="22"/>
          <w:lang w:val="es-ES"/>
        </w:rPr>
        <w:t xml:space="preserve">ACUERDA </w:t>
      </w:r>
      <w:r w:rsidR="00A800C9" w:rsidRPr="0077568B">
        <w:rPr>
          <w:rFonts w:asciiTheme="minorHAnsi" w:hAnsiTheme="minorHAnsi" w:cstheme="minorHAnsi"/>
          <w:noProof/>
          <w:color w:val="auto"/>
          <w:sz w:val="22"/>
          <w:szCs w:val="22"/>
          <w:u w:val="single"/>
          <w:lang w:val="es-ES"/>
        </w:rPr>
        <w:t>ADEMÁS</w:t>
      </w:r>
      <w:r w:rsidR="00A800C9" w:rsidRPr="0077568B">
        <w:rPr>
          <w:rFonts w:asciiTheme="minorHAnsi" w:hAnsiTheme="minorHAnsi" w:cstheme="minorHAnsi"/>
          <w:noProof/>
          <w:color w:val="auto"/>
          <w:sz w:val="22"/>
          <w:szCs w:val="22"/>
          <w:lang w:val="es-ES"/>
        </w:rPr>
        <w:t xml:space="preserve"> </w:t>
      </w:r>
      <w:r w:rsidR="00C21961" w:rsidRPr="0077568B">
        <w:rPr>
          <w:rFonts w:asciiTheme="minorHAnsi" w:hAnsiTheme="minorHAnsi" w:cstheme="minorHAnsi"/>
          <w:noProof/>
          <w:color w:val="auto"/>
          <w:sz w:val="22"/>
          <w:szCs w:val="22"/>
          <w:lang w:val="es-ES"/>
        </w:rPr>
        <w:t>utilizar los anexos temáticos del Cuarto Plan Estratégico en el marco y la elaboración del Quinto Plan Estratégico; y</w:t>
      </w:r>
    </w:p>
    <w:p w14:paraId="70B31B21" w14:textId="2224B564" w:rsidR="006A3A9B" w:rsidRPr="0077568B" w:rsidRDefault="006A3A9B"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00431DFA" w14:textId="58613E8C" w:rsidR="00D54D92" w:rsidRPr="0077568B"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77568B">
        <w:rPr>
          <w:rFonts w:asciiTheme="minorHAnsi" w:hAnsiTheme="minorHAnsi" w:cstheme="minorHAnsi"/>
          <w:noProof/>
          <w:color w:val="auto"/>
          <w:sz w:val="22"/>
          <w:szCs w:val="22"/>
          <w:lang w:val="es-ES"/>
        </w:rPr>
        <w:t>2</w:t>
      </w:r>
      <w:r w:rsidR="00E52C66" w:rsidRPr="0077568B">
        <w:rPr>
          <w:rFonts w:asciiTheme="minorHAnsi" w:hAnsiTheme="minorHAnsi" w:cstheme="minorHAnsi"/>
          <w:noProof/>
          <w:color w:val="auto"/>
          <w:sz w:val="22"/>
          <w:szCs w:val="22"/>
          <w:lang w:val="es-ES"/>
        </w:rPr>
        <w:t>1</w:t>
      </w:r>
      <w:r w:rsidRPr="0077568B">
        <w:rPr>
          <w:rFonts w:asciiTheme="minorHAnsi" w:hAnsiTheme="minorHAnsi" w:cstheme="minorHAnsi"/>
          <w:noProof/>
          <w:color w:val="auto"/>
          <w:sz w:val="22"/>
          <w:szCs w:val="22"/>
          <w:lang w:val="es-ES"/>
        </w:rPr>
        <w:t>.</w:t>
      </w:r>
      <w:r w:rsidR="006A3A9B" w:rsidRPr="0077568B">
        <w:rPr>
          <w:rFonts w:asciiTheme="minorHAnsi" w:hAnsiTheme="minorHAnsi" w:cstheme="minorHAnsi"/>
          <w:noProof/>
          <w:color w:val="auto"/>
          <w:sz w:val="22"/>
          <w:szCs w:val="22"/>
          <w:lang w:val="es-ES"/>
        </w:rPr>
        <w:tab/>
      </w:r>
      <w:r w:rsidR="00C21961" w:rsidRPr="0077568B">
        <w:rPr>
          <w:rFonts w:asciiTheme="minorHAnsi" w:hAnsiTheme="minorHAnsi" w:cstheme="minorHAnsi"/>
          <w:noProof/>
          <w:color w:val="auto"/>
          <w:sz w:val="22"/>
          <w:szCs w:val="22"/>
          <w:lang w:val="es-ES"/>
        </w:rPr>
        <w:t xml:space="preserve">ENCARGA al GECT que conceda prioridad a su participación en la elaboración del Quinto Plan Estratégico como parte de su Plan de </w:t>
      </w:r>
      <w:r w:rsidR="00867765" w:rsidRPr="0077568B">
        <w:rPr>
          <w:rFonts w:asciiTheme="minorHAnsi" w:hAnsiTheme="minorHAnsi" w:cstheme="minorHAnsi"/>
          <w:noProof/>
          <w:color w:val="auto"/>
          <w:sz w:val="22"/>
          <w:szCs w:val="22"/>
          <w:lang w:val="es-ES"/>
        </w:rPr>
        <w:t>t</w:t>
      </w:r>
      <w:r w:rsidR="00C21961" w:rsidRPr="0077568B">
        <w:rPr>
          <w:rFonts w:asciiTheme="minorHAnsi" w:hAnsiTheme="minorHAnsi" w:cstheme="minorHAnsi"/>
          <w:noProof/>
          <w:color w:val="auto"/>
          <w:sz w:val="22"/>
          <w:szCs w:val="22"/>
          <w:lang w:val="es-ES"/>
        </w:rPr>
        <w:t>rabajo para 2022-2024.</w:t>
      </w:r>
    </w:p>
    <w:p w14:paraId="62A19915" w14:textId="77777777" w:rsidR="00D54D92" w:rsidRPr="0077568B" w:rsidRDefault="00D54D92" w:rsidP="00DA1EB3">
      <w:pPr>
        <w:pStyle w:val="DRTitle"/>
        <w:widowControl/>
        <w:spacing w:after="0"/>
        <w:jc w:val="left"/>
        <w:rPr>
          <w:rFonts w:asciiTheme="minorHAnsi" w:hAnsiTheme="minorHAnsi" w:cstheme="minorHAnsi"/>
          <w:iCs/>
          <w:noProof/>
          <w:sz w:val="22"/>
          <w:szCs w:val="22"/>
          <w:lang w:val="es-ES"/>
        </w:rPr>
      </w:pPr>
    </w:p>
    <w:p w14:paraId="41C0B0AC" w14:textId="77777777" w:rsidR="00DE56F3" w:rsidRPr="0077568B" w:rsidRDefault="00DE56F3" w:rsidP="00DA1EB3">
      <w:pPr>
        <w:rPr>
          <w:rFonts w:cstheme="minorHAnsi"/>
          <w:b/>
          <w:bCs/>
          <w:iCs/>
          <w:noProof/>
          <w:lang w:val="es-ES" w:eastAsia="el-GR"/>
        </w:rPr>
      </w:pPr>
      <w:r w:rsidRPr="0077568B">
        <w:rPr>
          <w:rFonts w:cstheme="minorHAnsi"/>
          <w:iCs/>
          <w:noProof/>
          <w:lang w:val="es-ES"/>
        </w:rPr>
        <w:br w:type="page"/>
      </w:r>
    </w:p>
    <w:p w14:paraId="5507883A" w14:textId="77777777" w:rsidR="00D36AB7" w:rsidRPr="0077568B" w:rsidRDefault="00D36AB7" w:rsidP="00DA1EB3">
      <w:pPr>
        <w:pStyle w:val="DRTitle"/>
        <w:widowControl/>
        <w:spacing w:after="0"/>
        <w:jc w:val="left"/>
        <w:rPr>
          <w:rFonts w:asciiTheme="minorHAnsi" w:hAnsiTheme="minorHAnsi" w:cstheme="minorHAnsi"/>
          <w:iCs/>
          <w:noProof/>
          <w:sz w:val="22"/>
          <w:szCs w:val="22"/>
          <w:lang w:val="es-ES"/>
        </w:rPr>
      </w:pPr>
      <w:r w:rsidRPr="0077568B">
        <w:rPr>
          <w:rFonts w:asciiTheme="minorHAnsi" w:hAnsiTheme="minorHAnsi" w:cstheme="minorHAnsi"/>
          <w:iCs/>
          <w:noProof/>
          <w:sz w:val="22"/>
          <w:szCs w:val="22"/>
          <w:lang w:val="es-ES"/>
        </w:rPr>
        <w:lastRenderedPageBreak/>
        <w:t>ANEXO</w:t>
      </w:r>
    </w:p>
    <w:p w14:paraId="1D01FED3" w14:textId="77777777" w:rsidR="00D36AB7" w:rsidRPr="0077568B" w:rsidRDefault="00D36AB7" w:rsidP="00DA1EB3">
      <w:pPr>
        <w:pStyle w:val="DRTitle"/>
        <w:widowControl/>
        <w:spacing w:after="0"/>
        <w:jc w:val="left"/>
        <w:rPr>
          <w:rFonts w:asciiTheme="minorHAnsi" w:hAnsiTheme="minorHAnsi" w:cstheme="minorHAnsi"/>
          <w:iCs/>
          <w:noProof/>
          <w:sz w:val="22"/>
          <w:szCs w:val="22"/>
          <w:lang w:val="es-ES"/>
        </w:rPr>
      </w:pPr>
    </w:p>
    <w:p w14:paraId="7099B1C0" w14:textId="77777777" w:rsidR="00D36AB7" w:rsidRPr="0077568B" w:rsidRDefault="00D36AB7" w:rsidP="00DA1EB3">
      <w:pPr>
        <w:pStyle w:val="DRTitle"/>
        <w:widowControl/>
        <w:spacing w:after="0"/>
        <w:jc w:val="left"/>
        <w:rPr>
          <w:rFonts w:asciiTheme="minorHAnsi" w:hAnsiTheme="minorHAnsi" w:cstheme="minorHAnsi"/>
          <w:iCs/>
          <w:noProof/>
          <w:sz w:val="22"/>
          <w:szCs w:val="22"/>
          <w:lang w:val="es-ES"/>
        </w:rPr>
      </w:pPr>
      <w:r w:rsidRPr="0077568B">
        <w:rPr>
          <w:rFonts w:asciiTheme="minorHAnsi" w:hAnsiTheme="minorHAnsi" w:cstheme="minorHAnsi"/>
          <w:iCs/>
          <w:noProof/>
          <w:sz w:val="22"/>
          <w:szCs w:val="22"/>
          <w:lang w:val="es-ES"/>
        </w:rPr>
        <w:t xml:space="preserve">Ajustes al Plan Estratégico de la Convención para 2016-2024  </w:t>
      </w:r>
    </w:p>
    <w:p w14:paraId="53450F6E" w14:textId="77777777" w:rsidR="00D36AB7" w:rsidRPr="0077568B" w:rsidRDefault="00D36AB7" w:rsidP="00DA1EB3">
      <w:pPr>
        <w:rPr>
          <w:b/>
          <w:bCs/>
          <w:noProof/>
          <w:lang w:val="es-ES"/>
        </w:rPr>
      </w:pPr>
    </w:p>
    <w:p w14:paraId="1B6DD265" w14:textId="7A629778" w:rsidR="00D36AB7" w:rsidRPr="0077568B" w:rsidRDefault="00D36AB7" w:rsidP="00DA1EB3">
      <w:pPr>
        <w:rPr>
          <w:i/>
          <w:iCs/>
          <w:noProof/>
          <w:lang w:val="es-ES"/>
        </w:rPr>
      </w:pPr>
      <w:r w:rsidRPr="0077568B">
        <w:rPr>
          <w:i/>
          <w:iCs/>
          <w:noProof/>
          <w:lang w:val="es-ES"/>
        </w:rPr>
        <w:t>Agregar al Plan Estratégico</w:t>
      </w:r>
      <w:r w:rsidR="00C73355" w:rsidRPr="0077568B">
        <w:rPr>
          <w:i/>
          <w:iCs/>
          <w:noProof/>
          <w:lang w:val="es-ES"/>
        </w:rPr>
        <w:t xml:space="preserve"> actual</w:t>
      </w:r>
      <w:r w:rsidRPr="0077568B">
        <w:rPr>
          <w:i/>
          <w:iCs/>
          <w:noProof/>
          <w:lang w:val="es-ES"/>
        </w:rPr>
        <w:t xml:space="preserve"> los</w:t>
      </w:r>
      <w:r w:rsidR="00C73355" w:rsidRPr="0077568B">
        <w:rPr>
          <w:i/>
          <w:iCs/>
          <w:noProof/>
          <w:lang w:val="es-ES"/>
        </w:rPr>
        <w:t xml:space="preserve"> siguientes</w:t>
      </w:r>
      <w:r w:rsidRPr="0077568B">
        <w:rPr>
          <w:i/>
          <w:iCs/>
          <w:noProof/>
          <w:lang w:val="es-ES"/>
        </w:rPr>
        <w:t xml:space="preserve"> anexos cuya numeración será consecutiva después del actual </w:t>
      </w:r>
      <w:r w:rsidR="00492FD5" w:rsidRPr="0077568B">
        <w:rPr>
          <w:i/>
          <w:iCs/>
          <w:noProof/>
          <w:lang w:val="es-ES"/>
        </w:rPr>
        <w:t>A</w:t>
      </w:r>
      <w:r w:rsidRPr="0077568B">
        <w:rPr>
          <w:i/>
          <w:iCs/>
          <w:noProof/>
          <w:lang w:val="es-ES"/>
        </w:rPr>
        <w:t xml:space="preserve">nexo 1.  </w:t>
      </w:r>
    </w:p>
    <w:p w14:paraId="5F2D2197" w14:textId="77777777" w:rsidR="00D36AB7" w:rsidRPr="0077568B" w:rsidRDefault="00D36AB7" w:rsidP="00DA1EB3">
      <w:pPr>
        <w:rPr>
          <w:rFonts w:eastAsia="Times New Roman" w:cstheme="minorHAnsi"/>
          <w:noProof/>
          <w:lang w:val="es-ES" w:eastAsia="en-GB"/>
        </w:rPr>
      </w:pPr>
    </w:p>
    <w:p w14:paraId="616E80D6" w14:textId="77777777" w:rsidR="00D36AB7" w:rsidRPr="0077568B" w:rsidRDefault="00D36AB7" w:rsidP="00DA1EB3">
      <w:pPr>
        <w:rPr>
          <w:rFonts w:eastAsia="Times New Roman" w:cstheme="minorHAnsi"/>
          <w:noProof/>
          <w:lang w:val="es-ES" w:eastAsia="en-GB"/>
        </w:rPr>
      </w:pPr>
    </w:p>
    <w:p w14:paraId="6751698E" w14:textId="77777777" w:rsidR="00D36AB7" w:rsidRPr="0077568B" w:rsidRDefault="00D36AB7" w:rsidP="00DA1EB3">
      <w:pPr>
        <w:rPr>
          <w:rFonts w:cstheme="minorHAnsi"/>
          <w:b/>
          <w:bCs/>
          <w:noProof/>
          <w:lang w:val="es-ES"/>
        </w:rPr>
      </w:pPr>
      <w:r w:rsidRPr="0077568B">
        <w:rPr>
          <w:b/>
          <w:bCs/>
          <w:noProof/>
          <w:lang w:val="es-ES"/>
        </w:rPr>
        <w:t xml:space="preserve">ANEXO 2: </w:t>
      </w:r>
    </w:p>
    <w:p w14:paraId="472251DE" w14:textId="5E13E5EC" w:rsidR="00D36AB7" w:rsidRPr="0077568B" w:rsidRDefault="00D36AB7" w:rsidP="00DA1EB3">
      <w:pPr>
        <w:rPr>
          <w:rFonts w:eastAsia="Times New Roman" w:cstheme="minorHAnsi"/>
          <w:noProof/>
          <w:lang w:val="es-ES" w:eastAsia="en-GB"/>
        </w:rPr>
      </w:pPr>
      <w:r w:rsidRPr="0077568B">
        <w:rPr>
          <w:rFonts w:eastAsia="Times New Roman" w:cstheme="minorHAnsi"/>
          <w:noProof/>
          <w:lang w:val="es-ES" w:eastAsia="en-GB"/>
        </w:rPr>
        <w:t xml:space="preserve">Este anexo se actualizará utilizando un formato similar para </w:t>
      </w:r>
      <w:r w:rsidR="005D6649" w:rsidRPr="0077568B">
        <w:rPr>
          <w:rFonts w:eastAsia="Times New Roman" w:cstheme="minorHAnsi"/>
          <w:noProof/>
          <w:lang w:val="es-ES" w:eastAsia="en-GB"/>
        </w:rPr>
        <w:t>correlacionar</w:t>
      </w:r>
      <w:r w:rsidRPr="0077568B">
        <w:rPr>
          <w:rFonts w:eastAsia="Times New Roman" w:cstheme="minorHAnsi"/>
          <w:noProof/>
          <w:lang w:val="es-ES" w:eastAsia="en-GB"/>
        </w:rPr>
        <w:t xml:space="preserve"> </w:t>
      </w:r>
      <w:r w:rsidR="005D6649" w:rsidRPr="0077568B">
        <w:rPr>
          <w:rFonts w:eastAsia="Times New Roman" w:cstheme="minorHAnsi"/>
          <w:noProof/>
          <w:lang w:val="es-ES" w:eastAsia="en-GB"/>
        </w:rPr>
        <w:t>las metas</w:t>
      </w:r>
      <w:r w:rsidRPr="0077568B">
        <w:rPr>
          <w:rFonts w:eastAsia="Times New Roman" w:cstheme="minorHAnsi"/>
          <w:noProof/>
          <w:lang w:val="es-ES" w:eastAsia="en-GB"/>
        </w:rPr>
        <w:t xml:space="preserve"> del nuevo Marco </w:t>
      </w:r>
      <w:r w:rsidR="005D6649" w:rsidRPr="0077568B">
        <w:rPr>
          <w:rFonts w:eastAsia="Times New Roman" w:cstheme="minorHAnsi"/>
          <w:noProof/>
          <w:lang w:val="es-ES" w:eastAsia="en-GB"/>
        </w:rPr>
        <w:t>Mundial</w:t>
      </w:r>
      <w:r w:rsidRPr="0077568B">
        <w:rPr>
          <w:rFonts w:eastAsia="Times New Roman" w:cstheme="minorHAnsi"/>
          <w:noProof/>
          <w:lang w:val="es-ES" w:eastAsia="en-GB"/>
        </w:rPr>
        <w:t xml:space="preserve"> </w:t>
      </w:r>
      <w:r w:rsidR="005D6649" w:rsidRPr="0077568B">
        <w:rPr>
          <w:rFonts w:eastAsia="Times New Roman" w:cstheme="minorHAnsi"/>
          <w:noProof/>
          <w:lang w:val="es-ES" w:eastAsia="en-GB"/>
        </w:rPr>
        <w:t>para la Diversidad Biológica</w:t>
      </w:r>
      <w:r w:rsidRPr="0077568B">
        <w:rPr>
          <w:rFonts w:eastAsia="Times New Roman" w:cstheme="minorHAnsi"/>
          <w:noProof/>
          <w:lang w:val="es-ES" w:eastAsia="en-GB"/>
        </w:rPr>
        <w:t xml:space="preserve"> del CDB con los objetivos y metas del Plan Estratégico de </w:t>
      </w:r>
      <w:r w:rsidR="005D6649" w:rsidRPr="0077568B">
        <w:rPr>
          <w:rFonts w:eastAsia="Times New Roman" w:cstheme="minorHAnsi"/>
          <w:noProof/>
          <w:lang w:val="es-ES" w:eastAsia="en-GB"/>
        </w:rPr>
        <w:t>la Convención para los Humedales</w:t>
      </w:r>
      <w:r w:rsidRPr="0077568B">
        <w:rPr>
          <w:rFonts w:eastAsia="Times New Roman" w:cstheme="minorHAnsi"/>
          <w:noProof/>
          <w:lang w:val="es-ES" w:eastAsia="en-GB"/>
        </w:rPr>
        <w:t>.</w:t>
      </w:r>
    </w:p>
    <w:p w14:paraId="13852F45" w14:textId="77777777" w:rsidR="00175AF5" w:rsidRPr="0077568B" w:rsidRDefault="00175AF5" w:rsidP="00DA1EB3">
      <w:pPr>
        <w:rPr>
          <w:rFonts w:eastAsia="Times New Roman" w:cstheme="minorHAnsi"/>
          <w:noProof/>
          <w:lang w:val="es-ES" w:eastAsia="en-GB"/>
        </w:rPr>
      </w:pPr>
    </w:p>
    <w:p w14:paraId="3A454573" w14:textId="77777777" w:rsidR="00EA1D1A" w:rsidRPr="0077568B" w:rsidRDefault="00D443A7" w:rsidP="00DA1EB3">
      <w:pPr>
        <w:rPr>
          <w:rFonts w:eastAsia="Times New Roman" w:cstheme="minorHAnsi"/>
          <w:noProof/>
          <w:lang w:val="es-ES" w:eastAsia="en-GB"/>
        </w:rPr>
      </w:pPr>
      <w:r w:rsidRPr="0077568B">
        <w:rPr>
          <w:rFonts w:eastAsia="Times New Roman" w:cstheme="minorHAnsi"/>
          <w:noProof/>
          <w:lang w:val="es-ES" w:eastAsia="en-GB"/>
        </w:rPr>
        <w:t xml:space="preserve">Se espera que el Marco Mundial de la Diversidad Biológica se </w:t>
      </w:r>
      <w:r w:rsidR="00C73355" w:rsidRPr="0077568B">
        <w:rPr>
          <w:rFonts w:eastAsia="Times New Roman" w:cstheme="minorHAnsi"/>
          <w:noProof/>
          <w:lang w:val="es-ES" w:eastAsia="en-GB"/>
        </w:rPr>
        <w:t>apruebe</w:t>
      </w:r>
      <w:r w:rsidRPr="0077568B">
        <w:rPr>
          <w:rFonts w:eastAsia="Times New Roman" w:cstheme="minorHAnsi"/>
          <w:noProof/>
          <w:lang w:val="es-ES" w:eastAsia="en-GB"/>
        </w:rPr>
        <w:t xml:space="preserve"> </w:t>
      </w:r>
      <w:r w:rsidR="00C73355" w:rsidRPr="0077568B">
        <w:rPr>
          <w:rFonts w:eastAsia="Times New Roman" w:cstheme="minorHAnsi"/>
          <w:noProof/>
          <w:lang w:val="es-ES" w:eastAsia="en-GB"/>
        </w:rPr>
        <w:t xml:space="preserve">en mayo de 2022, </w:t>
      </w:r>
      <w:r w:rsidRPr="0077568B">
        <w:rPr>
          <w:rFonts w:eastAsia="Times New Roman" w:cstheme="minorHAnsi"/>
          <w:noProof/>
          <w:lang w:val="es-ES" w:eastAsia="en-GB"/>
        </w:rPr>
        <w:t>durante la reanudación de la 15ª reunión de la Conferencia de las Partes en el Convenio sobre la Diversidad Biológica</w:t>
      </w:r>
      <w:r w:rsidR="00EA1D1A" w:rsidRPr="0077568B">
        <w:rPr>
          <w:rFonts w:eastAsia="Times New Roman" w:cstheme="minorHAnsi"/>
          <w:noProof/>
          <w:lang w:val="es-ES" w:eastAsia="en-GB"/>
        </w:rPr>
        <w:t>.</w:t>
      </w:r>
    </w:p>
    <w:p w14:paraId="5591B724" w14:textId="263AD68A" w:rsidR="00BE3994" w:rsidRPr="0077568B" w:rsidRDefault="00D443A7" w:rsidP="00DA1EB3">
      <w:pPr>
        <w:rPr>
          <w:rFonts w:eastAsia="Times New Roman" w:cstheme="minorHAnsi"/>
          <w:noProof/>
          <w:lang w:val="es-ES" w:eastAsia="en-GB"/>
        </w:rPr>
      </w:pPr>
      <w:r w:rsidRPr="0077568B">
        <w:rPr>
          <w:rFonts w:eastAsia="Times New Roman" w:cstheme="minorHAnsi"/>
          <w:noProof/>
          <w:lang w:val="es-ES" w:eastAsia="en-GB"/>
        </w:rPr>
        <w:t>https://www.cbd.int/conferences/2021-2022</w:t>
      </w:r>
    </w:p>
    <w:p w14:paraId="7348D560" w14:textId="4C2EBC0F" w:rsidR="00BE3994" w:rsidRPr="0077568B" w:rsidRDefault="00BE3994" w:rsidP="00DA1EB3">
      <w:pPr>
        <w:rPr>
          <w:rFonts w:eastAsia="Times New Roman" w:cstheme="minorHAnsi"/>
          <w:noProof/>
          <w:lang w:val="es-ES" w:eastAsia="en-GB"/>
        </w:rPr>
      </w:pPr>
    </w:p>
    <w:p w14:paraId="37F172C7" w14:textId="44CD0247" w:rsidR="00BE3994" w:rsidRPr="0077568B" w:rsidRDefault="00BE3994" w:rsidP="00DA1EB3">
      <w:pPr>
        <w:rPr>
          <w:rFonts w:eastAsia="Times New Roman" w:cstheme="minorHAnsi"/>
          <w:noProof/>
          <w:lang w:val="es-ES" w:eastAsia="en-GB"/>
        </w:rPr>
      </w:pPr>
    </w:p>
    <w:p w14:paraId="07DD2A4C" w14:textId="4AAC6A8B" w:rsidR="00BE3994" w:rsidRPr="0077568B" w:rsidRDefault="00BE3994" w:rsidP="00DA1EB3">
      <w:pPr>
        <w:rPr>
          <w:rFonts w:eastAsia="Times New Roman" w:cstheme="minorHAnsi"/>
          <w:noProof/>
          <w:lang w:val="es-ES" w:eastAsia="en-GB"/>
        </w:rPr>
      </w:pPr>
    </w:p>
    <w:p w14:paraId="53803488" w14:textId="786C1DAB" w:rsidR="00BE3994" w:rsidRPr="0077568B" w:rsidRDefault="00BE3994" w:rsidP="00DA1EB3">
      <w:pPr>
        <w:rPr>
          <w:rFonts w:eastAsia="Times New Roman" w:cstheme="minorHAnsi"/>
          <w:noProof/>
          <w:lang w:val="es-ES" w:eastAsia="en-GB"/>
        </w:rPr>
      </w:pPr>
    </w:p>
    <w:p w14:paraId="66BB2846" w14:textId="3504E8B6" w:rsidR="00BE3994" w:rsidRPr="0077568B" w:rsidRDefault="00BE3994" w:rsidP="00DA1EB3">
      <w:pPr>
        <w:rPr>
          <w:rFonts w:eastAsia="Times New Roman" w:cstheme="minorHAnsi"/>
          <w:noProof/>
          <w:lang w:val="es-ES" w:eastAsia="en-GB"/>
        </w:rPr>
      </w:pPr>
    </w:p>
    <w:p w14:paraId="18605B72" w14:textId="43A0E946" w:rsidR="00BE3994" w:rsidRPr="0077568B" w:rsidRDefault="00BE3994" w:rsidP="00DA1EB3">
      <w:pPr>
        <w:rPr>
          <w:rFonts w:eastAsia="Times New Roman" w:cstheme="minorHAnsi"/>
          <w:noProof/>
          <w:lang w:val="es-ES" w:eastAsia="en-GB"/>
        </w:rPr>
      </w:pPr>
    </w:p>
    <w:p w14:paraId="0F21F980" w14:textId="256D5986" w:rsidR="00BE3994" w:rsidRPr="0077568B" w:rsidRDefault="00BE3994" w:rsidP="00DA1EB3">
      <w:pPr>
        <w:rPr>
          <w:rFonts w:eastAsia="Times New Roman" w:cstheme="minorHAnsi"/>
          <w:noProof/>
          <w:lang w:val="es-ES" w:eastAsia="en-GB"/>
        </w:rPr>
      </w:pPr>
    </w:p>
    <w:p w14:paraId="6F104218" w14:textId="5DC47972" w:rsidR="00BE3994" w:rsidRPr="0077568B" w:rsidRDefault="00BE3994" w:rsidP="00DA1EB3">
      <w:pPr>
        <w:rPr>
          <w:rFonts w:eastAsia="Times New Roman" w:cstheme="minorHAnsi"/>
          <w:noProof/>
          <w:lang w:val="es-ES" w:eastAsia="en-GB"/>
        </w:rPr>
      </w:pPr>
    </w:p>
    <w:p w14:paraId="5573E573" w14:textId="08BC56EE" w:rsidR="00BE3994" w:rsidRPr="0077568B" w:rsidRDefault="004C0584" w:rsidP="00DA1EB3">
      <w:pPr>
        <w:rPr>
          <w:rFonts w:eastAsia="Times New Roman" w:cstheme="minorHAnsi"/>
          <w:i/>
          <w:iCs/>
          <w:noProof/>
          <w:lang w:val="es-ES" w:eastAsia="en-GB"/>
        </w:rPr>
      </w:pPr>
      <w:r w:rsidRPr="0077568B">
        <w:rPr>
          <w:rFonts w:eastAsia="Times New Roman" w:cstheme="minorHAnsi"/>
          <w:i/>
          <w:iCs/>
          <w:noProof/>
          <w:lang w:val="es-ES" w:eastAsia="en-GB"/>
        </w:rPr>
        <w:t xml:space="preserve">Esta página se ha dejado deliberadamente en blanco. </w:t>
      </w:r>
    </w:p>
    <w:p w14:paraId="733C5F28" w14:textId="6E1B7C1D" w:rsidR="00BE3994" w:rsidRPr="0077568B" w:rsidRDefault="00BE3994" w:rsidP="00DA1EB3">
      <w:pPr>
        <w:rPr>
          <w:rFonts w:eastAsia="Times New Roman" w:cstheme="minorHAnsi"/>
          <w:noProof/>
          <w:lang w:val="es-ES" w:eastAsia="en-GB"/>
        </w:rPr>
      </w:pPr>
    </w:p>
    <w:p w14:paraId="2813311E" w14:textId="77777777" w:rsidR="005017C4" w:rsidRPr="0077568B" w:rsidRDefault="005017C4" w:rsidP="00DA1EB3">
      <w:pPr>
        <w:rPr>
          <w:rFonts w:eastAsia="Times New Roman" w:cstheme="minorHAnsi"/>
          <w:noProof/>
          <w:lang w:val="es-ES" w:eastAsia="en-GB"/>
        </w:rPr>
      </w:pPr>
      <w:r w:rsidRPr="0077568B">
        <w:rPr>
          <w:rFonts w:eastAsia="Times New Roman" w:cstheme="minorHAnsi"/>
          <w:noProof/>
          <w:lang w:val="es-ES" w:eastAsia="en-GB"/>
        </w:rPr>
        <w:br w:type="page"/>
      </w:r>
    </w:p>
    <w:p w14:paraId="3A1A87D6" w14:textId="77777777" w:rsidR="00251023" w:rsidRPr="0077568B" w:rsidRDefault="00251023" w:rsidP="00DA1EB3">
      <w:pPr>
        <w:rPr>
          <w:b/>
          <w:bCs/>
          <w:noProof/>
          <w:lang w:val="es-ES"/>
        </w:rPr>
      </w:pPr>
      <w:r w:rsidRPr="0077568B">
        <w:rPr>
          <w:b/>
          <w:bCs/>
          <w:noProof/>
          <w:lang w:val="es-ES"/>
        </w:rPr>
        <w:lastRenderedPageBreak/>
        <w:t>ANEXO 3: OBJETIVOS DE DESARROLLO SOSTENIBLE (ODS)</w:t>
      </w:r>
    </w:p>
    <w:p w14:paraId="26D9F097" w14:textId="77777777" w:rsidR="00251023" w:rsidRPr="0077568B" w:rsidRDefault="00251023" w:rsidP="00DA1EB3">
      <w:pPr>
        <w:rPr>
          <w:b/>
          <w:bCs/>
          <w:noProof/>
          <w:lang w:val="es-ES"/>
        </w:rPr>
      </w:pPr>
    </w:p>
    <w:p w14:paraId="11EF8E26" w14:textId="77777777" w:rsidR="00251023" w:rsidRPr="0077568B" w:rsidRDefault="00251023" w:rsidP="00DA1EB3">
      <w:pPr>
        <w:rPr>
          <w:b/>
          <w:bCs/>
          <w:noProof/>
          <w:lang w:val="es-ES"/>
        </w:rPr>
      </w:pPr>
      <w:r w:rsidRPr="0077568B">
        <w:rPr>
          <w:b/>
          <w:bCs/>
          <w:noProof/>
          <w:lang w:val="es-ES"/>
        </w:rPr>
        <w:t xml:space="preserve">Contexto  </w:t>
      </w:r>
    </w:p>
    <w:p w14:paraId="5B47C7A8" w14:textId="77777777" w:rsidR="005017C4" w:rsidRPr="0077568B" w:rsidRDefault="005017C4" w:rsidP="00DA1EB3">
      <w:pPr>
        <w:rPr>
          <w:noProof/>
          <w:lang w:val="es-ES"/>
        </w:rPr>
      </w:pPr>
    </w:p>
    <w:p w14:paraId="1B96F88B" w14:textId="6EB7F163" w:rsidR="004C0584" w:rsidRPr="0077568B" w:rsidRDefault="004C0584" w:rsidP="00DA1EB3">
      <w:pPr>
        <w:rPr>
          <w:noProof/>
          <w:lang w:val="es-ES"/>
        </w:rPr>
      </w:pPr>
      <w:r w:rsidRPr="0077568B">
        <w:rPr>
          <w:noProof/>
          <w:lang w:val="es-ES"/>
        </w:rPr>
        <w:t>La Agenda 2030 y sus ODS ofrecen una guía para la acción nacional e internacional por parte de los gobiernos, la sociedad civil, el sector privado y otros actores para lograr el desarrollo sostenible para las generaciones actuales y futuras. Los humedales aportan una serie de beneficios y servicios</w:t>
      </w:r>
      <w:r w:rsidR="0082379B" w:rsidRPr="0077568B">
        <w:rPr>
          <w:noProof/>
          <w:lang w:val="es-ES"/>
        </w:rPr>
        <w:t>,</w:t>
      </w:r>
      <w:r w:rsidRPr="0077568B">
        <w:rPr>
          <w:noProof/>
          <w:lang w:val="es-ES"/>
        </w:rPr>
        <w:t xml:space="preserve"> como agua limpia, alimentos, biodiversidad e infraestructura</w:t>
      </w:r>
      <w:r w:rsidR="0082379B" w:rsidRPr="0077568B">
        <w:rPr>
          <w:noProof/>
          <w:lang w:val="es-ES"/>
        </w:rPr>
        <w:t>,</w:t>
      </w:r>
      <w:r w:rsidRPr="0077568B">
        <w:rPr>
          <w:noProof/>
          <w:lang w:val="es-ES"/>
        </w:rPr>
        <w:t xml:space="preserve"> que sustentan los medios de subsistencia y las economías, desde las locales hasta las nacionales. </w:t>
      </w:r>
      <w:r w:rsidR="0082379B" w:rsidRPr="0077568B">
        <w:rPr>
          <w:noProof/>
          <w:lang w:val="es-ES"/>
        </w:rPr>
        <w:t>La inversión</w:t>
      </w:r>
      <w:r w:rsidRPr="0077568B">
        <w:rPr>
          <w:noProof/>
          <w:lang w:val="es-ES"/>
        </w:rPr>
        <w:t xml:space="preserve"> en los humedales </w:t>
      </w:r>
      <w:r w:rsidR="0082379B" w:rsidRPr="0077568B">
        <w:rPr>
          <w:noProof/>
          <w:lang w:val="es-ES"/>
        </w:rPr>
        <w:t>generará</w:t>
      </w:r>
      <w:r w:rsidRPr="0077568B">
        <w:rPr>
          <w:noProof/>
          <w:lang w:val="es-ES"/>
        </w:rPr>
        <w:t xml:space="preserve"> muchos beneficios colaterales para la naturaleza y la sociedad.</w:t>
      </w:r>
    </w:p>
    <w:p w14:paraId="1E729825" w14:textId="77777777" w:rsidR="004C0584" w:rsidRPr="0077568B" w:rsidRDefault="004C0584" w:rsidP="00DA1EB3">
      <w:pPr>
        <w:rPr>
          <w:noProof/>
          <w:lang w:val="es-ES"/>
        </w:rPr>
      </w:pPr>
    </w:p>
    <w:p w14:paraId="69FDF98B" w14:textId="20A0DB13" w:rsidR="009A142C" w:rsidRPr="0077568B" w:rsidRDefault="0082379B" w:rsidP="00DA1EB3">
      <w:pPr>
        <w:rPr>
          <w:noProof/>
          <w:lang w:val="es-ES"/>
        </w:rPr>
      </w:pPr>
      <w:r w:rsidRPr="0077568B">
        <w:rPr>
          <w:noProof/>
          <w:lang w:val="es-ES"/>
        </w:rPr>
        <w:t xml:space="preserve">El compromiso de las Partes </w:t>
      </w:r>
      <w:r w:rsidR="003C2C71" w:rsidRPr="0077568B">
        <w:rPr>
          <w:rFonts w:cstheme="minorHAnsi"/>
          <w:noProof/>
          <w:lang w:val="es-ES"/>
        </w:rPr>
        <w:t>Contratantes</w:t>
      </w:r>
      <w:r w:rsidR="003C2C71" w:rsidRPr="0077568B">
        <w:rPr>
          <w:noProof/>
          <w:lang w:val="es-ES"/>
        </w:rPr>
        <w:t xml:space="preserve"> </w:t>
      </w:r>
      <w:r w:rsidRPr="0077568B">
        <w:rPr>
          <w:noProof/>
          <w:lang w:val="es-ES"/>
        </w:rPr>
        <w:t>en la Convención sobre los Humedales de designar Humedales de Importancia Internacional y conservar y utilizar de forma racional todos sus humedales es fundamental para alcanzar los ODS. Por lo tanto, la Convención es una plataforma</w:t>
      </w:r>
      <w:r w:rsidR="00D817B4" w:rsidRPr="0077568B">
        <w:rPr>
          <w:noProof/>
          <w:lang w:val="es-ES"/>
        </w:rPr>
        <w:t xml:space="preserve"> adecuada</w:t>
      </w:r>
      <w:r w:rsidRPr="0077568B">
        <w:rPr>
          <w:noProof/>
          <w:lang w:val="es-ES"/>
        </w:rPr>
        <w:t xml:space="preserve"> para aplicar los ODS.</w:t>
      </w:r>
    </w:p>
    <w:p w14:paraId="1D7E9AB4" w14:textId="77777777" w:rsidR="0082379B" w:rsidRPr="0077568B" w:rsidRDefault="0082379B" w:rsidP="00DA1EB3">
      <w:pPr>
        <w:rPr>
          <w:noProof/>
          <w:lang w:val="es-ES"/>
        </w:rPr>
      </w:pPr>
    </w:p>
    <w:p w14:paraId="7B13361C" w14:textId="6F33FE4C" w:rsidR="009A142C" w:rsidRPr="0077568B" w:rsidRDefault="00F32A41" w:rsidP="00DA1EB3">
      <w:pPr>
        <w:rPr>
          <w:noProof/>
          <w:lang w:val="es-ES"/>
        </w:rPr>
      </w:pPr>
      <w:r w:rsidRPr="0077568B">
        <w:rPr>
          <w:noProof/>
          <w:lang w:val="es-ES"/>
        </w:rPr>
        <w:t xml:space="preserve">El Cuarto Plan Estratégico de </w:t>
      </w:r>
      <w:r w:rsidR="006C1275" w:rsidRPr="0077568B">
        <w:rPr>
          <w:noProof/>
          <w:lang w:val="es-ES"/>
        </w:rPr>
        <w:t>Ramsar</w:t>
      </w:r>
      <w:r w:rsidRPr="0077568B">
        <w:rPr>
          <w:noProof/>
          <w:lang w:val="es-ES"/>
        </w:rPr>
        <w:t xml:space="preserve"> (2016-2024) identifica cuatro objetivos generales y 19 metas específicas que apoyan directamente la consecución de los ODS </w:t>
      </w:r>
      <w:r w:rsidR="00191506" w:rsidRPr="0077568B">
        <w:rPr>
          <w:noProof/>
          <w:lang w:val="es-ES"/>
        </w:rPr>
        <w:t xml:space="preserve">y </w:t>
      </w:r>
      <w:r w:rsidRPr="0077568B">
        <w:rPr>
          <w:noProof/>
          <w:lang w:val="es-ES"/>
        </w:rPr>
        <w:t>las Metas de Aichi que estableció el Convenio sobre la Diversidad Biológica. El carácter integrado de los ODS, las Metas de Aichi y el Plan Estratégico de la Convención sobre los Humedales requiere una mayor integración y sinergias entre las agendas multilaterales existentes.</w:t>
      </w:r>
    </w:p>
    <w:p w14:paraId="3DC086BB" w14:textId="77777777" w:rsidR="00F32A41" w:rsidRPr="0077568B" w:rsidRDefault="00F32A41" w:rsidP="00DA1EB3">
      <w:pPr>
        <w:rPr>
          <w:rFonts w:eastAsia="Times New Roman" w:cstheme="minorHAnsi"/>
          <w:noProof/>
          <w:lang w:val="es-ES" w:eastAsia="en-GB"/>
        </w:rPr>
      </w:pPr>
    </w:p>
    <w:p w14:paraId="0E599AA6" w14:textId="10BC9EC9" w:rsidR="00D0021B" w:rsidRPr="0077568B" w:rsidRDefault="002F035D" w:rsidP="00DA1EB3">
      <w:pPr>
        <w:rPr>
          <w:rFonts w:eastAsia="Times New Roman" w:cstheme="minorHAnsi"/>
          <w:noProof/>
          <w:lang w:val="es-ES" w:eastAsia="en-GB"/>
        </w:rPr>
      </w:pPr>
      <w:r w:rsidRPr="0077568B">
        <w:rPr>
          <w:rFonts w:eastAsia="Times New Roman" w:cstheme="minorHAnsi"/>
          <w:noProof/>
          <w:lang w:val="es-ES" w:eastAsia="en-GB"/>
        </w:rPr>
        <w:t xml:space="preserve">La </w:t>
      </w:r>
      <w:r w:rsidRPr="0077568B">
        <w:rPr>
          <w:rFonts w:eastAsia="Times New Roman" w:cstheme="minorHAnsi"/>
          <w:noProof/>
          <w:u w:val="single"/>
          <w:lang w:val="es-ES" w:eastAsia="en-GB"/>
        </w:rPr>
        <w:t>Resolución XIII.7</w:t>
      </w:r>
      <w:r w:rsidRPr="0077568B">
        <w:rPr>
          <w:rFonts w:eastAsia="Times New Roman" w:cstheme="minorHAnsi"/>
          <w:noProof/>
          <w:lang w:val="es-ES" w:eastAsia="en-GB"/>
        </w:rPr>
        <w:t xml:space="preserve"> (párrafos 14 a 19 y 39 a 44) </w:t>
      </w:r>
      <w:r w:rsidR="00CB42F4" w:rsidRPr="0077568B">
        <w:rPr>
          <w:rFonts w:eastAsia="Times New Roman" w:cstheme="minorHAnsi"/>
          <w:noProof/>
          <w:lang w:val="es-ES" w:eastAsia="en-GB"/>
        </w:rPr>
        <w:t>refleja la magnitud</w:t>
      </w:r>
      <w:r w:rsidRPr="0077568B">
        <w:rPr>
          <w:rFonts w:eastAsia="Times New Roman" w:cstheme="minorHAnsi"/>
          <w:noProof/>
          <w:lang w:val="es-ES" w:eastAsia="en-GB"/>
        </w:rPr>
        <w:t xml:space="preserve"> </w:t>
      </w:r>
      <w:r w:rsidR="0013044C" w:rsidRPr="0077568B">
        <w:rPr>
          <w:rFonts w:eastAsia="Times New Roman" w:cstheme="minorHAnsi"/>
          <w:noProof/>
          <w:lang w:val="es-ES" w:eastAsia="en-GB"/>
        </w:rPr>
        <w:t>de la relación entre</w:t>
      </w:r>
      <w:r w:rsidR="00CB42F4" w:rsidRPr="0077568B">
        <w:rPr>
          <w:rFonts w:eastAsia="Times New Roman" w:cstheme="minorHAnsi"/>
          <w:noProof/>
          <w:lang w:val="es-ES" w:eastAsia="en-GB"/>
        </w:rPr>
        <w:t xml:space="preserve"> los ODS y</w:t>
      </w:r>
      <w:r w:rsidRPr="0077568B">
        <w:rPr>
          <w:rFonts w:eastAsia="Times New Roman" w:cstheme="minorHAnsi"/>
          <w:noProof/>
          <w:lang w:val="es-ES" w:eastAsia="en-GB"/>
        </w:rPr>
        <w:t xml:space="preserve"> la Convención sobre los Humedales. </w:t>
      </w:r>
      <w:r w:rsidR="00CC07AC" w:rsidRPr="0077568B">
        <w:rPr>
          <w:rFonts w:eastAsia="Times New Roman" w:cstheme="minorHAnsi"/>
          <w:noProof/>
          <w:lang w:val="es-ES" w:eastAsia="en-GB"/>
        </w:rPr>
        <w:t>Además</w:t>
      </w:r>
      <w:r w:rsidRPr="0077568B">
        <w:rPr>
          <w:rFonts w:eastAsia="Times New Roman" w:cstheme="minorHAnsi"/>
          <w:noProof/>
          <w:lang w:val="es-ES" w:eastAsia="en-GB"/>
        </w:rPr>
        <w:t>,</w:t>
      </w:r>
      <w:r w:rsidR="0013044C" w:rsidRPr="0077568B">
        <w:rPr>
          <w:rFonts w:eastAsia="Times New Roman" w:cstheme="minorHAnsi"/>
          <w:noProof/>
          <w:lang w:val="es-ES" w:eastAsia="en-GB"/>
        </w:rPr>
        <w:t xml:space="preserve"> se ha encargado a la Secretaría,</w:t>
      </w:r>
      <w:r w:rsidRPr="0077568B">
        <w:rPr>
          <w:rFonts w:eastAsia="Times New Roman" w:cstheme="minorHAnsi"/>
          <w:noProof/>
          <w:lang w:val="es-ES" w:eastAsia="en-GB"/>
        </w:rPr>
        <w:t xml:space="preserve"> en su calidad de co</w:t>
      </w:r>
      <w:r w:rsidR="00CC07AC" w:rsidRPr="0077568B">
        <w:rPr>
          <w:rFonts w:eastAsia="Times New Roman" w:cstheme="minorHAnsi"/>
          <w:noProof/>
          <w:lang w:val="es-ES" w:eastAsia="en-GB"/>
        </w:rPr>
        <w:t xml:space="preserve">rresponsable </w:t>
      </w:r>
      <w:r w:rsidRPr="0077568B">
        <w:rPr>
          <w:rFonts w:eastAsia="Times New Roman" w:cstheme="minorHAnsi"/>
          <w:noProof/>
          <w:lang w:val="es-ES" w:eastAsia="en-GB"/>
        </w:rPr>
        <w:t xml:space="preserve">del Indicador 6.6.1 del Objetivo 6, </w:t>
      </w:r>
      <w:r w:rsidR="0013044C" w:rsidRPr="0077568B">
        <w:rPr>
          <w:rFonts w:eastAsia="Times New Roman" w:cstheme="minorHAnsi"/>
          <w:noProof/>
          <w:lang w:val="es-ES" w:eastAsia="en-GB"/>
        </w:rPr>
        <w:t>que continúe</w:t>
      </w:r>
      <w:r w:rsidRPr="0077568B">
        <w:rPr>
          <w:rFonts w:eastAsia="Times New Roman" w:cstheme="minorHAnsi"/>
          <w:noProof/>
          <w:lang w:val="es-ES" w:eastAsia="en-GB"/>
        </w:rPr>
        <w:t xml:space="preserve"> </w:t>
      </w:r>
      <w:r w:rsidR="00CC07AC" w:rsidRPr="0077568B">
        <w:rPr>
          <w:rFonts w:eastAsia="Times New Roman" w:cstheme="minorHAnsi"/>
          <w:noProof/>
          <w:lang w:val="es-ES" w:eastAsia="en-GB"/>
        </w:rPr>
        <w:t>colaborando</w:t>
      </w:r>
      <w:r w:rsidRPr="0077568B">
        <w:rPr>
          <w:rFonts w:eastAsia="Times New Roman" w:cstheme="minorHAnsi"/>
          <w:noProof/>
          <w:lang w:val="es-ES" w:eastAsia="en-GB"/>
        </w:rPr>
        <w:t xml:space="preserve"> con las Partes Contratantes en la realización de inventarios nacionales </w:t>
      </w:r>
      <w:r w:rsidR="00CC07AC" w:rsidRPr="0077568B">
        <w:rPr>
          <w:rFonts w:eastAsia="Times New Roman" w:cstheme="minorHAnsi"/>
          <w:noProof/>
          <w:lang w:val="es-ES" w:eastAsia="en-GB"/>
        </w:rPr>
        <w:t>sobre los</w:t>
      </w:r>
      <w:r w:rsidRPr="0077568B">
        <w:rPr>
          <w:rFonts w:eastAsia="Times New Roman" w:cstheme="minorHAnsi"/>
          <w:noProof/>
          <w:lang w:val="es-ES" w:eastAsia="en-GB"/>
        </w:rPr>
        <w:t xml:space="preserve"> humedales y </w:t>
      </w:r>
      <w:r w:rsidR="00CC07AC" w:rsidRPr="0077568B">
        <w:rPr>
          <w:rFonts w:eastAsia="Times New Roman" w:cstheme="minorHAnsi"/>
          <w:noProof/>
          <w:lang w:val="es-ES" w:eastAsia="en-GB"/>
        </w:rPr>
        <w:t>la</w:t>
      </w:r>
      <w:r w:rsidRPr="0077568B">
        <w:rPr>
          <w:rFonts w:eastAsia="Times New Roman" w:cstheme="minorHAnsi"/>
          <w:noProof/>
          <w:lang w:val="es-ES" w:eastAsia="en-GB"/>
        </w:rPr>
        <w:t xml:space="preserve"> extensión</w:t>
      </w:r>
      <w:r w:rsidR="00CC07AC" w:rsidRPr="0077568B">
        <w:rPr>
          <w:rFonts w:eastAsia="Times New Roman" w:cstheme="minorHAnsi"/>
          <w:noProof/>
          <w:lang w:val="es-ES" w:eastAsia="en-GB"/>
        </w:rPr>
        <w:t xml:space="preserve"> de los mismos</w:t>
      </w:r>
      <w:r w:rsidRPr="0077568B">
        <w:rPr>
          <w:rFonts w:eastAsia="Times New Roman" w:cstheme="minorHAnsi"/>
          <w:noProof/>
          <w:lang w:val="es-ES" w:eastAsia="en-GB"/>
        </w:rPr>
        <w:t xml:space="preserve"> para informar sobre el Indicador 6.6.1 de los ODS.</w:t>
      </w:r>
    </w:p>
    <w:p w14:paraId="57D757A1" w14:textId="77777777" w:rsidR="002F035D" w:rsidRPr="0077568B" w:rsidRDefault="002F035D" w:rsidP="00DA1EB3">
      <w:pPr>
        <w:rPr>
          <w:rFonts w:eastAsia="Times New Roman" w:cstheme="minorHAnsi"/>
          <w:noProof/>
          <w:lang w:val="es-ES" w:eastAsia="en-GB"/>
        </w:rPr>
      </w:pPr>
    </w:p>
    <w:p w14:paraId="1E8E8269" w14:textId="13820610" w:rsidR="00D0021B" w:rsidRPr="0077568B" w:rsidRDefault="00CC07AC" w:rsidP="00DA1EB3">
      <w:pPr>
        <w:rPr>
          <w:rFonts w:eastAsia="Times New Roman" w:cstheme="minorHAnsi"/>
          <w:noProof/>
          <w:lang w:val="es-ES" w:eastAsia="en-GB"/>
        </w:rPr>
      </w:pPr>
      <w:r w:rsidRPr="0077568B">
        <w:rPr>
          <w:rFonts w:eastAsia="Times New Roman" w:cstheme="minorHAnsi"/>
          <w:noProof/>
          <w:lang w:val="es-ES" w:eastAsia="en-GB"/>
        </w:rPr>
        <w:t xml:space="preserve">También se </w:t>
      </w:r>
      <w:r w:rsidR="008A32AE" w:rsidRPr="0077568B">
        <w:rPr>
          <w:rFonts w:eastAsia="Times New Roman" w:cstheme="minorHAnsi"/>
          <w:noProof/>
          <w:lang w:val="es-ES" w:eastAsia="en-GB"/>
        </w:rPr>
        <w:t xml:space="preserve">ha </w:t>
      </w:r>
      <w:r w:rsidRPr="0077568B">
        <w:rPr>
          <w:rFonts w:eastAsia="Times New Roman" w:cstheme="minorHAnsi"/>
          <w:noProof/>
          <w:lang w:val="es-ES" w:eastAsia="en-GB"/>
        </w:rPr>
        <w:t>encarga</w:t>
      </w:r>
      <w:r w:rsidR="008A32AE" w:rsidRPr="0077568B">
        <w:rPr>
          <w:rFonts w:eastAsia="Times New Roman" w:cstheme="minorHAnsi"/>
          <w:noProof/>
          <w:lang w:val="es-ES" w:eastAsia="en-GB"/>
        </w:rPr>
        <w:t>do</w:t>
      </w:r>
      <w:r w:rsidRPr="0077568B">
        <w:rPr>
          <w:rFonts w:eastAsia="Times New Roman" w:cstheme="minorHAnsi"/>
          <w:noProof/>
          <w:lang w:val="es-ES" w:eastAsia="en-GB"/>
        </w:rPr>
        <w:t xml:space="preserve"> a la Secretaría que participe, según corresponda, en iniciativas internacionales pertinentes para abordar los Objetivos </w:t>
      </w:r>
      <w:r w:rsidR="008A32AE" w:rsidRPr="0077568B">
        <w:rPr>
          <w:rFonts w:eastAsia="Times New Roman" w:cstheme="minorHAnsi"/>
          <w:noProof/>
          <w:lang w:val="es-ES" w:eastAsia="en-GB"/>
        </w:rPr>
        <w:t xml:space="preserve">para </w:t>
      </w:r>
      <w:r w:rsidRPr="0077568B">
        <w:rPr>
          <w:rFonts w:eastAsia="Times New Roman" w:cstheme="minorHAnsi"/>
          <w:noProof/>
          <w:lang w:val="es-ES" w:eastAsia="en-GB"/>
        </w:rPr>
        <w:t xml:space="preserve">2030 y, específicamente, los Objetivos </w:t>
      </w:r>
      <w:hyperlink r:id="rId8" w:history="1">
        <w:r w:rsidRPr="0077568B">
          <w:rPr>
            <w:rFonts w:eastAsia="Times New Roman" w:cstheme="minorHAnsi"/>
            <w:noProof/>
            <w:u w:val="single"/>
            <w:lang w:val="es-ES" w:eastAsia="en-GB"/>
          </w:rPr>
          <w:t>14</w:t>
        </w:r>
      </w:hyperlink>
      <w:r w:rsidRPr="0077568B">
        <w:rPr>
          <w:rFonts w:eastAsia="Times New Roman" w:cstheme="minorHAnsi"/>
          <w:noProof/>
          <w:lang w:val="es-ES" w:eastAsia="en-GB"/>
        </w:rPr>
        <w:t xml:space="preserve"> y </w:t>
      </w:r>
      <w:hyperlink r:id="rId9" w:history="1">
        <w:r w:rsidRPr="0077568B">
          <w:rPr>
            <w:rFonts w:eastAsia="Times New Roman" w:cstheme="minorHAnsi"/>
            <w:noProof/>
            <w:u w:val="single"/>
            <w:lang w:val="es-ES" w:eastAsia="en-GB"/>
          </w:rPr>
          <w:t>15</w:t>
        </w:r>
      </w:hyperlink>
      <w:r w:rsidRPr="0077568B">
        <w:rPr>
          <w:rFonts w:eastAsia="Times New Roman" w:cstheme="minorHAnsi"/>
          <w:noProof/>
          <w:vertAlign w:val="superscript"/>
          <w:lang w:val="es-ES" w:eastAsia="en-GB"/>
        </w:rPr>
        <w:footnoteReference w:id="1"/>
      </w:r>
      <w:r w:rsidRPr="0077568B">
        <w:rPr>
          <w:rFonts w:eastAsia="Times New Roman" w:cstheme="minorHAnsi"/>
          <w:noProof/>
          <w:lang w:val="es-ES" w:eastAsia="en-GB"/>
        </w:rPr>
        <w:t xml:space="preserve"> y las Meta</w:t>
      </w:r>
      <w:r w:rsidR="00FE78A7" w:rsidRPr="0077568B">
        <w:rPr>
          <w:rFonts w:eastAsia="Times New Roman" w:cstheme="minorHAnsi"/>
          <w:noProof/>
          <w:lang w:val="es-ES" w:eastAsia="en-GB"/>
        </w:rPr>
        <w:t xml:space="preserve">s </w:t>
      </w:r>
      <w:hyperlink r:id="rId10" w:history="1">
        <w:r w:rsidR="00FE78A7" w:rsidRPr="0077568B">
          <w:rPr>
            <w:rFonts w:eastAsia="Times New Roman" w:cstheme="minorHAnsi"/>
            <w:noProof/>
            <w:u w:val="single"/>
            <w:lang w:val="es-ES" w:eastAsia="en-GB"/>
          </w:rPr>
          <w:t>14.2</w:t>
        </w:r>
      </w:hyperlink>
      <w:r w:rsidR="00FE78A7" w:rsidRPr="0077568B">
        <w:rPr>
          <w:rFonts w:eastAsia="Times New Roman" w:cstheme="minorHAnsi"/>
          <w:noProof/>
          <w:lang w:val="es-ES" w:eastAsia="en-GB"/>
        </w:rPr>
        <w:t xml:space="preserve"> and </w:t>
      </w:r>
      <w:hyperlink r:id="rId11" w:history="1">
        <w:r w:rsidR="00FE78A7" w:rsidRPr="0077568B">
          <w:rPr>
            <w:rFonts w:eastAsia="Times New Roman" w:cstheme="minorHAnsi"/>
            <w:noProof/>
            <w:u w:val="single"/>
            <w:lang w:val="es-ES" w:eastAsia="en-GB"/>
          </w:rPr>
          <w:t>15.1</w:t>
        </w:r>
      </w:hyperlink>
      <w:r w:rsidR="00FE78A7" w:rsidRPr="0077568B">
        <w:rPr>
          <w:rFonts w:eastAsia="Times New Roman" w:cstheme="minorHAnsi"/>
          <w:noProof/>
          <w:lang w:val="es-ES" w:eastAsia="en-GB"/>
        </w:rPr>
        <w:t xml:space="preserve">. </w:t>
      </w:r>
      <w:r w:rsidRPr="0077568B">
        <w:rPr>
          <w:rFonts w:eastAsia="Times New Roman" w:cstheme="minorHAnsi"/>
          <w:noProof/>
          <w:lang w:val="es-ES" w:eastAsia="en-GB"/>
        </w:rPr>
        <w:t xml:space="preserve">La misma </w:t>
      </w:r>
      <w:r w:rsidR="00FE78A7" w:rsidRPr="0077568B">
        <w:rPr>
          <w:rFonts w:eastAsia="Times New Roman" w:cstheme="minorHAnsi"/>
          <w:noProof/>
          <w:lang w:val="es-ES" w:eastAsia="en-GB"/>
        </w:rPr>
        <w:t>R</w:t>
      </w:r>
      <w:r w:rsidRPr="0077568B">
        <w:rPr>
          <w:rFonts w:eastAsia="Times New Roman" w:cstheme="minorHAnsi"/>
          <w:noProof/>
          <w:lang w:val="es-ES" w:eastAsia="en-GB"/>
        </w:rPr>
        <w:t>esolución</w:t>
      </w:r>
      <w:r w:rsidR="00FE78A7" w:rsidRPr="0077568B">
        <w:rPr>
          <w:rFonts w:eastAsia="Times New Roman" w:cstheme="minorHAnsi"/>
          <w:noProof/>
          <w:lang w:val="es-ES" w:eastAsia="en-GB"/>
        </w:rPr>
        <w:t xml:space="preserve"> </w:t>
      </w:r>
      <w:r w:rsidRPr="0077568B">
        <w:rPr>
          <w:rFonts w:eastAsia="Times New Roman" w:cstheme="minorHAnsi"/>
          <w:noProof/>
          <w:lang w:val="es-ES" w:eastAsia="en-GB"/>
        </w:rPr>
        <w:t>subrayó la relevancia de los ODS 1, 2, 5, 11 y 13 para la Convención</w:t>
      </w:r>
      <w:r w:rsidR="00D0021B" w:rsidRPr="0077568B">
        <w:rPr>
          <w:rFonts w:eastAsia="Times New Roman" w:cstheme="minorHAnsi"/>
          <w:noProof/>
          <w:lang w:val="es-ES" w:eastAsia="en-GB"/>
        </w:rPr>
        <w:t>.</w:t>
      </w:r>
      <w:r w:rsidR="00D0021B" w:rsidRPr="0077568B">
        <w:rPr>
          <w:rFonts w:eastAsia="Times New Roman" w:cstheme="minorHAnsi"/>
          <w:noProof/>
          <w:vertAlign w:val="superscript"/>
          <w:lang w:val="es-ES" w:eastAsia="en-GB"/>
        </w:rPr>
        <w:footnoteReference w:id="2"/>
      </w:r>
    </w:p>
    <w:p w14:paraId="5C2DC125" w14:textId="77777777" w:rsidR="00D0021B" w:rsidRPr="0077568B" w:rsidRDefault="00D0021B" w:rsidP="00DA1EB3">
      <w:pPr>
        <w:rPr>
          <w:rFonts w:eastAsia="Times New Roman" w:cstheme="minorHAnsi"/>
          <w:noProof/>
          <w:lang w:val="es-ES" w:eastAsia="en-GB"/>
        </w:rPr>
      </w:pPr>
    </w:p>
    <w:p w14:paraId="294BF953" w14:textId="03AF4436" w:rsidR="008759FF" w:rsidRPr="0077568B" w:rsidRDefault="00FE78A7" w:rsidP="00DA1EB3">
      <w:pPr>
        <w:rPr>
          <w:rFonts w:cstheme="minorHAnsi"/>
          <w:noProof/>
          <w:lang w:val="es-ES"/>
        </w:rPr>
      </w:pPr>
      <w:r w:rsidRPr="0077568B">
        <w:rPr>
          <w:rFonts w:cstheme="minorHAnsi"/>
          <w:noProof/>
          <w:lang w:val="es-ES"/>
        </w:rPr>
        <w:t xml:space="preserve">Sobre la base del informe de la Secretaría </w:t>
      </w:r>
      <w:r w:rsidRPr="0077568B">
        <w:rPr>
          <w:rFonts w:cstheme="minorHAnsi"/>
          <w:i/>
          <w:iCs/>
          <w:noProof/>
          <w:lang w:val="es-ES"/>
        </w:rPr>
        <w:t>Wetlands and the SDGs - scaling up wetland conservation, wise use and restoration to achieve the SDGs</w:t>
      </w:r>
      <w:r w:rsidRPr="0077568B">
        <w:rPr>
          <w:rFonts w:cstheme="minorHAnsi"/>
          <w:noProof/>
          <w:lang w:val="es-ES"/>
        </w:rPr>
        <w:t xml:space="preserve"> </w:t>
      </w:r>
      <w:r w:rsidR="007A79CF" w:rsidRPr="0077568B">
        <w:rPr>
          <w:rFonts w:cstheme="minorHAnsi"/>
          <w:noProof/>
          <w:lang w:val="es-ES"/>
        </w:rPr>
        <w:t>[</w:t>
      </w:r>
      <w:r w:rsidRPr="0077568B">
        <w:rPr>
          <w:rFonts w:cstheme="minorHAnsi"/>
          <w:noProof/>
          <w:lang w:val="es-ES"/>
        </w:rPr>
        <w:t xml:space="preserve">Los humedales y los ODS: </w:t>
      </w:r>
      <w:r w:rsidR="007A79CF" w:rsidRPr="0077568B">
        <w:rPr>
          <w:rFonts w:cstheme="minorHAnsi"/>
          <w:noProof/>
          <w:lang w:val="es-ES"/>
        </w:rPr>
        <w:t>intensificación de</w:t>
      </w:r>
      <w:r w:rsidRPr="0077568B">
        <w:rPr>
          <w:rFonts w:cstheme="minorHAnsi"/>
          <w:noProof/>
          <w:lang w:val="es-ES"/>
        </w:rPr>
        <w:t xml:space="preserve"> la conservación, el uso racional y la restauración de los humedales para </w:t>
      </w:r>
      <w:r w:rsidR="007A79CF" w:rsidRPr="0077568B">
        <w:rPr>
          <w:rFonts w:cstheme="minorHAnsi"/>
          <w:noProof/>
          <w:lang w:val="es-ES"/>
        </w:rPr>
        <w:t>lograr</w:t>
      </w:r>
      <w:r w:rsidRPr="0077568B">
        <w:rPr>
          <w:rFonts w:cstheme="minorHAnsi"/>
          <w:noProof/>
          <w:lang w:val="es-ES"/>
        </w:rPr>
        <w:t xml:space="preserve"> los ODS</w:t>
      </w:r>
      <w:r w:rsidR="007A79CF" w:rsidRPr="0077568B">
        <w:rPr>
          <w:rFonts w:cstheme="minorHAnsi"/>
          <w:noProof/>
          <w:lang w:val="es-ES"/>
        </w:rPr>
        <w:t>]</w:t>
      </w:r>
      <w:r w:rsidRPr="0077568B">
        <w:rPr>
          <w:rFonts w:cstheme="minorHAnsi"/>
          <w:noProof/>
          <w:lang w:val="es-ES"/>
        </w:rPr>
        <w:t xml:space="preserve">, en el siguiente cuadro </w:t>
      </w:r>
      <w:r w:rsidR="008A32AE" w:rsidRPr="0077568B">
        <w:rPr>
          <w:rFonts w:cstheme="minorHAnsi"/>
          <w:noProof/>
          <w:lang w:val="es-ES"/>
        </w:rPr>
        <w:t>se indica en qué aspectos</w:t>
      </w:r>
      <w:r w:rsidRPr="0077568B">
        <w:rPr>
          <w:rFonts w:cstheme="minorHAnsi"/>
          <w:noProof/>
          <w:lang w:val="es-ES"/>
        </w:rPr>
        <w:t xml:space="preserve"> las Partes Contratantes pueden </w:t>
      </w:r>
      <w:r w:rsidR="008A32AE" w:rsidRPr="0077568B">
        <w:rPr>
          <w:rFonts w:cstheme="minorHAnsi"/>
          <w:noProof/>
          <w:lang w:val="es-ES"/>
        </w:rPr>
        <w:t>integrar aún más</w:t>
      </w:r>
      <w:r w:rsidR="006C53ED" w:rsidRPr="0077568B">
        <w:rPr>
          <w:rFonts w:cstheme="minorHAnsi"/>
          <w:noProof/>
          <w:lang w:val="es-ES"/>
        </w:rPr>
        <w:t xml:space="preserve"> </w:t>
      </w:r>
      <w:r w:rsidRPr="0077568B">
        <w:rPr>
          <w:rFonts w:cstheme="minorHAnsi"/>
          <w:noProof/>
          <w:lang w:val="es-ES"/>
        </w:rPr>
        <w:t>los ODS como parte de su aplicación práctica del Plan Estratégico.</w:t>
      </w:r>
    </w:p>
    <w:p w14:paraId="40F5964B" w14:textId="77777777" w:rsidR="008759FF" w:rsidRPr="0077568B" w:rsidRDefault="008759FF" w:rsidP="00DA1EB3">
      <w:pPr>
        <w:rPr>
          <w:rFonts w:cstheme="minorHAnsi"/>
          <w:b/>
          <w:noProof/>
          <w:lang w:val="es-ES"/>
        </w:rPr>
      </w:pPr>
      <w:r w:rsidRPr="0077568B">
        <w:rPr>
          <w:rFonts w:cstheme="minorHAnsi"/>
          <w:b/>
          <w:noProof/>
          <w:lang w:val="es-ES"/>
        </w:rPr>
        <w:br w:type="page"/>
      </w:r>
    </w:p>
    <w:p w14:paraId="021FFE03" w14:textId="6CDCE8E8" w:rsidR="00ED4CD8" w:rsidRPr="0077568B" w:rsidRDefault="00BE7F85" w:rsidP="00DA1EB3">
      <w:pPr>
        <w:rPr>
          <w:rFonts w:cstheme="minorHAnsi"/>
          <w:b/>
          <w:noProof/>
          <w:lang w:val="es-ES"/>
        </w:rPr>
      </w:pPr>
      <w:r w:rsidRPr="0077568B">
        <w:rPr>
          <w:rFonts w:cstheme="minorHAnsi"/>
          <w:b/>
          <w:noProof/>
          <w:lang w:val="es-ES"/>
        </w:rPr>
        <w:lastRenderedPageBreak/>
        <w:t xml:space="preserve">Principales medidas para apoyar la aplicación práctica de los ODS </w:t>
      </w:r>
    </w:p>
    <w:p w14:paraId="7B4173FB" w14:textId="7ADE8350" w:rsidR="008759FF" w:rsidRPr="0077568B" w:rsidRDefault="008759FF" w:rsidP="00DA1EB3">
      <w:pPr>
        <w:rPr>
          <w:rFonts w:eastAsia="Times New Roman" w:cstheme="minorHAnsi"/>
          <w:b/>
          <w:bCs/>
          <w:noProof/>
          <w:lang w:val="es-ES" w:eastAsia="en-GB"/>
        </w:rPr>
      </w:pPr>
    </w:p>
    <w:tbl>
      <w:tblPr>
        <w:tblStyle w:val="TableGrid"/>
        <w:tblW w:w="0" w:type="auto"/>
        <w:tblLayout w:type="fixed"/>
        <w:tblLook w:val="04A0" w:firstRow="1" w:lastRow="0" w:firstColumn="1" w:lastColumn="0" w:noHBand="0" w:noVBand="1"/>
      </w:tblPr>
      <w:tblGrid>
        <w:gridCol w:w="3256"/>
        <w:gridCol w:w="3543"/>
        <w:gridCol w:w="2217"/>
      </w:tblGrid>
      <w:tr w:rsidR="00BE7F85" w:rsidRPr="0077568B" w14:paraId="6E946589" w14:textId="77777777" w:rsidTr="00453A3D">
        <w:trPr>
          <w:tblHeader/>
        </w:trPr>
        <w:tc>
          <w:tcPr>
            <w:tcW w:w="3256" w:type="dxa"/>
          </w:tcPr>
          <w:p w14:paraId="717425C1" w14:textId="77777777" w:rsidR="00BE7F85" w:rsidRPr="0077568B" w:rsidRDefault="00BE7F85" w:rsidP="00DA1EB3">
            <w:pPr>
              <w:pStyle w:val="ListParagraph"/>
              <w:ind w:left="0"/>
              <w:rPr>
                <w:rFonts w:cstheme="minorHAnsi"/>
                <w:b/>
                <w:bCs/>
                <w:noProof/>
                <w:sz w:val="20"/>
                <w:szCs w:val="20"/>
                <w:lang w:val="es-ES"/>
              </w:rPr>
            </w:pPr>
            <w:r w:rsidRPr="0077568B">
              <w:rPr>
                <w:rFonts w:cstheme="minorHAnsi"/>
                <w:b/>
                <w:bCs/>
                <w:noProof/>
                <w:sz w:val="20"/>
                <w:szCs w:val="20"/>
                <w:lang w:val="es-ES"/>
              </w:rPr>
              <w:t>Objetivos y metas del Plan Estratégico</w:t>
            </w:r>
          </w:p>
        </w:tc>
        <w:tc>
          <w:tcPr>
            <w:tcW w:w="3543" w:type="dxa"/>
          </w:tcPr>
          <w:p w14:paraId="0FD943EB" w14:textId="77777777" w:rsidR="00BE7F85" w:rsidRPr="0077568B" w:rsidRDefault="00BE7F85" w:rsidP="00DA1EB3">
            <w:pPr>
              <w:pStyle w:val="ListParagraph"/>
              <w:ind w:left="0"/>
              <w:rPr>
                <w:rFonts w:cstheme="minorHAnsi"/>
                <w:b/>
                <w:bCs/>
                <w:noProof/>
                <w:sz w:val="20"/>
                <w:szCs w:val="20"/>
                <w:lang w:val="es-ES"/>
              </w:rPr>
            </w:pPr>
            <w:r w:rsidRPr="0077568B">
              <w:rPr>
                <w:rFonts w:cstheme="minorHAnsi"/>
                <w:b/>
                <w:bCs/>
                <w:noProof/>
                <w:sz w:val="20"/>
                <w:szCs w:val="20"/>
                <w:lang w:val="es-ES"/>
              </w:rPr>
              <w:t>Medidas para integrar los humedales en los procesos de planificación de los ODS</w:t>
            </w:r>
          </w:p>
        </w:tc>
        <w:tc>
          <w:tcPr>
            <w:tcW w:w="2217" w:type="dxa"/>
          </w:tcPr>
          <w:p w14:paraId="1D0F49F1" w14:textId="77777777" w:rsidR="00BE7F85" w:rsidRPr="0077568B" w:rsidRDefault="00BE7F85" w:rsidP="00DA1EB3">
            <w:pPr>
              <w:pStyle w:val="ListParagraph"/>
              <w:ind w:left="0"/>
              <w:rPr>
                <w:rFonts w:cstheme="minorHAnsi"/>
                <w:b/>
                <w:bCs/>
                <w:noProof/>
                <w:sz w:val="20"/>
                <w:szCs w:val="20"/>
                <w:lang w:val="es-ES"/>
              </w:rPr>
            </w:pPr>
            <w:r w:rsidRPr="0077568B">
              <w:rPr>
                <w:rFonts w:cstheme="minorHAnsi"/>
                <w:b/>
                <w:bCs/>
                <w:noProof/>
                <w:sz w:val="20"/>
                <w:szCs w:val="20"/>
                <w:lang w:val="es-ES"/>
              </w:rPr>
              <w:t>Metas de los ODS conexas</w:t>
            </w:r>
          </w:p>
        </w:tc>
      </w:tr>
      <w:tr w:rsidR="00BE7F85" w:rsidRPr="0077568B" w14:paraId="28F7E2D0" w14:textId="77777777" w:rsidTr="00453A3D">
        <w:tc>
          <w:tcPr>
            <w:tcW w:w="9016" w:type="dxa"/>
            <w:gridSpan w:val="3"/>
          </w:tcPr>
          <w:p w14:paraId="4E082172"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b/>
                <w:noProof/>
                <w:sz w:val="20"/>
                <w:szCs w:val="20"/>
                <w:lang w:val="es-ES"/>
              </w:rPr>
              <w:t xml:space="preserve">Objetivo 1: </w:t>
            </w:r>
            <w:r w:rsidRPr="0077568B">
              <w:rPr>
                <w:rFonts w:asciiTheme="minorHAnsi" w:hAnsiTheme="minorHAnsi" w:cstheme="minorHAnsi"/>
                <w:b/>
                <w:bCs/>
                <w:noProof/>
                <w:sz w:val="20"/>
                <w:szCs w:val="20"/>
                <w:lang w:val="es-ES"/>
              </w:rPr>
              <w:t>Hacer frente a los factores que impulsan la pérdida y degradación de los humedales</w:t>
            </w:r>
          </w:p>
        </w:tc>
      </w:tr>
      <w:tr w:rsidR="00BE7F85" w:rsidRPr="0077568B" w14:paraId="118F3701" w14:textId="77777777" w:rsidTr="00453A3D">
        <w:tc>
          <w:tcPr>
            <w:tcW w:w="3256" w:type="dxa"/>
          </w:tcPr>
          <w:p w14:paraId="48C51B94"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w:t>
            </w:r>
            <w:r w:rsidRPr="0077568B">
              <w:rPr>
                <w:rFonts w:asciiTheme="minorHAnsi" w:hAnsiTheme="minorHAnsi" w:cstheme="minorHAnsi"/>
                <w:b/>
                <w:bCs/>
                <w:noProof/>
                <w:sz w:val="20"/>
                <w:szCs w:val="20"/>
                <w:lang w:val="es-ES"/>
              </w:rPr>
              <w:t xml:space="preserve"> </w:t>
            </w:r>
            <w:r w:rsidRPr="0077568B">
              <w:rPr>
                <w:rFonts w:asciiTheme="minorHAnsi" w:hAnsiTheme="minorHAnsi" w:cstheme="minorHAnsi"/>
                <w:noProof/>
                <w:sz w:val="20"/>
                <w:szCs w:val="20"/>
                <w:lang w:val="es-ES"/>
              </w:rPr>
              <w:t>Los beneficios de los humedales están integrados en las políticas o estrategias y planes nacionales o locales relativos a sectores clave como el agua, la energía, la minería, la agricultura, el turismo, el desarrollo urbano, las infraestructuras, la industria, la silvicultura, la acuicultura y la pesca a escala nacional y local.</w:t>
            </w:r>
          </w:p>
        </w:tc>
        <w:tc>
          <w:tcPr>
            <w:tcW w:w="3543" w:type="dxa"/>
          </w:tcPr>
          <w:p w14:paraId="4CBFEAAF" w14:textId="77777777" w:rsidR="00BE7F85" w:rsidRPr="0077568B" w:rsidRDefault="00BE7F85" w:rsidP="00DA1EB3">
            <w:pPr>
              <w:pStyle w:val="paralevel1"/>
              <w:numPr>
                <w:ilvl w:val="0"/>
                <w:numId w:val="0"/>
              </w:numPr>
              <w:spacing w:after="0"/>
              <w:ind w:left="73"/>
              <w:rPr>
                <w:rFonts w:asciiTheme="minorHAnsi" w:hAnsiTheme="minorHAnsi" w:cstheme="minorHAnsi"/>
                <w:noProof/>
                <w:lang w:val="es-ES"/>
              </w:rPr>
            </w:pPr>
            <w:r w:rsidRPr="0077568B">
              <w:rPr>
                <w:rFonts w:asciiTheme="minorHAnsi" w:hAnsiTheme="minorHAnsi" w:cstheme="minorHAnsi"/>
                <w:noProof/>
                <w:lang w:val="es-ES"/>
              </w:rPr>
              <w:t>Adoptar políticas y prácticas para la conservación y el uso sostenible de los humedales con miras a invertir la pérdida y degradación actual y futura de los humedales.</w:t>
            </w:r>
          </w:p>
          <w:p w14:paraId="799B2751" w14:textId="77777777" w:rsidR="00BE7F85" w:rsidRPr="0077568B" w:rsidRDefault="00BE7F85" w:rsidP="00DA1EB3">
            <w:pPr>
              <w:pStyle w:val="paralevel1"/>
              <w:numPr>
                <w:ilvl w:val="0"/>
                <w:numId w:val="0"/>
              </w:numPr>
              <w:tabs>
                <w:tab w:val="left" w:pos="749"/>
              </w:tabs>
              <w:spacing w:after="0"/>
              <w:ind w:left="73"/>
              <w:rPr>
                <w:rFonts w:asciiTheme="minorHAnsi" w:hAnsiTheme="minorHAnsi" w:cstheme="minorHAnsi"/>
                <w:noProof/>
                <w:lang w:val="es-ES"/>
              </w:rPr>
            </w:pPr>
          </w:p>
          <w:p w14:paraId="50405645" w14:textId="77777777" w:rsidR="00BE7F85" w:rsidRPr="0077568B" w:rsidRDefault="00BE7F85" w:rsidP="00DA1EB3">
            <w:pPr>
              <w:pStyle w:val="paralevel1"/>
              <w:numPr>
                <w:ilvl w:val="0"/>
                <w:numId w:val="0"/>
              </w:numPr>
              <w:tabs>
                <w:tab w:val="left" w:pos="749"/>
              </w:tabs>
              <w:spacing w:after="0"/>
              <w:ind w:left="73"/>
              <w:rPr>
                <w:rFonts w:asciiTheme="minorHAnsi" w:hAnsiTheme="minorHAnsi" w:cstheme="minorHAnsi"/>
                <w:noProof/>
                <w:lang w:val="es-ES"/>
              </w:rPr>
            </w:pPr>
            <w:r w:rsidRPr="0077568B">
              <w:rPr>
                <w:rFonts w:asciiTheme="minorHAnsi" w:hAnsiTheme="minorHAnsi" w:cstheme="minorHAnsi"/>
                <w:noProof/>
                <w:lang w:val="es-ES"/>
              </w:rPr>
              <w:t>Integrar la conservación, el uso racional y la restauración de los humedales en diversas políticas sectoriales, como la agricultura, la silvicultura o la planificación urbanística entre otras, para promover su papel en el cumplimiento de diversos objetivos.</w:t>
            </w:r>
          </w:p>
        </w:tc>
        <w:tc>
          <w:tcPr>
            <w:tcW w:w="2217" w:type="dxa"/>
          </w:tcPr>
          <w:p w14:paraId="4F3A7B0B"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1.b; 2.4; 6.1; 6.2; 6.5; 8.3; 8.9; 11.3; 11.4; 11.a; 11.b; 13.2; 14.4; 14.5; 14.c; 15.9</w:t>
            </w:r>
          </w:p>
        </w:tc>
      </w:tr>
      <w:tr w:rsidR="00BE7F85" w:rsidRPr="0077568B" w14:paraId="3A4D58A1" w14:textId="77777777" w:rsidTr="00453A3D">
        <w:tc>
          <w:tcPr>
            <w:tcW w:w="3256" w:type="dxa"/>
          </w:tcPr>
          <w:p w14:paraId="3E3DEB51"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2. El uso del agua respeta las necesidades de los ecosistemas de humedales para que estos puedan cumplir sus funciones y proporcionar servicios a la escala adecuada, por ejemplo, en una cuenca hidrográfica o una zona costera.</w:t>
            </w:r>
          </w:p>
        </w:tc>
        <w:tc>
          <w:tcPr>
            <w:tcW w:w="3543" w:type="dxa"/>
          </w:tcPr>
          <w:p w14:paraId="687966FA"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Ampliar las intervenciones sobre los humedales. Un enfoque a escala del paisaje o de las cuencas hidrográficas que tenga en cuenta una zona más extensa puede contribuir a tener en cuenta los procesos ecológicos más amplios de los humedales y los efectos de su pérdida y restauración sobre las personas.</w:t>
            </w:r>
          </w:p>
        </w:tc>
        <w:tc>
          <w:tcPr>
            <w:tcW w:w="2217" w:type="dxa"/>
          </w:tcPr>
          <w:p w14:paraId="14707BE2"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6.4; 6.5; 6.6</w:t>
            </w:r>
          </w:p>
        </w:tc>
      </w:tr>
      <w:tr w:rsidR="00BE7F85" w:rsidRPr="0077568B" w14:paraId="532232DC" w14:textId="77777777" w:rsidTr="00453A3D">
        <w:tc>
          <w:tcPr>
            <w:tcW w:w="3256" w:type="dxa"/>
          </w:tcPr>
          <w:p w14:paraId="444DF5ED"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3. Los sectores público y privado han aumentado sus esfuerzos para aplicar lineamientos y buenas prácticas para el uso racional del agua y de los humedales.</w:t>
            </w:r>
          </w:p>
          <w:p w14:paraId="7DE04BFA" w14:textId="77777777" w:rsidR="00BE7F85" w:rsidRPr="0077568B" w:rsidRDefault="00BE7F85" w:rsidP="00DA1EB3">
            <w:pPr>
              <w:pStyle w:val="ListParagraph"/>
              <w:ind w:left="0"/>
              <w:rPr>
                <w:rFonts w:cstheme="minorHAnsi"/>
                <w:noProof/>
                <w:sz w:val="20"/>
                <w:szCs w:val="20"/>
                <w:lang w:val="es-ES"/>
              </w:rPr>
            </w:pPr>
          </w:p>
        </w:tc>
        <w:tc>
          <w:tcPr>
            <w:tcW w:w="3543" w:type="dxa"/>
          </w:tcPr>
          <w:p w14:paraId="20CFAF95" w14:textId="77777777" w:rsidR="00BE7F85" w:rsidRPr="0077568B" w:rsidRDefault="00BE7F85" w:rsidP="00DA1EB3">
            <w:pPr>
              <w:spacing w:line="256" w:lineRule="auto"/>
              <w:rPr>
                <w:rFonts w:cstheme="minorHAnsi"/>
                <w:noProof/>
                <w:sz w:val="20"/>
                <w:szCs w:val="20"/>
                <w:lang w:val="es-ES"/>
              </w:rPr>
            </w:pPr>
          </w:p>
        </w:tc>
        <w:tc>
          <w:tcPr>
            <w:tcW w:w="2217" w:type="dxa"/>
          </w:tcPr>
          <w:p w14:paraId="5A8FA10C" w14:textId="77777777" w:rsidR="00BE7F85" w:rsidRPr="0077568B" w:rsidRDefault="00BE7F85" w:rsidP="00DA1EB3">
            <w:pPr>
              <w:spacing w:line="256" w:lineRule="auto"/>
              <w:rPr>
                <w:rFonts w:cstheme="minorHAnsi"/>
                <w:noProof/>
                <w:sz w:val="20"/>
                <w:szCs w:val="20"/>
                <w:lang w:val="es-ES"/>
              </w:rPr>
            </w:pPr>
            <w:r w:rsidRPr="0077568B">
              <w:rPr>
                <w:rFonts w:cstheme="minorHAnsi"/>
                <w:noProof/>
                <w:sz w:val="20"/>
                <w:szCs w:val="20"/>
                <w:lang w:val="es-ES"/>
              </w:rPr>
              <w:t>2.3; 2.5; 3.9; 6.3; 6.4; 6.5; 6.6; 6.a; 6.b; 8.4; 9.1; 9.5; 11.4; 11.5; 11.6; 11.7; 12.2; 12.6; 14.1; 14.2; 14.3; 14.4; 14.5; 14.7; 14.b; 15.1; 15.2; 15.3; 15.4; 15.5; 15.6; 15.7</w:t>
            </w:r>
          </w:p>
        </w:tc>
      </w:tr>
      <w:tr w:rsidR="00BE7F85" w:rsidRPr="0077568B" w14:paraId="6C8C6474" w14:textId="77777777" w:rsidTr="00453A3D">
        <w:tc>
          <w:tcPr>
            <w:tcW w:w="3256" w:type="dxa"/>
          </w:tcPr>
          <w:p w14:paraId="6205F22B"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4. Se identifican y priorizan especies exóticas invasoras y sus vías de entrada y expansión, se controlan o erradican las especies exóticas invasoras prioritarias y se preparan y aplican medidas de manejo para evitar su introducción y establecimiento.</w:t>
            </w:r>
          </w:p>
        </w:tc>
        <w:tc>
          <w:tcPr>
            <w:tcW w:w="3543" w:type="dxa"/>
          </w:tcPr>
          <w:p w14:paraId="19284A11" w14:textId="77777777" w:rsidR="00BE7F85" w:rsidRPr="0077568B" w:rsidRDefault="00BE7F85" w:rsidP="00DA1EB3">
            <w:pPr>
              <w:pStyle w:val="ListParagraph"/>
              <w:ind w:left="0"/>
              <w:rPr>
                <w:rFonts w:cstheme="minorHAnsi"/>
                <w:noProof/>
                <w:sz w:val="20"/>
                <w:szCs w:val="20"/>
                <w:lang w:val="es-ES"/>
              </w:rPr>
            </w:pPr>
          </w:p>
        </w:tc>
        <w:tc>
          <w:tcPr>
            <w:tcW w:w="2217" w:type="dxa"/>
          </w:tcPr>
          <w:p w14:paraId="39AE3DFA"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15.8</w:t>
            </w:r>
          </w:p>
        </w:tc>
      </w:tr>
      <w:tr w:rsidR="00BE7F85" w:rsidRPr="0077568B" w14:paraId="40E8DA64" w14:textId="77777777" w:rsidTr="00453A3D">
        <w:tc>
          <w:tcPr>
            <w:tcW w:w="6799" w:type="dxa"/>
            <w:gridSpan w:val="2"/>
          </w:tcPr>
          <w:p w14:paraId="60F69EAA"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b/>
                <w:noProof/>
                <w:sz w:val="20"/>
                <w:szCs w:val="20"/>
                <w:lang w:val="es-ES"/>
              </w:rPr>
              <w:t xml:space="preserve">Objetivo 2: </w:t>
            </w:r>
            <w:r w:rsidRPr="0077568B">
              <w:rPr>
                <w:rFonts w:asciiTheme="minorHAnsi" w:hAnsiTheme="minorHAnsi" w:cstheme="minorHAnsi"/>
                <w:b/>
                <w:bCs/>
                <w:noProof/>
                <w:sz w:val="20"/>
                <w:szCs w:val="20"/>
                <w:lang w:val="es-ES"/>
              </w:rPr>
              <w:t>Llevar a cabo una conservación y un manejo eficaces de la red de sitios Ramsar</w:t>
            </w:r>
          </w:p>
        </w:tc>
        <w:tc>
          <w:tcPr>
            <w:tcW w:w="2217" w:type="dxa"/>
          </w:tcPr>
          <w:p w14:paraId="7031C894" w14:textId="77777777" w:rsidR="00BE7F85" w:rsidRPr="0077568B" w:rsidRDefault="00BE7F85" w:rsidP="00DA1EB3">
            <w:pPr>
              <w:rPr>
                <w:rFonts w:cstheme="minorHAnsi"/>
                <w:b/>
                <w:noProof/>
                <w:sz w:val="20"/>
                <w:szCs w:val="20"/>
                <w:lang w:val="es-ES"/>
              </w:rPr>
            </w:pPr>
          </w:p>
        </w:tc>
      </w:tr>
      <w:tr w:rsidR="00BE7F85" w:rsidRPr="0077568B" w14:paraId="552C0958" w14:textId="77777777" w:rsidTr="00453A3D">
        <w:tc>
          <w:tcPr>
            <w:tcW w:w="3256" w:type="dxa"/>
          </w:tcPr>
          <w:p w14:paraId="400EF549"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5. Se mantienen o restauran las características ecológicas de los sitios Ramsar a través de una planificación eficaz y un manejo integrado.</w:t>
            </w:r>
          </w:p>
        </w:tc>
        <w:tc>
          <w:tcPr>
            <w:tcW w:w="3543" w:type="dxa"/>
          </w:tcPr>
          <w:p w14:paraId="18E4CBE3"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Construir alianzas entre interesados múltiples como manera crucial de llevar a cabo la conservación, el uso racional y la restauración de los humedales. En consecuencia, se necesitan esfuerzos para promover estas alianzas entre distintos sectores de la sociedad en los sitios Ramsar.</w:t>
            </w:r>
          </w:p>
        </w:tc>
        <w:tc>
          <w:tcPr>
            <w:tcW w:w="2217" w:type="dxa"/>
          </w:tcPr>
          <w:p w14:paraId="1C6E7931"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6.3; 6.4; 6.5; 6.6; 11.3; 11.4; 11.a; 11.b; 13.1; 14.2; 15.1; 15.2; 15.3; 15.4</w:t>
            </w:r>
          </w:p>
        </w:tc>
      </w:tr>
      <w:tr w:rsidR="00BE7F85" w:rsidRPr="0077568B" w14:paraId="53C2E54F" w14:textId="77777777" w:rsidTr="00453A3D">
        <w:tc>
          <w:tcPr>
            <w:tcW w:w="3256" w:type="dxa"/>
          </w:tcPr>
          <w:p w14:paraId="156F45D2"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lastRenderedPageBreak/>
              <w:t>6. Se produce un aumento considerable de la superficie, la cantidad y conectividad ecológica de la red de sitios Ramsar, particularmente en lo que se refiere a tipos de humedales insuficientemente representados, inclusive en ecorregiones insuficientemente representadas y sitios transfronterizos.</w:t>
            </w:r>
          </w:p>
        </w:tc>
        <w:tc>
          <w:tcPr>
            <w:tcW w:w="3543" w:type="dxa"/>
          </w:tcPr>
          <w:p w14:paraId="68D63C63" w14:textId="77777777" w:rsidR="00BE7F85" w:rsidRPr="0077568B" w:rsidRDefault="00BE7F85" w:rsidP="00DA1EB3">
            <w:pPr>
              <w:rPr>
                <w:rFonts w:cstheme="minorHAnsi"/>
                <w:noProof/>
                <w:sz w:val="20"/>
                <w:szCs w:val="20"/>
                <w:lang w:val="es-ES"/>
              </w:rPr>
            </w:pPr>
          </w:p>
        </w:tc>
        <w:tc>
          <w:tcPr>
            <w:tcW w:w="2217" w:type="dxa"/>
          </w:tcPr>
          <w:p w14:paraId="7DD79D85" w14:textId="77777777" w:rsidR="00BE7F85" w:rsidRPr="0077568B" w:rsidRDefault="00BE7F85" w:rsidP="00DA1EB3">
            <w:pPr>
              <w:rPr>
                <w:rFonts w:cstheme="minorHAnsi"/>
                <w:noProof/>
                <w:sz w:val="20"/>
                <w:szCs w:val="20"/>
                <w:lang w:val="es-ES"/>
              </w:rPr>
            </w:pPr>
            <w:r w:rsidRPr="0077568B">
              <w:rPr>
                <w:rFonts w:cstheme="minorHAnsi"/>
                <w:noProof/>
                <w:sz w:val="20"/>
                <w:szCs w:val="20"/>
                <w:lang w:val="es-ES"/>
              </w:rPr>
              <w:t>6.5; 6.6; 11.3; 11.4; 11.a; 11.b; 13.1; 14.2; 15.1; 15.2; 15.3; 15.4</w:t>
            </w:r>
          </w:p>
        </w:tc>
      </w:tr>
      <w:tr w:rsidR="00BE7F85" w:rsidRPr="0077568B" w14:paraId="5490365B" w14:textId="77777777" w:rsidTr="00453A3D">
        <w:tc>
          <w:tcPr>
            <w:tcW w:w="3256" w:type="dxa"/>
          </w:tcPr>
          <w:p w14:paraId="76E3FA69"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7. Se hace frente a las amenazas de los sitios con riesgo de cambios en sus características ecológicas.</w:t>
            </w:r>
          </w:p>
        </w:tc>
        <w:tc>
          <w:tcPr>
            <w:tcW w:w="3543" w:type="dxa"/>
          </w:tcPr>
          <w:p w14:paraId="230A91DF" w14:textId="77777777" w:rsidR="00BE7F85" w:rsidRPr="0077568B" w:rsidRDefault="00BE7F85" w:rsidP="00DA1EB3">
            <w:pPr>
              <w:pStyle w:val="ListParagraph"/>
              <w:ind w:left="0"/>
              <w:rPr>
                <w:rFonts w:cstheme="minorHAnsi"/>
                <w:noProof/>
                <w:sz w:val="20"/>
                <w:szCs w:val="20"/>
                <w:lang w:val="es-ES"/>
              </w:rPr>
            </w:pPr>
          </w:p>
        </w:tc>
        <w:tc>
          <w:tcPr>
            <w:tcW w:w="2217" w:type="dxa"/>
          </w:tcPr>
          <w:p w14:paraId="678AD813"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6.5; 6.6; 11.3; 11.4; 11.a; 11.b; 12.4; 13.1; 14.2; 15.1; 15.2; 15.3; 15.4</w:t>
            </w:r>
          </w:p>
        </w:tc>
      </w:tr>
      <w:tr w:rsidR="00BE7F85" w:rsidRPr="0077568B" w14:paraId="403110BD" w14:textId="77777777" w:rsidTr="00453A3D">
        <w:tc>
          <w:tcPr>
            <w:tcW w:w="6799" w:type="dxa"/>
            <w:gridSpan w:val="2"/>
          </w:tcPr>
          <w:p w14:paraId="3B8218A6"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b/>
                <w:noProof/>
                <w:sz w:val="20"/>
                <w:szCs w:val="20"/>
                <w:lang w:val="es-ES"/>
              </w:rPr>
              <w:t xml:space="preserve">Objetivo 3: </w:t>
            </w:r>
            <w:r w:rsidRPr="0077568B">
              <w:rPr>
                <w:rFonts w:asciiTheme="minorHAnsi" w:hAnsiTheme="minorHAnsi" w:cstheme="minorHAnsi"/>
                <w:b/>
                <w:bCs/>
                <w:noProof/>
                <w:sz w:val="20"/>
                <w:szCs w:val="20"/>
                <w:lang w:val="es-ES"/>
              </w:rPr>
              <w:t>Realizar un uso racional de todos los humedales</w:t>
            </w:r>
          </w:p>
        </w:tc>
        <w:tc>
          <w:tcPr>
            <w:tcW w:w="2217" w:type="dxa"/>
          </w:tcPr>
          <w:p w14:paraId="08F87F1C" w14:textId="77777777" w:rsidR="00BE7F85" w:rsidRPr="0077568B" w:rsidRDefault="00BE7F85" w:rsidP="00DA1EB3">
            <w:pPr>
              <w:pStyle w:val="NormalWeb"/>
              <w:rPr>
                <w:rFonts w:cstheme="minorHAnsi"/>
                <w:b/>
                <w:noProof/>
                <w:sz w:val="20"/>
                <w:szCs w:val="20"/>
                <w:lang w:val="es-ES"/>
              </w:rPr>
            </w:pPr>
          </w:p>
        </w:tc>
      </w:tr>
      <w:tr w:rsidR="00BE7F85" w:rsidRPr="0077568B" w14:paraId="06720414" w14:textId="77777777" w:rsidTr="00453A3D">
        <w:tc>
          <w:tcPr>
            <w:tcW w:w="3256" w:type="dxa"/>
          </w:tcPr>
          <w:p w14:paraId="355C0C03"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8. Se han iniciado, completado o actualizado, divulgado y utilizado inventarios nacionales de humedales para promover la conservación y el manejo eficaz de todos los humedales.</w:t>
            </w:r>
          </w:p>
        </w:tc>
        <w:tc>
          <w:tcPr>
            <w:tcW w:w="3543" w:type="dxa"/>
          </w:tcPr>
          <w:p w14:paraId="27459167" w14:textId="77777777" w:rsidR="00BE7F85" w:rsidRPr="0077568B" w:rsidRDefault="00BE7F85" w:rsidP="00DA1EB3">
            <w:pPr>
              <w:pStyle w:val="ListParagraph"/>
              <w:numPr>
                <w:ilvl w:val="0"/>
                <w:numId w:val="25"/>
              </w:numPr>
              <w:spacing w:after="0" w:line="240" w:lineRule="auto"/>
              <w:ind w:left="37" w:hanging="680"/>
              <w:rPr>
                <w:rFonts w:cstheme="minorHAnsi"/>
                <w:noProof/>
                <w:sz w:val="20"/>
                <w:szCs w:val="20"/>
                <w:lang w:val="es-ES"/>
              </w:rPr>
            </w:pPr>
            <w:r w:rsidRPr="0077568B">
              <w:rPr>
                <w:rFonts w:cstheme="minorHAnsi"/>
                <w:noProof/>
                <w:sz w:val="20"/>
                <w:szCs w:val="20"/>
                <w:lang w:val="es-ES"/>
              </w:rPr>
              <w:t>Utilizar los informes nacionales de Ramsar y los mecanismos conexos de presentación de informes para aportar información que sirva para generar inventarios y realizar un seguimiento en relación con el indicador 6.6.1 y la meta 15.1 de los ODS.</w:t>
            </w:r>
          </w:p>
        </w:tc>
        <w:tc>
          <w:tcPr>
            <w:tcW w:w="2217" w:type="dxa"/>
          </w:tcPr>
          <w:p w14:paraId="32E7ECBE"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6.6; 11.4; 14.5; 15.1</w:t>
            </w:r>
          </w:p>
        </w:tc>
      </w:tr>
      <w:tr w:rsidR="00BE7F85" w:rsidRPr="0077568B" w14:paraId="0F1436FE" w14:textId="77777777" w:rsidTr="00453A3D">
        <w:tc>
          <w:tcPr>
            <w:tcW w:w="3256" w:type="dxa"/>
          </w:tcPr>
          <w:p w14:paraId="5F131894"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9. El uso racional de los humedales se refuerza a través del manejo integrado de los recursos a la escala adecuada, por ejemplo, en una cuenca hidrográfica o una zona costera.</w:t>
            </w:r>
          </w:p>
        </w:tc>
        <w:tc>
          <w:tcPr>
            <w:tcW w:w="3543" w:type="dxa"/>
          </w:tcPr>
          <w:p w14:paraId="7AA2D122" w14:textId="77777777" w:rsidR="00BE7F85" w:rsidRPr="0077568B" w:rsidRDefault="00BE7F85" w:rsidP="00DA1EB3">
            <w:pPr>
              <w:pStyle w:val="ListParagraph"/>
              <w:ind w:left="0"/>
              <w:rPr>
                <w:rFonts w:cstheme="minorHAnsi"/>
                <w:noProof/>
                <w:sz w:val="20"/>
                <w:szCs w:val="20"/>
                <w:lang w:val="es-ES"/>
              </w:rPr>
            </w:pPr>
          </w:p>
        </w:tc>
        <w:tc>
          <w:tcPr>
            <w:tcW w:w="2217" w:type="dxa"/>
          </w:tcPr>
          <w:p w14:paraId="533E10B8"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1.4; 5.a; 6.5; 8.4; 11.b; 14.7; 14.c</w:t>
            </w:r>
          </w:p>
        </w:tc>
      </w:tr>
      <w:tr w:rsidR="00BE7F85" w:rsidRPr="0077568B" w14:paraId="5F3ECA20" w14:textId="77777777" w:rsidTr="00453A3D">
        <w:trPr>
          <w:trHeight w:val="3534"/>
        </w:trPr>
        <w:tc>
          <w:tcPr>
            <w:tcW w:w="3256" w:type="dxa"/>
          </w:tcPr>
          <w:p w14:paraId="158E6114"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10. El conocimiento tradicional, las innovaciones y las prácticas de los pueblos indígenas y las comunidades locales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c>
          <w:tcPr>
            <w:tcW w:w="3543" w:type="dxa"/>
          </w:tcPr>
          <w:p w14:paraId="122EF597"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Implicar a los interesados a todos los niveles para facilitar la integración de la conservación, el uso racional y la restauración de los humedales en las estrategias sobre los medios de vida, garantizando así la sostenibilidad de esos esfuerzos. Concretamente, se valoran cada vez más la función y los conocimientos de las comunidades locales e indígenas, considerando que son fundamentales para la sostenibilidad de las intervenciones a largo plazo.</w:t>
            </w:r>
          </w:p>
          <w:p w14:paraId="2E90539C" w14:textId="77777777" w:rsidR="00BE7F85" w:rsidRPr="0077568B" w:rsidRDefault="00BE7F85" w:rsidP="00DA1EB3">
            <w:pPr>
              <w:pStyle w:val="ListParagraph"/>
              <w:ind w:left="0"/>
              <w:rPr>
                <w:rFonts w:cstheme="minorHAnsi"/>
                <w:noProof/>
                <w:sz w:val="20"/>
                <w:szCs w:val="20"/>
                <w:lang w:val="es-ES"/>
              </w:rPr>
            </w:pPr>
          </w:p>
        </w:tc>
        <w:tc>
          <w:tcPr>
            <w:tcW w:w="2217" w:type="dxa"/>
          </w:tcPr>
          <w:p w14:paraId="71E45286"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2.3; 2.5; 5.5; 5.a; 6.b; 12.8; 15.c</w:t>
            </w:r>
          </w:p>
        </w:tc>
      </w:tr>
      <w:tr w:rsidR="00BE7F85" w:rsidRPr="0077568B" w14:paraId="4C786DC1" w14:textId="77777777" w:rsidTr="00453A3D">
        <w:tc>
          <w:tcPr>
            <w:tcW w:w="3256" w:type="dxa"/>
          </w:tcPr>
          <w:p w14:paraId="06DD19C0"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 xml:space="preserve">11. Se demuestran, documentan y divulgan ampliamente las funciones, los servicios y los beneficios de los humedales. </w:t>
            </w:r>
          </w:p>
        </w:tc>
        <w:tc>
          <w:tcPr>
            <w:tcW w:w="3543" w:type="dxa"/>
          </w:tcPr>
          <w:p w14:paraId="6B319258" w14:textId="77777777" w:rsidR="00BE7F85" w:rsidRPr="0077568B" w:rsidRDefault="00BE7F85" w:rsidP="00DA1EB3">
            <w:pPr>
              <w:pStyle w:val="paralevel1"/>
              <w:numPr>
                <w:ilvl w:val="0"/>
                <w:numId w:val="24"/>
              </w:numPr>
              <w:spacing w:after="0"/>
              <w:ind w:left="37" w:hanging="680"/>
              <w:rPr>
                <w:rFonts w:asciiTheme="minorHAnsi" w:hAnsiTheme="minorHAnsi" w:cstheme="minorHAnsi"/>
                <w:noProof/>
                <w:lang w:val="es-ES"/>
              </w:rPr>
            </w:pPr>
            <w:r w:rsidRPr="0077568B">
              <w:rPr>
                <w:rFonts w:asciiTheme="minorHAnsi" w:hAnsiTheme="minorHAnsi" w:cstheme="minorHAnsi"/>
                <w:noProof/>
                <w:lang w:val="es-ES"/>
              </w:rPr>
              <w:t xml:space="preserve">Determinar claramente los servicios que brindan a las personas y al medio ambiente los humedales, incluidos los sitios Ramsar, cuando estos son designados, para que se entiendan mejor los valores de los sitios concretos y las medidas ulteriores propuestas para su conservación, uso y restauración. Se pueden gestionar los sitios Ramsar </w:t>
            </w:r>
            <w:r w:rsidRPr="0077568B">
              <w:rPr>
                <w:rFonts w:asciiTheme="minorHAnsi" w:hAnsiTheme="minorHAnsi" w:cstheme="minorHAnsi"/>
                <w:noProof/>
                <w:lang w:val="es-ES"/>
              </w:rPr>
              <w:lastRenderedPageBreak/>
              <w:t>como sitios piloto para promover el desarrollo sostenible.</w:t>
            </w:r>
          </w:p>
          <w:p w14:paraId="67C831A1" w14:textId="77777777" w:rsidR="00BE7F85" w:rsidRPr="0077568B" w:rsidRDefault="00BE7F85" w:rsidP="00DA1EB3">
            <w:pPr>
              <w:pStyle w:val="paralevel1"/>
              <w:numPr>
                <w:ilvl w:val="0"/>
                <w:numId w:val="24"/>
              </w:numPr>
              <w:spacing w:after="0"/>
              <w:ind w:left="37" w:hanging="680"/>
              <w:rPr>
                <w:rFonts w:asciiTheme="minorHAnsi" w:hAnsiTheme="minorHAnsi" w:cstheme="minorHAnsi"/>
                <w:noProof/>
                <w:lang w:val="es-ES"/>
              </w:rPr>
            </w:pPr>
          </w:p>
        </w:tc>
        <w:tc>
          <w:tcPr>
            <w:tcW w:w="2217" w:type="dxa"/>
          </w:tcPr>
          <w:p w14:paraId="0624CA7A"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lastRenderedPageBreak/>
              <w:t>1.5; 14.7; 15.9</w:t>
            </w:r>
          </w:p>
        </w:tc>
      </w:tr>
      <w:tr w:rsidR="00BE7F85" w:rsidRPr="0077568B" w14:paraId="3FA927EB" w14:textId="77777777" w:rsidTr="00453A3D">
        <w:tc>
          <w:tcPr>
            <w:tcW w:w="3256" w:type="dxa"/>
          </w:tcPr>
          <w:p w14:paraId="4317713C"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12. La restauración está en curso en los humedales degradados, dando prioridad a los humedales importantes para la conservación de la biodiversidad, la reducción del riesgo de desastres, los medios de vida y/o la mitigación del cambio climático y la adaptación a este.</w:t>
            </w:r>
          </w:p>
        </w:tc>
        <w:tc>
          <w:tcPr>
            <w:tcW w:w="3543" w:type="dxa"/>
          </w:tcPr>
          <w:p w14:paraId="755FE8C1"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Integrar los servicios de los ecosistemas en las contribuciones determinadas a nivel nacional en el marco del Acuerdo de París sobre el Cambio Climático.</w:t>
            </w:r>
          </w:p>
        </w:tc>
        <w:tc>
          <w:tcPr>
            <w:tcW w:w="2217" w:type="dxa"/>
          </w:tcPr>
          <w:p w14:paraId="7B712BC5"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6.6; 14.2; 14.4; 15.1; 15.2; 15.3</w:t>
            </w:r>
          </w:p>
        </w:tc>
      </w:tr>
      <w:tr w:rsidR="00BE7F85" w:rsidRPr="0077568B" w14:paraId="34063C3B" w14:textId="77777777" w:rsidTr="00453A3D">
        <w:tc>
          <w:tcPr>
            <w:tcW w:w="3256" w:type="dxa"/>
          </w:tcPr>
          <w:p w14:paraId="576D25E1"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13. Mayor sostenibilidad de sectores clave como el agua, la energía, la minería, la agricultura, el turismo, el desarrollo urbano, las infraestructuras, la industria, la silvicultura, la acuicultura y la pesca cuando estos afectan a los humedales, contribuyendo a la conservación de la biodiversidad y a los medios de vida de las personas</w:t>
            </w:r>
          </w:p>
        </w:tc>
        <w:tc>
          <w:tcPr>
            <w:tcW w:w="3543" w:type="dxa"/>
          </w:tcPr>
          <w:p w14:paraId="11531BD5" w14:textId="77777777" w:rsidR="00BE7F85" w:rsidRPr="0077568B" w:rsidRDefault="00BE7F85" w:rsidP="00DA1EB3">
            <w:pPr>
              <w:pStyle w:val="ListParagraph"/>
              <w:ind w:left="0"/>
              <w:rPr>
                <w:rFonts w:cstheme="minorHAnsi"/>
                <w:noProof/>
                <w:sz w:val="20"/>
                <w:szCs w:val="20"/>
                <w:lang w:val="es-ES"/>
              </w:rPr>
            </w:pPr>
          </w:p>
        </w:tc>
        <w:tc>
          <w:tcPr>
            <w:tcW w:w="2217" w:type="dxa"/>
          </w:tcPr>
          <w:p w14:paraId="3C5F6DDB"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1.b; 2.4; 6.5; 8.3; 8.9; 11.3; 11.4; 11.a; 11.b; 12b; 13.2; 14.4; 14.5; 14.c; 15.9</w:t>
            </w:r>
          </w:p>
        </w:tc>
      </w:tr>
      <w:tr w:rsidR="00BE7F85" w:rsidRPr="0077568B" w14:paraId="1C3B7CC1" w14:textId="77777777" w:rsidTr="00453A3D">
        <w:tc>
          <w:tcPr>
            <w:tcW w:w="3256" w:type="dxa"/>
          </w:tcPr>
          <w:p w14:paraId="6E417CD2"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14. Se desarrollan orientaciones científicas y metodologías técnicas a escala mundial y regional sobre temas relevantes que están disponibles para los responsables de políticas y los profesionales en un formato y un lenguaje apropiados</w:t>
            </w:r>
          </w:p>
        </w:tc>
        <w:tc>
          <w:tcPr>
            <w:tcW w:w="3543" w:type="dxa"/>
          </w:tcPr>
          <w:p w14:paraId="615E78E0" w14:textId="77777777" w:rsidR="00BE7F85" w:rsidRPr="0077568B" w:rsidRDefault="00BE7F85" w:rsidP="00DA1EB3">
            <w:pPr>
              <w:pStyle w:val="ListParagraph"/>
              <w:ind w:left="0"/>
              <w:rPr>
                <w:rFonts w:cstheme="minorHAnsi"/>
                <w:noProof/>
                <w:sz w:val="20"/>
                <w:szCs w:val="20"/>
                <w:lang w:val="es-ES"/>
              </w:rPr>
            </w:pPr>
          </w:p>
        </w:tc>
        <w:tc>
          <w:tcPr>
            <w:tcW w:w="2217" w:type="dxa"/>
          </w:tcPr>
          <w:p w14:paraId="00501B7F"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9.5; 9.a; 14.3; 14.4; 14.5; 17.6</w:t>
            </w:r>
          </w:p>
        </w:tc>
      </w:tr>
      <w:tr w:rsidR="00BE7F85" w:rsidRPr="0077568B" w14:paraId="66696B9D" w14:textId="77777777" w:rsidTr="00453A3D">
        <w:tc>
          <w:tcPr>
            <w:tcW w:w="3256" w:type="dxa"/>
          </w:tcPr>
          <w:p w14:paraId="312DB2A3"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15. Con la participación activa y el apoyo de las Partes de cada región, se refuerzan las Iniciativas Regionales de Ramsar y se convierten en herramientas eficaces para contribuir a la aplicación plena de la Convención.</w:t>
            </w:r>
          </w:p>
        </w:tc>
        <w:tc>
          <w:tcPr>
            <w:tcW w:w="3543" w:type="dxa"/>
          </w:tcPr>
          <w:p w14:paraId="412AD3C2" w14:textId="77777777" w:rsidR="00BE7F85" w:rsidRPr="0077568B" w:rsidRDefault="00BE7F85" w:rsidP="00DA1EB3">
            <w:pPr>
              <w:pStyle w:val="ListParagraph"/>
              <w:ind w:left="0"/>
              <w:rPr>
                <w:rFonts w:cstheme="minorHAnsi"/>
                <w:noProof/>
                <w:sz w:val="20"/>
                <w:szCs w:val="20"/>
                <w:lang w:val="es-ES"/>
              </w:rPr>
            </w:pPr>
          </w:p>
        </w:tc>
        <w:tc>
          <w:tcPr>
            <w:tcW w:w="2217" w:type="dxa"/>
          </w:tcPr>
          <w:p w14:paraId="230A8A54"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1.b; 2.5; 6.5; 6.6; 9.1; 11.a; 14.2; 15.1; 17.6; 17.7; 17.9</w:t>
            </w:r>
          </w:p>
        </w:tc>
      </w:tr>
      <w:tr w:rsidR="00BE7F85" w:rsidRPr="0077568B" w14:paraId="0C77368D" w14:textId="77777777" w:rsidTr="00453A3D">
        <w:tc>
          <w:tcPr>
            <w:tcW w:w="6799" w:type="dxa"/>
            <w:gridSpan w:val="2"/>
          </w:tcPr>
          <w:p w14:paraId="75526197"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b/>
                <w:noProof/>
                <w:sz w:val="20"/>
                <w:szCs w:val="20"/>
                <w:lang w:val="es-ES"/>
              </w:rPr>
              <w:t xml:space="preserve">Objetivo 4: </w:t>
            </w:r>
            <w:r w:rsidRPr="0077568B">
              <w:rPr>
                <w:rFonts w:asciiTheme="minorHAnsi" w:hAnsiTheme="minorHAnsi" w:cstheme="minorHAnsi"/>
                <w:b/>
                <w:bCs/>
                <w:noProof/>
                <w:sz w:val="20"/>
                <w:szCs w:val="20"/>
                <w:lang w:val="es-ES"/>
              </w:rPr>
              <w:t>Mejorar la aplicación</w:t>
            </w:r>
          </w:p>
        </w:tc>
        <w:tc>
          <w:tcPr>
            <w:tcW w:w="2217" w:type="dxa"/>
          </w:tcPr>
          <w:p w14:paraId="7476CBD9" w14:textId="77777777" w:rsidR="00BE7F85" w:rsidRPr="0077568B" w:rsidRDefault="00BE7F85" w:rsidP="00DA1EB3">
            <w:pPr>
              <w:rPr>
                <w:rFonts w:cstheme="minorHAnsi"/>
                <w:b/>
                <w:noProof/>
                <w:sz w:val="20"/>
                <w:szCs w:val="20"/>
                <w:lang w:val="es-ES"/>
              </w:rPr>
            </w:pPr>
          </w:p>
        </w:tc>
      </w:tr>
      <w:tr w:rsidR="00BE7F85" w:rsidRPr="0077568B" w14:paraId="01E75AD5" w14:textId="77777777" w:rsidTr="00453A3D">
        <w:tc>
          <w:tcPr>
            <w:tcW w:w="3256" w:type="dxa"/>
          </w:tcPr>
          <w:p w14:paraId="5474764B"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16. La conservación y el uso racional de los humedales se integran a través de la comunicación, el desarrollo de capacidad, la educación, concienciación y participación</w:t>
            </w:r>
          </w:p>
        </w:tc>
        <w:tc>
          <w:tcPr>
            <w:tcW w:w="3543" w:type="dxa"/>
          </w:tcPr>
          <w:p w14:paraId="12EB087F"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Garantizar que la conservación, el uso racional y la restauración de los humedales se integren en la planificación y ejecución de los ODS.</w:t>
            </w:r>
          </w:p>
        </w:tc>
        <w:tc>
          <w:tcPr>
            <w:tcW w:w="2217" w:type="dxa"/>
          </w:tcPr>
          <w:p w14:paraId="5DB19D2B"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2.4; 4.7; 4.a; 6.a; 11.3; 13.1; 13.3; 15.7; 17.9</w:t>
            </w:r>
          </w:p>
        </w:tc>
      </w:tr>
      <w:tr w:rsidR="00BE7F85" w:rsidRPr="0077568B" w14:paraId="51C5B7B2" w14:textId="77777777" w:rsidTr="00453A3D">
        <w:tc>
          <w:tcPr>
            <w:tcW w:w="3256" w:type="dxa"/>
          </w:tcPr>
          <w:p w14:paraId="2394598C"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17. Se facilitan recursos financieros y de otro tipo procedentes de todas las fuentes para ejecutar de forma efectiva el Cuarto Plan Estratégico de Ramsar (2016-2024).</w:t>
            </w:r>
          </w:p>
        </w:tc>
        <w:tc>
          <w:tcPr>
            <w:tcW w:w="3543" w:type="dxa"/>
          </w:tcPr>
          <w:p w14:paraId="0D3C243C"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Incrementar la financiación encaminada a aplicar medidas integrales en los humedales, incluidos los sitios Ramsar, que reflejen la importancia de esos sitios, no solo desde la perspectiva de la biodiversidad sino también del desarrollo sostenible.</w:t>
            </w:r>
          </w:p>
        </w:tc>
        <w:tc>
          <w:tcPr>
            <w:tcW w:w="2217" w:type="dxa"/>
          </w:tcPr>
          <w:p w14:paraId="5746CA24" w14:textId="77777777" w:rsidR="00BE7F85" w:rsidRPr="0077568B" w:rsidRDefault="00BE7F85" w:rsidP="00DA1EB3">
            <w:pPr>
              <w:pStyle w:val="ListParagraph"/>
              <w:ind w:left="0"/>
              <w:rPr>
                <w:rFonts w:cstheme="minorHAnsi"/>
                <w:noProof/>
                <w:sz w:val="20"/>
                <w:szCs w:val="20"/>
                <w:lang w:val="es-ES"/>
              </w:rPr>
            </w:pPr>
            <w:r w:rsidRPr="0077568B">
              <w:rPr>
                <w:rFonts w:cstheme="minorHAnsi"/>
                <w:noProof/>
                <w:sz w:val="20"/>
                <w:szCs w:val="20"/>
                <w:lang w:val="es-ES"/>
              </w:rPr>
              <w:t>9.a; 10.6; 15.a; 15.b; 17.3</w:t>
            </w:r>
          </w:p>
        </w:tc>
      </w:tr>
      <w:tr w:rsidR="00BE7F85" w:rsidRPr="0077568B" w14:paraId="701F22C1" w14:textId="77777777" w:rsidTr="00453A3D">
        <w:tc>
          <w:tcPr>
            <w:tcW w:w="3256" w:type="dxa"/>
          </w:tcPr>
          <w:p w14:paraId="292501BB"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18. Se refuerza la cooperación internacional a todos los niveles (</w:t>
            </w:r>
            <w:r w:rsidRPr="0077568B">
              <w:rPr>
                <w:rFonts w:asciiTheme="minorHAnsi" w:hAnsiTheme="minorHAnsi" w:cstheme="minorHAnsi"/>
                <w:i/>
                <w:iCs/>
                <w:noProof/>
                <w:sz w:val="20"/>
                <w:szCs w:val="20"/>
                <w:lang w:val="es-ES"/>
              </w:rPr>
              <w:t xml:space="preserve">local, nacional, subregional (por </w:t>
            </w:r>
            <w:r w:rsidRPr="0077568B">
              <w:rPr>
                <w:rFonts w:asciiTheme="minorHAnsi" w:hAnsiTheme="minorHAnsi" w:cstheme="minorHAnsi"/>
                <w:i/>
                <w:iCs/>
                <w:noProof/>
                <w:sz w:val="20"/>
                <w:szCs w:val="20"/>
                <w:lang w:val="es-ES"/>
              </w:rPr>
              <w:lastRenderedPageBreak/>
              <w:t>ejemplo, las IRR), regional y mundial</w:t>
            </w:r>
            <w:r w:rsidRPr="0077568B">
              <w:rPr>
                <w:rFonts w:asciiTheme="minorHAnsi" w:hAnsiTheme="minorHAnsi" w:cstheme="minorHAnsi"/>
                <w:noProof/>
                <w:sz w:val="20"/>
                <w:szCs w:val="20"/>
                <w:lang w:val="es-ES"/>
              </w:rPr>
              <w:t>).</w:t>
            </w:r>
          </w:p>
        </w:tc>
        <w:tc>
          <w:tcPr>
            <w:tcW w:w="3543" w:type="dxa"/>
          </w:tcPr>
          <w:p w14:paraId="0BC02327" w14:textId="77777777" w:rsidR="00BE7F85" w:rsidRPr="0077568B" w:rsidRDefault="00BE7F85" w:rsidP="00DA1EB3">
            <w:pPr>
              <w:pStyle w:val="paralevel1"/>
              <w:numPr>
                <w:ilvl w:val="0"/>
                <w:numId w:val="26"/>
              </w:numPr>
              <w:spacing w:after="0"/>
              <w:ind w:left="28" w:hanging="680"/>
              <w:rPr>
                <w:rFonts w:asciiTheme="minorHAnsi" w:hAnsiTheme="minorHAnsi" w:cstheme="minorHAnsi"/>
                <w:noProof/>
                <w:lang w:val="es-ES"/>
              </w:rPr>
            </w:pPr>
            <w:r w:rsidRPr="0077568B">
              <w:rPr>
                <w:rFonts w:asciiTheme="minorHAnsi" w:hAnsiTheme="minorHAnsi" w:cstheme="minorHAnsi"/>
                <w:noProof/>
                <w:lang w:val="es-ES"/>
              </w:rPr>
              <w:lastRenderedPageBreak/>
              <w:t xml:space="preserve">Aprovechar las oportunidades y sinergias con otros sectores, convenciones y prioridades. Una medida importante es promover la colaboración </w:t>
            </w:r>
            <w:r w:rsidRPr="0077568B">
              <w:rPr>
                <w:rFonts w:asciiTheme="minorHAnsi" w:hAnsiTheme="minorHAnsi" w:cstheme="minorHAnsi"/>
                <w:noProof/>
                <w:lang w:val="es-ES"/>
              </w:rPr>
              <w:lastRenderedPageBreak/>
              <w:t>entre los coordinadores nacionales de distintas convenciones y los coordinadores nacionales responsables de la planificación y ejecución de los ODS y particularmente las oficinas de estadística para promover enfoques a escala del paisaje para la conservación y el desarrollo sostenible en relación con los sitios Ramsar, pero también con otras áreas protegidas como los sitios del Patrimonio Mundial.</w:t>
            </w:r>
          </w:p>
          <w:p w14:paraId="651135D4" w14:textId="77777777" w:rsidR="00BE7F85" w:rsidRPr="0077568B" w:rsidRDefault="00BE7F85" w:rsidP="00DA1EB3">
            <w:pPr>
              <w:pStyle w:val="paralevel1"/>
              <w:numPr>
                <w:ilvl w:val="0"/>
                <w:numId w:val="26"/>
              </w:numPr>
              <w:spacing w:after="0"/>
              <w:ind w:left="28" w:hanging="680"/>
              <w:rPr>
                <w:rFonts w:asciiTheme="minorHAnsi" w:hAnsiTheme="minorHAnsi" w:cstheme="minorHAnsi"/>
                <w:noProof/>
                <w:lang w:val="es-ES"/>
              </w:rPr>
            </w:pPr>
          </w:p>
          <w:p w14:paraId="604AFBBA" w14:textId="77777777" w:rsidR="00BE7F85" w:rsidRPr="0077568B" w:rsidRDefault="00BE7F85" w:rsidP="00DA1EB3">
            <w:pPr>
              <w:pStyle w:val="paralevel1"/>
              <w:numPr>
                <w:ilvl w:val="0"/>
                <w:numId w:val="26"/>
              </w:numPr>
              <w:spacing w:after="0"/>
              <w:ind w:left="28" w:hanging="680"/>
              <w:rPr>
                <w:rFonts w:asciiTheme="minorHAnsi" w:hAnsiTheme="minorHAnsi" w:cstheme="minorHAnsi"/>
                <w:noProof/>
                <w:lang w:val="es-ES"/>
              </w:rPr>
            </w:pPr>
            <w:r w:rsidRPr="0077568B">
              <w:rPr>
                <w:rFonts w:asciiTheme="minorHAnsi" w:hAnsiTheme="minorHAnsi" w:cstheme="minorHAnsi"/>
                <w:noProof/>
                <w:lang w:val="es-ES"/>
              </w:rPr>
              <w:t>Las Partes Contratantes deberían asegurarse de integrar sus esfuerzos para ejecutar el Plan Estratégico de Ramsar en la planificación y aplicación de sus planes nacionales relativos a los ODS.</w:t>
            </w:r>
          </w:p>
          <w:p w14:paraId="37A7F61F" w14:textId="77777777" w:rsidR="00BE7F85" w:rsidRPr="0077568B" w:rsidRDefault="00BE7F85" w:rsidP="00DA1EB3">
            <w:pPr>
              <w:pStyle w:val="paralevel1"/>
              <w:numPr>
                <w:ilvl w:val="0"/>
                <w:numId w:val="27"/>
              </w:numPr>
              <w:spacing w:after="0"/>
              <w:ind w:left="28" w:hanging="680"/>
              <w:rPr>
                <w:rFonts w:asciiTheme="minorHAnsi" w:hAnsiTheme="minorHAnsi" w:cstheme="minorHAnsi"/>
                <w:noProof/>
                <w:lang w:val="es-ES"/>
              </w:rPr>
            </w:pPr>
          </w:p>
          <w:p w14:paraId="4199DE26" w14:textId="77777777" w:rsidR="00BE7F85" w:rsidRPr="0077568B" w:rsidRDefault="00BE7F85" w:rsidP="00DA1EB3">
            <w:pPr>
              <w:pStyle w:val="paralevel1"/>
              <w:numPr>
                <w:ilvl w:val="0"/>
                <w:numId w:val="27"/>
              </w:numPr>
              <w:spacing w:after="0"/>
              <w:ind w:left="28" w:hanging="680"/>
              <w:rPr>
                <w:rFonts w:asciiTheme="minorHAnsi" w:hAnsiTheme="minorHAnsi" w:cstheme="minorHAnsi"/>
                <w:noProof/>
                <w:lang w:val="es-ES"/>
              </w:rPr>
            </w:pPr>
            <w:r w:rsidRPr="0077568B">
              <w:rPr>
                <w:rFonts w:asciiTheme="minorHAnsi" w:hAnsiTheme="minorHAnsi" w:cstheme="minorHAnsi"/>
                <w:noProof/>
                <w:lang w:val="es-ES"/>
              </w:rPr>
              <w:t xml:space="preserve">Las Partes Contratantes deberían asegurarse de que sus informes sobre los progresos en los ODS reflejen las contribuciones de los humedales de forma que su conservación, uso racional y restauración estén vinculados a la agenda de desarrollo sostenible. </w:t>
            </w:r>
          </w:p>
        </w:tc>
        <w:tc>
          <w:tcPr>
            <w:tcW w:w="2217" w:type="dxa"/>
          </w:tcPr>
          <w:p w14:paraId="46EC3E4E" w14:textId="77777777" w:rsidR="00BE7F85" w:rsidRPr="0077568B" w:rsidRDefault="00BE7F85" w:rsidP="00DA1EB3">
            <w:pPr>
              <w:rPr>
                <w:rFonts w:cstheme="minorHAnsi"/>
                <w:noProof/>
                <w:sz w:val="20"/>
                <w:szCs w:val="20"/>
                <w:lang w:val="es-ES"/>
              </w:rPr>
            </w:pPr>
            <w:r w:rsidRPr="0077568B">
              <w:rPr>
                <w:rFonts w:cstheme="minorHAnsi"/>
                <w:noProof/>
                <w:sz w:val="20"/>
                <w:szCs w:val="20"/>
                <w:lang w:val="es-ES"/>
              </w:rPr>
              <w:lastRenderedPageBreak/>
              <w:t>1.b; 2.5; 6.5; 6.6; 6.a; 10.6; 12.4; 14.5; 14.c; 15.1; 15.6; 16.8; 17.6; 17.7; 17.9</w:t>
            </w:r>
          </w:p>
        </w:tc>
      </w:tr>
      <w:tr w:rsidR="00BE7F85" w:rsidRPr="0077568B" w14:paraId="45B2F599" w14:textId="77777777" w:rsidTr="00453A3D">
        <w:tc>
          <w:tcPr>
            <w:tcW w:w="3256" w:type="dxa"/>
          </w:tcPr>
          <w:p w14:paraId="75853FF2" w14:textId="77777777" w:rsidR="00BE7F85" w:rsidRPr="0077568B" w:rsidRDefault="00BE7F85"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19. Se potencia la creación de capacidad para la aplicación de la Convención y del Cuarto Plan Estratégico de Ramsar (2016-2024)</w:t>
            </w:r>
          </w:p>
        </w:tc>
        <w:tc>
          <w:tcPr>
            <w:tcW w:w="3543" w:type="dxa"/>
          </w:tcPr>
          <w:p w14:paraId="13F30E3E" w14:textId="77777777" w:rsidR="00BE7F85" w:rsidRPr="0077568B" w:rsidRDefault="00BE7F85" w:rsidP="00DA1EB3">
            <w:pPr>
              <w:rPr>
                <w:rFonts w:cstheme="minorHAnsi"/>
                <w:noProof/>
                <w:sz w:val="20"/>
                <w:szCs w:val="20"/>
                <w:lang w:val="es-ES"/>
              </w:rPr>
            </w:pPr>
          </w:p>
        </w:tc>
        <w:tc>
          <w:tcPr>
            <w:tcW w:w="2217" w:type="dxa"/>
          </w:tcPr>
          <w:p w14:paraId="6E762694" w14:textId="77777777" w:rsidR="00BE7F85" w:rsidRPr="0077568B" w:rsidRDefault="00BE7F85" w:rsidP="00DA1EB3">
            <w:pPr>
              <w:rPr>
                <w:rFonts w:cstheme="minorHAnsi"/>
                <w:noProof/>
                <w:sz w:val="20"/>
                <w:szCs w:val="20"/>
                <w:lang w:val="es-ES"/>
              </w:rPr>
            </w:pPr>
            <w:r w:rsidRPr="0077568B">
              <w:rPr>
                <w:rFonts w:cstheme="minorHAnsi"/>
                <w:noProof/>
                <w:sz w:val="20"/>
                <w:szCs w:val="20"/>
                <w:lang w:val="es-ES"/>
              </w:rPr>
              <w:t>2.4; 6.a; 11.3; 13.1; 13.3; 15.c; 17.9</w:t>
            </w:r>
          </w:p>
        </w:tc>
      </w:tr>
    </w:tbl>
    <w:p w14:paraId="45609CF5" w14:textId="77777777" w:rsidR="00BE7F85" w:rsidRPr="0077568B" w:rsidRDefault="00BE7F85" w:rsidP="00DA1EB3">
      <w:pPr>
        <w:rPr>
          <w:rFonts w:eastAsia="Times New Roman" w:cstheme="minorHAnsi"/>
          <w:b/>
          <w:bCs/>
          <w:noProof/>
          <w:lang w:val="es-ES" w:eastAsia="en-GB"/>
        </w:rPr>
      </w:pPr>
    </w:p>
    <w:p w14:paraId="1BE3759D" w14:textId="77777777" w:rsidR="00BE7F85" w:rsidRPr="0077568B" w:rsidRDefault="00BE7F85" w:rsidP="00DA1EB3">
      <w:pPr>
        <w:rPr>
          <w:rFonts w:eastAsia="Times New Roman" w:cstheme="minorHAnsi"/>
          <w:b/>
          <w:bCs/>
          <w:noProof/>
          <w:lang w:val="es-ES" w:eastAsia="en-GB"/>
        </w:rPr>
      </w:pPr>
      <w:r w:rsidRPr="0077568B">
        <w:rPr>
          <w:rFonts w:eastAsia="Times New Roman" w:cstheme="minorHAnsi"/>
          <w:b/>
          <w:bCs/>
          <w:noProof/>
          <w:lang w:val="es-ES" w:eastAsia="en-GB"/>
        </w:rPr>
        <w:t xml:space="preserve">Fuentes y recursos disponibles </w:t>
      </w:r>
    </w:p>
    <w:p w14:paraId="7DB5D1A0" w14:textId="4A75A513" w:rsidR="00C939D0" w:rsidRPr="0077568B" w:rsidRDefault="00BE7F85" w:rsidP="00DA1EB3">
      <w:pPr>
        <w:rPr>
          <w:rFonts w:eastAsia="Times New Roman" w:cstheme="minorHAnsi"/>
          <w:noProof/>
          <w:lang w:val="es-ES" w:eastAsia="en-GB"/>
        </w:rPr>
      </w:pPr>
      <w:r w:rsidRPr="0077568B">
        <w:rPr>
          <w:noProof/>
          <w:lang w:val="es-ES"/>
        </w:rPr>
        <w:t xml:space="preserve">How Wetlands Achieve select SDGs: </w:t>
      </w:r>
      <w:hyperlink r:id="rId12" w:history="1">
        <w:r w:rsidRPr="0077568B">
          <w:rPr>
            <w:rFonts w:eastAsia="Times New Roman" w:cstheme="minorHAnsi"/>
            <w:i/>
            <w:iCs/>
            <w:noProof/>
            <w:u w:val="single"/>
            <w:lang w:val="es-ES" w:eastAsia="en-GB"/>
          </w:rPr>
          <w:t>Scaling up wetland conservation, wise use and restoration to achieve the Sustainable Development Goals</w:t>
        </w:r>
      </w:hyperlink>
      <w:r w:rsidRPr="0077568B">
        <w:rPr>
          <w:rFonts w:eastAsia="Times New Roman" w:cstheme="minorHAnsi"/>
          <w:noProof/>
          <w:lang w:val="es-ES" w:eastAsia="en-GB"/>
        </w:rPr>
        <w:t xml:space="preserve">. </w:t>
      </w:r>
      <w:r w:rsidR="00435566" w:rsidRPr="0077568B">
        <w:rPr>
          <w:rFonts w:eastAsia="Times New Roman" w:cstheme="minorHAnsi"/>
          <w:noProof/>
          <w:lang w:val="es-ES" w:eastAsia="en-GB"/>
        </w:rPr>
        <w:t>[</w:t>
      </w:r>
      <w:r w:rsidRPr="0077568B">
        <w:rPr>
          <w:rFonts w:eastAsia="Times New Roman" w:cstheme="minorHAnsi"/>
          <w:noProof/>
          <w:lang w:val="es-ES" w:eastAsia="en-GB"/>
        </w:rPr>
        <w:t>Cómo los humedales logran determinados ODS: Incrementar la conservación, el uso racional y la restauración de los humedales para lograr los Objetivos de Desarrollo Sostenible</w:t>
      </w:r>
      <w:r w:rsidR="00435566" w:rsidRPr="0077568B">
        <w:rPr>
          <w:rFonts w:eastAsia="Times New Roman" w:cstheme="minorHAnsi"/>
          <w:noProof/>
          <w:lang w:val="es-ES" w:eastAsia="en-GB"/>
        </w:rPr>
        <w:t>]</w:t>
      </w:r>
      <w:r w:rsidRPr="0077568B">
        <w:rPr>
          <w:rFonts w:eastAsia="Times New Roman" w:cstheme="minorHAnsi"/>
          <w:noProof/>
          <w:lang w:val="es-ES" w:eastAsia="en-GB"/>
        </w:rPr>
        <w:t>.</w:t>
      </w:r>
    </w:p>
    <w:p w14:paraId="0688CFA8" w14:textId="1FCC5A6D" w:rsidR="005017C4" w:rsidRPr="0077568B" w:rsidRDefault="005017C4" w:rsidP="00DA1EB3">
      <w:pPr>
        <w:rPr>
          <w:rFonts w:eastAsia="Times New Roman" w:cstheme="minorHAnsi"/>
          <w:noProof/>
          <w:lang w:val="es-ES" w:eastAsia="en-GB"/>
        </w:rPr>
      </w:pPr>
      <w:r w:rsidRPr="0077568B">
        <w:rPr>
          <w:b/>
          <w:bCs/>
          <w:noProof/>
          <w:lang w:val="es-ES"/>
        </w:rPr>
        <w:br w:type="page"/>
      </w:r>
    </w:p>
    <w:p w14:paraId="15A5D50D" w14:textId="7E492DF9" w:rsidR="00027E94" w:rsidRPr="0077568B" w:rsidRDefault="00027E94" w:rsidP="00DA1EB3">
      <w:pPr>
        <w:rPr>
          <w:rFonts w:cs="Arial"/>
          <w:b/>
          <w:bCs/>
          <w:noProof/>
          <w:lang w:val="es-ES"/>
        </w:rPr>
      </w:pPr>
      <w:r w:rsidRPr="0077568B">
        <w:rPr>
          <w:b/>
          <w:bCs/>
          <w:noProof/>
          <w:lang w:val="es-ES"/>
        </w:rPr>
        <w:lastRenderedPageBreak/>
        <w:t>ANEXO 4: NUEVO ENFOQUE DE LAS ACTIVIDADES DE CECOP</w:t>
      </w:r>
    </w:p>
    <w:p w14:paraId="057CBC1F" w14:textId="77777777" w:rsidR="008759FF" w:rsidRPr="0077568B" w:rsidRDefault="008759FF" w:rsidP="00DA1EB3">
      <w:pPr>
        <w:rPr>
          <w:rFonts w:cs="Arial"/>
          <w:b/>
          <w:noProof/>
          <w:lang w:val="es-ES"/>
        </w:rPr>
      </w:pPr>
    </w:p>
    <w:p w14:paraId="534804FD" w14:textId="77777777" w:rsidR="00027E94" w:rsidRPr="0077568B" w:rsidRDefault="00027E94" w:rsidP="00DA1EB3">
      <w:pPr>
        <w:rPr>
          <w:rFonts w:cs="Arial"/>
          <w:b/>
          <w:noProof/>
          <w:lang w:val="es-ES"/>
        </w:rPr>
      </w:pPr>
      <w:r w:rsidRPr="0077568B">
        <w:rPr>
          <w:rFonts w:cs="Arial"/>
          <w:b/>
          <w:noProof/>
          <w:lang w:val="es-ES"/>
        </w:rPr>
        <w:t>Contexto</w:t>
      </w:r>
    </w:p>
    <w:p w14:paraId="0CF44876" w14:textId="77777777" w:rsidR="00027E94" w:rsidRPr="0077568B" w:rsidRDefault="00027E94" w:rsidP="00DA1EB3">
      <w:pPr>
        <w:rPr>
          <w:noProof/>
          <w:lang w:val="es-ES"/>
        </w:rPr>
      </w:pPr>
    </w:p>
    <w:p w14:paraId="128C9596" w14:textId="77777777" w:rsidR="00027E94" w:rsidRPr="0077568B" w:rsidRDefault="00027E94" w:rsidP="00DA1EB3">
      <w:pPr>
        <w:rPr>
          <w:rFonts w:cs="Arial"/>
          <w:noProof/>
          <w:lang w:val="es-ES"/>
        </w:rPr>
      </w:pPr>
      <w:r w:rsidRPr="0077568B">
        <w:rPr>
          <w:rFonts w:cs="Arial"/>
          <w:noProof/>
          <w:lang w:val="es-ES"/>
        </w:rPr>
        <w:t>En general, las actividades y elementos de CECoP deberían integrarse en la planificación y las actividades de la Convención (a escala local, nacional e internacional), según proceda, centrando los esfuerzos en un número más pequeño de actividades altamente prioritarias.</w:t>
      </w:r>
    </w:p>
    <w:p w14:paraId="3653503E" w14:textId="77777777" w:rsidR="00027E94" w:rsidRPr="0077568B" w:rsidRDefault="00027E94" w:rsidP="00DA1EB3">
      <w:pPr>
        <w:rPr>
          <w:rFonts w:cs="Arial"/>
          <w:noProof/>
          <w:lang w:val="es-ES"/>
        </w:rPr>
      </w:pPr>
    </w:p>
    <w:p w14:paraId="353A2F91" w14:textId="78E70840" w:rsidR="00027E94" w:rsidRPr="0077568B" w:rsidRDefault="00027E94" w:rsidP="00DA1EB3">
      <w:pPr>
        <w:rPr>
          <w:rFonts w:eastAsia="Calibri" w:cstheme="minorHAnsi"/>
          <w:noProof/>
          <w:lang w:val="es-ES"/>
        </w:rPr>
      </w:pPr>
      <w:r w:rsidRPr="0077568B">
        <w:rPr>
          <w:rFonts w:eastAsia="Calibri" w:cstheme="minorHAnsi"/>
          <w:noProof/>
          <w:lang w:val="es-ES"/>
        </w:rPr>
        <w:t xml:space="preserve">Las orientaciones que figuran a continuación son una </w:t>
      </w:r>
      <w:r w:rsidR="00612473" w:rsidRPr="0077568B">
        <w:rPr>
          <w:rFonts w:eastAsia="Calibri" w:cstheme="minorHAnsi"/>
          <w:noProof/>
          <w:lang w:val="es-ES"/>
        </w:rPr>
        <w:t>gu</w:t>
      </w:r>
      <w:r w:rsidRPr="0077568B">
        <w:rPr>
          <w:rFonts w:eastAsia="Calibri" w:cstheme="minorHAnsi"/>
          <w:noProof/>
          <w:lang w:val="es-ES"/>
        </w:rPr>
        <w:t>ía para que las Partes Contratantes trabajen en la incorporación de este enfoque de CECoP en su aplicación de la Convención durante el próximo trienio.</w:t>
      </w:r>
    </w:p>
    <w:p w14:paraId="49D4A202" w14:textId="77777777" w:rsidR="00027E94" w:rsidRPr="0077568B" w:rsidRDefault="00027E94" w:rsidP="00DA1EB3">
      <w:pPr>
        <w:rPr>
          <w:rFonts w:cstheme="minorHAnsi"/>
          <w:b/>
          <w:noProof/>
          <w:lang w:val="es-ES"/>
        </w:rPr>
      </w:pPr>
    </w:p>
    <w:p w14:paraId="1DB4DC52" w14:textId="52EA316A" w:rsidR="00811FD5" w:rsidRPr="0077568B" w:rsidRDefault="00811FD5" w:rsidP="00DA1EB3">
      <w:pPr>
        <w:rPr>
          <w:rFonts w:cs="Arial"/>
          <w:b/>
          <w:noProof/>
          <w:lang w:val="es-ES"/>
        </w:rPr>
      </w:pPr>
      <w:r w:rsidRPr="0077568B">
        <w:rPr>
          <w:rFonts w:cs="Arial"/>
          <w:b/>
          <w:noProof/>
          <w:lang w:val="es-ES"/>
        </w:rPr>
        <w:t>Consideraciones generales que apoyan la ejecución del</w:t>
      </w:r>
      <w:r w:rsidRPr="0077568B">
        <w:rPr>
          <w:rFonts w:cstheme="minorHAnsi"/>
          <w:b/>
          <w:noProof/>
          <w:lang w:val="es-ES"/>
        </w:rPr>
        <w:t xml:space="preserve"> </w:t>
      </w:r>
      <w:r w:rsidR="00435566" w:rsidRPr="0077568B">
        <w:rPr>
          <w:rFonts w:cstheme="minorHAnsi"/>
          <w:b/>
          <w:noProof/>
          <w:lang w:val="es-ES"/>
        </w:rPr>
        <w:t>Cuarto Plan Estratégico</w:t>
      </w:r>
    </w:p>
    <w:p w14:paraId="3E7504B0" w14:textId="77777777" w:rsidR="00811FD5" w:rsidRPr="0077568B" w:rsidRDefault="00811FD5" w:rsidP="00DA1EB3">
      <w:pPr>
        <w:pStyle w:val="ListParagraph"/>
        <w:spacing w:after="0" w:line="240" w:lineRule="auto"/>
        <w:ind w:left="0"/>
        <w:rPr>
          <w:rFonts w:cs="Arial"/>
          <w:b/>
          <w:noProof/>
          <w:lang w:val="es-ES"/>
        </w:rPr>
      </w:pPr>
    </w:p>
    <w:p w14:paraId="2A41B80B" w14:textId="77777777" w:rsidR="00811FD5" w:rsidRPr="0077568B" w:rsidRDefault="00811FD5" w:rsidP="00DA1EB3">
      <w:pPr>
        <w:pStyle w:val="ListParagraph"/>
        <w:spacing w:after="0" w:line="240" w:lineRule="auto"/>
        <w:ind w:left="0"/>
        <w:rPr>
          <w:rFonts w:cs="Arial"/>
          <w:b/>
          <w:noProof/>
          <w:lang w:val="es-ES"/>
        </w:rPr>
      </w:pPr>
      <w:r w:rsidRPr="0077568B">
        <w:rPr>
          <w:rFonts w:cs="Arial"/>
          <w:b/>
          <w:noProof/>
          <w:lang w:val="es-ES"/>
        </w:rPr>
        <w:t>Apoyar a los coordinadores nacionales y establecer más redes y alianzas</w:t>
      </w:r>
    </w:p>
    <w:p w14:paraId="363E4B40" w14:textId="77777777" w:rsidR="00811FD5" w:rsidRPr="0077568B" w:rsidRDefault="00811FD5" w:rsidP="00DA1EB3">
      <w:pPr>
        <w:pStyle w:val="ListParagraph"/>
        <w:spacing w:after="0" w:line="240" w:lineRule="auto"/>
        <w:ind w:left="0"/>
        <w:rPr>
          <w:rFonts w:cs="Times New Roman"/>
          <w:noProof/>
          <w:szCs w:val="24"/>
          <w:lang w:val="es-ES"/>
        </w:rPr>
      </w:pPr>
      <w:r w:rsidRPr="0077568B">
        <w:rPr>
          <w:noProof/>
          <w:szCs w:val="24"/>
          <w:lang w:val="es-ES"/>
        </w:rPr>
        <w:t xml:space="preserve">Los coordinadores nacionales y los coordinadores nacionales de CECoP son importantes para garantizar un enfoque nacional coordinado y estratégico para la aplicación de Ramsar. Se debería reconocer a los coordinadores nacionales de CECoP como los principales ejecutores de la CECoP y se les deberían brindar herramientas y oportunidades de formación adecuadas según proceda. </w:t>
      </w:r>
    </w:p>
    <w:p w14:paraId="0ED99425" w14:textId="77777777" w:rsidR="00811FD5" w:rsidRPr="0077568B" w:rsidRDefault="00811FD5" w:rsidP="00DA1EB3">
      <w:pPr>
        <w:pStyle w:val="ListParagraph"/>
        <w:spacing w:after="0" w:line="240" w:lineRule="auto"/>
        <w:ind w:left="0"/>
        <w:rPr>
          <w:noProof/>
          <w:szCs w:val="24"/>
          <w:lang w:val="es-ES"/>
        </w:rPr>
      </w:pPr>
    </w:p>
    <w:p w14:paraId="4C150444" w14:textId="77777777" w:rsidR="00811FD5" w:rsidRPr="0077568B" w:rsidRDefault="00811FD5" w:rsidP="00DA1EB3">
      <w:pPr>
        <w:rPr>
          <w:rFonts w:cs="Arial"/>
          <w:noProof/>
          <w:lang w:val="es-ES"/>
        </w:rPr>
      </w:pPr>
      <w:r w:rsidRPr="0077568B">
        <w:rPr>
          <w:noProof/>
          <w:szCs w:val="24"/>
          <w:lang w:val="es-ES"/>
        </w:rPr>
        <w:t xml:space="preserve">Las Partes Contratantes deberían velar por que se informe a los coordinadores nacionales sobre sus responsabilidades. La </w:t>
      </w:r>
      <w:bookmarkStart w:id="0" w:name="_Hlk33614291"/>
      <w:r w:rsidRPr="0077568B">
        <w:rPr>
          <w:noProof/>
          <w:szCs w:val="24"/>
          <w:lang w:val="es-ES"/>
        </w:rPr>
        <w:t xml:space="preserve">Secretaría puede proporcionar asesoramiento e información a las Partes Contratantes, por ejemplo, materiales introductorios sobre el trabajo de CECoP de Ramsar para los nuevos coordinadores nacionales de CECoP y coordinadores no gubernamentales de CECoP, y compartir buenos ejemplos de otros países. </w:t>
      </w:r>
    </w:p>
    <w:p w14:paraId="5D5180B7" w14:textId="77777777" w:rsidR="00811FD5" w:rsidRPr="0077568B" w:rsidRDefault="00811FD5" w:rsidP="00DA1EB3">
      <w:pPr>
        <w:pStyle w:val="ListParagraph"/>
        <w:spacing w:after="0" w:line="240" w:lineRule="auto"/>
        <w:ind w:left="0"/>
        <w:rPr>
          <w:noProof/>
          <w:szCs w:val="24"/>
          <w:lang w:val="es-ES"/>
        </w:rPr>
      </w:pPr>
    </w:p>
    <w:bookmarkEnd w:id="0"/>
    <w:p w14:paraId="1AC3C86C" w14:textId="77777777" w:rsidR="00811FD5" w:rsidRPr="0077568B" w:rsidRDefault="00811FD5" w:rsidP="00DA1EB3">
      <w:pPr>
        <w:pStyle w:val="ListParagraph"/>
        <w:spacing w:after="0" w:line="240" w:lineRule="auto"/>
        <w:ind w:left="0"/>
        <w:rPr>
          <w:noProof/>
          <w:szCs w:val="24"/>
          <w:lang w:val="es-ES"/>
        </w:rPr>
      </w:pPr>
      <w:r w:rsidRPr="0077568B">
        <w:rPr>
          <w:noProof/>
          <w:szCs w:val="24"/>
          <w:lang w:val="es-ES"/>
        </w:rPr>
        <w:t xml:space="preserve">Se alienta a las Partes Contratantes que tengan necesidades similares en materia de CECoP a cooperar en las actividades en ese ámbito. Algunos ejemplos de esa cooperación pueden ser el intercambio de experiencias sobre campañas de CECoP y el trabajo en cooperación para elaborar materiales de comunicación y traducirlos a distintos idiomas en función de las necesidades de las Partes Contratantes en cuestión. También se debería alentar a las Partes Contratantes a coordinarse con sus coordinadores nacionales de otros acuerdos multilaterales sobre el medio ambiente (AMMA) que estén realizando una labor similar. </w:t>
      </w:r>
    </w:p>
    <w:p w14:paraId="63EC85D7" w14:textId="77777777" w:rsidR="00811FD5" w:rsidRPr="0077568B" w:rsidRDefault="00811FD5" w:rsidP="00DA1EB3">
      <w:pPr>
        <w:pStyle w:val="ListParagraph"/>
        <w:spacing w:after="0" w:line="240" w:lineRule="auto"/>
        <w:ind w:left="0"/>
        <w:rPr>
          <w:noProof/>
          <w:szCs w:val="24"/>
          <w:lang w:val="es-ES"/>
        </w:rPr>
      </w:pPr>
    </w:p>
    <w:p w14:paraId="03D76233" w14:textId="52347509" w:rsidR="00811FD5" w:rsidRPr="0077568B" w:rsidRDefault="00811FD5" w:rsidP="00DA1EB3">
      <w:pPr>
        <w:pStyle w:val="ListParagraph"/>
        <w:spacing w:after="0" w:line="240" w:lineRule="auto"/>
        <w:ind w:left="0"/>
        <w:rPr>
          <w:noProof/>
          <w:szCs w:val="24"/>
          <w:lang w:val="es-ES"/>
        </w:rPr>
      </w:pPr>
      <w:r w:rsidRPr="0077568B">
        <w:rPr>
          <w:noProof/>
          <w:szCs w:val="24"/>
          <w:lang w:val="es-ES"/>
        </w:rPr>
        <w:t>Las Partes Contratantes deberían incrementar su colaboración con otros sectores, en consonancia con las prioridades definidas en el Plan Estratégico a escala nacional. En particular, se deberían adaptar los mensajes para poner de relieve los temas que sean importantes para el público destinatario.</w:t>
      </w:r>
    </w:p>
    <w:p w14:paraId="78DEF0E0" w14:textId="77777777" w:rsidR="00811FD5" w:rsidRPr="0077568B" w:rsidRDefault="00811FD5" w:rsidP="00DA1EB3">
      <w:pPr>
        <w:pStyle w:val="ListParagraph"/>
        <w:spacing w:after="0" w:line="240" w:lineRule="auto"/>
        <w:ind w:left="0"/>
        <w:rPr>
          <w:noProof/>
          <w:szCs w:val="24"/>
          <w:lang w:val="es-ES"/>
        </w:rPr>
      </w:pPr>
    </w:p>
    <w:p w14:paraId="1BCBC3FA" w14:textId="77777777" w:rsidR="00811FD5" w:rsidRPr="0077568B" w:rsidRDefault="00811FD5" w:rsidP="00DA1EB3">
      <w:pPr>
        <w:pStyle w:val="ListParagraph"/>
        <w:spacing w:after="0" w:line="240" w:lineRule="auto"/>
        <w:ind w:left="0"/>
        <w:rPr>
          <w:b/>
          <w:bCs/>
          <w:noProof/>
          <w:szCs w:val="24"/>
          <w:lang w:val="es-ES"/>
        </w:rPr>
      </w:pPr>
      <w:r w:rsidRPr="0077568B">
        <w:rPr>
          <w:b/>
          <w:bCs/>
          <w:noProof/>
          <w:szCs w:val="24"/>
          <w:lang w:val="es-ES"/>
        </w:rPr>
        <w:t xml:space="preserve">Consideraciones específicas para que las Partes Contratantes puedan aplicar el nuevo enfoque de CECoP con miras a apoyar la ejecución del Plan Estratégico </w:t>
      </w:r>
    </w:p>
    <w:p w14:paraId="394530B1" w14:textId="77777777" w:rsidR="00D0021B" w:rsidRPr="0077568B" w:rsidRDefault="00D0021B" w:rsidP="00DA1EB3">
      <w:pPr>
        <w:pStyle w:val="ListParagraph"/>
        <w:spacing w:after="0" w:line="240" w:lineRule="auto"/>
        <w:ind w:left="0"/>
        <w:rPr>
          <w:noProof/>
          <w:szCs w:val="24"/>
          <w:lang w:val="es-ES"/>
        </w:rPr>
      </w:pPr>
    </w:p>
    <w:tbl>
      <w:tblPr>
        <w:tblStyle w:val="TableGrid"/>
        <w:tblW w:w="0" w:type="auto"/>
        <w:tblLook w:val="04A0" w:firstRow="1" w:lastRow="0" w:firstColumn="1" w:lastColumn="0" w:noHBand="0" w:noVBand="1"/>
      </w:tblPr>
      <w:tblGrid>
        <w:gridCol w:w="3256"/>
        <w:gridCol w:w="5670"/>
      </w:tblGrid>
      <w:tr w:rsidR="00AE7628" w:rsidRPr="0077568B" w14:paraId="6AB722EE" w14:textId="77777777" w:rsidTr="00453A3D">
        <w:trPr>
          <w:tblHeader/>
        </w:trPr>
        <w:tc>
          <w:tcPr>
            <w:tcW w:w="3256" w:type="dxa"/>
          </w:tcPr>
          <w:p w14:paraId="4082E940" w14:textId="77777777" w:rsidR="00AE7628" w:rsidRPr="0077568B" w:rsidRDefault="00AE7628" w:rsidP="00DA1EB3">
            <w:pPr>
              <w:pStyle w:val="ListParagraph"/>
              <w:ind w:left="0"/>
              <w:rPr>
                <w:rFonts w:cstheme="minorHAnsi"/>
                <w:b/>
                <w:bCs/>
                <w:noProof/>
                <w:sz w:val="20"/>
                <w:szCs w:val="20"/>
                <w:lang w:val="es-ES"/>
              </w:rPr>
            </w:pPr>
            <w:r w:rsidRPr="0077568B">
              <w:rPr>
                <w:rFonts w:cstheme="minorHAnsi"/>
                <w:b/>
                <w:bCs/>
                <w:noProof/>
                <w:sz w:val="20"/>
                <w:szCs w:val="20"/>
                <w:lang w:val="es-ES"/>
              </w:rPr>
              <w:t>Objetivos y metas pertinentes</w:t>
            </w:r>
          </w:p>
        </w:tc>
        <w:tc>
          <w:tcPr>
            <w:tcW w:w="5670" w:type="dxa"/>
          </w:tcPr>
          <w:p w14:paraId="793B1590" w14:textId="77777777" w:rsidR="00AE7628" w:rsidRPr="0077568B" w:rsidRDefault="00AE7628" w:rsidP="00DA1EB3">
            <w:pPr>
              <w:pStyle w:val="ListParagraph"/>
              <w:ind w:left="0"/>
              <w:rPr>
                <w:rFonts w:cstheme="minorHAnsi"/>
                <w:b/>
                <w:bCs/>
                <w:noProof/>
                <w:sz w:val="20"/>
                <w:szCs w:val="20"/>
                <w:lang w:val="es-ES"/>
              </w:rPr>
            </w:pPr>
            <w:r w:rsidRPr="0077568B">
              <w:rPr>
                <w:rFonts w:cstheme="minorHAnsi"/>
                <w:b/>
                <w:bCs/>
                <w:noProof/>
                <w:sz w:val="20"/>
                <w:szCs w:val="20"/>
                <w:lang w:val="es-ES"/>
              </w:rPr>
              <w:t>Aplicación del nuevo enfoque de CECoP</w:t>
            </w:r>
          </w:p>
        </w:tc>
      </w:tr>
      <w:tr w:rsidR="00AE7628" w:rsidRPr="0077568B" w14:paraId="0F785081" w14:textId="77777777" w:rsidTr="00453A3D">
        <w:tc>
          <w:tcPr>
            <w:tcW w:w="8926" w:type="dxa"/>
            <w:gridSpan w:val="2"/>
          </w:tcPr>
          <w:p w14:paraId="0EC3FAC7"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b/>
                <w:noProof/>
                <w:sz w:val="20"/>
                <w:szCs w:val="20"/>
                <w:lang w:val="es-ES"/>
              </w:rPr>
              <w:t xml:space="preserve">Objetivo 1: </w:t>
            </w:r>
            <w:r w:rsidRPr="0077568B">
              <w:rPr>
                <w:rFonts w:asciiTheme="minorHAnsi" w:hAnsiTheme="minorHAnsi" w:cstheme="minorHAnsi"/>
                <w:b/>
                <w:bCs/>
                <w:noProof/>
                <w:sz w:val="20"/>
                <w:szCs w:val="20"/>
                <w:lang w:val="es-ES"/>
              </w:rPr>
              <w:t>Hacer frente a los factores que impulsan la pérdida y degradación de los humedales</w:t>
            </w:r>
          </w:p>
        </w:tc>
      </w:tr>
      <w:tr w:rsidR="00AE7628" w:rsidRPr="0077568B" w14:paraId="4E60889C" w14:textId="77777777" w:rsidTr="00453A3D">
        <w:tc>
          <w:tcPr>
            <w:tcW w:w="3256" w:type="dxa"/>
          </w:tcPr>
          <w:p w14:paraId="15B51EC9"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w:t>
            </w:r>
            <w:r w:rsidRPr="0077568B">
              <w:rPr>
                <w:rFonts w:asciiTheme="minorHAnsi" w:hAnsiTheme="minorHAnsi" w:cstheme="minorHAnsi"/>
                <w:b/>
                <w:bCs/>
                <w:noProof/>
                <w:sz w:val="20"/>
                <w:szCs w:val="20"/>
                <w:lang w:val="es-ES"/>
              </w:rPr>
              <w:t xml:space="preserve"> </w:t>
            </w:r>
            <w:r w:rsidRPr="0077568B">
              <w:rPr>
                <w:rFonts w:asciiTheme="minorHAnsi" w:hAnsiTheme="minorHAnsi" w:cstheme="minorHAnsi"/>
                <w:noProof/>
                <w:sz w:val="20"/>
                <w:szCs w:val="20"/>
                <w:lang w:val="es-ES"/>
              </w:rPr>
              <w:t xml:space="preserve">Los beneficios de los humedales están integrados en las políticas o estrategias y planes nacionales o locales relativos a sectores clave como el agua, la energía, la minería, la agricultura, el turismo, el desarrollo urbano, las infraestructuras, la industria, la </w:t>
            </w:r>
            <w:r w:rsidRPr="0077568B">
              <w:rPr>
                <w:rFonts w:asciiTheme="minorHAnsi" w:hAnsiTheme="minorHAnsi" w:cstheme="minorHAnsi"/>
                <w:noProof/>
                <w:sz w:val="20"/>
                <w:szCs w:val="20"/>
                <w:lang w:val="es-ES"/>
              </w:rPr>
              <w:lastRenderedPageBreak/>
              <w:t>silvicultura, la acuicultura y la pesca a escala nacional y local.</w:t>
            </w:r>
          </w:p>
        </w:tc>
        <w:tc>
          <w:tcPr>
            <w:tcW w:w="5670" w:type="dxa"/>
          </w:tcPr>
          <w:p w14:paraId="606AC827" w14:textId="77777777" w:rsidR="00AE7628" w:rsidRPr="0077568B" w:rsidRDefault="00AE7628" w:rsidP="00DA1EB3">
            <w:pPr>
              <w:pStyle w:val="ListParagraph"/>
              <w:numPr>
                <w:ilvl w:val="0"/>
                <w:numId w:val="32"/>
              </w:numPr>
              <w:spacing w:after="0" w:line="240" w:lineRule="auto"/>
              <w:ind w:left="454" w:hanging="426"/>
              <w:rPr>
                <w:rFonts w:cstheme="minorHAnsi"/>
                <w:noProof/>
                <w:sz w:val="20"/>
                <w:szCs w:val="20"/>
                <w:lang w:val="es-ES"/>
              </w:rPr>
            </w:pPr>
            <w:r w:rsidRPr="0077568B">
              <w:rPr>
                <w:rFonts w:cstheme="minorHAnsi"/>
                <w:noProof/>
                <w:sz w:val="20"/>
                <w:szCs w:val="20"/>
                <w:lang w:val="es-ES"/>
              </w:rPr>
              <w:lastRenderedPageBreak/>
              <w:t>Las Partes Contratantes deberían seguir aportando información sobre humedales al debate sobre cuestiones de política mundiales, incluidos los Objetivos de Desarrollo Sostenible, el marco de la diversidad biológica posterior a 2020 y los esfuerzos de descarbonización del Acuerdo de París, entre otras cosas mediante los ecosistemas de carbono azul.</w:t>
            </w:r>
          </w:p>
          <w:p w14:paraId="7B8D76C7" w14:textId="77777777" w:rsidR="00AE7628" w:rsidRPr="0077568B" w:rsidRDefault="00AE7628" w:rsidP="00DA1EB3">
            <w:pPr>
              <w:pStyle w:val="ListParagraph"/>
              <w:numPr>
                <w:ilvl w:val="0"/>
                <w:numId w:val="32"/>
              </w:numPr>
              <w:spacing w:after="0" w:line="240" w:lineRule="auto"/>
              <w:ind w:left="454" w:hanging="426"/>
              <w:rPr>
                <w:rFonts w:cstheme="minorHAnsi"/>
                <w:noProof/>
                <w:sz w:val="20"/>
                <w:szCs w:val="20"/>
                <w:lang w:val="es-ES"/>
              </w:rPr>
            </w:pPr>
            <w:r w:rsidRPr="0077568B">
              <w:rPr>
                <w:rFonts w:cstheme="minorHAnsi"/>
                <w:noProof/>
                <w:sz w:val="20"/>
                <w:szCs w:val="20"/>
                <w:lang w:val="es-ES"/>
              </w:rPr>
              <w:lastRenderedPageBreak/>
              <w:t>Las Partes Contratantes deberían seleccionar mecanismos para realizar mayores aportaciones sectoriales a la planificación de Ramsar y de la CECoP, entre otras cosas reconociendo el valor, la experiencia y los recursos de las OIA, las ONG, las Partes Contratantes y los interlocutores comerciales en la planificación, dotación de recursos, elaboración y aplicación de mensajes y productos de CECoP de Ramsar.</w:t>
            </w:r>
          </w:p>
          <w:p w14:paraId="7D129EBC" w14:textId="77777777" w:rsidR="00AE7628" w:rsidRPr="0077568B" w:rsidRDefault="00AE7628" w:rsidP="00DA1EB3">
            <w:pPr>
              <w:pStyle w:val="ListParagraph"/>
              <w:numPr>
                <w:ilvl w:val="0"/>
                <w:numId w:val="32"/>
              </w:numPr>
              <w:spacing w:after="0" w:line="240" w:lineRule="auto"/>
              <w:ind w:left="454" w:hanging="426"/>
              <w:rPr>
                <w:rFonts w:cstheme="minorHAnsi"/>
                <w:noProof/>
                <w:sz w:val="20"/>
                <w:szCs w:val="20"/>
                <w:lang w:val="es-ES"/>
              </w:rPr>
            </w:pPr>
            <w:r w:rsidRPr="0077568B">
              <w:rPr>
                <w:rFonts w:cstheme="minorHAnsi"/>
                <w:noProof/>
                <w:sz w:val="20"/>
                <w:szCs w:val="20"/>
                <w:lang w:val="es-ES"/>
              </w:rPr>
              <w:t>Las Partes Contratantes deberían incrementar su colaboración con sectores que tengan un impacto sobre los humedales, en consonancia con las prioridades determinadas en el Plan Estratégico a escala nacional. En particular, se deberían adaptar los mensajes para poner de relieve los temas que sean importantes para el público destinatario.</w:t>
            </w:r>
          </w:p>
        </w:tc>
      </w:tr>
      <w:tr w:rsidR="00AE7628" w:rsidRPr="0077568B" w14:paraId="4AF1273A" w14:textId="77777777" w:rsidTr="00453A3D">
        <w:tc>
          <w:tcPr>
            <w:tcW w:w="3256" w:type="dxa"/>
          </w:tcPr>
          <w:p w14:paraId="68659B51"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lastRenderedPageBreak/>
              <w:t>2. El uso del agua respeta las necesidades de los ecosistemas de humedales para que estos puedan cumplir sus funciones y proporcionar servicios a la escala adecuada, por ejemplo, en una cuenca hidrográfica o una zona costera.</w:t>
            </w:r>
          </w:p>
        </w:tc>
        <w:tc>
          <w:tcPr>
            <w:tcW w:w="5670" w:type="dxa"/>
          </w:tcPr>
          <w:p w14:paraId="1D0459AE" w14:textId="77777777" w:rsidR="00AE7628" w:rsidRPr="0077568B" w:rsidRDefault="00AE7628" w:rsidP="00DA1EB3">
            <w:pPr>
              <w:pStyle w:val="ListParagraph"/>
              <w:numPr>
                <w:ilvl w:val="0"/>
                <w:numId w:val="29"/>
              </w:numPr>
              <w:spacing w:after="0" w:line="240" w:lineRule="auto"/>
              <w:ind w:left="454" w:hanging="284"/>
              <w:rPr>
                <w:rFonts w:cstheme="minorHAnsi"/>
                <w:noProof/>
                <w:sz w:val="20"/>
                <w:szCs w:val="20"/>
                <w:lang w:val="es-ES"/>
              </w:rPr>
            </w:pPr>
            <w:r w:rsidRPr="0077568B">
              <w:rPr>
                <w:rFonts w:cstheme="minorHAnsi"/>
                <w:noProof/>
                <w:sz w:val="20"/>
                <w:szCs w:val="20"/>
                <w:lang w:val="es-ES"/>
              </w:rPr>
              <w:t>Las Partes Contratantes deberían promover estudios de caso sobre la gestión sostenible de humedales urbanos, incluyendo ejemplos de la acreditación de Ciudad de Humedal, y realizar actividades de CECoP que impliquen a los interesados y promuevan el uso racional y la gestión de sus humedales y sus alrededores de manera que se tenga en cuenta tanto la calidad como la cantidad de agua.</w:t>
            </w:r>
          </w:p>
        </w:tc>
      </w:tr>
      <w:tr w:rsidR="00AE7628" w:rsidRPr="0077568B" w14:paraId="5E0C1688" w14:textId="77777777" w:rsidTr="00453A3D">
        <w:tc>
          <w:tcPr>
            <w:tcW w:w="3256" w:type="dxa"/>
          </w:tcPr>
          <w:p w14:paraId="207AACB2"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3. Los sectores público y privado han aumentado sus esfuerzos para aplicar lineamientos y buenas prácticas para el uso racional del agua y de los humedales.</w:t>
            </w:r>
          </w:p>
          <w:p w14:paraId="1D3FED3A" w14:textId="77777777" w:rsidR="00AE7628" w:rsidRPr="0077568B" w:rsidRDefault="00AE7628" w:rsidP="00DA1EB3">
            <w:pPr>
              <w:pStyle w:val="ListParagraph"/>
              <w:ind w:left="0"/>
              <w:rPr>
                <w:rFonts w:cstheme="minorHAnsi"/>
                <w:noProof/>
                <w:sz w:val="20"/>
                <w:szCs w:val="20"/>
                <w:lang w:val="es-ES"/>
              </w:rPr>
            </w:pPr>
          </w:p>
        </w:tc>
        <w:tc>
          <w:tcPr>
            <w:tcW w:w="5670" w:type="dxa"/>
          </w:tcPr>
          <w:p w14:paraId="387C8544" w14:textId="77777777" w:rsidR="00AE7628" w:rsidRPr="0077568B" w:rsidRDefault="00AE7628" w:rsidP="00DA1EB3">
            <w:pPr>
              <w:pStyle w:val="ListParagraph"/>
              <w:numPr>
                <w:ilvl w:val="0"/>
                <w:numId w:val="28"/>
              </w:numPr>
              <w:spacing w:after="0" w:line="240" w:lineRule="auto"/>
              <w:ind w:left="454" w:hanging="284"/>
              <w:rPr>
                <w:rFonts w:cstheme="minorHAnsi"/>
                <w:noProof/>
                <w:sz w:val="20"/>
                <w:szCs w:val="20"/>
                <w:lang w:val="es-ES"/>
              </w:rPr>
            </w:pPr>
            <w:r w:rsidRPr="0077568B">
              <w:rPr>
                <w:rFonts w:cstheme="minorHAnsi"/>
                <w:noProof/>
                <w:sz w:val="20"/>
                <w:szCs w:val="20"/>
                <w:lang w:val="es-ES"/>
              </w:rPr>
              <w:t xml:space="preserve">Las Partes Contratantes deberían promover las orientaciones existentes de la Convención y compartir con otras Partes Contratantes orientaciones prácticas locales, buenas prácticas y estudios de caso que puedan ser relevantes de manera más general. </w:t>
            </w:r>
          </w:p>
          <w:p w14:paraId="1C114837" w14:textId="77777777" w:rsidR="00AE7628" w:rsidRPr="0077568B" w:rsidRDefault="00AE7628" w:rsidP="00DA1EB3">
            <w:pPr>
              <w:pStyle w:val="ListParagraph"/>
              <w:numPr>
                <w:ilvl w:val="0"/>
                <w:numId w:val="28"/>
              </w:numPr>
              <w:spacing w:after="0" w:line="240" w:lineRule="auto"/>
              <w:ind w:left="454" w:hanging="284"/>
              <w:rPr>
                <w:rFonts w:cstheme="minorHAnsi"/>
                <w:noProof/>
                <w:sz w:val="20"/>
                <w:szCs w:val="20"/>
                <w:lang w:val="es-ES"/>
              </w:rPr>
            </w:pPr>
            <w:r w:rsidRPr="0077568B">
              <w:rPr>
                <w:rFonts w:cstheme="minorHAnsi"/>
                <w:noProof/>
                <w:sz w:val="20"/>
                <w:szCs w:val="20"/>
                <w:lang w:val="es-ES"/>
              </w:rPr>
              <w:t>Las Partes Contratantes deberían compartir estudios de caso sobre buenas prácticas.</w:t>
            </w:r>
          </w:p>
        </w:tc>
      </w:tr>
      <w:tr w:rsidR="00AE7628" w:rsidRPr="0077568B" w14:paraId="171BEAFB" w14:textId="77777777" w:rsidTr="00453A3D">
        <w:tc>
          <w:tcPr>
            <w:tcW w:w="3256" w:type="dxa"/>
          </w:tcPr>
          <w:p w14:paraId="10C95439"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4. Se identifican y priorizan especies exóticas invasoras y sus vías de entrada y expansión, se controlan o erradican las especies exóticas invasoras prioritarias y se preparan y aplican medidas de manejo para evitar su introducción y establecimiento.</w:t>
            </w:r>
          </w:p>
        </w:tc>
        <w:tc>
          <w:tcPr>
            <w:tcW w:w="5670" w:type="dxa"/>
          </w:tcPr>
          <w:p w14:paraId="16B0C901" w14:textId="77777777" w:rsidR="00AE7628" w:rsidRPr="0077568B" w:rsidRDefault="00AE7628" w:rsidP="00DA1EB3">
            <w:pPr>
              <w:pStyle w:val="ListParagraph"/>
              <w:numPr>
                <w:ilvl w:val="0"/>
                <w:numId w:val="31"/>
              </w:numPr>
              <w:spacing w:after="0" w:line="240" w:lineRule="auto"/>
              <w:ind w:left="454" w:hanging="284"/>
              <w:rPr>
                <w:rFonts w:cstheme="minorHAnsi"/>
                <w:noProof/>
                <w:sz w:val="20"/>
                <w:szCs w:val="20"/>
                <w:lang w:val="es-ES"/>
              </w:rPr>
            </w:pPr>
            <w:r w:rsidRPr="0077568B">
              <w:rPr>
                <w:rFonts w:cstheme="minorHAnsi"/>
                <w:noProof/>
                <w:sz w:val="20"/>
                <w:szCs w:val="20"/>
                <w:lang w:val="es-ES"/>
              </w:rPr>
              <w:t>Las Partes Contratantes deberían crear conciencia sobre las especies exóticas invasoras en los ecosistemas terrestres mediante la preparación y divulgación de materiales de formación y comunicación entre los sectores público y privado.</w:t>
            </w:r>
          </w:p>
        </w:tc>
      </w:tr>
      <w:tr w:rsidR="00AE7628" w:rsidRPr="0077568B" w14:paraId="4C3340F8" w14:textId="77777777" w:rsidTr="00453A3D">
        <w:tc>
          <w:tcPr>
            <w:tcW w:w="8926" w:type="dxa"/>
            <w:gridSpan w:val="2"/>
          </w:tcPr>
          <w:p w14:paraId="25125AD4"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b/>
                <w:noProof/>
                <w:sz w:val="20"/>
                <w:szCs w:val="20"/>
                <w:lang w:val="es-ES"/>
              </w:rPr>
              <w:t>Objetivo 2:</w:t>
            </w:r>
            <w:r w:rsidRPr="0077568B">
              <w:rPr>
                <w:rFonts w:asciiTheme="minorHAnsi" w:hAnsiTheme="minorHAnsi" w:cstheme="minorHAnsi"/>
                <w:b/>
                <w:noProof/>
                <w:sz w:val="20"/>
                <w:szCs w:val="20"/>
                <w:lang w:val="es-ES"/>
              </w:rPr>
              <w:tab/>
            </w:r>
            <w:r w:rsidRPr="0077568B">
              <w:rPr>
                <w:rFonts w:asciiTheme="minorHAnsi" w:hAnsiTheme="minorHAnsi" w:cstheme="minorHAnsi"/>
                <w:b/>
                <w:bCs/>
                <w:noProof/>
                <w:sz w:val="20"/>
                <w:szCs w:val="20"/>
                <w:lang w:val="es-ES"/>
              </w:rPr>
              <w:t>Llevar a cabo una conservación y un manejo eficaces de la red de sitios Ramsar</w:t>
            </w:r>
          </w:p>
        </w:tc>
      </w:tr>
      <w:tr w:rsidR="00AE7628" w:rsidRPr="0077568B" w14:paraId="0F6F1444" w14:textId="77777777" w:rsidTr="00453A3D">
        <w:tc>
          <w:tcPr>
            <w:tcW w:w="3256" w:type="dxa"/>
          </w:tcPr>
          <w:p w14:paraId="65504EA5"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5. Se mantienen o restauran las características ecológicas de los sitios Ramsar a través de una planificación eficaz y un manejo integrado.</w:t>
            </w:r>
          </w:p>
        </w:tc>
        <w:tc>
          <w:tcPr>
            <w:tcW w:w="5670" w:type="dxa"/>
          </w:tcPr>
          <w:p w14:paraId="54E60700" w14:textId="77777777" w:rsidR="00AE7628" w:rsidRPr="0077568B" w:rsidRDefault="00AE7628" w:rsidP="00DA1EB3">
            <w:pPr>
              <w:pStyle w:val="ListParagraph"/>
              <w:numPr>
                <w:ilvl w:val="0"/>
                <w:numId w:val="30"/>
              </w:numPr>
              <w:spacing w:after="0" w:line="240" w:lineRule="auto"/>
              <w:ind w:left="454" w:hanging="284"/>
              <w:rPr>
                <w:rFonts w:cstheme="minorHAnsi"/>
                <w:noProof/>
                <w:sz w:val="20"/>
                <w:szCs w:val="20"/>
                <w:lang w:val="es-ES" w:eastAsia="en-AU"/>
              </w:rPr>
            </w:pPr>
            <w:r w:rsidRPr="0077568B">
              <w:rPr>
                <w:rFonts w:cstheme="minorHAnsi"/>
                <w:noProof/>
                <w:sz w:val="20"/>
                <w:szCs w:val="20"/>
                <w:lang w:val="es-ES"/>
              </w:rPr>
              <w:t>Las Partes Contratantes deberían integrar las actividades de CECoP en todos los planes de gestión y/o planes de actividades de los sitios Ramsar.</w:t>
            </w:r>
            <w:r w:rsidRPr="0077568B">
              <w:rPr>
                <w:rFonts w:cstheme="minorHAnsi"/>
                <w:noProof/>
                <w:sz w:val="20"/>
                <w:szCs w:val="20"/>
                <w:lang w:val="es-ES" w:eastAsia="en-AU"/>
              </w:rPr>
              <w:t xml:space="preserve"> </w:t>
            </w:r>
          </w:p>
          <w:p w14:paraId="17A77CE5" w14:textId="77777777" w:rsidR="00AE7628" w:rsidRPr="0077568B" w:rsidRDefault="00AE7628" w:rsidP="00DA1EB3">
            <w:pPr>
              <w:pStyle w:val="ListParagraph"/>
              <w:ind w:left="454" w:hanging="284"/>
              <w:rPr>
                <w:rFonts w:cstheme="minorHAnsi"/>
                <w:noProof/>
                <w:sz w:val="20"/>
                <w:szCs w:val="20"/>
                <w:lang w:val="es-ES"/>
              </w:rPr>
            </w:pPr>
          </w:p>
        </w:tc>
      </w:tr>
      <w:tr w:rsidR="00AE7628" w:rsidRPr="0077568B" w14:paraId="479E30AC" w14:textId="77777777" w:rsidTr="00453A3D">
        <w:tc>
          <w:tcPr>
            <w:tcW w:w="3256" w:type="dxa"/>
          </w:tcPr>
          <w:p w14:paraId="33693B96"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7. Se hace frente a las amenazas de los sitios con riesgo de cambios en sus características ecológicas.</w:t>
            </w:r>
          </w:p>
        </w:tc>
        <w:tc>
          <w:tcPr>
            <w:tcW w:w="5670" w:type="dxa"/>
          </w:tcPr>
          <w:p w14:paraId="671FBCE3" w14:textId="77777777" w:rsidR="00AE7628" w:rsidRPr="0077568B" w:rsidRDefault="00AE7628" w:rsidP="00DA1EB3">
            <w:pPr>
              <w:pStyle w:val="ListParagraph"/>
              <w:numPr>
                <w:ilvl w:val="0"/>
                <w:numId w:val="30"/>
              </w:numPr>
              <w:spacing w:after="0" w:line="240" w:lineRule="auto"/>
              <w:ind w:left="454" w:hanging="284"/>
              <w:rPr>
                <w:rFonts w:cstheme="minorHAnsi"/>
                <w:noProof/>
                <w:sz w:val="20"/>
                <w:szCs w:val="20"/>
                <w:lang w:val="es-ES"/>
              </w:rPr>
            </w:pPr>
            <w:r w:rsidRPr="0077568B">
              <w:rPr>
                <w:rFonts w:cstheme="minorHAnsi"/>
                <w:noProof/>
                <w:sz w:val="20"/>
                <w:szCs w:val="20"/>
                <w:lang w:val="es-ES"/>
              </w:rPr>
              <w:t>Las Partes Contratantes deberían definir las amenazas actuales y emergentes, incluida la amenaza global del cambio climático, y elaborar herramientas prácticas de CECoP y orientaciones para gestionar los sitios Ramsar y otros humedales a largo plazo y compartirlas entre las Partes.</w:t>
            </w:r>
          </w:p>
        </w:tc>
      </w:tr>
      <w:tr w:rsidR="00AE7628" w:rsidRPr="0077568B" w14:paraId="09D282D3" w14:textId="77777777" w:rsidTr="00453A3D">
        <w:tc>
          <w:tcPr>
            <w:tcW w:w="8926" w:type="dxa"/>
            <w:gridSpan w:val="2"/>
          </w:tcPr>
          <w:p w14:paraId="1ABE1905"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b/>
                <w:noProof/>
                <w:sz w:val="20"/>
                <w:szCs w:val="20"/>
                <w:lang w:val="es-ES"/>
              </w:rPr>
              <w:t>Objetivo 3:</w:t>
            </w:r>
            <w:r w:rsidRPr="0077568B">
              <w:rPr>
                <w:rFonts w:asciiTheme="minorHAnsi" w:hAnsiTheme="minorHAnsi" w:cstheme="minorHAnsi"/>
                <w:b/>
                <w:noProof/>
                <w:sz w:val="20"/>
                <w:szCs w:val="20"/>
                <w:lang w:val="es-ES"/>
              </w:rPr>
              <w:tab/>
            </w:r>
            <w:r w:rsidRPr="0077568B">
              <w:rPr>
                <w:rFonts w:asciiTheme="minorHAnsi" w:hAnsiTheme="minorHAnsi" w:cstheme="minorHAnsi"/>
                <w:b/>
                <w:bCs/>
                <w:noProof/>
                <w:sz w:val="20"/>
                <w:szCs w:val="20"/>
                <w:lang w:val="es-ES"/>
              </w:rPr>
              <w:t>Realizar un uso racional de todos los humedales</w:t>
            </w:r>
          </w:p>
        </w:tc>
      </w:tr>
      <w:tr w:rsidR="00AE7628" w:rsidRPr="0077568B" w14:paraId="6AD29E43" w14:textId="77777777" w:rsidTr="00453A3D">
        <w:tc>
          <w:tcPr>
            <w:tcW w:w="3256" w:type="dxa"/>
          </w:tcPr>
          <w:p w14:paraId="6BF1A05B"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8. Se han iniciado, completado o actualizado, divulgado y utilizado inventarios nacionales de humedales para promover la conservación y el manejo eficaz de todos los humedales.</w:t>
            </w:r>
          </w:p>
        </w:tc>
        <w:tc>
          <w:tcPr>
            <w:tcW w:w="5670" w:type="dxa"/>
          </w:tcPr>
          <w:p w14:paraId="2FA1BCBE" w14:textId="77777777" w:rsidR="00AE7628" w:rsidRPr="0077568B" w:rsidRDefault="00AE7628" w:rsidP="00DA1EB3">
            <w:pPr>
              <w:pStyle w:val="ListParagraph"/>
              <w:numPr>
                <w:ilvl w:val="0"/>
                <w:numId w:val="30"/>
              </w:numPr>
              <w:spacing w:after="0" w:line="240" w:lineRule="auto"/>
              <w:ind w:left="454" w:hanging="284"/>
              <w:rPr>
                <w:rFonts w:cstheme="minorHAnsi"/>
                <w:noProof/>
                <w:sz w:val="20"/>
                <w:szCs w:val="20"/>
                <w:lang w:val="es-ES"/>
              </w:rPr>
            </w:pPr>
            <w:r w:rsidRPr="0077568B">
              <w:rPr>
                <w:rFonts w:cstheme="minorHAnsi"/>
                <w:noProof/>
                <w:sz w:val="20"/>
                <w:szCs w:val="20"/>
                <w:lang w:val="es-ES"/>
              </w:rPr>
              <w:t>Las Partes Contratantes comunican los resultados de los inventarios nacionales de humedales para promover la conservación y gestión eficaces de todos los humedales.</w:t>
            </w:r>
          </w:p>
        </w:tc>
      </w:tr>
      <w:tr w:rsidR="00AE7628" w:rsidRPr="0077568B" w14:paraId="2A313C0A" w14:textId="77777777" w:rsidTr="00453A3D">
        <w:tc>
          <w:tcPr>
            <w:tcW w:w="3256" w:type="dxa"/>
          </w:tcPr>
          <w:p w14:paraId="2D0E56FE"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lastRenderedPageBreak/>
              <w:t>9. El uso racional de los humedales se refuerza a través del manejo integrado de los recursos a la escala adecuada, por ejemplo, en una cuenca hidrográfica o una zona costera.</w:t>
            </w:r>
          </w:p>
        </w:tc>
        <w:tc>
          <w:tcPr>
            <w:tcW w:w="5670" w:type="dxa"/>
          </w:tcPr>
          <w:p w14:paraId="1A2C226C" w14:textId="77777777" w:rsidR="00AE7628" w:rsidRPr="0077568B" w:rsidRDefault="00AE7628" w:rsidP="00DA1EB3">
            <w:pPr>
              <w:pStyle w:val="ListParagraph"/>
              <w:numPr>
                <w:ilvl w:val="0"/>
                <w:numId w:val="30"/>
              </w:numPr>
              <w:spacing w:after="0" w:line="240" w:lineRule="auto"/>
              <w:ind w:left="454" w:hanging="284"/>
              <w:rPr>
                <w:rFonts w:cstheme="minorHAnsi"/>
                <w:noProof/>
                <w:sz w:val="20"/>
                <w:szCs w:val="20"/>
                <w:lang w:val="es-ES"/>
              </w:rPr>
            </w:pPr>
            <w:r w:rsidRPr="0077568B">
              <w:rPr>
                <w:rFonts w:cstheme="minorHAnsi"/>
                <w:noProof/>
                <w:sz w:val="20"/>
                <w:szCs w:val="20"/>
                <w:lang w:val="es-ES"/>
              </w:rPr>
              <w:t>Véanse la meta 1 y la meta 13.</w:t>
            </w:r>
          </w:p>
        </w:tc>
      </w:tr>
      <w:tr w:rsidR="00AE7628" w:rsidRPr="0077568B" w14:paraId="280C86F7" w14:textId="77777777" w:rsidTr="00453A3D">
        <w:trPr>
          <w:trHeight w:val="3534"/>
        </w:trPr>
        <w:tc>
          <w:tcPr>
            <w:tcW w:w="3256" w:type="dxa"/>
          </w:tcPr>
          <w:p w14:paraId="3DD904F4"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10. El conocimiento tradicional, las innovaciones y las prácticas de los pueblos indígenas y las comunidades locales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c>
          <w:tcPr>
            <w:tcW w:w="5670" w:type="dxa"/>
          </w:tcPr>
          <w:p w14:paraId="499FDCC2" w14:textId="77777777" w:rsidR="00AE7628" w:rsidRPr="0077568B" w:rsidRDefault="00AE7628" w:rsidP="00DA1EB3">
            <w:pPr>
              <w:pStyle w:val="ListParagraph"/>
              <w:numPr>
                <w:ilvl w:val="0"/>
                <w:numId w:val="30"/>
              </w:numPr>
              <w:spacing w:after="0" w:line="240" w:lineRule="auto"/>
              <w:ind w:left="595" w:hanging="550"/>
              <w:rPr>
                <w:rFonts w:cstheme="minorHAnsi"/>
                <w:noProof/>
                <w:sz w:val="20"/>
                <w:szCs w:val="20"/>
                <w:lang w:val="es-ES"/>
              </w:rPr>
            </w:pPr>
            <w:r w:rsidRPr="0077568B">
              <w:rPr>
                <w:rFonts w:cstheme="minorHAnsi"/>
                <w:noProof/>
                <w:sz w:val="20"/>
                <w:szCs w:val="20"/>
                <w:lang w:val="es-ES"/>
              </w:rPr>
              <w:t>Las Partes Contratantes deberían hacer participar mejor a los pueblos indígenas en la investigación, planificación, gestión, restauración y actividades de CECoP relativas a los humedales (incluidos los estudios de caso) y promover los conocimientos tradicionales, las innovaciones y prácticas de los pueblos indígenas y las comunidades locales que sean pertinentes para el uso racional de los humedales a escala nacional y local.</w:t>
            </w:r>
          </w:p>
          <w:p w14:paraId="14E4C955" w14:textId="77777777" w:rsidR="00AE7628" w:rsidRPr="0077568B" w:rsidRDefault="00AE7628" w:rsidP="00DA1EB3">
            <w:pPr>
              <w:pStyle w:val="ListParagraph"/>
              <w:ind w:left="595" w:hanging="550"/>
              <w:rPr>
                <w:rFonts w:cstheme="minorHAnsi"/>
                <w:noProof/>
                <w:sz w:val="20"/>
                <w:szCs w:val="20"/>
                <w:lang w:val="es-ES"/>
              </w:rPr>
            </w:pPr>
          </w:p>
        </w:tc>
      </w:tr>
      <w:tr w:rsidR="00AE7628" w:rsidRPr="0077568B" w14:paraId="4C3D6EB4" w14:textId="77777777" w:rsidTr="00453A3D">
        <w:tc>
          <w:tcPr>
            <w:tcW w:w="3256" w:type="dxa"/>
          </w:tcPr>
          <w:p w14:paraId="03A27758"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11. Se demuestran, documentan y divulgan ampliamente las funciones, los servicios y los beneficios de los humedales.</w:t>
            </w:r>
          </w:p>
          <w:p w14:paraId="0AC914A2" w14:textId="77777777" w:rsidR="00AE7628" w:rsidRPr="0077568B" w:rsidRDefault="00AE7628" w:rsidP="00DA1EB3">
            <w:pPr>
              <w:pStyle w:val="ListParagraph"/>
              <w:ind w:left="0"/>
              <w:rPr>
                <w:rFonts w:cstheme="minorHAnsi"/>
                <w:noProof/>
                <w:sz w:val="20"/>
                <w:szCs w:val="20"/>
                <w:lang w:val="es-ES"/>
              </w:rPr>
            </w:pPr>
          </w:p>
        </w:tc>
        <w:tc>
          <w:tcPr>
            <w:tcW w:w="5670" w:type="dxa"/>
          </w:tcPr>
          <w:p w14:paraId="5F293E07" w14:textId="77777777" w:rsidR="00AE7628" w:rsidRPr="0077568B" w:rsidRDefault="00AE7628" w:rsidP="00DA1EB3">
            <w:pPr>
              <w:pStyle w:val="ListParagraph"/>
              <w:numPr>
                <w:ilvl w:val="0"/>
                <w:numId w:val="30"/>
              </w:numPr>
              <w:spacing w:after="0" w:line="240" w:lineRule="auto"/>
              <w:ind w:left="595" w:hanging="550"/>
              <w:rPr>
                <w:rFonts w:cstheme="minorHAnsi"/>
                <w:noProof/>
                <w:sz w:val="20"/>
                <w:szCs w:val="20"/>
                <w:lang w:val="es-ES"/>
              </w:rPr>
            </w:pPr>
            <w:r w:rsidRPr="0077568B">
              <w:rPr>
                <w:rFonts w:cstheme="minorHAnsi"/>
                <w:noProof/>
                <w:sz w:val="20"/>
                <w:szCs w:val="20"/>
                <w:lang w:val="es-ES"/>
              </w:rPr>
              <w:t>Las Partes Contratantes deberían ayudar a los administradores de sitios Ramsar a elaborar señalética para comunicar los valores de los sitios.</w:t>
            </w:r>
          </w:p>
        </w:tc>
      </w:tr>
      <w:tr w:rsidR="00AE7628" w:rsidRPr="0077568B" w14:paraId="23109FCD" w14:textId="77777777" w:rsidTr="00453A3D">
        <w:tc>
          <w:tcPr>
            <w:tcW w:w="3256" w:type="dxa"/>
          </w:tcPr>
          <w:p w14:paraId="6BCCD943"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13. Mayor sostenibilidad de sectores clave como el agua, la energía, la minería, la agricultura, el turismo, el desarrollo urbano, las infraestructuras, la industria, la silvicultura, la acuicultura y la pesca cuando estos afectan a los humedales, contribuyendo a la conservación de la biodiversidad y a los medios de vida de las personas.</w:t>
            </w:r>
          </w:p>
        </w:tc>
        <w:tc>
          <w:tcPr>
            <w:tcW w:w="5670" w:type="dxa"/>
          </w:tcPr>
          <w:p w14:paraId="2CB7D26E" w14:textId="77777777" w:rsidR="00AE7628" w:rsidRPr="0077568B" w:rsidRDefault="00AE7628" w:rsidP="00DA1EB3">
            <w:pPr>
              <w:pStyle w:val="ListParagraph"/>
              <w:numPr>
                <w:ilvl w:val="0"/>
                <w:numId w:val="30"/>
              </w:numPr>
              <w:spacing w:after="0" w:line="240" w:lineRule="auto"/>
              <w:ind w:left="595" w:hanging="550"/>
              <w:rPr>
                <w:rFonts w:cstheme="minorHAnsi"/>
                <w:noProof/>
                <w:sz w:val="20"/>
                <w:szCs w:val="20"/>
                <w:lang w:val="es-ES"/>
              </w:rPr>
            </w:pPr>
            <w:r w:rsidRPr="0077568B">
              <w:rPr>
                <w:rFonts w:cstheme="minorHAnsi"/>
                <w:noProof/>
                <w:sz w:val="20"/>
                <w:szCs w:val="20"/>
                <w:lang w:val="es-ES"/>
              </w:rPr>
              <w:t>Las Partes Contratantes deberían dar prioridad a incitar a los responsables de la toma de decisiones a escala sectorial a integrar los valores de los humedales en su planificación y toma de decisiones.</w:t>
            </w:r>
          </w:p>
        </w:tc>
      </w:tr>
      <w:tr w:rsidR="00AE7628" w:rsidRPr="0077568B" w14:paraId="5ECF5DD4" w14:textId="77777777" w:rsidTr="00453A3D">
        <w:tc>
          <w:tcPr>
            <w:tcW w:w="8926" w:type="dxa"/>
            <w:gridSpan w:val="2"/>
          </w:tcPr>
          <w:p w14:paraId="4FCF4D25"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b/>
                <w:noProof/>
                <w:sz w:val="20"/>
                <w:szCs w:val="20"/>
                <w:lang w:val="es-ES"/>
              </w:rPr>
              <w:t>Objetivo 4:</w:t>
            </w:r>
            <w:r w:rsidRPr="0077568B">
              <w:rPr>
                <w:rFonts w:asciiTheme="minorHAnsi" w:hAnsiTheme="minorHAnsi" w:cstheme="minorHAnsi"/>
                <w:b/>
                <w:noProof/>
                <w:sz w:val="20"/>
                <w:szCs w:val="20"/>
                <w:lang w:val="es-ES"/>
              </w:rPr>
              <w:tab/>
            </w:r>
            <w:r w:rsidRPr="0077568B">
              <w:rPr>
                <w:rFonts w:asciiTheme="minorHAnsi" w:hAnsiTheme="minorHAnsi" w:cstheme="minorHAnsi"/>
                <w:b/>
                <w:bCs/>
                <w:noProof/>
                <w:sz w:val="20"/>
                <w:szCs w:val="20"/>
                <w:lang w:val="es-ES"/>
              </w:rPr>
              <w:t>Mejorar la aplicación</w:t>
            </w:r>
          </w:p>
        </w:tc>
      </w:tr>
      <w:tr w:rsidR="00AE7628" w:rsidRPr="0077568B" w14:paraId="63993C59" w14:textId="77777777" w:rsidTr="00453A3D">
        <w:tc>
          <w:tcPr>
            <w:tcW w:w="3256" w:type="dxa"/>
          </w:tcPr>
          <w:p w14:paraId="544F829A"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16. La conservación y el uso racional de los humedales se integran a través de la comunicación, el desarrollo de capacidad, la educación, concienciación y participación.</w:t>
            </w:r>
          </w:p>
        </w:tc>
        <w:tc>
          <w:tcPr>
            <w:tcW w:w="5670" w:type="dxa"/>
          </w:tcPr>
          <w:p w14:paraId="09524011" w14:textId="77777777" w:rsidR="00AE7628" w:rsidRPr="0077568B" w:rsidRDefault="00AE7628" w:rsidP="00DA1EB3">
            <w:pPr>
              <w:pStyle w:val="ListParagraph"/>
              <w:numPr>
                <w:ilvl w:val="0"/>
                <w:numId w:val="30"/>
              </w:numPr>
              <w:spacing w:after="0" w:line="240" w:lineRule="auto"/>
              <w:ind w:left="595" w:hanging="567"/>
              <w:rPr>
                <w:rFonts w:cstheme="minorHAnsi"/>
                <w:noProof/>
                <w:sz w:val="20"/>
                <w:szCs w:val="20"/>
                <w:lang w:val="es-ES"/>
              </w:rPr>
            </w:pPr>
            <w:r w:rsidRPr="0077568B">
              <w:rPr>
                <w:rFonts w:cstheme="minorHAnsi"/>
                <w:noProof/>
                <w:sz w:val="20"/>
                <w:szCs w:val="20"/>
                <w:lang w:val="es-ES"/>
              </w:rPr>
              <w:t>Las Partes Contratantes deberían aprovechar las actividades de CECoP y la participación logradas mediante el Día Mundial de los Humedales, las iniciativas regionales de Ramsar y los centros educativos sobre humedales, por ejemplo.</w:t>
            </w:r>
          </w:p>
          <w:p w14:paraId="337071CA" w14:textId="77777777" w:rsidR="00AE7628" w:rsidRPr="0077568B" w:rsidRDefault="00AE7628" w:rsidP="00DA1EB3">
            <w:pPr>
              <w:pStyle w:val="ListParagraph"/>
              <w:numPr>
                <w:ilvl w:val="0"/>
                <w:numId w:val="30"/>
              </w:numPr>
              <w:spacing w:after="0" w:line="240" w:lineRule="auto"/>
              <w:ind w:left="595" w:hanging="567"/>
              <w:rPr>
                <w:rFonts w:cstheme="minorHAnsi"/>
                <w:noProof/>
                <w:sz w:val="20"/>
                <w:szCs w:val="20"/>
                <w:lang w:val="es-ES"/>
              </w:rPr>
            </w:pPr>
            <w:r w:rsidRPr="0077568B">
              <w:rPr>
                <w:rFonts w:cstheme="minorHAnsi"/>
                <w:noProof/>
                <w:sz w:val="20"/>
                <w:szCs w:val="20"/>
                <w:lang w:val="es-ES"/>
              </w:rPr>
              <w:t>Las Partes Contratantes deberían utilizar redes y estructuras (p. ej., la red Wetland Link International, las iniciativas regionales de Ramsar, los centros educativos sobre humedales, Youth Engaged in Wetlands) para incrementar el apoyo a la aplicación de la Convención, por ejemplo, creando conciencia e impulsando la participación en las actividades y la creación de capacidad.</w:t>
            </w:r>
          </w:p>
          <w:p w14:paraId="7BCA3343" w14:textId="77777777" w:rsidR="00AE7628" w:rsidRPr="0077568B" w:rsidRDefault="00AE7628" w:rsidP="00DA1EB3">
            <w:pPr>
              <w:pStyle w:val="ListParagraph"/>
              <w:numPr>
                <w:ilvl w:val="0"/>
                <w:numId w:val="30"/>
              </w:numPr>
              <w:spacing w:after="0" w:line="240" w:lineRule="auto"/>
              <w:ind w:left="595" w:hanging="567"/>
              <w:rPr>
                <w:rFonts w:cstheme="minorHAnsi"/>
                <w:noProof/>
                <w:sz w:val="20"/>
                <w:szCs w:val="20"/>
                <w:lang w:val="es-ES"/>
              </w:rPr>
            </w:pPr>
            <w:r w:rsidRPr="0077568B">
              <w:rPr>
                <w:rFonts w:cstheme="minorHAnsi"/>
                <w:noProof/>
                <w:sz w:val="20"/>
                <w:szCs w:val="20"/>
                <w:lang w:val="es-ES"/>
              </w:rPr>
              <w:t xml:space="preserve">Las Partes Contratantes deberían utilizar distintos canales mediáticos que sean apropiados para los fines en cuestión, tales como redes sociales para crear conciencia entre el público (y posiblemente generar una preocupación y </w:t>
            </w:r>
            <w:r w:rsidRPr="0077568B">
              <w:rPr>
                <w:rFonts w:cstheme="minorHAnsi"/>
                <w:noProof/>
                <w:sz w:val="20"/>
                <w:szCs w:val="20"/>
                <w:lang w:val="es-ES"/>
              </w:rPr>
              <w:lastRenderedPageBreak/>
              <w:t xml:space="preserve">presión públicas sobre los responsables de la toma de decisiones) además de otros enfoques para implicar a los responsables de la toma de decisiones a escala sectorial. </w:t>
            </w:r>
          </w:p>
          <w:p w14:paraId="171D8C3A" w14:textId="77777777" w:rsidR="00AE7628" w:rsidRPr="0077568B" w:rsidRDefault="00AE7628" w:rsidP="00DA1EB3">
            <w:pPr>
              <w:pStyle w:val="ListParagraph"/>
              <w:numPr>
                <w:ilvl w:val="0"/>
                <w:numId w:val="30"/>
              </w:numPr>
              <w:spacing w:after="0" w:line="240" w:lineRule="auto"/>
              <w:ind w:left="595" w:hanging="567"/>
              <w:rPr>
                <w:rFonts w:cstheme="minorHAnsi"/>
                <w:noProof/>
                <w:sz w:val="20"/>
                <w:szCs w:val="20"/>
                <w:lang w:val="es-ES"/>
              </w:rPr>
            </w:pPr>
            <w:r w:rsidRPr="0077568B">
              <w:rPr>
                <w:rFonts w:cstheme="minorHAnsi"/>
                <w:noProof/>
                <w:sz w:val="20"/>
                <w:szCs w:val="20"/>
                <w:lang w:val="es-ES"/>
              </w:rPr>
              <w:t>Las Partes Contratantes deberían identificar nuevas oportunidades y vías de comunicación para promover los objetivos de Ramsar.</w:t>
            </w:r>
          </w:p>
        </w:tc>
      </w:tr>
      <w:tr w:rsidR="00AE7628" w:rsidRPr="0077568B" w14:paraId="166E0D45" w14:textId="77777777" w:rsidTr="00453A3D">
        <w:tc>
          <w:tcPr>
            <w:tcW w:w="3256" w:type="dxa"/>
          </w:tcPr>
          <w:p w14:paraId="08AD13C7"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lastRenderedPageBreak/>
              <w:t>18. Se refuerza la cooperación internacional a todos los niveles (</w:t>
            </w:r>
            <w:r w:rsidRPr="0077568B">
              <w:rPr>
                <w:rFonts w:asciiTheme="minorHAnsi" w:hAnsiTheme="minorHAnsi" w:cstheme="minorHAnsi"/>
                <w:i/>
                <w:iCs/>
                <w:noProof/>
                <w:sz w:val="20"/>
                <w:szCs w:val="20"/>
                <w:lang w:val="es-ES"/>
              </w:rPr>
              <w:t>local, nacional, subregional (por ejemplo, las IRR), regional y mundial</w:t>
            </w:r>
            <w:r w:rsidRPr="0077568B">
              <w:rPr>
                <w:rFonts w:asciiTheme="minorHAnsi" w:hAnsiTheme="minorHAnsi" w:cstheme="minorHAnsi"/>
                <w:noProof/>
                <w:sz w:val="20"/>
                <w:szCs w:val="20"/>
                <w:lang w:val="es-ES"/>
              </w:rPr>
              <w:t>).</w:t>
            </w:r>
          </w:p>
        </w:tc>
        <w:tc>
          <w:tcPr>
            <w:tcW w:w="5670" w:type="dxa"/>
          </w:tcPr>
          <w:p w14:paraId="72DC6CEA" w14:textId="77777777" w:rsidR="00AE7628" w:rsidRPr="0077568B" w:rsidRDefault="00AE7628" w:rsidP="00DA1EB3">
            <w:pPr>
              <w:pStyle w:val="ListParagraph"/>
              <w:numPr>
                <w:ilvl w:val="0"/>
                <w:numId w:val="30"/>
              </w:numPr>
              <w:spacing w:after="0" w:line="240" w:lineRule="auto"/>
              <w:ind w:left="595" w:hanging="567"/>
              <w:rPr>
                <w:rFonts w:cstheme="minorHAnsi"/>
                <w:noProof/>
                <w:sz w:val="20"/>
                <w:szCs w:val="20"/>
                <w:lang w:val="es-ES"/>
              </w:rPr>
            </w:pPr>
            <w:r w:rsidRPr="0077568B">
              <w:rPr>
                <w:rFonts w:cstheme="minorHAnsi"/>
                <w:noProof/>
                <w:sz w:val="20"/>
                <w:szCs w:val="20"/>
                <w:lang w:val="es-ES"/>
              </w:rPr>
              <w:t xml:space="preserve">Las Partes Contratantes que tengan necesidades similares en materia de CECoP deberían cooperar en las actividades de CECoP. Algunos ejemplos de esa cooperación pueden ser el intercambio de experiencias sobre campañas de CECoP y el trabajo en colaboración para elaborar materiales de comunicación y traducirlos a distintos idiomas en función de las necesidades de las Partes Contratantes en cuestión. </w:t>
            </w:r>
          </w:p>
          <w:p w14:paraId="0D4B52FC" w14:textId="77777777" w:rsidR="00AE7628" w:rsidRPr="0077568B" w:rsidRDefault="00AE7628" w:rsidP="00DA1EB3">
            <w:pPr>
              <w:pStyle w:val="ListParagraph"/>
              <w:numPr>
                <w:ilvl w:val="0"/>
                <w:numId w:val="30"/>
              </w:numPr>
              <w:spacing w:after="0" w:line="240" w:lineRule="auto"/>
              <w:ind w:left="595" w:hanging="567"/>
              <w:rPr>
                <w:rFonts w:cstheme="minorHAnsi"/>
                <w:noProof/>
                <w:sz w:val="20"/>
                <w:szCs w:val="20"/>
                <w:lang w:val="es-ES"/>
              </w:rPr>
            </w:pPr>
            <w:r w:rsidRPr="0077568B">
              <w:rPr>
                <w:rFonts w:cstheme="minorHAnsi"/>
                <w:noProof/>
                <w:sz w:val="20"/>
                <w:szCs w:val="20"/>
                <w:lang w:val="es-ES"/>
              </w:rPr>
              <w:t>Las Partes Contratantes deberían alentar a sus coordinadores nacionales de Ramsar a que lleven a cabo las actividades de CECoP en colaboración con sus coordinadores nacionales de otros AMMA.</w:t>
            </w:r>
          </w:p>
          <w:p w14:paraId="1DBB3855" w14:textId="77777777" w:rsidR="00AE7628" w:rsidRPr="0077568B" w:rsidRDefault="00AE7628" w:rsidP="00DA1EB3">
            <w:pPr>
              <w:pStyle w:val="ListParagraph"/>
              <w:numPr>
                <w:ilvl w:val="0"/>
                <w:numId w:val="30"/>
              </w:numPr>
              <w:spacing w:after="0" w:line="240" w:lineRule="auto"/>
              <w:ind w:left="454" w:hanging="426"/>
              <w:rPr>
                <w:rFonts w:cstheme="minorHAnsi"/>
                <w:bCs/>
                <w:noProof/>
                <w:sz w:val="20"/>
                <w:szCs w:val="20"/>
                <w:lang w:val="es-ES"/>
              </w:rPr>
            </w:pPr>
            <w:r w:rsidRPr="0077568B">
              <w:rPr>
                <w:rFonts w:cstheme="minorHAnsi"/>
                <w:noProof/>
                <w:sz w:val="20"/>
                <w:szCs w:val="20"/>
                <w:lang w:val="es-ES"/>
              </w:rPr>
              <w:t>Las Partes Contratantes deberían asegurarse de que se tengan en cuenta los aspectos de CECoP al planificar y elaborar todas las resoluciones, los materiales orientativos, los productos del GECT y otros productos de la Convención de Ramsar.</w:t>
            </w:r>
          </w:p>
          <w:p w14:paraId="326CE3DB" w14:textId="77777777" w:rsidR="00AE7628" w:rsidRPr="0077568B" w:rsidRDefault="00AE7628" w:rsidP="00DA1EB3">
            <w:pPr>
              <w:pStyle w:val="ListParagraph"/>
              <w:numPr>
                <w:ilvl w:val="0"/>
                <w:numId w:val="30"/>
              </w:numPr>
              <w:spacing w:after="0" w:line="240" w:lineRule="auto"/>
              <w:ind w:left="454" w:hanging="426"/>
              <w:rPr>
                <w:rFonts w:cstheme="minorHAnsi"/>
                <w:noProof/>
                <w:sz w:val="20"/>
                <w:szCs w:val="20"/>
                <w:lang w:val="es-ES"/>
              </w:rPr>
            </w:pPr>
            <w:r w:rsidRPr="0077568B">
              <w:rPr>
                <w:rFonts w:cstheme="minorHAnsi"/>
                <w:noProof/>
                <w:sz w:val="20"/>
                <w:szCs w:val="20"/>
                <w:lang w:val="es-ES"/>
              </w:rPr>
              <w:t>Las Partes Contratantes deberían estudiar las oportunidades de mejorar la conservación de los humedales aplicando técnicas extraídas de la economía conductual y la psicología y realizar proyectos conjuntos con equipos o unidades que apliquen un enfoque conductual.</w:t>
            </w:r>
          </w:p>
        </w:tc>
      </w:tr>
      <w:tr w:rsidR="00AE7628" w:rsidRPr="0077568B" w14:paraId="0948C190" w14:textId="77777777" w:rsidTr="00453A3D">
        <w:tc>
          <w:tcPr>
            <w:tcW w:w="3256" w:type="dxa"/>
          </w:tcPr>
          <w:p w14:paraId="16FFD933" w14:textId="77777777" w:rsidR="00AE7628" w:rsidRPr="0077568B" w:rsidRDefault="00AE7628" w:rsidP="00DA1EB3">
            <w:pPr>
              <w:pStyle w:val="NormalWeb"/>
              <w:rPr>
                <w:rFonts w:asciiTheme="minorHAnsi" w:hAnsiTheme="minorHAnsi" w:cstheme="minorHAnsi"/>
                <w:noProof/>
                <w:sz w:val="20"/>
                <w:szCs w:val="20"/>
                <w:lang w:val="es-ES"/>
              </w:rPr>
            </w:pPr>
            <w:r w:rsidRPr="0077568B">
              <w:rPr>
                <w:rFonts w:asciiTheme="minorHAnsi" w:hAnsiTheme="minorHAnsi" w:cstheme="minorHAnsi"/>
                <w:noProof/>
                <w:sz w:val="20"/>
                <w:szCs w:val="20"/>
                <w:lang w:val="es-ES"/>
              </w:rPr>
              <w:t>19. Se potencia la creación de capacidad para la aplicación de la Convención y del Cuarto Plan Estratégico de Ramsar (2016-2024).</w:t>
            </w:r>
          </w:p>
        </w:tc>
        <w:tc>
          <w:tcPr>
            <w:tcW w:w="5670" w:type="dxa"/>
          </w:tcPr>
          <w:p w14:paraId="703C37CA" w14:textId="77777777" w:rsidR="00AE7628" w:rsidRPr="0077568B" w:rsidRDefault="00AE7628" w:rsidP="00DA1EB3">
            <w:pPr>
              <w:pStyle w:val="ListParagraph"/>
              <w:numPr>
                <w:ilvl w:val="0"/>
                <w:numId w:val="33"/>
              </w:numPr>
              <w:spacing w:after="0" w:line="240" w:lineRule="auto"/>
              <w:ind w:left="454" w:hanging="426"/>
              <w:rPr>
                <w:rFonts w:cstheme="minorHAnsi"/>
                <w:noProof/>
                <w:sz w:val="20"/>
                <w:szCs w:val="20"/>
                <w:lang w:val="es-ES"/>
              </w:rPr>
            </w:pPr>
            <w:r w:rsidRPr="0077568B">
              <w:rPr>
                <w:rFonts w:cstheme="minorHAnsi"/>
                <w:noProof/>
                <w:sz w:val="20"/>
                <w:szCs w:val="20"/>
                <w:lang w:val="es-ES"/>
              </w:rPr>
              <w:t>Las Partes Contratantes deberían hacer hincapié en la creación de capacidad para apoyar a las personas que desempeñen distintas funciones en la conservación y el uso sostenible. Esto conllevaría la utilización de los conocimientos del Grupo de Examen Científico y Técnico (GECT), las comunicaciones y el trabajo en red de la Secretaría y el intercambio de experiencias entre las Partes Contratantes.</w:t>
            </w:r>
          </w:p>
          <w:p w14:paraId="51353E69" w14:textId="77777777" w:rsidR="00AE7628" w:rsidRPr="0077568B" w:rsidRDefault="00AE7628" w:rsidP="00DA1EB3">
            <w:pPr>
              <w:pStyle w:val="ListParagraph"/>
              <w:numPr>
                <w:ilvl w:val="0"/>
                <w:numId w:val="33"/>
              </w:numPr>
              <w:spacing w:after="0" w:line="240" w:lineRule="auto"/>
              <w:ind w:left="454" w:hanging="426"/>
              <w:rPr>
                <w:rFonts w:cstheme="minorHAnsi"/>
                <w:noProof/>
                <w:sz w:val="20"/>
                <w:szCs w:val="20"/>
                <w:lang w:val="es-ES"/>
              </w:rPr>
            </w:pPr>
            <w:r w:rsidRPr="0077568B">
              <w:rPr>
                <w:rFonts w:cstheme="minorHAnsi"/>
                <w:noProof/>
                <w:sz w:val="20"/>
                <w:szCs w:val="20"/>
                <w:lang w:val="es-ES"/>
              </w:rPr>
              <w:t>Las Partes Contratantes deberían evaluar el alcance y la efectividad de las actividades, incluidas las de CECoP, de forma que se puedan identificar, compartir y aplicar distintos enfoques.</w:t>
            </w:r>
          </w:p>
          <w:p w14:paraId="02A83012" w14:textId="77777777" w:rsidR="00AE7628" w:rsidRPr="0077568B" w:rsidRDefault="00AE7628" w:rsidP="00DA1EB3">
            <w:pPr>
              <w:pStyle w:val="ListParagraph"/>
              <w:numPr>
                <w:ilvl w:val="0"/>
                <w:numId w:val="33"/>
              </w:numPr>
              <w:spacing w:after="0" w:line="240" w:lineRule="auto"/>
              <w:ind w:left="454" w:hanging="426"/>
              <w:rPr>
                <w:rFonts w:cstheme="minorHAnsi"/>
                <w:noProof/>
                <w:sz w:val="20"/>
                <w:szCs w:val="20"/>
                <w:lang w:val="es-ES"/>
              </w:rPr>
            </w:pPr>
            <w:r w:rsidRPr="0077568B">
              <w:rPr>
                <w:rFonts w:cstheme="minorHAnsi"/>
                <w:noProof/>
                <w:sz w:val="20"/>
                <w:szCs w:val="20"/>
                <w:lang w:val="es-ES"/>
              </w:rPr>
              <w:t xml:space="preserve">Las Partes Contratantes deberían garantizar que se informe a los coordinadores nacionales sobre sus responsabilidades. Se debería reconocer a los coordinadores nacionales de CECoP como los principales ejecutores de la CECoP y se les deberían brindar herramientas y oportunidades de formación adecuadas cuando las necesiten. </w:t>
            </w:r>
          </w:p>
        </w:tc>
      </w:tr>
    </w:tbl>
    <w:p w14:paraId="50031BE5" w14:textId="77777777" w:rsidR="00D0021B" w:rsidRPr="0077568B" w:rsidRDefault="00D0021B" w:rsidP="00DA1EB3">
      <w:pPr>
        <w:pStyle w:val="ListParagraph"/>
        <w:spacing w:after="0" w:line="240" w:lineRule="auto"/>
        <w:ind w:left="0"/>
        <w:rPr>
          <w:rFonts w:cstheme="minorHAnsi"/>
          <w:noProof/>
          <w:sz w:val="20"/>
          <w:szCs w:val="20"/>
          <w:lang w:val="es-ES"/>
        </w:rPr>
      </w:pPr>
    </w:p>
    <w:p w14:paraId="3A7E9A0C" w14:textId="77777777" w:rsidR="00AE7628" w:rsidRPr="0077568B" w:rsidRDefault="00AE7628" w:rsidP="00DA1EB3">
      <w:pPr>
        <w:rPr>
          <w:rFonts w:cs="Arial"/>
          <w:b/>
          <w:bCs/>
          <w:noProof/>
          <w:lang w:val="es-ES"/>
        </w:rPr>
      </w:pPr>
      <w:r w:rsidRPr="0077568B">
        <w:rPr>
          <w:rFonts w:cs="Arial"/>
          <w:b/>
          <w:bCs/>
          <w:noProof/>
          <w:lang w:val="es-ES"/>
        </w:rPr>
        <w:t>Recursos disponibles</w:t>
      </w:r>
    </w:p>
    <w:p w14:paraId="0197E025" w14:textId="65C498AF" w:rsidR="00AE7628" w:rsidRPr="0077568B" w:rsidRDefault="00AE7628" w:rsidP="00DA1EB3">
      <w:pPr>
        <w:rPr>
          <w:rFonts w:cs="Arial"/>
          <w:b/>
          <w:bCs/>
          <w:noProof/>
          <w:lang w:val="es-ES"/>
        </w:rPr>
      </w:pPr>
      <w:r w:rsidRPr="0077568B">
        <w:rPr>
          <w:noProof/>
          <w:szCs w:val="24"/>
          <w:lang w:val="es-ES"/>
        </w:rPr>
        <w:t>Proyecto de resolución XIV.XX. Nuevo enfoque de las actividades de CECoP.</w:t>
      </w:r>
    </w:p>
    <w:p w14:paraId="56351336" w14:textId="77777777" w:rsidR="00D0021B" w:rsidRPr="0077568B" w:rsidRDefault="00D0021B" w:rsidP="00DA1EB3">
      <w:pPr>
        <w:rPr>
          <w:rFonts w:cs="Arial"/>
          <w:noProof/>
          <w:lang w:val="es-ES"/>
        </w:rPr>
      </w:pPr>
    </w:p>
    <w:p w14:paraId="4D2EE80A" w14:textId="77777777" w:rsidR="00D0021B" w:rsidRPr="0077568B" w:rsidRDefault="00D0021B" w:rsidP="00DA1EB3">
      <w:pPr>
        <w:rPr>
          <w:rFonts w:cs="Arial"/>
          <w:noProof/>
          <w:lang w:val="es-ES"/>
        </w:rPr>
      </w:pPr>
    </w:p>
    <w:p w14:paraId="1B88B747" w14:textId="77777777" w:rsidR="00D0021B" w:rsidRPr="0077568B" w:rsidRDefault="00D0021B" w:rsidP="00DA1EB3">
      <w:pPr>
        <w:rPr>
          <w:rFonts w:cs="Arial"/>
          <w:noProof/>
          <w:lang w:val="es-ES"/>
        </w:rPr>
      </w:pPr>
    </w:p>
    <w:p w14:paraId="2E77D220" w14:textId="77777777" w:rsidR="00391157" w:rsidRPr="0077568B" w:rsidRDefault="00391157" w:rsidP="00DA1EB3">
      <w:pPr>
        <w:rPr>
          <w:rFonts w:cs="Arial"/>
          <w:noProof/>
          <w:lang w:val="es-ES"/>
        </w:rPr>
      </w:pPr>
      <w:r w:rsidRPr="0077568B">
        <w:rPr>
          <w:rFonts w:cs="Arial"/>
          <w:noProof/>
          <w:lang w:val="es-ES"/>
        </w:rPr>
        <w:br w:type="page"/>
      </w:r>
    </w:p>
    <w:p w14:paraId="2C56F5A5" w14:textId="5A1D81D6" w:rsidR="00AE7628" w:rsidRPr="0077568B" w:rsidRDefault="00AE7628" w:rsidP="00DA1EB3">
      <w:pPr>
        <w:suppressAutoHyphens/>
        <w:rPr>
          <w:rFonts w:cstheme="minorHAnsi"/>
          <w:b/>
          <w:noProof/>
          <w:lang w:val="es-ES"/>
        </w:rPr>
      </w:pPr>
      <w:r w:rsidRPr="0077568B">
        <w:rPr>
          <w:rFonts w:cstheme="minorHAnsi"/>
          <w:b/>
          <w:noProof/>
          <w:lang w:val="es-ES"/>
        </w:rPr>
        <w:lastRenderedPageBreak/>
        <w:t xml:space="preserve">ANEXO 5: LAS CONSIDERACIONES DE GÉNERO Y LA CONVENCIÓN DE RAMSAR  </w:t>
      </w:r>
    </w:p>
    <w:p w14:paraId="207915F8" w14:textId="77777777" w:rsidR="00D0021B" w:rsidRPr="0077568B" w:rsidRDefault="00D0021B" w:rsidP="00DA1EB3">
      <w:pPr>
        <w:suppressAutoHyphens/>
        <w:rPr>
          <w:rFonts w:eastAsia="Calibri" w:cstheme="minorHAnsi"/>
          <w:b/>
          <w:bCs/>
          <w:noProof/>
          <w:lang w:val="es-ES"/>
        </w:rPr>
      </w:pPr>
    </w:p>
    <w:p w14:paraId="604CA1DC" w14:textId="62364056" w:rsidR="00D0021B" w:rsidRPr="0077568B" w:rsidRDefault="00D0021B" w:rsidP="00DA1EB3">
      <w:pPr>
        <w:pStyle w:val="paralevel1"/>
        <w:numPr>
          <w:ilvl w:val="0"/>
          <w:numId w:val="0"/>
        </w:numPr>
        <w:tabs>
          <w:tab w:val="left" w:pos="720"/>
        </w:tabs>
        <w:spacing w:after="0"/>
        <w:rPr>
          <w:rFonts w:asciiTheme="minorHAnsi" w:eastAsia="Calibri" w:hAnsiTheme="minorHAnsi" w:cstheme="minorHAnsi"/>
          <w:b/>
          <w:bCs/>
          <w:noProof/>
          <w:sz w:val="22"/>
          <w:szCs w:val="22"/>
          <w:lang w:val="es-ES"/>
        </w:rPr>
      </w:pPr>
      <w:r w:rsidRPr="0077568B">
        <w:rPr>
          <w:rFonts w:asciiTheme="minorHAnsi" w:eastAsia="Calibri" w:hAnsiTheme="minorHAnsi" w:cstheme="minorHAnsi"/>
          <w:b/>
          <w:bCs/>
          <w:noProof/>
          <w:sz w:val="22"/>
          <w:szCs w:val="22"/>
          <w:lang w:val="es-ES"/>
        </w:rPr>
        <w:t>Contex</w:t>
      </w:r>
      <w:r w:rsidR="00AE7628" w:rsidRPr="0077568B">
        <w:rPr>
          <w:rFonts w:asciiTheme="minorHAnsi" w:eastAsia="Calibri" w:hAnsiTheme="minorHAnsi" w:cstheme="minorHAnsi"/>
          <w:b/>
          <w:bCs/>
          <w:noProof/>
          <w:sz w:val="22"/>
          <w:szCs w:val="22"/>
          <w:lang w:val="es-ES"/>
        </w:rPr>
        <w:t>to</w:t>
      </w:r>
      <w:r w:rsidRPr="0077568B">
        <w:rPr>
          <w:rFonts w:asciiTheme="minorHAnsi" w:eastAsia="Calibri" w:hAnsiTheme="minorHAnsi" w:cstheme="minorHAnsi"/>
          <w:b/>
          <w:bCs/>
          <w:noProof/>
          <w:sz w:val="22"/>
          <w:szCs w:val="22"/>
          <w:lang w:val="es-ES"/>
        </w:rPr>
        <w:t xml:space="preserve">: </w:t>
      </w:r>
    </w:p>
    <w:p w14:paraId="7D0AC45F" w14:textId="77777777" w:rsidR="008759FF" w:rsidRPr="0077568B" w:rsidRDefault="008759FF" w:rsidP="00DA1EB3">
      <w:pPr>
        <w:pStyle w:val="paralevel1"/>
        <w:numPr>
          <w:ilvl w:val="0"/>
          <w:numId w:val="0"/>
        </w:numPr>
        <w:tabs>
          <w:tab w:val="left" w:pos="720"/>
        </w:tabs>
        <w:spacing w:after="0"/>
        <w:rPr>
          <w:rFonts w:asciiTheme="minorHAnsi" w:eastAsia="Calibri" w:hAnsiTheme="minorHAnsi" w:cstheme="minorHAnsi"/>
          <w:b/>
          <w:bCs/>
          <w:noProof/>
          <w:sz w:val="22"/>
          <w:szCs w:val="22"/>
          <w:lang w:val="es-ES"/>
        </w:rPr>
      </w:pPr>
    </w:p>
    <w:p w14:paraId="622BBA24" w14:textId="3B47C986" w:rsidR="00751104" w:rsidRPr="0077568B" w:rsidRDefault="00751104" w:rsidP="00DA1EB3">
      <w:pPr>
        <w:rPr>
          <w:rFonts w:cstheme="minorHAnsi"/>
          <w:bCs/>
          <w:noProof/>
          <w:lang w:val="es-ES"/>
        </w:rPr>
      </w:pPr>
      <w:r w:rsidRPr="0077568B">
        <w:rPr>
          <w:rFonts w:cstheme="minorHAnsi"/>
          <w:bCs/>
          <w:noProof/>
          <w:lang w:val="es-ES"/>
        </w:rPr>
        <w:t xml:space="preserve">Mujeres y hombres </w:t>
      </w:r>
      <w:r w:rsidR="00CA3DE5" w:rsidRPr="0077568B">
        <w:rPr>
          <w:rFonts w:cstheme="minorHAnsi"/>
          <w:bCs/>
          <w:noProof/>
          <w:u w:val="single"/>
          <w:lang w:val="es-ES"/>
        </w:rPr>
        <w:t>en toda su diversidad</w:t>
      </w:r>
      <w:r w:rsidR="00CA3DE5" w:rsidRPr="0077568B">
        <w:rPr>
          <w:rFonts w:cstheme="minorHAnsi"/>
          <w:bCs/>
          <w:noProof/>
          <w:lang w:val="es-ES"/>
        </w:rPr>
        <w:t xml:space="preserve"> </w:t>
      </w:r>
      <w:r w:rsidRPr="0077568B">
        <w:rPr>
          <w:rFonts w:cstheme="minorHAnsi"/>
          <w:bCs/>
          <w:noProof/>
          <w:lang w:val="es-ES"/>
        </w:rPr>
        <w:t xml:space="preserve">tienen distintos niveles de acceso a los recursos de humedales, los conocimientos sobre ellos y la información sobre su conservación y uso sostenible. Esto repercute en la gestión de los humedales y también en los derechos y usos tradicionales de sus productos y servicios. </w:t>
      </w:r>
    </w:p>
    <w:p w14:paraId="4290E1B4" w14:textId="77777777" w:rsidR="00751104" w:rsidRPr="0077568B" w:rsidRDefault="00751104" w:rsidP="00DA1EB3">
      <w:pPr>
        <w:rPr>
          <w:rFonts w:cstheme="minorHAnsi"/>
          <w:bCs/>
          <w:noProof/>
          <w:lang w:val="es-ES"/>
        </w:rPr>
      </w:pPr>
    </w:p>
    <w:p w14:paraId="4B2F7C13" w14:textId="62A2150A" w:rsidR="00751104" w:rsidRPr="0077568B" w:rsidRDefault="00751104" w:rsidP="00DA1EB3">
      <w:pPr>
        <w:rPr>
          <w:rFonts w:cstheme="minorHAnsi"/>
          <w:bCs/>
          <w:noProof/>
          <w:lang w:val="es-ES"/>
        </w:rPr>
      </w:pPr>
      <w:r w:rsidRPr="0077568B">
        <w:rPr>
          <w:rFonts w:cstheme="minorHAnsi"/>
          <w:bCs/>
          <w:noProof/>
          <w:lang w:val="es-ES"/>
        </w:rPr>
        <w:t>Se sigue ignorando y subestimando el papel de las mujeres</w:t>
      </w:r>
      <w:r w:rsidR="00D34D87" w:rsidRPr="0077568B">
        <w:rPr>
          <w:rFonts w:cstheme="minorHAnsi"/>
          <w:bCs/>
          <w:noProof/>
          <w:lang w:val="es-ES"/>
        </w:rPr>
        <w:t xml:space="preserve"> </w:t>
      </w:r>
      <w:r w:rsidRPr="0077568B">
        <w:rPr>
          <w:rFonts w:cstheme="minorHAnsi"/>
          <w:bCs/>
          <w:noProof/>
          <w:lang w:val="es-ES"/>
        </w:rPr>
        <w:t xml:space="preserve">en la gestión de los humedales, y las normas sociales y culturales suelen reforzar su participación desigual en la toma de decisiones. La recolección de agua suele recaer de forma desproporcionada </w:t>
      </w:r>
      <w:r w:rsidRPr="0077568B">
        <w:rPr>
          <w:rFonts w:cstheme="minorHAnsi"/>
          <w:noProof/>
          <w:lang w:val="es-ES"/>
        </w:rPr>
        <w:t xml:space="preserve">sobre las mujeres y niñas. La falta de disponibilidad de agua </w:t>
      </w:r>
      <w:r w:rsidRPr="0077568B">
        <w:rPr>
          <w:rFonts w:cstheme="minorHAnsi"/>
          <w:i/>
          <w:iCs/>
          <w:noProof/>
          <w:lang w:val="es-ES"/>
        </w:rPr>
        <w:t>in situ</w:t>
      </w:r>
      <w:r w:rsidRPr="0077568B">
        <w:rPr>
          <w:rFonts w:cstheme="minorHAnsi"/>
          <w:noProof/>
          <w:lang w:val="es-ES"/>
        </w:rPr>
        <w:t xml:space="preserve"> puede incrementar la vulnerabilidad a la violencia de mujeres y niñas ya que el desplazamiento a las fuentes de agua las expone al acoso y abuso sexual. En cambio, un mayor acceso al agua puede incrementar la asistencia a la escuela y la generación de ingresos, reduciendo las desigualdades de género y la pobreza.</w:t>
      </w:r>
    </w:p>
    <w:p w14:paraId="77B7BBE4" w14:textId="77777777" w:rsidR="00751104" w:rsidRPr="0077568B" w:rsidRDefault="00751104" w:rsidP="00DA1EB3">
      <w:pPr>
        <w:suppressAutoHyphens/>
        <w:rPr>
          <w:rFonts w:cstheme="minorHAnsi"/>
          <w:noProof/>
          <w:lang w:val="es-ES"/>
        </w:rPr>
      </w:pPr>
    </w:p>
    <w:p w14:paraId="5EB0159C" w14:textId="77777777" w:rsidR="00751104" w:rsidRPr="0077568B" w:rsidRDefault="00751104" w:rsidP="00DA1EB3">
      <w:pPr>
        <w:pStyle w:val="CommentText"/>
        <w:rPr>
          <w:rFonts w:cstheme="minorHAnsi"/>
          <w:noProof/>
          <w:color w:val="000000" w:themeColor="text1"/>
          <w:sz w:val="22"/>
          <w:szCs w:val="22"/>
          <w:lang w:val="es-ES"/>
        </w:rPr>
      </w:pPr>
      <w:r w:rsidRPr="0077568B">
        <w:rPr>
          <w:rFonts w:cstheme="minorHAnsi"/>
          <w:noProof/>
          <w:color w:val="000000" w:themeColor="text1"/>
          <w:sz w:val="22"/>
          <w:szCs w:val="22"/>
          <w:lang w:val="es-ES"/>
        </w:rPr>
        <w:t xml:space="preserve">En la Resolución XIII.18, </w:t>
      </w:r>
      <w:r w:rsidRPr="0077568B">
        <w:rPr>
          <w:rFonts w:cstheme="minorHAnsi"/>
          <w:i/>
          <w:iCs/>
          <w:noProof/>
          <w:color w:val="000000" w:themeColor="text1"/>
          <w:sz w:val="22"/>
          <w:szCs w:val="22"/>
          <w:lang w:val="es-ES"/>
        </w:rPr>
        <w:t>Los humedales y el género</w:t>
      </w:r>
      <w:r w:rsidRPr="0077568B">
        <w:rPr>
          <w:rFonts w:cstheme="minorHAnsi"/>
          <w:noProof/>
          <w:color w:val="000000" w:themeColor="text1"/>
          <w:sz w:val="22"/>
          <w:szCs w:val="22"/>
          <w:lang w:val="es-ES"/>
        </w:rPr>
        <w:t>, aprobada en la 13ª reunión de la Conferencia de las Partes Contratantes (COP13) en 2018, se alienta a las Partes a incorporar una perspectiva de género en su aplicación de la Convención y se pide que se elaboren orientaciones sobre el modo de integrar las cuestiones de género en la aplicación de la Convención. En los informes nacionales a la C</w:t>
      </w:r>
      <w:r w:rsidRPr="0077568B">
        <w:rPr>
          <w:rFonts w:cstheme="minorHAnsi"/>
          <w:bCs/>
          <w:noProof/>
          <w:color w:val="000000" w:themeColor="text1"/>
          <w:sz w:val="22"/>
          <w:szCs w:val="22"/>
          <w:lang w:val="es-ES"/>
        </w:rPr>
        <w:t xml:space="preserve">OP14 también se incluyó por primera vez información de las </w:t>
      </w:r>
      <w:r w:rsidRPr="0077568B">
        <w:rPr>
          <w:rFonts w:cstheme="minorHAnsi"/>
          <w:noProof/>
          <w:color w:val="000000" w:themeColor="text1"/>
          <w:sz w:val="22"/>
          <w:szCs w:val="22"/>
          <w:lang w:val="es-ES"/>
        </w:rPr>
        <w:t>Partes Contratantes sobre el equilibrio de género en las actividades relacionadas con los humedales.</w:t>
      </w:r>
    </w:p>
    <w:p w14:paraId="2439DE36" w14:textId="77777777" w:rsidR="00751104" w:rsidRPr="0077568B" w:rsidRDefault="00751104" w:rsidP="00DA1EB3">
      <w:pPr>
        <w:pStyle w:val="CommentText"/>
        <w:rPr>
          <w:rFonts w:eastAsia="Calibri" w:cstheme="minorHAnsi"/>
          <w:noProof/>
          <w:sz w:val="22"/>
          <w:szCs w:val="22"/>
          <w:lang w:val="es-ES"/>
        </w:rPr>
      </w:pPr>
    </w:p>
    <w:p w14:paraId="5B0E7D9B" w14:textId="77777777" w:rsidR="00751104" w:rsidRPr="0077568B" w:rsidRDefault="00751104" w:rsidP="00DA1EB3">
      <w:pPr>
        <w:pStyle w:val="CommentText"/>
        <w:rPr>
          <w:rFonts w:eastAsia="Calibri" w:cstheme="minorHAnsi"/>
          <w:noProof/>
          <w:sz w:val="22"/>
          <w:szCs w:val="22"/>
          <w:lang w:val="es-ES"/>
        </w:rPr>
      </w:pPr>
      <w:r w:rsidRPr="0077568B">
        <w:rPr>
          <w:rFonts w:eastAsia="Calibri" w:cstheme="minorHAnsi"/>
          <w:noProof/>
          <w:sz w:val="22"/>
          <w:szCs w:val="22"/>
          <w:lang w:val="es-ES"/>
        </w:rPr>
        <w:t xml:space="preserve">Se han publicado las “Directrices sobre la transversalización de género en la Convención de Ramsar sobre los Humedales” para proporcionar una serie de puntos de entrada operativos y prácticos clave con miras a mejorar la incorporación de la igualdad de género en la Convención. Las orientaciones que figuran a continuación presentan una vía para las Partes Contratantes que deseen incorporar de manera significativa las consideraciones de género en la aplicación de la Convención. </w:t>
      </w:r>
    </w:p>
    <w:p w14:paraId="0E13B131" w14:textId="77777777" w:rsidR="00D0021B" w:rsidRPr="0077568B" w:rsidRDefault="00D0021B" w:rsidP="00DA1EB3">
      <w:pPr>
        <w:rPr>
          <w:rFonts w:cstheme="minorHAnsi"/>
          <w:bCs/>
          <w:noProof/>
          <w:lang w:val="es-ES"/>
        </w:rPr>
      </w:pPr>
    </w:p>
    <w:p w14:paraId="647AA946" w14:textId="146C474E" w:rsidR="00751104" w:rsidRPr="0077568B" w:rsidRDefault="00751104" w:rsidP="00DA1EB3">
      <w:pPr>
        <w:pStyle w:val="paralevel1"/>
        <w:numPr>
          <w:ilvl w:val="0"/>
          <w:numId w:val="0"/>
        </w:numPr>
        <w:tabs>
          <w:tab w:val="left" w:pos="720"/>
        </w:tabs>
        <w:spacing w:after="0"/>
        <w:rPr>
          <w:rFonts w:asciiTheme="minorHAnsi" w:eastAsiaTheme="minorHAnsi" w:hAnsiTheme="minorHAnsi" w:cstheme="minorHAnsi"/>
          <w:b/>
          <w:noProof/>
          <w:sz w:val="22"/>
          <w:szCs w:val="22"/>
          <w:lang w:val="es-ES"/>
        </w:rPr>
      </w:pPr>
      <w:r w:rsidRPr="0077568B">
        <w:rPr>
          <w:rFonts w:asciiTheme="minorHAnsi" w:eastAsiaTheme="minorHAnsi" w:hAnsiTheme="minorHAnsi" w:cstheme="minorHAnsi"/>
          <w:b/>
          <w:noProof/>
          <w:sz w:val="22"/>
          <w:szCs w:val="22"/>
          <w:lang w:val="es-ES"/>
        </w:rPr>
        <w:t xml:space="preserve">Consideraciones generales que apoyan la ejecución del Cuarto Plan Estratégico: </w:t>
      </w:r>
    </w:p>
    <w:p w14:paraId="18F847D7" w14:textId="77777777" w:rsidR="00751104" w:rsidRPr="0077568B" w:rsidRDefault="00751104" w:rsidP="00DA1EB3">
      <w:pPr>
        <w:pStyle w:val="paralevel1"/>
        <w:numPr>
          <w:ilvl w:val="0"/>
          <w:numId w:val="0"/>
        </w:numPr>
        <w:tabs>
          <w:tab w:val="left" w:pos="720"/>
        </w:tabs>
        <w:spacing w:after="0"/>
        <w:rPr>
          <w:rFonts w:asciiTheme="minorHAnsi" w:eastAsiaTheme="minorHAnsi" w:hAnsiTheme="minorHAnsi" w:cstheme="minorHAnsi"/>
          <w:b/>
          <w:noProof/>
          <w:sz w:val="22"/>
          <w:szCs w:val="22"/>
          <w:lang w:val="es-ES"/>
        </w:rPr>
      </w:pPr>
    </w:p>
    <w:p w14:paraId="50BCC243" w14:textId="77777777" w:rsidR="00751104" w:rsidRPr="0077568B" w:rsidRDefault="00751104" w:rsidP="00DA1EB3">
      <w:pPr>
        <w:pStyle w:val="ListParagraph"/>
        <w:spacing w:after="0" w:line="240" w:lineRule="auto"/>
        <w:ind w:left="0"/>
        <w:rPr>
          <w:rFonts w:cstheme="minorHAnsi"/>
          <w:noProof/>
          <w:lang w:val="es-ES"/>
        </w:rPr>
      </w:pPr>
      <w:r w:rsidRPr="0077568B">
        <w:rPr>
          <w:rFonts w:cstheme="minorHAnsi"/>
          <w:noProof/>
          <w:lang w:val="es-ES"/>
        </w:rPr>
        <w:t xml:space="preserve">Se alienta a las Partes Contratantes a ejecutar el Plan Estratégico a escala nacional y regional mediante la elaboración de políticas nacionales, estrategias, planes de acción, proyectos y programas sobre humedales. </w:t>
      </w:r>
    </w:p>
    <w:p w14:paraId="74756A64" w14:textId="77777777" w:rsidR="00751104" w:rsidRPr="0077568B" w:rsidRDefault="00751104" w:rsidP="00DA1EB3">
      <w:pPr>
        <w:pStyle w:val="ListParagraph"/>
        <w:spacing w:after="0" w:line="240" w:lineRule="auto"/>
        <w:ind w:left="0"/>
        <w:rPr>
          <w:rFonts w:cstheme="minorHAnsi"/>
          <w:noProof/>
          <w:lang w:val="es-ES"/>
        </w:rPr>
      </w:pPr>
    </w:p>
    <w:p w14:paraId="577F674D" w14:textId="77777777" w:rsidR="00751104" w:rsidRPr="0077568B" w:rsidRDefault="00751104" w:rsidP="00DA1EB3">
      <w:pPr>
        <w:pStyle w:val="ListParagraph"/>
        <w:spacing w:after="0" w:line="240" w:lineRule="auto"/>
        <w:ind w:left="0"/>
        <w:rPr>
          <w:rFonts w:cstheme="minorHAnsi"/>
          <w:noProof/>
          <w:lang w:val="es-ES"/>
        </w:rPr>
      </w:pPr>
      <w:r w:rsidRPr="0077568B">
        <w:rPr>
          <w:rFonts w:cstheme="minorHAnsi"/>
          <w:noProof/>
          <w:lang w:val="es-ES"/>
        </w:rPr>
        <w:t xml:space="preserve">Estos instrumentos deberían tener en cuenta intrínsecamente enfoques transversales, sensibles al género y basados en los derechos humanos para promover la conservación y el uso racional de los humedales a fin de garantizar lo siguiente: </w:t>
      </w:r>
    </w:p>
    <w:p w14:paraId="4DAAE13E" w14:textId="77777777" w:rsidR="00751104" w:rsidRPr="0077568B" w:rsidRDefault="00751104" w:rsidP="00DA1EB3">
      <w:pPr>
        <w:pStyle w:val="ListParagraph"/>
        <w:spacing w:after="0" w:line="240" w:lineRule="auto"/>
        <w:ind w:left="0"/>
        <w:rPr>
          <w:rFonts w:cstheme="minorHAnsi"/>
          <w:noProof/>
          <w:lang w:val="es-ES"/>
        </w:rPr>
      </w:pPr>
    </w:p>
    <w:p w14:paraId="2F8FF36C" w14:textId="77777777" w:rsidR="00751104" w:rsidRPr="0077568B" w:rsidRDefault="00751104" w:rsidP="00DA1EB3">
      <w:pPr>
        <w:pStyle w:val="ListParagraph"/>
        <w:numPr>
          <w:ilvl w:val="0"/>
          <w:numId w:val="23"/>
        </w:numPr>
        <w:suppressAutoHyphens/>
        <w:spacing w:after="0" w:line="240" w:lineRule="auto"/>
        <w:ind w:left="284" w:hanging="284"/>
        <w:contextualSpacing w:val="0"/>
        <w:rPr>
          <w:rFonts w:cstheme="minorHAnsi"/>
          <w:noProof/>
          <w:lang w:val="es-ES"/>
        </w:rPr>
      </w:pPr>
      <w:r w:rsidRPr="0077568B">
        <w:rPr>
          <w:rFonts w:cstheme="minorHAnsi"/>
          <w:noProof/>
          <w:lang w:val="es-ES"/>
        </w:rPr>
        <w:t>Una gobernanza centrada en las personas que respete a las mujeres en toda su diversidad y a aquellas que viven al margen del desarrollo mediante el acceso y control plenos en relación con activos valiosos, como la propiedad de la tierra, los derechos y la autonomía financiera.</w:t>
      </w:r>
    </w:p>
    <w:p w14:paraId="407A3F4A" w14:textId="77777777" w:rsidR="00751104" w:rsidRPr="0077568B" w:rsidRDefault="00751104" w:rsidP="00D34D87">
      <w:pPr>
        <w:suppressAutoHyphens/>
        <w:rPr>
          <w:rFonts w:cstheme="minorHAnsi"/>
          <w:noProof/>
          <w:lang w:val="es-ES"/>
        </w:rPr>
      </w:pPr>
    </w:p>
    <w:p w14:paraId="2CDAD78B" w14:textId="67E510AA" w:rsidR="00751104" w:rsidRPr="0077568B" w:rsidRDefault="00751104" w:rsidP="00D34D87">
      <w:pPr>
        <w:pStyle w:val="ListParagraph"/>
        <w:numPr>
          <w:ilvl w:val="0"/>
          <w:numId w:val="23"/>
        </w:numPr>
        <w:suppressAutoHyphens/>
        <w:spacing w:after="0" w:line="240" w:lineRule="auto"/>
        <w:ind w:left="284" w:hanging="284"/>
        <w:contextualSpacing w:val="0"/>
        <w:rPr>
          <w:rFonts w:cstheme="minorHAnsi"/>
          <w:noProof/>
          <w:lang w:val="es-ES"/>
        </w:rPr>
      </w:pPr>
      <w:r w:rsidRPr="0077568B">
        <w:rPr>
          <w:rFonts w:cstheme="minorHAnsi"/>
          <w:noProof/>
          <w:lang w:val="es-ES"/>
        </w:rPr>
        <w:t>La garantía de un acceso a los recursos naturales y un control de estos que sean igualitarios para las mujeres</w:t>
      </w:r>
      <w:r w:rsidR="00D34D87" w:rsidRPr="0077568B">
        <w:rPr>
          <w:rFonts w:cstheme="minorHAnsi"/>
          <w:noProof/>
          <w:lang w:val="es-ES"/>
        </w:rPr>
        <w:t xml:space="preserve"> y las jóvenes </w:t>
      </w:r>
      <w:r w:rsidR="00D34D87" w:rsidRPr="0077568B">
        <w:rPr>
          <w:rFonts w:cstheme="minorHAnsi"/>
          <w:noProof/>
          <w:u w:val="single"/>
          <w:lang w:val="es-ES"/>
        </w:rPr>
        <w:t>en toda su diversidad</w:t>
      </w:r>
      <w:r w:rsidR="00D34D87" w:rsidRPr="0077568B">
        <w:rPr>
          <w:rFonts w:cstheme="minorHAnsi"/>
          <w:noProof/>
          <w:lang w:val="es-ES"/>
        </w:rPr>
        <w:t xml:space="preserve"> </w:t>
      </w:r>
      <w:r w:rsidRPr="0077568B">
        <w:rPr>
          <w:rFonts w:cstheme="minorHAnsi"/>
          <w:noProof/>
          <w:lang w:val="es-ES"/>
        </w:rPr>
        <w:t>de forma que estas puedan gestionar y proteger sus medios de vida.</w:t>
      </w:r>
    </w:p>
    <w:p w14:paraId="628BCB48" w14:textId="77777777" w:rsidR="00751104" w:rsidRPr="0077568B" w:rsidRDefault="00751104" w:rsidP="00DA1EB3">
      <w:pPr>
        <w:pStyle w:val="ListParagraph"/>
        <w:spacing w:after="0" w:line="240" w:lineRule="auto"/>
        <w:rPr>
          <w:rFonts w:cstheme="minorHAnsi"/>
          <w:noProof/>
          <w:lang w:val="es-ES"/>
        </w:rPr>
      </w:pPr>
    </w:p>
    <w:p w14:paraId="2802768E" w14:textId="192FE8DE" w:rsidR="00751104" w:rsidRPr="0077568B" w:rsidRDefault="00751104" w:rsidP="00DA1EB3">
      <w:pPr>
        <w:pStyle w:val="ListParagraph"/>
        <w:numPr>
          <w:ilvl w:val="0"/>
          <w:numId w:val="23"/>
        </w:numPr>
        <w:suppressAutoHyphens/>
        <w:spacing w:after="0" w:line="240" w:lineRule="auto"/>
        <w:ind w:left="284" w:hanging="284"/>
        <w:contextualSpacing w:val="0"/>
        <w:rPr>
          <w:rFonts w:cstheme="minorHAnsi"/>
          <w:noProof/>
          <w:lang w:val="es-ES"/>
        </w:rPr>
      </w:pPr>
      <w:r w:rsidRPr="0077568B">
        <w:rPr>
          <w:rFonts w:cstheme="minorHAnsi"/>
          <w:noProof/>
          <w:lang w:val="es-ES"/>
        </w:rPr>
        <w:t>El reconocimiento de las mujeres</w:t>
      </w:r>
      <w:r w:rsidR="00D34D87" w:rsidRPr="0077568B">
        <w:rPr>
          <w:rFonts w:cstheme="minorHAnsi"/>
          <w:noProof/>
          <w:lang w:val="es-ES"/>
        </w:rPr>
        <w:t xml:space="preserve"> y las jóvenes</w:t>
      </w:r>
      <w:r w:rsidRPr="0077568B">
        <w:rPr>
          <w:rFonts w:cstheme="minorHAnsi"/>
          <w:noProof/>
          <w:lang w:val="es-ES"/>
        </w:rPr>
        <w:t xml:space="preserve"> </w:t>
      </w:r>
      <w:r w:rsidR="002E3148" w:rsidRPr="0077568B">
        <w:rPr>
          <w:rFonts w:cstheme="minorHAnsi"/>
          <w:noProof/>
          <w:u w:val="single"/>
          <w:lang w:val="es-ES"/>
        </w:rPr>
        <w:t>en toda su diversidad</w:t>
      </w:r>
      <w:r w:rsidR="00E13C80" w:rsidRPr="0077568B">
        <w:rPr>
          <w:rFonts w:cstheme="minorHAnsi"/>
          <w:noProof/>
          <w:lang w:val="es-ES"/>
        </w:rPr>
        <w:t xml:space="preserve"> </w:t>
      </w:r>
      <w:r w:rsidRPr="0077568B">
        <w:rPr>
          <w:rFonts w:cstheme="minorHAnsi"/>
          <w:noProof/>
          <w:lang w:val="es-ES"/>
        </w:rPr>
        <w:t>como responsables de la toma de decisiones y líderes que participan en los procesos de toma de decisiones a todos los niveles sobre el uso racional y la conservación de los humedales.</w:t>
      </w:r>
    </w:p>
    <w:p w14:paraId="521E601A" w14:textId="77777777" w:rsidR="00D0021B" w:rsidRPr="0077568B" w:rsidRDefault="00D0021B" w:rsidP="00DA1EB3">
      <w:pPr>
        <w:ind w:hanging="426"/>
        <w:rPr>
          <w:rFonts w:cstheme="minorHAnsi"/>
          <w:noProof/>
          <w:lang w:val="es-ES"/>
        </w:rPr>
      </w:pPr>
      <w:r w:rsidRPr="0077568B">
        <w:rPr>
          <w:rFonts w:cstheme="minorHAnsi"/>
          <w:noProof/>
          <w:lang w:val="es-ES"/>
        </w:rPr>
        <w:br w:type="page"/>
      </w:r>
    </w:p>
    <w:p w14:paraId="084F05AC" w14:textId="072CA48E" w:rsidR="00751104" w:rsidRPr="0077568B" w:rsidRDefault="00751104" w:rsidP="00DA1EB3">
      <w:pPr>
        <w:pStyle w:val="ListParagraph"/>
        <w:spacing w:after="0" w:line="240" w:lineRule="auto"/>
        <w:ind w:left="0"/>
        <w:rPr>
          <w:b/>
          <w:bCs/>
          <w:noProof/>
          <w:szCs w:val="24"/>
          <w:lang w:val="es-ES"/>
        </w:rPr>
      </w:pPr>
      <w:r w:rsidRPr="0077568B">
        <w:rPr>
          <w:b/>
          <w:bCs/>
          <w:noProof/>
          <w:szCs w:val="24"/>
          <w:lang w:val="es-ES"/>
        </w:rPr>
        <w:lastRenderedPageBreak/>
        <w:t xml:space="preserve">Incorporación de las consideraciones de género en el Plan Estratégico </w:t>
      </w:r>
    </w:p>
    <w:p w14:paraId="56B19D86" w14:textId="77777777" w:rsidR="003D01F4" w:rsidRPr="0077568B" w:rsidRDefault="003D01F4" w:rsidP="00DA1EB3">
      <w:pPr>
        <w:pStyle w:val="ListParagraph"/>
        <w:spacing w:after="0" w:line="240" w:lineRule="auto"/>
        <w:ind w:left="0"/>
        <w:rPr>
          <w:b/>
          <w:bCs/>
          <w:noProof/>
          <w:szCs w:val="24"/>
          <w:lang w:val="es-ES"/>
        </w:rPr>
      </w:pPr>
    </w:p>
    <w:tbl>
      <w:tblPr>
        <w:tblStyle w:val="TableGrid"/>
        <w:tblW w:w="9067" w:type="dxa"/>
        <w:tblLook w:val="04A0" w:firstRow="1" w:lastRow="0" w:firstColumn="1" w:lastColumn="0" w:noHBand="0" w:noVBand="1"/>
      </w:tblPr>
      <w:tblGrid>
        <w:gridCol w:w="2122"/>
        <w:gridCol w:w="3402"/>
        <w:gridCol w:w="3543"/>
      </w:tblGrid>
      <w:tr w:rsidR="003D01F4" w:rsidRPr="0077568B" w14:paraId="03A094B2" w14:textId="77777777" w:rsidTr="00DA1EB3">
        <w:trPr>
          <w:tblHeader/>
        </w:trPr>
        <w:tc>
          <w:tcPr>
            <w:tcW w:w="2122" w:type="dxa"/>
            <w:shd w:val="clear" w:color="auto" w:fill="auto"/>
          </w:tcPr>
          <w:p w14:paraId="651F1173"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77568B">
              <w:rPr>
                <w:rFonts w:asciiTheme="minorHAnsi" w:eastAsiaTheme="minorHAnsi" w:hAnsiTheme="minorHAnsi" w:cstheme="minorHAnsi"/>
                <w:b/>
                <w:noProof/>
                <w:lang w:val="es-ES"/>
              </w:rPr>
              <w:t>Objetivos</w:t>
            </w:r>
          </w:p>
        </w:tc>
        <w:tc>
          <w:tcPr>
            <w:tcW w:w="3402" w:type="dxa"/>
            <w:shd w:val="clear" w:color="auto" w:fill="auto"/>
          </w:tcPr>
          <w:p w14:paraId="73ED5F9C"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77568B">
              <w:rPr>
                <w:rFonts w:asciiTheme="minorHAnsi" w:eastAsiaTheme="minorHAnsi" w:hAnsiTheme="minorHAnsi" w:cstheme="minorHAnsi"/>
                <w:b/>
                <w:noProof/>
                <w:lang w:val="es-ES"/>
              </w:rPr>
              <w:t>Consideraciones de género</w:t>
            </w:r>
          </w:p>
        </w:tc>
        <w:tc>
          <w:tcPr>
            <w:tcW w:w="3543" w:type="dxa"/>
            <w:shd w:val="clear" w:color="auto" w:fill="auto"/>
          </w:tcPr>
          <w:p w14:paraId="7479E705"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77568B">
              <w:rPr>
                <w:rFonts w:asciiTheme="minorHAnsi" w:eastAsiaTheme="minorHAnsi" w:hAnsiTheme="minorHAnsi" w:cstheme="minorHAnsi"/>
                <w:b/>
                <w:noProof/>
                <w:lang w:val="es-ES"/>
              </w:rPr>
              <w:t>Principales metas</w:t>
            </w:r>
          </w:p>
        </w:tc>
      </w:tr>
      <w:tr w:rsidR="003D01F4" w:rsidRPr="0077568B" w14:paraId="694F609C" w14:textId="77777777" w:rsidTr="00DA1EB3">
        <w:tc>
          <w:tcPr>
            <w:tcW w:w="2122" w:type="dxa"/>
          </w:tcPr>
          <w:p w14:paraId="367C882A" w14:textId="22B06E77" w:rsidR="003D01F4" w:rsidRPr="0077568B" w:rsidRDefault="003D01F4" w:rsidP="00DA1EB3">
            <w:pPr>
              <w:pStyle w:val="NormalWeb"/>
              <w:shd w:val="clear" w:color="auto" w:fill="FFFFFF"/>
              <w:rPr>
                <w:rFonts w:asciiTheme="minorHAnsi" w:eastAsiaTheme="minorHAnsi" w:hAnsiTheme="minorHAnsi" w:cstheme="minorHAnsi"/>
                <w:b/>
                <w:noProof/>
                <w:lang w:val="es-ES"/>
              </w:rPr>
            </w:pPr>
            <w:r w:rsidRPr="0077568B">
              <w:rPr>
                <w:rFonts w:asciiTheme="minorHAnsi" w:eastAsiaTheme="minorHAnsi" w:hAnsiTheme="minorHAnsi" w:cstheme="minorHAnsi"/>
                <w:b/>
                <w:noProof/>
                <w:sz w:val="20"/>
                <w:szCs w:val="20"/>
                <w:lang w:val="es-ES"/>
              </w:rPr>
              <w:t>Objetivo 1: H</w:t>
            </w:r>
            <w:r w:rsidRPr="0077568B">
              <w:rPr>
                <w:rFonts w:ascii="Calibri" w:hAnsi="Calibri" w:cs="Calibri"/>
                <w:b/>
                <w:bCs/>
                <w:noProof/>
                <w:sz w:val="20"/>
                <w:szCs w:val="20"/>
                <w:lang w:val="es-ES"/>
              </w:rPr>
              <w:t xml:space="preserve">acer frente a los factores que impulsan la pérdida y degradación de los humedales </w:t>
            </w:r>
          </w:p>
        </w:tc>
        <w:tc>
          <w:tcPr>
            <w:tcW w:w="3402" w:type="dxa"/>
          </w:tcPr>
          <w:p w14:paraId="62808D05"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77568B">
              <w:rPr>
                <w:rFonts w:asciiTheme="minorHAnsi" w:eastAsiaTheme="minorHAnsi" w:hAnsiTheme="minorHAnsi" w:cstheme="minorHAnsi"/>
                <w:i/>
                <w:iCs/>
                <w:noProof/>
                <w:lang w:val="es-ES"/>
              </w:rPr>
              <w:t xml:space="preserve">Las Partes reconocen que los factores impulsores de la degradación de los humedales se solapan con el género y otras dimensiones sociales y tienen un impacto sobre ellos. </w:t>
            </w:r>
          </w:p>
        </w:tc>
        <w:tc>
          <w:tcPr>
            <w:tcW w:w="3543" w:type="dxa"/>
          </w:tcPr>
          <w:p w14:paraId="78AEE9E1"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r>
      <w:tr w:rsidR="003D01F4" w:rsidRPr="0077568B" w14:paraId="6AA42547" w14:textId="77777777" w:rsidTr="00DA1EB3">
        <w:tc>
          <w:tcPr>
            <w:tcW w:w="2122" w:type="dxa"/>
          </w:tcPr>
          <w:p w14:paraId="253A34E3" w14:textId="77777777" w:rsidR="003D01F4" w:rsidRPr="0077568B" w:rsidRDefault="003D01F4" w:rsidP="00DA1EB3">
            <w:pPr>
              <w:pStyle w:val="NormalWeb"/>
              <w:rPr>
                <w:rFonts w:asciiTheme="minorHAnsi" w:hAnsiTheme="minorHAnsi" w:cstheme="minorHAnsi"/>
                <w:noProof/>
                <w:sz w:val="20"/>
                <w:szCs w:val="20"/>
                <w:lang w:val="es-ES"/>
              </w:rPr>
            </w:pPr>
            <w:r w:rsidRPr="0077568B">
              <w:rPr>
                <w:rFonts w:asciiTheme="minorHAnsi" w:hAnsiTheme="minorHAnsi" w:cstheme="minorHAnsi"/>
                <w:b/>
                <w:noProof/>
                <w:sz w:val="20"/>
                <w:szCs w:val="20"/>
                <w:lang w:val="es-ES"/>
              </w:rPr>
              <w:t xml:space="preserve">Objetivo 2: </w:t>
            </w:r>
            <w:r w:rsidRPr="0077568B">
              <w:rPr>
                <w:rFonts w:asciiTheme="minorHAnsi" w:hAnsiTheme="minorHAnsi" w:cstheme="minorHAnsi"/>
                <w:b/>
                <w:bCs/>
                <w:noProof/>
                <w:sz w:val="20"/>
                <w:szCs w:val="20"/>
                <w:lang w:val="es-ES"/>
              </w:rPr>
              <w:t xml:space="preserve">Llevar a cabo una conservación y un manejo eficaces de la red de sitios Ramsar </w:t>
            </w:r>
          </w:p>
          <w:p w14:paraId="450BB7BD"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c>
          <w:tcPr>
            <w:tcW w:w="3402" w:type="dxa"/>
          </w:tcPr>
          <w:p w14:paraId="7BED5F87" w14:textId="4C8D0232"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noProof/>
                <w:lang w:val="es-ES"/>
              </w:rPr>
            </w:pPr>
            <w:r w:rsidRPr="0077568B">
              <w:rPr>
                <w:rFonts w:asciiTheme="minorHAnsi" w:eastAsiaTheme="minorHAnsi" w:hAnsiTheme="minorHAnsi" w:cstheme="minorHAnsi"/>
                <w:i/>
                <w:iCs/>
                <w:noProof/>
                <w:lang w:val="es-ES"/>
              </w:rPr>
              <w:t>Las Partes se comprometen a proteger y gestionar de manera eficaz los sitios Ramsar existentes y permitir la participación plena y efectiva de los interesados, incluidas las mujeres, en toda su diversidad, con representación de la juventud y los pueblos indígenas y comunidades locales.</w:t>
            </w:r>
          </w:p>
        </w:tc>
        <w:tc>
          <w:tcPr>
            <w:tcW w:w="3543" w:type="dxa"/>
          </w:tcPr>
          <w:p w14:paraId="5C76CA88"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noProof/>
                <w:lang w:val="es-ES"/>
              </w:rPr>
            </w:pPr>
            <w:r w:rsidRPr="0077568B">
              <w:rPr>
                <w:rFonts w:asciiTheme="minorHAnsi" w:eastAsiaTheme="minorHAnsi" w:hAnsiTheme="minorHAnsi" w:cstheme="minorHAnsi"/>
                <w:noProof/>
                <w:lang w:val="es-ES"/>
              </w:rPr>
              <w:t xml:space="preserve">Meta 5.7 </w:t>
            </w:r>
          </w:p>
          <w:p w14:paraId="5444B36C"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77568B">
              <w:rPr>
                <w:rFonts w:asciiTheme="minorHAnsi" w:eastAsiaTheme="minorHAnsi" w:hAnsiTheme="minorHAnsi" w:cstheme="minorHAnsi"/>
                <w:noProof/>
                <w:lang w:val="es-ES"/>
              </w:rPr>
              <w:t xml:space="preserve">Cuántos </w:t>
            </w:r>
            <w:r w:rsidRPr="0077568B">
              <w:rPr>
                <w:rFonts w:asciiTheme="minorHAnsi" w:eastAsiaTheme="minorHAnsi" w:hAnsiTheme="minorHAnsi" w:cstheme="minorHAnsi"/>
                <w:noProof/>
                <w:color w:val="000000" w:themeColor="text1"/>
                <w:lang w:val="es-ES"/>
              </w:rPr>
              <w:t xml:space="preserve">sitios Ramsar disponen de comités sectoriales de </w:t>
            </w:r>
            <w:r w:rsidRPr="0077568B">
              <w:rPr>
                <w:rFonts w:asciiTheme="minorHAnsi" w:eastAsiaTheme="minorHAnsi" w:hAnsiTheme="minorHAnsi" w:cstheme="minorHAnsi"/>
                <w:noProof/>
                <w:lang w:val="es-ES"/>
              </w:rPr>
              <w:t>gestión que permitan la toma de decisiones participativa e inclusiva con las mujeres, en toda su diversidad, con representación de la juventud y los pueblos indígenas.</w:t>
            </w:r>
          </w:p>
        </w:tc>
      </w:tr>
      <w:tr w:rsidR="003D01F4" w:rsidRPr="0077568B" w14:paraId="5EFDDFB4" w14:textId="77777777" w:rsidTr="00DA1EB3">
        <w:tc>
          <w:tcPr>
            <w:tcW w:w="2122" w:type="dxa"/>
          </w:tcPr>
          <w:p w14:paraId="3636F5FA" w14:textId="77777777" w:rsidR="003D01F4" w:rsidRPr="0077568B" w:rsidRDefault="003D01F4" w:rsidP="00DA1EB3">
            <w:pPr>
              <w:rPr>
                <w:rFonts w:cstheme="minorHAnsi"/>
                <w:b/>
                <w:noProof/>
                <w:sz w:val="20"/>
                <w:szCs w:val="20"/>
                <w:lang w:val="es-ES"/>
              </w:rPr>
            </w:pPr>
            <w:r w:rsidRPr="0077568B">
              <w:rPr>
                <w:rFonts w:cstheme="minorHAnsi"/>
                <w:b/>
                <w:noProof/>
                <w:sz w:val="20"/>
                <w:szCs w:val="20"/>
                <w:lang w:val="es-ES"/>
              </w:rPr>
              <w:t>Objetivo 3: Realizar un uso racional de todos los humedales</w:t>
            </w:r>
          </w:p>
        </w:tc>
        <w:tc>
          <w:tcPr>
            <w:tcW w:w="3402" w:type="dxa"/>
          </w:tcPr>
          <w:p w14:paraId="758741D9" w14:textId="77777777" w:rsidR="003D01F4" w:rsidRPr="0077568B" w:rsidRDefault="003D01F4" w:rsidP="00DA1EB3">
            <w:pPr>
              <w:rPr>
                <w:rFonts w:cstheme="minorHAnsi"/>
                <w:noProof/>
                <w:sz w:val="20"/>
                <w:szCs w:val="20"/>
                <w:lang w:val="es-ES"/>
              </w:rPr>
            </w:pPr>
            <w:r w:rsidRPr="0077568B">
              <w:rPr>
                <w:rFonts w:cstheme="minorHAnsi"/>
                <w:i/>
                <w:iCs/>
                <w:noProof/>
                <w:sz w:val="20"/>
                <w:szCs w:val="20"/>
                <w:lang w:val="es-ES"/>
              </w:rPr>
              <w:t>Las Partes se ocupan de todos los humedales y no solo de los que están incluidos en la red de sitios Ramsar. La incorporación de especificaciones de género en sectores muy diversos y con un amplio abanico de actores contribuirá a garantizar el éxito de este esfuerzo</w:t>
            </w:r>
            <w:r w:rsidRPr="0077568B">
              <w:rPr>
                <w:rFonts w:cstheme="minorHAnsi"/>
                <w:noProof/>
                <w:sz w:val="20"/>
                <w:szCs w:val="20"/>
                <w:lang w:val="es-ES"/>
              </w:rPr>
              <w:t>.</w:t>
            </w:r>
          </w:p>
          <w:p w14:paraId="60F60D5A"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c>
          <w:tcPr>
            <w:tcW w:w="3543" w:type="dxa"/>
          </w:tcPr>
          <w:p w14:paraId="5A6B28B5" w14:textId="77777777" w:rsidR="003D01F4" w:rsidRPr="0077568B" w:rsidRDefault="003D01F4" w:rsidP="00DA1EB3">
            <w:pPr>
              <w:pStyle w:val="NormalWeb"/>
              <w:spacing w:before="0" w:beforeAutospacing="0" w:after="0" w:afterAutospacing="0" w:line="240" w:lineRule="atLeast"/>
              <w:rPr>
                <w:rFonts w:asciiTheme="minorHAnsi" w:eastAsiaTheme="minorHAnsi" w:hAnsiTheme="minorHAnsi" w:cstheme="minorHAnsi"/>
                <w:noProof/>
                <w:sz w:val="20"/>
                <w:szCs w:val="20"/>
                <w:lang w:val="es-ES" w:eastAsia="en-US"/>
              </w:rPr>
            </w:pPr>
            <w:r w:rsidRPr="0077568B">
              <w:rPr>
                <w:rFonts w:asciiTheme="minorHAnsi" w:eastAsiaTheme="minorHAnsi" w:hAnsiTheme="minorHAnsi" w:cstheme="minorHAnsi"/>
                <w:noProof/>
                <w:sz w:val="20"/>
                <w:szCs w:val="20"/>
                <w:lang w:val="es-ES" w:eastAsia="en-US"/>
              </w:rPr>
              <w:t xml:space="preserve">Meta 10: </w:t>
            </w:r>
          </w:p>
          <w:p w14:paraId="5C05A0FD" w14:textId="1EA2AD88" w:rsidR="003D01F4" w:rsidRPr="0077568B" w:rsidRDefault="003D01F4" w:rsidP="00CA3DE5">
            <w:pPr>
              <w:pStyle w:val="NormalWeb"/>
              <w:spacing w:before="0" w:beforeAutospacing="0" w:after="0" w:afterAutospacing="0" w:line="240" w:lineRule="atLeast"/>
              <w:rPr>
                <w:rFonts w:asciiTheme="minorHAnsi" w:eastAsiaTheme="minorHAnsi" w:hAnsiTheme="minorHAnsi" w:cstheme="minorHAnsi"/>
                <w:noProof/>
                <w:sz w:val="20"/>
                <w:szCs w:val="20"/>
                <w:lang w:val="es-ES" w:eastAsia="en-US"/>
              </w:rPr>
            </w:pPr>
            <w:r w:rsidRPr="0077568B">
              <w:rPr>
                <w:rFonts w:asciiTheme="minorHAnsi" w:eastAsiaTheme="minorHAnsi" w:hAnsiTheme="minorHAnsi" w:cstheme="minorHAnsi"/>
                <w:noProof/>
                <w:sz w:val="20"/>
                <w:szCs w:val="20"/>
                <w:lang w:val="es-ES" w:eastAsia="en-US"/>
              </w:rPr>
              <w:t>El conocimiento tradicional, las innovaciones y las prácticas de los pueblos indígenas y las comunidades locales</w:t>
            </w:r>
            <w:r w:rsidRPr="0077568B">
              <w:rPr>
                <w:rFonts w:ascii="Calibri" w:hAnsi="Calibri" w:cs="Calibri"/>
                <w:noProof/>
                <w:sz w:val="20"/>
                <w:szCs w:val="20"/>
                <w:lang w:val="es-ES"/>
              </w:rPr>
              <w:t xml:space="preserve"> relevantes</w:t>
            </w:r>
            <w:r w:rsidR="00B15CA5" w:rsidRPr="0077568B">
              <w:rPr>
                <w:rFonts w:ascii="Calibri" w:hAnsi="Calibri" w:cs="Calibri"/>
                <w:noProof/>
                <w:sz w:val="20"/>
                <w:szCs w:val="20"/>
                <w:lang w:val="es-ES"/>
              </w:rPr>
              <w:t>, especialmente los de las mujeres</w:t>
            </w:r>
            <w:r w:rsidR="007F19E1" w:rsidRPr="0077568B">
              <w:rPr>
                <w:rFonts w:ascii="Calibri" w:hAnsi="Calibri" w:cs="Calibri"/>
                <w:noProof/>
                <w:sz w:val="20"/>
                <w:szCs w:val="20"/>
                <w:lang w:val="es-ES"/>
              </w:rPr>
              <w:t xml:space="preserve"> </w:t>
            </w:r>
            <w:bookmarkStart w:id="1" w:name="_GoBack"/>
            <w:bookmarkEnd w:id="1"/>
            <w:r w:rsidR="007F19E1" w:rsidRPr="0077568B">
              <w:rPr>
                <w:rFonts w:ascii="Calibri" w:hAnsi="Calibri" w:cs="Calibri"/>
                <w:noProof/>
                <w:sz w:val="20"/>
                <w:szCs w:val="20"/>
                <w:u w:val="single"/>
                <w:lang w:val="es-ES"/>
              </w:rPr>
              <w:t>en toda su diversidad</w:t>
            </w:r>
            <w:r w:rsidR="007F19E1" w:rsidRPr="0077568B">
              <w:rPr>
                <w:rFonts w:ascii="Calibri" w:hAnsi="Calibri" w:cs="Calibri"/>
                <w:noProof/>
                <w:sz w:val="20"/>
                <w:szCs w:val="20"/>
                <w:lang w:val="es-ES"/>
              </w:rPr>
              <w:t>,</w:t>
            </w:r>
            <w:r w:rsidRPr="0077568B">
              <w:rPr>
                <w:rFonts w:ascii="Calibri" w:hAnsi="Calibri" w:cs="Calibri"/>
                <w:noProof/>
                <w:sz w:val="20"/>
                <w:szCs w:val="20"/>
                <w:lang w:val="es-ES"/>
              </w:rPr>
              <w:t xml:space="preserve">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r>
      <w:tr w:rsidR="003D01F4" w:rsidRPr="0077568B" w14:paraId="726D8923" w14:textId="77777777" w:rsidTr="00DA1EB3">
        <w:tc>
          <w:tcPr>
            <w:tcW w:w="2122" w:type="dxa"/>
          </w:tcPr>
          <w:p w14:paraId="4C7BD568" w14:textId="77777777" w:rsidR="003D01F4" w:rsidRPr="0077568B" w:rsidRDefault="003D01F4" w:rsidP="00DA1EB3">
            <w:pPr>
              <w:rPr>
                <w:rFonts w:cstheme="minorHAnsi"/>
                <w:b/>
                <w:noProof/>
                <w:sz w:val="20"/>
                <w:szCs w:val="20"/>
                <w:lang w:val="es-ES"/>
              </w:rPr>
            </w:pPr>
            <w:r w:rsidRPr="0077568B">
              <w:rPr>
                <w:rFonts w:cstheme="minorHAnsi"/>
                <w:b/>
                <w:noProof/>
                <w:sz w:val="20"/>
                <w:szCs w:val="20"/>
                <w:lang w:val="es-ES"/>
              </w:rPr>
              <w:t>Objetivo 4: Mejorar la aplicación</w:t>
            </w:r>
          </w:p>
          <w:p w14:paraId="45B6C887"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p w14:paraId="1037C367"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77568B">
              <w:rPr>
                <w:rFonts w:asciiTheme="minorHAnsi" w:hAnsiTheme="minorHAnsi" w:cstheme="minorHAnsi"/>
                <w:noProof/>
                <w:lang w:val="es-ES"/>
              </w:rPr>
              <w:t>El párrafo 11 de la Resolución XIII.18 alienta “...a examinar la manera en que estén representados los géneros en los materiales de comunicación sobre humedales a fin de promover una representación igualitaria y equitativa”.</w:t>
            </w:r>
          </w:p>
        </w:tc>
        <w:tc>
          <w:tcPr>
            <w:tcW w:w="3402" w:type="dxa"/>
          </w:tcPr>
          <w:p w14:paraId="46501086" w14:textId="77777777" w:rsidR="003D01F4" w:rsidRPr="0077568B" w:rsidRDefault="003D01F4" w:rsidP="00DA1EB3">
            <w:pPr>
              <w:rPr>
                <w:rFonts w:cstheme="minorHAnsi"/>
                <w:i/>
                <w:iCs/>
                <w:noProof/>
                <w:sz w:val="20"/>
                <w:szCs w:val="20"/>
                <w:lang w:val="es-ES"/>
              </w:rPr>
            </w:pPr>
            <w:r w:rsidRPr="0077568B">
              <w:rPr>
                <w:rFonts w:cstheme="minorHAnsi"/>
                <w:i/>
                <w:iCs/>
                <w:noProof/>
                <w:sz w:val="20"/>
                <w:szCs w:val="20"/>
                <w:lang w:val="es-ES"/>
              </w:rPr>
              <w:t>Las Partes se aseguran de que las estrategias y los materiales de comunicación reflejen las percepciones, necesidades y perspectivas de las mujeres. Debe prestarse una atención particular a la selección de los canales de comunicación que sean más adecuados para las mujeres.</w:t>
            </w:r>
          </w:p>
          <w:p w14:paraId="0896B0CF" w14:textId="77777777" w:rsidR="003D01F4" w:rsidRPr="0077568B" w:rsidRDefault="003D01F4" w:rsidP="00DA1EB3">
            <w:pPr>
              <w:rPr>
                <w:rFonts w:cstheme="minorHAnsi"/>
                <w:i/>
                <w:iCs/>
                <w:noProof/>
                <w:sz w:val="20"/>
                <w:szCs w:val="20"/>
                <w:lang w:val="es-ES"/>
              </w:rPr>
            </w:pPr>
          </w:p>
          <w:p w14:paraId="1809BDA8" w14:textId="77777777" w:rsidR="003D01F4" w:rsidRPr="0077568B" w:rsidRDefault="003D01F4" w:rsidP="00DA1EB3">
            <w:pPr>
              <w:rPr>
                <w:rFonts w:cstheme="minorHAnsi"/>
                <w:i/>
                <w:iCs/>
                <w:noProof/>
                <w:sz w:val="20"/>
                <w:szCs w:val="20"/>
                <w:lang w:val="es-ES"/>
              </w:rPr>
            </w:pPr>
            <w:r w:rsidRPr="0077568B">
              <w:rPr>
                <w:rFonts w:cstheme="minorHAnsi"/>
                <w:i/>
                <w:iCs/>
                <w:noProof/>
                <w:sz w:val="20"/>
                <w:szCs w:val="20"/>
                <w:lang w:val="es-ES"/>
              </w:rPr>
              <w:t>Las propias Partes, y también en colaboración con otras Partes y entidades, deberían adoptar un enfoque sensible al género en relación con el asesoramiento y las orientaciones de carácter científico y técnico, la movilización de recursos, la concienciación pública, la visibilidad y la creación de capacidad.</w:t>
            </w:r>
          </w:p>
          <w:p w14:paraId="48BDA24F" w14:textId="77777777" w:rsidR="003D01F4" w:rsidRPr="0077568B" w:rsidRDefault="003D01F4" w:rsidP="00DA1EB3">
            <w:pPr>
              <w:ind w:left="1418" w:hanging="1418"/>
              <w:rPr>
                <w:rFonts w:cstheme="minorHAnsi"/>
                <w:i/>
                <w:iCs/>
                <w:noProof/>
                <w:sz w:val="20"/>
                <w:szCs w:val="20"/>
                <w:lang w:val="es-ES"/>
              </w:rPr>
            </w:pPr>
          </w:p>
          <w:p w14:paraId="2E088718" w14:textId="77777777" w:rsidR="003D01F4" w:rsidRPr="0077568B" w:rsidRDefault="003D01F4" w:rsidP="00DA1EB3">
            <w:pPr>
              <w:rPr>
                <w:i/>
                <w:noProof/>
                <w:sz w:val="20"/>
                <w:szCs w:val="20"/>
                <w:lang w:val="es-ES"/>
              </w:rPr>
            </w:pPr>
            <w:r w:rsidRPr="0077568B">
              <w:rPr>
                <w:rFonts w:cstheme="minorHAnsi"/>
                <w:i/>
                <w:iCs/>
                <w:noProof/>
                <w:sz w:val="20"/>
                <w:szCs w:val="20"/>
                <w:lang w:val="es-ES"/>
              </w:rPr>
              <w:t xml:space="preserve">Todos los principales mecanismos de financiación ambiental ya disponen de políticas, planes de acción y mandatos </w:t>
            </w:r>
            <w:r w:rsidRPr="0077568B">
              <w:rPr>
                <w:rFonts w:cstheme="minorHAnsi"/>
                <w:i/>
                <w:iCs/>
                <w:noProof/>
                <w:sz w:val="20"/>
                <w:szCs w:val="20"/>
                <w:lang w:val="es-ES"/>
              </w:rPr>
              <w:lastRenderedPageBreak/>
              <w:t>sobre el género que se deben cumplir para obtener financiación.</w:t>
            </w:r>
          </w:p>
        </w:tc>
        <w:tc>
          <w:tcPr>
            <w:tcW w:w="3543" w:type="dxa"/>
          </w:tcPr>
          <w:p w14:paraId="183367C2" w14:textId="77777777" w:rsidR="003D01F4" w:rsidRPr="0077568B" w:rsidRDefault="003D01F4" w:rsidP="00DA1EB3">
            <w:pPr>
              <w:rPr>
                <w:rFonts w:cstheme="minorHAnsi"/>
                <w:noProof/>
                <w:sz w:val="20"/>
                <w:szCs w:val="20"/>
                <w:lang w:val="es-ES"/>
              </w:rPr>
            </w:pPr>
            <w:r w:rsidRPr="0077568B">
              <w:rPr>
                <w:rFonts w:cstheme="minorHAnsi"/>
                <w:noProof/>
                <w:sz w:val="20"/>
                <w:szCs w:val="20"/>
                <w:lang w:val="es-ES"/>
              </w:rPr>
              <w:lastRenderedPageBreak/>
              <w:t xml:space="preserve">Meta 16: La conservación y el uso racional de los humedales se integran con una perspectiva de género a través de la comunicación, el desarrollo de capacidad, la educación, concienciación y participación. </w:t>
            </w:r>
          </w:p>
          <w:p w14:paraId="07202E42" w14:textId="77777777" w:rsidR="003D01F4" w:rsidRPr="0077568B" w:rsidRDefault="003D01F4" w:rsidP="00DA1EB3">
            <w:pPr>
              <w:rPr>
                <w:rFonts w:cstheme="minorHAnsi"/>
                <w:noProof/>
                <w:sz w:val="20"/>
                <w:szCs w:val="20"/>
                <w:lang w:val="es-ES"/>
              </w:rPr>
            </w:pPr>
          </w:p>
          <w:p w14:paraId="789B56F7" w14:textId="77777777" w:rsidR="003D01F4" w:rsidRPr="0077568B" w:rsidRDefault="003D01F4" w:rsidP="00DA1EB3">
            <w:pPr>
              <w:rPr>
                <w:rFonts w:cstheme="minorHAnsi"/>
                <w:i/>
                <w:iCs/>
                <w:noProof/>
                <w:sz w:val="20"/>
                <w:szCs w:val="20"/>
                <w:lang w:val="es-ES"/>
              </w:rPr>
            </w:pPr>
            <w:r w:rsidRPr="0077568B">
              <w:rPr>
                <w:rFonts w:cstheme="minorHAnsi"/>
                <w:i/>
                <w:iCs/>
                <w:noProof/>
                <w:sz w:val="20"/>
                <w:szCs w:val="20"/>
                <w:lang w:val="es-ES"/>
              </w:rPr>
              <w:t>Nota: El nuevo enfoque de CECoP incluye la incorporación de la igualdad de género como una actividad.</w:t>
            </w:r>
          </w:p>
          <w:p w14:paraId="7A643C63" w14:textId="77777777" w:rsidR="003D01F4" w:rsidRPr="0077568B"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r>
    </w:tbl>
    <w:p w14:paraId="73F2BD2C" w14:textId="1FD7BF39" w:rsidR="00D0021B" w:rsidRPr="0077568B" w:rsidRDefault="00D0021B" w:rsidP="00DA1EB3">
      <w:pPr>
        <w:pStyle w:val="ListParagraph"/>
        <w:spacing w:after="0" w:line="240" w:lineRule="auto"/>
        <w:ind w:left="0"/>
        <w:rPr>
          <w:rFonts w:cstheme="minorHAnsi"/>
          <w:noProof/>
          <w:lang w:val="es-ES"/>
        </w:rPr>
      </w:pPr>
    </w:p>
    <w:p w14:paraId="705157B3" w14:textId="12EADAEF" w:rsidR="003D01F4" w:rsidRPr="0077568B" w:rsidRDefault="003D01F4" w:rsidP="00DA1EB3">
      <w:pPr>
        <w:rPr>
          <w:rFonts w:cstheme="minorHAnsi"/>
          <w:b/>
          <w:bCs/>
          <w:noProof/>
          <w:lang w:val="es-ES"/>
        </w:rPr>
      </w:pPr>
      <w:r w:rsidRPr="0077568B">
        <w:rPr>
          <w:rFonts w:cstheme="minorHAnsi"/>
          <w:b/>
          <w:bCs/>
          <w:noProof/>
          <w:lang w:val="es-ES"/>
        </w:rPr>
        <w:t>Recursos disponibles:</w:t>
      </w:r>
    </w:p>
    <w:p w14:paraId="7B9E5C2B" w14:textId="12BDB58F" w:rsidR="003D01F4" w:rsidRPr="0077568B" w:rsidRDefault="003D01F4" w:rsidP="00DA1EB3">
      <w:pPr>
        <w:pStyle w:val="NormalWeb"/>
        <w:spacing w:before="0" w:beforeAutospacing="0" w:after="0" w:afterAutospacing="0"/>
        <w:rPr>
          <w:rFonts w:asciiTheme="minorHAnsi" w:hAnsiTheme="minorHAnsi" w:cstheme="minorHAnsi"/>
          <w:noProof/>
          <w:color w:val="000000" w:themeColor="text1"/>
          <w:sz w:val="22"/>
          <w:szCs w:val="22"/>
          <w:lang w:val="es-ES"/>
        </w:rPr>
      </w:pPr>
      <w:r w:rsidRPr="0077568B">
        <w:rPr>
          <w:rFonts w:asciiTheme="minorHAnsi" w:hAnsiTheme="minorHAnsi" w:cstheme="minorHAnsi"/>
          <w:noProof/>
          <w:color w:val="000000" w:themeColor="text1"/>
          <w:sz w:val="22"/>
          <w:szCs w:val="22"/>
          <w:lang w:val="es-ES"/>
        </w:rPr>
        <w:t xml:space="preserve">Las directrices proporcionan a las Partes Contratantes en la Convención una serie de puntos de entrada operacionales y prácticos clave para mejorar la incorporación de la igualdad de género en la Convención y presentan varios estudios de caso que muestran el valor de adoptar un enfoque de género para el uso racional y el manejo de los humedales. El documento se puede descargar en la dirección: </w:t>
      </w:r>
    </w:p>
    <w:p w14:paraId="0542DE6D" w14:textId="5CC406A4" w:rsidR="003D01F4" w:rsidRPr="00961B6E" w:rsidRDefault="00CA3DE5" w:rsidP="00DA1EB3">
      <w:pPr>
        <w:pStyle w:val="NormalWeb"/>
        <w:spacing w:before="0" w:beforeAutospacing="0" w:after="0" w:afterAutospacing="0"/>
        <w:rPr>
          <w:rFonts w:asciiTheme="minorHAnsi" w:hAnsiTheme="minorHAnsi" w:cstheme="minorHAnsi"/>
          <w:noProof/>
          <w:color w:val="000000" w:themeColor="text1"/>
          <w:sz w:val="22"/>
          <w:szCs w:val="22"/>
          <w:lang w:val="es-ES"/>
        </w:rPr>
      </w:pPr>
      <w:hyperlink r:id="rId13" w:history="1">
        <w:r w:rsidR="003D01F4" w:rsidRPr="0077568B">
          <w:rPr>
            <w:rFonts w:asciiTheme="minorHAnsi" w:hAnsiTheme="minorHAnsi" w:cstheme="minorHAnsi"/>
            <w:noProof/>
            <w:color w:val="000000" w:themeColor="text1"/>
            <w:sz w:val="22"/>
            <w:szCs w:val="22"/>
            <w:lang w:val="es-ES"/>
          </w:rPr>
          <w:t>https://www.ramsar.org/es/documento/directrices-para-la-transversalizacion-de-genero-en-la-convencion-de-ramsar-sobre-los</w:t>
        </w:r>
      </w:hyperlink>
    </w:p>
    <w:p w14:paraId="673FB989" w14:textId="77777777" w:rsidR="003D01F4" w:rsidRPr="00961B6E" w:rsidRDefault="003D01F4" w:rsidP="00DA1EB3">
      <w:pPr>
        <w:pStyle w:val="NormalWeb"/>
        <w:spacing w:before="0" w:beforeAutospacing="0" w:after="0" w:afterAutospacing="0"/>
        <w:rPr>
          <w:rFonts w:asciiTheme="minorHAnsi" w:hAnsiTheme="minorHAnsi" w:cstheme="minorHAnsi"/>
          <w:noProof/>
          <w:sz w:val="22"/>
          <w:szCs w:val="22"/>
          <w:lang w:val="es-ES"/>
        </w:rPr>
      </w:pPr>
    </w:p>
    <w:p w14:paraId="30A3D002" w14:textId="77777777" w:rsidR="00D0021B" w:rsidRPr="00961B6E" w:rsidRDefault="00D0021B" w:rsidP="00DA1EB3">
      <w:pPr>
        <w:pStyle w:val="NormalWeb"/>
        <w:spacing w:before="0" w:beforeAutospacing="0" w:after="0" w:afterAutospacing="0"/>
        <w:rPr>
          <w:rFonts w:asciiTheme="minorHAnsi" w:hAnsiTheme="minorHAnsi" w:cstheme="minorHAnsi"/>
          <w:noProof/>
          <w:sz w:val="22"/>
          <w:szCs w:val="22"/>
          <w:lang w:val="es-ES"/>
        </w:rPr>
      </w:pPr>
    </w:p>
    <w:p w14:paraId="0B1DC14C" w14:textId="77777777" w:rsidR="00D0021B" w:rsidRPr="00961B6E" w:rsidRDefault="00D0021B" w:rsidP="00DA1EB3">
      <w:pPr>
        <w:pStyle w:val="ListParagraph"/>
        <w:suppressAutoHyphens/>
        <w:spacing w:after="0" w:line="240" w:lineRule="auto"/>
        <w:ind w:left="284"/>
        <w:contextualSpacing w:val="0"/>
        <w:rPr>
          <w:rFonts w:cstheme="minorHAnsi"/>
          <w:noProof/>
          <w:lang w:val="es-ES"/>
        </w:rPr>
      </w:pPr>
    </w:p>
    <w:p w14:paraId="5075BE6F" w14:textId="77777777" w:rsidR="0027390F" w:rsidRPr="00961B6E" w:rsidRDefault="0027390F" w:rsidP="00DA1EB3">
      <w:pPr>
        <w:pStyle w:val="Annextext"/>
        <w:widowControl/>
        <w:numPr>
          <w:ilvl w:val="0"/>
          <w:numId w:val="0"/>
        </w:numPr>
        <w:spacing w:after="0" w:line="240" w:lineRule="auto"/>
        <w:rPr>
          <w:rFonts w:asciiTheme="minorHAnsi" w:hAnsiTheme="minorHAnsi" w:cstheme="minorHAnsi"/>
          <w:b/>
          <w:bCs/>
          <w:iCs/>
          <w:noProof/>
          <w:color w:val="auto"/>
          <w:sz w:val="22"/>
          <w:szCs w:val="22"/>
          <w:lang w:val="es-ES"/>
        </w:rPr>
      </w:pPr>
    </w:p>
    <w:sectPr w:rsidR="0027390F" w:rsidRPr="00961B6E" w:rsidSect="00DA1EB3">
      <w:footerReference w:type="default" r:id="rId14"/>
      <w:pgSz w:w="11906" w:h="16838" w:code="9"/>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9B033" w14:textId="77777777" w:rsidR="002B7DA0" w:rsidRDefault="002B7DA0" w:rsidP="00494467">
      <w:r>
        <w:separator/>
      </w:r>
    </w:p>
  </w:endnote>
  <w:endnote w:type="continuationSeparator" w:id="0">
    <w:p w14:paraId="76CD18CA" w14:textId="77777777" w:rsidR="002B7DA0" w:rsidRDefault="002B7DA0"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C8D9" w14:textId="211AF680" w:rsidR="00EE3400" w:rsidRPr="00DA1EB3" w:rsidRDefault="00DA1EB3" w:rsidP="00DA1EB3">
    <w:pPr>
      <w:pStyle w:val="Footer"/>
      <w:tabs>
        <w:tab w:val="clear" w:pos="9026"/>
        <w:tab w:val="right" w:pos="13892"/>
      </w:tabs>
      <w:rPr>
        <w:sz w:val="20"/>
        <w:szCs w:val="20"/>
      </w:rPr>
    </w:pPr>
    <w:r w:rsidRPr="009E3AF4">
      <w:rPr>
        <w:sz w:val="20"/>
        <w:szCs w:val="20"/>
      </w:rPr>
      <w:t>SC59/2022 Doc.10</w:t>
    </w:r>
    <w:r w:rsidR="00276648">
      <w:rPr>
        <w:sz w:val="20"/>
        <w:szCs w:val="20"/>
      </w:rPr>
      <w:t xml:space="preserve"> Rev.2</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CA3DE5">
      <w:rPr>
        <w:noProof/>
        <w:sz w:val="20"/>
        <w:szCs w:val="20"/>
      </w:rPr>
      <w:t>16</w:t>
    </w:r>
    <w:r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7E807" w14:textId="77777777" w:rsidR="002B7DA0" w:rsidRDefault="002B7DA0" w:rsidP="00494467">
      <w:r>
        <w:separator/>
      </w:r>
    </w:p>
  </w:footnote>
  <w:footnote w:type="continuationSeparator" w:id="0">
    <w:p w14:paraId="352EE236" w14:textId="77777777" w:rsidR="002B7DA0" w:rsidRDefault="002B7DA0" w:rsidP="00494467">
      <w:r>
        <w:continuationSeparator/>
      </w:r>
    </w:p>
  </w:footnote>
  <w:footnote w:id="1">
    <w:p w14:paraId="0CF4B6CD" w14:textId="58386E14" w:rsidR="00CC07AC" w:rsidRPr="00CF54E8" w:rsidRDefault="00CC07AC" w:rsidP="00CC07AC">
      <w:pPr>
        <w:pStyle w:val="FootnoteText"/>
        <w:rPr>
          <w:rFonts w:cstheme="minorHAnsi"/>
          <w:noProof/>
          <w:lang w:val="es-ES"/>
        </w:rPr>
      </w:pPr>
      <w:r w:rsidRPr="00CF54E8">
        <w:rPr>
          <w:rStyle w:val="FootnoteReference"/>
          <w:rFonts w:cstheme="minorHAnsi"/>
          <w:noProof/>
          <w:lang w:val="es-ES"/>
        </w:rPr>
        <w:footnoteRef/>
      </w:r>
      <w:r w:rsidRPr="00CF54E8">
        <w:rPr>
          <w:rFonts w:cstheme="minorHAnsi"/>
          <w:noProof/>
          <w:lang w:val="es-ES"/>
        </w:rPr>
        <w:t xml:space="preserve"> </w:t>
      </w:r>
      <w:r w:rsidR="00147FCB" w:rsidRPr="00CF54E8">
        <w:rPr>
          <w:rFonts w:cstheme="minorHAnsi"/>
          <w:b/>
          <w:bCs/>
          <w:noProof/>
          <w:lang w:val="es-ES"/>
        </w:rPr>
        <w:t>Objetivo 14</w:t>
      </w:r>
      <w:r w:rsidR="00147FCB" w:rsidRPr="00CF54E8">
        <w:rPr>
          <w:rFonts w:cstheme="minorHAnsi"/>
          <w:noProof/>
          <w:lang w:val="es-ES"/>
        </w:rPr>
        <w:t xml:space="preserve">: Conservar y utilizar en forma sostenible los océanos, los mares y los recursos marinos para el desarrollo sostenible; </w:t>
      </w:r>
      <w:r w:rsidR="00147FCB" w:rsidRPr="00CF54E8">
        <w:rPr>
          <w:rFonts w:cstheme="minorHAnsi"/>
          <w:b/>
          <w:bCs/>
          <w:noProof/>
          <w:lang w:val="es-ES"/>
        </w:rPr>
        <w:t>Objetivo 15</w:t>
      </w:r>
      <w:r w:rsidR="00147FCB" w:rsidRPr="00CF54E8">
        <w:rPr>
          <w:rFonts w:cstheme="minorHAnsi"/>
          <w:noProof/>
          <w:lang w:val="es-ES"/>
        </w:rPr>
        <w:t>: Proteger, restablecer y promover el uso sostenible de los ecosistemas terrestres, gestionar sosteniblemente los bosques, luchar contra la desertificación, detener e invertir la degradación de las tierras y detener la pérdida de biodiversidad</w:t>
      </w:r>
      <w:r w:rsidRPr="00CF54E8">
        <w:rPr>
          <w:rFonts w:cstheme="minorHAnsi"/>
          <w:noProof/>
          <w:lang w:val="es-ES"/>
        </w:rPr>
        <w:t>.</w:t>
      </w:r>
    </w:p>
  </w:footnote>
  <w:footnote w:id="2">
    <w:p w14:paraId="432EAD99" w14:textId="5F20A197" w:rsidR="00D0021B" w:rsidRPr="00CF54E8" w:rsidRDefault="00D0021B" w:rsidP="00D0021B">
      <w:pPr>
        <w:pStyle w:val="FootnoteText"/>
        <w:rPr>
          <w:rFonts w:cstheme="minorHAnsi"/>
          <w:noProof/>
          <w:lang w:val="es-ES"/>
        </w:rPr>
      </w:pPr>
      <w:r w:rsidRPr="00CF54E8">
        <w:rPr>
          <w:rStyle w:val="FootnoteReference"/>
          <w:rFonts w:cstheme="minorHAnsi"/>
          <w:noProof/>
          <w:lang w:val="es-ES"/>
        </w:rPr>
        <w:footnoteRef/>
      </w:r>
      <w:r w:rsidRPr="00CF54E8">
        <w:rPr>
          <w:rFonts w:cstheme="minorHAnsi"/>
          <w:noProof/>
          <w:lang w:val="es-ES"/>
        </w:rPr>
        <w:t xml:space="preserve"> </w:t>
      </w:r>
      <w:r w:rsidR="002574EA" w:rsidRPr="00CF54E8">
        <w:rPr>
          <w:rFonts w:cstheme="minorHAnsi"/>
          <w:i/>
          <w:iCs/>
          <w:noProof/>
          <w:lang w:val="es-ES"/>
        </w:rPr>
        <w:t>TOMANDO NOTA TAMBIÉN de que los siguientes ODS también son pertinentes para la Convención: ODS 1, “Poner fin a la pobreza en todas sus formas en todo el mundo”; ODS 2, “Poner fin al hambre, lograr la seguridad alimentaria y la mejora de la nutrición y promover la agricultura sostenible”; ODS 5, “Lograr la igualdad entre los géneros y empoderar a todas las mujeres y las niñas”; ODS 11, “Lograr que las ciudades y los asentamientos humanos sean inclusivos, seguros, resilientes y sostenibles”; y ODS 13, “Adoptar medidas urgentes para combatir el cambio climático y sus efectos”</w:t>
      </w:r>
      <w:r w:rsidR="002574EA" w:rsidRPr="00CF54E8">
        <w:rPr>
          <w:rFonts w:cstheme="minorHAnsi"/>
          <w:noProof/>
          <w:lang w:val="es-ES"/>
        </w:rPr>
        <w:t xml:space="preserve"> [párrafo 17]</w:t>
      </w:r>
      <w:r w:rsidRPr="00CF54E8">
        <w:rPr>
          <w:rFonts w:cstheme="minorHAnsi"/>
          <w:noProof/>
          <w:lang w:val="es-ES"/>
        </w:rPr>
        <w:t>.</w:t>
      </w:r>
    </w:p>
    <w:p w14:paraId="70C6963A" w14:textId="77777777" w:rsidR="00D0021B" w:rsidRPr="00CF54E8" w:rsidRDefault="00D0021B" w:rsidP="00D0021B">
      <w:pPr>
        <w:pStyle w:val="FootnoteText"/>
        <w:rPr>
          <w:noProof/>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7"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9B7770"/>
    <w:multiLevelType w:val="hybridMultilevel"/>
    <w:tmpl w:val="C19855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8"/>
  </w:num>
  <w:num w:numId="4">
    <w:abstractNumId w:val="12"/>
  </w:num>
  <w:num w:numId="5">
    <w:abstractNumId w:val="5"/>
  </w:num>
  <w:num w:numId="6">
    <w:abstractNumId w:val="0"/>
  </w:num>
  <w:num w:numId="7">
    <w:abstractNumId w:val="30"/>
  </w:num>
  <w:num w:numId="8">
    <w:abstractNumId w:val="1"/>
  </w:num>
  <w:num w:numId="9">
    <w:abstractNumId w:val="26"/>
  </w:num>
  <w:num w:numId="10">
    <w:abstractNumId w:val="18"/>
  </w:num>
  <w:num w:numId="11">
    <w:abstractNumId w:val="35"/>
  </w:num>
  <w:num w:numId="12">
    <w:abstractNumId w:val="20"/>
  </w:num>
  <w:num w:numId="13">
    <w:abstractNumId w:val="27"/>
  </w:num>
  <w:num w:numId="14">
    <w:abstractNumId w:val="13"/>
  </w:num>
  <w:num w:numId="15">
    <w:abstractNumId w:val="23"/>
  </w:num>
  <w:num w:numId="16">
    <w:abstractNumId w:val="16"/>
  </w:num>
  <w:num w:numId="17">
    <w:abstractNumId w:val="21"/>
  </w:num>
  <w:num w:numId="18">
    <w:abstractNumId w:val="29"/>
  </w:num>
  <w:num w:numId="19">
    <w:abstractNumId w:val="28"/>
  </w:num>
  <w:num w:numId="20">
    <w:abstractNumId w:val="3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5"/>
  </w:num>
  <w:num w:numId="26">
    <w:abstractNumId w:val="24"/>
  </w:num>
  <w:num w:numId="27">
    <w:abstractNumId w:val="34"/>
  </w:num>
  <w:num w:numId="28">
    <w:abstractNumId w:val="22"/>
  </w:num>
  <w:num w:numId="29">
    <w:abstractNumId w:val="9"/>
  </w:num>
  <w:num w:numId="30">
    <w:abstractNumId w:val="2"/>
  </w:num>
  <w:num w:numId="31">
    <w:abstractNumId w:val="10"/>
  </w:num>
  <w:num w:numId="32">
    <w:abstractNumId w:val="3"/>
  </w:num>
  <w:num w:numId="33">
    <w:abstractNumId w:val="19"/>
  </w:num>
  <w:num w:numId="34">
    <w:abstractNumId w:val="17"/>
  </w:num>
  <w:num w:numId="35">
    <w:abstractNumId w:val="7"/>
  </w:num>
  <w:num w:numId="36">
    <w:abstractNumId w:val="3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s-ES" w:vendorID="64" w:dllVersion="4096"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01EE"/>
    <w:rsid w:val="00001E8B"/>
    <w:rsid w:val="00002051"/>
    <w:rsid w:val="00004063"/>
    <w:rsid w:val="0000422B"/>
    <w:rsid w:val="00004619"/>
    <w:rsid w:val="00010C2C"/>
    <w:rsid w:val="00011DB0"/>
    <w:rsid w:val="0001280E"/>
    <w:rsid w:val="000133C8"/>
    <w:rsid w:val="0001469A"/>
    <w:rsid w:val="00014CFE"/>
    <w:rsid w:val="0001591C"/>
    <w:rsid w:val="00015DEF"/>
    <w:rsid w:val="00016EE3"/>
    <w:rsid w:val="000206CE"/>
    <w:rsid w:val="00021682"/>
    <w:rsid w:val="00021B27"/>
    <w:rsid w:val="00022AD3"/>
    <w:rsid w:val="00023034"/>
    <w:rsid w:val="00025003"/>
    <w:rsid w:val="00027E94"/>
    <w:rsid w:val="000304F5"/>
    <w:rsid w:val="000328D1"/>
    <w:rsid w:val="00035772"/>
    <w:rsid w:val="000401B2"/>
    <w:rsid w:val="00043388"/>
    <w:rsid w:val="000443DD"/>
    <w:rsid w:val="00045D65"/>
    <w:rsid w:val="00047632"/>
    <w:rsid w:val="000521EB"/>
    <w:rsid w:val="00056725"/>
    <w:rsid w:val="00064FED"/>
    <w:rsid w:val="000651DD"/>
    <w:rsid w:val="0006633C"/>
    <w:rsid w:val="000729E7"/>
    <w:rsid w:val="00074343"/>
    <w:rsid w:val="00075229"/>
    <w:rsid w:val="000753D8"/>
    <w:rsid w:val="0008029A"/>
    <w:rsid w:val="000805BB"/>
    <w:rsid w:val="0008220C"/>
    <w:rsid w:val="000861B3"/>
    <w:rsid w:val="00087EA4"/>
    <w:rsid w:val="000912D6"/>
    <w:rsid w:val="00094BA3"/>
    <w:rsid w:val="00097AB9"/>
    <w:rsid w:val="000A00C0"/>
    <w:rsid w:val="000A022D"/>
    <w:rsid w:val="000A0826"/>
    <w:rsid w:val="000A1125"/>
    <w:rsid w:val="000A2346"/>
    <w:rsid w:val="000A33C5"/>
    <w:rsid w:val="000A47C3"/>
    <w:rsid w:val="000A49C1"/>
    <w:rsid w:val="000B499F"/>
    <w:rsid w:val="000B60F3"/>
    <w:rsid w:val="000C1D88"/>
    <w:rsid w:val="000C2C5A"/>
    <w:rsid w:val="000C60D7"/>
    <w:rsid w:val="000C77E3"/>
    <w:rsid w:val="000D0CD3"/>
    <w:rsid w:val="000D4610"/>
    <w:rsid w:val="000D6FEA"/>
    <w:rsid w:val="000E07CB"/>
    <w:rsid w:val="000E11AC"/>
    <w:rsid w:val="000E14C2"/>
    <w:rsid w:val="000E1805"/>
    <w:rsid w:val="000E232C"/>
    <w:rsid w:val="000E44D5"/>
    <w:rsid w:val="000E699A"/>
    <w:rsid w:val="000E7D10"/>
    <w:rsid w:val="000F1282"/>
    <w:rsid w:val="000F1867"/>
    <w:rsid w:val="000F2311"/>
    <w:rsid w:val="000F5622"/>
    <w:rsid w:val="000F5802"/>
    <w:rsid w:val="000F5FA6"/>
    <w:rsid w:val="000F764E"/>
    <w:rsid w:val="000F7938"/>
    <w:rsid w:val="000F7BF2"/>
    <w:rsid w:val="001006AC"/>
    <w:rsid w:val="001041A3"/>
    <w:rsid w:val="0010444F"/>
    <w:rsid w:val="00107557"/>
    <w:rsid w:val="00111DD7"/>
    <w:rsid w:val="001146DD"/>
    <w:rsid w:val="00116C33"/>
    <w:rsid w:val="00117EAC"/>
    <w:rsid w:val="00125F94"/>
    <w:rsid w:val="00127506"/>
    <w:rsid w:val="0013044C"/>
    <w:rsid w:val="00131E5B"/>
    <w:rsid w:val="00132A10"/>
    <w:rsid w:val="00132A85"/>
    <w:rsid w:val="00133684"/>
    <w:rsid w:val="00133D59"/>
    <w:rsid w:val="00136A97"/>
    <w:rsid w:val="0013751C"/>
    <w:rsid w:val="001379A2"/>
    <w:rsid w:val="00140E9D"/>
    <w:rsid w:val="001416F3"/>
    <w:rsid w:val="0014171B"/>
    <w:rsid w:val="0014595B"/>
    <w:rsid w:val="00147FCB"/>
    <w:rsid w:val="001511EF"/>
    <w:rsid w:val="0015490B"/>
    <w:rsid w:val="00156F18"/>
    <w:rsid w:val="00160064"/>
    <w:rsid w:val="00162991"/>
    <w:rsid w:val="0016365B"/>
    <w:rsid w:val="00165CF6"/>
    <w:rsid w:val="00167E81"/>
    <w:rsid w:val="00172B93"/>
    <w:rsid w:val="00174A87"/>
    <w:rsid w:val="00175779"/>
    <w:rsid w:val="00175AF5"/>
    <w:rsid w:val="00177070"/>
    <w:rsid w:val="00180529"/>
    <w:rsid w:val="00181028"/>
    <w:rsid w:val="00181C63"/>
    <w:rsid w:val="00182DBF"/>
    <w:rsid w:val="00183708"/>
    <w:rsid w:val="00190BC5"/>
    <w:rsid w:val="00190DBB"/>
    <w:rsid w:val="00191506"/>
    <w:rsid w:val="00191B0A"/>
    <w:rsid w:val="001920B0"/>
    <w:rsid w:val="00193077"/>
    <w:rsid w:val="0019373A"/>
    <w:rsid w:val="001937B3"/>
    <w:rsid w:val="0019722D"/>
    <w:rsid w:val="00197364"/>
    <w:rsid w:val="001A044F"/>
    <w:rsid w:val="001A39D6"/>
    <w:rsid w:val="001A46BE"/>
    <w:rsid w:val="001A64E9"/>
    <w:rsid w:val="001A69A1"/>
    <w:rsid w:val="001A75CB"/>
    <w:rsid w:val="001B3DE9"/>
    <w:rsid w:val="001B45DC"/>
    <w:rsid w:val="001B49FE"/>
    <w:rsid w:val="001B4DD5"/>
    <w:rsid w:val="001B57CF"/>
    <w:rsid w:val="001B5F59"/>
    <w:rsid w:val="001B72EB"/>
    <w:rsid w:val="001C010E"/>
    <w:rsid w:val="001C169F"/>
    <w:rsid w:val="001C1830"/>
    <w:rsid w:val="001C1F1B"/>
    <w:rsid w:val="001C3F0C"/>
    <w:rsid w:val="001C4114"/>
    <w:rsid w:val="001C7D2B"/>
    <w:rsid w:val="001D002D"/>
    <w:rsid w:val="001D01AC"/>
    <w:rsid w:val="001D14C7"/>
    <w:rsid w:val="001D7642"/>
    <w:rsid w:val="001D798B"/>
    <w:rsid w:val="001D7D50"/>
    <w:rsid w:val="001E0965"/>
    <w:rsid w:val="001E36CF"/>
    <w:rsid w:val="001E3D08"/>
    <w:rsid w:val="001E5E58"/>
    <w:rsid w:val="001F0528"/>
    <w:rsid w:val="001F0FDC"/>
    <w:rsid w:val="001F25E9"/>
    <w:rsid w:val="001F38AA"/>
    <w:rsid w:val="001F4BC1"/>
    <w:rsid w:val="00201A87"/>
    <w:rsid w:val="002053AF"/>
    <w:rsid w:val="0020553F"/>
    <w:rsid w:val="00205AA1"/>
    <w:rsid w:val="002066AF"/>
    <w:rsid w:val="00206B88"/>
    <w:rsid w:val="00206FBA"/>
    <w:rsid w:val="00215D3D"/>
    <w:rsid w:val="00216DE8"/>
    <w:rsid w:val="00216E35"/>
    <w:rsid w:val="00223CAC"/>
    <w:rsid w:val="002258BB"/>
    <w:rsid w:val="00227E6E"/>
    <w:rsid w:val="00233197"/>
    <w:rsid w:val="00233FFF"/>
    <w:rsid w:val="00236EBA"/>
    <w:rsid w:val="00242AEC"/>
    <w:rsid w:val="002451A3"/>
    <w:rsid w:val="00245C0A"/>
    <w:rsid w:val="002478BA"/>
    <w:rsid w:val="00251023"/>
    <w:rsid w:val="002574EA"/>
    <w:rsid w:val="002576F2"/>
    <w:rsid w:val="00257ED5"/>
    <w:rsid w:val="00266E06"/>
    <w:rsid w:val="0027344D"/>
    <w:rsid w:val="002738EC"/>
    <w:rsid w:val="0027390F"/>
    <w:rsid w:val="002745DB"/>
    <w:rsid w:val="0027576D"/>
    <w:rsid w:val="00276648"/>
    <w:rsid w:val="002802BB"/>
    <w:rsid w:val="0028153E"/>
    <w:rsid w:val="002815EE"/>
    <w:rsid w:val="00282BBD"/>
    <w:rsid w:val="00283172"/>
    <w:rsid w:val="00290067"/>
    <w:rsid w:val="002912B0"/>
    <w:rsid w:val="00291A9F"/>
    <w:rsid w:val="0029586D"/>
    <w:rsid w:val="002A098F"/>
    <w:rsid w:val="002A139E"/>
    <w:rsid w:val="002A25A7"/>
    <w:rsid w:val="002A342F"/>
    <w:rsid w:val="002A4427"/>
    <w:rsid w:val="002A5F33"/>
    <w:rsid w:val="002B06A7"/>
    <w:rsid w:val="002B115A"/>
    <w:rsid w:val="002B5482"/>
    <w:rsid w:val="002B559B"/>
    <w:rsid w:val="002B5ADC"/>
    <w:rsid w:val="002B78B1"/>
    <w:rsid w:val="002B7DA0"/>
    <w:rsid w:val="002C06AC"/>
    <w:rsid w:val="002C2CAE"/>
    <w:rsid w:val="002C34FE"/>
    <w:rsid w:val="002D1CE7"/>
    <w:rsid w:val="002D2700"/>
    <w:rsid w:val="002D3E55"/>
    <w:rsid w:val="002D4DC4"/>
    <w:rsid w:val="002D6461"/>
    <w:rsid w:val="002D6599"/>
    <w:rsid w:val="002E0896"/>
    <w:rsid w:val="002E08EB"/>
    <w:rsid w:val="002E1B00"/>
    <w:rsid w:val="002E3148"/>
    <w:rsid w:val="002E3F92"/>
    <w:rsid w:val="002E4798"/>
    <w:rsid w:val="002E577E"/>
    <w:rsid w:val="002E7ACD"/>
    <w:rsid w:val="002E7BFF"/>
    <w:rsid w:val="002E7E4E"/>
    <w:rsid w:val="002F035D"/>
    <w:rsid w:val="002F04FE"/>
    <w:rsid w:val="002F3B1F"/>
    <w:rsid w:val="002F4B33"/>
    <w:rsid w:val="002F70AE"/>
    <w:rsid w:val="002F70DE"/>
    <w:rsid w:val="002F7D72"/>
    <w:rsid w:val="00300646"/>
    <w:rsid w:val="0030236E"/>
    <w:rsid w:val="00302BF9"/>
    <w:rsid w:val="00303EE3"/>
    <w:rsid w:val="0030493B"/>
    <w:rsid w:val="00305F38"/>
    <w:rsid w:val="0030672A"/>
    <w:rsid w:val="00306CFE"/>
    <w:rsid w:val="00306FEA"/>
    <w:rsid w:val="003104AE"/>
    <w:rsid w:val="00313363"/>
    <w:rsid w:val="00320074"/>
    <w:rsid w:val="003214A8"/>
    <w:rsid w:val="00322330"/>
    <w:rsid w:val="00327534"/>
    <w:rsid w:val="0033279A"/>
    <w:rsid w:val="00333CEE"/>
    <w:rsid w:val="00334223"/>
    <w:rsid w:val="003360D0"/>
    <w:rsid w:val="00336CD5"/>
    <w:rsid w:val="00337FA8"/>
    <w:rsid w:val="00342664"/>
    <w:rsid w:val="00345272"/>
    <w:rsid w:val="00345433"/>
    <w:rsid w:val="0034618D"/>
    <w:rsid w:val="003467A8"/>
    <w:rsid w:val="0035175E"/>
    <w:rsid w:val="003547D9"/>
    <w:rsid w:val="0035627D"/>
    <w:rsid w:val="003564A1"/>
    <w:rsid w:val="00356E38"/>
    <w:rsid w:val="0035738C"/>
    <w:rsid w:val="00357E15"/>
    <w:rsid w:val="003618E6"/>
    <w:rsid w:val="00364DCB"/>
    <w:rsid w:val="00367CD1"/>
    <w:rsid w:val="00373AFF"/>
    <w:rsid w:val="00373EEB"/>
    <w:rsid w:val="003743A0"/>
    <w:rsid w:val="003778CE"/>
    <w:rsid w:val="00383B97"/>
    <w:rsid w:val="00383FA9"/>
    <w:rsid w:val="00390ADC"/>
    <w:rsid w:val="00391157"/>
    <w:rsid w:val="00391DAA"/>
    <w:rsid w:val="0039229E"/>
    <w:rsid w:val="00394124"/>
    <w:rsid w:val="00394EC1"/>
    <w:rsid w:val="003A09C2"/>
    <w:rsid w:val="003A5B73"/>
    <w:rsid w:val="003A6C5B"/>
    <w:rsid w:val="003B0403"/>
    <w:rsid w:val="003B1D9D"/>
    <w:rsid w:val="003B2C81"/>
    <w:rsid w:val="003B4741"/>
    <w:rsid w:val="003B51BC"/>
    <w:rsid w:val="003B5419"/>
    <w:rsid w:val="003B79D3"/>
    <w:rsid w:val="003C1FC2"/>
    <w:rsid w:val="003C2224"/>
    <w:rsid w:val="003C2525"/>
    <w:rsid w:val="003C2C71"/>
    <w:rsid w:val="003C3F04"/>
    <w:rsid w:val="003C6329"/>
    <w:rsid w:val="003C639C"/>
    <w:rsid w:val="003D01F4"/>
    <w:rsid w:val="003D22D1"/>
    <w:rsid w:val="003D2943"/>
    <w:rsid w:val="003D2C9A"/>
    <w:rsid w:val="003D2CB1"/>
    <w:rsid w:val="003D3042"/>
    <w:rsid w:val="003D30FA"/>
    <w:rsid w:val="003D36DD"/>
    <w:rsid w:val="003D4C1B"/>
    <w:rsid w:val="003D64C9"/>
    <w:rsid w:val="003D7CBC"/>
    <w:rsid w:val="003E16F8"/>
    <w:rsid w:val="003E2ADA"/>
    <w:rsid w:val="003E3E5E"/>
    <w:rsid w:val="003E41D7"/>
    <w:rsid w:val="003E59B1"/>
    <w:rsid w:val="003F47C5"/>
    <w:rsid w:val="003F64C4"/>
    <w:rsid w:val="003F6AE8"/>
    <w:rsid w:val="0040283F"/>
    <w:rsid w:val="00402DEA"/>
    <w:rsid w:val="004041B5"/>
    <w:rsid w:val="00404380"/>
    <w:rsid w:val="0040664E"/>
    <w:rsid w:val="004106A1"/>
    <w:rsid w:val="00410B04"/>
    <w:rsid w:val="00411533"/>
    <w:rsid w:val="00413703"/>
    <w:rsid w:val="0041478B"/>
    <w:rsid w:val="00421B2F"/>
    <w:rsid w:val="004256F8"/>
    <w:rsid w:val="00425AB6"/>
    <w:rsid w:val="004268F9"/>
    <w:rsid w:val="004328A2"/>
    <w:rsid w:val="0043333F"/>
    <w:rsid w:val="004341EA"/>
    <w:rsid w:val="00435566"/>
    <w:rsid w:val="0044386D"/>
    <w:rsid w:val="00444313"/>
    <w:rsid w:val="00445981"/>
    <w:rsid w:val="004459BD"/>
    <w:rsid w:val="0044628E"/>
    <w:rsid w:val="00446B8D"/>
    <w:rsid w:val="00446CA8"/>
    <w:rsid w:val="00447CBF"/>
    <w:rsid w:val="00450E1A"/>
    <w:rsid w:val="00451260"/>
    <w:rsid w:val="00451B46"/>
    <w:rsid w:val="00453085"/>
    <w:rsid w:val="004534F7"/>
    <w:rsid w:val="004554B5"/>
    <w:rsid w:val="004609A9"/>
    <w:rsid w:val="00462D28"/>
    <w:rsid w:val="004635FE"/>
    <w:rsid w:val="00464001"/>
    <w:rsid w:val="004656E0"/>
    <w:rsid w:val="00466B4C"/>
    <w:rsid w:val="004715ED"/>
    <w:rsid w:val="00474A42"/>
    <w:rsid w:val="00474C24"/>
    <w:rsid w:val="0047576A"/>
    <w:rsid w:val="0047706F"/>
    <w:rsid w:val="00481074"/>
    <w:rsid w:val="00484C80"/>
    <w:rsid w:val="00490019"/>
    <w:rsid w:val="004914BF"/>
    <w:rsid w:val="0049290A"/>
    <w:rsid w:val="00492D1B"/>
    <w:rsid w:val="00492FD5"/>
    <w:rsid w:val="00493800"/>
    <w:rsid w:val="00494467"/>
    <w:rsid w:val="004957E5"/>
    <w:rsid w:val="00495EAA"/>
    <w:rsid w:val="00497414"/>
    <w:rsid w:val="004A0CFC"/>
    <w:rsid w:val="004A4BFC"/>
    <w:rsid w:val="004A79F7"/>
    <w:rsid w:val="004B03A5"/>
    <w:rsid w:val="004B0A15"/>
    <w:rsid w:val="004B49D3"/>
    <w:rsid w:val="004B4E4A"/>
    <w:rsid w:val="004B56BE"/>
    <w:rsid w:val="004B5FC3"/>
    <w:rsid w:val="004B6228"/>
    <w:rsid w:val="004C0584"/>
    <w:rsid w:val="004C5DF2"/>
    <w:rsid w:val="004C6198"/>
    <w:rsid w:val="004C7072"/>
    <w:rsid w:val="004C73BC"/>
    <w:rsid w:val="004D0FB1"/>
    <w:rsid w:val="004D547F"/>
    <w:rsid w:val="004E0D39"/>
    <w:rsid w:val="004E12CA"/>
    <w:rsid w:val="004E1688"/>
    <w:rsid w:val="004E29C2"/>
    <w:rsid w:val="004E3094"/>
    <w:rsid w:val="004E45E0"/>
    <w:rsid w:val="004E6A6A"/>
    <w:rsid w:val="004E7640"/>
    <w:rsid w:val="004F1C38"/>
    <w:rsid w:val="004F3FEC"/>
    <w:rsid w:val="004F477F"/>
    <w:rsid w:val="004F4C8B"/>
    <w:rsid w:val="004F55EB"/>
    <w:rsid w:val="005017C4"/>
    <w:rsid w:val="00501CA1"/>
    <w:rsid w:val="00501D7E"/>
    <w:rsid w:val="005046B3"/>
    <w:rsid w:val="00504F70"/>
    <w:rsid w:val="005059A3"/>
    <w:rsid w:val="00506EC0"/>
    <w:rsid w:val="0051251F"/>
    <w:rsid w:val="00513853"/>
    <w:rsid w:val="00514532"/>
    <w:rsid w:val="005149DA"/>
    <w:rsid w:val="00514B5B"/>
    <w:rsid w:val="005156E2"/>
    <w:rsid w:val="005163DF"/>
    <w:rsid w:val="00521697"/>
    <w:rsid w:val="00522BB2"/>
    <w:rsid w:val="00525A9A"/>
    <w:rsid w:val="00536072"/>
    <w:rsid w:val="00541E03"/>
    <w:rsid w:val="00545FD9"/>
    <w:rsid w:val="0055083E"/>
    <w:rsid w:val="005559F7"/>
    <w:rsid w:val="00557C76"/>
    <w:rsid w:val="005601E1"/>
    <w:rsid w:val="00561214"/>
    <w:rsid w:val="0056213C"/>
    <w:rsid w:val="00562685"/>
    <w:rsid w:val="00562DFD"/>
    <w:rsid w:val="0056640A"/>
    <w:rsid w:val="00566A5A"/>
    <w:rsid w:val="00567129"/>
    <w:rsid w:val="00567E29"/>
    <w:rsid w:val="00572276"/>
    <w:rsid w:val="0057613E"/>
    <w:rsid w:val="00583E73"/>
    <w:rsid w:val="00587070"/>
    <w:rsid w:val="00587812"/>
    <w:rsid w:val="00587A18"/>
    <w:rsid w:val="005910F9"/>
    <w:rsid w:val="0059297D"/>
    <w:rsid w:val="00593C92"/>
    <w:rsid w:val="00594809"/>
    <w:rsid w:val="00596432"/>
    <w:rsid w:val="00596E1C"/>
    <w:rsid w:val="00597D89"/>
    <w:rsid w:val="005A1310"/>
    <w:rsid w:val="005A306E"/>
    <w:rsid w:val="005A4A5C"/>
    <w:rsid w:val="005A5C79"/>
    <w:rsid w:val="005A668F"/>
    <w:rsid w:val="005B050C"/>
    <w:rsid w:val="005B1E2B"/>
    <w:rsid w:val="005B3FD3"/>
    <w:rsid w:val="005B45DA"/>
    <w:rsid w:val="005B4625"/>
    <w:rsid w:val="005B6E14"/>
    <w:rsid w:val="005B7E78"/>
    <w:rsid w:val="005C0686"/>
    <w:rsid w:val="005C2846"/>
    <w:rsid w:val="005C2AEE"/>
    <w:rsid w:val="005C51E1"/>
    <w:rsid w:val="005D1AA4"/>
    <w:rsid w:val="005D1C23"/>
    <w:rsid w:val="005D4DBD"/>
    <w:rsid w:val="005D6649"/>
    <w:rsid w:val="005D670A"/>
    <w:rsid w:val="005D7E45"/>
    <w:rsid w:val="005E07AE"/>
    <w:rsid w:val="005E18EA"/>
    <w:rsid w:val="005E2177"/>
    <w:rsid w:val="005E24E4"/>
    <w:rsid w:val="005E2899"/>
    <w:rsid w:val="005E4FA6"/>
    <w:rsid w:val="005F023C"/>
    <w:rsid w:val="005F361E"/>
    <w:rsid w:val="005F5651"/>
    <w:rsid w:val="00600962"/>
    <w:rsid w:val="00601AB7"/>
    <w:rsid w:val="006040AC"/>
    <w:rsid w:val="006040C5"/>
    <w:rsid w:val="00604C8C"/>
    <w:rsid w:val="00605888"/>
    <w:rsid w:val="00605B84"/>
    <w:rsid w:val="00605F4B"/>
    <w:rsid w:val="00612473"/>
    <w:rsid w:val="00616AA0"/>
    <w:rsid w:val="006174A5"/>
    <w:rsid w:val="0062023F"/>
    <w:rsid w:val="0062044B"/>
    <w:rsid w:val="00621D00"/>
    <w:rsid w:val="006228A5"/>
    <w:rsid w:val="00624D36"/>
    <w:rsid w:val="006326D4"/>
    <w:rsid w:val="00632A76"/>
    <w:rsid w:val="0063374E"/>
    <w:rsid w:val="00635182"/>
    <w:rsid w:val="00636B0E"/>
    <w:rsid w:val="006416BA"/>
    <w:rsid w:val="006438A5"/>
    <w:rsid w:val="00645552"/>
    <w:rsid w:val="006460BA"/>
    <w:rsid w:val="0065251B"/>
    <w:rsid w:val="00656BF2"/>
    <w:rsid w:val="00656F65"/>
    <w:rsid w:val="00661935"/>
    <w:rsid w:val="00662E79"/>
    <w:rsid w:val="00665785"/>
    <w:rsid w:val="0066587C"/>
    <w:rsid w:val="006663B9"/>
    <w:rsid w:val="00670D59"/>
    <w:rsid w:val="006732B6"/>
    <w:rsid w:val="0067477A"/>
    <w:rsid w:val="00680C07"/>
    <w:rsid w:val="0068264F"/>
    <w:rsid w:val="00687B47"/>
    <w:rsid w:val="00695709"/>
    <w:rsid w:val="006964FF"/>
    <w:rsid w:val="006976C5"/>
    <w:rsid w:val="006A094D"/>
    <w:rsid w:val="006A2378"/>
    <w:rsid w:val="006A3A9B"/>
    <w:rsid w:val="006A44A3"/>
    <w:rsid w:val="006A6FE3"/>
    <w:rsid w:val="006A715A"/>
    <w:rsid w:val="006A793E"/>
    <w:rsid w:val="006B15F4"/>
    <w:rsid w:val="006B500D"/>
    <w:rsid w:val="006B5F27"/>
    <w:rsid w:val="006B71D4"/>
    <w:rsid w:val="006C1275"/>
    <w:rsid w:val="006C2337"/>
    <w:rsid w:val="006C422F"/>
    <w:rsid w:val="006C4F31"/>
    <w:rsid w:val="006C520F"/>
    <w:rsid w:val="006C53ED"/>
    <w:rsid w:val="006C60E8"/>
    <w:rsid w:val="006C6FA4"/>
    <w:rsid w:val="006D052E"/>
    <w:rsid w:val="006D09FB"/>
    <w:rsid w:val="006D105E"/>
    <w:rsid w:val="006D214E"/>
    <w:rsid w:val="006D2E0A"/>
    <w:rsid w:val="006D32DE"/>
    <w:rsid w:val="006D6080"/>
    <w:rsid w:val="006E09C4"/>
    <w:rsid w:val="006E44FD"/>
    <w:rsid w:val="006F2124"/>
    <w:rsid w:val="006F4B9E"/>
    <w:rsid w:val="006F513A"/>
    <w:rsid w:val="006F7B5E"/>
    <w:rsid w:val="00700FE1"/>
    <w:rsid w:val="00701BE4"/>
    <w:rsid w:val="00702385"/>
    <w:rsid w:val="00702C2D"/>
    <w:rsid w:val="00702E31"/>
    <w:rsid w:val="00702F0F"/>
    <w:rsid w:val="00703B7E"/>
    <w:rsid w:val="0070439D"/>
    <w:rsid w:val="007067FF"/>
    <w:rsid w:val="007124F3"/>
    <w:rsid w:val="00713DE6"/>
    <w:rsid w:val="00715A22"/>
    <w:rsid w:val="0071738F"/>
    <w:rsid w:val="007176D1"/>
    <w:rsid w:val="00724A09"/>
    <w:rsid w:val="00727B62"/>
    <w:rsid w:val="007306B1"/>
    <w:rsid w:val="00731E4F"/>
    <w:rsid w:val="00735FF3"/>
    <w:rsid w:val="0074194F"/>
    <w:rsid w:val="00743E28"/>
    <w:rsid w:val="00751104"/>
    <w:rsid w:val="00754FCE"/>
    <w:rsid w:val="00762A05"/>
    <w:rsid w:val="007632A2"/>
    <w:rsid w:val="00763D73"/>
    <w:rsid w:val="00766DD0"/>
    <w:rsid w:val="00766EE9"/>
    <w:rsid w:val="00772245"/>
    <w:rsid w:val="00773EE1"/>
    <w:rsid w:val="00774FA8"/>
    <w:rsid w:val="0077568B"/>
    <w:rsid w:val="00776071"/>
    <w:rsid w:val="0078160D"/>
    <w:rsid w:val="007821A9"/>
    <w:rsid w:val="007830A4"/>
    <w:rsid w:val="00790790"/>
    <w:rsid w:val="00790886"/>
    <w:rsid w:val="007910F7"/>
    <w:rsid w:val="00793708"/>
    <w:rsid w:val="00794C42"/>
    <w:rsid w:val="007959CF"/>
    <w:rsid w:val="00795D64"/>
    <w:rsid w:val="00796D41"/>
    <w:rsid w:val="00797984"/>
    <w:rsid w:val="007A1118"/>
    <w:rsid w:val="007A2764"/>
    <w:rsid w:val="007A4DC3"/>
    <w:rsid w:val="007A5E3C"/>
    <w:rsid w:val="007A6494"/>
    <w:rsid w:val="007A79CF"/>
    <w:rsid w:val="007A7F5B"/>
    <w:rsid w:val="007B2EAD"/>
    <w:rsid w:val="007B56DC"/>
    <w:rsid w:val="007B6BFB"/>
    <w:rsid w:val="007C012D"/>
    <w:rsid w:val="007C07DF"/>
    <w:rsid w:val="007C111E"/>
    <w:rsid w:val="007C1BFC"/>
    <w:rsid w:val="007C3A07"/>
    <w:rsid w:val="007C52D5"/>
    <w:rsid w:val="007D0CFD"/>
    <w:rsid w:val="007D62AD"/>
    <w:rsid w:val="007E2BD9"/>
    <w:rsid w:val="007E2C9B"/>
    <w:rsid w:val="007E4447"/>
    <w:rsid w:val="007E4476"/>
    <w:rsid w:val="007E6F88"/>
    <w:rsid w:val="007E7385"/>
    <w:rsid w:val="007F0068"/>
    <w:rsid w:val="007F0174"/>
    <w:rsid w:val="007F19E1"/>
    <w:rsid w:val="007F28F1"/>
    <w:rsid w:val="007F37EF"/>
    <w:rsid w:val="007F4874"/>
    <w:rsid w:val="007F54DC"/>
    <w:rsid w:val="007F5E27"/>
    <w:rsid w:val="007F7063"/>
    <w:rsid w:val="007F7244"/>
    <w:rsid w:val="00802E68"/>
    <w:rsid w:val="00804AFF"/>
    <w:rsid w:val="00805B6A"/>
    <w:rsid w:val="00810535"/>
    <w:rsid w:val="00810F69"/>
    <w:rsid w:val="00811FD5"/>
    <w:rsid w:val="008170AA"/>
    <w:rsid w:val="00817638"/>
    <w:rsid w:val="0082379B"/>
    <w:rsid w:val="0082420A"/>
    <w:rsid w:val="00824D5C"/>
    <w:rsid w:val="0082548E"/>
    <w:rsid w:val="00827537"/>
    <w:rsid w:val="008323B6"/>
    <w:rsid w:val="00832A66"/>
    <w:rsid w:val="0083343A"/>
    <w:rsid w:val="0083440A"/>
    <w:rsid w:val="00835728"/>
    <w:rsid w:val="0083682A"/>
    <w:rsid w:val="00837F3D"/>
    <w:rsid w:val="00841263"/>
    <w:rsid w:val="008413C1"/>
    <w:rsid w:val="008429D7"/>
    <w:rsid w:val="00850765"/>
    <w:rsid w:val="008539E8"/>
    <w:rsid w:val="00853B64"/>
    <w:rsid w:val="008542F5"/>
    <w:rsid w:val="00854615"/>
    <w:rsid w:val="008608B9"/>
    <w:rsid w:val="008643F0"/>
    <w:rsid w:val="00864AE7"/>
    <w:rsid w:val="00865789"/>
    <w:rsid w:val="00867765"/>
    <w:rsid w:val="00873B05"/>
    <w:rsid w:val="008746E4"/>
    <w:rsid w:val="008759FF"/>
    <w:rsid w:val="0087725A"/>
    <w:rsid w:val="00877B00"/>
    <w:rsid w:val="00880D77"/>
    <w:rsid w:val="00880F28"/>
    <w:rsid w:val="00881ABB"/>
    <w:rsid w:val="00881C85"/>
    <w:rsid w:val="008825C2"/>
    <w:rsid w:val="0088550F"/>
    <w:rsid w:val="0088573E"/>
    <w:rsid w:val="00886580"/>
    <w:rsid w:val="008902C0"/>
    <w:rsid w:val="00890665"/>
    <w:rsid w:val="00892274"/>
    <w:rsid w:val="0089741F"/>
    <w:rsid w:val="008A0614"/>
    <w:rsid w:val="008A0EB1"/>
    <w:rsid w:val="008A2CB6"/>
    <w:rsid w:val="008A32AE"/>
    <w:rsid w:val="008A495E"/>
    <w:rsid w:val="008A5A3C"/>
    <w:rsid w:val="008A746B"/>
    <w:rsid w:val="008B0787"/>
    <w:rsid w:val="008B155E"/>
    <w:rsid w:val="008B268B"/>
    <w:rsid w:val="008B2BF8"/>
    <w:rsid w:val="008B3250"/>
    <w:rsid w:val="008B49EE"/>
    <w:rsid w:val="008B4A8E"/>
    <w:rsid w:val="008B4B00"/>
    <w:rsid w:val="008B5716"/>
    <w:rsid w:val="008C13FE"/>
    <w:rsid w:val="008C1D1E"/>
    <w:rsid w:val="008C3B4F"/>
    <w:rsid w:val="008C6F45"/>
    <w:rsid w:val="008D63CF"/>
    <w:rsid w:val="008D7B12"/>
    <w:rsid w:val="008E069A"/>
    <w:rsid w:val="008E113D"/>
    <w:rsid w:val="008E1ED5"/>
    <w:rsid w:val="008E2061"/>
    <w:rsid w:val="008E3600"/>
    <w:rsid w:val="008E52FD"/>
    <w:rsid w:val="008E67DF"/>
    <w:rsid w:val="008E715D"/>
    <w:rsid w:val="008E757A"/>
    <w:rsid w:val="008E7CA4"/>
    <w:rsid w:val="008F59EC"/>
    <w:rsid w:val="008F618B"/>
    <w:rsid w:val="008F66A4"/>
    <w:rsid w:val="009010E2"/>
    <w:rsid w:val="009028AC"/>
    <w:rsid w:val="00904DAE"/>
    <w:rsid w:val="00906F27"/>
    <w:rsid w:val="0090713E"/>
    <w:rsid w:val="00907535"/>
    <w:rsid w:val="009077E5"/>
    <w:rsid w:val="00911625"/>
    <w:rsid w:val="00912A63"/>
    <w:rsid w:val="00914D5D"/>
    <w:rsid w:val="009150C5"/>
    <w:rsid w:val="009171B4"/>
    <w:rsid w:val="009175B8"/>
    <w:rsid w:val="009204B3"/>
    <w:rsid w:val="009217AD"/>
    <w:rsid w:val="009220F3"/>
    <w:rsid w:val="00922E89"/>
    <w:rsid w:val="009268F2"/>
    <w:rsid w:val="00927479"/>
    <w:rsid w:val="00934081"/>
    <w:rsid w:val="009347A7"/>
    <w:rsid w:val="00934C32"/>
    <w:rsid w:val="009353E2"/>
    <w:rsid w:val="00937FF7"/>
    <w:rsid w:val="009449B3"/>
    <w:rsid w:val="0094657D"/>
    <w:rsid w:val="00950644"/>
    <w:rsid w:val="00950E6B"/>
    <w:rsid w:val="0095240B"/>
    <w:rsid w:val="00952F98"/>
    <w:rsid w:val="00954B6C"/>
    <w:rsid w:val="00956D6B"/>
    <w:rsid w:val="0095771C"/>
    <w:rsid w:val="00961B6E"/>
    <w:rsid w:val="009635A3"/>
    <w:rsid w:val="00964FEB"/>
    <w:rsid w:val="00965CB9"/>
    <w:rsid w:val="0096634E"/>
    <w:rsid w:val="00972ADB"/>
    <w:rsid w:val="009738C7"/>
    <w:rsid w:val="009742DD"/>
    <w:rsid w:val="00974BD5"/>
    <w:rsid w:val="00984450"/>
    <w:rsid w:val="00984896"/>
    <w:rsid w:val="00985193"/>
    <w:rsid w:val="0098731A"/>
    <w:rsid w:val="00987DB8"/>
    <w:rsid w:val="00990404"/>
    <w:rsid w:val="009913C3"/>
    <w:rsid w:val="00991C12"/>
    <w:rsid w:val="009927ED"/>
    <w:rsid w:val="0099370C"/>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3290"/>
    <w:rsid w:val="009C5371"/>
    <w:rsid w:val="009C6E01"/>
    <w:rsid w:val="009D0F50"/>
    <w:rsid w:val="009D420F"/>
    <w:rsid w:val="009D4BF6"/>
    <w:rsid w:val="009D6DC4"/>
    <w:rsid w:val="009E34CD"/>
    <w:rsid w:val="009E5668"/>
    <w:rsid w:val="009E67C9"/>
    <w:rsid w:val="009E68BA"/>
    <w:rsid w:val="009E6E7C"/>
    <w:rsid w:val="009E7182"/>
    <w:rsid w:val="009E71FD"/>
    <w:rsid w:val="009E7DC7"/>
    <w:rsid w:val="009F0B76"/>
    <w:rsid w:val="009F5C69"/>
    <w:rsid w:val="009F6E2E"/>
    <w:rsid w:val="009F7DE7"/>
    <w:rsid w:val="00A02A60"/>
    <w:rsid w:val="00A06470"/>
    <w:rsid w:val="00A07776"/>
    <w:rsid w:val="00A14C4C"/>
    <w:rsid w:val="00A155DA"/>
    <w:rsid w:val="00A15D8A"/>
    <w:rsid w:val="00A219A5"/>
    <w:rsid w:val="00A22462"/>
    <w:rsid w:val="00A23A57"/>
    <w:rsid w:val="00A25912"/>
    <w:rsid w:val="00A27DC7"/>
    <w:rsid w:val="00A30476"/>
    <w:rsid w:val="00A32660"/>
    <w:rsid w:val="00A33241"/>
    <w:rsid w:val="00A33640"/>
    <w:rsid w:val="00A343B5"/>
    <w:rsid w:val="00A34511"/>
    <w:rsid w:val="00A3594D"/>
    <w:rsid w:val="00A41F53"/>
    <w:rsid w:val="00A4553E"/>
    <w:rsid w:val="00A46103"/>
    <w:rsid w:val="00A47B92"/>
    <w:rsid w:val="00A505FF"/>
    <w:rsid w:val="00A5151F"/>
    <w:rsid w:val="00A52F83"/>
    <w:rsid w:val="00A531D2"/>
    <w:rsid w:val="00A54715"/>
    <w:rsid w:val="00A60F99"/>
    <w:rsid w:val="00A616A3"/>
    <w:rsid w:val="00A627B9"/>
    <w:rsid w:val="00A63470"/>
    <w:rsid w:val="00A637DE"/>
    <w:rsid w:val="00A66D70"/>
    <w:rsid w:val="00A71584"/>
    <w:rsid w:val="00A72DCF"/>
    <w:rsid w:val="00A73E27"/>
    <w:rsid w:val="00A76914"/>
    <w:rsid w:val="00A77252"/>
    <w:rsid w:val="00A800C9"/>
    <w:rsid w:val="00A80D64"/>
    <w:rsid w:val="00A8110E"/>
    <w:rsid w:val="00A81BA3"/>
    <w:rsid w:val="00A84093"/>
    <w:rsid w:val="00A84C91"/>
    <w:rsid w:val="00A85E90"/>
    <w:rsid w:val="00A8657E"/>
    <w:rsid w:val="00A8678B"/>
    <w:rsid w:val="00A87534"/>
    <w:rsid w:val="00A94C26"/>
    <w:rsid w:val="00AA11B0"/>
    <w:rsid w:val="00AA125E"/>
    <w:rsid w:val="00AA4111"/>
    <w:rsid w:val="00AA5CA5"/>
    <w:rsid w:val="00AA7266"/>
    <w:rsid w:val="00AB0010"/>
    <w:rsid w:val="00AB04E0"/>
    <w:rsid w:val="00AB0F9D"/>
    <w:rsid w:val="00AB2605"/>
    <w:rsid w:val="00AB3258"/>
    <w:rsid w:val="00AC41DE"/>
    <w:rsid w:val="00AC41F5"/>
    <w:rsid w:val="00AC422C"/>
    <w:rsid w:val="00AC5D3F"/>
    <w:rsid w:val="00AC7EAE"/>
    <w:rsid w:val="00AD2EC5"/>
    <w:rsid w:val="00AD578B"/>
    <w:rsid w:val="00AD740E"/>
    <w:rsid w:val="00AD7DEC"/>
    <w:rsid w:val="00AE00C4"/>
    <w:rsid w:val="00AE0E95"/>
    <w:rsid w:val="00AE2876"/>
    <w:rsid w:val="00AE62A5"/>
    <w:rsid w:val="00AE669B"/>
    <w:rsid w:val="00AE6F9D"/>
    <w:rsid w:val="00AE7628"/>
    <w:rsid w:val="00AE79EC"/>
    <w:rsid w:val="00AF0399"/>
    <w:rsid w:val="00AF2E89"/>
    <w:rsid w:val="00B01D6A"/>
    <w:rsid w:val="00B02D01"/>
    <w:rsid w:val="00B03C1D"/>
    <w:rsid w:val="00B06C44"/>
    <w:rsid w:val="00B07774"/>
    <w:rsid w:val="00B1054F"/>
    <w:rsid w:val="00B14845"/>
    <w:rsid w:val="00B15CA5"/>
    <w:rsid w:val="00B168F3"/>
    <w:rsid w:val="00B218EF"/>
    <w:rsid w:val="00B22DB0"/>
    <w:rsid w:val="00B30383"/>
    <w:rsid w:val="00B33802"/>
    <w:rsid w:val="00B33F66"/>
    <w:rsid w:val="00B34F51"/>
    <w:rsid w:val="00B36895"/>
    <w:rsid w:val="00B41494"/>
    <w:rsid w:val="00B41C72"/>
    <w:rsid w:val="00B4256D"/>
    <w:rsid w:val="00B44D9F"/>
    <w:rsid w:val="00B46653"/>
    <w:rsid w:val="00B52520"/>
    <w:rsid w:val="00B60329"/>
    <w:rsid w:val="00B611BE"/>
    <w:rsid w:val="00B62338"/>
    <w:rsid w:val="00B62974"/>
    <w:rsid w:val="00B64122"/>
    <w:rsid w:val="00B64F73"/>
    <w:rsid w:val="00B67F97"/>
    <w:rsid w:val="00B67FAE"/>
    <w:rsid w:val="00B70CFA"/>
    <w:rsid w:val="00B77E3B"/>
    <w:rsid w:val="00B8126A"/>
    <w:rsid w:val="00B814AC"/>
    <w:rsid w:val="00B82FE3"/>
    <w:rsid w:val="00B8520C"/>
    <w:rsid w:val="00B86B3D"/>
    <w:rsid w:val="00B94F19"/>
    <w:rsid w:val="00B9789D"/>
    <w:rsid w:val="00BA0A7F"/>
    <w:rsid w:val="00BA0B59"/>
    <w:rsid w:val="00BA23F9"/>
    <w:rsid w:val="00BA5D46"/>
    <w:rsid w:val="00BB2FDB"/>
    <w:rsid w:val="00BB3439"/>
    <w:rsid w:val="00BB39A1"/>
    <w:rsid w:val="00BB636F"/>
    <w:rsid w:val="00BB641C"/>
    <w:rsid w:val="00BC0626"/>
    <w:rsid w:val="00BC0BA1"/>
    <w:rsid w:val="00BC2592"/>
    <w:rsid w:val="00BC2A50"/>
    <w:rsid w:val="00BC3EE3"/>
    <w:rsid w:val="00BC4231"/>
    <w:rsid w:val="00BC5669"/>
    <w:rsid w:val="00BC6827"/>
    <w:rsid w:val="00BC747E"/>
    <w:rsid w:val="00BC7A09"/>
    <w:rsid w:val="00BD0299"/>
    <w:rsid w:val="00BD764A"/>
    <w:rsid w:val="00BE2F3E"/>
    <w:rsid w:val="00BE3426"/>
    <w:rsid w:val="00BE3994"/>
    <w:rsid w:val="00BE514F"/>
    <w:rsid w:val="00BE7F85"/>
    <w:rsid w:val="00BF2700"/>
    <w:rsid w:val="00BF2C88"/>
    <w:rsid w:val="00BF4F3D"/>
    <w:rsid w:val="00BF510A"/>
    <w:rsid w:val="00BF5D86"/>
    <w:rsid w:val="00BF6EFC"/>
    <w:rsid w:val="00BF7A51"/>
    <w:rsid w:val="00C0120F"/>
    <w:rsid w:val="00C01A20"/>
    <w:rsid w:val="00C023BE"/>
    <w:rsid w:val="00C0737C"/>
    <w:rsid w:val="00C07BC4"/>
    <w:rsid w:val="00C11C05"/>
    <w:rsid w:val="00C15E55"/>
    <w:rsid w:val="00C2046D"/>
    <w:rsid w:val="00C20C0E"/>
    <w:rsid w:val="00C21465"/>
    <w:rsid w:val="00C21961"/>
    <w:rsid w:val="00C22A7C"/>
    <w:rsid w:val="00C24207"/>
    <w:rsid w:val="00C25652"/>
    <w:rsid w:val="00C2717C"/>
    <w:rsid w:val="00C30C94"/>
    <w:rsid w:val="00C31F87"/>
    <w:rsid w:val="00C33815"/>
    <w:rsid w:val="00C34635"/>
    <w:rsid w:val="00C35453"/>
    <w:rsid w:val="00C35DC2"/>
    <w:rsid w:val="00C3694A"/>
    <w:rsid w:val="00C36B43"/>
    <w:rsid w:val="00C378CD"/>
    <w:rsid w:val="00C44B78"/>
    <w:rsid w:val="00C46DE6"/>
    <w:rsid w:val="00C47F37"/>
    <w:rsid w:val="00C51E4B"/>
    <w:rsid w:val="00C549EE"/>
    <w:rsid w:val="00C556A1"/>
    <w:rsid w:val="00C55A09"/>
    <w:rsid w:val="00C5727F"/>
    <w:rsid w:val="00C626BE"/>
    <w:rsid w:val="00C6375F"/>
    <w:rsid w:val="00C657C6"/>
    <w:rsid w:val="00C660ED"/>
    <w:rsid w:val="00C70696"/>
    <w:rsid w:val="00C73355"/>
    <w:rsid w:val="00C7441A"/>
    <w:rsid w:val="00C74B37"/>
    <w:rsid w:val="00C7598C"/>
    <w:rsid w:val="00C770F1"/>
    <w:rsid w:val="00C82D18"/>
    <w:rsid w:val="00C84001"/>
    <w:rsid w:val="00C84A96"/>
    <w:rsid w:val="00C900C2"/>
    <w:rsid w:val="00C939D0"/>
    <w:rsid w:val="00CA3DE5"/>
    <w:rsid w:val="00CA61DC"/>
    <w:rsid w:val="00CA6F22"/>
    <w:rsid w:val="00CB166E"/>
    <w:rsid w:val="00CB3C73"/>
    <w:rsid w:val="00CB42F4"/>
    <w:rsid w:val="00CB6606"/>
    <w:rsid w:val="00CB67BB"/>
    <w:rsid w:val="00CB6E41"/>
    <w:rsid w:val="00CC07AC"/>
    <w:rsid w:val="00CC3954"/>
    <w:rsid w:val="00CC4C93"/>
    <w:rsid w:val="00CC7B88"/>
    <w:rsid w:val="00CD089B"/>
    <w:rsid w:val="00CD48BB"/>
    <w:rsid w:val="00CD5A88"/>
    <w:rsid w:val="00CD6CB8"/>
    <w:rsid w:val="00CE04F0"/>
    <w:rsid w:val="00CE23E7"/>
    <w:rsid w:val="00CE618B"/>
    <w:rsid w:val="00CE662A"/>
    <w:rsid w:val="00CE6ECC"/>
    <w:rsid w:val="00CF06D3"/>
    <w:rsid w:val="00CF0B5A"/>
    <w:rsid w:val="00CF4497"/>
    <w:rsid w:val="00CF4CBA"/>
    <w:rsid w:val="00CF54E8"/>
    <w:rsid w:val="00CF6B9D"/>
    <w:rsid w:val="00CF6F33"/>
    <w:rsid w:val="00D0021B"/>
    <w:rsid w:val="00D00EE6"/>
    <w:rsid w:val="00D02632"/>
    <w:rsid w:val="00D02EA3"/>
    <w:rsid w:val="00D03A58"/>
    <w:rsid w:val="00D04DEE"/>
    <w:rsid w:val="00D06ACA"/>
    <w:rsid w:val="00D10526"/>
    <w:rsid w:val="00D20A28"/>
    <w:rsid w:val="00D21BD5"/>
    <w:rsid w:val="00D2272F"/>
    <w:rsid w:val="00D27DB3"/>
    <w:rsid w:val="00D307A1"/>
    <w:rsid w:val="00D308A4"/>
    <w:rsid w:val="00D337AB"/>
    <w:rsid w:val="00D338CE"/>
    <w:rsid w:val="00D34D87"/>
    <w:rsid w:val="00D35DCF"/>
    <w:rsid w:val="00D36A4B"/>
    <w:rsid w:val="00D36AB7"/>
    <w:rsid w:val="00D3780D"/>
    <w:rsid w:val="00D42326"/>
    <w:rsid w:val="00D443A7"/>
    <w:rsid w:val="00D47871"/>
    <w:rsid w:val="00D47DEB"/>
    <w:rsid w:val="00D50120"/>
    <w:rsid w:val="00D50D15"/>
    <w:rsid w:val="00D518B6"/>
    <w:rsid w:val="00D53985"/>
    <w:rsid w:val="00D53F55"/>
    <w:rsid w:val="00D54D92"/>
    <w:rsid w:val="00D577DD"/>
    <w:rsid w:val="00D60EAB"/>
    <w:rsid w:val="00D61607"/>
    <w:rsid w:val="00D618E6"/>
    <w:rsid w:val="00D62E49"/>
    <w:rsid w:val="00D6652E"/>
    <w:rsid w:val="00D67707"/>
    <w:rsid w:val="00D73DBA"/>
    <w:rsid w:val="00D7537C"/>
    <w:rsid w:val="00D75475"/>
    <w:rsid w:val="00D7582F"/>
    <w:rsid w:val="00D76F66"/>
    <w:rsid w:val="00D77E7F"/>
    <w:rsid w:val="00D81003"/>
    <w:rsid w:val="00D8102A"/>
    <w:rsid w:val="00D8136E"/>
    <w:rsid w:val="00D817B4"/>
    <w:rsid w:val="00D81985"/>
    <w:rsid w:val="00D85324"/>
    <w:rsid w:val="00D85E68"/>
    <w:rsid w:val="00D85E71"/>
    <w:rsid w:val="00D9362A"/>
    <w:rsid w:val="00D93C7D"/>
    <w:rsid w:val="00D947F5"/>
    <w:rsid w:val="00D95D8C"/>
    <w:rsid w:val="00DA190C"/>
    <w:rsid w:val="00DA1EB3"/>
    <w:rsid w:val="00DA402D"/>
    <w:rsid w:val="00DA4798"/>
    <w:rsid w:val="00DA6228"/>
    <w:rsid w:val="00DA64D0"/>
    <w:rsid w:val="00DB12C5"/>
    <w:rsid w:val="00DB1A94"/>
    <w:rsid w:val="00DB34C6"/>
    <w:rsid w:val="00DB5160"/>
    <w:rsid w:val="00DB6986"/>
    <w:rsid w:val="00DB6F54"/>
    <w:rsid w:val="00DB7E9C"/>
    <w:rsid w:val="00DC2121"/>
    <w:rsid w:val="00DC3D7B"/>
    <w:rsid w:val="00DC5B1C"/>
    <w:rsid w:val="00DD1992"/>
    <w:rsid w:val="00DD1EEB"/>
    <w:rsid w:val="00DD24B8"/>
    <w:rsid w:val="00DD3373"/>
    <w:rsid w:val="00DD6E92"/>
    <w:rsid w:val="00DE02AA"/>
    <w:rsid w:val="00DE0A89"/>
    <w:rsid w:val="00DE0BD2"/>
    <w:rsid w:val="00DE1703"/>
    <w:rsid w:val="00DE2548"/>
    <w:rsid w:val="00DE3E23"/>
    <w:rsid w:val="00DE56F3"/>
    <w:rsid w:val="00DE5A11"/>
    <w:rsid w:val="00DE72D9"/>
    <w:rsid w:val="00DF27B0"/>
    <w:rsid w:val="00E00485"/>
    <w:rsid w:val="00E02F6B"/>
    <w:rsid w:val="00E0533B"/>
    <w:rsid w:val="00E067E8"/>
    <w:rsid w:val="00E10E90"/>
    <w:rsid w:val="00E13C80"/>
    <w:rsid w:val="00E166BE"/>
    <w:rsid w:val="00E174CB"/>
    <w:rsid w:val="00E17682"/>
    <w:rsid w:val="00E221D1"/>
    <w:rsid w:val="00E23EAB"/>
    <w:rsid w:val="00E24918"/>
    <w:rsid w:val="00E2571F"/>
    <w:rsid w:val="00E26914"/>
    <w:rsid w:val="00E30785"/>
    <w:rsid w:val="00E33958"/>
    <w:rsid w:val="00E33B13"/>
    <w:rsid w:val="00E36926"/>
    <w:rsid w:val="00E41398"/>
    <w:rsid w:val="00E444D8"/>
    <w:rsid w:val="00E44952"/>
    <w:rsid w:val="00E47AC8"/>
    <w:rsid w:val="00E50CC3"/>
    <w:rsid w:val="00E52C66"/>
    <w:rsid w:val="00E52E54"/>
    <w:rsid w:val="00E534E3"/>
    <w:rsid w:val="00E54D9E"/>
    <w:rsid w:val="00E550FB"/>
    <w:rsid w:val="00E551D6"/>
    <w:rsid w:val="00E555AE"/>
    <w:rsid w:val="00E55AE2"/>
    <w:rsid w:val="00E62228"/>
    <w:rsid w:val="00E62C91"/>
    <w:rsid w:val="00E711EE"/>
    <w:rsid w:val="00E7278A"/>
    <w:rsid w:val="00E729F3"/>
    <w:rsid w:val="00E73031"/>
    <w:rsid w:val="00E73881"/>
    <w:rsid w:val="00E7461E"/>
    <w:rsid w:val="00E757C2"/>
    <w:rsid w:val="00E7636F"/>
    <w:rsid w:val="00E76C78"/>
    <w:rsid w:val="00E77065"/>
    <w:rsid w:val="00E81682"/>
    <w:rsid w:val="00E825D9"/>
    <w:rsid w:val="00E8290F"/>
    <w:rsid w:val="00E85565"/>
    <w:rsid w:val="00E86D42"/>
    <w:rsid w:val="00E86E38"/>
    <w:rsid w:val="00E91D74"/>
    <w:rsid w:val="00E92DF3"/>
    <w:rsid w:val="00E94E74"/>
    <w:rsid w:val="00E960C6"/>
    <w:rsid w:val="00EA0691"/>
    <w:rsid w:val="00EA0AD7"/>
    <w:rsid w:val="00EA185B"/>
    <w:rsid w:val="00EA1D1A"/>
    <w:rsid w:val="00EA4EE0"/>
    <w:rsid w:val="00EB26BF"/>
    <w:rsid w:val="00EB57B8"/>
    <w:rsid w:val="00EC16A9"/>
    <w:rsid w:val="00EC19C6"/>
    <w:rsid w:val="00EC2F20"/>
    <w:rsid w:val="00EC302D"/>
    <w:rsid w:val="00EC3209"/>
    <w:rsid w:val="00EC6795"/>
    <w:rsid w:val="00EC7069"/>
    <w:rsid w:val="00EC7C43"/>
    <w:rsid w:val="00ED1C94"/>
    <w:rsid w:val="00ED4A4E"/>
    <w:rsid w:val="00ED4CD8"/>
    <w:rsid w:val="00ED6316"/>
    <w:rsid w:val="00ED65F6"/>
    <w:rsid w:val="00EE0AAF"/>
    <w:rsid w:val="00EE3400"/>
    <w:rsid w:val="00EE40D7"/>
    <w:rsid w:val="00EE44B8"/>
    <w:rsid w:val="00EE4727"/>
    <w:rsid w:val="00EE4E5A"/>
    <w:rsid w:val="00EE6F63"/>
    <w:rsid w:val="00EF33B8"/>
    <w:rsid w:val="00EF4DBB"/>
    <w:rsid w:val="00EF4F76"/>
    <w:rsid w:val="00EF73B2"/>
    <w:rsid w:val="00F00EFC"/>
    <w:rsid w:val="00F00FFD"/>
    <w:rsid w:val="00F036B6"/>
    <w:rsid w:val="00F04291"/>
    <w:rsid w:val="00F06080"/>
    <w:rsid w:val="00F06AE8"/>
    <w:rsid w:val="00F15CCB"/>
    <w:rsid w:val="00F233DD"/>
    <w:rsid w:val="00F24697"/>
    <w:rsid w:val="00F24D78"/>
    <w:rsid w:val="00F2595B"/>
    <w:rsid w:val="00F32A41"/>
    <w:rsid w:val="00F40B53"/>
    <w:rsid w:val="00F42465"/>
    <w:rsid w:val="00F46FDF"/>
    <w:rsid w:val="00F478AB"/>
    <w:rsid w:val="00F50EB3"/>
    <w:rsid w:val="00F5155D"/>
    <w:rsid w:val="00F520C5"/>
    <w:rsid w:val="00F536D5"/>
    <w:rsid w:val="00F5374B"/>
    <w:rsid w:val="00F538A4"/>
    <w:rsid w:val="00F53C9B"/>
    <w:rsid w:val="00F57580"/>
    <w:rsid w:val="00F64EB1"/>
    <w:rsid w:val="00F6556A"/>
    <w:rsid w:val="00F71EE0"/>
    <w:rsid w:val="00F736B0"/>
    <w:rsid w:val="00F75091"/>
    <w:rsid w:val="00F75DC0"/>
    <w:rsid w:val="00F773AD"/>
    <w:rsid w:val="00F81DC1"/>
    <w:rsid w:val="00F83577"/>
    <w:rsid w:val="00F83AA6"/>
    <w:rsid w:val="00F941D3"/>
    <w:rsid w:val="00F943A5"/>
    <w:rsid w:val="00FA0293"/>
    <w:rsid w:val="00FA12A5"/>
    <w:rsid w:val="00FA18F5"/>
    <w:rsid w:val="00FA3DBD"/>
    <w:rsid w:val="00FA6D5A"/>
    <w:rsid w:val="00FB01A9"/>
    <w:rsid w:val="00FB142E"/>
    <w:rsid w:val="00FB1904"/>
    <w:rsid w:val="00FB1B9A"/>
    <w:rsid w:val="00FB288C"/>
    <w:rsid w:val="00FB6225"/>
    <w:rsid w:val="00FB7B41"/>
    <w:rsid w:val="00FC1384"/>
    <w:rsid w:val="00FC1609"/>
    <w:rsid w:val="00FC2C65"/>
    <w:rsid w:val="00FC41BE"/>
    <w:rsid w:val="00FC5638"/>
    <w:rsid w:val="00FC7B25"/>
    <w:rsid w:val="00FD0103"/>
    <w:rsid w:val="00FD2D53"/>
    <w:rsid w:val="00FD2F7D"/>
    <w:rsid w:val="00FD5A8C"/>
    <w:rsid w:val="00FD6288"/>
    <w:rsid w:val="00FD6734"/>
    <w:rsid w:val="00FD75C0"/>
    <w:rsid w:val="00FE1E91"/>
    <w:rsid w:val="00FE2B36"/>
    <w:rsid w:val="00FE402D"/>
    <w:rsid w:val="00FE4698"/>
    <w:rsid w:val="00FE51A3"/>
    <w:rsid w:val="00FE78A7"/>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en-ZA"/>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lang w:val="de-AT"/>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en-GB"/>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unhideWhenUsed/>
    <w:rsid w:val="00D0021B"/>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en-GB"/>
    </w:rPr>
  </w:style>
  <w:style w:type="character" w:customStyle="1" w:styleId="Mencinsinresolver1">
    <w:name w:val="Mención sin resolver1"/>
    <w:basedOn w:val="DefaultParagraphFont"/>
    <w:uiPriority w:val="99"/>
    <w:semiHidden/>
    <w:unhideWhenUsed/>
    <w:rsid w:val="00D443A7"/>
    <w:rPr>
      <w:color w:val="605E5C"/>
      <w:shd w:val="clear" w:color="auto" w:fill="E1DFDD"/>
    </w:rPr>
  </w:style>
  <w:style w:type="character" w:customStyle="1" w:styleId="Mencinsinresolver2">
    <w:name w:val="Mención sin resolver2"/>
    <w:basedOn w:val="DefaultParagraphFont"/>
    <w:uiPriority w:val="99"/>
    <w:semiHidden/>
    <w:unhideWhenUsed/>
    <w:rsid w:val="0041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23238980">
      <w:bodyDiv w:val="1"/>
      <w:marLeft w:val="0"/>
      <w:marRight w:val="0"/>
      <w:marTop w:val="0"/>
      <w:marBottom w:val="0"/>
      <w:divBdr>
        <w:top w:val="none" w:sz="0" w:space="0" w:color="auto"/>
        <w:left w:val="none" w:sz="0" w:space="0" w:color="auto"/>
        <w:bottom w:val="none" w:sz="0" w:space="0" w:color="auto"/>
        <w:right w:val="none" w:sz="0" w:space="0" w:color="auto"/>
      </w:divBdr>
      <w:divsChild>
        <w:div w:id="1715740074">
          <w:marLeft w:val="0"/>
          <w:marRight w:val="0"/>
          <w:marTop w:val="0"/>
          <w:marBottom w:val="0"/>
          <w:divBdr>
            <w:top w:val="none" w:sz="0" w:space="0" w:color="auto"/>
            <w:left w:val="none" w:sz="0" w:space="0" w:color="auto"/>
            <w:bottom w:val="none" w:sz="0" w:space="0" w:color="auto"/>
            <w:right w:val="none" w:sz="0" w:space="0" w:color="auto"/>
          </w:divBdr>
          <w:divsChild>
            <w:div w:id="216010319">
              <w:marLeft w:val="0"/>
              <w:marRight w:val="0"/>
              <w:marTop w:val="0"/>
              <w:marBottom w:val="0"/>
              <w:divBdr>
                <w:top w:val="none" w:sz="0" w:space="0" w:color="auto"/>
                <w:left w:val="none" w:sz="0" w:space="0" w:color="auto"/>
                <w:bottom w:val="none" w:sz="0" w:space="0" w:color="auto"/>
                <w:right w:val="none" w:sz="0" w:space="0" w:color="auto"/>
              </w:divBdr>
              <w:divsChild>
                <w:div w:id="1207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350842197">
      <w:bodyDiv w:val="1"/>
      <w:marLeft w:val="0"/>
      <w:marRight w:val="0"/>
      <w:marTop w:val="0"/>
      <w:marBottom w:val="0"/>
      <w:divBdr>
        <w:top w:val="none" w:sz="0" w:space="0" w:color="auto"/>
        <w:left w:val="none" w:sz="0" w:space="0" w:color="auto"/>
        <w:bottom w:val="none" w:sz="0" w:space="0" w:color="auto"/>
        <w:right w:val="none" w:sz="0" w:space="0" w:color="auto"/>
      </w:divBdr>
      <w:divsChild>
        <w:div w:id="2020965859">
          <w:marLeft w:val="0"/>
          <w:marRight w:val="0"/>
          <w:marTop w:val="0"/>
          <w:marBottom w:val="0"/>
          <w:divBdr>
            <w:top w:val="none" w:sz="0" w:space="0" w:color="auto"/>
            <w:left w:val="none" w:sz="0" w:space="0" w:color="auto"/>
            <w:bottom w:val="none" w:sz="0" w:space="0" w:color="auto"/>
            <w:right w:val="none" w:sz="0" w:space="0" w:color="auto"/>
          </w:divBdr>
          <w:divsChild>
            <w:div w:id="2131782770">
              <w:marLeft w:val="0"/>
              <w:marRight w:val="0"/>
              <w:marTop w:val="0"/>
              <w:marBottom w:val="0"/>
              <w:divBdr>
                <w:top w:val="none" w:sz="0" w:space="0" w:color="auto"/>
                <w:left w:val="none" w:sz="0" w:space="0" w:color="auto"/>
                <w:bottom w:val="none" w:sz="0" w:space="0" w:color="auto"/>
                <w:right w:val="none" w:sz="0" w:space="0" w:color="auto"/>
              </w:divBdr>
              <w:divsChild>
                <w:div w:id="460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64763">
      <w:bodyDiv w:val="1"/>
      <w:marLeft w:val="0"/>
      <w:marRight w:val="0"/>
      <w:marTop w:val="0"/>
      <w:marBottom w:val="0"/>
      <w:divBdr>
        <w:top w:val="none" w:sz="0" w:space="0" w:color="auto"/>
        <w:left w:val="none" w:sz="0" w:space="0" w:color="auto"/>
        <w:bottom w:val="none" w:sz="0" w:space="0" w:color="auto"/>
        <w:right w:val="none" w:sz="0" w:space="0" w:color="auto"/>
      </w:divBdr>
      <w:divsChild>
        <w:div w:id="107047204">
          <w:marLeft w:val="0"/>
          <w:marRight w:val="0"/>
          <w:marTop w:val="0"/>
          <w:marBottom w:val="0"/>
          <w:divBdr>
            <w:top w:val="none" w:sz="0" w:space="0" w:color="auto"/>
            <w:left w:val="none" w:sz="0" w:space="0" w:color="auto"/>
            <w:bottom w:val="none" w:sz="0" w:space="0" w:color="auto"/>
            <w:right w:val="none" w:sz="0" w:space="0" w:color="auto"/>
          </w:divBdr>
          <w:divsChild>
            <w:div w:id="1511874266">
              <w:marLeft w:val="0"/>
              <w:marRight w:val="0"/>
              <w:marTop w:val="0"/>
              <w:marBottom w:val="0"/>
              <w:divBdr>
                <w:top w:val="none" w:sz="0" w:space="0" w:color="auto"/>
                <w:left w:val="none" w:sz="0" w:space="0" w:color="auto"/>
                <w:bottom w:val="none" w:sz="0" w:space="0" w:color="auto"/>
                <w:right w:val="none" w:sz="0" w:space="0" w:color="auto"/>
              </w:divBdr>
              <w:divsChild>
                <w:div w:id="13788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482035462">
      <w:bodyDiv w:val="1"/>
      <w:marLeft w:val="0"/>
      <w:marRight w:val="0"/>
      <w:marTop w:val="0"/>
      <w:marBottom w:val="0"/>
      <w:divBdr>
        <w:top w:val="none" w:sz="0" w:space="0" w:color="auto"/>
        <w:left w:val="none" w:sz="0" w:space="0" w:color="auto"/>
        <w:bottom w:val="none" w:sz="0" w:space="0" w:color="auto"/>
        <w:right w:val="none" w:sz="0" w:space="0" w:color="auto"/>
      </w:divBdr>
      <w:divsChild>
        <w:div w:id="920526002">
          <w:marLeft w:val="0"/>
          <w:marRight w:val="0"/>
          <w:marTop w:val="0"/>
          <w:marBottom w:val="0"/>
          <w:divBdr>
            <w:top w:val="none" w:sz="0" w:space="0" w:color="auto"/>
            <w:left w:val="none" w:sz="0" w:space="0" w:color="auto"/>
            <w:bottom w:val="none" w:sz="0" w:space="0" w:color="auto"/>
            <w:right w:val="none" w:sz="0" w:space="0" w:color="auto"/>
          </w:divBdr>
          <w:divsChild>
            <w:div w:id="465855606">
              <w:marLeft w:val="0"/>
              <w:marRight w:val="0"/>
              <w:marTop w:val="0"/>
              <w:marBottom w:val="0"/>
              <w:divBdr>
                <w:top w:val="none" w:sz="0" w:space="0" w:color="auto"/>
                <w:left w:val="none" w:sz="0" w:space="0" w:color="auto"/>
                <w:bottom w:val="none" w:sz="0" w:space="0" w:color="auto"/>
                <w:right w:val="none" w:sz="0" w:space="0" w:color="auto"/>
              </w:divBdr>
              <w:divsChild>
                <w:div w:id="5613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 w:id="2141727798">
      <w:bodyDiv w:val="1"/>
      <w:marLeft w:val="0"/>
      <w:marRight w:val="0"/>
      <w:marTop w:val="0"/>
      <w:marBottom w:val="0"/>
      <w:divBdr>
        <w:top w:val="none" w:sz="0" w:space="0" w:color="auto"/>
        <w:left w:val="none" w:sz="0" w:space="0" w:color="auto"/>
        <w:bottom w:val="none" w:sz="0" w:space="0" w:color="auto"/>
        <w:right w:val="none" w:sz="0" w:space="0" w:color="auto"/>
      </w:divBdr>
      <w:divsChild>
        <w:div w:id="1271626193">
          <w:marLeft w:val="0"/>
          <w:marRight w:val="0"/>
          <w:marTop w:val="0"/>
          <w:marBottom w:val="0"/>
          <w:divBdr>
            <w:top w:val="none" w:sz="0" w:space="0" w:color="auto"/>
            <w:left w:val="none" w:sz="0" w:space="0" w:color="auto"/>
            <w:bottom w:val="none" w:sz="0" w:space="0" w:color="auto"/>
            <w:right w:val="none" w:sz="0" w:space="0" w:color="auto"/>
          </w:divBdr>
          <w:divsChild>
            <w:div w:id="389505336">
              <w:marLeft w:val="0"/>
              <w:marRight w:val="0"/>
              <w:marTop w:val="0"/>
              <w:marBottom w:val="0"/>
              <w:divBdr>
                <w:top w:val="none" w:sz="0" w:space="0" w:color="auto"/>
                <w:left w:val="none" w:sz="0" w:space="0" w:color="auto"/>
                <w:bottom w:val="none" w:sz="0" w:space="0" w:color="auto"/>
                <w:right w:val="none" w:sz="0" w:space="0" w:color="auto"/>
              </w:divBdr>
              <w:divsChild>
                <w:div w:id="1659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goal14" TargetMode="External"/><Relationship Id="rId13" Type="http://schemas.openxmlformats.org/officeDocument/2006/relationships/hyperlink" Target="https://www.ramsar.org/es/documento/directrices-para-la-transversalizacion-de-genero-en-la-convencion-de-ramsar-sobre-l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wetlands_sdgs_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sdgs/metadata?Text=&amp;Goal=15&amp;Target=1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stats.un.org/sdgs/metadata/?Text=&amp;Goal=&amp;Target=14.2" TargetMode="External"/><Relationship Id="rId4" Type="http://schemas.openxmlformats.org/officeDocument/2006/relationships/settings" Target="settings.xml"/><Relationship Id="rId9" Type="http://schemas.openxmlformats.org/officeDocument/2006/relationships/hyperlink" Target="https://sdgs.un.org/goals/goal15"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042B-987D-463C-953B-F7442444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6372</Words>
  <Characters>36322</Characters>
  <Application>Microsoft Office Word</Application>
  <DocSecurity>0</DocSecurity>
  <Lines>302</Lines>
  <Paragraphs>85</Paragraphs>
  <ScaleCrop>false</ScaleCrop>
  <HeadingPairs>
    <vt:vector size="10" baseType="variant">
      <vt:variant>
        <vt:lpstr>Title</vt:lpstr>
      </vt:variant>
      <vt:variant>
        <vt:i4>1</vt:i4>
      </vt:variant>
      <vt:variant>
        <vt:lpstr>Título</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5" baseType="lpstr">
      <vt:lpstr/>
      <vt:lpstr/>
      <vt:lpstr/>
      <vt:lpstr/>
      <vt:lpstr/>
    </vt:vector>
  </TitlesOfParts>
  <Manager/>
  <Company/>
  <LinksUpToDate>false</LinksUpToDate>
  <CharactersWithSpaces>42609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3</cp:revision>
  <cp:lastPrinted>2021-12-24T00:51:00Z</cp:lastPrinted>
  <dcterms:created xsi:type="dcterms:W3CDTF">2022-05-25T18:13:00Z</dcterms:created>
  <dcterms:modified xsi:type="dcterms:W3CDTF">2022-05-26T07:45:00Z</dcterms:modified>
  <cp:category/>
</cp:coreProperties>
</file>