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E41" w:rsidRPr="00A23E41" w:rsidRDefault="00A23E41" w:rsidP="00014168">
      <w:pPr>
        <w:pBdr>
          <w:top w:val="single" w:sz="12" w:space="0" w:color="auto" w:shadow="1"/>
          <w:left w:val="single" w:sz="12" w:space="4" w:color="auto" w:shadow="1"/>
          <w:bottom w:val="single" w:sz="12" w:space="1" w:color="auto" w:shadow="1"/>
          <w:right w:val="single" w:sz="12" w:space="7" w:color="auto" w:shadow="1"/>
        </w:pBdr>
        <w:ind w:right="2790"/>
        <w:rPr>
          <w:rStyle w:val="markedcontent"/>
          <w:rFonts w:cs="Calibri"/>
          <w:sz w:val="24"/>
          <w:szCs w:val="24"/>
          <w:lang w:val="fr-FR"/>
        </w:rPr>
      </w:pPr>
      <w:r w:rsidRPr="00A23E41">
        <w:rPr>
          <w:rStyle w:val="markedcontent"/>
          <w:rFonts w:cs="Calibri"/>
          <w:sz w:val="24"/>
          <w:szCs w:val="24"/>
          <w:lang w:val="fr-FR"/>
        </w:rPr>
        <w:t xml:space="preserve">CONVENTION </w:t>
      </w:r>
      <w:bookmarkStart w:id="0" w:name="_GoBack"/>
      <w:bookmarkEnd w:id="0"/>
      <w:r w:rsidRPr="00A23E41">
        <w:rPr>
          <w:rStyle w:val="markedcontent"/>
          <w:rFonts w:cs="Calibri"/>
          <w:sz w:val="24"/>
          <w:szCs w:val="24"/>
          <w:lang w:val="fr-FR"/>
        </w:rPr>
        <w:t>SUR LES ZONES HUMIDES</w:t>
      </w:r>
    </w:p>
    <w:p w:rsidR="00A23E41" w:rsidRPr="00A23E41" w:rsidRDefault="00A23E41" w:rsidP="00014168">
      <w:pPr>
        <w:pBdr>
          <w:top w:val="single" w:sz="12" w:space="0" w:color="auto" w:shadow="1"/>
          <w:left w:val="single" w:sz="12" w:space="4" w:color="auto" w:shadow="1"/>
          <w:bottom w:val="single" w:sz="12" w:space="1" w:color="auto" w:shadow="1"/>
          <w:right w:val="single" w:sz="12" w:space="7" w:color="auto" w:shadow="1"/>
        </w:pBdr>
        <w:ind w:right="2790"/>
        <w:rPr>
          <w:rStyle w:val="markedcontent"/>
          <w:rFonts w:cs="Calibri"/>
          <w:sz w:val="24"/>
          <w:szCs w:val="24"/>
          <w:lang w:val="fr-FR"/>
        </w:rPr>
      </w:pPr>
      <w:r w:rsidRPr="00A23E41">
        <w:rPr>
          <w:rStyle w:val="markedcontent"/>
          <w:rFonts w:cs="Calibri"/>
          <w:sz w:val="24"/>
          <w:szCs w:val="24"/>
          <w:lang w:val="fr-FR"/>
        </w:rPr>
        <w:t>59</w:t>
      </w:r>
      <w:r w:rsidRPr="00A23E41">
        <w:rPr>
          <w:rStyle w:val="markedcontent"/>
          <w:rFonts w:cs="Calibri"/>
          <w:sz w:val="24"/>
          <w:szCs w:val="24"/>
          <w:vertAlign w:val="superscript"/>
          <w:lang w:val="fr-FR"/>
        </w:rPr>
        <w:t>e</w:t>
      </w:r>
      <w:r w:rsidRPr="00A23E41">
        <w:rPr>
          <w:rStyle w:val="markedcontent"/>
          <w:rFonts w:cs="Calibri"/>
          <w:sz w:val="24"/>
          <w:szCs w:val="24"/>
          <w:lang w:val="fr-FR"/>
        </w:rPr>
        <w:t xml:space="preserve"> Réunion du Comité permanent</w:t>
      </w:r>
    </w:p>
    <w:p w:rsidR="00A23E41" w:rsidRPr="00A23E41" w:rsidRDefault="00A23E41" w:rsidP="00014168">
      <w:pPr>
        <w:pBdr>
          <w:top w:val="single" w:sz="12" w:space="0" w:color="auto" w:shadow="1"/>
          <w:left w:val="single" w:sz="12" w:space="4" w:color="auto" w:shadow="1"/>
          <w:bottom w:val="single" w:sz="12" w:space="1" w:color="auto" w:shadow="1"/>
          <w:right w:val="single" w:sz="12" w:space="7" w:color="auto" w:shadow="1"/>
        </w:pBdr>
        <w:ind w:right="2790"/>
        <w:rPr>
          <w:rStyle w:val="markedcontent"/>
          <w:rFonts w:cs="Calibri"/>
          <w:sz w:val="24"/>
          <w:szCs w:val="24"/>
          <w:lang w:val="fr-FR"/>
        </w:rPr>
      </w:pPr>
      <w:r w:rsidRPr="00A23E41">
        <w:rPr>
          <w:rStyle w:val="markedcontent"/>
          <w:rFonts w:cs="Calibri"/>
          <w:sz w:val="24"/>
          <w:szCs w:val="24"/>
          <w:lang w:val="fr-FR"/>
        </w:rPr>
        <w:t>Gland, Suisse, 21 au 25 juin 2021</w:t>
      </w:r>
    </w:p>
    <w:p w:rsidR="00DF2386" w:rsidRPr="00DF5584" w:rsidRDefault="00DF2386" w:rsidP="00014168">
      <w:pPr>
        <w:outlineLvl w:val="0"/>
        <w:rPr>
          <w:b/>
          <w:sz w:val="28"/>
          <w:lang w:val="fr-FR"/>
        </w:rPr>
      </w:pPr>
    </w:p>
    <w:p w:rsidR="00DF2386" w:rsidRPr="00A23E41" w:rsidRDefault="00FE7D64" w:rsidP="00014168">
      <w:pPr>
        <w:jc w:val="right"/>
        <w:rPr>
          <w:b/>
          <w:sz w:val="28"/>
          <w:lang w:val="fr-FR"/>
        </w:rPr>
      </w:pPr>
      <w:r w:rsidRPr="00A23E41">
        <w:rPr>
          <w:rFonts w:cs="Arial"/>
          <w:b/>
          <w:sz w:val="28"/>
          <w:szCs w:val="28"/>
          <w:lang w:val="fr-FR"/>
        </w:rPr>
        <w:t>SC59 Doc.</w:t>
      </w:r>
      <w:r w:rsidR="003E4CDB" w:rsidRPr="00A23E41">
        <w:rPr>
          <w:rFonts w:cs="Arial"/>
          <w:b/>
          <w:sz w:val="28"/>
          <w:szCs w:val="28"/>
          <w:lang w:val="fr-FR"/>
        </w:rPr>
        <w:t>20.2</w:t>
      </w:r>
    </w:p>
    <w:p w:rsidR="00DF2386" w:rsidRPr="00A23E41" w:rsidRDefault="00DF2386" w:rsidP="00014168">
      <w:pPr>
        <w:rPr>
          <w:rFonts w:cs="Arial"/>
          <w:b/>
          <w:sz w:val="28"/>
          <w:szCs w:val="28"/>
          <w:lang w:val="fr-FR"/>
        </w:rPr>
      </w:pPr>
    </w:p>
    <w:p w:rsidR="00DF2386" w:rsidRPr="00A23E41" w:rsidRDefault="006546E5" w:rsidP="00014168">
      <w:pPr>
        <w:jc w:val="center"/>
        <w:rPr>
          <w:rFonts w:cs="Arial"/>
          <w:b/>
          <w:sz w:val="28"/>
          <w:szCs w:val="28"/>
          <w:lang w:val="fr-FR"/>
        </w:rPr>
      </w:pPr>
      <w:r w:rsidRPr="00A23E41">
        <w:rPr>
          <w:rFonts w:asciiTheme="minorHAnsi" w:hAnsiTheme="minorHAnsi"/>
          <w:b/>
          <w:sz w:val="28"/>
          <w:lang w:val="fr-FR"/>
        </w:rPr>
        <w:t>R</w:t>
      </w:r>
      <w:r w:rsidR="00A23E41" w:rsidRPr="00A23E41">
        <w:rPr>
          <w:rFonts w:asciiTheme="minorHAnsi" w:hAnsiTheme="minorHAnsi"/>
          <w:b/>
          <w:sz w:val="28"/>
          <w:lang w:val="fr-FR"/>
        </w:rPr>
        <w:t>apport du Secrétariat sur la</w:t>
      </w:r>
      <w:r w:rsidRPr="00A23E41">
        <w:rPr>
          <w:rFonts w:asciiTheme="minorHAnsi" w:hAnsiTheme="minorHAnsi"/>
          <w:b/>
          <w:sz w:val="28"/>
          <w:lang w:val="fr-FR"/>
        </w:rPr>
        <w:t xml:space="preserve"> COP14</w:t>
      </w:r>
    </w:p>
    <w:p w:rsidR="00DF2386" w:rsidRPr="00A23E41" w:rsidRDefault="00DF2386" w:rsidP="00014168">
      <w:pPr>
        <w:rPr>
          <w:rFonts w:ascii="Garamond" w:hAnsi="Garamond"/>
          <w:b/>
          <w:sz w:val="28"/>
          <w:lang w:val="fr-FR"/>
        </w:rPr>
      </w:pPr>
    </w:p>
    <w:p w:rsidR="000C2489" w:rsidRDefault="00AA018F" w:rsidP="00014168">
      <w:pPr>
        <w:autoSpaceDE w:val="0"/>
        <w:autoSpaceDN w:val="0"/>
        <w:adjustRightInd w:val="0"/>
        <w:rPr>
          <w:rFonts w:asciiTheme="minorHAnsi" w:eastAsiaTheme="minorHAnsi" w:hAnsiTheme="minorHAnsi" w:cs="Calibri-Bold"/>
          <w:b/>
          <w:bCs/>
        </w:rPr>
      </w:pPr>
      <w:r>
        <w:rPr>
          <w:noProof/>
          <w:lang w:eastAsia="en-GB"/>
        </w:rPr>
      </w:r>
      <w:r>
        <w:rPr>
          <w:noProof/>
          <w:lang w:eastAsia="en-GB"/>
        </w:rPr>
        <w:pict>
          <v:shapetype id="_x0000_t202" coordsize="21600,21600" o:spt="202" path="m,l,21600r21600,l21600,xe">
            <v:stroke joinstyle="miter"/>
            <v:path gradientshapeok="t" o:connecttype="rect"/>
          </v:shapetype>
          <v:shape id="Text Box 1" o:spid="_x0000_s1026" type="#_x0000_t202" style="width:451.3pt;height:57pt;visibility:visible;mso-left-percent:-10001;mso-top-percent:-10001;mso-position-horizontal:absolute;mso-position-horizontal-relative:char;mso-position-vertical:absolute;mso-position-vertical-relative:line;mso-left-percent:-10001;mso-top-percent:-10001">
            <v:textbox>
              <w:txbxContent>
                <w:p w:rsidR="006C39DB" w:rsidRPr="00A23E41" w:rsidRDefault="006C39DB" w:rsidP="000C2489">
                  <w:pPr>
                    <w:rPr>
                      <w:b/>
                      <w:bCs/>
                      <w:lang w:val="fr-FR"/>
                    </w:rPr>
                  </w:pPr>
                  <w:r w:rsidRPr="00A23E41">
                    <w:rPr>
                      <w:b/>
                      <w:bCs/>
                      <w:lang w:val="fr-FR"/>
                    </w:rPr>
                    <w:t xml:space="preserve">Actions demandées : </w:t>
                  </w:r>
                </w:p>
                <w:p w:rsidR="006C39DB" w:rsidRPr="00A23E41" w:rsidRDefault="006C39DB" w:rsidP="000C2489">
                  <w:pPr>
                    <w:pStyle w:val="ColorfulList-Accent11"/>
                    <w:ind w:left="0"/>
                    <w:rPr>
                      <w:lang w:val="fr-FR"/>
                    </w:rPr>
                  </w:pPr>
                </w:p>
                <w:p w:rsidR="006C39DB" w:rsidRPr="00A23E41" w:rsidRDefault="006C39DB" w:rsidP="00FE7D64">
                  <w:pPr>
                    <w:pStyle w:val="ColorfulList-Accent11"/>
                    <w:ind w:left="0" w:firstLine="0"/>
                    <w:rPr>
                      <w:rFonts w:cs="Calibri"/>
                      <w:lang w:val="fr-FR"/>
                    </w:rPr>
                  </w:pPr>
                  <w:r w:rsidRPr="00A23E41">
                    <w:rPr>
                      <w:lang w:val="fr-FR"/>
                    </w:rPr>
                    <w:t xml:space="preserve">Le Comité permanent est invité à prendre bonne note du présent rapport. </w:t>
                  </w:r>
                </w:p>
                <w:p w:rsidR="006C39DB" w:rsidRPr="00A23E41" w:rsidRDefault="006C39DB" w:rsidP="00275F13">
                  <w:pPr>
                    <w:pStyle w:val="ColorfulList-Accent11"/>
                    <w:ind w:left="-425" w:firstLine="0"/>
                    <w:rPr>
                      <w:lang w:val="fr-FR"/>
                    </w:rPr>
                  </w:pPr>
                </w:p>
                <w:p w:rsidR="006C39DB" w:rsidRPr="00A23E41" w:rsidRDefault="006C39DB" w:rsidP="00FE7D64">
                  <w:pPr>
                    <w:pStyle w:val="ColorfulList-Accent11"/>
                    <w:rPr>
                      <w:lang w:val="fr-FR"/>
                    </w:rPr>
                  </w:pPr>
                </w:p>
                <w:p w:rsidR="006C39DB" w:rsidRPr="00A23E41" w:rsidRDefault="006C39DB" w:rsidP="00275F13">
                  <w:pPr>
                    <w:pStyle w:val="ColorfulList-Accent11"/>
                    <w:ind w:left="-425" w:firstLine="0"/>
                    <w:rPr>
                      <w:lang w:val="fr-FR"/>
                    </w:rPr>
                  </w:pPr>
                </w:p>
              </w:txbxContent>
            </v:textbox>
            <w10:wrap type="none"/>
            <w10:anchorlock/>
          </v:shape>
        </w:pict>
      </w:r>
    </w:p>
    <w:p w:rsidR="009E0AE8" w:rsidRPr="00A53343" w:rsidRDefault="009E0AE8" w:rsidP="00A53343">
      <w:pPr>
        <w:ind w:left="0" w:firstLine="0"/>
        <w:rPr>
          <w:rFonts w:cs="Arial"/>
          <w:b/>
        </w:rPr>
      </w:pPr>
    </w:p>
    <w:p w:rsidR="00421A37" w:rsidRPr="00A53343" w:rsidRDefault="00421A37" w:rsidP="00A53343">
      <w:pPr>
        <w:ind w:left="0" w:firstLine="0"/>
        <w:rPr>
          <w:rFonts w:cs="Arial"/>
          <w:b/>
        </w:rPr>
      </w:pPr>
    </w:p>
    <w:p w:rsidR="000C2489" w:rsidRPr="00DF5584" w:rsidRDefault="00673F47" w:rsidP="00A53343">
      <w:pPr>
        <w:ind w:left="0" w:firstLine="0"/>
        <w:rPr>
          <w:rFonts w:cs="Arial"/>
          <w:b/>
          <w:lang w:val="fr-FR"/>
        </w:rPr>
      </w:pPr>
      <w:r>
        <w:rPr>
          <w:rFonts w:cs="Arial"/>
          <w:b/>
          <w:lang w:val="fr-FR"/>
        </w:rPr>
        <w:t>Historique</w:t>
      </w:r>
    </w:p>
    <w:p w:rsidR="000C2489" w:rsidRPr="00DF5584" w:rsidRDefault="000C2489" w:rsidP="00A53343">
      <w:pPr>
        <w:ind w:left="0" w:firstLine="0"/>
        <w:rPr>
          <w:rFonts w:ascii="Garamond" w:hAnsi="Garamond" w:cs="Arial"/>
          <w:lang w:val="fr-FR"/>
        </w:rPr>
      </w:pPr>
    </w:p>
    <w:p w:rsidR="00A23E41" w:rsidRPr="00A23E41" w:rsidRDefault="00275F13" w:rsidP="00A53343">
      <w:pPr>
        <w:ind w:left="426" w:hanging="426"/>
        <w:rPr>
          <w:rFonts w:asciiTheme="minorHAnsi" w:hAnsiTheme="minorHAnsi" w:cstheme="minorHAnsi"/>
          <w:lang w:val="fr-FR"/>
        </w:rPr>
      </w:pPr>
      <w:r w:rsidRPr="00A23E41">
        <w:rPr>
          <w:rFonts w:cs="Arial"/>
          <w:lang w:val="fr-FR"/>
        </w:rPr>
        <w:t>1</w:t>
      </w:r>
      <w:r w:rsidRPr="00A23E41">
        <w:rPr>
          <w:rFonts w:asciiTheme="minorHAnsi" w:hAnsiTheme="minorHAnsi" w:cstheme="minorHAnsi"/>
          <w:lang w:val="fr-FR"/>
        </w:rPr>
        <w:t>.</w:t>
      </w:r>
      <w:r w:rsidRPr="00A23E41">
        <w:rPr>
          <w:rFonts w:asciiTheme="minorHAnsi" w:hAnsiTheme="minorHAnsi" w:cstheme="minorHAnsi"/>
          <w:lang w:val="fr-FR"/>
        </w:rPr>
        <w:tab/>
      </w:r>
      <w:r w:rsidR="00A23E41" w:rsidRPr="00A23E41">
        <w:rPr>
          <w:rFonts w:asciiTheme="minorHAnsi" w:hAnsiTheme="minorHAnsi" w:cstheme="minorHAnsi"/>
          <w:lang w:val="fr-FR"/>
        </w:rPr>
        <w:t>À sa 57</w:t>
      </w:r>
      <w:r w:rsidR="00A23E41" w:rsidRPr="00673F47">
        <w:rPr>
          <w:rFonts w:asciiTheme="minorHAnsi" w:hAnsiTheme="minorHAnsi" w:cstheme="minorHAnsi"/>
          <w:vertAlign w:val="superscript"/>
          <w:lang w:val="fr-FR"/>
        </w:rPr>
        <w:t>e</w:t>
      </w:r>
      <w:r w:rsidR="00A23E41" w:rsidRPr="00A23E41">
        <w:rPr>
          <w:rFonts w:asciiTheme="minorHAnsi" w:hAnsiTheme="minorHAnsi" w:cstheme="minorHAnsi"/>
          <w:lang w:val="fr-FR"/>
        </w:rPr>
        <w:t xml:space="preserve"> </w:t>
      </w:r>
      <w:r w:rsidR="00673F47" w:rsidRPr="00A23E41">
        <w:rPr>
          <w:rFonts w:asciiTheme="minorHAnsi" w:hAnsiTheme="minorHAnsi" w:cstheme="minorHAnsi"/>
          <w:lang w:val="fr-FR"/>
        </w:rPr>
        <w:t>réunion</w:t>
      </w:r>
      <w:r w:rsidR="00A23E41" w:rsidRPr="00A23E41">
        <w:rPr>
          <w:rFonts w:asciiTheme="minorHAnsi" w:hAnsiTheme="minorHAnsi" w:cstheme="minorHAnsi"/>
          <w:lang w:val="fr-FR"/>
        </w:rPr>
        <w:t xml:space="preserve"> (SC57), le Comité </w:t>
      </w:r>
      <w:r w:rsidR="00673F47">
        <w:rPr>
          <w:rFonts w:asciiTheme="minorHAnsi" w:hAnsiTheme="minorHAnsi" w:cstheme="minorHAnsi"/>
          <w:lang w:val="fr-FR"/>
        </w:rPr>
        <w:t>permanent a accep</w:t>
      </w:r>
      <w:r w:rsidR="00A23E41">
        <w:rPr>
          <w:rFonts w:asciiTheme="minorHAnsi" w:hAnsiTheme="minorHAnsi" w:cstheme="minorHAnsi"/>
          <w:lang w:val="fr-FR"/>
        </w:rPr>
        <w:t xml:space="preserve">té </w:t>
      </w:r>
      <w:r w:rsidR="004014B3">
        <w:rPr>
          <w:rFonts w:asciiTheme="minorHAnsi" w:hAnsiTheme="minorHAnsi" w:cstheme="minorHAnsi"/>
          <w:lang w:val="fr-FR"/>
        </w:rPr>
        <w:t xml:space="preserve">à l’unanimité, </w:t>
      </w:r>
      <w:r w:rsidR="00A23E41">
        <w:rPr>
          <w:rFonts w:asciiTheme="minorHAnsi" w:hAnsiTheme="minorHAnsi" w:cstheme="minorHAnsi"/>
          <w:lang w:val="fr-FR"/>
        </w:rPr>
        <w:t>par acclamations</w:t>
      </w:r>
      <w:r w:rsidR="004014B3">
        <w:rPr>
          <w:rFonts w:asciiTheme="minorHAnsi" w:hAnsiTheme="minorHAnsi" w:cstheme="minorHAnsi"/>
          <w:lang w:val="fr-FR"/>
        </w:rPr>
        <w:t>,</w:t>
      </w:r>
      <w:r w:rsidR="00A23E41">
        <w:rPr>
          <w:rFonts w:asciiTheme="minorHAnsi" w:hAnsiTheme="minorHAnsi" w:cstheme="minorHAnsi"/>
          <w:lang w:val="fr-FR"/>
        </w:rPr>
        <w:t xml:space="preserve"> l’offre de la Chine d’organiser la 14</w:t>
      </w:r>
      <w:r w:rsidR="00A23E41" w:rsidRPr="00A23E41">
        <w:rPr>
          <w:rFonts w:asciiTheme="minorHAnsi" w:hAnsiTheme="minorHAnsi" w:cstheme="minorHAnsi"/>
          <w:vertAlign w:val="superscript"/>
          <w:lang w:val="fr-FR"/>
        </w:rPr>
        <w:t>e</w:t>
      </w:r>
      <w:r w:rsidR="00A23E41">
        <w:rPr>
          <w:rFonts w:asciiTheme="minorHAnsi" w:hAnsiTheme="minorHAnsi" w:cstheme="minorHAnsi"/>
          <w:lang w:val="fr-FR"/>
        </w:rPr>
        <w:t xml:space="preserve"> réunion de la Conférence des Parties contractantes (CoP14</w:t>
      </w:r>
      <w:r w:rsidR="00673F47">
        <w:rPr>
          <w:rFonts w:asciiTheme="minorHAnsi" w:hAnsiTheme="minorHAnsi" w:cstheme="minorHAnsi"/>
          <w:lang w:val="fr-FR"/>
        </w:rPr>
        <w:t>)</w:t>
      </w:r>
      <w:r w:rsidR="00A23E41">
        <w:rPr>
          <w:rFonts w:asciiTheme="minorHAnsi" w:hAnsiTheme="minorHAnsi" w:cstheme="minorHAnsi"/>
          <w:lang w:val="fr-FR"/>
        </w:rPr>
        <w:t xml:space="preserve"> à Wuhan, Chine.</w:t>
      </w:r>
    </w:p>
    <w:p w:rsidR="001A2D10" w:rsidRPr="00DF5584" w:rsidRDefault="001A2D10" w:rsidP="00A53343">
      <w:pPr>
        <w:pStyle w:val="ListParagraph"/>
        <w:ind w:left="426" w:hanging="426"/>
        <w:rPr>
          <w:rFonts w:asciiTheme="minorHAnsi" w:hAnsiTheme="minorHAnsi" w:cstheme="minorHAnsi"/>
          <w:lang w:val="fr-FR"/>
        </w:rPr>
      </w:pPr>
    </w:p>
    <w:p w:rsidR="00A23E41" w:rsidRPr="00A23E41" w:rsidRDefault="00275F13" w:rsidP="00A53343">
      <w:pPr>
        <w:pStyle w:val="NoSpacing"/>
        <w:ind w:left="426" w:hanging="426"/>
        <w:rPr>
          <w:rFonts w:asciiTheme="minorHAnsi" w:hAnsiTheme="minorHAnsi" w:cstheme="minorHAnsi"/>
          <w:spacing w:val="-4"/>
          <w:lang w:val="fr-FR"/>
        </w:rPr>
      </w:pPr>
      <w:r w:rsidRPr="00A23E41">
        <w:rPr>
          <w:rFonts w:asciiTheme="minorHAnsi" w:hAnsiTheme="minorHAnsi" w:cstheme="minorHAnsi"/>
          <w:spacing w:val="-4"/>
          <w:lang w:val="fr-FR"/>
        </w:rPr>
        <w:t>2.</w:t>
      </w:r>
      <w:r w:rsidRPr="00A23E41">
        <w:rPr>
          <w:rFonts w:asciiTheme="minorHAnsi" w:hAnsiTheme="minorHAnsi" w:cstheme="minorHAnsi"/>
          <w:spacing w:val="-4"/>
          <w:lang w:val="fr-FR"/>
        </w:rPr>
        <w:tab/>
      </w:r>
      <w:r w:rsidR="00A23E41" w:rsidRPr="00A23E41">
        <w:rPr>
          <w:rFonts w:asciiTheme="minorHAnsi" w:hAnsiTheme="minorHAnsi" w:cstheme="minorHAnsi"/>
          <w:spacing w:val="-4"/>
          <w:lang w:val="fr-FR"/>
        </w:rPr>
        <w:t>Le Comité permanent a adopté la décision SC57</w:t>
      </w:r>
      <w:r w:rsidR="00A23E41">
        <w:rPr>
          <w:rFonts w:asciiTheme="minorHAnsi" w:hAnsiTheme="minorHAnsi" w:cstheme="minorHAnsi"/>
          <w:spacing w:val="-4"/>
          <w:lang w:val="fr-FR"/>
        </w:rPr>
        <w:t>-18</w:t>
      </w:r>
      <w:r w:rsidR="00A23E41" w:rsidRPr="00A23E41">
        <w:rPr>
          <w:rFonts w:asciiTheme="minorHAnsi" w:hAnsiTheme="minorHAnsi" w:cstheme="minorHAnsi"/>
          <w:spacing w:val="-4"/>
          <w:lang w:val="fr-FR"/>
        </w:rPr>
        <w:t xml:space="preserve"> en ces termes : </w:t>
      </w:r>
      <w:r w:rsidR="00A23E41">
        <w:rPr>
          <w:rFonts w:asciiTheme="minorHAnsi" w:hAnsiTheme="minorHAnsi" w:cstheme="minorHAnsi"/>
          <w:spacing w:val="-4"/>
          <w:lang w:val="fr-FR"/>
        </w:rPr>
        <w:t>« </w:t>
      </w:r>
      <w:r w:rsidR="00A23E41" w:rsidRPr="00A23E41">
        <w:rPr>
          <w:rStyle w:val="markedcontent"/>
          <w:rFonts w:cs="Calibri"/>
          <w:lang w:val="fr-FR"/>
        </w:rPr>
        <w:t>Le Comité permanent établit le Sous-groupe sur la COP14, présidé par la Chine et composé également de l’Algérie, de l’Arménie, de l’Australie, de l’Autriche, du Costa Rica, des Émirats arabes unis,</w:t>
      </w:r>
      <w:r w:rsidR="00A23E41">
        <w:rPr>
          <w:rStyle w:val="markedcontent"/>
          <w:rFonts w:cs="Calibri"/>
          <w:lang w:val="fr-FR"/>
        </w:rPr>
        <w:t xml:space="preserve"> </w:t>
      </w:r>
      <w:r w:rsidR="00A23E41" w:rsidRPr="00A23E41">
        <w:rPr>
          <w:rStyle w:val="markedcontent"/>
          <w:rFonts w:cs="Calibri"/>
          <w:lang w:val="fr-FR"/>
        </w:rPr>
        <w:t>des États-Unis d’Amérique, de la France, des Pays-Bas et du Royaume-Uni de Grande-Bretagne et d’Irlande du Nord, chargé de superviser le processus de planification de la COP14 et de formuler des idées concernant la célébration du 50</w:t>
      </w:r>
      <w:r w:rsidR="00A23E41" w:rsidRPr="00673F47">
        <w:rPr>
          <w:rStyle w:val="markedcontent"/>
          <w:rFonts w:cs="Calibri"/>
          <w:vertAlign w:val="superscript"/>
          <w:lang w:val="fr-FR"/>
        </w:rPr>
        <w:t>e</w:t>
      </w:r>
      <w:r w:rsidR="00A23E41" w:rsidRPr="00A23E41">
        <w:rPr>
          <w:rStyle w:val="markedcontent"/>
          <w:rFonts w:cs="Calibri"/>
          <w:lang w:val="fr-FR"/>
        </w:rPr>
        <w:t xml:space="preserve"> anniversaire de la Convention en 2021, en sollicitant le soutien d’autres Parties contractantes, si nécessaire.</w:t>
      </w:r>
      <w:r w:rsidR="003D5F34">
        <w:rPr>
          <w:rStyle w:val="markedcontent"/>
          <w:rFonts w:cs="Calibri"/>
          <w:lang w:val="fr-FR"/>
        </w:rPr>
        <w:t> »</w:t>
      </w:r>
    </w:p>
    <w:p w:rsidR="00FE7D64" w:rsidRPr="003D5F34" w:rsidRDefault="00FE7D64" w:rsidP="00A53343">
      <w:pPr>
        <w:pStyle w:val="NoSpacing"/>
        <w:ind w:left="426" w:hanging="426"/>
        <w:rPr>
          <w:rFonts w:asciiTheme="minorHAnsi" w:hAnsiTheme="minorHAnsi" w:cstheme="minorHAnsi"/>
          <w:spacing w:val="-4"/>
          <w:lang w:val="fr-FR"/>
        </w:rPr>
      </w:pPr>
    </w:p>
    <w:p w:rsidR="005540F2" w:rsidRPr="003D5F34" w:rsidRDefault="003D5F34" w:rsidP="00A53343">
      <w:pPr>
        <w:pStyle w:val="NoSpacing"/>
        <w:ind w:left="426" w:hanging="426"/>
        <w:rPr>
          <w:rFonts w:asciiTheme="minorHAnsi" w:hAnsiTheme="minorHAnsi" w:cstheme="minorHAnsi"/>
          <w:b/>
          <w:lang w:val="fr-FR"/>
        </w:rPr>
      </w:pPr>
      <w:r w:rsidRPr="003D5F34">
        <w:rPr>
          <w:rFonts w:asciiTheme="minorHAnsi" w:hAnsiTheme="minorHAnsi" w:cstheme="minorHAnsi"/>
          <w:b/>
          <w:lang w:val="fr-FR"/>
        </w:rPr>
        <w:t xml:space="preserve">Progrès réalisés dans la préparation de la CoP14 </w:t>
      </w:r>
    </w:p>
    <w:p w:rsidR="009E0AE8" w:rsidRPr="003D5F34" w:rsidRDefault="009E0AE8" w:rsidP="00A53343">
      <w:pPr>
        <w:pStyle w:val="NoSpacing"/>
        <w:ind w:left="426" w:hanging="426"/>
        <w:rPr>
          <w:rFonts w:asciiTheme="minorHAnsi" w:hAnsiTheme="minorHAnsi" w:cstheme="minorHAnsi"/>
          <w:lang w:val="fr-FR"/>
        </w:rPr>
      </w:pPr>
    </w:p>
    <w:p w:rsidR="003D5F34" w:rsidRPr="003D5F34" w:rsidRDefault="00275F13" w:rsidP="00A53343">
      <w:pPr>
        <w:pStyle w:val="NoSpacing"/>
        <w:ind w:left="426" w:hanging="426"/>
        <w:rPr>
          <w:rFonts w:asciiTheme="minorHAnsi" w:hAnsiTheme="minorHAnsi" w:cstheme="minorHAnsi"/>
          <w:lang w:val="fr-FR"/>
        </w:rPr>
      </w:pPr>
      <w:r w:rsidRPr="003D5F34">
        <w:rPr>
          <w:rFonts w:asciiTheme="minorHAnsi" w:hAnsiTheme="minorHAnsi" w:cstheme="minorHAnsi"/>
          <w:lang w:val="fr-FR"/>
        </w:rPr>
        <w:t>3.</w:t>
      </w:r>
      <w:r w:rsidRPr="003D5F34">
        <w:rPr>
          <w:rFonts w:asciiTheme="minorHAnsi" w:hAnsiTheme="minorHAnsi" w:cstheme="minorHAnsi"/>
          <w:lang w:val="fr-FR"/>
        </w:rPr>
        <w:tab/>
      </w:r>
      <w:r w:rsidR="003D5F34" w:rsidRPr="003D5F34">
        <w:rPr>
          <w:rFonts w:asciiTheme="minorHAnsi" w:hAnsiTheme="minorHAnsi" w:cstheme="minorHAnsi"/>
          <w:lang w:val="fr-FR"/>
        </w:rPr>
        <w:t xml:space="preserve">Suite à la réunion </w:t>
      </w:r>
      <w:r w:rsidR="00A1520C">
        <w:rPr>
          <w:rFonts w:asciiTheme="minorHAnsi" w:hAnsiTheme="minorHAnsi" w:cstheme="minorHAnsi"/>
          <w:lang w:val="fr-FR"/>
        </w:rPr>
        <w:t xml:space="preserve">en ligne du SC58 du 23 </w:t>
      </w:r>
      <w:r w:rsidR="003D5F34" w:rsidRPr="003D5F34">
        <w:rPr>
          <w:rFonts w:asciiTheme="minorHAnsi" w:hAnsiTheme="minorHAnsi" w:cstheme="minorHAnsi"/>
          <w:lang w:val="fr-FR"/>
        </w:rPr>
        <w:t>juin 2020,</w:t>
      </w:r>
      <w:r w:rsidR="003D5F34">
        <w:rPr>
          <w:rFonts w:asciiTheme="minorHAnsi" w:hAnsiTheme="minorHAnsi" w:cstheme="minorHAnsi"/>
          <w:lang w:val="fr-FR"/>
        </w:rPr>
        <w:t xml:space="preserve"> le Secrétariat a poursuivi sa collaboration avec le pays hôte afin d’identifier les dates possibles et de discuter des besoins et de </w:t>
      </w:r>
      <w:r w:rsidR="00A1520C">
        <w:rPr>
          <w:rFonts w:asciiTheme="minorHAnsi" w:hAnsiTheme="minorHAnsi" w:cstheme="minorHAnsi"/>
          <w:lang w:val="fr-FR"/>
        </w:rPr>
        <w:t>la logistique pour la CO</w:t>
      </w:r>
      <w:r w:rsidR="003D5F34">
        <w:rPr>
          <w:rFonts w:asciiTheme="minorHAnsi" w:hAnsiTheme="minorHAnsi" w:cstheme="minorHAnsi"/>
          <w:lang w:val="fr-FR"/>
        </w:rPr>
        <w:t>P14 au vu de la situation sanitaire liée au COVID-19. Des avancées ont été réalisées en vue d’un accord avec le pays hôte.</w:t>
      </w:r>
    </w:p>
    <w:p w:rsidR="000C2489" w:rsidRPr="00DF5584" w:rsidRDefault="000C2489" w:rsidP="00A53343">
      <w:pPr>
        <w:pStyle w:val="NoSpacing"/>
        <w:ind w:left="426" w:hanging="426"/>
        <w:rPr>
          <w:rFonts w:asciiTheme="minorHAnsi" w:hAnsiTheme="minorHAnsi" w:cstheme="minorHAnsi"/>
          <w:lang w:val="fr-FR"/>
        </w:rPr>
      </w:pPr>
    </w:p>
    <w:p w:rsidR="003D5F34" w:rsidRDefault="00275F13" w:rsidP="00A53343">
      <w:pPr>
        <w:ind w:left="426" w:hanging="426"/>
        <w:rPr>
          <w:rFonts w:asciiTheme="minorHAnsi" w:hAnsiTheme="minorHAnsi" w:cstheme="minorHAnsi"/>
          <w:lang w:val="fr-FR"/>
        </w:rPr>
      </w:pPr>
      <w:r w:rsidRPr="003D5F34">
        <w:rPr>
          <w:rFonts w:asciiTheme="minorHAnsi" w:hAnsiTheme="minorHAnsi" w:cstheme="minorHAnsi"/>
          <w:lang w:val="fr-FR"/>
        </w:rPr>
        <w:t>4.</w:t>
      </w:r>
      <w:r w:rsidRPr="003D5F34">
        <w:rPr>
          <w:rFonts w:asciiTheme="minorHAnsi" w:hAnsiTheme="minorHAnsi" w:cstheme="minorHAnsi"/>
          <w:lang w:val="fr-FR"/>
        </w:rPr>
        <w:tab/>
      </w:r>
      <w:r w:rsidR="003D5F34" w:rsidRPr="003D5F34">
        <w:rPr>
          <w:rFonts w:asciiTheme="minorHAnsi" w:hAnsiTheme="minorHAnsi" w:cstheme="minorHAnsi"/>
          <w:lang w:val="fr-FR"/>
        </w:rPr>
        <w:t xml:space="preserve">Lors d’une </w:t>
      </w:r>
      <w:r w:rsidR="00991C14">
        <w:rPr>
          <w:rFonts w:asciiTheme="minorHAnsi" w:hAnsiTheme="minorHAnsi" w:cstheme="minorHAnsi"/>
          <w:lang w:val="fr-FR"/>
        </w:rPr>
        <w:t>discuss</w:t>
      </w:r>
      <w:r w:rsidR="003D5F34" w:rsidRPr="003D5F34">
        <w:rPr>
          <w:rFonts w:asciiTheme="minorHAnsi" w:hAnsiTheme="minorHAnsi" w:cstheme="minorHAnsi"/>
          <w:lang w:val="fr-FR"/>
        </w:rPr>
        <w:t>ion</w:t>
      </w:r>
      <w:r w:rsidR="00673F47">
        <w:rPr>
          <w:rFonts w:asciiTheme="minorHAnsi" w:hAnsiTheme="minorHAnsi" w:cstheme="minorHAnsi"/>
          <w:lang w:val="fr-FR"/>
        </w:rPr>
        <w:t xml:space="preserve"> </w:t>
      </w:r>
      <w:r w:rsidR="00991C14">
        <w:rPr>
          <w:rFonts w:asciiTheme="minorHAnsi" w:hAnsiTheme="minorHAnsi" w:cstheme="minorHAnsi"/>
          <w:lang w:val="fr-FR"/>
        </w:rPr>
        <w:t>du</w:t>
      </w:r>
      <w:r w:rsidR="00A1520C">
        <w:rPr>
          <w:rFonts w:asciiTheme="minorHAnsi" w:hAnsiTheme="minorHAnsi" w:cstheme="minorHAnsi"/>
          <w:lang w:val="fr-FR"/>
        </w:rPr>
        <w:t xml:space="preserve"> S</w:t>
      </w:r>
      <w:r w:rsidR="003D5F34" w:rsidRPr="003D5F34">
        <w:rPr>
          <w:rFonts w:asciiTheme="minorHAnsi" w:hAnsiTheme="minorHAnsi" w:cstheme="minorHAnsi"/>
          <w:lang w:val="fr-FR"/>
        </w:rPr>
        <w:t xml:space="preserve">ous-groupe </w:t>
      </w:r>
      <w:r w:rsidR="00A1520C">
        <w:rPr>
          <w:rFonts w:asciiTheme="minorHAnsi" w:hAnsiTheme="minorHAnsi" w:cstheme="minorHAnsi"/>
          <w:lang w:val="fr-FR"/>
        </w:rPr>
        <w:t>sur la CO</w:t>
      </w:r>
      <w:r w:rsidR="003D5F34">
        <w:rPr>
          <w:rFonts w:asciiTheme="minorHAnsi" w:hAnsiTheme="minorHAnsi" w:cstheme="minorHAnsi"/>
          <w:lang w:val="fr-FR"/>
        </w:rPr>
        <w:t>P14</w:t>
      </w:r>
      <w:r w:rsidR="00A1520C">
        <w:rPr>
          <w:rFonts w:asciiTheme="minorHAnsi" w:hAnsiTheme="minorHAnsi" w:cstheme="minorHAnsi"/>
          <w:lang w:val="fr-FR"/>
        </w:rPr>
        <w:t>,</w:t>
      </w:r>
      <w:r w:rsidR="003D5F34">
        <w:rPr>
          <w:rFonts w:asciiTheme="minorHAnsi" w:hAnsiTheme="minorHAnsi" w:cstheme="minorHAnsi"/>
          <w:lang w:val="fr-FR"/>
        </w:rPr>
        <w:t xml:space="preserve"> le 24 novembre 2020, </w:t>
      </w:r>
      <w:r w:rsidR="004014B3">
        <w:rPr>
          <w:rFonts w:asciiTheme="minorHAnsi" w:hAnsiTheme="minorHAnsi" w:cstheme="minorHAnsi"/>
          <w:lang w:val="fr-FR"/>
        </w:rPr>
        <w:t xml:space="preserve">il </w:t>
      </w:r>
      <w:r w:rsidR="003D5F34">
        <w:rPr>
          <w:rFonts w:asciiTheme="minorHAnsi" w:hAnsiTheme="minorHAnsi" w:cstheme="minorHAnsi"/>
          <w:lang w:val="fr-FR"/>
        </w:rPr>
        <w:t xml:space="preserve">a </w:t>
      </w:r>
      <w:r w:rsidR="004014B3">
        <w:rPr>
          <w:rFonts w:asciiTheme="minorHAnsi" w:hAnsiTheme="minorHAnsi" w:cstheme="minorHAnsi"/>
          <w:lang w:val="fr-FR"/>
        </w:rPr>
        <w:t xml:space="preserve">été </w:t>
      </w:r>
      <w:r w:rsidR="003D5F34">
        <w:rPr>
          <w:rFonts w:asciiTheme="minorHAnsi" w:hAnsiTheme="minorHAnsi" w:cstheme="minorHAnsi"/>
          <w:lang w:val="fr-FR"/>
        </w:rPr>
        <w:t>convenu</w:t>
      </w:r>
      <w:r w:rsidR="00A1520C">
        <w:rPr>
          <w:rFonts w:asciiTheme="minorHAnsi" w:hAnsiTheme="minorHAnsi" w:cstheme="minorHAnsi"/>
          <w:lang w:val="fr-FR"/>
        </w:rPr>
        <w:t xml:space="preserve"> que les préparations pour la CO</w:t>
      </w:r>
      <w:r w:rsidR="003D5F34">
        <w:rPr>
          <w:rFonts w:asciiTheme="minorHAnsi" w:hAnsiTheme="minorHAnsi" w:cstheme="minorHAnsi"/>
          <w:lang w:val="fr-FR"/>
        </w:rPr>
        <w:t>P14 devaient êtres poursuivies</w:t>
      </w:r>
      <w:r w:rsidR="004014B3">
        <w:rPr>
          <w:rFonts w:asciiTheme="minorHAnsi" w:hAnsiTheme="minorHAnsi" w:cstheme="minorHAnsi"/>
          <w:lang w:val="fr-FR"/>
        </w:rPr>
        <w:t>,</w:t>
      </w:r>
      <w:r w:rsidR="003D5F34">
        <w:rPr>
          <w:rFonts w:asciiTheme="minorHAnsi" w:hAnsiTheme="minorHAnsi" w:cstheme="minorHAnsi"/>
          <w:lang w:val="fr-FR"/>
        </w:rPr>
        <w:t xml:space="preserve"> même si </w:t>
      </w:r>
      <w:r w:rsidR="004014B3">
        <w:rPr>
          <w:rFonts w:asciiTheme="minorHAnsi" w:hAnsiTheme="minorHAnsi" w:cstheme="minorHAnsi"/>
          <w:lang w:val="fr-FR"/>
        </w:rPr>
        <w:t>le calendrier</w:t>
      </w:r>
      <w:r w:rsidR="003D5F34">
        <w:rPr>
          <w:rFonts w:asciiTheme="minorHAnsi" w:hAnsiTheme="minorHAnsi" w:cstheme="minorHAnsi"/>
          <w:lang w:val="fr-FR"/>
        </w:rPr>
        <w:t xml:space="preserve"> </w:t>
      </w:r>
      <w:r w:rsidR="004014B3">
        <w:rPr>
          <w:rFonts w:asciiTheme="minorHAnsi" w:hAnsiTheme="minorHAnsi" w:cstheme="minorHAnsi"/>
          <w:lang w:val="fr-FR"/>
        </w:rPr>
        <w:t>n’avait pas encore pu être fixé</w:t>
      </w:r>
      <w:r w:rsidR="003D5F34">
        <w:rPr>
          <w:rFonts w:asciiTheme="minorHAnsi" w:hAnsiTheme="minorHAnsi" w:cstheme="minorHAnsi"/>
          <w:lang w:val="fr-FR"/>
        </w:rPr>
        <w:t xml:space="preserve"> pour le quatrième trimestre 2021. Le pays hôte a informé le Sous-groupe qu’il n’était pas en mesure d’organiser</w:t>
      </w:r>
      <w:r w:rsidR="00A1520C">
        <w:rPr>
          <w:rFonts w:asciiTheme="minorHAnsi" w:hAnsiTheme="minorHAnsi" w:cstheme="minorHAnsi"/>
          <w:lang w:val="fr-FR"/>
        </w:rPr>
        <w:t xml:space="preserve"> les deux jours de réunions pré-COP</w:t>
      </w:r>
      <w:r w:rsidR="003D5F34">
        <w:rPr>
          <w:rFonts w:asciiTheme="minorHAnsi" w:hAnsiTheme="minorHAnsi" w:cstheme="minorHAnsi"/>
          <w:lang w:val="fr-FR"/>
        </w:rPr>
        <w:t xml:space="preserve"> </w:t>
      </w:r>
      <w:r w:rsidR="00A1520C">
        <w:rPr>
          <w:rFonts w:asciiTheme="minorHAnsi" w:hAnsiTheme="minorHAnsi" w:cstheme="minorHAnsi"/>
          <w:lang w:val="fr-FR"/>
        </w:rPr>
        <w:t>supplémentaires prévus dans la décision SC58-09</w:t>
      </w:r>
      <w:r w:rsidR="004014B3">
        <w:rPr>
          <w:rFonts w:asciiTheme="minorHAnsi" w:hAnsiTheme="minorHAnsi" w:cstheme="minorHAnsi"/>
          <w:lang w:val="fr-FR"/>
        </w:rPr>
        <w:t>,</w:t>
      </w:r>
      <w:r w:rsidR="00A1520C">
        <w:rPr>
          <w:rFonts w:asciiTheme="minorHAnsi" w:hAnsiTheme="minorHAnsi" w:cstheme="minorHAnsi"/>
          <w:lang w:val="fr-FR"/>
        </w:rPr>
        <w:t xml:space="preserve"> en indiquant que les réunions régionales </w:t>
      </w:r>
      <w:r w:rsidR="00673F47">
        <w:rPr>
          <w:rFonts w:asciiTheme="minorHAnsi" w:hAnsiTheme="minorHAnsi" w:cstheme="minorHAnsi"/>
          <w:lang w:val="fr-FR"/>
        </w:rPr>
        <w:t>habituell</w:t>
      </w:r>
      <w:r w:rsidR="00A1520C">
        <w:rPr>
          <w:rFonts w:asciiTheme="minorHAnsi" w:hAnsiTheme="minorHAnsi" w:cstheme="minorHAnsi"/>
          <w:lang w:val="fr-FR"/>
        </w:rPr>
        <w:t>es seraient inclus</w:t>
      </w:r>
      <w:r w:rsidR="00991C14">
        <w:rPr>
          <w:rFonts w:asciiTheme="minorHAnsi" w:hAnsiTheme="minorHAnsi" w:cstheme="minorHAnsi"/>
          <w:lang w:val="fr-FR"/>
        </w:rPr>
        <w:t>es</w:t>
      </w:r>
      <w:r w:rsidR="00A1520C">
        <w:rPr>
          <w:rFonts w:asciiTheme="minorHAnsi" w:hAnsiTheme="minorHAnsi" w:cstheme="minorHAnsi"/>
          <w:lang w:val="fr-FR"/>
        </w:rPr>
        <w:t xml:space="preserve"> dans le programme provisoire de neuf jours de la COP. Par ailleurs, le pays hôte a indiqué que d’autres</w:t>
      </w:r>
      <w:r w:rsidR="00673F47">
        <w:rPr>
          <w:rFonts w:asciiTheme="minorHAnsi" w:hAnsiTheme="minorHAnsi" w:cstheme="minorHAnsi"/>
          <w:lang w:val="fr-FR"/>
        </w:rPr>
        <w:t xml:space="preserve"> aspects de la réunion, comme un</w:t>
      </w:r>
      <w:r w:rsidR="00A1520C">
        <w:rPr>
          <w:rFonts w:asciiTheme="minorHAnsi" w:hAnsiTheme="minorHAnsi" w:cstheme="minorHAnsi"/>
          <w:lang w:val="fr-FR"/>
        </w:rPr>
        <w:t xml:space="preserve"> débat de haut niveau, les </w:t>
      </w:r>
      <w:r w:rsidR="00991C14">
        <w:rPr>
          <w:rFonts w:asciiTheme="minorHAnsi" w:hAnsiTheme="minorHAnsi" w:cstheme="minorHAnsi"/>
          <w:lang w:val="fr-FR"/>
        </w:rPr>
        <w:t>rencontre</w:t>
      </w:r>
      <w:r w:rsidR="00A1520C">
        <w:rPr>
          <w:rFonts w:asciiTheme="minorHAnsi" w:hAnsiTheme="minorHAnsi" w:cstheme="minorHAnsi"/>
          <w:lang w:val="fr-FR"/>
        </w:rPr>
        <w:t>s protocolaires</w:t>
      </w:r>
      <w:r w:rsidR="00991C14">
        <w:rPr>
          <w:rFonts w:asciiTheme="minorHAnsi" w:hAnsiTheme="minorHAnsi" w:cstheme="minorHAnsi"/>
          <w:lang w:val="fr-FR"/>
        </w:rPr>
        <w:t>, les manifestations parallèles et les excursions sur le terrain auraient lieu comme prévu.</w:t>
      </w:r>
    </w:p>
    <w:p w:rsidR="00A1520C" w:rsidRDefault="00A1520C" w:rsidP="00A53343">
      <w:pPr>
        <w:ind w:left="426" w:hanging="426"/>
        <w:rPr>
          <w:rFonts w:asciiTheme="minorHAnsi" w:hAnsiTheme="minorHAnsi" w:cstheme="minorHAnsi"/>
          <w:lang w:val="fr-FR"/>
        </w:rPr>
      </w:pPr>
    </w:p>
    <w:p w:rsidR="00991C14" w:rsidRPr="00991C14" w:rsidRDefault="00A71155" w:rsidP="00A53343">
      <w:pPr>
        <w:ind w:left="426" w:hanging="426"/>
        <w:rPr>
          <w:rFonts w:asciiTheme="minorHAnsi" w:hAnsiTheme="minorHAnsi" w:cstheme="minorHAnsi"/>
          <w:lang w:val="fr-FR"/>
        </w:rPr>
      </w:pPr>
      <w:r w:rsidRPr="00991C14">
        <w:rPr>
          <w:rFonts w:asciiTheme="minorHAnsi" w:hAnsiTheme="minorHAnsi" w:cstheme="minorHAnsi"/>
          <w:lang w:val="fr-FR"/>
        </w:rPr>
        <w:t>5.</w:t>
      </w:r>
      <w:r w:rsidRPr="00991C14">
        <w:rPr>
          <w:rFonts w:asciiTheme="minorHAnsi" w:hAnsiTheme="minorHAnsi" w:cstheme="minorHAnsi"/>
          <w:lang w:val="fr-FR"/>
        </w:rPr>
        <w:tab/>
      </w:r>
      <w:r w:rsidR="00991C14" w:rsidRPr="00991C14">
        <w:rPr>
          <w:rFonts w:asciiTheme="minorHAnsi" w:hAnsiTheme="minorHAnsi" w:cstheme="minorHAnsi"/>
          <w:lang w:val="fr-FR"/>
        </w:rPr>
        <w:t xml:space="preserve">Le </w:t>
      </w:r>
      <w:r w:rsidR="00991C14">
        <w:rPr>
          <w:rFonts w:asciiTheme="minorHAnsi" w:hAnsiTheme="minorHAnsi" w:cstheme="minorHAnsi"/>
          <w:lang w:val="fr-FR"/>
        </w:rPr>
        <w:t>S</w:t>
      </w:r>
      <w:r w:rsidR="00991C14" w:rsidRPr="003D5F34">
        <w:rPr>
          <w:rFonts w:asciiTheme="minorHAnsi" w:hAnsiTheme="minorHAnsi" w:cstheme="minorHAnsi"/>
          <w:lang w:val="fr-FR"/>
        </w:rPr>
        <w:t xml:space="preserve">ous-groupe </w:t>
      </w:r>
      <w:r w:rsidR="00991C14">
        <w:rPr>
          <w:rFonts w:asciiTheme="minorHAnsi" w:hAnsiTheme="minorHAnsi" w:cstheme="minorHAnsi"/>
          <w:lang w:val="fr-FR"/>
        </w:rPr>
        <w:t>sur la COP14 s’est à nouveau réuni le 19 janvier 2021. Au cours de cette réunion</w:t>
      </w:r>
      <w:r w:rsidR="00673F47">
        <w:rPr>
          <w:rFonts w:asciiTheme="minorHAnsi" w:hAnsiTheme="minorHAnsi" w:cstheme="minorHAnsi"/>
          <w:lang w:val="fr-FR"/>
        </w:rPr>
        <w:t xml:space="preserve"> virtuelle</w:t>
      </w:r>
      <w:r w:rsidR="00991C14">
        <w:rPr>
          <w:rFonts w:asciiTheme="minorHAnsi" w:hAnsiTheme="minorHAnsi" w:cstheme="minorHAnsi"/>
          <w:lang w:val="fr-FR"/>
        </w:rPr>
        <w:t>, les Parties contractantes ont exprimé leurs préoccupations quant à la possibilité d’</w:t>
      </w:r>
      <w:r w:rsidR="004014B3">
        <w:rPr>
          <w:rFonts w:asciiTheme="minorHAnsi" w:hAnsiTheme="minorHAnsi" w:cstheme="minorHAnsi"/>
          <w:lang w:val="fr-FR"/>
        </w:rPr>
        <w:t xml:space="preserve">organiser </w:t>
      </w:r>
      <w:r w:rsidR="00991C14">
        <w:rPr>
          <w:rFonts w:asciiTheme="minorHAnsi" w:hAnsiTheme="minorHAnsi" w:cstheme="minorHAnsi"/>
          <w:lang w:val="fr-FR"/>
        </w:rPr>
        <w:t xml:space="preserve">une </w:t>
      </w:r>
      <w:r w:rsidR="004014B3">
        <w:rPr>
          <w:rFonts w:asciiTheme="minorHAnsi" w:hAnsiTheme="minorHAnsi" w:cstheme="minorHAnsi"/>
          <w:lang w:val="fr-FR"/>
        </w:rPr>
        <w:t>session</w:t>
      </w:r>
      <w:r w:rsidR="00991C14">
        <w:rPr>
          <w:rFonts w:asciiTheme="minorHAnsi" w:hAnsiTheme="minorHAnsi" w:cstheme="minorHAnsi"/>
          <w:lang w:val="fr-FR"/>
        </w:rPr>
        <w:t xml:space="preserve"> au quatrième trimestre 2021</w:t>
      </w:r>
      <w:r w:rsidR="004014B3">
        <w:rPr>
          <w:rFonts w:asciiTheme="minorHAnsi" w:hAnsiTheme="minorHAnsi" w:cstheme="minorHAnsi"/>
          <w:lang w:val="fr-FR"/>
        </w:rPr>
        <w:t>,</w:t>
      </w:r>
      <w:r w:rsidR="00991C14">
        <w:rPr>
          <w:rFonts w:asciiTheme="minorHAnsi" w:hAnsiTheme="minorHAnsi" w:cstheme="minorHAnsi"/>
          <w:lang w:val="fr-FR"/>
        </w:rPr>
        <w:t xml:space="preserve"> au vu des incertitudes qui demeurent </w:t>
      </w:r>
      <w:r w:rsidR="004014B3">
        <w:rPr>
          <w:rFonts w:asciiTheme="minorHAnsi" w:hAnsiTheme="minorHAnsi" w:cstheme="minorHAnsi"/>
          <w:lang w:val="fr-FR"/>
        </w:rPr>
        <w:t>quant à</w:t>
      </w:r>
      <w:r w:rsidR="00991C14">
        <w:rPr>
          <w:rFonts w:asciiTheme="minorHAnsi" w:hAnsiTheme="minorHAnsi" w:cstheme="minorHAnsi"/>
          <w:lang w:val="fr-FR"/>
        </w:rPr>
        <w:t xml:space="preserve"> la situation sanitaire liée au COVID-19 </w:t>
      </w:r>
      <w:r w:rsidR="004014B3">
        <w:rPr>
          <w:rFonts w:asciiTheme="minorHAnsi" w:hAnsiTheme="minorHAnsi" w:cstheme="minorHAnsi"/>
          <w:lang w:val="fr-FR"/>
        </w:rPr>
        <w:t>concernant</w:t>
      </w:r>
      <w:r w:rsidR="00991C14">
        <w:rPr>
          <w:rFonts w:asciiTheme="minorHAnsi" w:hAnsiTheme="minorHAnsi" w:cstheme="minorHAnsi"/>
          <w:lang w:val="fr-FR"/>
        </w:rPr>
        <w:t xml:space="preserve"> les voyages</w:t>
      </w:r>
      <w:r w:rsidR="004014B3">
        <w:rPr>
          <w:rFonts w:asciiTheme="minorHAnsi" w:hAnsiTheme="minorHAnsi" w:cstheme="minorHAnsi"/>
          <w:lang w:val="fr-FR"/>
        </w:rPr>
        <w:t>,</w:t>
      </w:r>
      <w:r w:rsidR="00991C14">
        <w:rPr>
          <w:rFonts w:asciiTheme="minorHAnsi" w:hAnsiTheme="minorHAnsi" w:cstheme="minorHAnsi"/>
          <w:lang w:val="fr-FR"/>
        </w:rPr>
        <w:t xml:space="preserve"> </w:t>
      </w:r>
      <w:r w:rsidR="004014B3">
        <w:rPr>
          <w:rFonts w:asciiTheme="minorHAnsi" w:hAnsiTheme="minorHAnsi" w:cstheme="minorHAnsi"/>
          <w:lang w:val="fr-FR"/>
        </w:rPr>
        <w:t>ainsi que</w:t>
      </w:r>
      <w:r w:rsidR="00991C14">
        <w:rPr>
          <w:rFonts w:asciiTheme="minorHAnsi" w:hAnsiTheme="minorHAnsi" w:cstheme="minorHAnsi"/>
          <w:lang w:val="fr-FR"/>
        </w:rPr>
        <w:t xml:space="preserve"> du fait que de </w:t>
      </w:r>
      <w:r w:rsidR="00991C14">
        <w:rPr>
          <w:rFonts w:asciiTheme="minorHAnsi" w:hAnsiTheme="minorHAnsi" w:cstheme="minorHAnsi"/>
          <w:lang w:val="fr-FR"/>
        </w:rPr>
        <w:lastRenderedPageBreak/>
        <w:t xml:space="preserve">nombreuses réunions </w:t>
      </w:r>
      <w:r w:rsidR="004014B3">
        <w:rPr>
          <w:rFonts w:asciiTheme="minorHAnsi" w:hAnsiTheme="minorHAnsi" w:cstheme="minorHAnsi"/>
          <w:lang w:val="fr-FR"/>
        </w:rPr>
        <w:t>avaient</w:t>
      </w:r>
      <w:r w:rsidR="00991C14">
        <w:rPr>
          <w:rFonts w:asciiTheme="minorHAnsi" w:hAnsiTheme="minorHAnsi" w:cstheme="minorHAnsi"/>
          <w:lang w:val="fr-FR"/>
        </w:rPr>
        <w:t xml:space="preserve"> déjà été prévu</w:t>
      </w:r>
      <w:r w:rsidR="00F367D2">
        <w:rPr>
          <w:rFonts w:asciiTheme="minorHAnsi" w:hAnsiTheme="minorHAnsi" w:cstheme="minorHAnsi"/>
          <w:lang w:val="fr-FR"/>
        </w:rPr>
        <w:t>e</w:t>
      </w:r>
      <w:r w:rsidR="00991C14">
        <w:rPr>
          <w:rFonts w:asciiTheme="minorHAnsi" w:hAnsiTheme="minorHAnsi" w:cstheme="minorHAnsi"/>
          <w:lang w:val="fr-FR"/>
        </w:rPr>
        <w:t>s pour le quatrième</w:t>
      </w:r>
      <w:r w:rsidR="00F45F67">
        <w:rPr>
          <w:rFonts w:asciiTheme="minorHAnsi" w:hAnsiTheme="minorHAnsi" w:cstheme="minorHAnsi"/>
          <w:lang w:val="fr-FR"/>
        </w:rPr>
        <w:t xml:space="preserve"> tri</w:t>
      </w:r>
      <w:r w:rsidR="00991C14">
        <w:rPr>
          <w:rFonts w:asciiTheme="minorHAnsi" w:hAnsiTheme="minorHAnsi" w:cstheme="minorHAnsi"/>
          <w:lang w:val="fr-FR"/>
        </w:rPr>
        <w:t>mestre 2021</w:t>
      </w:r>
      <w:r w:rsidR="004014B3">
        <w:rPr>
          <w:rFonts w:asciiTheme="minorHAnsi" w:hAnsiTheme="minorHAnsi" w:cstheme="minorHAnsi"/>
          <w:lang w:val="fr-FR"/>
        </w:rPr>
        <w:t xml:space="preserve">. Il apparaissait également aux Parties contractantes </w:t>
      </w:r>
      <w:r w:rsidR="00991C14">
        <w:rPr>
          <w:rFonts w:asciiTheme="minorHAnsi" w:hAnsiTheme="minorHAnsi" w:cstheme="minorHAnsi"/>
          <w:lang w:val="fr-FR"/>
        </w:rPr>
        <w:t>qu</w:t>
      </w:r>
      <w:r w:rsidR="004014B3">
        <w:rPr>
          <w:rFonts w:asciiTheme="minorHAnsi" w:hAnsiTheme="minorHAnsi" w:cstheme="minorHAnsi"/>
          <w:lang w:val="fr-FR"/>
        </w:rPr>
        <w:t>e,</w:t>
      </w:r>
      <w:r w:rsidR="004014B3" w:rsidRPr="004014B3">
        <w:rPr>
          <w:rFonts w:asciiTheme="minorHAnsi" w:hAnsiTheme="minorHAnsi" w:cstheme="minorHAnsi"/>
          <w:lang w:val="fr-FR"/>
        </w:rPr>
        <w:t xml:space="preserve"> </w:t>
      </w:r>
      <w:r w:rsidR="004014B3">
        <w:rPr>
          <w:rFonts w:asciiTheme="minorHAnsi" w:hAnsiTheme="minorHAnsi" w:cstheme="minorHAnsi"/>
          <w:lang w:val="fr-FR"/>
        </w:rPr>
        <w:t xml:space="preserve">selon les dispositions du Règlement intérieur, </w:t>
      </w:r>
      <w:r w:rsidR="00F367D2">
        <w:rPr>
          <w:rFonts w:asciiTheme="minorHAnsi" w:hAnsiTheme="minorHAnsi" w:cstheme="minorHAnsi"/>
          <w:lang w:val="fr-FR"/>
        </w:rPr>
        <w:t xml:space="preserve">il </w:t>
      </w:r>
      <w:r w:rsidR="004014B3">
        <w:rPr>
          <w:rFonts w:asciiTheme="minorHAnsi" w:hAnsiTheme="minorHAnsi" w:cstheme="minorHAnsi"/>
          <w:lang w:val="fr-FR"/>
        </w:rPr>
        <w:t>leur fallait</w:t>
      </w:r>
      <w:r w:rsidR="00F367D2">
        <w:rPr>
          <w:rFonts w:asciiTheme="minorHAnsi" w:hAnsiTheme="minorHAnsi" w:cstheme="minorHAnsi"/>
          <w:lang w:val="fr-FR"/>
        </w:rPr>
        <w:t xml:space="preserve"> consacrer plus de temps à la </w:t>
      </w:r>
      <w:r w:rsidR="00991C14">
        <w:rPr>
          <w:rFonts w:asciiTheme="minorHAnsi" w:hAnsiTheme="minorHAnsi" w:cstheme="minorHAnsi"/>
          <w:lang w:val="fr-FR"/>
        </w:rPr>
        <w:t>préparation de la COP14</w:t>
      </w:r>
      <w:r w:rsidR="00F367D2">
        <w:rPr>
          <w:rFonts w:asciiTheme="minorHAnsi" w:hAnsiTheme="minorHAnsi" w:cstheme="minorHAnsi"/>
          <w:lang w:val="fr-FR"/>
        </w:rPr>
        <w:t xml:space="preserve">. Les membres du Sous-groupe ont </w:t>
      </w:r>
      <w:r w:rsidR="00F45F67">
        <w:rPr>
          <w:rFonts w:asciiTheme="minorHAnsi" w:hAnsiTheme="minorHAnsi" w:cstheme="minorHAnsi"/>
          <w:lang w:val="fr-FR"/>
        </w:rPr>
        <w:t>appuyé</w:t>
      </w:r>
      <w:r w:rsidR="00F367D2">
        <w:rPr>
          <w:rFonts w:asciiTheme="minorHAnsi" w:hAnsiTheme="minorHAnsi" w:cstheme="minorHAnsi"/>
          <w:lang w:val="fr-FR"/>
        </w:rPr>
        <w:t xml:space="preserve"> la proposition de r</w:t>
      </w:r>
      <w:r w:rsidR="00450FA1">
        <w:rPr>
          <w:rFonts w:asciiTheme="minorHAnsi" w:hAnsiTheme="minorHAnsi" w:cstheme="minorHAnsi"/>
          <w:lang w:val="fr-FR"/>
        </w:rPr>
        <w:t>e</w:t>
      </w:r>
      <w:r w:rsidR="00F367D2">
        <w:rPr>
          <w:rFonts w:asciiTheme="minorHAnsi" w:hAnsiTheme="minorHAnsi" w:cstheme="minorHAnsi"/>
          <w:lang w:val="fr-FR"/>
        </w:rPr>
        <w:t xml:space="preserve">porter la COP14 à 2022, sous réserve de </w:t>
      </w:r>
      <w:r w:rsidR="00F45F67">
        <w:rPr>
          <w:rFonts w:asciiTheme="minorHAnsi" w:hAnsiTheme="minorHAnsi" w:cstheme="minorHAnsi"/>
          <w:lang w:val="fr-FR"/>
        </w:rPr>
        <w:t xml:space="preserve">l’obtention par le </w:t>
      </w:r>
      <w:r w:rsidR="00F367D2">
        <w:rPr>
          <w:rFonts w:asciiTheme="minorHAnsi" w:hAnsiTheme="minorHAnsi" w:cstheme="minorHAnsi"/>
          <w:lang w:val="fr-FR"/>
        </w:rPr>
        <w:t>pays hôte</w:t>
      </w:r>
      <w:r w:rsidR="00F45F67">
        <w:rPr>
          <w:rFonts w:asciiTheme="minorHAnsi" w:hAnsiTheme="minorHAnsi" w:cstheme="minorHAnsi"/>
          <w:lang w:val="fr-FR"/>
        </w:rPr>
        <w:t xml:space="preserve"> de l’accord </w:t>
      </w:r>
      <w:r w:rsidR="00B863C3">
        <w:rPr>
          <w:rFonts w:asciiTheme="minorHAnsi" w:hAnsiTheme="minorHAnsi" w:cstheme="minorHAnsi"/>
          <w:lang w:val="fr-FR"/>
        </w:rPr>
        <w:t>interne</w:t>
      </w:r>
      <w:r w:rsidR="00F45F67">
        <w:rPr>
          <w:rFonts w:asciiTheme="minorHAnsi" w:hAnsiTheme="minorHAnsi" w:cstheme="minorHAnsi"/>
          <w:lang w:val="fr-FR"/>
        </w:rPr>
        <w:t>. Les participant</w:t>
      </w:r>
      <w:r w:rsidR="00F367D2">
        <w:rPr>
          <w:rFonts w:asciiTheme="minorHAnsi" w:hAnsiTheme="minorHAnsi" w:cstheme="minorHAnsi"/>
          <w:lang w:val="fr-FR"/>
        </w:rPr>
        <w:t xml:space="preserve">s ont </w:t>
      </w:r>
      <w:r w:rsidR="00F45F67">
        <w:rPr>
          <w:rFonts w:asciiTheme="minorHAnsi" w:hAnsiTheme="minorHAnsi" w:cstheme="minorHAnsi"/>
          <w:lang w:val="fr-FR"/>
        </w:rPr>
        <w:t>émis des remarques</w:t>
      </w:r>
      <w:r w:rsidR="00F367D2">
        <w:rPr>
          <w:rFonts w:asciiTheme="minorHAnsi" w:hAnsiTheme="minorHAnsi" w:cstheme="minorHAnsi"/>
          <w:lang w:val="fr-FR"/>
        </w:rPr>
        <w:t xml:space="preserve"> sur la question d’un mécanisme destiné à régler les questions financières et budgétaires pour 2021 dans la mesure où l’adoption du budget du Secré</w:t>
      </w:r>
      <w:r w:rsidR="00DF5584">
        <w:rPr>
          <w:rFonts w:asciiTheme="minorHAnsi" w:hAnsiTheme="minorHAnsi" w:cstheme="minorHAnsi"/>
          <w:lang w:val="fr-FR"/>
        </w:rPr>
        <w:t xml:space="preserve">tariat ne peut </w:t>
      </w:r>
      <w:r w:rsidR="00B863C3">
        <w:rPr>
          <w:rFonts w:asciiTheme="minorHAnsi" w:hAnsiTheme="minorHAnsi" w:cstheme="minorHAnsi"/>
          <w:lang w:val="fr-FR"/>
        </w:rPr>
        <w:t>attendre jusqu’en</w:t>
      </w:r>
      <w:r w:rsidR="00F367D2">
        <w:rPr>
          <w:rFonts w:asciiTheme="minorHAnsi" w:hAnsiTheme="minorHAnsi" w:cstheme="minorHAnsi"/>
          <w:lang w:val="fr-FR"/>
        </w:rPr>
        <w:t xml:space="preserve"> 2022.</w:t>
      </w:r>
    </w:p>
    <w:p w:rsidR="00A53343" w:rsidRPr="00DF5584" w:rsidRDefault="00A53343" w:rsidP="00A53343">
      <w:pPr>
        <w:ind w:left="426" w:hanging="426"/>
        <w:rPr>
          <w:rFonts w:asciiTheme="minorHAnsi" w:eastAsiaTheme="minorEastAsia" w:hAnsiTheme="minorHAnsi" w:cstheme="minorHAnsi"/>
          <w:lang w:val="fr-FR"/>
        </w:rPr>
      </w:pPr>
    </w:p>
    <w:p w:rsidR="00DF5584" w:rsidRPr="00DF5584" w:rsidRDefault="00EC0D5E" w:rsidP="00A53343">
      <w:pPr>
        <w:ind w:left="426" w:hanging="426"/>
        <w:rPr>
          <w:rFonts w:asciiTheme="minorHAnsi" w:eastAsiaTheme="minorEastAsia" w:hAnsiTheme="minorHAnsi" w:cstheme="minorHAnsi"/>
          <w:lang w:val="fr-FR"/>
        </w:rPr>
      </w:pPr>
      <w:r w:rsidRPr="00673F47">
        <w:rPr>
          <w:rFonts w:asciiTheme="minorHAnsi" w:eastAsiaTheme="minorEastAsia" w:hAnsiTheme="minorHAnsi" w:cstheme="minorHAnsi"/>
          <w:lang w:val="fr-FR"/>
        </w:rPr>
        <w:t xml:space="preserve">6. </w:t>
      </w:r>
      <w:r w:rsidRPr="00673F47">
        <w:rPr>
          <w:rFonts w:asciiTheme="minorHAnsi" w:eastAsiaTheme="minorEastAsia" w:hAnsiTheme="minorHAnsi" w:cstheme="minorHAnsi"/>
          <w:lang w:val="fr-FR"/>
        </w:rPr>
        <w:tab/>
      </w:r>
      <w:r w:rsidR="00DF5584" w:rsidRPr="00DF5584">
        <w:rPr>
          <w:rFonts w:asciiTheme="minorHAnsi" w:eastAsiaTheme="minorEastAsia" w:hAnsiTheme="minorHAnsi" w:cstheme="minorHAnsi"/>
          <w:lang w:val="fr-FR"/>
        </w:rPr>
        <w:t>Le 16 mars 2021, le pays hôt</w:t>
      </w:r>
      <w:r w:rsidR="00DF5584">
        <w:rPr>
          <w:rFonts w:asciiTheme="minorHAnsi" w:eastAsiaTheme="minorEastAsia" w:hAnsiTheme="minorHAnsi" w:cstheme="minorHAnsi"/>
          <w:lang w:val="fr-FR"/>
        </w:rPr>
        <w:t xml:space="preserve">e, en sa qualité de Président du Sous groupe sur la COP14, a contacté les membres du Sous-groupe par voie électronique pour proposer le report de la COP14 au quatrième trimestre 2022. </w:t>
      </w:r>
      <w:r w:rsidR="00DF5584" w:rsidRPr="00DF5584">
        <w:rPr>
          <w:rFonts w:asciiTheme="minorHAnsi" w:eastAsiaTheme="minorEastAsia" w:hAnsiTheme="minorHAnsi" w:cstheme="minorHAnsi"/>
          <w:lang w:val="fr-FR"/>
        </w:rPr>
        <w:t>Les membres du Sous groupe ont approuvé la proposition san</w:t>
      </w:r>
      <w:r w:rsidR="00DF5584">
        <w:rPr>
          <w:rFonts w:asciiTheme="minorHAnsi" w:eastAsiaTheme="minorEastAsia" w:hAnsiTheme="minorHAnsi" w:cstheme="minorHAnsi"/>
          <w:lang w:val="fr-FR"/>
        </w:rPr>
        <w:t xml:space="preserve">s </w:t>
      </w:r>
      <w:r w:rsidR="00F45F67">
        <w:rPr>
          <w:rFonts w:asciiTheme="minorHAnsi" w:eastAsiaTheme="minorEastAsia" w:hAnsiTheme="minorHAnsi" w:cstheme="minorHAnsi"/>
          <w:lang w:val="fr-FR"/>
        </w:rPr>
        <w:t>exprimer d’objections</w:t>
      </w:r>
      <w:r w:rsidR="00DF5584">
        <w:rPr>
          <w:rFonts w:asciiTheme="minorHAnsi" w:eastAsiaTheme="minorEastAsia" w:hAnsiTheme="minorHAnsi" w:cstheme="minorHAnsi"/>
          <w:lang w:val="fr-FR"/>
        </w:rPr>
        <w:t>. Le pays hôte a indiqué que, en s’appuyant sur cette validation, il allait demander l’approbation interne pour le re</w:t>
      </w:r>
      <w:r w:rsidR="00F45F67">
        <w:rPr>
          <w:rFonts w:asciiTheme="minorHAnsi" w:eastAsiaTheme="minorEastAsia" w:hAnsiTheme="minorHAnsi" w:cstheme="minorHAnsi"/>
          <w:lang w:val="fr-FR"/>
        </w:rPr>
        <w:t>port de la COP14 au quatrième tri</w:t>
      </w:r>
      <w:r w:rsidR="00DF5584">
        <w:rPr>
          <w:rFonts w:asciiTheme="minorHAnsi" w:eastAsiaTheme="minorEastAsia" w:hAnsiTheme="minorHAnsi" w:cstheme="minorHAnsi"/>
          <w:lang w:val="fr-FR"/>
        </w:rPr>
        <w:t xml:space="preserve">mestre 2022 et </w:t>
      </w:r>
      <w:r w:rsidR="00F45F67">
        <w:rPr>
          <w:rFonts w:asciiTheme="minorHAnsi" w:eastAsiaTheme="minorEastAsia" w:hAnsiTheme="minorHAnsi" w:cstheme="minorHAnsi"/>
          <w:lang w:val="fr-FR"/>
        </w:rPr>
        <w:t xml:space="preserve">qu’il </w:t>
      </w:r>
      <w:r w:rsidR="00DF5584">
        <w:rPr>
          <w:rFonts w:asciiTheme="minorHAnsi" w:eastAsiaTheme="minorEastAsia" w:hAnsiTheme="minorHAnsi" w:cstheme="minorHAnsi"/>
          <w:lang w:val="fr-FR"/>
        </w:rPr>
        <w:t xml:space="preserve">en notifierait ensuite le Comité permanent pour </w:t>
      </w:r>
      <w:r w:rsidR="00F45F67">
        <w:rPr>
          <w:rFonts w:asciiTheme="minorHAnsi" w:eastAsiaTheme="minorEastAsia" w:hAnsiTheme="minorHAnsi" w:cstheme="minorHAnsi"/>
          <w:lang w:val="fr-FR"/>
        </w:rPr>
        <w:t>validat</w:t>
      </w:r>
      <w:r w:rsidR="00DF5584">
        <w:rPr>
          <w:rFonts w:asciiTheme="minorHAnsi" w:eastAsiaTheme="minorEastAsia" w:hAnsiTheme="minorHAnsi" w:cstheme="minorHAnsi"/>
          <w:lang w:val="fr-FR"/>
        </w:rPr>
        <w:t>ion.</w:t>
      </w:r>
    </w:p>
    <w:p w:rsidR="00A53343" w:rsidRPr="00673F47" w:rsidRDefault="00A53343" w:rsidP="00A53343">
      <w:pPr>
        <w:ind w:left="426" w:hanging="426"/>
        <w:rPr>
          <w:rFonts w:asciiTheme="minorHAnsi" w:eastAsiaTheme="minorEastAsia" w:hAnsiTheme="minorHAnsi" w:cstheme="minorHAnsi"/>
          <w:lang w:val="fr-FR"/>
        </w:rPr>
      </w:pPr>
    </w:p>
    <w:p w:rsidR="00DF5584" w:rsidRPr="00DF5584" w:rsidRDefault="00A53343" w:rsidP="00A53343">
      <w:pPr>
        <w:ind w:left="426" w:hanging="426"/>
        <w:rPr>
          <w:rFonts w:asciiTheme="minorHAnsi" w:eastAsiaTheme="minorEastAsia" w:hAnsiTheme="minorHAnsi" w:cstheme="minorHAnsi"/>
          <w:lang w:val="fr-FR"/>
        </w:rPr>
      </w:pPr>
      <w:r w:rsidRPr="00DF5584">
        <w:rPr>
          <w:rFonts w:asciiTheme="minorHAnsi" w:eastAsiaTheme="minorEastAsia" w:hAnsiTheme="minorHAnsi" w:cstheme="minorHAnsi"/>
          <w:lang w:val="fr-FR"/>
        </w:rPr>
        <w:t>7.</w:t>
      </w:r>
      <w:r w:rsidRPr="00DF5584">
        <w:rPr>
          <w:rFonts w:asciiTheme="minorHAnsi" w:eastAsiaTheme="minorEastAsia" w:hAnsiTheme="minorHAnsi" w:cstheme="minorHAnsi"/>
          <w:lang w:val="fr-FR"/>
        </w:rPr>
        <w:tab/>
      </w:r>
      <w:r w:rsidR="00DF5584" w:rsidRPr="00DF5584">
        <w:rPr>
          <w:rFonts w:asciiTheme="minorHAnsi" w:eastAsiaTheme="minorEastAsia" w:hAnsiTheme="minorHAnsi" w:cstheme="minorHAnsi"/>
          <w:lang w:val="fr-FR"/>
        </w:rPr>
        <w:t xml:space="preserve">Le Secrétariat a ensuite </w:t>
      </w:r>
      <w:r w:rsidR="00DF5584">
        <w:rPr>
          <w:rFonts w:asciiTheme="minorHAnsi" w:eastAsiaTheme="minorEastAsia" w:hAnsiTheme="minorHAnsi" w:cstheme="minorHAnsi"/>
          <w:lang w:val="fr-FR"/>
        </w:rPr>
        <w:t>œuvré avec le Comité exécutif pour informer le Comité permanent et appuyer ses consultations au sujet des réunions et calendriers concernant la date de la COP14, y compris la 59</w:t>
      </w:r>
      <w:r w:rsidR="00DF5584" w:rsidRPr="00DF5584">
        <w:rPr>
          <w:rFonts w:asciiTheme="minorHAnsi" w:eastAsiaTheme="minorEastAsia" w:hAnsiTheme="minorHAnsi" w:cstheme="minorHAnsi"/>
          <w:vertAlign w:val="superscript"/>
          <w:lang w:val="fr-FR"/>
        </w:rPr>
        <w:t>e</w:t>
      </w:r>
      <w:r w:rsidR="00DF5584">
        <w:rPr>
          <w:rFonts w:asciiTheme="minorHAnsi" w:eastAsiaTheme="minorEastAsia" w:hAnsiTheme="minorHAnsi" w:cstheme="minorHAnsi"/>
          <w:lang w:val="fr-FR"/>
        </w:rPr>
        <w:t xml:space="preserve"> réunion du Comité permanent et </w:t>
      </w:r>
      <w:r w:rsidR="00F45F67">
        <w:rPr>
          <w:rFonts w:asciiTheme="minorHAnsi" w:eastAsiaTheme="minorEastAsia" w:hAnsiTheme="minorHAnsi" w:cstheme="minorHAnsi"/>
          <w:lang w:val="fr-FR"/>
        </w:rPr>
        <w:t>de l’échéancier</w:t>
      </w:r>
      <w:r w:rsidR="00DF5584">
        <w:rPr>
          <w:rFonts w:asciiTheme="minorHAnsi" w:eastAsiaTheme="minorEastAsia" w:hAnsiTheme="minorHAnsi" w:cstheme="minorHAnsi"/>
          <w:lang w:val="fr-FR"/>
        </w:rPr>
        <w:t xml:space="preserve"> pour la soumission des projets de résolutions.</w:t>
      </w:r>
    </w:p>
    <w:p w:rsidR="00A53343" w:rsidRPr="00673F47" w:rsidRDefault="00A53343" w:rsidP="00A53343">
      <w:pPr>
        <w:ind w:left="426" w:hanging="426"/>
        <w:rPr>
          <w:rFonts w:asciiTheme="minorHAnsi" w:eastAsiaTheme="minorEastAsia" w:hAnsiTheme="minorHAnsi" w:cstheme="minorHAnsi"/>
          <w:lang w:val="fr-FR"/>
        </w:rPr>
      </w:pPr>
    </w:p>
    <w:p w:rsidR="00BB1F70" w:rsidRPr="00BB1F70" w:rsidRDefault="00A53343" w:rsidP="00BB1F70">
      <w:pPr>
        <w:rPr>
          <w:rFonts w:eastAsia="Times New Roman" w:cs="Calibri"/>
          <w:lang w:val="fr-FR" w:eastAsia="fr-FR"/>
        </w:rPr>
      </w:pPr>
      <w:r w:rsidRPr="00DF5584">
        <w:rPr>
          <w:rFonts w:asciiTheme="minorHAnsi" w:eastAsiaTheme="minorEastAsia" w:hAnsiTheme="minorHAnsi" w:cstheme="minorHAnsi"/>
          <w:lang w:val="fr-FR"/>
        </w:rPr>
        <w:t>8</w:t>
      </w:r>
      <w:r w:rsidR="000614C0" w:rsidRPr="00DF5584">
        <w:rPr>
          <w:rFonts w:asciiTheme="minorHAnsi" w:eastAsiaTheme="minorEastAsia" w:hAnsiTheme="minorHAnsi" w:cstheme="minorHAnsi"/>
          <w:lang w:val="fr-FR"/>
        </w:rPr>
        <w:t>.</w:t>
      </w:r>
      <w:r w:rsidR="000614C0" w:rsidRPr="00DF5584">
        <w:rPr>
          <w:rFonts w:asciiTheme="minorHAnsi" w:eastAsiaTheme="minorEastAsia" w:hAnsiTheme="minorHAnsi" w:cstheme="minorHAnsi"/>
          <w:lang w:val="fr-FR"/>
        </w:rPr>
        <w:tab/>
      </w:r>
      <w:r w:rsidR="00DF5584" w:rsidRPr="00DF5584">
        <w:rPr>
          <w:rFonts w:asciiTheme="minorHAnsi" w:eastAsiaTheme="minorEastAsia" w:hAnsiTheme="minorHAnsi" w:cstheme="minorHAnsi"/>
          <w:lang w:val="fr-FR"/>
        </w:rPr>
        <w:t xml:space="preserve">Le 4 juin 2021, le </w:t>
      </w:r>
      <w:r w:rsidR="00DF5584">
        <w:rPr>
          <w:rFonts w:asciiTheme="minorHAnsi" w:eastAsiaTheme="minorEastAsia" w:hAnsiTheme="minorHAnsi" w:cstheme="minorHAnsi"/>
          <w:lang w:val="fr-FR"/>
        </w:rPr>
        <w:t>S</w:t>
      </w:r>
      <w:r w:rsidR="00DF5584" w:rsidRPr="00DF5584">
        <w:rPr>
          <w:rFonts w:asciiTheme="minorHAnsi" w:eastAsiaTheme="minorEastAsia" w:hAnsiTheme="minorHAnsi" w:cstheme="minorHAnsi"/>
          <w:lang w:val="fr-FR"/>
        </w:rPr>
        <w:t>ous-g</w:t>
      </w:r>
      <w:r w:rsidR="00DF5584">
        <w:rPr>
          <w:rFonts w:asciiTheme="minorHAnsi" w:eastAsiaTheme="minorEastAsia" w:hAnsiTheme="minorHAnsi" w:cstheme="minorHAnsi"/>
          <w:lang w:val="fr-FR"/>
        </w:rPr>
        <w:t xml:space="preserve">roupe sur la COP14 s’est réuni. Lors de cette séance, le pays hôte a </w:t>
      </w:r>
      <w:r w:rsidR="00BB1F70">
        <w:rPr>
          <w:rFonts w:asciiTheme="minorHAnsi" w:eastAsiaTheme="minorEastAsia" w:hAnsiTheme="minorHAnsi" w:cstheme="minorHAnsi"/>
          <w:lang w:val="fr-FR"/>
        </w:rPr>
        <w:t xml:space="preserve">rendu compte aux Parties contractantes des progrès réalisés </w:t>
      </w:r>
      <w:r w:rsidR="006C3539">
        <w:rPr>
          <w:rFonts w:asciiTheme="minorHAnsi" w:eastAsiaTheme="minorEastAsia" w:hAnsiTheme="minorHAnsi" w:cstheme="minorHAnsi"/>
          <w:lang w:val="fr-FR"/>
        </w:rPr>
        <w:t>dans</w:t>
      </w:r>
      <w:r w:rsidR="00BB1F70">
        <w:rPr>
          <w:rFonts w:asciiTheme="minorHAnsi" w:eastAsiaTheme="minorEastAsia" w:hAnsiTheme="minorHAnsi" w:cstheme="minorHAnsi"/>
          <w:lang w:val="fr-FR"/>
        </w:rPr>
        <w:t xml:space="preserve"> la préparation de la COP14 et signalé qu’il </w:t>
      </w:r>
      <w:r w:rsidR="006C3539">
        <w:rPr>
          <w:rFonts w:asciiTheme="minorHAnsi" w:eastAsiaTheme="minorEastAsia" w:hAnsiTheme="minorHAnsi" w:cstheme="minorHAnsi"/>
          <w:lang w:val="fr-FR"/>
        </w:rPr>
        <w:t>s’attendait à ce</w:t>
      </w:r>
      <w:r w:rsidR="00BB1F70">
        <w:rPr>
          <w:rFonts w:asciiTheme="minorHAnsi" w:eastAsiaTheme="minorEastAsia" w:hAnsiTheme="minorHAnsi" w:cstheme="minorHAnsi"/>
          <w:lang w:val="fr-FR"/>
        </w:rPr>
        <w:t xml:space="preserve"> que les dates de la COP14 soient confirmées par le Gouvernement central avant la SC59. Le pays hôte a par ailleurs indiqué que le thème de la Conférence </w:t>
      </w:r>
      <w:r w:rsidR="00BB1F70" w:rsidRPr="00BB1F70">
        <w:rPr>
          <w:rFonts w:eastAsiaTheme="minorEastAsia" w:cs="Calibri"/>
          <w:lang w:val="fr-FR"/>
        </w:rPr>
        <w:t>« </w:t>
      </w:r>
      <w:r w:rsidR="00BB1F70" w:rsidRPr="00BB1F70">
        <w:rPr>
          <w:rFonts w:eastAsia="Times New Roman" w:cs="Calibri"/>
          <w:lang w:val="fr-FR" w:eastAsia="fr-FR"/>
        </w:rPr>
        <w:t xml:space="preserve">Agir pour les zones humides, c’est agir pour l’homme et la nature » </w:t>
      </w:r>
      <w:r w:rsidR="00BB1F70">
        <w:rPr>
          <w:rFonts w:eastAsia="Times New Roman" w:cs="Calibri"/>
          <w:lang w:val="fr-FR" w:eastAsia="fr-FR"/>
        </w:rPr>
        <w:t>avait été confirmé par le gouvernement. Pour ce qui concerne les activités et manifestations organisées pendant la Conférence et dans la mesure où celle-ci est reportée à 2022, le pays hôte n’organisera pas de célébrations du 50</w:t>
      </w:r>
      <w:r w:rsidR="00BB1F70" w:rsidRPr="00BB1F70">
        <w:rPr>
          <w:rFonts w:eastAsia="Times New Roman" w:cs="Calibri"/>
          <w:vertAlign w:val="superscript"/>
          <w:lang w:val="fr-FR" w:eastAsia="fr-FR"/>
        </w:rPr>
        <w:t>e</w:t>
      </w:r>
      <w:r w:rsidR="00BB1F70">
        <w:rPr>
          <w:rFonts w:eastAsia="Times New Roman" w:cs="Calibri"/>
          <w:lang w:val="fr-FR" w:eastAsia="fr-FR"/>
        </w:rPr>
        <w:t xml:space="preserve"> anniversaire, mais prévoira un débat de haut niveau, des manifestations parallèles, des excursions sur le terrain, une exposition et l’annonce d’une collaboration sud-sud pour la conservation des zones humides, ainsi qu’il avait été antérieurement proposé.</w:t>
      </w:r>
    </w:p>
    <w:p w:rsidR="00A53343" w:rsidRPr="00673F47" w:rsidRDefault="00A53343" w:rsidP="00A53343">
      <w:pPr>
        <w:ind w:left="426" w:hanging="426"/>
        <w:rPr>
          <w:rFonts w:asciiTheme="minorHAnsi" w:eastAsiaTheme="minorEastAsia" w:hAnsiTheme="minorHAnsi" w:cstheme="minorHAnsi"/>
          <w:lang w:val="fr-FR"/>
        </w:rPr>
      </w:pPr>
    </w:p>
    <w:p w:rsidR="00BB1F70" w:rsidRDefault="00A53343" w:rsidP="00A53343">
      <w:pPr>
        <w:ind w:left="426" w:hanging="426"/>
        <w:rPr>
          <w:rFonts w:asciiTheme="minorHAnsi" w:eastAsiaTheme="minorEastAsia" w:hAnsiTheme="minorHAnsi" w:cstheme="minorHAnsi"/>
          <w:lang w:val="fr-FR"/>
        </w:rPr>
      </w:pPr>
      <w:r w:rsidRPr="00BB1F70">
        <w:rPr>
          <w:rFonts w:asciiTheme="minorHAnsi" w:eastAsiaTheme="minorEastAsia" w:hAnsiTheme="minorHAnsi" w:cstheme="minorHAnsi"/>
          <w:lang w:val="fr-FR"/>
        </w:rPr>
        <w:t>9.</w:t>
      </w:r>
      <w:r w:rsidR="000614C0" w:rsidRPr="00BB1F70">
        <w:rPr>
          <w:rFonts w:asciiTheme="minorHAnsi" w:eastAsiaTheme="minorEastAsia" w:hAnsiTheme="minorHAnsi" w:cstheme="minorHAnsi"/>
          <w:lang w:val="fr-FR"/>
        </w:rPr>
        <w:tab/>
      </w:r>
      <w:r w:rsidR="00BB1F70" w:rsidRPr="00BB1F70">
        <w:rPr>
          <w:rFonts w:asciiTheme="minorHAnsi" w:eastAsiaTheme="minorEastAsia" w:hAnsiTheme="minorHAnsi" w:cstheme="minorHAnsi"/>
          <w:lang w:val="fr-FR"/>
        </w:rPr>
        <w:t xml:space="preserve">La Municipalité de </w:t>
      </w:r>
      <w:r w:rsidR="000614C0" w:rsidRPr="00BB1F70">
        <w:rPr>
          <w:rFonts w:asciiTheme="minorHAnsi" w:eastAsiaTheme="minorEastAsia" w:hAnsiTheme="minorHAnsi" w:cstheme="minorHAnsi"/>
          <w:lang w:val="fr-FR"/>
        </w:rPr>
        <w:t>Wuhan</w:t>
      </w:r>
      <w:r w:rsidR="00BB1F70" w:rsidRPr="00BB1F70">
        <w:rPr>
          <w:rFonts w:asciiTheme="minorHAnsi" w:eastAsiaTheme="minorEastAsia" w:hAnsiTheme="minorHAnsi" w:cstheme="minorHAnsi"/>
          <w:lang w:val="fr-FR"/>
        </w:rPr>
        <w:t xml:space="preserve"> a</w:t>
      </w:r>
      <w:r w:rsidR="00BB1F70">
        <w:rPr>
          <w:rFonts w:asciiTheme="minorHAnsi" w:eastAsiaTheme="minorEastAsia" w:hAnsiTheme="minorHAnsi" w:cstheme="minorHAnsi"/>
          <w:lang w:val="fr-FR"/>
        </w:rPr>
        <w:t xml:space="preserve"> organisé une</w:t>
      </w:r>
      <w:r w:rsidR="006C3539">
        <w:rPr>
          <w:rFonts w:asciiTheme="minorHAnsi" w:eastAsiaTheme="minorEastAsia" w:hAnsiTheme="minorHAnsi" w:cstheme="minorHAnsi"/>
          <w:lang w:val="fr-FR"/>
        </w:rPr>
        <w:t xml:space="preserve"> présentation de ses préparatifs et indiqué qu’elle proposait</w:t>
      </w:r>
      <w:r w:rsidR="00BB1F70">
        <w:rPr>
          <w:rFonts w:asciiTheme="minorHAnsi" w:eastAsiaTheme="minorEastAsia" w:hAnsiTheme="minorHAnsi" w:cstheme="minorHAnsi"/>
          <w:lang w:val="fr-FR"/>
        </w:rPr>
        <w:t xml:space="preserve"> de ch</w:t>
      </w:r>
      <w:r w:rsidR="00BA76D3">
        <w:rPr>
          <w:rFonts w:asciiTheme="minorHAnsi" w:eastAsiaTheme="minorEastAsia" w:hAnsiTheme="minorHAnsi" w:cstheme="minorHAnsi"/>
          <w:lang w:val="fr-FR"/>
        </w:rPr>
        <w:t xml:space="preserve">anger le lieu de la Conférence, le Centre de Conférence d’Eastlake remplaçant celui de l’Intercontinental. </w:t>
      </w:r>
      <w:r w:rsidR="00BA76D3" w:rsidRPr="00BA76D3">
        <w:rPr>
          <w:rFonts w:asciiTheme="minorHAnsi" w:eastAsiaTheme="minorEastAsia" w:hAnsiTheme="minorHAnsi" w:cstheme="minorHAnsi"/>
          <w:lang w:val="fr-FR"/>
        </w:rPr>
        <w:t>Au vu de la situation sanitaire liée au COVID-19, l</w:t>
      </w:r>
      <w:r w:rsidR="00BA76D3">
        <w:rPr>
          <w:rFonts w:asciiTheme="minorHAnsi" w:eastAsiaTheme="minorEastAsia" w:hAnsiTheme="minorHAnsi" w:cstheme="minorHAnsi"/>
          <w:lang w:val="fr-FR"/>
        </w:rPr>
        <w:t xml:space="preserve">e pays hôte souhaite réduire le nombre des participants à 1 000, en proposant une réunion hybride (en ligne + </w:t>
      </w:r>
      <w:r w:rsidR="00673F47">
        <w:rPr>
          <w:rFonts w:asciiTheme="minorHAnsi" w:eastAsiaTheme="minorEastAsia" w:hAnsiTheme="minorHAnsi" w:cstheme="minorHAnsi"/>
          <w:lang w:val="fr-FR"/>
        </w:rPr>
        <w:t>en présentiel</w:t>
      </w:r>
      <w:r w:rsidR="00BA76D3">
        <w:rPr>
          <w:rFonts w:asciiTheme="minorHAnsi" w:eastAsiaTheme="minorEastAsia" w:hAnsiTheme="minorHAnsi" w:cstheme="minorHAnsi"/>
          <w:lang w:val="fr-FR"/>
        </w:rPr>
        <w:t>) semblable à celle de la COP15 de la Conférence sur la biodiversité, en notant que la plus grande des salles de conférence</w:t>
      </w:r>
      <w:r w:rsidR="00B863C3">
        <w:rPr>
          <w:rFonts w:asciiTheme="minorHAnsi" w:eastAsiaTheme="minorEastAsia" w:hAnsiTheme="minorHAnsi" w:cstheme="minorHAnsi"/>
          <w:lang w:val="fr-FR"/>
        </w:rPr>
        <w:t>s</w:t>
      </w:r>
      <w:r w:rsidR="00BA76D3">
        <w:rPr>
          <w:rFonts w:asciiTheme="minorHAnsi" w:eastAsiaTheme="minorEastAsia" w:hAnsiTheme="minorHAnsi" w:cstheme="minorHAnsi"/>
          <w:lang w:val="fr-FR"/>
        </w:rPr>
        <w:t xml:space="preserve"> du Centre de Conférences d’Eastlake peut accueillir 1 000 participants avec des tables. Le Secrétariat a indiqué qu’ils étaient </w:t>
      </w:r>
      <w:r w:rsidR="00BA76D3" w:rsidRPr="00BA76D3">
        <w:rPr>
          <w:rFonts w:asciiTheme="minorHAnsi" w:eastAsiaTheme="minorEastAsia" w:hAnsiTheme="minorHAnsi" w:cstheme="minorHAnsi"/>
          <w:lang w:val="fr-FR"/>
        </w:rPr>
        <w:t>1</w:t>
      </w:r>
      <w:r w:rsidR="00BA76D3">
        <w:rPr>
          <w:rFonts w:asciiTheme="minorHAnsi" w:eastAsiaTheme="minorEastAsia" w:hAnsiTheme="minorHAnsi" w:cstheme="minorHAnsi"/>
          <w:lang w:val="fr-FR"/>
        </w:rPr>
        <w:t> </w:t>
      </w:r>
      <w:r w:rsidR="00BA76D3" w:rsidRPr="00BA76D3">
        <w:rPr>
          <w:rFonts w:asciiTheme="minorHAnsi" w:eastAsiaTheme="minorEastAsia" w:hAnsiTheme="minorHAnsi" w:cstheme="minorHAnsi"/>
          <w:lang w:val="fr-FR"/>
        </w:rPr>
        <w:t xml:space="preserve">396 participants </w:t>
      </w:r>
      <w:r w:rsidR="00BA76D3">
        <w:rPr>
          <w:rFonts w:asciiTheme="minorHAnsi" w:eastAsiaTheme="minorEastAsia" w:hAnsiTheme="minorHAnsi" w:cstheme="minorHAnsi"/>
          <w:lang w:val="fr-FR"/>
        </w:rPr>
        <w:t xml:space="preserve">à la </w:t>
      </w:r>
      <w:r w:rsidR="00BA76D3" w:rsidRPr="00BA76D3">
        <w:rPr>
          <w:rFonts w:asciiTheme="minorHAnsi" w:eastAsiaTheme="minorEastAsia" w:hAnsiTheme="minorHAnsi" w:cstheme="minorHAnsi"/>
          <w:lang w:val="fr-FR"/>
        </w:rPr>
        <w:t>COP13</w:t>
      </w:r>
      <w:r w:rsidR="00BA76D3">
        <w:rPr>
          <w:rFonts w:asciiTheme="minorHAnsi" w:eastAsiaTheme="minorEastAsia" w:hAnsiTheme="minorHAnsi" w:cstheme="minorHAnsi"/>
          <w:lang w:val="fr-FR"/>
        </w:rPr>
        <w:t>, </w:t>
      </w:r>
      <w:r w:rsidR="00BA76D3" w:rsidRPr="00BA76D3">
        <w:rPr>
          <w:rFonts w:asciiTheme="minorHAnsi" w:eastAsiaTheme="minorEastAsia" w:hAnsiTheme="minorHAnsi" w:cstheme="minorHAnsi"/>
          <w:lang w:val="fr-FR"/>
        </w:rPr>
        <w:t xml:space="preserve">930 participants </w:t>
      </w:r>
      <w:r w:rsidR="00BA76D3">
        <w:rPr>
          <w:rFonts w:asciiTheme="minorHAnsi" w:eastAsiaTheme="minorEastAsia" w:hAnsiTheme="minorHAnsi" w:cstheme="minorHAnsi"/>
          <w:lang w:val="fr-FR"/>
        </w:rPr>
        <w:t>à la</w:t>
      </w:r>
      <w:r w:rsidR="00BA76D3" w:rsidRPr="00BA76D3">
        <w:rPr>
          <w:rFonts w:asciiTheme="minorHAnsi" w:eastAsiaTheme="minorEastAsia" w:hAnsiTheme="minorHAnsi" w:cstheme="minorHAnsi"/>
          <w:lang w:val="fr-FR"/>
        </w:rPr>
        <w:t xml:space="preserve"> COP12 </w:t>
      </w:r>
      <w:r w:rsidR="00BA76D3">
        <w:rPr>
          <w:rFonts w:asciiTheme="minorHAnsi" w:eastAsiaTheme="minorEastAsia" w:hAnsiTheme="minorHAnsi" w:cstheme="minorHAnsi"/>
          <w:lang w:val="fr-FR"/>
        </w:rPr>
        <w:t>et</w:t>
      </w:r>
      <w:r w:rsidR="00BA76D3" w:rsidRPr="00BA76D3">
        <w:rPr>
          <w:rFonts w:asciiTheme="minorHAnsi" w:eastAsiaTheme="minorEastAsia" w:hAnsiTheme="minorHAnsi" w:cstheme="minorHAnsi"/>
          <w:lang w:val="fr-FR"/>
        </w:rPr>
        <w:t xml:space="preserve"> 1</w:t>
      </w:r>
      <w:r w:rsidR="00BA76D3">
        <w:rPr>
          <w:rFonts w:asciiTheme="minorHAnsi" w:eastAsiaTheme="minorEastAsia" w:hAnsiTheme="minorHAnsi" w:cstheme="minorHAnsi"/>
          <w:lang w:val="fr-FR"/>
        </w:rPr>
        <w:t> 371 participants à la</w:t>
      </w:r>
      <w:r w:rsidR="00BA76D3" w:rsidRPr="00BA76D3">
        <w:rPr>
          <w:rFonts w:asciiTheme="minorHAnsi" w:eastAsiaTheme="minorEastAsia" w:hAnsiTheme="minorHAnsi" w:cstheme="minorHAnsi"/>
          <w:lang w:val="fr-FR"/>
        </w:rPr>
        <w:t xml:space="preserve"> COP11.</w:t>
      </w:r>
      <w:r w:rsidR="00BA76D3">
        <w:rPr>
          <w:rFonts w:asciiTheme="minorHAnsi" w:eastAsiaTheme="minorEastAsia" w:hAnsiTheme="minorHAnsi" w:cstheme="minorHAnsi"/>
          <w:lang w:val="fr-FR"/>
        </w:rPr>
        <w:t xml:space="preserve"> Les conditions requises, telles qu’elles ont été élaborées dans le cadre du Mémorandum d’accord sur la </w:t>
      </w:r>
      <w:r w:rsidR="006C3539">
        <w:rPr>
          <w:rFonts w:asciiTheme="minorHAnsi" w:eastAsiaTheme="minorEastAsia" w:hAnsiTheme="minorHAnsi" w:cstheme="minorHAnsi"/>
          <w:lang w:val="fr-FR"/>
        </w:rPr>
        <w:t>base des expériences passées de</w:t>
      </w:r>
      <w:r w:rsidR="00BA76D3">
        <w:rPr>
          <w:rFonts w:asciiTheme="minorHAnsi" w:eastAsiaTheme="minorEastAsia" w:hAnsiTheme="minorHAnsi" w:cstheme="minorHAnsi"/>
          <w:lang w:val="fr-FR"/>
        </w:rPr>
        <w:t xml:space="preserve"> Parties </w:t>
      </w:r>
      <w:r w:rsidR="006C3539">
        <w:rPr>
          <w:rFonts w:asciiTheme="minorHAnsi" w:eastAsiaTheme="minorEastAsia" w:hAnsiTheme="minorHAnsi" w:cstheme="minorHAnsi"/>
          <w:lang w:val="fr-FR"/>
        </w:rPr>
        <w:t xml:space="preserve">ayant </w:t>
      </w:r>
      <w:r w:rsidR="00BA76D3">
        <w:rPr>
          <w:rFonts w:asciiTheme="minorHAnsi" w:eastAsiaTheme="minorEastAsia" w:hAnsiTheme="minorHAnsi" w:cstheme="minorHAnsi"/>
          <w:lang w:val="fr-FR"/>
        </w:rPr>
        <w:t>so</w:t>
      </w:r>
      <w:r w:rsidR="006C3539">
        <w:rPr>
          <w:rFonts w:asciiTheme="minorHAnsi" w:eastAsiaTheme="minorEastAsia" w:hAnsiTheme="minorHAnsi" w:cstheme="minorHAnsi"/>
          <w:lang w:val="fr-FR"/>
        </w:rPr>
        <w:t>uhaité</w:t>
      </w:r>
      <w:r w:rsidR="00BA76D3">
        <w:rPr>
          <w:rFonts w:asciiTheme="minorHAnsi" w:eastAsiaTheme="minorEastAsia" w:hAnsiTheme="minorHAnsi" w:cstheme="minorHAnsi"/>
          <w:lang w:val="fr-FR"/>
        </w:rPr>
        <w:t xml:space="preserve"> organiser la réunion, </w:t>
      </w:r>
      <w:r w:rsidR="00771AAB">
        <w:rPr>
          <w:rFonts w:asciiTheme="minorHAnsi" w:eastAsiaTheme="minorEastAsia" w:hAnsiTheme="minorHAnsi" w:cstheme="minorHAnsi"/>
          <w:lang w:val="fr-FR"/>
        </w:rPr>
        <w:t>incluent une salle plénière d’une capacité de 1 500 délégués assis à une table. Il a été souligné qu’outre l’existence d’une capacité suffisante pour les sessions plénières, il était très important que les participants disposent d’un hébergement de standing à proximité, ainsi que d’</w:t>
      </w:r>
      <w:r w:rsidR="006C3539">
        <w:rPr>
          <w:rFonts w:asciiTheme="minorHAnsi" w:eastAsiaTheme="minorEastAsia" w:hAnsiTheme="minorHAnsi" w:cstheme="minorHAnsi"/>
          <w:lang w:val="fr-FR"/>
        </w:rPr>
        <w:t>un espace</w:t>
      </w:r>
      <w:r w:rsidR="00771AAB">
        <w:rPr>
          <w:rFonts w:asciiTheme="minorHAnsi" w:eastAsiaTheme="minorEastAsia" w:hAnsiTheme="minorHAnsi" w:cstheme="minorHAnsi"/>
          <w:lang w:val="fr-FR"/>
        </w:rPr>
        <w:t xml:space="preserve"> de bureau</w:t>
      </w:r>
      <w:r w:rsidR="006C3539">
        <w:rPr>
          <w:rFonts w:asciiTheme="minorHAnsi" w:eastAsiaTheme="minorEastAsia" w:hAnsiTheme="minorHAnsi" w:cstheme="minorHAnsi"/>
          <w:lang w:val="fr-FR"/>
        </w:rPr>
        <w:t>x</w:t>
      </w:r>
      <w:r w:rsidR="00771AAB">
        <w:rPr>
          <w:rFonts w:asciiTheme="minorHAnsi" w:eastAsiaTheme="minorEastAsia" w:hAnsiTheme="minorHAnsi" w:cstheme="minorHAnsi"/>
          <w:lang w:val="fr-FR"/>
        </w:rPr>
        <w:t xml:space="preserve"> pour leur staff </w:t>
      </w:r>
      <w:r w:rsidR="00C24ADA">
        <w:rPr>
          <w:rFonts w:asciiTheme="minorHAnsi" w:eastAsiaTheme="minorEastAsia" w:hAnsiTheme="minorHAnsi" w:cstheme="minorHAnsi"/>
          <w:lang w:val="fr-FR"/>
        </w:rPr>
        <w:t>et</w:t>
      </w:r>
      <w:r w:rsidR="00771AAB">
        <w:rPr>
          <w:rFonts w:asciiTheme="minorHAnsi" w:eastAsiaTheme="minorEastAsia" w:hAnsiTheme="minorHAnsi" w:cstheme="minorHAnsi"/>
          <w:lang w:val="fr-FR"/>
        </w:rPr>
        <w:t xml:space="preserve"> d’un bon accès à Internet.</w:t>
      </w:r>
    </w:p>
    <w:p w:rsidR="000614C0" w:rsidRPr="00673F47" w:rsidRDefault="000614C0" w:rsidP="00A53343">
      <w:pPr>
        <w:ind w:left="426" w:hanging="426"/>
        <w:rPr>
          <w:rFonts w:asciiTheme="minorHAnsi" w:eastAsiaTheme="minorEastAsia" w:hAnsiTheme="minorHAnsi" w:cstheme="minorHAnsi"/>
          <w:lang w:val="fr-FR"/>
        </w:rPr>
      </w:pPr>
    </w:p>
    <w:p w:rsidR="00C24ADA" w:rsidRDefault="00A53343" w:rsidP="00A53343">
      <w:pPr>
        <w:ind w:left="426" w:hanging="426"/>
        <w:rPr>
          <w:rStyle w:val="markedcontent"/>
          <w:rFonts w:cs="Calibri"/>
          <w:lang w:val="fr-FR"/>
        </w:rPr>
      </w:pPr>
      <w:r w:rsidRPr="00C24ADA">
        <w:rPr>
          <w:rFonts w:asciiTheme="minorHAnsi" w:eastAsiaTheme="minorEastAsia" w:hAnsiTheme="minorHAnsi" w:cstheme="minorHAnsi"/>
          <w:lang w:val="fr-FR"/>
        </w:rPr>
        <w:t>10.</w:t>
      </w:r>
      <w:r w:rsidR="000614C0" w:rsidRPr="00C24ADA">
        <w:rPr>
          <w:rFonts w:asciiTheme="minorHAnsi" w:eastAsiaTheme="minorEastAsia" w:hAnsiTheme="minorHAnsi" w:cstheme="minorHAnsi"/>
          <w:lang w:val="fr-FR"/>
        </w:rPr>
        <w:tab/>
      </w:r>
      <w:r w:rsidR="00C24ADA" w:rsidRPr="00C24ADA">
        <w:rPr>
          <w:rFonts w:asciiTheme="minorHAnsi" w:eastAsiaTheme="minorEastAsia" w:hAnsiTheme="minorHAnsi" w:cstheme="minorHAnsi"/>
          <w:lang w:val="fr-FR"/>
        </w:rPr>
        <w:t>Le Sous-groupe a d</w:t>
      </w:r>
      <w:r w:rsidR="00C24ADA">
        <w:rPr>
          <w:rFonts w:asciiTheme="minorHAnsi" w:eastAsiaTheme="minorEastAsia" w:hAnsiTheme="minorHAnsi" w:cstheme="minorHAnsi"/>
          <w:lang w:val="fr-FR"/>
        </w:rPr>
        <w:t xml:space="preserve">ébattu du processus de nomination pour les </w:t>
      </w:r>
      <w:r w:rsidR="00C24ADA" w:rsidRPr="00C24ADA">
        <w:rPr>
          <w:rStyle w:val="markedcontent"/>
          <w:rFonts w:cs="Calibri"/>
          <w:lang w:val="fr-FR"/>
        </w:rPr>
        <w:t>Prix Ramsar pour la conservation des zones humides</w:t>
      </w:r>
      <w:r w:rsidR="00C24ADA">
        <w:rPr>
          <w:rStyle w:val="markedcontent"/>
          <w:rFonts w:cs="Calibri"/>
          <w:lang w:val="fr-FR"/>
        </w:rPr>
        <w:t xml:space="preserve"> et indiqué qu’il serait prêt à soumettre les nominations au SC59 si le Comité permanent décidait d’inscrire la question à l’ordre du jour du SC59.</w:t>
      </w:r>
    </w:p>
    <w:p w:rsidR="00C24ADA" w:rsidRDefault="00C24ADA" w:rsidP="00A53343">
      <w:pPr>
        <w:ind w:left="426" w:hanging="426"/>
        <w:rPr>
          <w:rFonts w:asciiTheme="minorHAnsi" w:eastAsiaTheme="minorEastAsia" w:hAnsiTheme="minorHAnsi" w:cstheme="minorHAnsi"/>
          <w:lang w:val="fr-FR"/>
        </w:rPr>
      </w:pPr>
    </w:p>
    <w:p w:rsidR="0060600F" w:rsidRPr="00A53343" w:rsidRDefault="00540C0F" w:rsidP="00C24ADA">
      <w:pPr>
        <w:pStyle w:val="NoSpacing"/>
        <w:keepNext/>
        <w:rPr>
          <w:rFonts w:asciiTheme="minorHAnsi" w:hAnsiTheme="minorHAnsi" w:cstheme="minorHAnsi"/>
          <w:b/>
        </w:rPr>
      </w:pPr>
      <w:r w:rsidRPr="00A53343">
        <w:rPr>
          <w:rFonts w:asciiTheme="minorHAnsi" w:hAnsiTheme="minorHAnsi" w:cstheme="minorHAnsi"/>
          <w:b/>
        </w:rPr>
        <w:lastRenderedPageBreak/>
        <w:t xml:space="preserve">Update on the </w:t>
      </w:r>
      <w:r w:rsidRPr="00A8278C">
        <w:rPr>
          <w:rFonts w:asciiTheme="minorHAnsi" w:hAnsiTheme="minorHAnsi" w:cstheme="minorHAnsi"/>
          <w:b/>
        </w:rPr>
        <w:t>50th</w:t>
      </w:r>
      <w:r w:rsidRPr="00A53343">
        <w:rPr>
          <w:rFonts w:asciiTheme="minorHAnsi" w:hAnsiTheme="minorHAnsi" w:cstheme="minorHAnsi"/>
          <w:b/>
        </w:rPr>
        <w:t xml:space="preserve"> Anniversary campaign </w:t>
      </w:r>
    </w:p>
    <w:p w:rsidR="00A53343" w:rsidRDefault="00A53343" w:rsidP="006C3539">
      <w:pPr>
        <w:keepNext/>
        <w:rPr>
          <w:rFonts w:asciiTheme="minorHAnsi" w:hAnsiTheme="minorHAnsi" w:cstheme="minorHAnsi"/>
        </w:rPr>
      </w:pPr>
    </w:p>
    <w:p w:rsidR="005827BA" w:rsidRDefault="00A53343" w:rsidP="00A53343">
      <w:pPr>
        <w:ind w:left="426" w:hanging="426"/>
        <w:rPr>
          <w:rStyle w:val="markedcontent"/>
          <w:rFonts w:asciiTheme="minorHAnsi" w:hAnsiTheme="minorHAnsi" w:cstheme="minorHAnsi"/>
          <w:lang w:val="fr-FR"/>
        </w:rPr>
      </w:pPr>
      <w:r w:rsidRPr="00673F47">
        <w:rPr>
          <w:rFonts w:asciiTheme="minorHAnsi" w:hAnsiTheme="minorHAnsi" w:cstheme="minorHAnsi"/>
          <w:lang w:val="fr-FR"/>
        </w:rPr>
        <w:t>11</w:t>
      </w:r>
      <w:r w:rsidR="0060600F" w:rsidRPr="00673F47">
        <w:rPr>
          <w:rFonts w:asciiTheme="minorHAnsi" w:hAnsiTheme="minorHAnsi" w:cstheme="minorHAnsi"/>
          <w:lang w:val="fr-FR"/>
        </w:rPr>
        <w:t xml:space="preserve">. </w:t>
      </w:r>
      <w:r w:rsidR="0060600F" w:rsidRPr="00673F47">
        <w:rPr>
          <w:rFonts w:asciiTheme="minorHAnsi" w:hAnsiTheme="minorHAnsi" w:cstheme="minorHAnsi"/>
          <w:lang w:val="fr-FR"/>
        </w:rPr>
        <w:tab/>
      </w:r>
      <w:r w:rsidR="005827BA" w:rsidRPr="005827BA">
        <w:rPr>
          <w:rFonts w:asciiTheme="minorHAnsi" w:hAnsiTheme="minorHAnsi" w:cstheme="minorHAnsi"/>
          <w:lang w:val="fr-FR"/>
        </w:rPr>
        <w:t>La Dé</w:t>
      </w:r>
      <w:r w:rsidR="00E377B4" w:rsidRPr="005827BA">
        <w:rPr>
          <w:rFonts w:asciiTheme="minorHAnsi" w:hAnsiTheme="minorHAnsi" w:cstheme="minorHAnsi"/>
          <w:lang w:val="fr-FR"/>
        </w:rPr>
        <w:t xml:space="preserve">cision SC58-12 </w:t>
      </w:r>
      <w:r w:rsidR="005827BA" w:rsidRPr="005827BA">
        <w:rPr>
          <w:rFonts w:asciiTheme="minorHAnsi" w:hAnsiTheme="minorHAnsi" w:cstheme="minorHAnsi"/>
          <w:lang w:val="fr-FR"/>
        </w:rPr>
        <w:t>invitait le Comité permanent à</w:t>
      </w:r>
      <w:r w:rsidR="005827BA" w:rsidRPr="005827BA">
        <w:rPr>
          <w:rStyle w:val="markedcontent"/>
          <w:rFonts w:asciiTheme="minorHAnsi" w:hAnsiTheme="minorHAnsi" w:cstheme="minorHAnsi"/>
          <w:lang w:val="fr-FR"/>
        </w:rPr>
        <w:t xml:space="preserve"> échanger des idées sur un thème «chapeau» amélioré pour le 50</w:t>
      </w:r>
      <w:r w:rsidR="005827BA" w:rsidRPr="005827BA">
        <w:rPr>
          <w:rStyle w:val="markedcontent"/>
          <w:rFonts w:asciiTheme="minorHAnsi" w:hAnsiTheme="minorHAnsi" w:cstheme="minorHAnsi"/>
          <w:vertAlign w:val="superscript"/>
          <w:lang w:val="fr-FR"/>
        </w:rPr>
        <w:t>e</w:t>
      </w:r>
      <w:r w:rsidR="008E13AF">
        <w:rPr>
          <w:rStyle w:val="markedcontent"/>
          <w:rFonts w:asciiTheme="minorHAnsi" w:hAnsiTheme="minorHAnsi" w:cstheme="minorHAnsi"/>
          <w:lang w:val="fr-FR"/>
        </w:rPr>
        <w:t xml:space="preserve"> </w:t>
      </w:r>
      <w:r w:rsidR="005827BA" w:rsidRPr="005827BA">
        <w:rPr>
          <w:rStyle w:val="markedcontent"/>
          <w:rFonts w:asciiTheme="minorHAnsi" w:hAnsiTheme="minorHAnsi" w:cstheme="minorHAnsi"/>
          <w:lang w:val="fr-FR"/>
        </w:rPr>
        <w:t>anniversaire avec le Secrétariat</w:t>
      </w:r>
      <w:r w:rsidR="008E13AF">
        <w:rPr>
          <w:rStyle w:val="markedcontent"/>
          <w:rFonts w:asciiTheme="minorHAnsi" w:hAnsiTheme="minorHAnsi" w:cstheme="minorHAnsi"/>
          <w:lang w:val="fr-FR"/>
        </w:rPr>
        <w:t>,</w:t>
      </w:r>
      <w:r w:rsidR="005827BA" w:rsidRPr="005827BA">
        <w:rPr>
          <w:rStyle w:val="markedcontent"/>
          <w:rFonts w:asciiTheme="minorHAnsi" w:hAnsiTheme="minorHAnsi" w:cstheme="minorHAnsi"/>
          <w:lang w:val="fr-FR"/>
        </w:rPr>
        <w:t xml:space="preserve"> avant le 7juillet2020, et donnait instruction au Secrétariat, en consultation avec le Sous-groupe sur la COP14, de finaliser le thème, en tenant compte des idées reçues. Une suggestion a été reçue avant la date butoir : « </w:t>
      </w:r>
      <w:r w:rsidR="005827BA">
        <w:rPr>
          <w:rStyle w:val="markedcontent"/>
          <w:rFonts w:asciiTheme="minorHAnsi" w:hAnsiTheme="minorHAnsi" w:cstheme="minorHAnsi"/>
          <w:lang w:val="fr-FR"/>
        </w:rPr>
        <w:t xml:space="preserve">Les zones humides relient ». </w:t>
      </w:r>
      <w:r w:rsidR="00622232">
        <w:rPr>
          <w:rStyle w:val="markedcontent"/>
          <w:rFonts w:asciiTheme="minorHAnsi" w:hAnsiTheme="minorHAnsi" w:cstheme="minorHAnsi"/>
          <w:lang w:val="fr-FR"/>
        </w:rPr>
        <w:t xml:space="preserve">Après </w:t>
      </w:r>
      <w:r w:rsidR="00241BF6">
        <w:rPr>
          <w:rStyle w:val="markedcontent"/>
          <w:rFonts w:asciiTheme="minorHAnsi" w:hAnsiTheme="minorHAnsi" w:cstheme="minorHAnsi"/>
          <w:lang w:val="fr-FR"/>
        </w:rPr>
        <w:t>plusieurs</w:t>
      </w:r>
      <w:r w:rsidR="00622232">
        <w:rPr>
          <w:rStyle w:val="markedcontent"/>
          <w:rFonts w:asciiTheme="minorHAnsi" w:hAnsiTheme="minorHAnsi" w:cstheme="minorHAnsi"/>
          <w:lang w:val="fr-FR"/>
        </w:rPr>
        <w:t xml:space="preserve"> échanges de courriels</w:t>
      </w:r>
      <w:r w:rsidR="005827BA">
        <w:rPr>
          <w:rStyle w:val="markedcontent"/>
          <w:rFonts w:asciiTheme="minorHAnsi" w:hAnsiTheme="minorHAnsi" w:cstheme="minorHAnsi"/>
          <w:lang w:val="fr-FR"/>
        </w:rPr>
        <w:t xml:space="preserve">, </w:t>
      </w:r>
      <w:r w:rsidR="00622232">
        <w:rPr>
          <w:rStyle w:val="markedcontent"/>
          <w:rFonts w:asciiTheme="minorHAnsi" w:hAnsiTheme="minorHAnsi" w:cstheme="minorHAnsi"/>
          <w:lang w:val="fr-FR"/>
        </w:rPr>
        <w:t xml:space="preserve">le Sous-groupe a approuvé le cadre thématique proposé par le Secrétariat « Les zones humides sont importantes pour… » parce qu’il est adaptable </w:t>
      </w:r>
      <w:r w:rsidR="008E13AF">
        <w:rPr>
          <w:rStyle w:val="markedcontent"/>
          <w:rFonts w:asciiTheme="minorHAnsi" w:hAnsiTheme="minorHAnsi" w:cstheme="minorHAnsi"/>
          <w:lang w:val="fr-FR"/>
        </w:rPr>
        <w:t>aux</w:t>
      </w:r>
      <w:r w:rsidR="00622232">
        <w:rPr>
          <w:rStyle w:val="markedcontent"/>
          <w:rFonts w:asciiTheme="minorHAnsi" w:hAnsiTheme="minorHAnsi" w:cstheme="minorHAnsi"/>
          <w:lang w:val="fr-FR"/>
        </w:rPr>
        <w:t xml:space="preserve"> intérêts et besoins </w:t>
      </w:r>
      <w:r w:rsidR="008E13AF">
        <w:rPr>
          <w:rStyle w:val="markedcontent"/>
          <w:rFonts w:asciiTheme="minorHAnsi" w:hAnsiTheme="minorHAnsi" w:cstheme="minorHAnsi"/>
          <w:lang w:val="fr-FR"/>
        </w:rPr>
        <w:t>di</w:t>
      </w:r>
      <w:r w:rsidR="00B863C3">
        <w:rPr>
          <w:rStyle w:val="markedcontent"/>
          <w:rFonts w:asciiTheme="minorHAnsi" w:hAnsiTheme="minorHAnsi" w:cstheme="minorHAnsi"/>
          <w:lang w:val="fr-FR"/>
        </w:rPr>
        <w:t>fférent</w:t>
      </w:r>
      <w:r w:rsidR="008E13AF">
        <w:rPr>
          <w:rStyle w:val="markedcontent"/>
          <w:rFonts w:asciiTheme="minorHAnsi" w:hAnsiTheme="minorHAnsi" w:cstheme="minorHAnsi"/>
          <w:lang w:val="fr-FR"/>
        </w:rPr>
        <w:t xml:space="preserve">s </w:t>
      </w:r>
      <w:r w:rsidR="00622232">
        <w:rPr>
          <w:rStyle w:val="markedcontent"/>
          <w:rFonts w:asciiTheme="minorHAnsi" w:hAnsiTheme="minorHAnsi" w:cstheme="minorHAnsi"/>
          <w:lang w:val="fr-FR"/>
        </w:rPr>
        <w:t xml:space="preserve">des parties prenantes à la Convention et </w:t>
      </w:r>
      <w:r w:rsidR="008E13AF">
        <w:rPr>
          <w:rStyle w:val="markedcontent"/>
          <w:rFonts w:asciiTheme="minorHAnsi" w:hAnsiTheme="minorHAnsi" w:cstheme="minorHAnsi"/>
          <w:lang w:val="fr-FR"/>
        </w:rPr>
        <w:t xml:space="preserve">il </w:t>
      </w:r>
      <w:r w:rsidR="00622232">
        <w:rPr>
          <w:rStyle w:val="markedcontent"/>
          <w:rFonts w:asciiTheme="minorHAnsi" w:hAnsiTheme="minorHAnsi" w:cstheme="minorHAnsi"/>
          <w:lang w:val="fr-FR"/>
        </w:rPr>
        <w:t>a demandé au Secrétariat de poursuivre l’élaboration de la campagne pour le 50</w:t>
      </w:r>
      <w:r w:rsidR="00622232" w:rsidRPr="00622232">
        <w:rPr>
          <w:rStyle w:val="markedcontent"/>
          <w:rFonts w:asciiTheme="minorHAnsi" w:hAnsiTheme="minorHAnsi" w:cstheme="minorHAnsi"/>
          <w:vertAlign w:val="superscript"/>
          <w:lang w:val="fr-FR"/>
        </w:rPr>
        <w:t>e</w:t>
      </w:r>
      <w:r w:rsidR="008E13AF">
        <w:rPr>
          <w:rStyle w:val="markedcontent"/>
          <w:rFonts w:asciiTheme="minorHAnsi" w:hAnsiTheme="minorHAnsi" w:cstheme="minorHAnsi"/>
          <w:lang w:val="fr-FR"/>
        </w:rPr>
        <w:t> </w:t>
      </w:r>
      <w:r w:rsidR="00622232">
        <w:rPr>
          <w:rStyle w:val="markedcontent"/>
          <w:rFonts w:asciiTheme="minorHAnsi" w:hAnsiTheme="minorHAnsi" w:cstheme="minorHAnsi"/>
          <w:lang w:val="fr-FR"/>
        </w:rPr>
        <w:t>anniversaire.</w:t>
      </w:r>
    </w:p>
    <w:p w:rsidR="00EB63D8" w:rsidRDefault="00EB63D8" w:rsidP="00A53343">
      <w:pPr>
        <w:ind w:left="426" w:hanging="426"/>
        <w:rPr>
          <w:rStyle w:val="markedcontent"/>
          <w:rFonts w:asciiTheme="minorHAnsi" w:hAnsiTheme="minorHAnsi" w:cstheme="minorHAnsi"/>
          <w:lang w:val="fr-FR"/>
        </w:rPr>
      </w:pPr>
    </w:p>
    <w:p w:rsidR="00EB63D8" w:rsidRDefault="00EB63D8" w:rsidP="00A53343">
      <w:pPr>
        <w:ind w:left="426" w:hanging="426"/>
        <w:rPr>
          <w:rStyle w:val="markedcontent"/>
          <w:rFonts w:asciiTheme="minorHAnsi" w:hAnsiTheme="minorHAnsi" w:cstheme="minorHAnsi"/>
          <w:lang w:val="fr-FR"/>
        </w:rPr>
      </w:pPr>
      <w:r>
        <w:rPr>
          <w:rStyle w:val="markedcontent"/>
          <w:rFonts w:asciiTheme="minorHAnsi" w:hAnsiTheme="minorHAnsi" w:cstheme="minorHAnsi"/>
          <w:lang w:val="fr-FR"/>
        </w:rPr>
        <w:t>12.</w:t>
      </w:r>
      <w:r>
        <w:rPr>
          <w:rStyle w:val="markedcontent"/>
          <w:rFonts w:asciiTheme="minorHAnsi" w:hAnsiTheme="minorHAnsi" w:cstheme="minorHAnsi"/>
          <w:lang w:val="fr-FR"/>
        </w:rPr>
        <w:tab/>
      </w:r>
      <w:r w:rsidR="008E13AF">
        <w:rPr>
          <w:rStyle w:val="markedcontent"/>
          <w:rFonts w:asciiTheme="minorHAnsi" w:hAnsiTheme="minorHAnsi" w:cstheme="minorHAnsi"/>
          <w:lang w:val="fr-FR"/>
        </w:rPr>
        <w:t>Au cours de la séance</w:t>
      </w:r>
      <w:r>
        <w:rPr>
          <w:rStyle w:val="markedcontent"/>
          <w:rFonts w:asciiTheme="minorHAnsi" w:hAnsiTheme="minorHAnsi" w:cstheme="minorHAnsi"/>
          <w:lang w:val="fr-FR"/>
        </w:rPr>
        <w:t xml:space="preserve"> du 24 novembre 2020 du Sous-groupe sur la COP14, le Secrétariat a rendu compte des avancées </w:t>
      </w:r>
      <w:r w:rsidR="00B863C3">
        <w:rPr>
          <w:rStyle w:val="markedcontent"/>
          <w:rFonts w:asciiTheme="minorHAnsi" w:hAnsiTheme="minorHAnsi" w:cstheme="minorHAnsi"/>
          <w:lang w:val="fr-FR"/>
        </w:rPr>
        <w:t>concernant</w:t>
      </w:r>
      <w:r>
        <w:rPr>
          <w:rStyle w:val="markedcontent"/>
          <w:rFonts w:asciiTheme="minorHAnsi" w:hAnsiTheme="minorHAnsi" w:cstheme="minorHAnsi"/>
          <w:lang w:val="fr-FR"/>
        </w:rPr>
        <w:t xml:space="preserve"> la campagne pour le 50</w:t>
      </w:r>
      <w:r w:rsidRPr="00622232">
        <w:rPr>
          <w:rStyle w:val="markedcontent"/>
          <w:rFonts w:asciiTheme="minorHAnsi" w:hAnsiTheme="minorHAnsi" w:cstheme="minorHAnsi"/>
          <w:vertAlign w:val="superscript"/>
          <w:lang w:val="fr-FR"/>
        </w:rPr>
        <w:t>e</w:t>
      </w:r>
      <w:r w:rsidR="008E13AF">
        <w:rPr>
          <w:rStyle w:val="markedcontent"/>
          <w:rFonts w:asciiTheme="minorHAnsi" w:hAnsiTheme="minorHAnsi" w:cstheme="minorHAnsi"/>
          <w:lang w:val="fr-FR"/>
        </w:rPr>
        <w:t xml:space="preserve"> anniversaire et indiqué que</w:t>
      </w:r>
      <w:r>
        <w:rPr>
          <w:rStyle w:val="markedcontent"/>
          <w:rFonts w:asciiTheme="minorHAnsi" w:hAnsiTheme="minorHAnsi" w:cstheme="minorHAnsi"/>
          <w:lang w:val="fr-FR"/>
        </w:rPr>
        <w:t xml:space="preserve"> </w:t>
      </w:r>
      <w:r w:rsidR="008E13AF">
        <w:rPr>
          <w:rStyle w:val="markedcontent"/>
          <w:rFonts w:asciiTheme="minorHAnsi" w:hAnsiTheme="minorHAnsi" w:cstheme="minorHAnsi"/>
          <w:lang w:val="fr-FR"/>
        </w:rPr>
        <w:t xml:space="preserve">l’objectif </w:t>
      </w:r>
      <w:r>
        <w:rPr>
          <w:rStyle w:val="markedcontent"/>
          <w:rFonts w:asciiTheme="minorHAnsi" w:hAnsiTheme="minorHAnsi" w:cstheme="minorHAnsi"/>
          <w:lang w:val="fr-FR"/>
        </w:rPr>
        <w:t>de la campagne est d’obtenir que les influenceurs les plus importants comprennent mieux ce que ‘sont’ les zones humides et quels services elles rendent à l’humanité -</w:t>
      </w:r>
      <w:r w:rsidR="008E13AF">
        <w:rPr>
          <w:rStyle w:val="markedcontent"/>
          <w:rFonts w:asciiTheme="minorHAnsi" w:hAnsiTheme="minorHAnsi" w:cstheme="minorHAnsi"/>
          <w:lang w:val="fr-FR"/>
        </w:rPr>
        <w:t xml:space="preserve"> le</w:t>
      </w:r>
      <w:r>
        <w:rPr>
          <w:rStyle w:val="markedcontent"/>
          <w:rFonts w:asciiTheme="minorHAnsi" w:hAnsiTheme="minorHAnsi" w:cstheme="minorHAnsi"/>
          <w:lang w:val="fr-FR"/>
        </w:rPr>
        <w:t xml:space="preserve"> </w:t>
      </w:r>
      <w:r w:rsidR="008E13AF">
        <w:rPr>
          <w:rStyle w:val="markedcontent"/>
          <w:rFonts w:asciiTheme="minorHAnsi" w:hAnsiTheme="minorHAnsi" w:cstheme="minorHAnsi"/>
          <w:lang w:val="fr-FR"/>
        </w:rPr>
        <w:t xml:space="preserve">but </w:t>
      </w:r>
      <w:r>
        <w:rPr>
          <w:rStyle w:val="markedcontent"/>
          <w:rFonts w:asciiTheme="minorHAnsi" w:hAnsiTheme="minorHAnsi" w:cstheme="minorHAnsi"/>
          <w:lang w:val="fr-FR"/>
        </w:rPr>
        <w:t xml:space="preserve">ultime étant d’améliorer leur protection. Le Secrétariat a montré des exemples de matériels de communication de la campagne, notamment des </w:t>
      </w:r>
      <w:r w:rsidR="00241BF6">
        <w:rPr>
          <w:rStyle w:val="markedcontent"/>
          <w:rFonts w:asciiTheme="minorHAnsi" w:hAnsiTheme="minorHAnsi" w:cstheme="minorHAnsi"/>
          <w:lang w:val="fr-FR"/>
        </w:rPr>
        <w:t>visuels pour</w:t>
      </w:r>
      <w:r>
        <w:rPr>
          <w:rStyle w:val="markedcontent"/>
          <w:rFonts w:asciiTheme="minorHAnsi" w:hAnsiTheme="minorHAnsi" w:cstheme="minorHAnsi"/>
          <w:lang w:val="fr-FR"/>
        </w:rPr>
        <w:t xml:space="preserve"> réseaux sociaux et des posts de réseaux sociaux illustrant les différentes raisons pour lesquelles les zones humides </w:t>
      </w:r>
      <w:r w:rsidR="00F072B8">
        <w:rPr>
          <w:rStyle w:val="markedcontent"/>
          <w:rFonts w:asciiTheme="minorHAnsi" w:hAnsiTheme="minorHAnsi" w:cstheme="minorHAnsi"/>
          <w:lang w:val="fr-FR"/>
        </w:rPr>
        <w:t xml:space="preserve">sont importantes pour les diverses parties prenantes. Un logo </w:t>
      </w:r>
      <w:r w:rsidR="008E13AF">
        <w:rPr>
          <w:rStyle w:val="markedcontent"/>
          <w:rFonts w:asciiTheme="minorHAnsi" w:hAnsiTheme="minorHAnsi" w:cstheme="minorHAnsi"/>
          <w:lang w:val="fr-FR"/>
        </w:rPr>
        <w:t>du 50</w:t>
      </w:r>
      <w:r w:rsidR="008E13AF" w:rsidRPr="00F072B8">
        <w:rPr>
          <w:rStyle w:val="markedcontent"/>
          <w:rFonts w:asciiTheme="minorHAnsi" w:hAnsiTheme="minorHAnsi" w:cstheme="minorHAnsi"/>
          <w:vertAlign w:val="superscript"/>
          <w:lang w:val="fr-FR"/>
        </w:rPr>
        <w:t>e</w:t>
      </w:r>
      <w:r w:rsidR="008E13AF">
        <w:rPr>
          <w:rStyle w:val="markedcontent"/>
          <w:rFonts w:asciiTheme="minorHAnsi" w:hAnsiTheme="minorHAnsi" w:cstheme="minorHAnsi"/>
          <w:lang w:val="fr-FR"/>
        </w:rPr>
        <w:t xml:space="preserve"> anniversaire </w:t>
      </w:r>
      <w:r w:rsidR="00F072B8">
        <w:rPr>
          <w:rStyle w:val="markedcontent"/>
          <w:rFonts w:asciiTheme="minorHAnsi" w:hAnsiTheme="minorHAnsi" w:cstheme="minorHAnsi"/>
          <w:lang w:val="fr-FR"/>
        </w:rPr>
        <w:t xml:space="preserve">a également été proposé et accepté. Les parties contractantes ont exprimé leur satisfaction </w:t>
      </w:r>
      <w:r w:rsidR="008E13AF">
        <w:rPr>
          <w:rStyle w:val="markedcontent"/>
          <w:rFonts w:asciiTheme="minorHAnsi" w:hAnsiTheme="minorHAnsi" w:cstheme="minorHAnsi"/>
          <w:lang w:val="fr-FR"/>
        </w:rPr>
        <w:t>quant à</w:t>
      </w:r>
      <w:r w:rsidR="00F072B8">
        <w:rPr>
          <w:rStyle w:val="markedcontent"/>
          <w:rFonts w:asciiTheme="minorHAnsi" w:hAnsiTheme="minorHAnsi" w:cstheme="minorHAnsi"/>
          <w:lang w:val="fr-FR"/>
        </w:rPr>
        <w:t xml:space="preserve"> la créativité de la campagne et </w:t>
      </w:r>
      <w:r w:rsidR="008E13AF">
        <w:rPr>
          <w:rStyle w:val="markedcontent"/>
          <w:rFonts w:asciiTheme="minorHAnsi" w:hAnsiTheme="minorHAnsi" w:cstheme="minorHAnsi"/>
          <w:lang w:val="fr-FR"/>
        </w:rPr>
        <w:t xml:space="preserve">à </w:t>
      </w:r>
      <w:r w:rsidR="00F072B8">
        <w:rPr>
          <w:rStyle w:val="markedcontent"/>
          <w:rFonts w:asciiTheme="minorHAnsi" w:hAnsiTheme="minorHAnsi" w:cstheme="minorHAnsi"/>
          <w:lang w:val="fr-FR"/>
        </w:rPr>
        <w:t>son adaptab</w:t>
      </w:r>
      <w:r w:rsidR="008E13AF">
        <w:rPr>
          <w:rStyle w:val="markedcontent"/>
          <w:rFonts w:asciiTheme="minorHAnsi" w:hAnsiTheme="minorHAnsi" w:cstheme="minorHAnsi"/>
          <w:lang w:val="fr-FR"/>
        </w:rPr>
        <w:t>ilité</w:t>
      </w:r>
      <w:r w:rsidR="00F072B8">
        <w:rPr>
          <w:rStyle w:val="markedcontent"/>
          <w:rFonts w:asciiTheme="minorHAnsi" w:hAnsiTheme="minorHAnsi" w:cstheme="minorHAnsi"/>
          <w:lang w:val="fr-FR"/>
        </w:rPr>
        <w:t xml:space="preserve">, </w:t>
      </w:r>
      <w:r w:rsidR="00B863C3">
        <w:rPr>
          <w:rStyle w:val="markedcontent"/>
          <w:rFonts w:asciiTheme="minorHAnsi" w:hAnsiTheme="minorHAnsi" w:cstheme="minorHAnsi"/>
          <w:lang w:val="fr-FR"/>
        </w:rPr>
        <w:t>et salué</w:t>
      </w:r>
      <w:r w:rsidR="00F072B8">
        <w:rPr>
          <w:rStyle w:val="markedcontent"/>
          <w:rFonts w:asciiTheme="minorHAnsi" w:hAnsiTheme="minorHAnsi" w:cstheme="minorHAnsi"/>
          <w:lang w:val="fr-FR"/>
        </w:rPr>
        <w:t xml:space="preserve"> l’élégance du logo</w:t>
      </w:r>
      <w:r w:rsidR="008E13AF">
        <w:rPr>
          <w:rStyle w:val="markedcontent"/>
          <w:rFonts w:asciiTheme="minorHAnsi" w:hAnsiTheme="minorHAnsi" w:cstheme="minorHAnsi"/>
          <w:lang w:val="fr-FR"/>
        </w:rPr>
        <w:t>,</w:t>
      </w:r>
      <w:r w:rsidR="00F072B8">
        <w:rPr>
          <w:rStyle w:val="markedcontent"/>
          <w:rFonts w:asciiTheme="minorHAnsi" w:hAnsiTheme="minorHAnsi" w:cstheme="minorHAnsi"/>
          <w:lang w:val="fr-FR"/>
        </w:rPr>
        <w:t xml:space="preserve"> et </w:t>
      </w:r>
      <w:r w:rsidR="008E13AF">
        <w:rPr>
          <w:rStyle w:val="markedcontent"/>
          <w:rFonts w:asciiTheme="minorHAnsi" w:hAnsiTheme="minorHAnsi" w:cstheme="minorHAnsi"/>
          <w:lang w:val="fr-FR"/>
        </w:rPr>
        <w:t xml:space="preserve">elles </w:t>
      </w:r>
      <w:r w:rsidR="00F072B8">
        <w:rPr>
          <w:rStyle w:val="markedcontent"/>
          <w:rFonts w:asciiTheme="minorHAnsi" w:hAnsiTheme="minorHAnsi" w:cstheme="minorHAnsi"/>
          <w:lang w:val="fr-FR"/>
        </w:rPr>
        <w:t xml:space="preserve">ont donné instruction au Secrétariat de poursuivre l’élaboration </w:t>
      </w:r>
      <w:r w:rsidR="008E13AF">
        <w:rPr>
          <w:rStyle w:val="markedcontent"/>
          <w:rFonts w:asciiTheme="minorHAnsi" w:hAnsiTheme="minorHAnsi" w:cstheme="minorHAnsi"/>
          <w:lang w:val="fr-FR"/>
        </w:rPr>
        <w:t xml:space="preserve">et la planification </w:t>
      </w:r>
      <w:r w:rsidR="00F072B8">
        <w:rPr>
          <w:rStyle w:val="markedcontent"/>
          <w:rFonts w:asciiTheme="minorHAnsi" w:hAnsiTheme="minorHAnsi" w:cstheme="minorHAnsi"/>
          <w:lang w:val="fr-FR"/>
        </w:rPr>
        <w:t>de la campagne.</w:t>
      </w:r>
    </w:p>
    <w:p w:rsidR="00F072B8" w:rsidRDefault="00F072B8" w:rsidP="00A53343">
      <w:pPr>
        <w:ind w:left="426" w:hanging="426"/>
        <w:rPr>
          <w:rStyle w:val="markedcontent"/>
          <w:rFonts w:asciiTheme="minorHAnsi" w:hAnsiTheme="minorHAnsi" w:cstheme="minorHAnsi"/>
          <w:lang w:val="fr-FR"/>
        </w:rPr>
      </w:pPr>
    </w:p>
    <w:p w:rsidR="00F072B8" w:rsidRPr="00E97027" w:rsidRDefault="00F072B8" w:rsidP="00A53343">
      <w:pPr>
        <w:ind w:left="426" w:hanging="426"/>
        <w:rPr>
          <w:lang w:val="fr-FR"/>
        </w:rPr>
      </w:pPr>
      <w:r>
        <w:rPr>
          <w:rStyle w:val="markedcontent"/>
          <w:rFonts w:asciiTheme="minorHAnsi" w:hAnsiTheme="minorHAnsi" w:cstheme="minorHAnsi"/>
          <w:lang w:val="fr-FR"/>
        </w:rPr>
        <w:t>13.</w:t>
      </w:r>
      <w:r>
        <w:rPr>
          <w:rStyle w:val="markedcontent"/>
          <w:rFonts w:asciiTheme="minorHAnsi" w:hAnsiTheme="minorHAnsi" w:cstheme="minorHAnsi"/>
          <w:lang w:val="fr-FR"/>
        </w:rPr>
        <w:tab/>
        <w:t>La campagne du 50</w:t>
      </w:r>
      <w:r w:rsidRPr="00F072B8">
        <w:rPr>
          <w:rStyle w:val="markedcontent"/>
          <w:rFonts w:asciiTheme="minorHAnsi" w:hAnsiTheme="minorHAnsi" w:cstheme="minorHAnsi"/>
          <w:vertAlign w:val="superscript"/>
          <w:lang w:val="fr-FR"/>
        </w:rPr>
        <w:t>e</w:t>
      </w:r>
      <w:r>
        <w:rPr>
          <w:rStyle w:val="markedcontent"/>
          <w:rFonts w:asciiTheme="minorHAnsi" w:hAnsiTheme="minorHAnsi" w:cstheme="minorHAnsi"/>
          <w:lang w:val="fr-FR"/>
        </w:rPr>
        <w:t xml:space="preserve"> anniversaire</w:t>
      </w:r>
      <w:r w:rsidR="008E13AF">
        <w:rPr>
          <w:rStyle w:val="markedcontent"/>
          <w:rFonts w:asciiTheme="minorHAnsi" w:hAnsiTheme="minorHAnsi" w:cstheme="minorHAnsi"/>
          <w:lang w:val="fr-FR"/>
        </w:rPr>
        <w:t xml:space="preserve"> a été lancée en mars 2021</w:t>
      </w:r>
      <w:r>
        <w:rPr>
          <w:rStyle w:val="markedcontent"/>
          <w:rFonts w:asciiTheme="minorHAnsi" w:hAnsiTheme="minorHAnsi" w:cstheme="minorHAnsi"/>
          <w:lang w:val="fr-FR"/>
        </w:rPr>
        <w:t xml:space="preserve"> après la Journée mondiale des zones humides. Un briefing en ligne sur la stratégie de la campagne et un aperçu des matériels de communication </w:t>
      </w:r>
      <w:r w:rsidR="006C39DB">
        <w:rPr>
          <w:rStyle w:val="markedcontent"/>
          <w:rFonts w:asciiTheme="minorHAnsi" w:hAnsiTheme="minorHAnsi" w:cstheme="minorHAnsi"/>
          <w:lang w:val="fr-FR"/>
        </w:rPr>
        <w:t>à l’intention des Parties contractantes et des parties prenantes a été organisé le 16 mars 2021 dans les trois langues. Sur le même modèle que celui utilisé pour la Journée mondiale des zones humides, les ressources peuvent être utilisées par les Parties pour accroître la sensibilisation à l’importance des zones humides et</w:t>
      </w:r>
      <w:r w:rsidR="004C2B34">
        <w:rPr>
          <w:rStyle w:val="markedcontent"/>
          <w:rFonts w:asciiTheme="minorHAnsi" w:hAnsiTheme="minorHAnsi" w:cstheme="minorHAnsi"/>
          <w:lang w:val="fr-FR"/>
        </w:rPr>
        <w:t xml:space="preserve"> </w:t>
      </w:r>
      <w:r w:rsidR="00B863C3">
        <w:rPr>
          <w:rStyle w:val="markedcontent"/>
          <w:rFonts w:asciiTheme="minorHAnsi" w:hAnsiTheme="minorHAnsi" w:cstheme="minorHAnsi"/>
          <w:lang w:val="fr-FR"/>
        </w:rPr>
        <w:t>de</w:t>
      </w:r>
      <w:r w:rsidR="006C39DB">
        <w:rPr>
          <w:rStyle w:val="markedcontent"/>
          <w:rFonts w:asciiTheme="minorHAnsi" w:hAnsiTheme="minorHAnsi" w:cstheme="minorHAnsi"/>
          <w:lang w:val="fr-FR"/>
        </w:rPr>
        <w:t xml:space="preserve"> la Convention. </w:t>
      </w:r>
      <w:r w:rsidR="006C39DB" w:rsidRPr="006C39DB">
        <w:rPr>
          <w:rStyle w:val="markedcontent"/>
          <w:rFonts w:asciiTheme="minorHAnsi" w:hAnsiTheme="minorHAnsi" w:cstheme="minorHAnsi"/>
          <w:lang w:val="fr-FR"/>
        </w:rPr>
        <w:t>Le site web de la campagne</w:t>
      </w:r>
      <w:r w:rsidR="004C2B34">
        <w:rPr>
          <w:rStyle w:val="markedcontent"/>
          <w:rFonts w:asciiTheme="minorHAnsi" w:hAnsiTheme="minorHAnsi" w:cstheme="minorHAnsi"/>
          <w:lang w:val="fr-FR"/>
        </w:rPr>
        <w:t>,</w:t>
      </w:r>
      <w:r w:rsidR="006C39DB" w:rsidRPr="006C39DB">
        <w:rPr>
          <w:rStyle w:val="markedcontent"/>
          <w:rFonts w:asciiTheme="minorHAnsi" w:hAnsiTheme="minorHAnsi" w:cstheme="minorHAnsi"/>
          <w:lang w:val="fr-FR"/>
        </w:rPr>
        <w:t xml:space="preserve"> </w:t>
      </w:r>
      <w:hyperlink r:id="rId11" w:history="1">
        <w:r w:rsidR="006C39DB" w:rsidRPr="006C39DB">
          <w:rPr>
            <w:rStyle w:val="Hyperlink"/>
            <w:rFonts w:asciiTheme="minorHAnsi" w:hAnsiTheme="minorHAnsi" w:cstheme="minorHAnsi"/>
            <w:lang w:val="fr-FR"/>
          </w:rPr>
          <w:t>ramsar50.org</w:t>
        </w:r>
      </w:hyperlink>
      <w:r w:rsidR="004C2B34" w:rsidRPr="004C2B34">
        <w:rPr>
          <w:lang w:val="fr-FR"/>
        </w:rPr>
        <w:t>,</w:t>
      </w:r>
      <w:r w:rsidR="006C39DB" w:rsidRPr="006C39DB">
        <w:rPr>
          <w:lang w:val="fr-FR"/>
        </w:rPr>
        <w:t xml:space="preserve"> fournit u</w:t>
      </w:r>
      <w:r w:rsidR="006C39DB">
        <w:rPr>
          <w:lang w:val="fr-FR"/>
        </w:rPr>
        <w:t xml:space="preserve">n certain nombre de matériels et ressources, </w:t>
      </w:r>
      <w:r w:rsidR="004C2B34">
        <w:rPr>
          <w:lang w:val="fr-FR"/>
        </w:rPr>
        <w:t>dont</w:t>
      </w:r>
      <w:r w:rsidR="006C39DB">
        <w:rPr>
          <w:lang w:val="fr-FR"/>
        </w:rPr>
        <w:t xml:space="preserve"> le logo du 50</w:t>
      </w:r>
      <w:r w:rsidR="006C39DB" w:rsidRPr="006C39DB">
        <w:rPr>
          <w:vertAlign w:val="superscript"/>
          <w:lang w:val="fr-FR"/>
        </w:rPr>
        <w:t>e</w:t>
      </w:r>
      <w:r w:rsidR="006C39DB">
        <w:rPr>
          <w:lang w:val="fr-FR"/>
        </w:rPr>
        <w:t xml:space="preserve"> anniversaire, les chartes graphiques</w:t>
      </w:r>
      <w:r w:rsidR="00241BF6">
        <w:rPr>
          <w:lang w:val="fr-FR"/>
        </w:rPr>
        <w:t xml:space="preserve">, </w:t>
      </w:r>
      <w:r w:rsidR="004C2B34">
        <w:rPr>
          <w:lang w:val="fr-FR"/>
        </w:rPr>
        <w:t xml:space="preserve">les </w:t>
      </w:r>
      <w:r w:rsidR="00241BF6">
        <w:rPr>
          <w:lang w:val="fr-FR"/>
        </w:rPr>
        <w:t xml:space="preserve">kits pour réseaux sociaux, </w:t>
      </w:r>
      <w:r w:rsidR="004C2B34">
        <w:rPr>
          <w:lang w:val="fr-FR"/>
        </w:rPr>
        <w:t xml:space="preserve">les </w:t>
      </w:r>
      <w:r w:rsidR="00241BF6">
        <w:rPr>
          <w:lang w:val="fr-FR"/>
        </w:rPr>
        <w:t xml:space="preserve">visuels pour réseaux sociaux, </w:t>
      </w:r>
      <w:r w:rsidR="004C2B34">
        <w:rPr>
          <w:lang w:val="fr-FR"/>
        </w:rPr>
        <w:t xml:space="preserve">les </w:t>
      </w:r>
      <w:r w:rsidR="00241BF6">
        <w:rPr>
          <w:lang w:val="fr-FR"/>
        </w:rPr>
        <w:t xml:space="preserve">fiches d’information et </w:t>
      </w:r>
      <w:r w:rsidR="004C2B34">
        <w:rPr>
          <w:lang w:val="fr-FR"/>
        </w:rPr>
        <w:t>les gifs</w:t>
      </w:r>
      <w:r w:rsidR="00E97027">
        <w:rPr>
          <w:lang w:val="fr-FR"/>
        </w:rPr>
        <w:t>. Toutes les ressources de la campagne sont disponibles dans les trois langues. Depuis le lancement de la campagne, le site web a reçu plus de 19 000 visites, dont plus de 2 </w:t>
      </w:r>
      <w:r w:rsidR="00E97027" w:rsidRPr="00E97027">
        <w:rPr>
          <w:lang w:val="fr-FR"/>
        </w:rPr>
        <w:t>0</w:t>
      </w:r>
      <w:r w:rsidR="00E97027">
        <w:rPr>
          <w:lang w:val="fr-FR"/>
        </w:rPr>
        <w:t xml:space="preserve">00 visiteurs uniques. Ceux-ci sont généralement jeunes, entre 18 et 34 ans. Ceci s’explique essentiellement par les efforts réalisés par le </w:t>
      </w:r>
      <w:r w:rsidR="004C2B34">
        <w:rPr>
          <w:lang w:val="fr-FR"/>
        </w:rPr>
        <w:t>Secrétariat dans la diffusion de</w:t>
      </w:r>
      <w:r w:rsidR="00E97027">
        <w:rPr>
          <w:lang w:val="fr-FR"/>
        </w:rPr>
        <w:t xml:space="preserve"> contenu</w:t>
      </w:r>
      <w:r w:rsidR="004C2B34">
        <w:rPr>
          <w:lang w:val="fr-FR"/>
        </w:rPr>
        <w:t>s</w:t>
      </w:r>
      <w:r w:rsidR="00E97027">
        <w:rPr>
          <w:lang w:val="fr-FR"/>
        </w:rPr>
        <w:t xml:space="preserve"> sur les réseaux sociaux comme </w:t>
      </w:r>
      <w:r w:rsidR="00E97027" w:rsidRPr="00E97027">
        <w:rPr>
          <w:rFonts w:asciiTheme="minorHAnsi" w:hAnsiTheme="minorHAnsi" w:cstheme="minorHAnsi"/>
          <w:lang w:val="fr-FR"/>
        </w:rPr>
        <w:t xml:space="preserve">Facebook, Instagram, Twitter </w:t>
      </w:r>
      <w:r w:rsidR="00E97027">
        <w:rPr>
          <w:rFonts w:asciiTheme="minorHAnsi" w:hAnsiTheme="minorHAnsi" w:cstheme="minorHAnsi"/>
          <w:lang w:val="fr-FR"/>
        </w:rPr>
        <w:t>et</w:t>
      </w:r>
      <w:r w:rsidR="004C2B34">
        <w:rPr>
          <w:rFonts w:asciiTheme="minorHAnsi" w:hAnsiTheme="minorHAnsi" w:cstheme="minorHAnsi"/>
          <w:lang w:val="fr-FR"/>
        </w:rPr>
        <w:t>,</w:t>
      </w:r>
      <w:r w:rsidR="00E97027">
        <w:rPr>
          <w:rFonts w:asciiTheme="minorHAnsi" w:hAnsiTheme="minorHAnsi" w:cstheme="minorHAnsi"/>
          <w:lang w:val="fr-FR"/>
        </w:rPr>
        <w:t xml:space="preserve"> plus récemment</w:t>
      </w:r>
      <w:r w:rsidR="004C2B34">
        <w:rPr>
          <w:rFonts w:asciiTheme="minorHAnsi" w:hAnsiTheme="minorHAnsi" w:cstheme="minorHAnsi"/>
          <w:lang w:val="fr-FR"/>
        </w:rPr>
        <w:t>,</w:t>
      </w:r>
      <w:r w:rsidR="00E97027" w:rsidRPr="00E97027">
        <w:rPr>
          <w:rFonts w:asciiTheme="minorHAnsi" w:hAnsiTheme="minorHAnsi" w:cstheme="minorHAnsi"/>
          <w:lang w:val="fr-FR"/>
        </w:rPr>
        <w:t xml:space="preserve"> Linkedin</w:t>
      </w:r>
      <w:r w:rsidR="00E97027">
        <w:rPr>
          <w:rFonts w:asciiTheme="minorHAnsi" w:hAnsiTheme="minorHAnsi" w:cstheme="minorHAnsi"/>
          <w:lang w:val="fr-FR"/>
        </w:rPr>
        <w:t>. Le nombre de « followers » sur Facebook a augmenté de 5% depuis le lancement de la campagne, de 3% sur Twitter et 2% sur Instagram.</w:t>
      </w:r>
    </w:p>
    <w:sectPr w:rsidR="00F072B8" w:rsidRPr="00E97027" w:rsidSect="002137E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4261FE" w16cid:durableId="2468B74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D09" w:rsidRDefault="009A4D09" w:rsidP="00DF2386">
      <w:r>
        <w:separator/>
      </w:r>
    </w:p>
  </w:endnote>
  <w:endnote w:type="continuationSeparator" w:id="0">
    <w:p w:rsidR="009A4D09" w:rsidRDefault="009A4D09" w:rsidP="00DF2386">
      <w:r>
        <w:continuationSeparator/>
      </w:r>
    </w:p>
  </w:endnote>
  <w:endnote w:type="continuationNotice" w:id="1">
    <w:p w:rsidR="009A4D09" w:rsidRDefault="009A4D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9DB" w:rsidRDefault="006C39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9DB" w:rsidRDefault="006C39DB" w:rsidP="002137E0">
    <w:pPr>
      <w:pStyle w:val="Header"/>
      <w:rPr>
        <w:noProof/>
      </w:rPr>
    </w:pPr>
    <w:r>
      <w:rPr>
        <w:sz w:val="20"/>
        <w:szCs w:val="20"/>
      </w:rPr>
      <w:t>SC59 Doc.20.2</w:t>
    </w:r>
    <w:r>
      <w:tab/>
    </w:r>
    <w:r>
      <w:tab/>
    </w:r>
    <w:sdt>
      <w:sdtPr>
        <w:id w:val="-1790969534"/>
        <w:docPartObj>
          <w:docPartGallery w:val="Page Numbers (Top of Page)"/>
          <w:docPartUnique/>
        </w:docPartObj>
      </w:sdtPr>
      <w:sdtEndPr>
        <w:rPr>
          <w:noProof/>
        </w:rPr>
      </w:sdtEndPr>
      <w:sdtContent>
        <w:r w:rsidR="00C80FCC" w:rsidRPr="00F344DE">
          <w:rPr>
            <w:sz w:val="20"/>
            <w:szCs w:val="20"/>
          </w:rPr>
          <w:fldChar w:fldCharType="begin"/>
        </w:r>
        <w:r w:rsidRPr="00F344DE">
          <w:rPr>
            <w:sz w:val="20"/>
            <w:szCs w:val="20"/>
          </w:rPr>
          <w:instrText xml:space="preserve"> PAGE   \* MERGEFORMAT </w:instrText>
        </w:r>
        <w:r w:rsidR="00C80FCC" w:rsidRPr="00F344DE">
          <w:rPr>
            <w:sz w:val="20"/>
            <w:szCs w:val="20"/>
          </w:rPr>
          <w:fldChar w:fldCharType="separate"/>
        </w:r>
        <w:r w:rsidR="00AA018F">
          <w:rPr>
            <w:noProof/>
            <w:sz w:val="20"/>
            <w:szCs w:val="20"/>
          </w:rPr>
          <w:t>2</w:t>
        </w:r>
        <w:r w:rsidR="00C80FCC" w:rsidRPr="00F344DE">
          <w:rPr>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9DB" w:rsidRDefault="006C39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D09" w:rsidRDefault="009A4D09" w:rsidP="00DF2386">
      <w:r>
        <w:separator/>
      </w:r>
    </w:p>
  </w:footnote>
  <w:footnote w:type="continuationSeparator" w:id="0">
    <w:p w:rsidR="009A4D09" w:rsidRDefault="009A4D09" w:rsidP="00DF2386">
      <w:r>
        <w:continuationSeparator/>
      </w:r>
    </w:p>
  </w:footnote>
  <w:footnote w:type="continuationNotice" w:id="1">
    <w:p w:rsidR="009A4D09" w:rsidRDefault="009A4D0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9DB" w:rsidRDefault="006C39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9DB" w:rsidRDefault="006C39DB">
    <w:pPr>
      <w:pStyle w:val="Header"/>
    </w:pPr>
  </w:p>
  <w:p w:rsidR="006C39DB" w:rsidRDefault="006C39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9DB" w:rsidRDefault="006C39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5"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0" w15:restartNumberingAfterBreak="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1"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4A962581"/>
    <w:multiLevelType w:val="hybridMultilevel"/>
    <w:tmpl w:val="131C587E"/>
    <w:lvl w:ilvl="0" w:tplc="EDC2CC10">
      <w:start w:val="2"/>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9"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2"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4"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6"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24"/>
  </w:num>
  <w:num w:numId="7">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4"/>
  </w:num>
  <w:num w:numId="13">
    <w:abstractNumId w:val="16"/>
  </w:num>
  <w:num w:numId="14">
    <w:abstractNumId w:val="11"/>
  </w:num>
  <w:num w:numId="15">
    <w:abstractNumId w:val="2"/>
  </w:num>
  <w:num w:numId="16">
    <w:abstractNumId w:val="13"/>
  </w:num>
  <w:num w:numId="17">
    <w:abstractNumId w:val="19"/>
  </w:num>
  <w:num w:numId="18">
    <w:abstractNumId w:val="27"/>
  </w:num>
  <w:num w:numId="19">
    <w:abstractNumId w:val="26"/>
  </w:num>
  <w:num w:numId="20">
    <w:abstractNumId w:val="21"/>
  </w:num>
  <w:num w:numId="21">
    <w:abstractNumId w:val="23"/>
  </w:num>
  <w:num w:numId="22">
    <w:abstractNumId w:val="14"/>
  </w:num>
  <w:num w:numId="23">
    <w:abstractNumId w:val="20"/>
  </w:num>
  <w:num w:numId="24">
    <w:abstractNumId w:val="17"/>
  </w:num>
  <w:num w:numId="25">
    <w:abstractNumId w:val="25"/>
  </w:num>
  <w:num w:numId="26">
    <w:abstractNumId w:val="8"/>
  </w:num>
  <w:num w:numId="27">
    <w:abstractNumId w:val="0"/>
  </w:num>
  <w:num w:numId="28">
    <w:abstractNumId w:val="10"/>
  </w:num>
  <w:num w:numId="29">
    <w:abstractNumId w:val="3"/>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oNotTrackFormatting/>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2"/>
  </w:compat>
  <w:rsids>
    <w:rsidRoot w:val="00DF2386"/>
    <w:rsid w:val="00006FCB"/>
    <w:rsid w:val="00014168"/>
    <w:rsid w:val="00017A16"/>
    <w:rsid w:val="00026E09"/>
    <w:rsid w:val="00037CE0"/>
    <w:rsid w:val="00045F20"/>
    <w:rsid w:val="00051576"/>
    <w:rsid w:val="00053929"/>
    <w:rsid w:val="000614C0"/>
    <w:rsid w:val="000615D0"/>
    <w:rsid w:val="000632EF"/>
    <w:rsid w:val="00063B4F"/>
    <w:rsid w:val="00074DE8"/>
    <w:rsid w:val="00093BAF"/>
    <w:rsid w:val="00095ABE"/>
    <w:rsid w:val="000A3E3E"/>
    <w:rsid w:val="000C2489"/>
    <w:rsid w:val="000D3C25"/>
    <w:rsid w:val="000D5C76"/>
    <w:rsid w:val="000D5DC3"/>
    <w:rsid w:val="000E2FA0"/>
    <w:rsid w:val="000E47E9"/>
    <w:rsid w:val="000F0072"/>
    <w:rsid w:val="00111606"/>
    <w:rsid w:val="00112169"/>
    <w:rsid w:val="0012096C"/>
    <w:rsid w:val="00126579"/>
    <w:rsid w:val="00127828"/>
    <w:rsid w:val="00127A5C"/>
    <w:rsid w:val="00130D0C"/>
    <w:rsid w:val="00131F9C"/>
    <w:rsid w:val="00153798"/>
    <w:rsid w:val="00161BDA"/>
    <w:rsid w:val="00166FCC"/>
    <w:rsid w:val="00171618"/>
    <w:rsid w:val="00174AEE"/>
    <w:rsid w:val="001819B1"/>
    <w:rsid w:val="00181AD4"/>
    <w:rsid w:val="00182B85"/>
    <w:rsid w:val="001A2D10"/>
    <w:rsid w:val="001A7008"/>
    <w:rsid w:val="001B4C07"/>
    <w:rsid w:val="001C15BA"/>
    <w:rsid w:val="001C23A0"/>
    <w:rsid w:val="001C5E41"/>
    <w:rsid w:val="001C77BC"/>
    <w:rsid w:val="001D14C9"/>
    <w:rsid w:val="001D48BB"/>
    <w:rsid w:val="001E00E3"/>
    <w:rsid w:val="001E3692"/>
    <w:rsid w:val="001E629B"/>
    <w:rsid w:val="001E7601"/>
    <w:rsid w:val="001F2349"/>
    <w:rsid w:val="001F760D"/>
    <w:rsid w:val="002005D2"/>
    <w:rsid w:val="00201A2B"/>
    <w:rsid w:val="00201A56"/>
    <w:rsid w:val="0020298B"/>
    <w:rsid w:val="00206111"/>
    <w:rsid w:val="00206F0A"/>
    <w:rsid w:val="002137E0"/>
    <w:rsid w:val="00241BF6"/>
    <w:rsid w:val="00250FB8"/>
    <w:rsid w:val="002741AC"/>
    <w:rsid w:val="00275F13"/>
    <w:rsid w:val="00280324"/>
    <w:rsid w:val="002819C0"/>
    <w:rsid w:val="002943D5"/>
    <w:rsid w:val="00295556"/>
    <w:rsid w:val="00295BB5"/>
    <w:rsid w:val="002A0AFD"/>
    <w:rsid w:val="002A5A4D"/>
    <w:rsid w:val="002B4262"/>
    <w:rsid w:val="002D5A4D"/>
    <w:rsid w:val="002E22AF"/>
    <w:rsid w:val="002E2BC9"/>
    <w:rsid w:val="002F2256"/>
    <w:rsid w:val="002F2957"/>
    <w:rsid w:val="002F6155"/>
    <w:rsid w:val="00324398"/>
    <w:rsid w:val="0034332D"/>
    <w:rsid w:val="00343EBB"/>
    <w:rsid w:val="00360139"/>
    <w:rsid w:val="003673BE"/>
    <w:rsid w:val="00377B29"/>
    <w:rsid w:val="00384FC3"/>
    <w:rsid w:val="00391A51"/>
    <w:rsid w:val="003A2C58"/>
    <w:rsid w:val="003A3804"/>
    <w:rsid w:val="003A52BE"/>
    <w:rsid w:val="003A5866"/>
    <w:rsid w:val="003A6E9F"/>
    <w:rsid w:val="003C2D9F"/>
    <w:rsid w:val="003D4CD6"/>
    <w:rsid w:val="003D5F34"/>
    <w:rsid w:val="003E3FEC"/>
    <w:rsid w:val="003E4CDB"/>
    <w:rsid w:val="004014B3"/>
    <w:rsid w:val="00402288"/>
    <w:rsid w:val="004023D0"/>
    <w:rsid w:val="004154C8"/>
    <w:rsid w:val="00421A37"/>
    <w:rsid w:val="004228C7"/>
    <w:rsid w:val="0042798B"/>
    <w:rsid w:val="00434913"/>
    <w:rsid w:val="004474F8"/>
    <w:rsid w:val="00450FA1"/>
    <w:rsid w:val="00453C83"/>
    <w:rsid w:val="00455D52"/>
    <w:rsid w:val="00457374"/>
    <w:rsid w:val="00460718"/>
    <w:rsid w:val="00463134"/>
    <w:rsid w:val="00466837"/>
    <w:rsid w:val="00477550"/>
    <w:rsid w:val="004844A8"/>
    <w:rsid w:val="00496803"/>
    <w:rsid w:val="00496CAA"/>
    <w:rsid w:val="004A0E0D"/>
    <w:rsid w:val="004A4C1E"/>
    <w:rsid w:val="004B6688"/>
    <w:rsid w:val="004C2B34"/>
    <w:rsid w:val="004D186C"/>
    <w:rsid w:val="004D743F"/>
    <w:rsid w:val="004F0E78"/>
    <w:rsid w:val="005058F6"/>
    <w:rsid w:val="005244A4"/>
    <w:rsid w:val="00527783"/>
    <w:rsid w:val="00540C0F"/>
    <w:rsid w:val="005540F2"/>
    <w:rsid w:val="00570000"/>
    <w:rsid w:val="00571DC1"/>
    <w:rsid w:val="0057737D"/>
    <w:rsid w:val="005814B5"/>
    <w:rsid w:val="005827BA"/>
    <w:rsid w:val="00591BF3"/>
    <w:rsid w:val="005A4634"/>
    <w:rsid w:val="005B6953"/>
    <w:rsid w:val="005D1EB1"/>
    <w:rsid w:val="005D3E9D"/>
    <w:rsid w:val="005F332B"/>
    <w:rsid w:val="0060600F"/>
    <w:rsid w:val="00622232"/>
    <w:rsid w:val="006256D3"/>
    <w:rsid w:val="00627BB7"/>
    <w:rsid w:val="00634027"/>
    <w:rsid w:val="00644A13"/>
    <w:rsid w:val="0065136E"/>
    <w:rsid w:val="00651C6B"/>
    <w:rsid w:val="006546E5"/>
    <w:rsid w:val="00655753"/>
    <w:rsid w:val="0066082B"/>
    <w:rsid w:val="00670D71"/>
    <w:rsid w:val="00672AD5"/>
    <w:rsid w:val="00673F47"/>
    <w:rsid w:val="00685F74"/>
    <w:rsid w:val="00686388"/>
    <w:rsid w:val="006A4912"/>
    <w:rsid w:val="006A4CAF"/>
    <w:rsid w:val="006B7FDD"/>
    <w:rsid w:val="006C3539"/>
    <w:rsid w:val="006C39DB"/>
    <w:rsid w:val="006E2030"/>
    <w:rsid w:val="006E7DCE"/>
    <w:rsid w:val="007050FF"/>
    <w:rsid w:val="00714489"/>
    <w:rsid w:val="00722002"/>
    <w:rsid w:val="00734842"/>
    <w:rsid w:val="00752764"/>
    <w:rsid w:val="00764DFE"/>
    <w:rsid w:val="00766962"/>
    <w:rsid w:val="0076716E"/>
    <w:rsid w:val="00771096"/>
    <w:rsid w:val="0077161C"/>
    <w:rsid w:val="00771AAB"/>
    <w:rsid w:val="00775287"/>
    <w:rsid w:val="0078438B"/>
    <w:rsid w:val="007C33CF"/>
    <w:rsid w:val="007C6929"/>
    <w:rsid w:val="007D33F4"/>
    <w:rsid w:val="007E009B"/>
    <w:rsid w:val="007F3ABE"/>
    <w:rsid w:val="007F6A19"/>
    <w:rsid w:val="008156D7"/>
    <w:rsid w:val="0082700E"/>
    <w:rsid w:val="008328E9"/>
    <w:rsid w:val="00835BCB"/>
    <w:rsid w:val="00835CDC"/>
    <w:rsid w:val="00850B09"/>
    <w:rsid w:val="00863B9D"/>
    <w:rsid w:val="00863BE6"/>
    <w:rsid w:val="008774EE"/>
    <w:rsid w:val="008775BC"/>
    <w:rsid w:val="00882F1B"/>
    <w:rsid w:val="00885664"/>
    <w:rsid w:val="0089249E"/>
    <w:rsid w:val="00894AD3"/>
    <w:rsid w:val="008A13D8"/>
    <w:rsid w:val="008A70CE"/>
    <w:rsid w:val="008B34F6"/>
    <w:rsid w:val="008C25E4"/>
    <w:rsid w:val="008C2D09"/>
    <w:rsid w:val="008C2DAE"/>
    <w:rsid w:val="008D0E8E"/>
    <w:rsid w:val="008D6B70"/>
    <w:rsid w:val="008E13AF"/>
    <w:rsid w:val="008E5608"/>
    <w:rsid w:val="008E5B28"/>
    <w:rsid w:val="008E74BA"/>
    <w:rsid w:val="009059A9"/>
    <w:rsid w:val="009146C5"/>
    <w:rsid w:val="00920C84"/>
    <w:rsid w:val="0092515E"/>
    <w:rsid w:val="00942FBD"/>
    <w:rsid w:val="0094770B"/>
    <w:rsid w:val="00991C14"/>
    <w:rsid w:val="009925EE"/>
    <w:rsid w:val="009A2687"/>
    <w:rsid w:val="009A4D09"/>
    <w:rsid w:val="009B059F"/>
    <w:rsid w:val="009B2267"/>
    <w:rsid w:val="009C1B9D"/>
    <w:rsid w:val="009C5FF4"/>
    <w:rsid w:val="009D6326"/>
    <w:rsid w:val="009D66CB"/>
    <w:rsid w:val="009E0AE8"/>
    <w:rsid w:val="009E5374"/>
    <w:rsid w:val="009F345D"/>
    <w:rsid w:val="00A04197"/>
    <w:rsid w:val="00A13218"/>
    <w:rsid w:val="00A1520C"/>
    <w:rsid w:val="00A227A3"/>
    <w:rsid w:val="00A23E41"/>
    <w:rsid w:val="00A27C37"/>
    <w:rsid w:val="00A53343"/>
    <w:rsid w:val="00A60B73"/>
    <w:rsid w:val="00A71155"/>
    <w:rsid w:val="00A80080"/>
    <w:rsid w:val="00A8278C"/>
    <w:rsid w:val="00A85280"/>
    <w:rsid w:val="00AA018F"/>
    <w:rsid w:val="00AB4951"/>
    <w:rsid w:val="00B03812"/>
    <w:rsid w:val="00B06576"/>
    <w:rsid w:val="00B158A7"/>
    <w:rsid w:val="00B17E22"/>
    <w:rsid w:val="00B208A8"/>
    <w:rsid w:val="00B23E61"/>
    <w:rsid w:val="00B315A0"/>
    <w:rsid w:val="00B34A18"/>
    <w:rsid w:val="00B468CE"/>
    <w:rsid w:val="00B52BD3"/>
    <w:rsid w:val="00B5573B"/>
    <w:rsid w:val="00B579CB"/>
    <w:rsid w:val="00B626CD"/>
    <w:rsid w:val="00B70083"/>
    <w:rsid w:val="00B80BF6"/>
    <w:rsid w:val="00B83EF9"/>
    <w:rsid w:val="00B863C3"/>
    <w:rsid w:val="00B954CB"/>
    <w:rsid w:val="00BA76D3"/>
    <w:rsid w:val="00BB0BD0"/>
    <w:rsid w:val="00BB1F70"/>
    <w:rsid w:val="00BB28F6"/>
    <w:rsid w:val="00BC2609"/>
    <w:rsid w:val="00C0528F"/>
    <w:rsid w:val="00C13145"/>
    <w:rsid w:val="00C24A10"/>
    <w:rsid w:val="00C24ADA"/>
    <w:rsid w:val="00C4597B"/>
    <w:rsid w:val="00C80FCC"/>
    <w:rsid w:val="00C847C9"/>
    <w:rsid w:val="00CE750F"/>
    <w:rsid w:val="00CF4D40"/>
    <w:rsid w:val="00CF5EFD"/>
    <w:rsid w:val="00D160CB"/>
    <w:rsid w:val="00D218D5"/>
    <w:rsid w:val="00D245A1"/>
    <w:rsid w:val="00D36003"/>
    <w:rsid w:val="00D37268"/>
    <w:rsid w:val="00D415E2"/>
    <w:rsid w:val="00D42055"/>
    <w:rsid w:val="00D60FA4"/>
    <w:rsid w:val="00D647C3"/>
    <w:rsid w:val="00D85807"/>
    <w:rsid w:val="00D9633A"/>
    <w:rsid w:val="00DE4854"/>
    <w:rsid w:val="00DF2386"/>
    <w:rsid w:val="00DF5584"/>
    <w:rsid w:val="00DF7FE7"/>
    <w:rsid w:val="00E377B4"/>
    <w:rsid w:val="00E46367"/>
    <w:rsid w:val="00E509F6"/>
    <w:rsid w:val="00E52881"/>
    <w:rsid w:val="00E61BAD"/>
    <w:rsid w:val="00E63F0B"/>
    <w:rsid w:val="00E86EA4"/>
    <w:rsid w:val="00E97027"/>
    <w:rsid w:val="00EA3A7F"/>
    <w:rsid w:val="00EB63D8"/>
    <w:rsid w:val="00EC0D5E"/>
    <w:rsid w:val="00EC3218"/>
    <w:rsid w:val="00ED7B44"/>
    <w:rsid w:val="00F072B8"/>
    <w:rsid w:val="00F078F1"/>
    <w:rsid w:val="00F10CE8"/>
    <w:rsid w:val="00F32D03"/>
    <w:rsid w:val="00F344DE"/>
    <w:rsid w:val="00F367D2"/>
    <w:rsid w:val="00F45F67"/>
    <w:rsid w:val="00F55820"/>
    <w:rsid w:val="00F61F4E"/>
    <w:rsid w:val="00F73E71"/>
    <w:rsid w:val="00F74156"/>
    <w:rsid w:val="00F90E1E"/>
    <w:rsid w:val="00F94B02"/>
    <w:rsid w:val="00FA720B"/>
    <w:rsid w:val="00FC349F"/>
    <w:rsid w:val="00FE4F5F"/>
    <w:rsid w:val="00FE6F3B"/>
    <w:rsid w:val="00FE7D64"/>
    <w:rsid w:val="00FF44C8"/>
    <w:rsid w:val="00FF7D5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5D59DE00"/>
  <w15:docId w15:val="{9633B161-A637-4226-BED3-CCA2F1203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semiHidden/>
    <w:unhideWhenUsed/>
    <w:rsid w:val="00BC2609"/>
    <w:rPr>
      <w:sz w:val="20"/>
      <w:szCs w:val="20"/>
    </w:rPr>
  </w:style>
  <w:style w:type="character" w:customStyle="1" w:styleId="CommentTextChar">
    <w:name w:val="Comment Text Char"/>
    <w:basedOn w:val="DefaultParagraphFont"/>
    <w:link w:val="CommentText"/>
    <w:uiPriority w:val="99"/>
    <w:semiHidden/>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character" w:styleId="FollowedHyperlink">
    <w:name w:val="FollowedHyperlink"/>
    <w:basedOn w:val="DefaultParagraphFont"/>
    <w:uiPriority w:val="99"/>
    <w:semiHidden/>
    <w:unhideWhenUsed/>
    <w:rsid w:val="00885664"/>
    <w:rPr>
      <w:color w:val="800080" w:themeColor="followedHyperlink"/>
      <w:u w:val="single"/>
    </w:rPr>
  </w:style>
  <w:style w:type="character" w:customStyle="1" w:styleId="markedcontent">
    <w:name w:val="markedcontent"/>
    <w:basedOn w:val="DefaultParagraphFont"/>
    <w:rsid w:val="00A23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42976">
      <w:bodyDiv w:val="1"/>
      <w:marLeft w:val="0"/>
      <w:marRight w:val="0"/>
      <w:marTop w:val="0"/>
      <w:marBottom w:val="0"/>
      <w:divBdr>
        <w:top w:val="none" w:sz="0" w:space="0" w:color="auto"/>
        <w:left w:val="none" w:sz="0" w:space="0" w:color="auto"/>
        <w:bottom w:val="none" w:sz="0" w:space="0" w:color="auto"/>
        <w:right w:val="none" w:sz="0" w:space="0" w:color="auto"/>
      </w:divBdr>
    </w:div>
    <w:div w:id="202448230">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399989470">
      <w:bodyDiv w:val="1"/>
      <w:marLeft w:val="0"/>
      <w:marRight w:val="0"/>
      <w:marTop w:val="0"/>
      <w:marBottom w:val="0"/>
      <w:divBdr>
        <w:top w:val="none" w:sz="0" w:space="0" w:color="auto"/>
        <w:left w:val="none" w:sz="0" w:space="0" w:color="auto"/>
        <w:bottom w:val="none" w:sz="0" w:space="0" w:color="auto"/>
        <w:right w:val="none" w:sz="0" w:space="0" w:color="auto"/>
      </w:divBdr>
    </w:div>
    <w:div w:id="578322217">
      <w:bodyDiv w:val="1"/>
      <w:marLeft w:val="0"/>
      <w:marRight w:val="0"/>
      <w:marTop w:val="0"/>
      <w:marBottom w:val="0"/>
      <w:divBdr>
        <w:top w:val="none" w:sz="0" w:space="0" w:color="auto"/>
        <w:left w:val="none" w:sz="0" w:space="0" w:color="auto"/>
        <w:bottom w:val="none" w:sz="0" w:space="0" w:color="auto"/>
        <w:right w:val="none" w:sz="0" w:space="0" w:color="auto"/>
      </w:divBdr>
    </w:div>
    <w:div w:id="847140902">
      <w:bodyDiv w:val="1"/>
      <w:marLeft w:val="0"/>
      <w:marRight w:val="0"/>
      <w:marTop w:val="0"/>
      <w:marBottom w:val="0"/>
      <w:divBdr>
        <w:top w:val="none" w:sz="0" w:space="0" w:color="auto"/>
        <w:left w:val="none" w:sz="0" w:space="0" w:color="auto"/>
        <w:bottom w:val="none" w:sz="0" w:space="0" w:color="auto"/>
        <w:right w:val="none" w:sz="0" w:space="0" w:color="auto"/>
      </w:divBdr>
    </w:div>
    <w:div w:id="138217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amsar50.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0" ma:contentTypeDescription="Create a new document." ma:contentTypeScope="" ma:versionID="40fbab5a3390233354d1d19905a21a2b">
  <xsd:schema xmlns:xsd="http://www.w3.org/2001/XMLSchema" xmlns:xs="http://www.w3.org/2001/XMLSchema" xmlns:p="http://schemas.microsoft.com/office/2006/metadata/properties" xmlns:ns3="8c0b6b05-eb82-4bda-97e8-cd82d0d6b453" targetNamespace="http://schemas.microsoft.com/office/2006/metadata/properties" ma:root="true" ma:fieldsID="30c1fdeb8c2cfcff55d0f529bd9cc16e" ns3:_="">
    <xsd:import namespace="8c0b6b05-eb82-4bda-97e8-cd82d0d6b4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6BEA4-BC28-4F2E-8CC0-D31526DC5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8CC88D-5ED6-4B16-AF14-41EAA2A20C40}">
  <ds:schemaRefs>
    <ds:schemaRef ds:uri="http://schemas.microsoft.com/sharepoint/v3/contenttype/forms"/>
  </ds:schemaRefs>
</ds:datastoreItem>
</file>

<file path=customXml/itemProps3.xml><?xml version="1.0" encoding="utf-8"?>
<ds:datastoreItem xmlns:ds="http://schemas.openxmlformats.org/officeDocument/2006/customXml" ds:itemID="{166DAD50-9420-48C0-990E-FB91D1804485}">
  <ds:schemaRefs>
    <ds:schemaRef ds:uri="http://purl.org/dc/terms/"/>
    <ds:schemaRef ds:uri="http://schemas.microsoft.com/office/2006/metadata/properties"/>
    <ds:schemaRef ds:uri="http://www.w3.org/XML/1998/namespace"/>
    <ds:schemaRef ds:uri="http://purl.org/dc/dcmityp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8c0b6b05-eb82-4bda-97e8-cd82d0d6b453"/>
  </ds:schemaRefs>
</ds:datastoreItem>
</file>

<file path=customXml/itemProps4.xml><?xml version="1.0" encoding="utf-8"?>
<ds:datastoreItem xmlns:ds="http://schemas.openxmlformats.org/officeDocument/2006/customXml" ds:itemID="{F93989E6-8908-49DC-BFF0-1CCF1D56A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1447</Words>
  <Characters>8249</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Ramsar\KatzM</dc:creator>
  <cp:lastModifiedBy>Ed Jennings</cp:lastModifiedBy>
  <cp:revision>4</cp:revision>
  <cp:lastPrinted>2021-06-11T11:58:00Z</cp:lastPrinted>
  <dcterms:created xsi:type="dcterms:W3CDTF">2021-06-11T11:57:00Z</dcterms:created>
  <dcterms:modified xsi:type="dcterms:W3CDTF">2021-06-11T11:59:00Z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