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350" w:rsidRPr="00AB2600" w:rsidRDefault="00E65350" w:rsidP="00E65350">
      <w:pPr>
        <w:pBdr>
          <w:top w:val="single" w:sz="12" w:space="0" w:color="auto" w:shadow="1"/>
          <w:left w:val="single" w:sz="12" w:space="4" w:color="auto" w:shadow="1"/>
          <w:bottom w:val="single" w:sz="12" w:space="1" w:color="auto" w:shadow="1"/>
          <w:right w:val="single" w:sz="12" w:space="7" w:color="auto" w:shadow="1"/>
        </w:pBdr>
        <w:spacing w:after="0" w:line="240" w:lineRule="auto"/>
        <w:ind w:right="2790"/>
        <w:rPr>
          <w:rStyle w:val="markedcontent"/>
          <w:rFonts w:cs="Calibri"/>
          <w:sz w:val="24"/>
          <w:szCs w:val="24"/>
          <w:lang w:val="fr-FR"/>
        </w:rPr>
      </w:pPr>
      <w:r w:rsidRPr="00AB2600">
        <w:rPr>
          <w:rStyle w:val="markedcontent"/>
          <w:rFonts w:cs="Calibri"/>
          <w:sz w:val="24"/>
          <w:szCs w:val="24"/>
          <w:lang w:val="fr-FR"/>
        </w:rPr>
        <w:t>CONVENTION DE RAMSAR SUR LES ZONES HUMIDES</w:t>
      </w:r>
    </w:p>
    <w:p w:rsidR="00E65350" w:rsidRPr="00AB2600" w:rsidRDefault="00E65350" w:rsidP="00E65350">
      <w:pPr>
        <w:pBdr>
          <w:top w:val="single" w:sz="12" w:space="0" w:color="auto" w:shadow="1"/>
          <w:left w:val="single" w:sz="12" w:space="4" w:color="auto" w:shadow="1"/>
          <w:bottom w:val="single" w:sz="12" w:space="1" w:color="auto" w:shadow="1"/>
          <w:right w:val="single" w:sz="12" w:space="7" w:color="auto" w:shadow="1"/>
        </w:pBdr>
        <w:spacing w:after="0" w:line="240" w:lineRule="auto"/>
        <w:ind w:right="2790"/>
        <w:rPr>
          <w:rStyle w:val="markedcontent"/>
          <w:rFonts w:cs="Calibri"/>
          <w:sz w:val="24"/>
          <w:szCs w:val="24"/>
          <w:lang w:val="fr-FR"/>
        </w:rPr>
      </w:pPr>
      <w:r w:rsidRPr="00AB2600">
        <w:rPr>
          <w:rStyle w:val="markedcontent"/>
          <w:rFonts w:cs="Calibri"/>
          <w:sz w:val="24"/>
          <w:szCs w:val="24"/>
          <w:lang w:val="fr-FR"/>
        </w:rPr>
        <w:t>59</w:t>
      </w:r>
      <w:r w:rsidRPr="00AB2600">
        <w:rPr>
          <w:rStyle w:val="markedcontent"/>
          <w:rFonts w:cs="Calibri"/>
          <w:sz w:val="24"/>
          <w:szCs w:val="24"/>
          <w:vertAlign w:val="superscript"/>
          <w:lang w:val="fr-FR"/>
        </w:rPr>
        <w:t>e</w:t>
      </w:r>
      <w:r w:rsidRPr="00AB2600">
        <w:rPr>
          <w:rStyle w:val="markedcontent"/>
          <w:rFonts w:cs="Calibri"/>
          <w:sz w:val="24"/>
          <w:szCs w:val="24"/>
          <w:lang w:val="fr-FR"/>
        </w:rPr>
        <w:t xml:space="preserve"> Réunion du Comité permanent</w:t>
      </w:r>
    </w:p>
    <w:p w:rsidR="00E65350" w:rsidRPr="00AB2600" w:rsidRDefault="00E65350" w:rsidP="00E65350">
      <w:pPr>
        <w:pBdr>
          <w:top w:val="single" w:sz="12" w:space="0" w:color="auto" w:shadow="1"/>
          <w:left w:val="single" w:sz="12" w:space="4" w:color="auto" w:shadow="1"/>
          <w:bottom w:val="single" w:sz="12" w:space="1" w:color="auto" w:shadow="1"/>
          <w:right w:val="single" w:sz="12" w:space="7" w:color="auto" w:shadow="1"/>
        </w:pBdr>
        <w:spacing w:after="0" w:line="240" w:lineRule="auto"/>
        <w:ind w:right="2790"/>
        <w:rPr>
          <w:rStyle w:val="markedcontent"/>
          <w:rFonts w:cs="Calibri"/>
          <w:sz w:val="24"/>
          <w:szCs w:val="24"/>
          <w:lang w:val="fr-FR"/>
        </w:rPr>
      </w:pPr>
      <w:r w:rsidRPr="00AB2600">
        <w:rPr>
          <w:rStyle w:val="markedcontent"/>
          <w:rFonts w:cs="Calibri"/>
          <w:sz w:val="24"/>
          <w:szCs w:val="24"/>
          <w:lang w:val="fr-FR"/>
        </w:rPr>
        <w:t>Gland, Suisse, 21 au 25 juin 2021</w:t>
      </w:r>
    </w:p>
    <w:p w:rsidR="00043524" w:rsidRPr="00AB2600" w:rsidRDefault="00043524" w:rsidP="007D79AF">
      <w:pPr>
        <w:spacing w:after="0" w:line="240" w:lineRule="auto"/>
        <w:jc w:val="both"/>
        <w:rPr>
          <w:rFonts w:eastAsia="Times New Roman" w:cstheme="minorHAnsi"/>
          <w:sz w:val="28"/>
          <w:szCs w:val="28"/>
          <w:lang w:val="fr-FR" w:eastAsia="en-GB"/>
        </w:rPr>
      </w:pPr>
    </w:p>
    <w:p w:rsidR="00043524" w:rsidRPr="00AB2600" w:rsidRDefault="00043524" w:rsidP="007D79AF">
      <w:pPr>
        <w:spacing w:after="0" w:line="240" w:lineRule="auto"/>
        <w:jc w:val="right"/>
        <w:rPr>
          <w:rFonts w:eastAsia="Times New Roman" w:cstheme="minorHAnsi"/>
          <w:b/>
          <w:sz w:val="28"/>
          <w:szCs w:val="28"/>
          <w:lang w:val="fr-FR" w:eastAsia="en-GB"/>
        </w:rPr>
      </w:pPr>
      <w:bookmarkStart w:id="0" w:name="_GoBack"/>
      <w:r w:rsidRPr="00AB2600">
        <w:rPr>
          <w:rFonts w:eastAsia="Times New Roman" w:cstheme="minorHAnsi"/>
          <w:b/>
          <w:sz w:val="28"/>
          <w:szCs w:val="28"/>
          <w:lang w:val="fr-FR" w:eastAsia="en-GB"/>
        </w:rPr>
        <w:t>SC59 Doc.</w:t>
      </w:r>
      <w:r w:rsidR="004349EE" w:rsidRPr="00AB2600">
        <w:rPr>
          <w:rFonts w:eastAsia="Times New Roman" w:cstheme="minorHAnsi"/>
          <w:b/>
          <w:sz w:val="28"/>
          <w:szCs w:val="28"/>
          <w:lang w:val="fr-FR" w:eastAsia="en-GB"/>
        </w:rPr>
        <w:t>14</w:t>
      </w:r>
    </w:p>
    <w:p w:rsidR="00043524" w:rsidRPr="00AB2600" w:rsidRDefault="00043524" w:rsidP="007D79AF">
      <w:pPr>
        <w:spacing w:after="0" w:line="240" w:lineRule="auto"/>
        <w:jc w:val="right"/>
        <w:rPr>
          <w:rFonts w:eastAsia="Times New Roman" w:cstheme="minorHAnsi"/>
          <w:b/>
          <w:sz w:val="28"/>
          <w:szCs w:val="28"/>
          <w:lang w:val="fr-FR" w:eastAsia="en-GB"/>
        </w:rPr>
      </w:pPr>
    </w:p>
    <w:p w:rsidR="00043524" w:rsidRPr="00AB2600" w:rsidRDefault="00043524" w:rsidP="007D79AF">
      <w:pPr>
        <w:autoSpaceDE w:val="0"/>
        <w:autoSpaceDN w:val="0"/>
        <w:adjustRightInd w:val="0"/>
        <w:spacing w:after="0" w:line="240" w:lineRule="auto"/>
        <w:jc w:val="center"/>
        <w:rPr>
          <w:rFonts w:cstheme="minorHAnsi"/>
          <w:b/>
          <w:color w:val="000000"/>
          <w:sz w:val="28"/>
          <w:szCs w:val="28"/>
          <w:lang w:val="fr-FR"/>
        </w:rPr>
      </w:pPr>
      <w:r w:rsidRPr="00AB2600">
        <w:rPr>
          <w:rFonts w:cstheme="minorHAnsi"/>
          <w:b/>
          <w:bCs/>
          <w:color w:val="000000"/>
          <w:sz w:val="28"/>
          <w:szCs w:val="28"/>
          <w:lang w:val="fr-FR"/>
        </w:rPr>
        <w:t>R</w:t>
      </w:r>
      <w:r w:rsidR="00E65350" w:rsidRPr="00AB2600">
        <w:rPr>
          <w:rFonts w:cstheme="minorHAnsi"/>
          <w:b/>
          <w:bCs/>
          <w:color w:val="000000"/>
          <w:sz w:val="28"/>
          <w:szCs w:val="28"/>
          <w:lang w:val="fr-FR"/>
        </w:rPr>
        <w:t xml:space="preserve">apport du groupe de travail sur le statut d’observateur </w:t>
      </w:r>
    </w:p>
    <w:bookmarkEnd w:id="0"/>
    <w:p w:rsidR="00043524" w:rsidRPr="00AB2600" w:rsidRDefault="00043524" w:rsidP="007D79AF">
      <w:pPr>
        <w:spacing w:after="0" w:line="240" w:lineRule="auto"/>
        <w:jc w:val="both"/>
        <w:rPr>
          <w:rFonts w:eastAsia="Times New Roman" w:cstheme="minorHAnsi"/>
          <w:b/>
          <w:sz w:val="28"/>
          <w:szCs w:val="28"/>
          <w:lang w:val="fr-FR" w:eastAsia="en-GB"/>
        </w:rPr>
      </w:pPr>
    </w:p>
    <w:p w:rsidR="00043524" w:rsidRPr="00AB2600" w:rsidRDefault="00337103" w:rsidP="007D79AF">
      <w:pPr>
        <w:autoSpaceDE w:val="0"/>
        <w:autoSpaceDN w:val="0"/>
        <w:adjustRightInd w:val="0"/>
        <w:spacing w:after="0" w:line="240" w:lineRule="auto"/>
        <w:ind w:left="357" w:hanging="357"/>
        <w:jc w:val="both"/>
        <w:rPr>
          <w:rFonts w:cstheme="minorHAnsi"/>
          <w:lang w:val="fr-FR"/>
        </w:rPr>
      </w:pPr>
      <w:r>
        <w:rPr>
          <w:rFonts w:eastAsia="Times New Roman" w:cstheme="minorHAnsi"/>
          <w:noProof/>
          <w:lang w:val="fr-FR" w:eastAsia="en-GB"/>
        </w:rPr>
      </w:r>
      <w:r>
        <w:rPr>
          <w:rFonts w:eastAsia="Times New Roman" w:cstheme="minorHAnsi"/>
          <w:noProof/>
          <w:lang w:val="fr-FR" w:eastAsia="en-GB"/>
        </w:rPr>
        <w:pict>
          <v:shapetype id="_x0000_t202" coordsize="21600,21600" o:spt="202" path="m,l,21600r21600,l21600,xe">
            <v:stroke joinstyle="miter"/>
            <v:path gradientshapeok="t" o:connecttype="rect"/>
          </v:shapetype>
          <v:shape id="Text Box 5" o:spid="_x0000_s1026" type="#_x0000_t202" style="width:461pt;height:120pt;visibility:visible;mso-left-percent:-10001;mso-top-percent:-10001;mso-position-horizontal:absolute;mso-position-horizontal-relative:char;mso-position-vertical:absolute;mso-position-vertical-relative:line;mso-left-percent:-10001;mso-top-percent:-10001">
            <v:textbox>
              <w:txbxContent>
                <w:p w:rsidR="00E65350" w:rsidRPr="00A23E41" w:rsidRDefault="00E65350" w:rsidP="00E65350">
                  <w:pPr>
                    <w:spacing w:after="0" w:line="240" w:lineRule="auto"/>
                    <w:rPr>
                      <w:lang w:val="fr-FR"/>
                    </w:rPr>
                  </w:pPr>
                  <w:r w:rsidRPr="00A23E41">
                    <w:rPr>
                      <w:b/>
                      <w:bCs/>
                      <w:lang w:val="fr-FR"/>
                    </w:rPr>
                    <w:t xml:space="preserve">Actions demandées : </w:t>
                  </w:r>
                </w:p>
                <w:p w:rsidR="00043524" w:rsidRPr="00E65350" w:rsidRDefault="00E65350" w:rsidP="00E65350">
                  <w:pPr>
                    <w:spacing w:after="0" w:line="240" w:lineRule="auto"/>
                    <w:rPr>
                      <w:lang w:val="fr-FR"/>
                    </w:rPr>
                  </w:pPr>
                  <w:r w:rsidRPr="00A23E41">
                    <w:rPr>
                      <w:lang w:val="fr-FR"/>
                    </w:rPr>
                    <w:t>Le Comité permanent est invité à</w:t>
                  </w:r>
                  <w:r w:rsidR="00013C98">
                    <w:rPr>
                      <w:lang w:val="fr-FR"/>
                    </w:rPr>
                    <w:t> </w:t>
                  </w:r>
                  <w:r w:rsidR="00043524" w:rsidRPr="00E65350">
                    <w:rPr>
                      <w:lang w:val="fr-FR"/>
                    </w:rPr>
                    <w:t>:</w:t>
                  </w:r>
                </w:p>
                <w:p w:rsidR="007D79AF" w:rsidRPr="00E65350" w:rsidRDefault="007D79AF" w:rsidP="007D79AF">
                  <w:pPr>
                    <w:spacing w:after="0" w:line="240" w:lineRule="auto"/>
                    <w:ind w:left="425" w:hanging="425"/>
                    <w:rPr>
                      <w:lang w:val="fr-FR"/>
                    </w:rPr>
                  </w:pPr>
                </w:p>
                <w:p w:rsidR="00A615A8" w:rsidRPr="00E65350" w:rsidRDefault="00043524" w:rsidP="007D79AF">
                  <w:pPr>
                    <w:spacing w:after="0" w:line="240" w:lineRule="auto"/>
                    <w:ind w:left="425" w:hanging="425"/>
                    <w:rPr>
                      <w:lang w:val="fr-FR"/>
                    </w:rPr>
                  </w:pPr>
                  <w:r w:rsidRPr="00E65350">
                    <w:rPr>
                      <w:lang w:val="fr-FR"/>
                    </w:rPr>
                    <w:t>i.</w:t>
                  </w:r>
                  <w:r w:rsidRPr="00E65350">
                    <w:rPr>
                      <w:lang w:val="fr-FR"/>
                    </w:rPr>
                    <w:tab/>
                  </w:r>
                  <w:r w:rsidR="00013C98">
                    <w:rPr>
                      <w:lang w:val="fr-FR"/>
                    </w:rPr>
                    <w:t>prendre bonne note de l’</w:t>
                  </w:r>
                  <w:r w:rsidR="00E65350" w:rsidRPr="00E65350">
                    <w:rPr>
                      <w:lang w:val="fr-FR"/>
                    </w:rPr>
                    <w:t xml:space="preserve">avancée </w:t>
                  </w:r>
                  <w:r w:rsidR="00013C98">
                    <w:rPr>
                      <w:lang w:val="fr-FR"/>
                    </w:rPr>
                    <w:t>des</w:t>
                  </w:r>
                  <w:r w:rsidR="00E65350" w:rsidRPr="00E65350">
                    <w:rPr>
                      <w:lang w:val="fr-FR"/>
                    </w:rPr>
                    <w:t xml:space="preserve"> travaux du</w:t>
                  </w:r>
                  <w:r w:rsidR="00554506">
                    <w:rPr>
                      <w:lang w:val="fr-FR"/>
                    </w:rPr>
                    <w:t xml:space="preserve"> groupe de travail sur le statut</w:t>
                  </w:r>
                  <w:r w:rsidR="00E65350" w:rsidRPr="00E65350">
                    <w:rPr>
                      <w:lang w:val="fr-FR"/>
                    </w:rPr>
                    <w:t xml:space="preserve"> d’observateur dans le cadre du </w:t>
                  </w:r>
                  <w:r w:rsidR="00E65350">
                    <w:rPr>
                      <w:lang w:val="fr-FR"/>
                    </w:rPr>
                    <w:t>mandat</w:t>
                  </w:r>
                  <w:r w:rsidR="00E65350" w:rsidRPr="00E65350">
                    <w:rPr>
                      <w:lang w:val="fr-FR"/>
                    </w:rPr>
                    <w:t xml:space="preserve"> du Comité permanent </w:t>
                  </w:r>
                </w:p>
                <w:p w:rsidR="00D2518D" w:rsidRPr="00E65350" w:rsidRDefault="00D2518D" w:rsidP="007D79AF">
                  <w:pPr>
                    <w:spacing w:after="0" w:line="240" w:lineRule="auto"/>
                    <w:ind w:left="425" w:hanging="425"/>
                    <w:rPr>
                      <w:lang w:val="fr-FR"/>
                    </w:rPr>
                  </w:pPr>
                </w:p>
                <w:p w:rsidR="0031116C" w:rsidRPr="00E65350" w:rsidRDefault="00043524" w:rsidP="007D79AF">
                  <w:pPr>
                    <w:spacing w:after="0" w:line="240" w:lineRule="auto"/>
                    <w:ind w:left="425" w:hanging="425"/>
                    <w:rPr>
                      <w:rFonts w:cs="Garamond"/>
                      <w:lang w:val="fr-FR"/>
                    </w:rPr>
                  </w:pPr>
                  <w:r w:rsidRPr="00E65350">
                    <w:rPr>
                      <w:rFonts w:cs="Garamond"/>
                      <w:lang w:val="fr-FR"/>
                    </w:rPr>
                    <w:t>ii.</w:t>
                  </w:r>
                  <w:r w:rsidRPr="00E65350">
                    <w:rPr>
                      <w:rFonts w:cs="Garamond"/>
                      <w:lang w:val="fr-FR"/>
                    </w:rPr>
                    <w:tab/>
                  </w:r>
                  <w:r w:rsidR="00E65350" w:rsidRPr="00E65350">
                    <w:rPr>
                      <w:rFonts w:cs="Garamond"/>
                      <w:lang w:val="fr-FR"/>
                    </w:rPr>
                    <w:t>adopter la</w:t>
                  </w:r>
                  <w:r w:rsidR="00B921ED" w:rsidRPr="00E65350">
                    <w:rPr>
                      <w:rFonts w:cs="Garamond"/>
                      <w:lang w:val="fr-FR"/>
                    </w:rPr>
                    <w:t xml:space="preserve"> recomm</w:t>
                  </w:r>
                  <w:r w:rsidR="00E65350" w:rsidRPr="00E65350">
                    <w:rPr>
                      <w:rFonts w:cs="Garamond"/>
                      <w:lang w:val="fr-FR"/>
                    </w:rPr>
                    <w:t>a</w:t>
                  </w:r>
                  <w:r w:rsidR="00B921ED" w:rsidRPr="00E65350">
                    <w:rPr>
                      <w:rFonts w:cs="Garamond"/>
                      <w:lang w:val="fr-FR"/>
                    </w:rPr>
                    <w:t>ndation</w:t>
                  </w:r>
                  <w:r w:rsidR="00D2518D" w:rsidRPr="00E65350">
                    <w:rPr>
                      <w:rFonts w:cs="Garamond"/>
                      <w:lang w:val="fr-FR"/>
                    </w:rPr>
                    <w:t xml:space="preserve"> </w:t>
                  </w:r>
                  <w:r w:rsidR="00E65350" w:rsidRPr="00E65350">
                    <w:rPr>
                      <w:rFonts w:cs="Garamond"/>
                      <w:lang w:val="fr-FR"/>
                    </w:rPr>
                    <w:t>du groupe de travail de poursuivre ses travaux et d’en rendre compte à la 60</w:t>
                  </w:r>
                  <w:r w:rsidR="00E65350" w:rsidRPr="002467B8">
                    <w:rPr>
                      <w:rFonts w:cs="Garamond"/>
                      <w:vertAlign w:val="superscript"/>
                      <w:lang w:val="fr-FR"/>
                    </w:rPr>
                    <w:t>e</w:t>
                  </w:r>
                  <w:r w:rsidR="002467B8">
                    <w:rPr>
                      <w:rFonts w:cs="Garamond"/>
                      <w:lang w:val="fr-FR"/>
                    </w:rPr>
                    <w:t xml:space="preserve"> réun</w:t>
                  </w:r>
                  <w:r w:rsidR="00E65350" w:rsidRPr="00E65350">
                    <w:rPr>
                      <w:rFonts w:cs="Garamond"/>
                      <w:lang w:val="fr-FR"/>
                    </w:rPr>
                    <w:t xml:space="preserve">ion du Comité permanent. </w:t>
                  </w:r>
                </w:p>
              </w:txbxContent>
            </v:textbox>
            <w10:wrap type="none"/>
            <w10:anchorlock/>
          </v:shape>
        </w:pict>
      </w:r>
    </w:p>
    <w:p w:rsidR="00043524" w:rsidRPr="00AB2600" w:rsidRDefault="00043524" w:rsidP="007D79AF">
      <w:pPr>
        <w:spacing w:after="0" w:line="240" w:lineRule="auto"/>
        <w:rPr>
          <w:lang w:val="fr-FR"/>
        </w:rPr>
      </w:pPr>
    </w:p>
    <w:p w:rsidR="007D79AF" w:rsidRPr="00AB2600" w:rsidRDefault="007D79AF" w:rsidP="007D79AF">
      <w:pPr>
        <w:spacing w:after="0" w:line="240" w:lineRule="auto"/>
        <w:rPr>
          <w:lang w:val="fr-FR"/>
        </w:rPr>
      </w:pPr>
    </w:p>
    <w:p w:rsidR="00E92C39" w:rsidRPr="00AB2600" w:rsidRDefault="00E65350" w:rsidP="008A48CE">
      <w:pPr>
        <w:spacing w:after="0" w:line="240" w:lineRule="auto"/>
        <w:rPr>
          <w:rFonts w:cstheme="minorHAnsi"/>
          <w:b/>
          <w:lang w:val="fr-FR"/>
        </w:rPr>
      </w:pPr>
      <w:r w:rsidRPr="00AB2600">
        <w:rPr>
          <w:rFonts w:cstheme="minorHAnsi"/>
          <w:b/>
          <w:lang w:val="fr-FR"/>
        </w:rPr>
        <w:t>Historique</w:t>
      </w:r>
    </w:p>
    <w:p w:rsidR="00401270" w:rsidRPr="00AB2600" w:rsidRDefault="00401270" w:rsidP="008A48CE">
      <w:pPr>
        <w:spacing w:after="0" w:line="240" w:lineRule="auto"/>
        <w:rPr>
          <w:rFonts w:cstheme="minorHAnsi"/>
          <w:lang w:val="fr-FR"/>
        </w:rPr>
      </w:pPr>
    </w:p>
    <w:p w:rsidR="00B43D92" w:rsidRPr="00AB2600" w:rsidRDefault="00B43D92" w:rsidP="008A48CE">
      <w:pPr>
        <w:pStyle w:val="ColorfulList-Accent11"/>
        <w:numPr>
          <w:ilvl w:val="0"/>
          <w:numId w:val="7"/>
        </w:numPr>
        <w:ind w:left="426" w:hanging="426"/>
        <w:contextualSpacing w:val="0"/>
        <w:rPr>
          <w:rFonts w:asciiTheme="minorHAnsi" w:hAnsiTheme="minorHAnsi" w:cstheme="minorHAnsi"/>
          <w:lang w:val="fr-FR"/>
        </w:rPr>
      </w:pPr>
      <w:r w:rsidRPr="00AB2600">
        <w:rPr>
          <w:rFonts w:asciiTheme="minorHAnsi" w:hAnsiTheme="minorHAnsi" w:cstheme="minorHAnsi"/>
          <w:lang w:val="fr-FR"/>
        </w:rPr>
        <w:t>Dans la dé</w:t>
      </w:r>
      <w:r w:rsidR="00401270" w:rsidRPr="00AB2600">
        <w:rPr>
          <w:rFonts w:asciiTheme="minorHAnsi" w:hAnsiTheme="minorHAnsi" w:cstheme="minorHAnsi"/>
          <w:lang w:val="fr-FR"/>
        </w:rPr>
        <w:t xml:space="preserve">cision SC55-12, </w:t>
      </w:r>
      <w:r w:rsidRPr="00AB2600">
        <w:rPr>
          <w:rFonts w:asciiTheme="minorHAnsi" w:hAnsiTheme="minorHAnsi" w:cstheme="minorHAnsi"/>
          <w:lang w:val="fr-FR"/>
        </w:rPr>
        <w:t xml:space="preserve">le Comité permanent a chargé le Secrétariat, </w:t>
      </w:r>
      <w:r w:rsidRPr="00AB2600">
        <w:rPr>
          <w:rStyle w:val="markedcontent"/>
          <w:rFonts w:asciiTheme="minorHAnsi" w:hAnsiTheme="minorHAnsi" w:cstheme="minorHAnsi"/>
          <w:lang w:val="fr-FR"/>
        </w:rPr>
        <w:t xml:space="preserve">avec le soutien d'un groupe informel de Parties contractantes </w:t>
      </w:r>
      <w:r w:rsidR="00EF1111">
        <w:rPr>
          <w:rStyle w:val="markedcontent"/>
          <w:rFonts w:asciiTheme="minorHAnsi" w:hAnsiTheme="minorHAnsi" w:cstheme="minorHAnsi"/>
          <w:lang w:val="fr-FR"/>
        </w:rPr>
        <w:t>concern</w:t>
      </w:r>
      <w:r w:rsidRPr="00AB2600">
        <w:rPr>
          <w:rStyle w:val="markedcontent"/>
          <w:rFonts w:asciiTheme="minorHAnsi" w:hAnsiTheme="minorHAnsi" w:cstheme="minorHAnsi"/>
          <w:lang w:val="fr-FR"/>
        </w:rPr>
        <w:t>ées, de présenter une proposition structurée sur la possibilité pour la Convention d’obtenir le statut d’observateur auprès de l’Assemblée générale des Nations Unies, tenant compte des différentes options, pour examen lors de la 57</w:t>
      </w:r>
      <w:r w:rsidRPr="00AB2600">
        <w:rPr>
          <w:rStyle w:val="markedcontent"/>
          <w:rFonts w:asciiTheme="minorHAnsi" w:hAnsiTheme="minorHAnsi" w:cstheme="minorHAnsi"/>
          <w:vertAlign w:val="superscript"/>
          <w:lang w:val="fr-FR"/>
        </w:rPr>
        <w:t>e</w:t>
      </w:r>
      <w:r w:rsidR="00AB2600" w:rsidRPr="00AB2600">
        <w:rPr>
          <w:rStyle w:val="markedcontent"/>
          <w:rFonts w:asciiTheme="minorHAnsi" w:hAnsiTheme="minorHAnsi" w:cstheme="minorHAnsi"/>
          <w:lang w:val="fr-FR"/>
        </w:rPr>
        <w:t> </w:t>
      </w:r>
      <w:r w:rsidRPr="00AB2600">
        <w:rPr>
          <w:rStyle w:val="markedcontent"/>
          <w:rFonts w:asciiTheme="minorHAnsi" w:hAnsiTheme="minorHAnsi" w:cstheme="minorHAnsi"/>
          <w:lang w:val="fr-FR"/>
        </w:rPr>
        <w:t>Réunion du Comité permanent.</w:t>
      </w:r>
    </w:p>
    <w:p w:rsidR="00401270" w:rsidRPr="00AB2600" w:rsidRDefault="00401270" w:rsidP="008A48CE">
      <w:pPr>
        <w:pStyle w:val="ColorfulList-Accent11"/>
        <w:ind w:left="0" w:firstLine="0"/>
        <w:contextualSpacing w:val="0"/>
        <w:rPr>
          <w:rFonts w:asciiTheme="minorHAnsi" w:hAnsiTheme="minorHAnsi" w:cstheme="minorHAnsi"/>
          <w:lang w:val="fr-FR"/>
        </w:rPr>
      </w:pPr>
    </w:p>
    <w:p w:rsidR="00B43D92" w:rsidRPr="00AB2600" w:rsidRDefault="00B43D92" w:rsidP="008A48CE">
      <w:pPr>
        <w:pStyle w:val="ColorfulList-Accent11"/>
        <w:numPr>
          <w:ilvl w:val="0"/>
          <w:numId w:val="7"/>
        </w:numPr>
        <w:ind w:left="426" w:hanging="426"/>
        <w:contextualSpacing w:val="0"/>
        <w:rPr>
          <w:rFonts w:asciiTheme="minorHAnsi" w:hAnsiTheme="minorHAnsi" w:cstheme="minorHAnsi"/>
          <w:lang w:val="fr-FR"/>
        </w:rPr>
      </w:pPr>
      <w:r w:rsidRPr="00AB2600">
        <w:rPr>
          <w:rFonts w:asciiTheme="minorHAnsi" w:hAnsiTheme="minorHAnsi" w:cstheme="minorHAnsi"/>
          <w:lang w:val="fr-FR"/>
        </w:rPr>
        <w:t>Le Secrétariat a pris contact avec toutes les Parties afin qu’elles puissent faires savoir si elles étaient intéressées à poursuivre l</w:t>
      </w:r>
      <w:r w:rsidR="00EF1111">
        <w:rPr>
          <w:rFonts w:asciiTheme="minorHAnsi" w:hAnsiTheme="minorHAnsi" w:cstheme="minorHAnsi"/>
          <w:lang w:val="fr-FR"/>
        </w:rPr>
        <w:t>e processus. En conséquence, u</w:t>
      </w:r>
      <w:r w:rsidRPr="00AB2600">
        <w:rPr>
          <w:rFonts w:asciiTheme="minorHAnsi" w:hAnsiTheme="minorHAnsi" w:cstheme="minorHAnsi"/>
          <w:lang w:val="fr-FR"/>
        </w:rPr>
        <w:t>n petit groupe informel s’est réuni, formé de la Bolivie (État plurinational de), de la Colombie, des États-Unis d’Amérique</w:t>
      </w:r>
      <w:r w:rsidR="00EF1111">
        <w:rPr>
          <w:rFonts w:asciiTheme="minorHAnsi" w:hAnsiTheme="minorHAnsi" w:cstheme="minorHAnsi"/>
          <w:lang w:val="fr-FR"/>
        </w:rPr>
        <w:t>,</w:t>
      </w:r>
      <w:r w:rsidRPr="00AB2600">
        <w:rPr>
          <w:rFonts w:asciiTheme="minorHAnsi" w:hAnsiTheme="minorHAnsi" w:cstheme="minorHAnsi"/>
          <w:lang w:val="fr-FR"/>
        </w:rPr>
        <w:t xml:space="preserve"> </w:t>
      </w:r>
      <w:r w:rsidR="00EF1111" w:rsidRPr="00AB2600">
        <w:rPr>
          <w:rFonts w:asciiTheme="minorHAnsi" w:hAnsiTheme="minorHAnsi" w:cstheme="minorHAnsi"/>
          <w:lang w:val="fr-FR"/>
        </w:rPr>
        <w:t xml:space="preserve">de la Guinée, du Tchad et </w:t>
      </w:r>
      <w:r w:rsidRPr="00AB2600">
        <w:rPr>
          <w:rFonts w:asciiTheme="minorHAnsi" w:hAnsiTheme="minorHAnsi" w:cstheme="minorHAnsi"/>
          <w:lang w:val="fr-FR"/>
        </w:rPr>
        <w:t>de l’Uruguay. Quatre de ses membres ont participé le 17 mai 2019 à une téléconférence.</w:t>
      </w:r>
    </w:p>
    <w:p w:rsidR="00401270" w:rsidRPr="00AB2600" w:rsidRDefault="00401270" w:rsidP="008A48CE">
      <w:pPr>
        <w:pStyle w:val="ColorfulList-Accent11"/>
        <w:ind w:left="0" w:firstLine="0"/>
        <w:contextualSpacing w:val="0"/>
        <w:rPr>
          <w:rFonts w:asciiTheme="minorHAnsi" w:hAnsiTheme="minorHAnsi" w:cstheme="minorHAnsi"/>
          <w:lang w:val="fr-FR"/>
        </w:rPr>
      </w:pPr>
    </w:p>
    <w:p w:rsidR="00B43D92" w:rsidRPr="00AB2600" w:rsidRDefault="00B43D92" w:rsidP="008A48CE">
      <w:pPr>
        <w:pStyle w:val="ColorfulList-Accent11"/>
        <w:numPr>
          <w:ilvl w:val="0"/>
          <w:numId w:val="7"/>
        </w:numPr>
        <w:ind w:left="426" w:hanging="426"/>
        <w:contextualSpacing w:val="0"/>
        <w:rPr>
          <w:rFonts w:asciiTheme="minorHAnsi" w:hAnsiTheme="minorHAnsi" w:cstheme="minorHAnsi"/>
          <w:lang w:val="fr-FR"/>
        </w:rPr>
      </w:pPr>
      <w:r w:rsidRPr="00AB2600">
        <w:rPr>
          <w:rFonts w:asciiTheme="minorHAnsi" w:hAnsiTheme="minorHAnsi" w:cstheme="minorHAnsi"/>
          <w:lang w:val="fr-FR"/>
        </w:rPr>
        <w:t xml:space="preserve">La Bolivie (État plurinational de) a présenté le rapport du groupe informel à la </w:t>
      </w:r>
      <w:r w:rsidRPr="00AB2600">
        <w:rPr>
          <w:rStyle w:val="markedcontent"/>
          <w:rFonts w:asciiTheme="minorHAnsi" w:hAnsiTheme="minorHAnsi" w:cstheme="minorHAnsi"/>
          <w:lang w:val="fr-FR"/>
        </w:rPr>
        <w:t>57</w:t>
      </w:r>
      <w:r w:rsidRPr="00AB2600">
        <w:rPr>
          <w:rStyle w:val="markedcontent"/>
          <w:rFonts w:asciiTheme="minorHAnsi" w:hAnsiTheme="minorHAnsi" w:cstheme="minorHAnsi"/>
          <w:vertAlign w:val="superscript"/>
          <w:lang w:val="fr-FR"/>
        </w:rPr>
        <w:t>e</w:t>
      </w:r>
      <w:r w:rsidRPr="00AB2600">
        <w:rPr>
          <w:rStyle w:val="markedcontent"/>
          <w:rFonts w:asciiTheme="minorHAnsi" w:hAnsiTheme="minorHAnsi" w:cstheme="minorHAnsi"/>
          <w:lang w:val="fr-FR"/>
        </w:rPr>
        <w:t xml:space="preserve"> Réunion du Comité permanent</w:t>
      </w:r>
      <w:r w:rsidR="002467B8" w:rsidRPr="00AB2600">
        <w:rPr>
          <w:rStyle w:val="markedcontent"/>
          <w:rFonts w:asciiTheme="minorHAnsi" w:hAnsiTheme="minorHAnsi" w:cstheme="minorHAnsi"/>
          <w:lang w:val="fr-FR"/>
        </w:rPr>
        <w:t>, rapport qui contenait trois recommandations pour examen par le Comité permanent quant à la marche à suivre sur la question de l’obtention du statut d’observateur.</w:t>
      </w:r>
    </w:p>
    <w:p w:rsidR="00401270" w:rsidRPr="00AB2600" w:rsidRDefault="00401270" w:rsidP="008A48CE">
      <w:pPr>
        <w:pStyle w:val="ColorfulList-Accent11"/>
        <w:ind w:left="0" w:firstLine="0"/>
        <w:contextualSpacing w:val="0"/>
        <w:rPr>
          <w:rFonts w:asciiTheme="minorHAnsi" w:hAnsiTheme="minorHAnsi" w:cstheme="minorHAnsi"/>
          <w:lang w:val="fr-FR"/>
        </w:rPr>
      </w:pPr>
    </w:p>
    <w:p w:rsidR="002467B8" w:rsidRPr="00AB2600" w:rsidRDefault="002467B8" w:rsidP="008A48CE">
      <w:pPr>
        <w:pStyle w:val="ColorfulList-Accent11"/>
        <w:numPr>
          <w:ilvl w:val="0"/>
          <w:numId w:val="7"/>
        </w:numPr>
        <w:ind w:left="426" w:hanging="426"/>
        <w:contextualSpacing w:val="0"/>
        <w:rPr>
          <w:rFonts w:asciiTheme="minorHAnsi" w:hAnsiTheme="minorHAnsi" w:cstheme="minorHAnsi"/>
          <w:lang w:val="fr-FR"/>
        </w:rPr>
      </w:pPr>
      <w:r w:rsidRPr="00AB2600">
        <w:rPr>
          <w:rFonts w:asciiTheme="minorHAnsi" w:hAnsiTheme="minorHAnsi" w:cstheme="minorHAnsi"/>
          <w:lang w:val="fr-FR"/>
        </w:rPr>
        <w:t xml:space="preserve">Le Comité permanent a </w:t>
      </w:r>
      <w:r w:rsidR="00013C98">
        <w:rPr>
          <w:rFonts w:asciiTheme="minorHAnsi" w:hAnsiTheme="minorHAnsi" w:cstheme="minorHAnsi"/>
          <w:lang w:val="fr-FR"/>
        </w:rPr>
        <w:t>convenu</w:t>
      </w:r>
      <w:r w:rsidRPr="00AB2600">
        <w:rPr>
          <w:rFonts w:asciiTheme="minorHAnsi" w:hAnsiTheme="minorHAnsi" w:cstheme="minorHAnsi"/>
          <w:lang w:val="fr-FR"/>
        </w:rPr>
        <w:t xml:space="preserve"> à sa 57</w:t>
      </w:r>
      <w:r w:rsidRPr="00AB2600">
        <w:rPr>
          <w:rFonts w:asciiTheme="minorHAnsi" w:hAnsiTheme="minorHAnsi" w:cstheme="minorHAnsi"/>
          <w:vertAlign w:val="superscript"/>
          <w:lang w:val="fr-FR"/>
        </w:rPr>
        <w:t>e</w:t>
      </w:r>
      <w:r w:rsidRPr="00AB2600">
        <w:rPr>
          <w:rFonts w:asciiTheme="minorHAnsi" w:hAnsiTheme="minorHAnsi" w:cstheme="minorHAnsi"/>
          <w:lang w:val="fr-FR"/>
        </w:rPr>
        <w:t xml:space="preserve"> réunion (Décision SC57-14) </w:t>
      </w:r>
      <w:r w:rsidR="00013C98">
        <w:rPr>
          <w:rFonts w:asciiTheme="minorHAnsi" w:hAnsiTheme="minorHAnsi" w:cstheme="minorHAnsi"/>
          <w:lang w:val="fr-FR"/>
        </w:rPr>
        <w:t xml:space="preserve">de </w:t>
      </w:r>
      <w:r w:rsidR="00B02ABC" w:rsidRPr="00AB2600">
        <w:rPr>
          <w:rFonts w:asciiTheme="minorHAnsi" w:hAnsiTheme="minorHAnsi" w:cstheme="minorHAnsi"/>
          <w:lang w:val="fr-FR"/>
        </w:rPr>
        <w:t xml:space="preserve">la marche à suivre </w:t>
      </w:r>
      <w:r w:rsidR="00EF1111">
        <w:rPr>
          <w:rFonts w:asciiTheme="minorHAnsi" w:hAnsiTheme="minorHAnsi" w:cstheme="minorHAnsi"/>
          <w:lang w:val="fr-FR"/>
        </w:rPr>
        <w:t>pour l’obtention du</w:t>
      </w:r>
      <w:r w:rsidR="00B02ABC" w:rsidRPr="00AB2600">
        <w:rPr>
          <w:rFonts w:asciiTheme="minorHAnsi" w:hAnsiTheme="minorHAnsi" w:cstheme="minorHAnsi"/>
          <w:lang w:val="fr-FR"/>
        </w:rPr>
        <w:t xml:space="preserve"> statut d’observateur : </w:t>
      </w:r>
    </w:p>
    <w:p w:rsidR="00B02ABC" w:rsidRPr="00AB2600" w:rsidRDefault="00B02ABC" w:rsidP="00B02ABC">
      <w:pPr>
        <w:pStyle w:val="ColorfulList-Accent11"/>
        <w:ind w:left="426" w:firstLine="0"/>
        <w:contextualSpacing w:val="0"/>
        <w:rPr>
          <w:rFonts w:asciiTheme="minorHAnsi" w:hAnsiTheme="minorHAnsi" w:cstheme="minorHAnsi"/>
          <w:lang w:val="fr-FR"/>
        </w:rPr>
      </w:pPr>
    </w:p>
    <w:p w:rsidR="00401270" w:rsidRPr="00AB2600" w:rsidRDefault="00401270" w:rsidP="008A48CE">
      <w:pPr>
        <w:spacing w:after="0" w:line="240" w:lineRule="auto"/>
        <w:ind w:left="851" w:hanging="425"/>
        <w:rPr>
          <w:rFonts w:cstheme="minorHAnsi"/>
          <w:lang w:val="fr-FR"/>
        </w:rPr>
      </w:pPr>
      <w:r w:rsidRPr="00AB2600">
        <w:rPr>
          <w:rFonts w:cstheme="minorHAnsi"/>
          <w:lang w:val="fr-FR"/>
        </w:rPr>
        <w:t>a.</w:t>
      </w:r>
      <w:r w:rsidRPr="00AB2600">
        <w:rPr>
          <w:rFonts w:cstheme="minorHAnsi"/>
          <w:lang w:val="fr-FR"/>
        </w:rPr>
        <w:tab/>
      </w:r>
      <w:r w:rsidR="00B02ABC" w:rsidRPr="00AB2600">
        <w:rPr>
          <w:rStyle w:val="markedcontent"/>
          <w:rFonts w:cstheme="minorHAnsi"/>
          <w:lang w:val="fr-FR"/>
        </w:rPr>
        <w:t>continuité du Groupe de travail sur le statut d’observateur (précédemment groupe informel), qui comprend en plus la Fédération de Russie, le Mexique et la Suisse, approuvée par la 57</w:t>
      </w:r>
      <w:r w:rsidR="00B02ABC" w:rsidRPr="00AB2600">
        <w:rPr>
          <w:rStyle w:val="markedcontent"/>
          <w:rFonts w:cstheme="minorHAnsi"/>
          <w:vertAlign w:val="superscript"/>
          <w:lang w:val="fr-FR"/>
        </w:rPr>
        <w:t>e</w:t>
      </w:r>
      <w:r w:rsidR="00B02ABC" w:rsidRPr="00AB2600">
        <w:rPr>
          <w:rStyle w:val="markedcontent"/>
          <w:rFonts w:cstheme="minorHAnsi"/>
          <w:lang w:val="fr-FR"/>
        </w:rPr>
        <w:t xml:space="preserve"> Réunion du Comité permanent </w:t>
      </w:r>
      <w:r w:rsidRPr="00AB2600">
        <w:rPr>
          <w:rFonts w:cstheme="minorHAnsi"/>
          <w:lang w:val="fr-FR"/>
        </w:rPr>
        <w:t xml:space="preserve">; </w:t>
      </w:r>
    </w:p>
    <w:p w:rsidR="0031116C" w:rsidRPr="00AB2600" w:rsidRDefault="0031116C" w:rsidP="008A48CE">
      <w:pPr>
        <w:spacing w:after="0" w:line="240" w:lineRule="auto"/>
        <w:ind w:left="851" w:hanging="425"/>
        <w:rPr>
          <w:rFonts w:cstheme="minorHAnsi"/>
          <w:lang w:val="fr-FR"/>
        </w:rPr>
      </w:pPr>
    </w:p>
    <w:p w:rsidR="00401270" w:rsidRPr="00AB2600" w:rsidRDefault="00401270" w:rsidP="008A48CE">
      <w:pPr>
        <w:spacing w:after="0" w:line="240" w:lineRule="auto"/>
        <w:ind w:left="851" w:hanging="425"/>
        <w:rPr>
          <w:rFonts w:cstheme="minorHAnsi"/>
          <w:lang w:val="fr-FR"/>
        </w:rPr>
      </w:pPr>
      <w:r w:rsidRPr="00AB2600">
        <w:rPr>
          <w:rFonts w:cstheme="minorHAnsi"/>
          <w:lang w:val="fr-FR"/>
        </w:rPr>
        <w:t>b.</w:t>
      </w:r>
      <w:r w:rsidRPr="00AB2600">
        <w:rPr>
          <w:rFonts w:cstheme="minorHAnsi"/>
          <w:lang w:val="fr-FR"/>
        </w:rPr>
        <w:tab/>
      </w:r>
      <w:r w:rsidR="00B02ABC" w:rsidRPr="00AB2600">
        <w:rPr>
          <w:rStyle w:val="markedcontent"/>
          <w:rFonts w:cstheme="minorHAnsi"/>
          <w:lang w:val="fr-FR"/>
        </w:rPr>
        <w:t>analyse des différentes options, et d’autres options qui n’ont peut-être pas été examinées, y compris la contribution de la Conseillère juridique et celles qui ont été reçues des Parties contractantes durant la réunion</w:t>
      </w:r>
      <w:r w:rsidRPr="00AB2600">
        <w:rPr>
          <w:rFonts w:cstheme="minorHAnsi"/>
          <w:lang w:val="fr-FR"/>
        </w:rPr>
        <w:t>;</w:t>
      </w:r>
    </w:p>
    <w:p w:rsidR="00D15AFB" w:rsidRPr="00AB2600" w:rsidRDefault="00D15AFB" w:rsidP="008A48CE">
      <w:pPr>
        <w:spacing w:after="0" w:line="240" w:lineRule="auto"/>
        <w:ind w:left="851" w:hanging="425"/>
        <w:rPr>
          <w:rFonts w:cstheme="minorHAnsi"/>
          <w:lang w:val="fr-FR"/>
        </w:rPr>
      </w:pPr>
    </w:p>
    <w:p w:rsidR="007916F1" w:rsidRPr="00AB2600" w:rsidRDefault="00401270" w:rsidP="008A48CE">
      <w:pPr>
        <w:tabs>
          <w:tab w:val="left" w:pos="709"/>
        </w:tabs>
        <w:spacing w:after="0" w:line="240" w:lineRule="auto"/>
        <w:ind w:left="851" w:hanging="425"/>
        <w:rPr>
          <w:rFonts w:cstheme="minorHAnsi"/>
          <w:lang w:val="fr-FR"/>
        </w:rPr>
      </w:pPr>
      <w:r w:rsidRPr="00AB2600">
        <w:rPr>
          <w:rFonts w:cstheme="minorHAnsi"/>
          <w:lang w:val="fr-FR"/>
        </w:rPr>
        <w:lastRenderedPageBreak/>
        <w:t>c.</w:t>
      </w:r>
      <w:r w:rsidRPr="00AB2600">
        <w:rPr>
          <w:rFonts w:cstheme="minorHAnsi"/>
          <w:lang w:val="fr-FR"/>
        </w:rPr>
        <w:tab/>
      </w:r>
      <w:r w:rsidR="00E45434" w:rsidRPr="00AB2600">
        <w:rPr>
          <w:rFonts w:cstheme="minorHAnsi"/>
          <w:lang w:val="fr-FR"/>
        </w:rPr>
        <w:tab/>
      </w:r>
      <w:r w:rsidR="00B02ABC" w:rsidRPr="00AB2600">
        <w:rPr>
          <w:rStyle w:val="markedcontent"/>
          <w:rFonts w:cstheme="minorHAnsi"/>
          <w:lang w:val="fr-FR"/>
        </w:rPr>
        <w:t>attribution de fonds de l’excédent pour l’analyse indépendante à présenter à la 58</w:t>
      </w:r>
      <w:r w:rsidR="00B02ABC" w:rsidRPr="00AB2600">
        <w:rPr>
          <w:rStyle w:val="markedcontent"/>
          <w:rFonts w:cstheme="minorHAnsi"/>
          <w:vertAlign w:val="superscript"/>
          <w:lang w:val="fr-FR"/>
        </w:rPr>
        <w:t>e</w:t>
      </w:r>
      <w:r w:rsidR="00EF1111">
        <w:rPr>
          <w:rStyle w:val="markedcontent"/>
          <w:rFonts w:cstheme="minorHAnsi"/>
          <w:lang w:val="fr-FR"/>
        </w:rPr>
        <w:t> </w:t>
      </w:r>
      <w:r w:rsidR="00B02ABC" w:rsidRPr="00AB2600">
        <w:rPr>
          <w:rStyle w:val="markedcontent"/>
          <w:rFonts w:cstheme="minorHAnsi"/>
          <w:lang w:val="fr-FR"/>
        </w:rPr>
        <w:t>Réunion du Comité permanent</w:t>
      </w:r>
      <w:r w:rsidR="002805FE" w:rsidRPr="00AB2600">
        <w:rPr>
          <w:rFonts w:cstheme="minorHAnsi"/>
          <w:lang w:val="fr-FR"/>
        </w:rPr>
        <w:t>.</w:t>
      </w:r>
      <w:r w:rsidR="002805FE" w:rsidRPr="00AB2600">
        <w:rPr>
          <w:rStyle w:val="FootnoteReference"/>
          <w:rFonts w:cstheme="minorHAnsi"/>
          <w:lang w:val="fr-FR"/>
        </w:rPr>
        <w:footnoteReference w:id="1"/>
      </w:r>
    </w:p>
    <w:p w:rsidR="007916F1" w:rsidRPr="00AB2600" w:rsidRDefault="007916F1" w:rsidP="008A48CE">
      <w:pPr>
        <w:tabs>
          <w:tab w:val="left" w:pos="426"/>
        </w:tabs>
        <w:spacing w:after="0" w:line="240" w:lineRule="auto"/>
        <w:ind w:left="567" w:hanging="567"/>
        <w:rPr>
          <w:rFonts w:cstheme="minorHAnsi"/>
          <w:lang w:val="fr-FR"/>
        </w:rPr>
      </w:pPr>
    </w:p>
    <w:p w:rsidR="00982AE6" w:rsidRPr="00AB2600" w:rsidRDefault="00B02ABC" w:rsidP="008A48CE">
      <w:pPr>
        <w:spacing w:after="0" w:line="240" w:lineRule="auto"/>
        <w:ind w:left="284" w:hanging="284"/>
        <w:rPr>
          <w:rFonts w:cstheme="minorHAnsi"/>
          <w:b/>
          <w:lang w:val="fr-FR"/>
        </w:rPr>
      </w:pPr>
      <w:r w:rsidRPr="00AB2600">
        <w:rPr>
          <w:rFonts w:cstheme="minorHAnsi"/>
          <w:b/>
          <w:lang w:val="fr-FR"/>
        </w:rPr>
        <w:t xml:space="preserve">Résumé du processus mis en place par le groupe de travail sur l’analyse juridique </w:t>
      </w:r>
    </w:p>
    <w:p w:rsidR="007D79AF" w:rsidRPr="00AB2600" w:rsidRDefault="007D79AF" w:rsidP="008A48CE">
      <w:pPr>
        <w:spacing w:after="0" w:line="240" w:lineRule="auto"/>
        <w:ind w:left="284" w:hanging="284"/>
        <w:rPr>
          <w:rFonts w:cstheme="minorHAnsi"/>
          <w:b/>
          <w:lang w:val="fr-FR"/>
        </w:rPr>
      </w:pPr>
    </w:p>
    <w:p w:rsidR="00B02ABC" w:rsidRPr="00AB2600" w:rsidRDefault="00B02ABC" w:rsidP="008A48CE">
      <w:pPr>
        <w:pStyle w:val="ListParagraph"/>
        <w:numPr>
          <w:ilvl w:val="0"/>
          <w:numId w:val="7"/>
        </w:numPr>
        <w:ind w:left="426" w:hanging="426"/>
        <w:jc w:val="left"/>
        <w:rPr>
          <w:rFonts w:asciiTheme="minorHAnsi" w:hAnsiTheme="minorHAnsi" w:cstheme="minorHAnsi"/>
          <w:lang w:val="fr-FR"/>
        </w:rPr>
      </w:pPr>
      <w:r w:rsidRPr="00AB2600">
        <w:rPr>
          <w:rFonts w:asciiTheme="minorHAnsi" w:hAnsiTheme="minorHAnsi" w:cstheme="minorHAnsi"/>
          <w:lang w:val="fr-FR"/>
        </w:rPr>
        <w:t xml:space="preserve">Au cours des années </w:t>
      </w:r>
      <w:r w:rsidR="009076D7" w:rsidRPr="00AB2600">
        <w:rPr>
          <w:rFonts w:asciiTheme="minorHAnsi" w:hAnsiTheme="minorHAnsi" w:cstheme="minorHAnsi"/>
          <w:lang w:val="fr-FR"/>
        </w:rPr>
        <w:t>20</w:t>
      </w:r>
      <w:r w:rsidR="002805FE" w:rsidRPr="00AB2600">
        <w:rPr>
          <w:rFonts w:asciiTheme="minorHAnsi" w:hAnsiTheme="minorHAnsi" w:cstheme="minorHAnsi"/>
          <w:lang w:val="fr-FR"/>
        </w:rPr>
        <w:t>20</w:t>
      </w:r>
      <w:r w:rsidRPr="00AB2600">
        <w:rPr>
          <w:rFonts w:asciiTheme="minorHAnsi" w:hAnsiTheme="minorHAnsi" w:cstheme="minorHAnsi"/>
          <w:lang w:val="fr-FR"/>
        </w:rPr>
        <w:t xml:space="preserve"> et</w:t>
      </w:r>
      <w:r w:rsidR="00356A11" w:rsidRPr="00AB2600">
        <w:rPr>
          <w:rFonts w:asciiTheme="minorHAnsi" w:hAnsiTheme="minorHAnsi" w:cstheme="minorHAnsi"/>
          <w:lang w:val="fr-FR"/>
        </w:rPr>
        <w:t xml:space="preserve"> 2021</w:t>
      </w:r>
      <w:r w:rsidRPr="00AB2600">
        <w:rPr>
          <w:rFonts w:asciiTheme="minorHAnsi" w:hAnsiTheme="minorHAnsi" w:cstheme="minorHAnsi"/>
          <w:lang w:val="fr-FR"/>
        </w:rPr>
        <w:t xml:space="preserve">, le groupe de travail a organisé quatre </w:t>
      </w:r>
      <w:r w:rsidR="00AB2600" w:rsidRPr="00AB2600">
        <w:rPr>
          <w:rFonts w:asciiTheme="minorHAnsi" w:hAnsiTheme="minorHAnsi" w:cstheme="minorHAnsi"/>
          <w:lang w:val="fr-FR"/>
        </w:rPr>
        <w:t>téléconférences</w:t>
      </w:r>
      <w:r w:rsidRPr="00AB2600">
        <w:rPr>
          <w:rFonts w:asciiTheme="minorHAnsi" w:hAnsiTheme="minorHAnsi" w:cstheme="minorHAnsi"/>
          <w:lang w:val="fr-FR"/>
        </w:rPr>
        <w:t xml:space="preserve"> et préparé son plan de travail dans le cadre du mandat du Comité permanent.</w:t>
      </w:r>
    </w:p>
    <w:p w:rsidR="00ED13E3" w:rsidRPr="00AB2600" w:rsidRDefault="00ED13E3" w:rsidP="008A48CE">
      <w:pPr>
        <w:spacing w:after="0" w:line="240" w:lineRule="auto"/>
        <w:ind w:left="426" w:hanging="426"/>
        <w:rPr>
          <w:rFonts w:cstheme="minorHAnsi"/>
          <w:lang w:val="fr-FR"/>
        </w:rPr>
      </w:pPr>
    </w:p>
    <w:p w:rsidR="00B02ABC" w:rsidRPr="00AB2600" w:rsidRDefault="005A2742" w:rsidP="008A48CE">
      <w:pPr>
        <w:pStyle w:val="wordsection1"/>
        <w:numPr>
          <w:ilvl w:val="0"/>
          <w:numId w:val="7"/>
        </w:numPr>
        <w:spacing w:before="0" w:beforeAutospacing="0" w:after="0" w:afterAutospacing="0"/>
        <w:ind w:left="426" w:hanging="426"/>
        <w:rPr>
          <w:rFonts w:asciiTheme="minorHAnsi" w:hAnsiTheme="minorHAnsi" w:cstheme="minorHAnsi"/>
          <w:sz w:val="22"/>
          <w:szCs w:val="22"/>
          <w:lang w:val="fr-FR"/>
        </w:rPr>
      </w:pPr>
      <w:r w:rsidRPr="00AB2600">
        <w:rPr>
          <w:rFonts w:asciiTheme="minorHAnsi" w:hAnsiTheme="minorHAnsi" w:cstheme="minorHAnsi"/>
          <w:sz w:val="22"/>
          <w:szCs w:val="22"/>
          <w:lang w:val="fr-FR"/>
        </w:rPr>
        <w:t>Le G</w:t>
      </w:r>
      <w:r w:rsidR="00B02ABC" w:rsidRPr="00AB2600">
        <w:rPr>
          <w:rFonts w:asciiTheme="minorHAnsi" w:hAnsiTheme="minorHAnsi" w:cstheme="minorHAnsi"/>
          <w:sz w:val="22"/>
          <w:szCs w:val="22"/>
          <w:lang w:val="fr-FR"/>
        </w:rPr>
        <w:t xml:space="preserve">roupe de travail a convenu d’une feuille de route incluant l’élaboration d’une analyse juridique </w:t>
      </w:r>
      <w:r w:rsidR="00290741" w:rsidRPr="00AB2600">
        <w:rPr>
          <w:rFonts w:asciiTheme="minorHAnsi" w:hAnsiTheme="minorHAnsi" w:cstheme="minorHAnsi"/>
          <w:sz w:val="22"/>
          <w:szCs w:val="22"/>
          <w:lang w:val="fr-FR"/>
        </w:rPr>
        <w:t xml:space="preserve">dans le cadre de son mandat lui enjoignant d’examiner les différentes options et options </w:t>
      </w:r>
      <w:r w:rsidR="00013C98">
        <w:rPr>
          <w:rFonts w:asciiTheme="minorHAnsi" w:hAnsiTheme="minorHAnsi" w:cstheme="minorHAnsi"/>
          <w:sz w:val="22"/>
          <w:szCs w:val="22"/>
          <w:lang w:val="fr-FR"/>
        </w:rPr>
        <w:t xml:space="preserve">supplémentaires </w:t>
      </w:r>
      <w:r w:rsidR="00290741" w:rsidRPr="00AB2600">
        <w:rPr>
          <w:rFonts w:asciiTheme="minorHAnsi" w:hAnsiTheme="minorHAnsi" w:cstheme="minorHAnsi"/>
          <w:sz w:val="22"/>
          <w:szCs w:val="22"/>
          <w:lang w:val="fr-FR"/>
        </w:rPr>
        <w:t xml:space="preserve">non encore explorées qui permettraient de </w:t>
      </w:r>
      <w:r w:rsidR="00EF1111">
        <w:rPr>
          <w:rFonts w:asciiTheme="minorHAnsi" w:hAnsiTheme="minorHAnsi" w:cstheme="minorHAnsi"/>
          <w:sz w:val="22"/>
          <w:szCs w:val="22"/>
          <w:lang w:val="fr-FR"/>
        </w:rPr>
        <w:t>résoudre</w:t>
      </w:r>
      <w:r w:rsidR="00290741" w:rsidRPr="00AB2600">
        <w:rPr>
          <w:rFonts w:asciiTheme="minorHAnsi" w:hAnsiTheme="minorHAnsi" w:cstheme="minorHAnsi"/>
          <w:sz w:val="22"/>
          <w:szCs w:val="22"/>
          <w:lang w:val="fr-FR"/>
        </w:rPr>
        <w:t xml:space="preserve"> </w:t>
      </w:r>
      <w:r w:rsidR="00EF1111" w:rsidRPr="00AB2600">
        <w:rPr>
          <w:rFonts w:asciiTheme="minorHAnsi" w:hAnsiTheme="minorHAnsi" w:cstheme="minorHAnsi"/>
          <w:sz w:val="22"/>
          <w:szCs w:val="22"/>
          <w:lang w:val="fr-FR"/>
        </w:rPr>
        <w:t xml:space="preserve">au mieux </w:t>
      </w:r>
      <w:r w:rsidR="00EF1111">
        <w:rPr>
          <w:rFonts w:asciiTheme="minorHAnsi" w:hAnsiTheme="minorHAnsi" w:cstheme="minorHAnsi"/>
          <w:sz w:val="22"/>
          <w:szCs w:val="22"/>
          <w:lang w:val="fr-FR"/>
        </w:rPr>
        <w:t>la question du</w:t>
      </w:r>
      <w:r w:rsidR="00290741" w:rsidRPr="00AB2600">
        <w:rPr>
          <w:rFonts w:asciiTheme="minorHAnsi" w:hAnsiTheme="minorHAnsi" w:cstheme="minorHAnsi"/>
          <w:sz w:val="22"/>
          <w:szCs w:val="22"/>
          <w:lang w:val="fr-FR"/>
        </w:rPr>
        <w:t xml:space="preserve"> statut juridique du Secrétariat, de sa participation aux forums internationaux et des priorités en matière de visibilité.</w:t>
      </w:r>
    </w:p>
    <w:p w:rsidR="00ED13E3" w:rsidRPr="00AB2600" w:rsidRDefault="00ED13E3" w:rsidP="008A48CE">
      <w:pPr>
        <w:pStyle w:val="wordsection1"/>
        <w:spacing w:before="0" w:beforeAutospacing="0" w:after="0" w:afterAutospacing="0"/>
        <w:ind w:left="426" w:hanging="426"/>
        <w:rPr>
          <w:rFonts w:asciiTheme="minorHAnsi" w:hAnsiTheme="minorHAnsi" w:cstheme="minorHAnsi"/>
          <w:sz w:val="22"/>
          <w:szCs w:val="22"/>
          <w:lang w:val="fr-FR" w:eastAsia="en-US"/>
        </w:rPr>
      </w:pPr>
    </w:p>
    <w:p w:rsidR="005A2742" w:rsidRPr="00AB2600" w:rsidRDefault="00290741" w:rsidP="008A48CE">
      <w:pPr>
        <w:pStyle w:val="ListParagraph"/>
        <w:numPr>
          <w:ilvl w:val="0"/>
          <w:numId w:val="7"/>
        </w:numPr>
        <w:ind w:left="426" w:hanging="426"/>
        <w:jc w:val="left"/>
        <w:rPr>
          <w:rFonts w:asciiTheme="minorHAnsi" w:hAnsiTheme="minorHAnsi" w:cstheme="minorHAnsi"/>
          <w:lang w:val="fr-FR"/>
        </w:rPr>
      </w:pPr>
      <w:r w:rsidRPr="00AB2600">
        <w:rPr>
          <w:rFonts w:asciiTheme="minorHAnsi" w:hAnsiTheme="minorHAnsi" w:cstheme="minorHAnsi"/>
          <w:lang w:val="fr-FR"/>
        </w:rPr>
        <w:t xml:space="preserve">Le cahier des charges </w:t>
      </w:r>
      <w:r w:rsidR="005A2742" w:rsidRPr="00AB2600">
        <w:rPr>
          <w:rFonts w:asciiTheme="minorHAnsi" w:hAnsiTheme="minorHAnsi" w:cstheme="minorHAnsi"/>
          <w:lang w:val="fr-FR"/>
        </w:rPr>
        <w:t xml:space="preserve">pour la consultation approuvée par le Groupe de travail concernant l’analyse indépendante </w:t>
      </w:r>
      <w:r w:rsidR="003D5C77">
        <w:rPr>
          <w:rFonts w:asciiTheme="minorHAnsi" w:hAnsiTheme="minorHAnsi" w:cstheme="minorHAnsi"/>
          <w:lang w:val="fr-FR"/>
        </w:rPr>
        <w:t>du</w:t>
      </w:r>
      <w:r w:rsidR="005A2742" w:rsidRPr="00AB2600">
        <w:rPr>
          <w:rFonts w:asciiTheme="minorHAnsi" w:hAnsiTheme="minorHAnsi" w:cstheme="minorHAnsi"/>
          <w:lang w:val="fr-FR"/>
        </w:rPr>
        <w:t xml:space="preserve"> statut juridique du Secrétariat </w:t>
      </w:r>
      <w:r w:rsidR="00CE10F6" w:rsidRPr="00AB2600">
        <w:rPr>
          <w:rFonts w:asciiTheme="minorHAnsi" w:hAnsiTheme="minorHAnsi" w:cstheme="minorHAnsi"/>
          <w:lang w:val="fr-FR"/>
        </w:rPr>
        <w:t>comprenait les points suivants :</w:t>
      </w:r>
    </w:p>
    <w:p w:rsidR="000507AC" w:rsidRPr="00AB2600" w:rsidRDefault="000507AC" w:rsidP="008A48CE">
      <w:pPr>
        <w:spacing w:after="0" w:line="240" w:lineRule="auto"/>
        <w:rPr>
          <w:rFonts w:cstheme="minorHAnsi"/>
          <w:lang w:val="fr-FR"/>
        </w:rPr>
      </w:pPr>
    </w:p>
    <w:p w:rsidR="009C5D04" w:rsidRPr="00AB2600" w:rsidRDefault="009C5D04" w:rsidP="008A48CE">
      <w:pPr>
        <w:pStyle w:val="ListParagraph"/>
        <w:numPr>
          <w:ilvl w:val="0"/>
          <w:numId w:val="13"/>
        </w:numPr>
        <w:ind w:left="851" w:hanging="425"/>
        <w:contextualSpacing w:val="0"/>
        <w:jc w:val="left"/>
        <w:rPr>
          <w:rFonts w:asciiTheme="minorHAnsi" w:hAnsiTheme="minorHAnsi" w:cstheme="minorHAnsi"/>
          <w:lang w:val="fr-FR"/>
        </w:rPr>
      </w:pPr>
      <w:r w:rsidRPr="00AB2600">
        <w:rPr>
          <w:rFonts w:asciiTheme="minorHAnsi" w:hAnsiTheme="minorHAnsi" w:cstheme="minorHAnsi"/>
          <w:lang w:val="fr-FR"/>
        </w:rPr>
        <w:t>Analys</w:t>
      </w:r>
      <w:r w:rsidR="00CE10F6" w:rsidRPr="00AB2600">
        <w:rPr>
          <w:rFonts w:asciiTheme="minorHAnsi" w:hAnsiTheme="minorHAnsi" w:cstheme="minorHAnsi"/>
          <w:lang w:val="fr-FR"/>
        </w:rPr>
        <w:t>er l</w:t>
      </w:r>
      <w:r w:rsidR="00013C98">
        <w:rPr>
          <w:rFonts w:asciiTheme="minorHAnsi" w:hAnsiTheme="minorHAnsi" w:cstheme="minorHAnsi"/>
          <w:lang w:val="fr-FR"/>
        </w:rPr>
        <w:t>es différentes options retenu</w:t>
      </w:r>
      <w:r w:rsidR="00CE10F6" w:rsidRPr="00AB2600">
        <w:rPr>
          <w:rFonts w:asciiTheme="minorHAnsi" w:hAnsiTheme="minorHAnsi" w:cstheme="minorHAnsi"/>
          <w:lang w:val="fr-FR"/>
        </w:rPr>
        <w:t>es pa</w:t>
      </w:r>
      <w:r w:rsidR="00013C98">
        <w:rPr>
          <w:rFonts w:asciiTheme="minorHAnsi" w:hAnsiTheme="minorHAnsi" w:cstheme="minorHAnsi"/>
          <w:lang w:val="fr-FR"/>
        </w:rPr>
        <w:t>r le Groupe de travail, et examiner</w:t>
      </w:r>
      <w:r w:rsidR="00CE10F6" w:rsidRPr="00AB2600">
        <w:rPr>
          <w:rFonts w:asciiTheme="minorHAnsi" w:hAnsiTheme="minorHAnsi" w:cstheme="minorHAnsi"/>
          <w:lang w:val="fr-FR"/>
        </w:rPr>
        <w:t xml:space="preserve"> et m</w:t>
      </w:r>
      <w:r w:rsidR="00013C98">
        <w:rPr>
          <w:rFonts w:asciiTheme="minorHAnsi" w:hAnsiTheme="minorHAnsi" w:cstheme="minorHAnsi"/>
          <w:lang w:val="fr-FR"/>
        </w:rPr>
        <w:t>ettre</w:t>
      </w:r>
      <w:r w:rsidR="00CE10F6" w:rsidRPr="00AB2600">
        <w:rPr>
          <w:rFonts w:asciiTheme="minorHAnsi" w:hAnsiTheme="minorHAnsi" w:cstheme="minorHAnsi"/>
          <w:lang w:val="fr-FR"/>
        </w:rPr>
        <w:t xml:space="preserve"> à jo</w:t>
      </w:r>
      <w:r w:rsidR="00013C98">
        <w:rPr>
          <w:rFonts w:asciiTheme="minorHAnsi" w:hAnsiTheme="minorHAnsi" w:cstheme="minorHAnsi"/>
          <w:lang w:val="fr-FR"/>
        </w:rPr>
        <w:t xml:space="preserve">ur les documents </w:t>
      </w:r>
      <w:r w:rsidR="00CE10F6" w:rsidRPr="00AB2600">
        <w:rPr>
          <w:rFonts w:asciiTheme="minorHAnsi" w:hAnsiTheme="minorHAnsi" w:cstheme="minorHAnsi"/>
          <w:lang w:val="fr-FR"/>
        </w:rPr>
        <w:t xml:space="preserve">existants </w:t>
      </w:r>
      <w:r w:rsidR="00013C98">
        <w:rPr>
          <w:rFonts w:asciiTheme="minorHAnsi" w:hAnsiTheme="minorHAnsi" w:cstheme="minorHAnsi"/>
          <w:lang w:val="fr-FR"/>
        </w:rPr>
        <w:t xml:space="preserve">pertinents </w:t>
      </w:r>
      <w:r w:rsidR="00CE10F6" w:rsidRPr="00AB2600">
        <w:rPr>
          <w:rFonts w:asciiTheme="minorHAnsi" w:hAnsiTheme="minorHAnsi" w:cstheme="minorHAnsi"/>
          <w:lang w:val="fr-FR"/>
        </w:rPr>
        <w:t xml:space="preserve">(par ex. </w:t>
      </w:r>
      <w:r w:rsidRPr="00AB2600">
        <w:rPr>
          <w:rFonts w:asciiTheme="minorHAnsi" w:hAnsiTheme="minorHAnsi" w:cstheme="minorHAnsi"/>
          <w:lang w:val="fr-FR"/>
        </w:rPr>
        <w:t>Doc COP10-35).</w:t>
      </w:r>
    </w:p>
    <w:p w:rsidR="000507AC" w:rsidRPr="00AB2600" w:rsidRDefault="000507AC" w:rsidP="008A48CE">
      <w:pPr>
        <w:spacing w:after="0" w:line="240" w:lineRule="auto"/>
        <w:ind w:left="851" w:hanging="425"/>
        <w:rPr>
          <w:rFonts w:cstheme="minorHAnsi"/>
          <w:lang w:val="fr-FR"/>
        </w:rPr>
      </w:pPr>
    </w:p>
    <w:p w:rsidR="009C5D04" w:rsidRPr="00AB2600" w:rsidRDefault="00013C98" w:rsidP="008A48CE">
      <w:pPr>
        <w:pStyle w:val="ListParagraph"/>
        <w:numPr>
          <w:ilvl w:val="0"/>
          <w:numId w:val="13"/>
        </w:numPr>
        <w:tabs>
          <w:tab w:val="left" w:pos="567"/>
        </w:tabs>
        <w:ind w:left="851" w:hanging="425"/>
        <w:contextualSpacing w:val="0"/>
        <w:jc w:val="left"/>
        <w:rPr>
          <w:rFonts w:asciiTheme="minorHAnsi" w:hAnsiTheme="minorHAnsi" w:cstheme="minorHAnsi"/>
          <w:lang w:val="fr-FR"/>
        </w:rPr>
      </w:pPr>
      <w:r>
        <w:rPr>
          <w:rFonts w:asciiTheme="minorHAnsi" w:hAnsiTheme="minorHAnsi" w:cstheme="minorHAnsi"/>
          <w:lang w:val="fr-FR"/>
        </w:rPr>
        <w:t>Étudier d’autres exemples de secrétariats d’</w:t>
      </w:r>
      <w:r w:rsidR="00D158DE" w:rsidRPr="00AB2600">
        <w:rPr>
          <w:rFonts w:asciiTheme="minorHAnsi" w:hAnsiTheme="minorHAnsi" w:cstheme="minorHAnsi"/>
          <w:lang w:val="fr-FR"/>
        </w:rPr>
        <w:t>Accords multilatéraux pour l’environnement (</w:t>
      </w:r>
      <w:r w:rsidR="00CE10F6" w:rsidRPr="00AB2600">
        <w:rPr>
          <w:rFonts w:asciiTheme="minorHAnsi" w:hAnsiTheme="minorHAnsi" w:cstheme="minorHAnsi"/>
          <w:lang w:val="fr-FR"/>
        </w:rPr>
        <w:t>AME</w:t>
      </w:r>
      <w:r w:rsidR="00D158DE" w:rsidRPr="00AB2600">
        <w:rPr>
          <w:rFonts w:asciiTheme="minorHAnsi" w:hAnsiTheme="minorHAnsi" w:cstheme="minorHAnsi"/>
          <w:lang w:val="fr-FR"/>
        </w:rPr>
        <w:t>)</w:t>
      </w:r>
      <w:r w:rsidR="00CE10F6" w:rsidRPr="00AB2600">
        <w:rPr>
          <w:rFonts w:asciiTheme="minorHAnsi" w:hAnsiTheme="minorHAnsi" w:cstheme="minorHAnsi"/>
          <w:lang w:val="fr-FR"/>
        </w:rPr>
        <w:t>, y compris les options possible</w:t>
      </w:r>
      <w:r>
        <w:rPr>
          <w:rFonts w:asciiTheme="minorHAnsi" w:hAnsiTheme="minorHAnsi" w:cstheme="minorHAnsi"/>
          <w:lang w:val="fr-FR"/>
        </w:rPr>
        <w:t>s</w:t>
      </w:r>
      <w:r w:rsidR="00CE10F6" w:rsidRPr="00AB2600">
        <w:rPr>
          <w:rFonts w:asciiTheme="minorHAnsi" w:hAnsiTheme="minorHAnsi" w:cstheme="minorHAnsi"/>
          <w:lang w:val="fr-FR"/>
        </w:rPr>
        <w:t xml:space="preserve"> </w:t>
      </w:r>
      <w:r>
        <w:rPr>
          <w:rFonts w:asciiTheme="minorHAnsi" w:hAnsiTheme="minorHAnsi" w:cstheme="minorHAnsi"/>
          <w:lang w:val="fr-FR"/>
        </w:rPr>
        <w:t>telles</w:t>
      </w:r>
      <w:r w:rsidR="00CE10F6" w:rsidRPr="00AB2600">
        <w:rPr>
          <w:rFonts w:asciiTheme="minorHAnsi" w:hAnsiTheme="minorHAnsi" w:cstheme="minorHAnsi"/>
          <w:lang w:val="fr-FR"/>
        </w:rPr>
        <w:t xml:space="preserve"> les organisations indépendantes (par ex., la </w:t>
      </w:r>
      <w:r w:rsidR="00A501D6" w:rsidRPr="00AB2600">
        <w:rPr>
          <w:rFonts w:asciiTheme="minorHAnsi" w:hAnsiTheme="minorHAnsi" w:cstheme="minorHAnsi"/>
          <w:lang w:val="fr-FR"/>
        </w:rPr>
        <w:t>Commission</w:t>
      </w:r>
      <w:r w:rsidR="00CE10F6" w:rsidRPr="00AB2600">
        <w:rPr>
          <w:rFonts w:asciiTheme="minorHAnsi" w:hAnsiTheme="minorHAnsi" w:cstheme="minorHAnsi"/>
          <w:lang w:val="fr-FR"/>
        </w:rPr>
        <w:t xml:space="preserve"> baleinière </w:t>
      </w:r>
      <w:r w:rsidR="00A501D6" w:rsidRPr="00AB2600">
        <w:rPr>
          <w:rFonts w:asciiTheme="minorHAnsi" w:hAnsiTheme="minorHAnsi" w:cstheme="minorHAnsi"/>
          <w:lang w:val="fr-FR"/>
        </w:rPr>
        <w:t xml:space="preserve">internationale). </w:t>
      </w:r>
    </w:p>
    <w:p w:rsidR="00593969" w:rsidRPr="00AB2600" w:rsidRDefault="00593969" w:rsidP="008A48CE">
      <w:pPr>
        <w:tabs>
          <w:tab w:val="left" w:pos="567"/>
        </w:tabs>
        <w:spacing w:after="0" w:line="240" w:lineRule="auto"/>
        <w:ind w:left="851" w:hanging="425"/>
        <w:rPr>
          <w:rFonts w:cstheme="minorHAnsi"/>
          <w:lang w:val="fr-FR"/>
        </w:rPr>
      </w:pPr>
    </w:p>
    <w:p w:rsidR="00A501D6" w:rsidRPr="00AB2600" w:rsidRDefault="00A501D6" w:rsidP="008A48CE">
      <w:pPr>
        <w:pStyle w:val="ListParagraph"/>
        <w:numPr>
          <w:ilvl w:val="0"/>
          <w:numId w:val="13"/>
        </w:numPr>
        <w:ind w:left="851" w:hanging="425"/>
        <w:contextualSpacing w:val="0"/>
        <w:jc w:val="left"/>
        <w:rPr>
          <w:rFonts w:asciiTheme="minorHAnsi" w:hAnsiTheme="minorHAnsi" w:cstheme="minorHAnsi"/>
          <w:lang w:val="fr-FR"/>
        </w:rPr>
      </w:pPr>
      <w:r w:rsidRPr="00AB2600">
        <w:rPr>
          <w:rFonts w:asciiTheme="minorHAnsi" w:hAnsiTheme="minorHAnsi" w:cstheme="minorHAnsi"/>
          <w:lang w:val="fr-FR"/>
        </w:rPr>
        <w:t>Pour chacune des options, examiner les moyens de sa mise en œuvre, y compris les répercussions juridiques telles qu’une modification du traité.</w:t>
      </w:r>
    </w:p>
    <w:p w:rsidR="00B921ED" w:rsidRPr="00AB2600" w:rsidRDefault="00B921ED" w:rsidP="008A48CE">
      <w:pPr>
        <w:pStyle w:val="Default"/>
        <w:rPr>
          <w:rFonts w:asciiTheme="minorHAnsi" w:hAnsiTheme="minorHAnsi" w:cstheme="minorHAnsi"/>
          <w:sz w:val="22"/>
          <w:szCs w:val="22"/>
          <w:lang w:val="fr-FR"/>
        </w:rPr>
      </w:pPr>
    </w:p>
    <w:p w:rsidR="00A501D6" w:rsidRPr="00AB2600" w:rsidRDefault="00A501D6" w:rsidP="008A48CE">
      <w:pPr>
        <w:pStyle w:val="Default"/>
        <w:numPr>
          <w:ilvl w:val="0"/>
          <w:numId w:val="7"/>
        </w:numPr>
        <w:ind w:left="426" w:hanging="426"/>
        <w:rPr>
          <w:rFonts w:asciiTheme="minorHAnsi" w:hAnsiTheme="minorHAnsi" w:cstheme="minorHAnsi"/>
          <w:sz w:val="22"/>
          <w:szCs w:val="22"/>
          <w:lang w:val="fr-FR"/>
        </w:rPr>
      </w:pPr>
      <w:r w:rsidRPr="00AB2600">
        <w:rPr>
          <w:rFonts w:asciiTheme="minorHAnsi" w:hAnsiTheme="minorHAnsi" w:cstheme="minorHAnsi"/>
          <w:sz w:val="22"/>
          <w:szCs w:val="22"/>
          <w:lang w:val="fr-FR"/>
        </w:rPr>
        <w:t>Le Groupe de travail a également débattu des options suivantes</w:t>
      </w:r>
      <w:r w:rsidR="003D5C77">
        <w:rPr>
          <w:rFonts w:asciiTheme="minorHAnsi" w:hAnsiTheme="minorHAnsi" w:cstheme="minorHAnsi"/>
          <w:sz w:val="22"/>
          <w:szCs w:val="22"/>
          <w:lang w:val="fr-FR"/>
        </w:rPr>
        <w:t xml:space="preserve"> incluses</w:t>
      </w:r>
      <w:r w:rsidRPr="00AB2600">
        <w:rPr>
          <w:rFonts w:asciiTheme="minorHAnsi" w:hAnsiTheme="minorHAnsi" w:cstheme="minorHAnsi"/>
          <w:sz w:val="22"/>
          <w:szCs w:val="22"/>
          <w:lang w:val="fr-FR"/>
        </w:rPr>
        <w:t xml:space="preserve"> dans </w:t>
      </w:r>
      <w:r w:rsidR="00013C98">
        <w:rPr>
          <w:rFonts w:asciiTheme="minorHAnsi" w:hAnsiTheme="minorHAnsi" w:cstheme="minorHAnsi"/>
          <w:sz w:val="22"/>
          <w:szCs w:val="22"/>
          <w:lang w:val="fr-FR"/>
        </w:rPr>
        <w:t>son</w:t>
      </w:r>
      <w:r w:rsidRPr="00AB2600">
        <w:rPr>
          <w:rFonts w:asciiTheme="minorHAnsi" w:hAnsiTheme="minorHAnsi" w:cstheme="minorHAnsi"/>
          <w:sz w:val="22"/>
          <w:szCs w:val="22"/>
          <w:lang w:val="fr-FR"/>
        </w:rPr>
        <w:t xml:space="preserve"> rapport </w:t>
      </w:r>
      <w:r w:rsidR="00013C98">
        <w:rPr>
          <w:rFonts w:asciiTheme="minorHAnsi" w:hAnsiTheme="minorHAnsi" w:cstheme="minorHAnsi"/>
          <w:sz w:val="22"/>
          <w:szCs w:val="22"/>
          <w:lang w:val="fr-FR"/>
        </w:rPr>
        <w:t>à la </w:t>
      </w:r>
      <w:r w:rsidRPr="00AB2600">
        <w:rPr>
          <w:rFonts w:asciiTheme="minorHAnsi" w:hAnsiTheme="minorHAnsi" w:cstheme="minorHAnsi"/>
          <w:sz w:val="22"/>
          <w:szCs w:val="22"/>
          <w:lang w:val="fr-FR"/>
        </w:rPr>
        <w:t xml:space="preserve">SC57 : </w:t>
      </w:r>
    </w:p>
    <w:p w:rsidR="0035685A" w:rsidRPr="00AB2600" w:rsidRDefault="0035685A" w:rsidP="008A48CE">
      <w:pPr>
        <w:pStyle w:val="Default"/>
        <w:rPr>
          <w:rFonts w:asciiTheme="minorHAnsi" w:hAnsiTheme="minorHAnsi" w:cstheme="minorHAnsi"/>
          <w:sz w:val="22"/>
          <w:szCs w:val="22"/>
          <w:lang w:val="fr-FR"/>
        </w:rPr>
      </w:pPr>
    </w:p>
    <w:p w:rsidR="00A501D6" w:rsidRPr="00AB2600" w:rsidRDefault="00A501D6" w:rsidP="008A48CE">
      <w:pPr>
        <w:pStyle w:val="ListParagraph"/>
        <w:numPr>
          <w:ilvl w:val="1"/>
          <w:numId w:val="2"/>
        </w:numPr>
        <w:ind w:left="851" w:hanging="425"/>
        <w:contextualSpacing w:val="0"/>
        <w:jc w:val="left"/>
        <w:rPr>
          <w:rFonts w:asciiTheme="minorHAnsi" w:hAnsiTheme="minorHAnsi" w:cstheme="minorHAnsi"/>
          <w:lang w:val="fr-FR"/>
        </w:rPr>
      </w:pPr>
      <w:r w:rsidRPr="00AB2600">
        <w:rPr>
          <w:rStyle w:val="markedcontent"/>
          <w:rFonts w:asciiTheme="minorHAnsi" w:hAnsiTheme="minorHAnsi" w:cstheme="minorHAnsi"/>
          <w:lang w:val="fr-FR"/>
        </w:rPr>
        <w:t>Statut d’observateur auprès de l’Assemblée générale des Nations Unies</w:t>
      </w:r>
      <w:r w:rsidRPr="00AB2600">
        <w:rPr>
          <w:rFonts w:asciiTheme="minorHAnsi" w:hAnsiTheme="minorHAnsi" w:cstheme="minorHAnsi"/>
          <w:lang w:val="fr-FR"/>
        </w:rPr>
        <w:t xml:space="preserve"> (</w:t>
      </w:r>
      <w:r w:rsidRPr="00AB2600">
        <w:rPr>
          <w:rFonts w:asciiTheme="minorHAnsi" w:hAnsiTheme="minorHAnsi" w:cstheme="minorHAnsi"/>
          <w:i/>
          <w:lang w:val="fr-FR"/>
        </w:rPr>
        <w:t>document de référence : demande présentée par l’Uruguay le 11 août 2017 - coparrainé</w:t>
      </w:r>
      <w:r w:rsidR="00A41B42" w:rsidRPr="00AB2600">
        <w:rPr>
          <w:rFonts w:asciiTheme="minorHAnsi" w:hAnsiTheme="minorHAnsi" w:cstheme="minorHAnsi"/>
          <w:i/>
          <w:lang w:val="fr-FR"/>
        </w:rPr>
        <w:t>e</w:t>
      </w:r>
      <w:r w:rsidRPr="00AB2600">
        <w:rPr>
          <w:rFonts w:asciiTheme="minorHAnsi" w:hAnsiTheme="minorHAnsi" w:cstheme="minorHAnsi"/>
          <w:i/>
          <w:lang w:val="fr-FR"/>
        </w:rPr>
        <w:t xml:space="preserve"> par la Colombie</w:t>
      </w:r>
      <w:r w:rsidRPr="00AB2600">
        <w:rPr>
          <w:rFonts w:asciiTheme="minorHAnsi" w:hAnsiTheme="minorHAnsi" w:cstheme="minorHAnsi"/>
          <w:lang w:val="fr-FR"/>
        </w:rPr>
        <w:t>)</w:t>
      </w:r>
    </w:p>
    <w:p w:rsidR="004315AB" w:rsidRPr="00AB2600" w:rsidRDefault="004315AB" w:rsidP="008A48CE">
      <w:pPr>
        <w:spacing w:after="0" w:line="240" w:lineRule="auto"/>
        <w:rPr>
          <w:rFonts w:cstheme="minorHAnsi"/>
          <w:lang w:val="fr-FR"/>
        </w:rPr>
      </w:pPr>
    </w:p>
    <w:p w:rsidR="00A41B42" w:rsidRPr="00AB2600" w:rsidRDefault="00A41B42" w:rsidP="005066C2">
      <w:pPr>
        <w:pStyle w:val="ListParagraph"/>
        <w:ind w:left="426"/>
        <w:jc w:val="left"/>
        <w:rPr>
          <w:rFonts w:asciiTheme="minorHAnsi" w:hAnsiTheme="minorHAnsi" w:cstheme="minorHAnsi"/>
          <w:lang w:val="fr-FR"/>
        </w:rPr>
      </w:pPr>
      <w:r w:rsidRPr="00AB2600">
        <w:rPr>
          <w:rFonts w:asciiTheme="minorHAnsi" w:hAnsiTheme="minorHAnsi" w:cstheme="minorHAnsi"/>
          <w:lang w:val="fr-FR"/>
        </w:rPr>
        <w:t xml:space="preserve">En 2017, après consultation au sein du Comité permanent, l’Uruguay, en sa qualité de Président du Comité, a présenté un projet de résolution à l’Assemblée générale </w:t>
      </w:r>
      <w:r w:rsidR="00013C98">
        <w:rPr>
          <w:rFonts w:asciiTheme="minorHAnsi" w:hAnsiTheme="minorHAnsi" w:cstheme="minorHAnsi"/>
          <w:lang w:val="fr-FR"/>
        </w:rPr>
        <w:t>en vue de faire</w:t>
      </w:r>
      <w:r w:rsidR="003D5C77">
        <w:rPr>
          <w:rFonts w:asciiTheme="minorHAnsi" w:hAnsiTheme="minorHAnsi" w:cstheme="minorHAnsi"/>
          <w:lang w:val="fr-FR"/>
        </w:rPr>
        <w:t xml:space="preserve"> bénéficier</w:t>
      </w:r>
      <w:r w:rsidRPr="00AB2600">
        <w:rPr>
          <w:rFonts w:asciiTheme="minorHAnsi" w:hAnsiTheme="minorHAnsi" w:cstheme="minorHAnsi"/>
          <w:lang w:val="fr-FR"/>
        </w:rPr>
        <w:t xml:space="preserve"> </w:t>
      </w:r>
      <w:r w:rsidR="003D5C77" w:rsidRPr="00AB2600">
        <w:rPr>
          <w:rFonts w:asciiTheme="minorHAnsi" w:hAnsiTheme="minorHAnsi" w:cstheme="minorHAnsi"/>
          <w:lang w:val="fr-FR"/>
        </w:rPr>
        <w:t xml:space="preserve">le Secrétariat de la Convention </w:t>
      </w:r>
      <w:r w:rsidR="003D5C77">
        <w:rPr>
          <w:rFonts w:asciiTheme="minorHAnsi" w:hAnsiTheme="minorHAnsi" w:cstheme="minorHAnsi"/>
          <w:lang w:val="fr-FR"/>
        </w:rPr>
        <w:t>du statut d’observateur</w:t>
      </w:r>
      <w:r w:rsidRPr="00AB2600">
        <w:rPr>
          <w:rFonts w:asciiTheme="minorHAnsi" w:hAnsiTheme="minorHAnsi" w:cstheme="minorHAnsi"/>
          <w:lang w:val="fr-FR"/>
        </w:rPr>
        <w:t>. Ce projet de résolution a été discuté à la 72</w:t>
      </w:r>
      <w:r w:rsidRPr="00AB2600">
        <w:rPr>
          <w:rFonts w:asciiTheme="minorHAnsi" w:hAnsiTheme="minorHAnsi" w:cstheme="minorHAnsi"/>
          <w:vertAlign w:val="superscript"/>
          <w:lang w:val="fr-FR"/>
        </w:rPr>
        <w:t>e</w:t>
      </w:r>
      <w:r w:rsidRPr="00AB2600">
        <w:rPr>
          <w:rFonts w:asciiTheme="minorHAnsi" w:hAnsiTheme="minorHAnsi" w:cstheme="minorHAnsi"/>
          <w:lang w:val="fr-FR"/>
        </w:rPr>
        <w:t xml:space="preserve"> session de l’Assemblée générale et son examen a été reporté à la 73</w:t>
      </w:r>
      <w:r w:rsidRPr="00AB2600">
        <w:rPr>
          <w:rFonts w:asciiTheme="minorHAnsi" w:hAnsiTheme="minorHAnsi" w:cstheme="minorHAnsi"/>
          <w:vertAlign w:val="superscript"/>
          <w:lang w:val="fr-FR"/>
        </w:rPr>
        <w:t>e</w:t>
      </w:r>
      <w:r w:rsidRPr="00AB2600">
        <w:rPr>
          <w:rFonts w:asciiTheme="minorHAnsi" w:hAnsiTheme="minorHAnsi" w:cstheme="minorHAnsi"/>
          <w:lang w:val="fr-FR"/>
        </w:rPr>
        <w:t xml:space="preserve"> session. En l’absence de consensus, le sujet a été à nouveau reporté à la 74</w:t>
      </w:r>
      <w:r w:rsidRPr="00AB2600">
        <w:rPr>
          <w:rFonts w:asciiTheme="minorHAnsi" w:hAnsiTheme="minorHAnsi" w:cstheme="minorHAnsi"/>
          <w:vertAlign w:val="superscript"/>
          <w:lang w:val="fr-FR"/>
        </w:rPr>
        <w:t>e</w:t>
      </w:r>
      <w:r w:rsidR="003D5C77">
        <w:rPr>
          <w:rFonts w:asciiTheme="minorHAnsi" w:hAnsiTheme="minorHAnsi" w:cstheme="minorHAnsi"/>
          <w:lang w:val="fr-FR"/>
        </w:rPr>
        <w:t xml:space="preserve"> puis</w:t>
      </w:r>
      <w:r w:rsidRPr="00AB2600">
        <w:rPr>
          <w:rFonts w:asciiTheme="minorHAnsi" w:hAnsiTheme="minorHAnsi" w:cstheme="minorHAnsi"/>
          <w:lang w:val="fr-FR"/>
        </w:rPr>
        <w:t xml:space="preserve"> à la 75</w:t>
      </w:r>
      <w:r w:rsidRPr="00AB2600">
        <w:rPr>
          <w:rFonts w:asciiTheme="minorHAnsi" w:hAnsiTheme="minorHAnsi" w:cstheme="minorHAnsi"/>
          <w:vertAlign w:val="superscript"/>
          <w:lang w:val="fr-FR"/>
        </w:rPr>
        <w:t>e</w:t>
      </w:r>
      <w:r w:rsidRPr="00AB2600">
        <w:rPr>
          <w:rFonts w:asciiTheme="minorHAnsi" w:hAnsiTheme="minorHAnsi" w:cstheme="minorHAnsi"/>
          <w:lang w:val="fr-FR"/>
        </w:rPr>
        <w:t xml:space="preserve"> session.</w:t>
      </w:r>
    </w:p>
    <w:p w:rsidR="00F67DF4" w:rsidRPr="00AB2600" w:rsidRDefault="00F67DF4" w:rsidP="008A48CE">
      <w:pPr>
        <w:spacing w:after="0" w:line="240" w:lineRule="auto"/>
        <w:ind w:left="284"/>
        <w:rPr>
          <w:rFonts w:cstheme="minorHAnsi"/>
          <w:lang w:val="fr-FR"/>
        </w:rPr>
      </w:pPr>
    </w:p>
    <w:p w:rsidR="003F0B77" w:rsidRPr="00AB2600" w:rsidRDefault="00A41B42" w:rsidP="003D5C77">
      <w:pPr>
        <w:pStyle w:val="ListParagraph"/>
        <w:numPr>
          <w:ilvl w:val="1"/>
          <w:numId w:val="2"/>
        </w:numPr>
        <w:ind w:left="851" w:hanging="425"/>
        <w:contextualSpacing w:val="0"/>
        <w:jc w:val="left"/>
        <w:rPr>
          <w:rFonts w:asciiTheme="minorHAnsi" w:hAnsiTheme="minorHAnsi" w:cstheme="minorHAnsi"/>
          <w:lang w:val="fr-FR"/>
        </w:rPr>
      </w:pPr>
      <w:r w:rsidRPr="003D5C77">
        <w:rPr>
          <w:rStyle w:val="markedcontent"/>
          <w:rFonts w:asciiTheme="minorHAnsi" w:hAnsiTheme="minorHAnsi" w:cstheme="minorHAnsi"/>
        </w:rPr>
        <w:t>Demande</w:t>
      </w:r>
      <w:r w:rsidRPr="003D5C77">
        <w:rPr>
          <w:rFonts w:asciiTheme="minorHAnsi" w:hAnsiTheme="minorHAnsi" w:cstheme="minorHAnsi"/>
          <w:lang w:val="fr-FR" w:eastAsia="zh-CN"/>
        </w:rPr>
        <w:t xml:space="preserve"> d</w:t>
      </w:r>
      <w:r w:rsidRPr="00AB2600">
        <w:rPr>
          <w:rFonts w:asciiTheme="minorHAnsi" w:hAnsiTheme="minorHAnsi" w:cstheme="minorHAnsi"/>
          <w:lang w:val="fr-FR" w:eastAsia="zh-CN"/>
        </w:rPr>
        <w:t>’obtention du statut d’observateur auprès du Conseil économique et social</w:t>
      </w:r>
      <w:r w:rsidR="00CE4497" w:rsidRPr="00AB2600">
        <w:rPr>
          <w:rFonts w:asciiTheme="minorHAnsi" w:hAnsiTheme="minorHAnsi" w:cstheme="minorHAnsi"/>
          <w:lang w:val="fr-FR"/>
        </w:rPr>
        <w:t xml:space="preserve"> (</w:t>
      </w:r>
      <w:r w:rsidR="003F0B77" w:rsidRPr="00AB2600">
        <w:rPr>
          <w:rFonts w:asciiTheme="minorHAnsi" w:hAnsiTheme="minorHAnsi" w:cstheme="minorHAnsi"/>
          <w:lang w:val="fr-FR"/>
        </w:rPr>
        <w:t>ECOSOC</w:t>
      </w:r>
      <w:r w:rsidR="00CE4497" w:rsidRPr="00AB2600">
        <w:rPr>
          <w:rFonts w:asciiTheme="minorHAnsi" w:hAnsiTheme="minorHAnsi" w:cstheme="minorHAnsi"/>
          <w:lang w:val="fr-FR"/>
        </w:rPr>
        <w:t>)</w:t>
      </w:r>
    </w:p>
    <w:p w:rsidR="003F0B77" w:rsidRPr="00AB2600" w:rsidRDefault="003F0B77" w:rsidP="008A48CE">
      <w:pPr>
        <w:pStyle w:val="Default"/>
        <w:rPr>
          <w:rFonts w:asciiTheme="minorHAnsi" w:hAnsiTheme="minorHAnsi" w:cstheme="minorHAnsi"/>
          <w:sz w:val="22"/>
          <w:szCs w:val="22"/>
          <w:lang w:val="fr-FR"/>
        </w:rPr>
      </w:pPr>
    </w:p>
    <w:p w:rsidR="00A41B42" w:rsidRPr="00AB2600" w:rsidRDefault="00A41B42" w:rsidP="008A48CE">
      <w:pPr>
        <w:spacing w:after="0" w:line="240" w:lineRule="auto"/>
        <w:ind w:left="426"/>
        <w:rPr>
          <w:rFonts w:cstheme="minorHAnsi"/>
          <w:lang w:val="fr-FR"/>
        </w:rPr>
      </w:pPr>
      <w:r w:rsidRPr="00AB2600">
        <w:rPr>
          <w:rFonts w:cstheme="minorHAnsi"/>
          <w:lang w:val="fr-FR"/>
        </w:rPr>
        <w:t>Suite à la décision du Comité permanent</w:t>
      </w:r>
      <w:r w:rsidR="003F0B77" w:rsidRPr="00AB2600">
        <w:rPr>
          <w:rFonts w:cstheme="minorHAnsi"/>
          <w:lang w:val="fr-FR"/>
        </w:rPr>
        <w:t xml:space="preserve"> </w:t>
      </w:r>
      <w:r w:rsidR="003657F1" w:rsidRPr="00AB2600">
        <w:rPr>
          <w:rFonts w:cstheme="minorHAnsi"/>
          <w:lang w:val="fr-FR"/>
        </w:rPr>
        <w:t xml:space="preserve">(SC55-12) </w:t>
      </w:r>
      <w:r w:rsidRPr="00AB2600">
        <w:rPr>
          <w:rFonts w:cstheme="minorHAnsi"/>
          <w:lang w:val="fr-FR"/>
        </w:rPr>
        <w:t xml:space="preserve">et du Groupe de travail de </w:t>
      </w:r>
      <w:r w:rsidR="003D5C77">
        <w:rPr>
          <w:rFonts w:cstheme="minorHAnsi"/>
          <w:lang w:val="fr-FR"/>
        </w:rPr>
        <w:t>chercher</w:t>
      </w:r>
      <w:r w:rsidRPr="00AB2600">
        <w:rPr>
          <w:rFonts w:cstheme="minorHAnsi"/>
          <w:lang w:val="fr-FR"/>
        </w:rPr>
        <w:t xml:space="preserve"> à nouer des liens plus étroits avec ECOSOC, le Secrétariat a adressé des demandes </w:t>
      </w:r>
      <w:r w:rsidR="00371F3C" w:rsidRPr="00AB2600">
        <w:rPr>
          <w:rFonts w:cstheme="minorHAnsi"/>
          <w:lang w:val="fr-FR"/>
        </w:rPr>
        <w:t>les 1</w:t>
      </w:r>
      <w:r w:rsidR="00371F3C" w:rsidRPr="00AB2600">
        <w:rPr>
          <w:rFonts w:cstheme="minorHAnsi"/>
          <w:vertAlign w:val="superscript"/>
          <w:lang w:val="fr-FR"/>
        </w:rPr>
        <w:t>er</w:t>
      </w:r>
      <w:r w:rsidR="00AC5EC4">
        <w:rPr>
          <w:rFonts w:cstheme="minorHAnsi"/>
          <w:lang w:val="fr-FR"/>
        </w:rPr>
        <w:t xml:space="preserve"> avril et 1</w:t>
      </w:r>
      <w:r w:rsidR="00AC5EC4" w:rsidRPr="00AC5EC4">
        <w:rPr>
          <w:rFonts w:cstheme="minorHAnsi"/>
          <w:vertAlign w:val="superscript"/>
          <w:lang w:val="fr-FR"/>
        </w:rPr>
        <w:t>er</w:t>
      </w:r>
      <w:r w:rsidR="00371F3C" w:rsidRPr="00AB2600">
        <w:rPr>
          <w:rFonts w:cstheme="minorHAnsi"/>
          <w:lang w:val="fr-FR"/>
        </w:rPr>
        <w:t xml:space="preserve"> décembre 2019 en vue d’obtenir le statut d’observateur, ce qui serait une étape </w:t>
      </w:r>
      <w:r w:rsidR="003D5C77">
        <w:rPr>
          <w:rFonts w:cstheme="minorHAnsi"/>
          <w:lang w:val="fr-FR"/>
        </w:rPr>
        <w:t>importante vers la réalisation de</w:t>
      </w:r>
      <w:r w:rsidR="00371F3C" w:rsidRPr="00AB2600">
        <w:rPr>
          <w:rFonts w:cstheme="minorHAnsi"/>
          <w:lang w:val="fr-FR"/>
        </w:rPr>
        <w:t xml:space="preserve"> l’objectif des Parties</w:t>
      </w:r>
      <w:r w:rsidR="003D5C77">
        <w:rPr>
          <w:rFonts w:cstheme="minorHAnsi"/>
          <w:lang w:val="fr-FR"/>
        </w:rPr>
        <w:t xml:space="preserve"> d</w:t>
      </w:r>
      <w:r w:rsidR="00AC5EC4">
        <w:rPr>
          <w:rFonts w:cstheme="minorHAnsi"/>
          <w:lang w:val="fr-FR"/>
        </w:rPr>
        <w:t>e participer aux</w:t>
      </w:r>
      <w:r w:rsidR="00371F3C" w:rsidRPr="00AB2600">
        <w:rPr>
          <w:rFonts w:cstheme="minorHAnsi"/>
          <w:lang w:val="fr-FR"/>
        </w:rPr>
        <w:t xml:space="preserve"> discussions sur la réalisation des Objectifs du développement durable et autres débats</w:t>
      </w:r>
      <w:r w:rsidR="003D5C77">
        <w:rPr>
          <w:rFonts w:cstheme="minorHAnsi"/>
          <w:lang w:val="fr-FR"/>
        </w:rPr>
        <w:t xml:space="preserve"> menés</w:t>
      </w:r>
      <w:r w:rsidR="00371F3C" w:rsidRPr="00AB2600">
        <w:rPr>
          <w:rFonts w:cstheme="minorHAnsi"/>
          <w:lang w:val="fr-FR"/>
        </w:rPr>
        <w:t xml:space="preserve"> sous les auspices des Nations </w:t>
      </w:r>
      <w:r w:rsidR="00371F3C" w:rsidRPr="00AB2600">
        <w:rPr>
          <w:rFonts w:cstheme="minorHAnsi"/>
          <w:lang w:val="fr-FR"/>
        </w:rPr>
        <w:lastRenderedPageBreak/>
        <w:t>Unies. Après l’envoi des documents nécess</w:t>
      </w:r>
      <w:r w:rsidR="003D5C77">
        <w:rPr>
          <w:rFonts w:cstheme="minorHAnsi"/>
          <w:lang w:val="fr-FR"/>
        </w:rPr>
        <w:t>aires au dépôt de la demande et</w:t>
      </w:r>
      <w:r w:rsidR="0064721A" w:rsidRPr="00AB2600">
        <w:rPr>
          <w:rFonts w:cstheme="minorHAnsi"/>
          <w:lang w:val="fr-FR"/>
        </w:rPr>
        <w:t xml:space="preserve"> </w:t>
      </w:r>
      <w:r w:rsidR="00AC5EC4">
        <w:rPr>
          <w:rFonts w:cstheme="minorHAnsi"/>
          <w:lang w:val="fr-FR"/>
        </w:rPr>
        <w:t>plusieurs</w:t>
      </w:r>
      <w:r w:rsidR="00371F3C" w:rsidRPr="00AB2600">
        <w:rPr>
          <w:rFonts w:cstheme="minorHAnsi"/>
          <w:lang w:val="fr-FR"/>
        </w:rPr>
        <w:t xml:space="preserve"> rappels, ECOSOC n’</w:t>
      </w:r>
      <w:r w:rsidR="00AC5EC4">
        <w:rPr>
          <w:rFonts w:cstheme="minorHAnsi"/>
          <w:lang w:val="fr-FR"/>
        </w:rPr>
        <w:t xml:space="preserve">y </w:t>
      </w:r>
      <w:r w:rsidR="00371F3C" w:rsidRPr="00AB2600">
        <w:rPr>
          <w:rFonts w:cstheme="minorHAnsi"/>
          <w:lang w:val="fr-FR"/>
        </w:rPr>
        <w:t>a</w:t>
      </w:r>
      <w:r w:rsidR="00AC5EC4">
        <w:rPr>
          <w:rFonts w:cstheme="minorHAnsi"/>
          <w:lang w:val="fr-FR"/>
        </w:rPr>
        <w:t>,</w:t>
      </w:r>
      <w:r w:rsidR="00371F3C" w:rsidRPr="00AB2600">
        <w:rPr>
          <w:rFonts w:cstheme="minorHAnsi"/>
          <w:lang w:val="fr-FR"/>
        </w:rPr>
        <w:t xml:space="preserve"> </w:t>
      </w:r>
      <w:r w:rsidR="00AC5EC4" w:rsidRPr="00AB2600">
        <w:rPr>
          <w:rFonts w:cstheme="minorHAnsi"/>
          <w:lang w:val="fr-FR"/>
        </w:rPr>
        <w:t>à ce jour</w:t>
      </w:r>
      <w:r w:rsidR="00AC5EC4">
        <w:rPr>
          <w:rFonts w:cstheme="minorHAnsi"/>
          <w:lang w:val="fr-FR"/>
        </w:rPr>
        <w:t>,</w:t>
      </w:r>
      <w:r w:rsidR="00AC5EC4" w:rsidRPr="00AB2600">
        <w:rPr>
          <w:rFonts w:cstheme="minorHAnsi"/>
          <w:lang w:val="fr-FR"/>
        </w:rPr>
        <w:t xml:space="preserve"> </w:t>
      </w:r>
      <w:r w:rsidR="00371F3C" w:rsidRPr="00AB2600">
        <w:rPr>
          <w:rFonts w:cstheme="minorHAnsi"/>
          <w:lang w:val="fr-FR"/>
        </w:rPr>
        <w:t>pas répondu.</w:t>
      </w:r>
    </w:p>
    <w:p w:rsidR="007E04F2" w:rsidRPr="00AB2600" w:rsidRDefault="007E04F2" w:rsidP="008A48CE">
      <w:pPr>
        <w:spacing w:after="0" w:line="240" w:lineRule="auto"/>
        <w:rPr>
          <w:rFonts w:cstheme="minorHAnsi"/>
          <w:iCs/>
          <w:lang w:val="fr-FR"/>
        </w:rPr>
      </w:pPr>
    </w:p>
    <w:p w:rsidR="00A812F1" w:rsidRPr="00AB2600" w:rsidRDefault="0064721A" w:rsidP="003D5C77">
      <w:pPr>
        <w:pStyle w:val="ListParagraph"/>
        <w:numPr>
          <w:ilvl w:val="1"/>
          <w:numId w:val="2"/>
        </w:numPr>
        <w:ind w:left="851" w:hanging="425"/>
        <w:contextualSpacing w:val="0"/>
        <w:jc w:val="left"/>
        <w:rPr>
          <w:rFonts w:asciiTheme="minorHAnsi" w:hAnsiTheme="minorHAnsi" w:cstheme="minorHAnsi"/>
          <w:lang w:val="fr-FR" w:eastAsia="zh-CN"/>
        </w:rPr>
      </w:pPr>
      <w:r w:rsidRPr="007119AE">
        <w:rPr>
          <w:rStyle w:val="markedcontent"/>
          <w:rFonts w:asciiTheme="minorHAnsi" w:hAnsiTheme="minorHAnsi" w:cstheme="minorHAnsi"/>
          <w:lang w:val="fr-FR"/>
        </w:rPr>
        <w:t>Processus</w:t>
      </w:r>
      <w:r w:rsidRPr="003D5C77">
        <w:rPr>
          <w:rFonts w:asciiTheme="minorHAnsi" w:hAnsiTheme="minorHAnsi" w:cstheme="minorHAnsi"/>
          <w:lang w:val="fr-FR" w:eastAsia="zh-CN"/>
        </w:rPr>
        <w:t xml:space="preserve"> d</w:t>
      </w:r>
      <w:r w:rsidR="005B5EA4">
        <w:rPr>
          <w:rFonts w:asciiTheme="minorHAnsi" w:hAnsiTheme="minorHAnsi" w:cstheme="minorHAnsi"/>
          <w:lang w:val="fr-FR" w:eastAsia="zh-CN"/>
        </w:rPr>
        <w:t>’</w:t>
      </w:r>
      <w:r w:rsidR="00AC5EC4">
        <w:rPr>
          <w:rFonts w:asciiTheme="minorHAnsi" w:hAnsiTheme="minorHAnsi" w:cstheme="minorHAnsi"/>
          <w:lang w:val="fr-FR" w:eastAsia="zh-CN"/>
        </w:rPr>
        <w:t>e</w:t>
      </w:r>
      <w:r w:rsidRPr="00AB2600">
        <w:rPr>
          <w:rFonts w:asciiTheme="minorHAnsi" w:hAnsiTheme="minorHAnsi" w:cstheme="minorHAnsi"/>
          <w:lang w:val="fr-FR" w:eastAsia="zh-CN"/>
        </w:rPr>
        <w:t xml:space="preserve">xamen du </w:t>
      </w:r>
      <w:r w:rsidR="007119AE" w:rsidRPr="007119AE">
        <w:rPr>
          <w:rFonts w:asciiTheme="minorHAnsi" w:hAnsiTheme="minorHAnsi" w:cstheme="minorHAnsi"/>
          <w:lang w:val="fr-FR"/>
        </w:rPr>
        <w:t xml:space="preserve">Forum politique de haut niveau pour le développement durable </w:t>
      </w:r>
      <w:r w:rsidR="007119AE">
        <w:rPr>
          <w:rFonts w:asciiTheme="minorHAnsi" w:hAnsiTheme="minorHAnsi" w:cstheme="minorHAnsi"/>
          <w:lang w:val="fr-FR"/>
        </w:rPr>
        <w:t>(</w:t>
      </w:r>
      <w:r w:rsidR="00A812F1" w:rsidRPr="00AB2600">
        <w:rPr>
          <w:rFonts w:asciiTheme="minorHAnsi" w:hAnsiTheme="minorHAnsi" w:cstheme="minorHAnsi"/>
          <w:lang w:val="fr-FR" w:eastAsia="zh-CN"/>
        </w:rPr>
        <w:t>HLPF</w:t>
      </w:r>
      <w:r w:rsidR="007119AE">
        <w:rPr>
          <w:rFonts w:asciiTheme="minorHAnsi" w:hAnsiTheme="minorHAnsi" w:cstheme="minorHAnsi"/>
          <w:lang w:val="fr-FR" w:eastAsia="zh-CN"/>
        </w:rPr>
        <w:t>)</w:t>
      </w:r>
    </w:p>
    <w:p w:rsidR="0064721A" w:rsidRPr="00AB2600" w:rsidRDefault="0064721A" w:rsidP="0064721A">
      <w:pPr>
        <w:pStyle w:val="Default"/>
        <w:ind w:left="1131"/>
        <w:rPr>
          <w:rFonts w:asciiTheme="minorHAnsi" w:hAnsiTheme="minorHAnsi" w:cstheme="minorHAnsi"/>
          <w:sz w:val="22"/>
          <w:szCs w:val="22"/>
          <w:lang w:val="fr-FR" w:eastAsia="zh-CN"/>
        </w:rPr>
      </w:pPr>
    </w:p>
    <w:p w:rsidR="0064721A" w:rsidRPr="00AB2600" w:rsidRDefault="0064721A" w:rsidP="0064721A">
      <w:pPr>
        <w:pStyle w:val="Default"/>
        <w:ind w:left="426"/>
        <w:rPr>
          <w:sz w:val="22"/>
          <w:szCs w:val="22"/>
          <w:lang w:val="fr-FR"/>
        </w:rPr>
      </w:pPr>
      <w:r w:rsidRPr="00AB2600">
        <w:rPr>
          <w:rFonts w:asciiTheme="minorHAnsi" w:hAnsiTheme="minorHAnsi" w:cstheme="minorHAnsi"/>
          <w:sz w:val="22"/>
          <w:szCs w:val="22"/>
          <w:lang w:val="fr-FR" w:eastAsia="zh-CN"/>
        </w:rPr>
        <w:t xml:space="preserve">L’Assemblée générale a décidé d’examiner </w:t>
      </w:r>
      <w:r w:rsidR="00AC5EC4" w:rsidRPr="00AB2600">
        <w:rPr>
          <w:sz w:val="22"/>
          <w:szCs w:val="22"/>
          <w:lang w:val="fr-FR"/>
        </w:rPr>
        <w:t>à sa soixante quat</w:t>
      </w:r>
      <w:r w:rsidR="00AC5EC4">
        <w:rPr>
          <w:sz w:val="22"/>
          <w:szCs w:val="22"/>
          <w:lang w:val="fr-FR"/>
        </w:rPr>
        <w:t>orz</w:t>
      </w:r>
      <w:r w:rsidR="00AC5EC4" w:rsidRPr="00AB2600">
        <w:rPr>
          <w:sz w:val="22"/>
          <w:szCs w:val="22"/>
          <w:lang w:val="fr-FR"/>
        </w:rPr>
        <w:t>ième session (2019-2020)</w:t>
      </w:r>
      <w:r w:rsidR="00AC5EC4">
        <w:rPr>
          <w:sz w:val="22"/>
          <w:szCs w:val="22"/>
          <w:lang w:val="fr-FR"/>
        </w:rPr>
        <w:t xml:space="preserve"> </w:t>
      </w:r>
      <w:r w:rsidRPr="00AB2600">
        <w:rPr>
          <w:rFonts w:asciiTheme="minorHAnsi" w:hAnsiTheme="minorHAnsi" w:cstheme="minorHAnsi"/>
          <w:sz w:val="22"/>
          <w:szCs w:val="22"/>
          <w:lang w:val="fr-FR" w:eastAsia="zh-CN"/>
        </w:rPr>
        <w:t>les progrès réalisés dans l’application de la résolution 70/299, « </w:t>
      </w:r>
      <w:r w:rsidRPr="00AB2600">
        <w:rPr>
          <w:sz w:val="22"/>
          <w:szCs w:val="22"/>
          <w:lang w:val="fr-FR"/>
        </w:rPr>
        <w:t xml:space="preserve">Suivi et examen de la mise en œuvre du Programme de développement durable à l'horizon 2030 au niveau mondial » et </w:t>
      </w:r>
      <w:r w:rsidR="007119AE">
        <w:rPr>
          <w:sz w:val="22"/>
          <w:szCs w:val="22"/>
          <w:lang w:val="fr-FR"/>
        </w:rPr>
        <w:t xml:space="preserve">de </w:t>
      </w:r>
      <w:r w:rsidRPr="00AB2600">
        <w:rPr>
          <w:sz w:val="22"/>
          <w:szCs w:val="22"/>
          <w:lang w:val="fr-FR"/>
        </w:rPr>
        <w:t xml:space="preserve">la résolution 67/290 sur </w:t>
      </w:r>
      <w:r w:rsidR="008017D0" w:rsidRPr="00AB2600">
        <w:rPr>
          <w:sz w:val="22"/>
          <w:szCs w:val="22"/>
          <w:lang w:val="fr-FR"/>
        </w:rPr>
        <w:t>la</w:t>
      </w:r>
      <w:r w:rsidRPr="00AB2600">
        <w:rPr>
          <w:sz w:val="22"/>
          <w:szCs w:val="22"/>
          <w:lang w:val="fr-FR"/>
        </w:rPr>
        <w:t xml:space="preserve"> structure et </w:t>
      </w:r>
      <w:r w:rsidR="008017D0" w:rsidRPr="00AB2600">
        <w:rPr>
          <w:sz w:val="22"/>
          <w:szCs w:val="22"/>
          <w:lang w:val="fr-FR"/>
        </w:rPr>
        <w:t xml:space="preserve">les </w:t>
      </w:r>
      <w:r w:rsidRPr="00AB2600">
        <w:rPr>
          <w:sz w:val="22"/>
          <w:szCs w:val="22"/>
          <w:lang w:val="fr-FR"/>
        </w:rPr>
        <w:t>modalités de fonctionnement du</w:t>
      </w:r>
      <w:r w:rsidR="000C34E7" w:rsidRPr="00AB2600">
        <w:rPr>
          <w:sz w:val="22"/>
          <w:szCs w:val="22"/>
          <w:lang w:val="fr-FR"/>
        </w:rPr>
        <w:t xml:space="preserve"> </w:t>
      </w:r>
      <w:r w:rsidR="008017D0" w:rsidRPr="00AB2600">
        <w:rPr>
          <w:sz w:val="22"/>
          <w:szCs w:val="22"/>
          <w:lang w:val="fr-FR"/>
        </w:rPr>
        <w:t>(HLPF).</w:t>
      </w:r>
    </w:p>
    <w:p w:rsidR="008017D0" w:rsidRPr="00AB2600" w:rsidRDefault="008017D0" w:rsidP="0064721A">
      <w:pPr>
        <w:pStyle w:val="Default"/>
        <w:ind w:left="426"/>
        <w:rPr>
          <w:rFonts w:asciiTheme="minorHAnsi" w:hAnsiTheme="minorHAnsi" w:cstheme="minorHAnsi"/>
          <w:sz w:val="22"/>
          <w:szCs w:val="22"/>
          <w:lang w:val="fr-FR" w:eastAsia="zh-CN"/>
        </w:rPr>
      </w:pPr>
    </w:p>
    <w:p w:rsidR="008017D0" w:rsidRPr="00AB2600" w:rsidRDefault="007119AE" w:rsidP="0064721A">
      <w:pPr>
        <w:pStyle w:val="Default"/>
        <w:ind w:left="426"/>
        <w:rPr>
          <w:rFonts w:cstheme="minorHAnsi"/>
          <w:sz w:val="22"/>
          <w:lang w:val="fr-FR"/>
        </w:rPr>
      </w:pPr>
      <w:r>
        <w:rPr>
          <w:rFonts w:asciiTheme="minorHAnsi" w:hAnsiTheme="minorHAnsi" w:cstheme="minorHAnsi"/>
          <w:sz w:val="22"/>
          <w:szCs w:val="22"/>
          <w:lang w:val="fr-FR" w:eastAsia="zh-CN"/>
        </w:rPr>
        <w:t>Pour faire avancer le</w:t>
      </w:r>
      <w:r w:rsidR="008017D0" w:rsidRPr="00AB2600">
        <w:rPr>
          <w:rFonts w:asciiTheme="minorHAnsi" w:hAnsiTheme="minorHAnsi" w:cstheme="minorHAnsi"/>
          <w:sz w:val="22"/>
          <w:szCs w:val="22"/>
          <w:lang w:val="fr-FR" w:eastAsia="zh-CN"/>
        </w:rPr>
        <w:t xml:space="preserve"> p</w:t>
      </w:r>
      <w:r>
        <w:rPr>
          <w:rFonts w:asciiTheme="minorHAnsi" w:hAnsiTheme="minorHAnsi" w:cstheme="minorHAnsi"/>
          <w:sz w:val="22"/>
          <w:szCs w:val="22"/>
          <w:lang w:val="fr-FR" w:eastAsia="zh-CN"/>
        </w:rPr>
        <w:t>rocessus mentionn</w:t>
      </w:r>
      <w:r w:rsidR="00AC5EC4">
        <w:rPr>
          <w:rFonts w:asciiTheme="minorHAnsi" w:hAnsiTheme="minorHAnsi" w:cstheme="minorHAnsi"/>
          <w:sz w:val="22"/>
          <w:szCs w:val="22"/>
          <w:lang w:val="fr-FR" w:eastAsia="zh-CN"/>
        </w:rPr>
        <w:t>é ci-dessus</w:t>
      </w:r>
      <w:r>
        <w:rPr>
          <w:rFonts w:asciiTheme="minorHAnsi" w:hAnsiTheme="minorHAnsi" w:cstheme="minorHAnsi"/>
          <w:sz w:val="22"/>
          <w:szCs w:val="22"/>
          <w:lang w:val="fr-FR" w:eastAsia="zh-CN"/>
        </w:rPr>
        <w:t xml:space="preserve"> </w:t>
      </w:r>
      <w:r w:rsidR="00AC5EC4" w:rsidRPr="00AB2600">
        <w:rPr>
          <w:rFonts w:asciiTheme="minorHAnsi" w:hAnsiTheme="minorHAnsi" w:cstheme="minorHAnsi"/>
          <w:sz w:val="22"/>
          <w:szCs w:val="22"/>
          <w:lang w:val="fr-FR" w:eastAsia="zh-CN"/>
        </w:rPr>
        <w:t>pourrai</w:t>
      </w:r>
      <w:r w:rsidR="00AC5EC4">
        <w:rPr>
          <w:rFonts w:asciiTheme="minorHAnsi" w:hAnsiTheme="minorHAnsi" w:cstheme="minorHAnsi"/>
          <w:sz w:val="22"/>
          <w:szCs w:val="22"/>
          <w:lang w:val="fr-FR" w:eastAsia="zh-CN"/>
        </w:rPr>
        <w:t>en</w:t>
      </w:r>
      <w:r w:rsidR="00AC5EC4" w:rsidRPr="00AB2600">
        <w:rPr>
          <w:rFonts w:asciiTheme="minorHAnsi" w:hAnsiTheme="minorHAnsi" w:cstheme="minorHAnsi"/>
          <w:sz w:val="22"/>
          <w:szCs w:val="22"/>
          <w:lang w:val="fr-FR" w:eastAsia="zh-CN"/>
        </w:rPr>
        <w:t xml:space="preserve">t </w:t>
      </w:r>
      <w:r w:rsidR="00AC5EC4">
        <w:rPr>
          <w:rFonts w:asciiTheme="minorHAnsi" w:hAnsiTheme="minorHAnsi" w:cstheme="minorHAnsi"/>
          <w:sz w:val="22"/>
          <w:szCs w:val="22"/>
          <w:lang w:val="fr-FR" w:eastAsia="zh-CN"/>
        </w:rPr>
        <w:t xml:space="preserve">être utilisés </w:t>
      </w:r>
      <w:r>
        <w:rPr>
          <w:rFonts w:asciiTheme="minorHAnsi" w:hAnsiTheme="minorHAnsi" w:cstheme="minorHAnsi"/>
          <w:sz w:val="22"/>
          <w:szCs w:val="22"/>
          <w:lang w:val="fr-FR" w:eastAsia="zh-CN"/>
        </w:rPr>
        <w:t>des éléments de</w:t>
      </w:r>
      <w:r w:rsidR="008017D0" w:rsidRPr="00AB2600">
        <w:rPr>
          <w:rFonts w:asciiTheme="minorHAnsi" w:hAnsiTheme="minorHAnsi" w:cstheme="minorHAnsi"/>
          <w:sz w:val="22"/>
          <w:szCs w:val="22"/>
          <w:lang w:val="fr-FR" w:eastAsia="zh-CN"/>
        </w:rPr>
        <w:t xml:space="preserve"> langage analogue</w:t>
      </w:r>
      <w:r>
        <w:rPr>
          <w:rFonts w:asciiTheme="minorHAnsi" w:hAnsiTheme="minorHAnsi" w:cstheme="minorHAnsi"/>
          <w:sz w:val="22"/>
          <w:szCs w:val="22"/>
          <w:lang w:val="fr-FR" w:eastAsia="zh-CN"/>
        </w:rPr>
        <w:t>s à ceux</w:t>
      </w:r>
      <w:r w:rsidR="008017D0" w:rsidRPr="00AB2600">
        <w:rPr>
          <w:rFonts w:asciiTheme="minorHAnsi" w:hAnsiTheme="minorHAnsi" w:cstheme="minorHAnsi"/>
          <w:sz w:val="22"/>
          <w:szCs w:val="22"/>
          <w:lang w:val="fr-FR" w:eastAsia="zh-CN"/>
        </w:rPr>
        <w:t xml:space="preserve"> utilisé</w:t>
      </w:r>
      <w:r>
        <w:rPr>
          <w:rFonts w:asciiTheme="minorHAnsi" w:hAnsiTheme="minorHAnsi" w:cstheme="minorHAnsi"/>
          <w:sz w:val="22"/>
          <w:szCs w:val="22"/>
          <w:lang w:val="fr-FR" w:eastAsia="zh-CN"/>
        </w:rPr>
        <w:t>s</w:t>
      </w:r>
      <w:r w:rsidR="008017D0" w:rsidRPr="00AB2600">
        <w:rPr>
          <w:rFonts w:asciiTheme="minorHAnsi" w:hAnsiTheme="minorHAnsi" w:cstheme="minorHAnsi"/>
          <w:sz w:val="22"/>
          <w:szCs w:val="22"/>
          <w:lang w:val="fr-FR" w:eastAsia="zh-CN"/>
        </w:rPr>
        <w:t xml:space="preserve"> en 2002 pour le Sommet mondial sur le développement durable</w:t>
      </w:r>
      <w:r>
        <w:rPr>
          <w:rFonts w:asciiTheme="minorHAnsi" w:hAnsiTheme="minorHAnsi" w:cstheme="minorHAnsi"/>
          <w:sz w:val="22"/>
          <w:szCs w:val="22"/>
          <w:lang w:val="fr-FR" w:eastAsia="zh-CN"/>
        </w:rPr>
        <w:t>, dans la mesure où de</w:t>
      </w:r>
      <w:r w:rsidR="00AC5EC4">
        <w:rPr>
          <w:rFonts w:asciiTheme="minorHAnsi" w:hAnsiTheme="minorHAnsi" w:cstheme="minorHAnsi"/>
          <w:sz w:val="22"/>
          <w:szCs w:val="22"/>
          <w:lang w:val="fr-FR" w:eastAsia="zh-CN"/>
        </w:rPr>
        <w:t>s</w:t>
      </w:r>
      <w:r w:rsidR="008017D0" w:rsidRPr="00AB2600">
        <w:rPr>
          <w:rFonts w:asciiTheme="minorHAnsi" w:hAnsiTheme="minorHAnsi" w:cstheme="minorHAnsi"/>
          <w:sz w:val="22"/>
          <w:szCs w:val="22"/>
          <w:lang w:val="fr-FR" w:eastAsia="zh-CN"/>
        </w:rPr>
        <w:t xml:space="preserve"> sessions incluant des références à ce sommet permettent à la Convention Ramsar sur </w:t>
      </w:r>
      <w:r w:rsidR="00D158DE" w:rsidRPr="00AB2600">
        <w:rPr>
          <w:rFonts w:asciiTheme="minorHAnsi" w:hAnsiTheme="minorHAnsi" w:cstheme="minorHAnsi"/>
          <w:sz w:val="22"/>
          <w:szCs w:val="22"/>
          <w:lang w:val="fr-FR" w:eastAsia="zh-CN"/>
        </w:rPr>
        <w:t>les</w:t>
      </w:r>
      <w:r w:rsidR="008017D0" w:rsidRPr="00AB2600">
        <w:rPr>
          <w:rFonts w:asciiTheme="minorHAnsi" w:hAnsiTheme="minorHAnsi" w:cstheme="minorHAnsi"/>
          <w:sz w:val="22"/>
          <w:szCs w:val="22"/>
          <w:lang w:val="fr-FR" w:eastAsia="zh-CN"/>
        </w:rPr>
        <w:t xml:space="preserve"> zones humides de participer en qualité d’observateur (par ex., </w:t>
      </w:r>
      <w:r>
        <w:rPr>
          <w:rFonts w:asciiTheme="minorHAnsi" w:hAnsiTheme="minorHAnsi" w:cstheme="minorHAnsi"/>
          <w:sz w:val="22"/>
          <w:szCs w:val="22"/>
          <w:lang w:val="fr-FR" w:eastAsia="zh-CN"/>
        </w:rPr>
        <w:t xml:space="preserve">à </w:t>
      </w:r>
      <w:r w:rsidR="008017D0" w:rsidRPr="00AB2600">
        <w:rPr>
          <w:rFonts w:cstheme="minorHAnsi"/>
          <w:sz w:val="22"/>
          <w:lang w:val="fr-FR"/>
        </w:rPr>
        <w:t>la Conférence des Nations Unies sur les océans).</w:t>
      </w:r>
    </w:p>
    <w:p w:rsidR="008017D0" w:rsidRPr="00AB2600" w:rsidRDefault="008017D0" w:rsidP="0064721A">
      <w:pPr>
        <w:pStyle w:val="Default"/>
        <w:ind w:left="426"/>
        <w:rPr>
          <w:rFonts w:cstheme="minorHAnsi"/>
          <w:sz w:val="22"/>
          <w:lang w:val="fr-FR"/>
        </w:rPr>
      </w:pPr>
    </w:p>
    <w:p w:rsidR="008017D0" w:rsidRPr="00AB2600" w:rsidRDefault="008017D0" w:rsidP="0064721A">
      <w:pPr>
        <w:pStyle w:val="Default"/>
        <w:ind w:left="426"/>
        <w:rPr>
          <w:rFonts w:cstheme="minorHAnsi"/>
          <w:sz w:val="22"/>
          <w:lang w:val="fr-FR"/>
        </w:rPr>
      </w:pPr>
      <w:r w:rsidRPr="00AB2600">
        <w:rPr>
          <w:rFonts w:cstheme="minorHAnsi"/>
          <w:sz w:val="22"/>
          <w:lang w:val="fr-FR"/>
        </w:rPr>
        <w:t xml:space="preserve">Le groupe de </w:t>
      </w:r>
      <w:r w:rsidR="000C34E7" w:rsidRPr="00AB2600">
        <w:rPr>
          <w:rFonts w:cstheme="minorHAnsi"/>
          <w:sz w:val="22"/>
          <w:lang w:val="fr-FR"/>
        </w:rPr>
        <w:t>travail</w:t>
      </w:r>
      <w:r w:rsidRPr="00AB2600">
        <w:rPr>
          <w:rFonts w:cstheme="minorHAnsi"/>
          <w:sz w:val="22"/>
          <w:lang w:val="fr-FR"/>
        </w:rPr>
        <w:t xml:space="preserve"> a convenu</w:t>
      </w:r>
      <w:r w:rsidR="005C1A97">
        <w:rPr>
          <w:rFonts w:cstheme="minorHAnsi"/>
          <w:sz w:val="22"/>
          <w:lang w:val="fr-FR"/>
        </w:rPr>
        <w:t xml:space="preserve"> de l’importance du processus d</w:t>
      </w:r>
      <w:r w:rsidR="005B5EA4">
        <w:rPr>
          <w:rFonts w:cstheme="minorHAnsi"/>
          <w:sz w:val="22"/>
          <w:lang w:val="fr-FR"/>
        </w:rPr>
        <w:t>’</w:t>
      </w:r>
      <w:r w:rsidRPr="00AB2600">
        <w:rPr>
          <w:rFonts w:cstheme="minorHAnsi"/>
          <w:sz w:val="22"/>
          <w:lang w:val="fr-FR"/>
        </w:rPr>
        <w:t>examen du HLPF</w:t>
      </w:r>
      <w:r w:rsidR="000C34E7" w:rsidRPr="00AB2600">
        <w:rPr>
          <w:rFonts w:cstheme="minorHAnsi"/>
          <w:sz w:val="22"/>
          <w:lang w:val="fr-FR"/>
        </w:rPr>
        <w:t xml:space="preserve"> et a demandé au Secrétariat de poursuivre dans cette voie, notamment d’iden</w:t>
      </w:r>
      <w:r w:rsidR="005C1A97">
        <w:rPr>
          <w:rFonts w:cstheme="minorHAnsi"/>
          <w:sz w:val="22"/>
          <w:lang w:val="fr-FR"/>
        </w:rPr>
        <w:t>tifier les membres des Amis d</w:t>
      </w:r>
      <w:r w:rsidR="005B5EA4">
        <w:rPr>
          <w:rFonts w:cstheme="minorHAnsi"/>
          <w:sz w:val="22"/>
          <w:lang w:val="fr-FR"/>
        </w:rPr>
        <w:t>e l’</w:t>
      </w:r>
      <w:r w:rsidR="005C1A97">
        <w:rPr>
          <w:rFonts w:cstheme="minorHAnsi"/>
          <w:sz w:val="22"/>
          <w:lang w:val="fr-FR"/>
        </w:rPr>
        <w:t>examen du HLPF et de préciser le calendrier</w:t>
      </w:r>
      <w:r w:rsidR="000C34E7" w:rsidRPr="00AB2600">
        <w:rPr>
          <w:rFonts w:cstheme="minorHAnsi"/>
          <w:sz w:val="22"/>
          <w:lang w:val="fr-FR"/>
        </w:rPr>
        <w:t xml:space="preserve">. Le Secrétariat a informé le groupe de façon à ce que celui-ci puisse faire le nécessaire </w:t>
      </w:r>
      <w:r w:rsidR="00AC5EC4">
        <w:rPr>
          <w:rFonts w:cstheme="minorHAnsi"/>
          <w:sz w:val="22"/>
          <w:lang w:val="fr-FR"/>
        </w:rPr>
        <w:t>en vue d’</w:t>
      </w:r>
      <w:r w:rsidR="00C30FCE">
        <w:rPr>
          <w:rFonts w:cstheme="minorHAnsi"/>
          <w:sz w:val="22"/>
          <w:lang w:val="fr-FR"/>
        </w:rPr>
        <w:t>impliquer</w:t>
      </w:r>
      <w:r w:rsidR="000C34E7" w:rsidRPr="00AB2600">
        <w:rPr>
          <w:rFonts w:cstheme="minorHAnsi"/>
          <w:sz w:val="22"/>
          <w:lang w:val="fr-FR"/>
        </w:rPr>
        <w:t xml:space="preserve"> les Parties contractantes dans les débats pertinents. Mais </w:t>
      </w:r>
      <w:r w:rsidR="005B5EA4">
        <w:rPr>
          <w:rFonts w:cstheme="minorHAnsi"/>
          <w:sz w:val="22"/>
          <w:lang w:val="fr-FR"/>
        </w:rPr>
        <w:t>en raison</w:t>
      </w:r>
      <w:r w:rsidR="000C34E7" w:rsidRPr="00AB2600">
        <w:rPr>
          <w:rFonts w:cstheme="minorHAnsi"/>
          <w:sz w:val="22"/>
          <w:lang w:val="fr-FR"/>
        </w:rPr>
        <w:t xml:space="preserve"> de la </w:t>
      </w:r>
      <w:r w:rsidR="00C30FCE">
        <w:rPr>
          <w:rFonts w:cstheme="minorHAnsi"/>
          <w:sz w:val="22"/>
          <w:lang w:val="fr-FR"/>
        </w:rPr>
        <w:t>situation sanitaire liée au</w:t>
      </w:r>
      <w:r w:rsidR="005B5EA4">
        <w:rPr>
          <w:rFonts w:cstheme="minorHAnsi"/>
          <w:sz w:val="22"/>
          <w:lang w:val="fr-FR"/>
        </w:rPr>
        <w:t xml:space="preserve"> COVID</w:t>
      </w:r>
      <w:r w:rsidR="000C34E7" w:rsidRPr="00AB2600">
        <w:rPr>
          <w:rFonts w:cstheme="minorHAnsi"/>
          <w:sz w:val="22"/>
          <w:lang w:val="fr-FR"/>
        </w:rPr>
        <w:t>19, l’examen approfondi du HPLF a été reporté à 2021.</w:t>
      </w:r>
    </w:p>
    <w:p w:rsidR="000C34E7" w:rsidRPr="00AB2600" w:rsidRDefault="000C34E7" w:rsidP="0064721A">
      <w:pPr>
        <w:pStyle w:val="Default"/>
        <w:ind w:left="426"/>
        <w:rPr>
          <w:rFonts w:cstheme="minorHAnsi"/>
          <w:sz w:val="22"/>
          <w:lang w:val="fr-FR"/>
        </w:rPr>
      </w:pPr>
    </w:p>
    <w:p w:rsidR="000C34E7" w:rsidRPr="00AB2600" w:rsidRDefault="000C34E7" w:rsidP="0064721A">
      <w:pPr>
        <w:pStyle w:val="Default"/>
        <w:ind w:left="426"/>
        <w:rPr>
          <w:rFonts w:asciiTheme="minorHAnsi" w:hAnsiTheme="minorHAnsi" w:cstheme="minorHAnsi"/>
          <w:sz w:val="20"/>
          <w:szCs w:val="22"/>
          <w:lang w:val="fr-FR" w:eastAsia="zh-CN"/>
        </w:rPr>
      </w:pPr>
      <w:r w:rsidRPr="00AB2600">
        <w:rPr>
          <w:rFonts w:cstheme="minorHAnsi"/>
          <w:sz w:val="22"/>
          <w:lang w:val="fr-FR"/>
        </w:rPr>
        <w:t>Des consultations virtuelles ont été organisées le</w:t>
      </w:r>
      <w:r w:rsidR="00D54CB8">
        <w:rPr>
          <w:rFonts w:cstheme="minorHAnsi"/>
          <w:sz w:val="22"/>
          <w:lang w:val="fr-FR"/>
        </w:rPr>
        <w:t>s</w:t>
      </w:r>
      <w:r w:rsidRPr="00AB2600">
        <w:rPr>
          <w:rFonts w:cstheme="minorHAnsi"/>
          <w:sz w:val="22"/>
          <w:lang w:val="fr-FR"/>
        </w:rPr>
        <w:t xml:space="preserve"> 31 </w:t>
      </w:r>
      <w:r w:rsidR="00D54CB8">
        <w:rPr>
          <w:rFonts w:cstheme="minorHAnsi"/>
          <w:sz w:val="22"/>
          <w:lang w:val="fr-FR"/>
        </w:rPr>
        <w:t>mars et</w:t>
      </w:r>
      <w:r w:rsidR="005B5EA4">
        <w:rPr>
          <w:rFonts w:cstheme="minorHAnsi"/>
          <w:sz w:val="22"/>
          <w:lang w:val="fr-FR"/>
        </w:rPr>
        <w:t xml:space="preserve"> 19 avril 2021 </w:t>
      </w:r>
      <w:r w:rsidR="00D54CB8">
        <w:rPr>
          <w:rFonts w:cstheme="minorHAnsi"/>
          <w:sz w:val="22"/>
          <w:lang w:val="fr-FR"/>
        </w:rPr>
        <w:t>s</w:t>
      </w:r>
      <w:r w:rsidR="005B5EA4">
        <w:rPr>
          <w:rFonts w:cstheme="minorHAnsi"/>
          <w:sz w:val="22"/>
          <w:lang w:val="fr-FR"/>
        </w:rPr>
        <w:t>ur la soumission à l’E</w:t>
      </w:r>
      <w:r w:rsidR="005B5EA4" w:rsidRPr="00AB2600">
        <w:rPr>
          <w:rFonts w:cstheme="minorHAnsi"/>
          <w:sz w:val="22"/>
          <w:lang w:val="fr-FR"/>
        </w:rPr>
        <w:t xml:space="preserve">xamen HPLF/ECOSOC </w:t>
      </w:r>
      <w:r w:rsidR="005B5EA4">
        <w:rPr>
          <w:rFonts w:cstheme="minorHAnsi"/>
          <w:sz w:val="22"/>
          <w:lang w:val="fr-FR"/>
        </w:rPr>
        <w:t>d’</w:t>
      </w:r>
      <w:r w:rsidRPr="00AB2600">
        <w:rPr>
          <w:rFonts w:cstheme="minorHAnsi"/>
          <w:sz w:val="22"/>
          <w:lang w:val="fr-FR"/>
        </w:rPr>
        <w:t xml:space="preserve">un projet de résolution </w:t>
      </w:r>
      <w:r w:rsidR="005B5EA4" w:rsidRPr="00AB2600">
        <w:rPr>
          <w:rFonts w:cstheme="minorHAnsi"/>
          <w:sz w:val="22"/>
          <w:lang w:val="fr-FR"/>
        </w:rPr>
        <w:t xml:space="preserve">révisé </w:t>
      </w:r>
      <w:r w:rsidRPr="00AB2600">
        <w:rPr>
          <w:rFonts w:cstheme="minorHAnsi"/>
          <w:sz w:val="22"/>
          <w:lang w:val="fr-FR"/>
        </w:rPr>
        <w:t>à partir des avis</w:t>
      </w:r>
      <w:r w:rsidR="005B5EA4">
        <w:rPr>
          <w:rFonts w:cstheme="minorHAnsi"/>
          <w:sz w:val="22"/>
          <w:lang w:val="fr-FR"/>
        </w:rPr>
        <w:t xml:space="preserve"> et suggestions des délégations</w:t>
      </w:r>
      <w:r w:rsidR="00E47A4C" w:rsidRPr="00AB2600">
        <w:rPr>
          <w:rFonts w:cstheme="minorHAnsi"/>
          <w:sz w:val="22"/>
          <w:lang w:val="fr-FR"/>
        </w:rPr>
        <w:t>.</w:t>
      </w:r>
    </w:p>
    <w:p w:rsidR="00920C59" w:rsidRPr="00AB2600" w:rsidRDefault="00920C59" w:rsidP="008A48CE">
      <w:pPr>
        <w:pStyle w:val="Default"/>
        <w:rPr>
          <w:rFonts w:asciiTheme="minorHAnsi" w:hAnsiTheme="minorHAnsi" w:cstheme="minorHAnsi"/>
          <w:sz w:val="22"/>
          <w:szCs w:val="22"/>
          <w:lang w:val="fr-FR"/>
        </w:rPr>
      </w:pPr>
    </w:p>
    <w:p w:rsidR="00132658" w:rsidRPr="00AB2600" w:rsidRDefault="00E47A4C" w:rsidP="008A48CE">
      <w:pPr>
        <w:spacing w:after="0" w:line="240" w:lineRule="auto"/>
        <w:rPr>
          <w:rFonts w:cstheme="minorHAnsi"/>
          <w:b/>
          <w:lang w:val="fr-FR"/>
        </w:rPr>
      </w:pPr>
      <w:r w:rsidRPr="00AB2600">
        <w:rPr>
          <w:rFonts w:cstheme="minorHAnsi"/>
          <w:b/>
          <w:lang w:val="fr-FR"/>
        </w:rPr>
        <w:t xml:space="preserve">Résumé des principales conclusions de la consultation juridique et lien vers le rapport complet </w:t>
      </w:r>
    </w:p>
    <w:p w:rsidR="00622B44" w:rsidRPr="00AB2600" w:rsidRDefault="00622B44" w:rsidP="008A48CE">
      <w:pPr>
        <w:spacing w:after="0" w:line="240" w:lineRule="auto"/>
        <w:rPr>
          <w:rFonts w:cstheme="minorHAnsi"/>
          <w:b/>
          <w:lang w:val="fr-FR"/>
        </w:rPr>
      </w:pPr>
    </w:p>
    <w:p w:rsidR="000F3957" w:rsidRPr="00AB2600" w:rsidRDefault="000F3957" w:rsidP="008A48CE">
      <w:pPr>
        <w:pStyle w:val="ListParagraph"/>
        <w:numPr>
          <w:ilvl w:val="0"/>
          <w:numId w:val="7"/>
        </w:numPr>
        <w:ind w:left="426" w:hanging="426"/>
        <w:jc w:val="left"/>
        <w:rPr>
          <w:rFonts w:asciiTheme="minorHAnsi" w:hAnsiTheme="minorHAnsi" w:cstheme="minorHAnsi"/>
          <w:color w:val="000000"/>
          <w:lang w:val="fr-FR"/>
        </w:rPr>
      </w:pPr>
      <w:r w:rsidRPr="00AB2600">
        <w:rPr>
          <w:rFonts w:asciiTheme="minorHAnsi" w:hAnsiTheme="minorHAnsi" w:cstheme="minorHAnsi"/>
          <w:lang w:val="fr-FR"/>
        </w:rPr>
        <w:t xml:space="preserve">L’analyse juridique indépendante a conclu </w:t>
      </w:r>
      <w:r w:rsidR="00FC0B66">
        <w:rPr>
          <w:rFonts w:asciiTheme="minorHAnsi" w:hAnsiTheme="minorHAnsi" w:cstheme="minorHAnsi"/>
          <w:lang w:val="fr-FR"/>
        </w:rPr>
        <w:t>à</w:t>
      </w:r>
      <w:r w:rsidRPr="00AB2600">
        <w:rPr>
          <w:rFonts w:asciiTheme="minorHAnsi" w:hAnsiTheme="minorHAnsi" w:cstheme="minorHAnsi"/>
          <w:lang w:val="fr-FR"/>
        </w:rPr>
        <w:t xml:space="preserve"> </w:t>
      </w:r>
      <w:r w:rsidR="00FC0B66">
        <w:rPr>
          <w:rFonts w:asciiTheme="minorHAnsi" w:hAnsiTheme="minorHAnsi" w:cstheme="minorHAnsi"/>
          <w:lang w:val="fr-FR"/>
        </w:rPr>
        <w:t xml:space="preserve">l’existence de </w:t>
      </w:r>
      <w:r w:rsidRPr="00AB2600">
        <w:rPr>
          <w:rFonts w:asciiTheme="minorHAnsi" w:hAnsiTheme="minorHAnsi" w:cstheme="minorHAnsi"/>
          <w:lang w:val="fr-FR"/>
        </w:rPr>
        <w:t xml:space="preserve">cinq options spécifiques </w:t>
      </w:r>
      <w:r w:rsidR="00FC0B66">
        <w:rPr>
          <w:rFonts w:asciiTheme="minorHAnsi" w:hAnsiTheme="minorHAnsi" w:cstheme="minorHAnsi"/>
          <w:lang w:val="fr-FR"/>
        </w:rPr>
        <w:t>permettant de répondre aux</w:t>
      </w:r>
      <w:r w:rsidRPr="00AB2600">
        <w:rPr>
          <w:rFonts w:asciiTheme="minorHAnsi" w:hAnsiTheme="minorHAnsi" w:cstheme="minorHAnsi"/>
          <w:lang w:val="fr-FR"/>
        </w:rPr>
        <w:t xml:space="preserve"> principales </w:t>
      </w:r>
      <w:r w:rsidR="00FC0B66">
        <w:rPr>
          <w:rFonts w:asciiTheme="minorHAnsi" w:hAnsiTheme="minorHAnsi" w:cstheme="minorHAnsi"/>
          <w:lang w:val="fr-FR"/>
        </w:rPr>
        <w:t>quest</w:t>
      </w:r>
      <w:r w:rsidRPr="00AB2600">
        <w:rPr>
          <w:rFonts w:asciiTheme="minorHAnsi" w:hAnsiTheme="minorHAnsi" w:cstheme="minorHAnsi"/>
          <w:lang w:val="fr-FR"/>
        </w:rPr>
        <w:t xml:space="preserve">ions relatives au statut juridique du Secrétariat et de son fonctionnement, et </w:t>
      </w:r>
      <w:r w:rsidR="00FC0B66">
        <w:rPr>
          <w:rFonts w:asciiTheme="minorHAnsi" w:hAnsiTheme="minorHAnsi" w:cstheme="minorHAnsi"/>
          <w:lang w:val="fr-FR"/>
        </w:rPr>
        <w:t>de troi</w:t>
      </w:r>
      <w:r w:rsidRPr="00AB2600">
        <w:rPr>
          <w:rFonts w:asciiTheme="minorHAnsi" w:hAnsiTheme="minorHAnsi" w:cstheme="minorHAnsi"/>
          <w:lang w:val="fr-FR"/>
        </w:rPr>
        <w:t>s options supplémentaires</w:t>
      </w:r>
      <w:r w:rsidR="00FC0B66">
        <w:rPr>
          <w:rFonts w:asciiTheme="minorHAnsi" w:hAnsiTheme="minorHAnsi" w:cstheme="minorHAnsi"/>
          <w:lang w:val="fr-FR"/>
        </w:rPr>
        <w:t xml:space="preserve">, </w:t>
      </w:r>
      <w:r w:rsidR="00A72E69">
        <w:rPr>
          <w:rFonts w:asciiTheme="minorHAnsi" w:hAnsiTheme="minorHAnsi" w:cstheme="minorHAnsi"/>
          <w:lang w:val="fr-FR"/>
        </w:rPr>
        <w:t>dans le but d’</w:t>
      </w:r>
      <w:r w:rsidR="00FC0B66">
        <w:rPr>
          <w:rFonts w:asciiTheme="minorHAnsi" w:hAnsiTheme="minorHAnsi" w:cstheme="minorHAnsi"/>
          <w:lang w:val="fr-FR"/>
        </w:rPr>
        <w:t>améliorer</w:t>
      </w:r>
      <w:r w:rsidRPr="00AB2600">
        <w:rPr>
          <w:rFonts w:asciiTheme="minorHAnsi" w:hAnsiTheme="minorHAnsi" w:cstheme="minorHAnsi"/>
          <w:lang w:val="fr-FR"/>
        </w:rPr>
        <w:t xml:space="preserve"> sa participation aux forums</w:t>
      </w:r>
      <w:r w:rsidR="00FC0B66">
        <w:rPr>
          <w:rFonts w:asciiTheme="minorHAnsi" w:hAnsiTheme="minorHAnsi" w:cstheme="minorHAnsi"/>
          <w:lang w:val="fr-FR"/>
        </w:rPr>
        <w:t xml:space="preserve"> et procédures</w:t>
      </w:r>
      <w:r w:rsidRPr="00AB2600">
        <w:rPr>
          <w:rFonts w:asciiTheme="minorHAnsi" w:hAnsiTheme="minorHAnsi" w:cstheme="minorHAnsi"/>
          <w:lang w:val="fr-FR"/>
        </w:rPr>
        <w:t xml:space="preserve"> de haut niveau des Nations</w:t>
      </w:r>
      <w:r w:rsidR="00FC0B66">
        <w:rPr>
          <w:rFonts w:asciiTheme="minorHAnsi" w:hAnsiTheme="minorHAnsi" w:cstheme="minorHAnsi"/>
          <w:lang w:val="fr-FR"/>
        </w:rPr>
        <w:t xml:space="preserve"> Unies sous les auspices de </w:t>
      </w:r>
      <w:r w:rsidR="000E3574" w:rsidRPr="00AB2600">
        <w:rPr>
          <w:rFonts w:asciiTheme="minorHAnsi" w:hAnsiTheme="minorHAnsi" w:cstheme="minorHAnsi"/>
          <w:lang w:val="fr-FR"/>
        </w:rPr>
        <w:t>l’Assem</w:t>
      </w:r>
      <w:r w:rsidR="00FC0B66">
        <w:rPr>
          <w:rFonts w:asciiTheme="minorHAnsi" w:hAnsiTheme="minorHAnsi" w:cstheme="minorHAnsi"/>
          <w:lang w:val="fr-FR"/>
        </w:rPr>
        <w:t xml:space="preserve">blée générale, respectivement </w:t>
      </w:r>
      <w:r w:rsidR="00A86655">
        <w:rPr>
          <w:rFonts w:asciiTheme="minorHAnsi" w:hAnsiTheme="minorHAnsi" w:cstheme="minorHAnsi"/>
          <w:lang w:val="fr-FR"/>
        </w:rPr>
        <w:t>ECOSOC,</w:t>
      </w:r>
      <w:r w:rsidR="000E3574" w:rsidRPr="00AB2600">
        <w:rPr>
          <w:rFonts w:asciiTheme="minorHAnsi" w:hAnsiTheme="minorHAnsi" w:cstheme="minorHAnsi"/>
          <w:lang w:val="fr-FR"/>
        </w:rPr>
        <w:t xml:space="preserve"> en particulier</w:t>
      </w:r>
      <w:r w:rsidR="00FC0B66">
        <w:rPr>
          <w:rFonts w:asciiTheme="minorHAnsi" w:hAnsiTheme="minorHAnsi" w:cstheme="minorHAnsi"/>
          <w:lang w:val="fr-FR"/>
        </w:rPr>
        <w:t xml:space="preserve"> dans le cadre</w:t>
      </w:r>
      <w:r w:rsidR="000E3574" w:rsidRPr="00AB2600">
        <w:rPr>
          <w:rFonts w:asciiTheme="minorHAnsi" w:hAnsiTheme="minorHAnsi" w:cstheme="minorHAnsi"/>
          <w:lang w:val="fr-FR"/>
        </w:rPr>
        <w:t xml:space="preserve"> </w:t>
      </w:r>
      <w:r w:rsidR="00FC0B66">
        <w:rPr>
          <w:rFonts w:asciiTheme="minorHAnsi" w:hAnsiTheme="minorHAnsi" w:cstheme="minorHAnsi"/>
          <w:lang w:val="fr-FR"/>
        </w:rPr>
        <w:t xml:space="preserve">du </w:t>
      </w:r>
      <w:r w:rsidR="000E3574" w:rsidRPr="00AB2600">
        <w:rPr>
          <w:rFonts w:asciiTheme="minorHAnsi" w:hAnsiTheme="minorHAnsi" w:cstheme="minorHAnsi"/>
          <w:lang w:val="fr-FR"/>
        </w:rPr>
        <w:t>HLPF.</w:t>
      </w:r>
    </w:p>
    <w:p w:rsidR="00622B44" w:rsidRPr="00AB2600" w:rsidRDefault="00622B44" w:rsidP="008A48CE">
      <w:pPr>
        <w:spacing w:after="0" w:line="240" w:lineRule="auto"/>
        <w:rPr>
          <w:rFonts w:cstheme="minorHAnsi"/>
          <w:color w:val="000000"/>
          <w:lang w:val="fr-FR"/>
        </w:rPr>
      </w:pPr>
    </w:p>
    <w:p w:rsidR="000E3574" w:rsidRPr="00AB2600" w:rsidRDefault="000E3574" w:rsidP="008A48CE">
      <w:pPr>
        <w:pStyle w:val="ListParagraph"/>
        <w:numPr>
          <w:ilvl w:val="0"/>
          <w:numId w:val="7"/>
        </w:numPr>
        <w:autoSpaceDE w:val="0"/>
        <w:autoSpaceDN w:val="0"/>
        <w:adjustRightInd w:val="0"/>
        <w:ind w:left="426" w:hanging="426"/>
        <w:jc w:val="left"/>
        <w:rPr>
          <w:rFonts w:asciiTheme="minorHAnsi" w:hAnsiTheme="minorHAnsi" w:cstheme="minorHAnsi"/>
          <w:color w:val="000000"/>
          <w:lang w:val="fr-FR"/>
        </w:rPr>
      </w:pPr>
      <w:r w:rsidRPr="00AB2600">
        <w:rPr>
          <w:rFonts w:asciiTheme="minorHAnsi" w:hAnsiTheme="minorHAnsi" w:cstheme="minorHAnsi"/>
          <w:color w:val="000000"/>
          <w:lang w:val="fr-FR"/>
        </w:rPr>
        <w:t>Les options analysées dans le rapport du consultant peuvent varier du plus haut au plus bas degré d’indépendance vis à vis des autres organisations internationales :</w:t>
      </w:r>
    </w:p>
    <w:p w:rsidR="00884714" w:rsidRPr="00AB2600" w:rsidRDefault="00884714" w:rsidP="008A48CE">
      <w:pPr>
        <w:numPr>
          <w:ilvl w:val="1"/>
          <w:numId w:val="4"/>
        </w:numPr>
        <w:autoSpaceDE w:val="0"/>
        <w:autoSpaceDN w:val="0"/>
        <w:adjustRightInd w:val="0"/>
        <w:spacing w:after="0" w:line="240" w:lineRule="auto"/>
        <w:rPr>
          <w:rFonts w:cstheme="minorHAnsi"/>
          <w:color w:val="000000"/>
          <w:lang w:val="fr-FR"/>
        </w:rPr>
      </w:pPr>
    </w:p>
    <w:p w:rsidR="000E3574" w:rsidRPr="00AB2600" w:rsidRDefault="00622B44" w:rsidP="008A48CE">
      <w:pPr>
        <w:autoSpaceDE w:val="0"/>
        <w:autoSpaceDN w:val="0"/>
        <w:adjustRightInd w:val="0"/>
        <w:spacing w:after="0" w:line="240" w:lineRule="auto"/>
        <w:ind w:left="851" w:hanging="425"/>
        <w:rPr>
          <w:rFonts w:cstheme="minorHAnsi"/>
          <w:color w:val="000000"/>
          <w:lang w:val="fr-FR"/>
        </w:rPr>
      </w:pPr>
      <w:r w:rsidRPr="00AB2600">
        <w:rPr>
          <w:rFonts w:cstheme="minorHAnsi"/>
          <w:color w:val="000000"/>
          <w:lang w:val="fr-FR"/>
        </w:rPr>
        <w:t>a.</w:t>
      </w:r>
      <w:r w:rsidRPr="00AB2600">
        <w:rPr>
          <w:rFonts w:cstheme="minorHAnsi"/>
          <w:color w:val="000000"/>
          <w:lang w:val="fr-FR"/>
        </w:rPr>
        <w:tab/>
      </w:r>
      <w:r w:rsidR="00A86655">
        <w:rPr>
          <w:rFonts w:cstheme="minorHAnsi"/>
          <w:color w:val="000000"/>
          <w:lang w:val="fr-FR"/>
        </w:rPr>
        <w:t>Les s</w:t>
      </w:r>
      <w:r w:rsidR="000E3574" w:rsidRPr="00AB2600">
        <w:rPr>
          <w:rFonts w:cstheme="minorHAnsi"/>
          <w:color w:val="000000"/>
          <w:lang w:val="fr-FR"/>
        </w:rPr>
        <w:t>ecrétariats des</w:t>
      </w:r>
      <w:r w:rsidR="00467FF3" w:rsidRPr="00AB2600">
        <w:rPr>
          <w:rFonts w:cstheme="minorHAnsi"/>
          <w:color w:val="000000"/>
          <w:lang w:val="fr-FR"/>
        </w:rPr>
        <w:t xml:space="preserve"> </w:t>
      </w:r>
      <w:r w:rsidR="000E3574" w:rsidRPr="00AB2600">
        <w:rPr>
          <w:rFonts w:cstheme="minorHAnsi"/>
          <w:b/>
          <w:color w:val="000000"/>
          <w:lang w:val="fr-FR"/>
        </w:rPr>
        <w:t xml:space="preserve">OIG </w:t>
      </w:r>
      <w:r w:rsidR="000E3574" w:rsidRPr="00AB2600">
        <w:rPr>
          <w:rFonts w:cstheme="minorHAnsi"/>
          <w:b/>
          <w:bCs/>
          <w:color w:val="000000"/>
          <w:lang w:val="fr-FR"/>
        </w:rPr>
        <w:t>traditionnelles</w:t>
      </w:r>
      <w:r w:rsidR="00467FF3" w:rsidRPr="00AB2600">
        <w:rPr>
          <w:rFonts w:cstheme="minorHAnsi"/>
          <w:b/>
          <w:bCs/>
          <w:color w:val="000000"/>
          <w:lang w:val="fr-FR"/>
        </w:rPr>
        <w:t xml:space="preserve"> </w:t>
      </w:r>
      <w:r w:rsidR="00467FF3" w:rsidRPr="00AB2600">
        <w:rPr>
          <w:rFonts w:cstheme="minorHAnsi"/>
          <w:color w:val="000000"/>
          <w:lang w:val="fr-FR"/>
        </w:rPr>
        <w:t xml:space="preserve">– </w:t>
      </w:r>
      <w:r w:rsidR="000E3574" w:rsidRPr="00AB2600">
        <w:rPr>
          <w:rFonts w:cstheme="minorHAnsi"/>
          <w:color w:val="000000"/>
          <w:lang w:val="fr-FR"/>
        </w:rPr>
        <w:t>soit ent</w:t>
      </w:r>
      <w:r w:rsidR="00FC0B66">
        <w:rPr>
          <w:rFonts w:cstheme="minorHAnsi"/>
          <w:color w:val="000000"/>
          <w:lang w:val="fr-FR"/>
        </w:rPr>
        <w:t>ièrement « hors » du système de l’ONU</w:t>
      </w:r>
      <w:r w:rsidR="000E3574" w:rsidRPr="00AB2600">
        <w:rPr>
          <w:rFonts w:cstheme="minorHAnsi"/>
          <w:color w:val="000000"/>
          <w:lang w:val="fr-FR"/>
        </w:rPr>
        <w:t xml:space="preserve">, soit </w:t>
      </w:r>
      <w:r w:rsidR="00FC0B66">
        <w:rPr>
          <w:rFonts w:cstheme="minorHAnsi"/>
          <w:color w:val="000000"/>
          <w:lang w:val="fr-FR"/>
        </w:rPr>
        <w:t xml:space="preserve">en </w:t>
      </w:r>
      <w:r w:rsidR="000E3574" w:rsidRPr="00AB2600">
        <w:rPr>
          <w:rFonts w:cstheme="minorHAnsi"/>
          <w:color w:val="000000"/>
          <w:lang w:val="fr-FR"/>
        </w:rPr>
        <w:t xml:space="preserve">entretenant quelques liens avec </w:t>
      </w:r>
      <w:r w:rsidR="00FC0B66">
        <w:rPr>
          <w:rFonts w:cstheme="minorHAnsi"/>
          <w:color w:val="000000"/>
          <w:lang w:val="fr-FR"/>
        </w:rPr>
        <w:t>l’ONU, mais</w:t>
      </w:r>
      <w:r w:rsidR="000E3574" w:rsidRPr="00AB2600">
        <w:rPr>
          <w:rFonts w:cstheme="minorHAnsi"/>
          <w:color w:val="000000"/>
          <w:lang w:val="fr-FR"/>
        </w:rPr>
        <w:t xml:space="preserve"> sans</w:t>
      </w:r>
      <w:r w:rsidR="00FC0B66">
        <w:rPr>
          <w:rFonts w:cstheme="minorHAnsi"/>
          <w:color w:val="000000"/>
          <w:lang w:val="fr-FR"/>
        </w:rPr>
        <w:t xml:space="preserve"> y</w:t>
      </w:r>
      <w:r w:rsidR="000E3574" w:rsidRPr="00AB2600">
        <w:rPr>
          <w:rFonts w:cstheme="minorHAnsi"/>
          <w:color w:val="000000"/>
          <w:lang w:val="fr-FR"/>
        </w:rPr>
        <w:t xml:space="preserve"> être « institutionnellement </w:t>
      </w:r>
      <w:r w:rsidR="00FC0B66">
        <w:rPr>
          <w:rFonts w:cstheme="minorHAnsi"/>
          <w:color w:val="000000"/>
          <w:lang w:val="fr-FR"/>
        </w:rPr>
        <w:t>re</w:t>
      </w:r>
      <w:r w:rsidR="000E3574" w:rsidRPr="00AB2600">
        <w:rPr>
          <w:rFonts w:cstheme="minorHAnsi"/>
          <w:color w:val="000000"/>
          <w:lang w:val="fr-FR"/>
        </w:rPr>
        <w:t>liées</w:t>
      </w:r>
      <w:r w:rsidR="00FC0B66">
        <w:rPr>
          <w:rFonts w:cstheme="minorHAnsi"/>
          <w:color w:val="000000"/>
          <w:lang w:val="fr-FR"/>
        </w:rPr>
        <w:t> »</w:t>
      </w:r>
      <w:r w:rsidR="000E3574" w:rsidRPr="00AB2600">
        <w:rPr>
          <w:rFonts w:cstheme="minorHAnsi"/>
          <w:color w:val="000000"/>
          <w:lang w:val="fr-FR"/>
        </w:rPr>
        <w:t xml:space="preserve"> (exemples : la Commission b</w:t>
      </w:r>
      <w:r w:rsidR="00177921" w:rsidRPr="00AB2600">
        <w:rPr>
          <w:rFonts w:cstheme="minorHAnsi"/>
          <w:color w:val="000000"/>
          <w:lang w:val="fr-FR"/>
        </w:rPr>
        <w:t>a</w:t>
      </w:r>
      <w:r w:rsidR="000E3574" w:rsidRPr="00AB2600">
        <w:rPr>
          <w:rFonts w:cstheme="minorHAnsi"/>
          <w:color w:val="000000"/>
          <w:lang w:val="fr-FR"/>
        </w:rPr>
        <w:t xml:space="preserve">leinière, l’OMC ou l’Autorité internationale des fonds marins ; Option </w:t>
      </w:r>
      <w:r w:rsidR="000E3574" w:rsidRPr="00AB2600">
        <w:rPr>
          <w:rFonts w:cstheme="minorHAnsi"/>
          <w:b/>
          <w:color w:val="000000"/>
          <w:lang w:val="fr-FR"/>
        </w:rPr>
        <w:t>A1</w:t>
      </w:r>
      <w:r w:rsidR="000E3574" w:rsidRPr="00AB2600">
        <w:rPr>
          <w:rFonts w:cstheme="minorHAnsi"/>
          <w:color w:val="000000"/>
          <w:lang w:val="fr-FR"/>
        </w:rPr>
        <w:t>) ;</w:t>
      </w:r>
    </w:p>
    <w:p w:rsidR="00884714" w:rsidRPr="00AB2600" w:rsidRDefault="00884714" w:rsidP="008A48CE">
      <w:pPr>
        <w:autoSpaceDE w:val="0"/>
        <w:autoSpaceDN w:val="0"/>
        <w:adjustRightInd w:val="0"/>
        <w:spacing w:after="0" w:line="240" w:lineRule="auto"/>
        <w:ind w:left="851" w:hanging="425"/>
        <w:rPr>
          <w:rFonts w:cstheme="minorHAnsi"/>
          <w:color w:val="000000"/>
          <w:lang w:val="fr-FR"/>
        </w:rPr>
      </w:pPr>
    </w:p>
    <w:p w:rsidR="00467FF3" w:rsidRPr="00AB2600" w:rsidRDefault="008B18F4" w:rsidP="008A48CE">
      <w:pPr>
        <w:autoSpaceDE w:val="0"/>
        <w:autoSpaceDN w:val="0"/>
        <w:adjustRightInd w:val="0"/>
        <w:spacing w:after="0" w:line="240" w:lineRule="auto"/>
        <w:ind w:left="851" w:hanging="425"/>
        <w:rPr>
          <w:rFonts w:cstheme="minorHAnsi"/>
          <w:color w:val="000000"/>
          <w:lang w:val="fr-FR"/>
        </w:rPr>
      </w:pPr>
      <w:r w:rsidRPr="00AB2600">
        <w:rPr>
          <w:rFonts w:cstheme="minorHAnsi"/>
          <w:color w:val="000000"/>
          <w:lang w:val="fr-FR"/>
        </w:rPr>
        <w:t>b.</w:t>
      </w:r>
      <w:r w:rsidRPr="00AB2600">
        <w:rPr>
          <w:rFonts w:cstheme="minorHAnsi"/>
          <w:color w:val="000000"/>
          <w:lang w:val="fr-FR"/>
        </w:rPr>
        <w:tab/>
      </w:r>
      <w:r w:rsidR="00177921" w:rsidRPr="00AB2600">
        <w:rPr>
          <w:rFonts w:cstheme="minorHAnsi"/>
          <w:color w:val="000000"/>
          <w:lang w:val="fr-FR"/>
        </w:rPr>
        <w:t xml:space="preserve">Les </w:t>
      </w:r>
      <w:r w:rsidR="00A86655">
        <w:rPr>
          <w:rFonts w:cstheme="minorHAnsi"/>
          <w:b/>
          <w:color w:val="000000"/>
          <w:lang w:val="fr-FR"/>
        </w:rPr>
        <w:t>s</w:t>
      </w:r>
      <w:r w:rsidR="00177921" w:rsidRPr="00A86655">
        <w:rPr>
          <w:rFonts w:cstheme="minorHAnsi"/>
          <w:b/>
          <w:color w:val="000000"/>
          <w:lang w:val="fr-FR"/>
        </w:rPr>
        <w:t>ecrétariats e</w:t>
      </w:r>
      <w:r w:rsidR="00177921" w:rsidRPr="00AB2600">
        <w:rPr>
          <w:rFonts w:cstheme="minorHAnsi"/>
          <w:b/>
          <w:color w:val="000000"/>
          <w:lang w:val="fr-FR"/>
        </w:rPr>
        <w:t>ntièrement indépendants</w:t>
      </w:r>
      <w:r w:rsidR="00177921" w:rsidRPr="00AB2600">
        <w:rPr>
          <w:rFonts w:cstheme="minorHAnsi"/>
          <w:color w:val="000000"/>
          <w:lang w:val="fr-FR"/>
        </w:rPr>
        <w:t xml:space="preserve"> qui ne sont pas ceux d’OIG traditionnelles, mais </w:t>
      </w:r>
      <w:r w:rsidR="00A86655">
        <w:rPr>
          <w:rFonts w:cstheme="minorHAnsi"/>
          <w:color w:val="000000"/>
          <w:lang w:val="fr-FR"/>
        </w:rPr>
        <w:t xml:space="preserve">issus </w:t>
      </w:r>
      <w:r w:rsidR="00177921" w:rsidRPr="00AB2600">
        <w:rPr>
          <w:rFonts w:cstheme="minorHAnsi"/>
          <w:color w:val="000000"/>
          <w:lang w:val="fr-FR"/>
        </w:rPr>
        <w:t>de trait</w:t>
      </w:r>
      <w:r w:rsidR="00A86655">
        <w:rPr>
          <w:rFonts w:cstheme="minorHAnsi"/>
          <w:color w:val="000000"/>
          <w:lang w:val="fr-FR"/>
        </w:rPr>
        <w:t>é</w:t>
      </w:r>
      <w:r w:rsidR="00177921" w:rsidRPr="00AB2600">
        <w:rPr>
          <w:rFonts w:cstheme="minorHAnsi"/>
          <w:color w:val="000000"/>
          <w:lang w:val="fr-FR"/>
        </w:rPr>
        <w:t xml:space="preserve">s intergouvernementaux qui suivent le « modèle de la CoP » (exemple : le Secrétariat du Traité sur le commerce des armes ; Option </w:t>
      </w:r>
      <w:r w:rsidR="00A86655" w:rsidRPr="00A86655">
        <w:rPr>
          <w:rFonts w:cstheme="minorHAnsi"/>
          <w:b/>
          <w:color w:val="000000"/>
          <w:lang w:val="fr-FR"/>
        </w:rPr>
        <w:t>A</w:t>
      </w:r>
      <w:r w:rsidR="00177921" w:rsidRPr="00A86655">
        <w:rPr>
          <w:rFonts w:cstheme="minorHAnsi"/>
          <w:b/>
          <w:color w:val="000000"/>
          <w:lang w:val="fr-FR"/>
        </w:rPr>
        <w:t>2</w:t>
      </w:r>
      <w:r w:rsidR="00177921" w:rsidRPr="00AB2600">
        <w:rPr>
          <w:rFonts w:cstheme="minorHAnsi"/>
          <w:color w:val="000000"/>
          <w:lang w:val="fr-FR"/>
        </w:rPr>
        <w:t xml:space="preserve">) ;  </w:t>
      </w:r>
    </w:p>
    <w:p w:rsidR="00884714" w:rsidRPr="00AB2600" w:rsidRDefault="00884714" w:rsidP="008A48CE">
      <w:pPr>
        <w:autoSpaceDE w:val="0"/>
        <w:autoSpaceDN w:val="0"/>
        <w:adjustRightInd w:val="0"/>
        <w:spacing w:after="0" w:line="240" w:lineRule="auto"/>
        <w:ind w:left="851" w:hanging="425"/>
        <w:rPr>
          <w:rFonts w:cstheme="minorHAnsi"/>
          <w:color w:val="000000"/>
          <w:lang w:val="fr-FR"/>
        </w:rPr>
      </w:pPr>
    </w:p>
    <w:p w:rsidR="00177921" w:rsidRPr="00AB2600" w:rsidRDefault="008B18F4" w:rsidP="008A48CE">
      <w:pPr>
        <w:autoSpaceDE w:val="0"/>
        <w:autoSpaceDN w:val="0"/>
        <w:adjustRightInd w:val="0"/>
        <w:spacing w:after="0" w:line="240" w:lineRule="auto"/>
        <w:ind w:left="851" w:hanging="425"/>
        <w:rPr>
          <w:rFonts w:cstheme="minorHAnsi"/>
          <w:color w:val="000000"/>
          <w:lang w:val="fr-FR"/>
        </w:rPr>
      </w:pPr>
      <w:r w:rsidRPr="00AB2600">
        <w:rPr>
          <w:rFonts w:cstheme="minorHAnsi"/>
          <w:color w:val="000000"/>
          <w:lang w:val="fr-FR"/>
        </w:rPr>
        <w:t>c.</w:t>
      </w:r>
      <w:r w:rsidRPr="00AB2600">
        <w:rPr>
          <w:rFonts w:cstheme="minorHAnsi"/>
          <w:color w:val="000000"/>
          <w:lang w:val="fr-FR"/>
        </w:rPr>
        <w:tab/>
      </w:r>
      <w:r w:rsidR="00A86655">
        <w:rPr>
          <w:rFonts w:cstheme="minorHAnsi"/>
          <w:color w:val="000000"/>
          <w:lang w:val="fr-FR"/>
        </w:rPr>
        <w:t>Les s</w:t>
      </w:r>
      <w:r w:rsidR="00177921" w:rsidRPr="00AB2600">
        <w:rPr>
          <w:rFonts w:cstheme="minorHAnsi"/>
          <w:color w:val="000000"/>
          <w:lang w:val="fr-FR"/>
        </w:rPr>
        <w:t xml:space="preserve">ecrétariats des </w:t>
      </w:r>
      <w:r w:rsidR="00FC7CCB" w:rsidRPr="00AB2600">
        <w:rPr>
          <w:rFonts w:cstheme="minorHAnsi"/>
          <w:color w:val="000000"/>
          <w:lang w:val="fr-FR"/>
        </w:rPr>
        <w:t>AME</w:t>
      </w:r>
      <w:r w:rsidR="00177921" w:rsidRPr="00AB2600">
        <w:rPr>
          <w:rFonts w:cstheme="minorHAnsi"/>
          <w:color w:val="000000"/>
          <w:lang w:val="fr-FR"/>
        </w:rPr>
        <w:t xml:space="preserve"> qui bénéficient d’un statut en </w:t>
      </w:r>
      <w:r w:rsidR="00177921" w:rsidRPr="00AB2600">
        <w:rPr>
          <w:rFonts w:cstheme="minorHAnsi"/>
          <w:b/>
          <w:color w:val="000000"/>
          <w:lang w:val="fr-FR"/>
        </w:rPr>
        <w:t>grande partie autonome</w:t>
      </w:r>
      <w:r w:rsidR="00FC7CCB" w:rsidRPr="00AB2600">
        <w:rPr>
          <w:rFonts w:cstheme="minorHAnsi"/>
          <w:color w:val="000000"/>
          <w:lang w:val="fr-FR"/>
        </w:rPr>
        <w:t xml:space="preserve"> dont l’organisation se caractérise par un « </w:t>
      </w:r>
      <w:r w:rsidR="00FC7CCB" w:rsidRPr="00AB2600">
        <w:rPr>
          <w:rFonts w:cstheme="minorHAnsi"/>
          <w:b/>
          <w:color w:val="000000"/>
          <w:lang w:val="fr-FR"/>
        </w:rPr>
        <w:t>lien institutionnel</w:t>
      </w:r>
      <w:r w:rsidR="00FC7CCB" w:rsidRPr="00AB2600">
        <w:rPr>
          <w:rFonts w:cstheme="minorHAnsi"/>
          <w:color w:val="000000"/>
          <w:lang w:val="fr-FR"/>
        </w:rPr>
        <w:t xml:space="preserve"> » les rattachant à l’ONU (cas des secrétariats de la </w:t>
      </w:r>
      <w:r w:rsidR="00FC7CCB" w:rsidRPr="00AB2600">
        <w:rPr>
          <w:lang w:val="fr-FR"/>
        </w:rPr>
        <w:t>CCNUCC, et de la</w:t>
      </w:r>
      <w:r w:rsidR="00FC7CCB" w:rsidRPr="00AB2600">
        <w:rPr>
          <w:b/>
          <w:bCs/>
          <w:lang w:val="fr-FR"/>
        </w:rPr>
        <w:t xml:space="preserve"> </w:t>
      </w:r>
      <w:r w:rsidR="00FC7CCB" w:rsidRPr="00AB2600">
        <w:rPr>
          <w:bCs/>
          <w:lang w:val="fr-FR"/>
        </w:rPr>
        <w:t xml:space="preserve">CNULCD ; Option </w:t>
      </w:r>
      <w:r w:rsidR="00FC7CCB" w:rsidRPr="00AB2600">
        <w:rPr>
          <w:b/>
          <w:bCs/>
          <w:lang w:val="fr-FR"/>
        </w:rPr>
        <w:t>A3</w:t>
      </w:r>
      <w:r w:rsidR="00FC7CCB" w:rsidRPr="00AB2600">
        <w:rPr>
          <w:bCs/>
          <w:lang w:val="fr-FR"/>
        </w:rPr>
        <w:t>) ;</w:t>
      </w:r>
    </w:p>
    <w:p w:rsidR="00884714" w:rsidRPr="00AB2600" w:rsidRDefault="00884714" w:rsidP="008A48CE">
      <w:pPr>
        <w:autoSpaceDE w:val="0"/>
        <w:autoSpaceDN w:val="0"/>
        <w:adjustRightInd w:val="0"/>
        <w:spacing w:after="0" w:line="240" w:lineRule="auto"/>
        <w:ind w:left="851" w:hanging="425"/>
        <w:rPr>
          <w:rFonts w:cstheme="minorHAnsi"/>
          <w:color w:val="000000"/>
          <w:lang w:val="fr-FR"/>
        </w:rPr>
      </w:pPr>
    </w:p>
    <w:p w:rsidR="00FC7CCB" w:rsidRPr="00AB2600" w:rsidRDefault="008B18F4" w:rsidP="008A48CE">
      <w:pPr>
        <w:autoSpaceDE w:val="0"/>
        <w:autoSpaceDN w:val="0"/>
        <w:adjustRightInd w:val="0"/>
        <w:spacing w:after="0" w:line="240" w:lineRule="auto"/>
        <w:ind w:left="851" w:hanging="425"/>
        <w:rPr>
          <w:rFonts w:cstheme="minorHAnsi"/>
          <w:color w:val="000000"/>
          <w:lang w:val="fr-FR"/>
        </w:rPr>
      </w:pPr>
      <w:r w:rsidRPr="00AB2600">
        <w:rPr>
          <w:rFonts w:cstheme="minorHAnsi"/>
          <w:color w:val="000000"/>
          <w:lang w:val="fr-FR"/>
        </w:rPr>
        <w:t>d.</w:t>
      </w:r>
      <w:r w:rsidRPr="00AB2600">
        <w:rPr>
          <w:rFonts w:cstheme="minorHAnsi"/>
          <w:color w:val="000000"/>
          <w:lang w:val="fr-FR"/>
        </w:rPr>
        <w:tab/>
      </w:r>
      <w:r w:rsidR="00FC7CCB" w:rsidRPr="00AB2600">
        <w:rPr>
          <w:rFonts w:cstheme="minorHAnsi"/>
          <w:color w:val="000000"/>
          <w:lang w:val="fr-FR"/>
        </w:rPr>
        <w:t xml:space="preserve">Les Secrétariats des AME </w:t>
      </w:r>
      <w:r w:rsidR="00FC7CCB" w:rsidRPr="00AB2600">
        <w:rPr>
          <w:rFonts w:cstheme="minorHAnsi"/>
          <w:b/>
          <w:color w:val="000000"/>
          <w:lang w:val="fr-FR"/>
        </w:rPr>
        <w:t>fortement intégrés</w:t>
      </w:r>
      <w:r w:rsidR="00FC7CCB" w:rsidRPr="00AB2600">
        <w:rPr>
          <w:rFonts w:cstheme="minorHAnsi"/>
          <w:color w:val="000000"/>
          <w:lang w:val="fr-FR"/>
        </w:rPr>
        <w:t xml:space="preserve"> au sein de la structure administrative d’un programme des Nations Unies (exemple du PNUE ; Option </w:t>
      </w:r>
      <w:r w:rsidR="00FC7CCB" w:rsidRPr="00AB2600">
        <w:rPr>
          <w:rFonts w:cstheme="minorHAnsi"/>
          <w:b/>
          <w:color w:val="000000"/>
          <w:lang w:val="fr-FR"/>
        </w:rPr>
        <w:t>B1</w:t>
      </w:r>
      <w:r w:rsidR="00FC7CCB" w:rsidRPr="00AB2600">
        <w:rPr>
          <w:rFonts w:cstheme="minorHAnsi"/>
          <w:color w:val="000000"/>
          <w:lang w:val="fr-FR"/>
        </w:rPr>
        <w:t xml:space="preserve">) ou d’une agence spécialisée des Nations Unies (exemple de l’UNESCO ; Option </w:t>
      </w:r>
      <w:r w:rsidR="00FC7CCB" w:rsidRPr="00AB2600">
        <w:rPr>
          <w:rFonts w:cstheme="minorHAnsi"/>
          <w:b/>
          <w:color w:val="000000"/>
          <w:lang w:val="fr-FR"/>
        </w:rPr>
        <w:t>B2</w:t>
      </w:r>
      <w:r w:rsidR="00FC7CCB" w:rsidRPr="00AB2600">
        <w:rPr>
          <w:rFonts w:cstheme="minorHAnsi"/>
          <w:color w:val="000000"/>
          <w:lang w:val="fr-FR"/>
        </w:rPr>
        <w:t>).</w:t>
      </w:r>
    </w:p>
    <w:p w:rsidR="009F1F36" w:rsidRPr="00AB2600" w:rsidRDefault="009F1F36" w:rsidP="008A48CE">
      <w:pPr>
        <w:autoSpaceDE w:val="0"/>
        <w:autoSpaceDN w:val="0"/>
        <w:adjustRightInd w:val="0"/>
        <w:spacing w:after="0" w:line="240" w:lineRule="auto"/>
        <w:rPr>
          <w:rFonts w:cstheme="minorHAnsi"/>
          <w:color w:val="000000"/>
          <w:lang w:val="fr-FR"/>
        </w:rPr>
      </w:pPr>
    </w:p>
    <w:p w:rsidR="00D158DE" w:rsidRPr="00AB2600" w:rsidRDefault="00D158DE" w:rsidP="008A48CE">
      <w:pPr>
        <w:pStyle w:val="ListParagraph"/>
        <w:numPr>
          <w:ilvl w:val="0"/>
          <w:numId w:val="7"/>
        </w:numPr>
        <w:autoSpaceDE w:val="0"/>
        <w:autoSpaceDN w:val="0"/>
        <w:adjustRightInd w:val="0"/>
        <w:ind w:left="426" w:hanging="426"/>
        <w:jc w:val="left"/>
        <w:rPr>
          <w:rFonts w:asciiTheme="minorHAnsi" w:hAnsiTheme="minorHAnsi" w:cstheme="minorHAnsi"/>
          <w:color w:val="000000"/>
          <w:lang w:val="fr-FR"/>
        </w:rPr>
      </w:pPr>
      <w:r w:rsidRPr="00AB2600">
        <w:rPr>
          <w:rFonts w:asciiTheme="minorHAnsi" w:hAnsiTheme="minorHAnsi" w:cstheme="minorHAnsi"/>
          <w:color w:val="000000"/>
          <w:lang w:val="fr-FR"/>
        </w:rPr>
        <w:t xml:space="preserve">Autres possibilités explorées dans le rapport (sections </w:t>
      </w:r>
      <w:r w:rsidRPr="00AB2600">
        <w:rPr>
          <w:rFonts w:asciiTheme="minorHAnsi" w:hAnsiTheme="minorHAnsi" w:cstheme="minorHAnsi"/>
          <w:b/>
          <w:bCs/>
          <w:color w:val="000000"/>
          <w:lang w:val="fr-FR"/>
        </w:rPr>
        <w:t>C1</w:t>
      </w:r>
      <w:r w:rsidRPr="00AB2600">
        <w:rPr>
          <w:rFonts w:asciiTheme="minorHAnsi" w:hAnsiTheme="minorHAnsi" w:cstheme="minorHAnsi"/>
          <w:color w:val="000000"/>
          <w:lang w:val="fr-FR"/>
        </w:rPr>
        <w:t>-</w:t>
      </w:r>
      <w:r w:rsidRPr="00AB2600">
        <w:rPr>
          <w:rFonts w:asciiTheme="minorHAnsi" w:hAnsiTheme="minorHAnsi" w:cstheme="minorHAnsi"/>
          <w:b/>
          <w:bCs/>
          <w:color w:val="000000"/>
          <w:lang w:val="fr-FR"/>
        </w:rPr>
        <w:t xml:space="preserve">C3 </w:t>
      </w:r>
      <w:r w:rsidRPr="00AB2600">
        <w:rPr>
          <w:rFonts w:asciiTheme="minorHAnsi" w:hAnsiTheme="minorHAnsi" w:cstheme="minorHAnsi"/>
          <w:color w:val="000000"/>
          <w:lang w:val="fr-FR"/>
        </w:rPr>
        <w:t xml:space="preserve">des parties III and IV) et qui visent uniquement à favoriser la participation aux forums et processus de haut niveau des Nations Unies </w:t>
      </w:r>
      <w:r w:rsidR="00A86655">
        <w:rPr>
          <w:rFonts w:asciiTheme="minorHAnsi" w:hAnsiTheme="minorHAnsi" w:cstheme="minorHAnsi"/>
          <w:color w:val="000000"/>
          <w:lang w:val="fr-FR"/>
        </w:rPr>
        <w:t>sous les auspices</w:t>
      </w:r>
      <w:r w:rsidRPr="00AB2600">
        <w:rPr>
          <w:rFonts w:asciiTheme="minorHAnsi" w:hAnsiTheme="minorHAnsi" w:cstheme="minorHAnsi"/>
          <w:color w:val="000000"/>
          <w:lang w:val="fr-FR"/>
        </w:rPr>
        <w:t xml:space="preserve"> de l’Assemblée générale, respectivement ECOSOC, en particulier </w:t>
      </w:r>
      <w:r w:rsidR="00A86655">
        <w:rPr>
          <w:rFonts w:asciiTheme="minorHAnsi" w:hAnsiTheme="minorHAnsi" w:cstheme="minorHAnsi"/>
          <w:color w:val="000000"/>
          <w:lang w:val="fr-FR"/>
        </w:rPr>
        <w:t xml:space="preserve">dans </w:t>
      </w:r>
      <w:r w:rsidRPr="00AB2600">
        <w:rPr>
          <w:rFonts w:asciiTheme="minorHAnsi" w:hAnsiTheme="minorHAnsi" w:cstheme="minorHAnsi"/>
          <w:color w:val="000000"/>
          <w:lang w:val="fr-FR"/>
        </w:rPr>
        <w:t xml:space="preserve">le </w:t>
      </w:r>
      <w:r w:rsidR="00A86655">
        <w:rPr>
          <w:rFonts w:asciiTheme="minorHAnsi" w:hAnsiTheme="minorHAnsi" w:cstheme="minorHAnsi"/>
          <w:color w:val="000000"/>
          <w:lang w:val="fr-FR"/>
        </w:rPr>
        <w:t xml:space="preserve">cadre du </w:t>
      </w:r>
      <w:r w:rsidRPr="00AB2600">
        <w:rPr>
          <w:rFonts w:asciiTheme="minorHAnsi" w:hAnsiTheme="minorHAnsi" w:cstheme="minorHAnsi"/>
          <w:color w:val="000000"/>
          <w:lang w:val="fr-FR"/>
        </w:rPr>
        <w:t>HLPF :</w:t>
      </w:r>
    </w:p>
    <w:p w:rsidR="00D41F93" w:rsidRPr="00AB2600" w:rsidRDefault="00D41F93" w:rsidP="008A48CE">
      <w:pPr>
        <w:autoSpaceDE w:val="0"/>
        <w:autoSpaceDN w:val="0"/>
        <w:adjustRightInd w:val="0"/>
        <w:spacing w:after="0" w:line="240" w:lineRule="auto"/>
        <w:rPr>
          <w:rFonts w:cstheme="minorHAnsi"/>
          <w:color w:val="000000"/>
          <w:lang w:val="fr-FR"/>
        </w:rPr>
      </w:pPr>
    </w:p>
    <w:p w:rsidR="00D41F93" w:rsidRPr="00AB2600" w:rsidRDefault="00D41F93" w:rsidP="008A48CE">
      <w:pPr>
        <w:autoSpaceDE w:val="0"/>
        <w:autoSpaceDN w:val="0"/>
        <w:adjustRightInd w:val="0"/>
        <w:spacing w:after="0" w:line="240" w:lineRule="auto"/>
        <w:ind w:left="851" w:hanging="425"/>
        <w:rPr>
          <w:rFonts w:cstheme="minorHAnsi"/>
          <w:color w:val="000000"/>
          <w:lang w:val="fr-FR"/>
        </w:rPr>
      </w:pPr>
      <w:r w:rsidRPr="00AB2600">
        <w:rPr>
          <w:rFonts w:cstheme="minorHAnsi"/>
          <w:color w:val="000000"/>
          <w:lang w:val="fr-FR"/>
        </w:rPr>
        <w:t>a.</w:t>
      </w:r>
      <w:r w:rsidR="008B18F4" w:rsidRPr="00AB2600">
        <w:rPr>
          <w:rFonts w:cstheme="minorHAnsi"/>
          <w:color w:val="000000"/>
          <w:lang w:val="fr-FR"/>
        </w:rPr>
        <w:tab/>
      </w:r>
      <w:r w:rsidR="00D158DE" w:rsidRPr="00AB2600">
        <w:rPr>
          <w:rFonts w:cstheme="minorHAnsi"/>
          <w:color w:val="000000"/>
          <w:lang w:val="fr-FR"/>
        </w:rPr>
        <w:t xml:space="preserve">Poursuivre avec la demande (modifiée) de voir la </w:t>
      </w:r>
      <w:r w:rsidR="00D158DE" w:rsidRPr="00A86655">
        <w:rPr>
          <w:rFonts w:cstheme="minorHAnsi"/>
          <w:i/>
          <w:color w:val="000000"/>
          <w:lang w:val="fr-FR"/>
        </w:rPr>
        <w:t xml:space="preserve">Convention </w:t>
      </w:r>
      <w:r w:rsidR="00D158DE" w:rsidRPr="00AB2600">
        <w:rPr>
          <w:rFonts w:cstheme="minorHAnsi"/>
          <w:color w:val="000000"/>
          <w:lang w:val="fr-FR"/>
        </w:rPr>
        <w:t xml:space="preserve">Ramsar se faire </w:t>
      </w:r>
      <w:r w:rsidR="00B82795" w:rsidRPr="00AB2600">
        <w:rPr>
          <w:rFonts w:cstheme="minorHAnsi"/>
          <w:color w:val="000000"/>
          <w:lang w:val="fr-FR"/>
        </w:rPr>
        <w:t>octroy</w:t>
      </w:r>
      <w:r w:rsidR="00D158DE" w:rsidRPr="00AB2600">
        <w:rPr>
          <w:rFonts w:cstheme="minorHAnsi"/>
          <w:color w:val="000000"/>
          <w:lang w:val="fr-FR"/>
        </w:rPr>
        <w:t xml:space="preserve">er le </w:t>
      </w:r>
      <w:r w:rsidR="00D158DE" w:rsidRPr="00AB2600">
        <w:rPr>
          <w:rFonts w:cstheme="minorHAnsi"/>
          <w:b/>
          <w:color w:val="000000"/>
          <w:lang w:val="fr-FR"/>
        </w:rPr>
        <w:t xml:space="preserve">statut d’observateur </w:t>
      </w:r>
      <w:r w:rsidR="00A86655">
        <w:rPr>
          <w:rFonts w:cstheme="minorHAnsi"/>
          <w:b/>
          <w:color w:val="000000"/>
          <w:lang w:val="fr-FR"/>
        </w:rPr>
        <w:t>auprès de</w:t>
      </w:r>
      <w:r w:rsidR="00D158DE" w:rsidRPr="00AB2600">
        <w:rPr>
          <w:rFonts w:cstheme="minorHAnsi"/>
          <w:b/>
          <w:color w:val="000000"/>
          <w:lang w:val="fr-FR"/>
        </w:rPr>
        <w:t xml:space="preserve"> l’Assemblée générale des Nations Unies</w:t>
      </w:r>
      <w:r w:rsidR="00D158DE" w:rsidRPr="00AB2600">
        <w:rPr>
          <w:rFonts w:cstheme="minorHAnsi"/>
          <w:color w:val="000000"/>
          <w:lang w:val="fr-FR"/>
        </w:rPr>
        <w:t xml:space="preserve"> (en tant qu’OIG) (</w:t>
      </w:r>
      <w:r w:rsidR="00B82795" w:rsidRPr="00AB2600">
        <w:rPr>
          <w:rFonts w:cstheme="minorHAnsi"/>
          <w:color w:val="000000"/>
          <w:lang w:val="fr-FR"/>
        </w:rPr>
        <w:t>option </w:t>
      </w:r>
      <w:r w:rsidR="00D158DE" w:rsidRPr="00AB2600">
        <w:rPr>
          <w:rFonts w:cstheme="minorHAnsi"/>
          <w:color w:val="000000"/>
          <w:lang w:val="fr-FR"/>
        </w:rPr>
        <w:t>C1)</w:t>
      </w:r>
      <w:r w:rsidR="00B82795" w:rsidRPr="00AB2600">
        <w:rPr>
          <w:rFonts w:cstheme="minorHAnsi"/>
          <w:color w:val="000000"/>
          <w:lang w:val="fr-FR"/>
        </w:rPr>
        <w:t> </w:t>
      </w:r>
      <w:r w:rsidR="00D158DE" w:rsidRPr="00AB2600">
        <w:rPr>
          <w:rFonts w:cstheme="minorHAnsi"/>
          <w:color w:val="000000"/>
          <w:lang w:val="fr-FR"/>
        </w:rPr>
        <w:t>;</w:t>
      </w:r>
    </w:p>
    <w:p w:rsidR="008B18F4" w:rsidRPr="00AB2600" w:rsidRDefault="008B18F4" w:rsidP="008A48CE">
      <w:pPr>
        <w:autoSpaceDE w:val="0"/>
        <w:autoSpaceDN w:val="0"/>
        <w:adjustRightInd w:val="0"/>
        <w:spacing w:after="0" w:line="240" w:lineRule="auto"/>
        <w:ind w:left="851" w:hanging="425"/>
        <w:rPr>
          <w:rFonts w:cstheme="minorHAnsi"/>
          <w:color w:val="000000"/>
          <w:lang w:val="fr-FR"/>
        </w:rPr>
      </w:pPr>
    </w:p>
    <w:p w:rsidR="00B82795" w:rsidRPr="00AB2600" w:rsidRDefault="008B18F4" w:rsidP="008A48CE">
      <w:pPr>
        <w:autoSpaceDE w:val="0"/>
        <w:autoSpaceDN w:val="0"/>
        <w:adjustRightInd w:val="0"/>
        <w:spacing w:after="0" w:line="240" w:lineRule="auto"/>
        <w:ind w:left="851" w:hanging="425"/>
        <w:rPr>
          <w:rFonts w:cstheme="minorHAnsi"/>
          <w:color w:val="000000"/>
          <w:lang w:val="fr-FR"/>
        </w:rPr>
      </w:pPr>
      <w:r w:rsidRPr="00AB2600">
        <w:rPr>
          <w:rFonts w:cstheme="minorHAnsi"/>
          <w:color w:val="000000"/>
          <w:lang w:val="fr-FR"/>
        </w:rPr>
        <w:t>b.</w:t>
      </w:r>
      <w:r w:rsidRPr="00AB2600">
        <w:rPr>
          <w:rFonts w:cstheme="minorHAnsi"/>
          <w:color w:val="000000"/>
          <w:lang w:val="fr-FR"/>
        </w:rPr>
        <w:tab/>
      </w:r>
      <w:r w:rsidR="00B82795" w:rsidRPr="00AB2600">
        <w:rPr>
          <w:rFonts w:cstheme="minorHAnsi"/>
          <w:b/>
          <w:color w:val="000000"/>
          <w:lang w:val="fr-FR"/>
        </w:rPr>
        <w:t>Élargir les possibilités de participer aux processus des</w:t>
      </w:r>
      <w:r w:rsidR="0066007A" w:rsidRPr="00AB2600">
        <w:rPr>
          <w:rFonts w:cstheme="minorHAnsi"/>
          <w:b/>
          <w:color w:val="000000"/>
          <w:lang w:val="fr-FR"/>
        </w:rPr>
        <w:t xml:space="preserve"> Nations Unies</w:t>
      </w:r>
      <w:r w:rsidR="0066007A" w:rsidRPr="00AB2600">
        <w:rPr>
          <w:rFonts w:cstheme="minorHAnsi"/>
          <w:color w:val="000000"/>
          <w:lang w:val="fr-FR"/>
        </w:rPr>
        <w:t xml:space="preserve"> dans le contexte de la réforme des modalités de participation au HLPF (« option » C2) ;</w:t>
      </w:r>
    </w:p>
    <w:p w:rsidR="008B18F4" w:rsidRPr="00AB2600" w:rsidRDefault="008B18F4" w:rsidP="008A48CE">
      <w:pPr>
        <w:autoSpaceDE w:val="0"/>
        <w:autoSpaceDN w:val="0"/>
        <w:adjustRightInd w:val="0"/>
        <w:spacing w:after="0" w:line="240" w:lineRule="auto"/>
        <w:ind w:left="851" w:hanging="425"/>
        <w:rPr>
          <w:rFonts w:cstheme="minorHAnsi"/>
          <w:color w:val="000000"/>
          <w:lang w:val="fr-FR"/>
        </w:rPr>
      </w:pPr>
    </w:p>
    <w:p w:rsidR="0066007A" w:rsidRPr="00AB2600" w:rsidRDefault="008B18F4" w:rsidP="008A48CE">
      <w:pPr>
        <w:autoSpaceDE w:val="0"/>
        <w:autoSpaceDN w:val="0"/>
        <w:adjustRightInd w:val="0"/>
        <w:spacing w:after="0" w:line="240" w:lineRule="auto"/>
        <w:ind w:left="851" w:hanging="425"/>
        <w:rPr>
          <w:rFonts w:cstheme="minorHAnsi"/>
          <w:color w:val="000000"/>
          <w:lang w:val="fr-FR"/>
        </w:rPr>
      </w:pPr>
      <w:r w:rsidRPr="00AB2600">
        <w:rPr>
          <w:rFonts w:cstheme="minorHAnsi"/>
          <w:color w:val="000000"/>
          <w:lang w:val="fr-FR"/>
        </w:rPr>
        <w:t>c.</w:t>
      </w:r>
      <w:r w:rsidRPr="00AB2600">
        <w:rPr>
          <w:rFonts w:cstheme="minorHAnsi"/>
          <w:color w:val="000000"/>
          <w:lang w:val="fr-FR"/>
        </w:rPr>
        <w:tab/>
      </w:r>
      <w:r w:rsidR="0066007A" w:rsidRPr="00AB2600">
        <w:rPr>
          <w:rFonts w:cstheme="minorHAnsi"/>
          <w:b/>
          <w:color w:val="000000"/>
          <w:lang w:val="fr-FR"/>
        </w:rPr>
        <w:t>Demander à ECOSOC</w:t>
      </w:r>
      <w:r w:rsidR="0066007A" w:rsidRPr="00AB2600">
        <w:rPr>
          <w:rFonts w:cstheme="minorHAnsi"/>
          <w:color w:val="000000"/>
          <w:lang w:val="fr-FR"/>
        </w:rPr>
        <w:t xml:space="preserve"> de désigner la Convention Ramsar pour participer aux délibérations d’ECOSOC et </w:t>
      </w:r>
      <w:r w:rsidR="00A86655">
        <w:rPr>
          <w:rFonts w:cstheme="minorHAnsi"/>
          <w:color w:val="000000"/>
          <w:lang w:val="fr-FR"/>
        </w:rPr>
        <w:t xml:space="preserve">à </w:t>
      </w:r>
      <w:r w:rsidR="0066007A" w:rsidRPr="00AB2600">
        <w:rPr>
          <w:rFonts w:cstheme="minorHAnsi"/>
          <w:color w:val="000000"/>
          <w:lang w:val="fr-FR"/>
        </w:rPr>
        <w:t>ses commissions techniques, ce qui inclurait la participation aux réunions du HLPF organisées dan</w:t>
      </w:r>
      <w:r w:rsidR="00A86655">
        <w:rPr>
          <w:rFonts w:cstheme="minorHAnsi"/>
          <w:color w:val="000000"/>
          <w:lang w:val="fr-FR"/>
        </w:rPr>
        <w:t>s le cadre d’ECOSOC (« option »</w:t>
      </w:r>
      <w:r w:rsidR="0066007A" w:rsidRPr="00AB2600">
        <w:rPr>
          <w:rFonts w:cstheme="minorHAnsi"/>
          <w:color w:val="000000"/>
          <w:lang w:val="fr-FR"/>
        </w:rPr>
        <w:t xml:space="preserve"> C3).</w:t>
      </w:r>
    </w:p>
    <w:p w:rsidR="00D41F93" w:rsidRPr="00AB2600" w:rsidRDefault="00D41F93" w:rsidP="008A48CE">
      <w:pPr>
        <w:numPr>
          <w:ilvl w:val="1"/>
          <w:numId w:val="5"/>
        </w:numPr>
        <w:autoSpaceDE w:val="0"/>
        <w:autoSpaceDN w:val="0"/>
        <w:adjustRightInd w:val="0"/>
        <w:spacing w:after="0" w:line="240" w:lineRule="auto"/>
        <w:rPr>
          <w:rFonts w:cstheme="minorHAnsi"/>
          <w:color w:val="000000"/>
          <w:lang w:val="fr-FR"/>
        </w:rPr>
      </w:pPr>
    </w:p>
    <w:p w:rsidR="0066007A" w:rsidRPr="00AB2600" w:rsidRDefault="0066007A" w:rsidP="008A48CE">
      <w:pPr>
        <w:pStyle w:val="ListParagraph"/>
        <w:numPr>
          <w:ilvl w:val="0"/>
          <w:numId w:val="7"/>
        </w:numPr>
        <w:autoSpaceDE w:val="0"/>
        <w:autoSpaceDN w:val="0"/>
        <w:adjustRightInd w:val="0"/>
        <w:ind w:left="426" w:hanging="568"/>
        <w:jc w:val="left"/>
        <w:rPr>
          <w:rFonts w:asciiTheme="minorHAnsi" w:hAnsiTheme="minorHAnsi" w:cstheme="minorHAnsi"/>
          <w:lang w:val="fr-FR"/>
        </w:rPr>
      </w:pPr>
      <w:r w:rsidRPr="00AB2600">
        <w:rPr>
          <w:rFonts w:asciiTheme="minorHAnsi" w:hAnsiTheme="minorHAnsi" w:cstheme="minorHAnsi"/>
          <w:lang w:val="fr-FR"/>
        </w:rPr>
        <w:t xml:space="preserve">À partir des cinq principales options propres à répondre aux </w:t>
      </w:r>
      <w:r w:rsidR="00A86655">
        <w:rPr>
          <w:rFonts w:asciiTheme="minorHAnsi" w:hAnsiTheme="minorHAnsi" w:cstheme="minorHAnsi"/>
          <w:lang w:val="fr-FR"/>
        </w:rPr>
        <w:t>questions clés</w:t>
      </w:r>
      <w:r w:rsidRPr="00AB2600">
        <w:rPr>
          <w:rFonts w:asciiTheme="minorHAnsi" w:hAnsiTheme="minorHAnsi" w:cstheme="minorHAnsi"/>
          <w:lang w:val="fr-FR"/>
        </w:rPr>
        <w:t xml:space="preserve"> concernant le statut</w:t>
      </w:r>
      <w:r w:rsidR="00A86655">
        <w:rPr>
          <w:rFonts w:asciiTheme="minorHAnsi" w:hAnsiTheme="minorHAnsi" w:cstheme="minorHAnsi"/>
          <w:lang w:val="fr-FR"/>
        </w:rPr>
        <w:t xml:space="preserve"> juridique du Secrétariat et son fonctionnement</w:t>
      </w:r>
      <w:r w:rsidRPr="00AB2600">
        <w:rPr>
          <w:rFonts w:asciiTheme="minorHAnsi" w:hAnsiTheme="minorHAnsi" w:cstheme="minorHAnsi"/>
          <w:lang w:val="fr-FR"/>
        </w:rPr>
        <w:t xml:space="preserve">, le Groupe de travail a convenu d’entreprendre une analyse financière approfondie des options </w:t>
      </w:r>
      <w:r w:rsidR="00A86655">
        <w:rPr>
          <w:rFonts w:asciiTheme="minorHAnsi" w:hAnsiTheme="minorHAnsi" w:cstheme="minorHAnsi"/>
          <w:lang w:val="fr-FR"/>
        </w:rPr>
        <w:t>retenu</w:t>
      </w:r>
      <w:r w:rsidRPr="00AB2600">
        <w:rPr>
          <w:rFonts w:asciiTheme="minorHAnsi" w:hAnsiTheme="minorHAnsi" w:cstheme="minorHAnsi"/>
          <w:lang w:val="fr-FR"/>
        </w:rPr>
        <w:t>es avec l’aide d’un consultant</w:t>
      </w:r>
      <w:r w:rsidR="00F13981" w:rsidRPr="00AB2600">
        <w:rPr>
          <w:rFonts w:asciiTheme="minorHAnsi" w:hAnsiTheme="minorHAnsi" w:cstheme="minorHAnsi"/>
          <w:lang w:val="fr-FR"/>
        </w:rPr>
        <w:t>, analyse</w:t>
      </w:r>
      <w:r w:rsidRPr="00AB2600">
        <w:rPr>
          <w:rFonts w:asciiTheme="minorHAnsi" w:hAnsiTheme="minorHAnsi" w:cstheme="minorHAnsi"/>
          <w:lang w:val="fr-FR"/>
        </w:rPr>
        <w:t xml:space="preserve"> qui pourrait être présentée dans le rapport du Groupe de travail et dans ses recommandations à la SC59.</w:t>
      </w:r>
      <w:r w:rsidR="008D2CD1">
        <w:rPr>
          <w:rFonts w:asciiTheme="minorHAnsi" w:hAnsiTheme="minorHAnsi" w:cstheme="minorHAnsi"/>
          <w:lang w:val="fr-FR"/>
        </w:rPr>
        <w:t xml:space="preserve"> Le Groupe de travail a adopté le cahier des charges de cette consultation.</w:t>
      </w:r>
    </w:p>
    <w:p w:rsidR="00A259BE" w:rsidRPr="00AB2600" w:rsidRDefault="00A259BE" w:rsidP="008A48CE">
      <w:pPr>
        <w:autoSpaceDE w:val="0"/>
        <w:autoSpaceDN w:val="0"/>
        <w:adjustRightInd w:val="0"/>
        <w:spacing w:after="0" w:line="240" w:lineRule="auto"/>
        <w:rPr>
          <w:rFonts w:cstheme="minorHAnsi"/>
          <w:lang w:val="fr-FR"/>
        </w:rPr>
      </w:pPr>
    </w:p>
    <w:p w:rsidR="00F13981" w:rsidRPr="00AB2600" w:rsidRDefault="00F13981" w:rsidP="008A48CE">
      <w:pPr>
        <w:pStyle w:val="ListParagraph"/>
        <w:numPr>
          <w:ilvl w:val="0"/>
          <w:numId w:val="7"/>
        </w:numPr>
        <w:ind w:left="426" w:hanging="568"/>
        <w:jc w:val="left"/>
        <w:rPr>
          <w:rFonts w:asciiTheme="minorHAnsi" w:hAnsiTheme="minorHAnsi" w:cstheme="minorHAnsi"/>
          <w:lang w:val="fr-FR"/>
        </w:rPr>
      </w:pPr>
      <w:r w:rsidRPr="00AB2600">
        <w:rPr>
          <w:rFonts w:asciiTheme="minorHAnsi" w:hAnsiTheme="minorHAnsi" w:cstheme="minorHAnsi"/>
          <w:lang w:val="fr-FR"/>
        </w:rPr>
        <w:t xml:space="preserve">Le consultant préparera une analyse comparative des trois options </w:t>
      </w:r>
      <w:r w:rsidR="008D2CD1">
        <w:rPr>
          <w:rFonts w:asciiTheme="minorHAnsi" w:hAnsiTheme="minorHAnsi" w:cstheme="minorHAnsi"/>
          <w:lang w:val="fr-FR"/>
        </w:rPr>
        <w:t>retenues</w:t>
      </w:r>
      <w:r w:rsidRPr="00AB2600">
        <w:rPr>
          <w:rFonts w:asciiTheme="minorHAnsi" w:hAnsiTheme="minorHAnsi" w:cstheme="minorHAnsi"/>
          <w:lang w:val="fr-FR"/>
        </w:rPr>
        <w:t xml:space="preserve"> par le Groupe de travail comme </w:t>
      </w:r>
      <w:r w:rsidR="008D2CD1">
        <w:rPr>
          <w:rFonts w:asciiTheme="minorHAnsi" w:hAnsiTheme="minorHAnsi" w:cstheme="minorHAnsi"/>
          <w:lang w:val="fr-FR"/>
        </w:rPr>
        <w:t xml:space="preserve">étant </w:t>
      </w:r>
      <w:r w:rsidRPr="00AB2600">
        <w:rPr>
          <w:rFonts w:asciiTheme="minorHAnsi" w:hAnsiTheme="minorHAnsi" w:cstheme="minorHAnsi"/>
          <w:lang w:val="fr-FR"/>
        </w:rPr>
        <w:t xml:space="preserve">les plus viables, en plus de l’organisation actuelle du Secrétariat </w:t>
      </w:r>
      <w:r w:rsidR="008D2CD1">
        <w:rPr>
          <w:rFonts w:asciiTheme="minorHAnsi" w:hAnsiTheme="minorHAnsi" w:cstheme="minorHAnsi"/>
          <w:lang w:val="fr-FR"/>
        </w:rPr>
        <w:t>de la Convention Ramsar hébergé</w:t>
      </w:r>
      <w:r w:rsidRPr="00AB2600">
        <w:rPr>
          <w:rFonts w:asciiTheme="minorHAnsi" w:hAnsiTheme="minorHAnsi" w:cstheme="minorHAnsi"/>
          <w:lang w:val="fr-FR"/>
        </w:rPr>
        <w:t xml:space="preserve"> par l’UICN, à savoir : </w:t>
      </w:r>
    </w:p>
    <w:p w:rsidR="00A259BE" w:rsidRPr="00AB2600" w:rsidRDefault="00A259BE" w:rsidP="008A48CE">
      <w:pPr>
        <w:autoSpaceDE w:val="0"/>
        <w:autoSpaceDN w:val="0"/>
        <w:adjustRightInd w:val="0"/>
        <w:spacing w:after="0" w:line="240" w:lineRule="auto"/>
        <w:rPr>
          <w:rFonts w:cstheme="minorHAnsi"/>
          <w:lang w:val="fr-FR"/>
        </w:rPr>
      </w:pPr>
    </w:p>
    <w:p w:rsidR="00A259BE" w:rsidRPr="00AB2600" w:rsidRDefault="00F13981" w:rsidP="008A48CE">
      <w:pPr>
        <w:pStyle w:val="Default"/>
        <w:numPr>
          <w:ilvl w:val="0"/>
          <w:numId w:val="14"/>
        </w:numPr>
        <w:ind w:left="851" w:hanging="425"/>
        <w:rPr>
          <w:rFonts w:asciiTheme="minorHAnsi" w:hAnsiTheme="minorHAnsi" w:cstheme="minorHAnsi"/>
          <w:bCs/>
          <w:color w:val="auto"/>
          <w:sz w:val="22"/>
          <w:szCs w:val="22"/>
          <w:lang w:val="fr-FR"/>
        </w:rPr>
      </w:pPr>
      <w:r w:rsidRPr="00AB2600">
        <w:rPr>
          <w:rFonts w:asciiTheme="minorHAnsi" w:hAnsiTheme="minorHAnsi" w:cstheme="minorHAnsi"/>
          <w:color w:val="auto"/>
          <w:sz w:val="22"/>
          <w:szCs w:val="22"/>
          <w:lang w:val="fr-FR"/>
        </w:rPr>
        <w:t>Secrétariat</w:t>
      </w:r>
      <w:r w:rsidR="00A259BE" w:rsidRPr="00AB2600">
        <w:rPr>
          <w:rFonts w:asciiTheme="minorHAnsi" w:hAnsiTheme="minorHAnsi" w:cstheme="minorHAnsi"/>
          <w:color w:val="auto"/>
          <w:sz w:val="22"/>
          <w:szCs w:val="22"/>
          <w:lang w:val="fr-FR"/>
        </w:rPr>
        <w:t xml:space="preserve"> </w:t>
      </w:r>
      <w:r w:rsidRPr="00AB2600">
        <w:rPr>
          <w:rFonts w:asciiTheme="minorHAnsi" w:hAnsiTheme="minorHAnsi" w:cstheme="minorHAnsi"/>
          <w:color w:val="auto"/>
          <w:sz w:val="22"/>
          <w:szCs w:val="22"/>
          <w:lang w:val="fr-FR"/>
        </w:rPr>
        <w:t>des OIG traditionnelles</w:t>
      </w:r>
      <w:r w:rsidR="00A259BE" w:rsidRPr="00AB2600">
        <w:rPr>
          <w:rFonts w:asciiTheme="minorHAnsi" w:hAnsiTheme="minorHAnsi" w:cstheme="minorHAnsi"/>
          <w:bCs/>
          <w:color w:val="auto"/>
          <w:sz w:val="22"/>
          <w:szCs w:val="22"/>
          <w:lang w:val="fr-FR"/>
        </w:rPr>
        <w:t xml:space="preserve"> (A1)</w:t>
      </w:r>
    </w:p>
    <w:p w:rsidR="00A259BE" w:rsidRPr="00AB2600" w:rsidRDefault="00F13981" w:rsidP="008A48CE">
      <w:pPr>
        <w:pStyle w:val="Default"/>
        <w:numPr>
          <w:ilvl w:val="0"/>
          <w:numId w:val="14"/>
        </w:numPr>
        <w:ind w:left="851" w:hanging="425"/>
        <w:rPr>
          <w:rFonts w:asciiTheme="minorHAnsi" w:hAnsiTheme="minorHAnsi" w:cstheme="minorHAnsi"/>
          <w:color w:val="auto"/>
          <w:sz w:val="22"/>
          <w:szCs w:val="22"/>
          <w:lang w:val="fr-FR"/>
        </w:rPr>
      </w:pPr>
      <w:r w:rsidRPr="00AB2600">
        <w:rPr>
          <w:rFonts w:asciiTheme="minorHAnsi" w:hAnsiTheme="minorHAnsi" w:cstheme="minorHAnsi"/>
          <w:color w:val="auto"/>
          <w:sz w:val="22"/>
          <w:szCs w:val="22"/>
          <w:lang w:val="fr-FR"/>
        </w:rPr>
        <w:t xml:space="preserve">Accords multilatéraux pour l’environnement (AME), lien institutionnel avec les Nations Unies </w:t>
      </w:r>
      <w:r w:rsidR="00A259BE" w:rsidRPr="00AB2600">
        <w:rPr>
          <w:rFonts w:asciiTheme="minorHAnsi" w:hAnsiTheme="minorHAnsi" w:cstheme="minorHAnsi"/>
          <w:bCs/>
          <w:color w:val="auto"/>
          <w:sz w:val="22"/>
          <w:szCs w:val="22"/>
          <w:lang w:val="fr-FR"/>
        </w:rPr>
        <w:t>(A3)</w:t>
      </w:r>
    </w:p>
    <w:p w:rsidR="00A259BE" w:rsidRPr="00AB2600" w:rsidRDefault="00AB1D31" w:rsidP="008A48CE">
      <w:pPr>
        <w:pStyle w:val="Default"/>
        <w:numPr>
          <w:ilvl w:val="0"/>
          <w:numId w:val="14"/>
        </w:numPr>
        <w:ind w:left="851" w:hanging="425"/>
        <w:rPr>
          <w:rFonts w:asciiTheme="minorHAnsi" w:hAnsiTheme="minorHAnsi" w:cstheme="minorHAnsi"/>
          <w:color w:val="auto"/>
          <w:sz w:val="22"/>
          <w:szCs w:val="22"/>
          <w:lang w:val="fr-FR"/>
        </w:rPr>
      </w:pPr>
      <w:r w:rsidRPr="00AB2600">
        <w:rPr>
          <w:rFonts w:asciiTheme="minorHAnsi" w:hAnsiTheme="minorHAnsi" w:cstheme="minorHAnsi"/>
          <w:bCs/>
          <w:color w:val="auto"/>
          <w:sz w:val="22"/>
          <w:szCs w:val="22"/>
          <w:lang w:val="fr-FR"/>
        </w:rPr>
        <w:t>Partie du PNUE</w:t>
      </w:r>
      <w:r w:rsidR="00A259BE" w:rsidRPr="00AB2600">
        <w:rPr>
          <w:rFonts w:asciiTheme="minorHAnsi" w:hAnsiTheme="minorHAnsi" w:cstheme="minorHAnsi"/>
          <w:bCs/>
          <w:color w:val="auto"/>
          <w:sz w:val="22"/>
          <w:szCs w:val="22"/>
          <w:lang w:val="fr-FR"/>
        </w:rPr>
        <w:t xml:space="preserve"> </w:t>
      </w:r>
      <w:r w:rsidR="00A259BE" w:rsidRPr="00AB2600">
        <w:rPr>
          <w:rFonts w:asciiTheme="minorHAnsi" w:hAnsiTheme="minorHAnsi" w:cstheme="minorHAnsi"/>
          <w:color w:val="auto"/>
          <w:sz w:val="22"/>
          <w:szCs w:val="22"/>
          <w:lang w:val="fr-FR"/>
        </w:rPr>
        <w:t>(Option B1)</w:t>
      </w:r>
    </w:p>
    <w:p w:rsidR="00A259BE" w:rsidRPr="00AB2600" w:rsidRDefault="00AB1D31" w:rsidP="008A48CE">
      <w:pPr>
        <w:pStyle w:val="Default"/>
        <w:numPr>
          <w:ilvl w:val="0"/>
          <w:numId w:val="14"/>
        </w:numPr>
        <w:ind w:left="851" w:hanging="425"/>
        <w:rPr>
          <w:rFonts w:asciiTheme="minorHAnsi" w:hAnsiTheme="minorHAnsi" w:cstheme="minorHAnsi"/>
          <w:color w:val="auto"/>
          <w:sz w:val="22"/>
          <w:szCs w:val="22"/>
          <w:lang w:val="fr-FR"/>
        </w:rPr>
      </w:pPr>
      <w:r w:rsidRPr="00AB2600">
        <w:rPr>
          <w:rFonts w:asciiTheme="minorHAnsi" w:hAnsiTheme="minorHAnsi" w:cstheme="minorHAnsi"/>
          <w:color w:val="auto"/>
          <w:sz w:val="22"/>
          <w:szCs w:val="22"/>
          <w:lang w:val="fr-FR"/>
        </w:rPr>
        <w:t>Scénario actuel du Secrétariat de la Convention/UICN - y compris une analyse comparative des salair</w:t>
      </w:r>
      <w:r w:rsidR="008D2CD1">
        <w:rPr>
          <w:rFonts w:asciiTheme="minorHAnsi" w:hAnsiTheme="minorHAnsi" w:cstheme="minorHAnsi"/>
          <w:color w:val="auto"/>
          <w:sz w:val="22"/>
          <w:szCs w:val="22"/>
          <w:lang w:val="fr-FR"/>
        </w:rPr>
        <w:t xml:space="preserve">es et avantages sociaux entre UICN et </w:t>
      </w:r>
      <w:r w:rsidRPr="00AB2600">
        <w:rPr>
          <w:rFonts w:asciiTheme="minorHAnsi" w:hAnsiTheme="minorHAnsi" w:cstheme="minorHAnsi"/>
          <w:color w:val="auto"/>
          <w:sz w:val="22"/>
          <w:szCs w:val="22"/>
          <w:lang w:val="fr-FR"/>
        </w:rPr>
        <w:t xml:space="preserve">Système des Nations Unies </w:t>
      </w:r>
    </w:p>
    <w:p w:rsidR="00B90D52" w:rsidRPr="00AB2600" w:rsidRDefault="00B90D52" w:rsidP="008A48CE">
      <w:pPr>
        <w:pStyle w:val="wordsection1"/>
        <w:spacing w:before="0" w:beforeAutospacing="0" w:after="0" w:afterAutospacing="0"/>
        <w:rPr>
          <w:rFonts w:asciiTheme="minorHAnsi" w:hAnsiTheme="minorHAnsi" w:cstheme="minorHAnsi"/>
          <w:sz w:val="22"/>
          <w:szCs w:val="22"/>
          <w:lang w:val="fr-FR"/>
        </w:rPr>
      </w:pPr>
    </w:p>
    <w:p w:rsidR="00AB1D31" w:rsidRPr="00AB2600" w:rsidRDefault="00AB1D31" w:rsidP="008A48CE">
      <w:pPr>
        <w:pStyle w:val="wordsection1"/>
        <w:numPr>
          <w:ilvl w:val="0"/>
          <w:numId w:val="7"/>
        </w:numPr>
        <w:spacing w:before="0" w:beforeAutospacing="0" w:after="0" w:afterAutospacing="0"/>
        <w:ind w:left="426" w:hanging="568"/>
        <w:rPr>
          <w:rFonts w:asciiTheme="minorHAnsi" w:hAnsiTheme="minorHAnsi" w:cstheme="minorHAnsi"/>
          <w:sz w:val="22"/>
          <w:szCs w:val="22"/>
          <w:lang w:val="fr-FR" w:eastAsia="en-US"/>
        </w:rPr>
      </w:pPr>
      <w:r w:rsidRPr="00AB2600">
        <w:rPr>
          <w:rFonts w:asciiTheme="minorHAnsi" w:hAnsiTheme="minorHAnsi" w:cstheme="minorHAnsi"/>
          <w:sz w:val="22"/>
          <w:szCs w:val="22"/>
          <w:lang w:val="fr-FR"/>
        </w:rPr>
        <w:t>Il faut noter qu’outre l’analyse juridique et financière mentionnée ci-dessus, le Secrétariat et le</w:t>
      </w:r>
      <w:r w:rsidR="008D2CD1">
        <w:rPr>
          <w:rFonts w:asciiTheme="minorHAnsi" w:hAnsiTheme="minorHAnsi" w:cstheme="minorHAnsi"/>
          <w:sz w:val="22"/>
          <w:szCs w:val="22"/>
          <w:lang w:val="fr-FR"/>
        </w:rPr>
        <w:t>s</w:t>
      </w:r>
      <w:r w:rsidRPr="00AB2600">
        <w:rPr>
          <w:rFonts w:asciiTheme="minorHAnsi" w:hAnsiTheme="minorHAnsi" w:cstheme="minorHAnsi"/>
          <w:sz w:val="22"/>
          <w:szCs w:val="22"/>
          <w:lang w:val="fr-FR"/>
        </w:rPr>
        <w:t xml:space="preserve"> membres du </w:t>
      </w:r>
      <w:r w:rsidR="00AB2600" w:rsidRPr="00AB2600">
        <w:rPr>
          <w:rFonts w:asciiTheme="minorHAnsi" w:hAnsiTheme="minorHAnsi" w:cstheme="minorHAnsi"/>
          <w:sz w:val="22"/>
          <w:szCs w:val="22"/>
          <w:lang w:val="fr-FR"/>
        </w:rPr>
        <w:t>groupe</w:t>
      </w:r>
      <w:r w:rsidRPr="00AB2600">
        <w:rPr>
          <w:rFonts w:asciiTheme="minorHAnsi" w:hAnsiTheme="minorHAnsi" w:cstheme="minorHAnsi"/>
          <w:sz w:val="22"/>
          <w:szCs w:val="22"/>
          <w:lang w:val="fr-FR"/>
        </w:rPr>
        <w:t xml:space="preserve"> poursuivent leurs tr</w:t>
      </w:r>
      <w:r w:rsidR="008D2CD1">
        <w:rPr>
          <w:rFonts w:asciiTheme="minorHAnsi" w:hAnsiTheme="minorHAnsi" w:cstheme="minorHAnsi"/>
          <w:sz w:val="22"/>
          <w:szCs w:val="22"/>
          <w:lang w:val="fr-FR"/>
        </w:rPr>
        <w:t>avaux sur la demande d’octroi</w:t>
      </w:r>
      <w:r w:rsidRPr="00AB2600">
        <w:rPr>
          <w:rFonts w:asciiTheme="minorHAnsi" w:hAnsiTheme="minorHAnsi" w:cstheme="minorHAnsi"/>
          <w:sz w:val="22"/>
          <w:szCs w:val="22"/>
          <w:lang w:val="fr-FR"/>
        </w:rPr>
        <w:t xml:space="preserve"> du statut d’observateur auprès de l’Assemblée générale des Nations Unies (C1) et </w:t>
      </w:r>
      <w:r w:rsidR="008D2CD1">
        <w:rPr>
          <w:rFonts w:asciiTheme="minorHAnsi" w:hAnsiTheme="minorHAnsi" w:cstheme="minorHAnsi"/>
          <w:sz w:val="22"/>
          <w:szCs w:val="22"/>
          <w:lang w:val="fr-FR"/>
        </w:rPr>
        <w:t>d’</w:t>
      </w:r>
      <w:r w:rsidRPr="00AB2600">
        <w:rPr>
          <w:rFonts w:asciiTheme="minorHAnsi" w:hAnsiTheme="minorHAnsi" w:cstheme="minorHAnsi"/>
          <w:sz w:val="22"/>
          <w:szCs w:val="22"/>
          <w:lang w:val="fr-FR"/>
        </w:rPr>
        <w:t xml:space="preserve">ECOSOC (C3), ainsi que </w:t>
      </w:r>
      <w:r w:rsidR="008D2CD1">
        <w:rPr>
          <w:rFonts w:asciiTheme="minorHAnsi" w:hAnsiTheme="minorHAnsi" w:cstheme="minorHAnsi"/>
          <w:sz w:val="22"/>
          <w:szCs w:val="22"/>
          <w:lang w:val="fr-FR"/>
        </w:rPr>
        <w:t>sur la demande de</w:t>
      </w:r>
      <w:r w:rsidRPr="00AB2600">
        <w:rPr>
          <w:rFonts w:asciiTheme="minorHAnsi" w:hAnsiTheme="minorHAnsi" w:cstheme="minorHAnsi"/>
          <w:sz w:val="22"/>
          <w:szCs w:val="22"/>
          <w:lang w:val="fr-FR"/>
        </w:rPr>
        <w:t xml:space="preserve"> participation au forum de haut niveau (C2).</w:t>
      </w:r>
    </w:p>
    <w:p w:rsidR="00334EA6" w:rsidRPr="00AB2600" w:rsidRDefault="00334EA6" w:rsidP="008A48CE">
      <w:pPr>
        <w:pStyle w:val="wordsection1"/>
        <w:spacing w:before="0" w:beforeAutospacing="0" w:after="0" w:afterAutospacing="0"/>
        <w:rPr>
          <w:rFonts w:asciiTheme="minorHAnsi" w:hAnsiTheme="minorHAnsi" w:cstheme="minorHAnsi"/>
          <w:sz w:val="22"/>
          <w:szCs w:val="22"/>
          <w:lang w:val="fr-FR" w:eastAsia="en-US"/>
        </w:rPr>
      </w:pPr>
    </w:p>
    <w:p w:rsidR="002B483E" w:rsidRPr="00AB2600" w:rsidRDefault="002B483E" w:rsidP="008A48CE">
      <w:pPr>
        <w:pStyle w:val="wordsection1"/>
        <w:numPr>
          <w:ilvl w:val="0"/>
          <w:numId w:val="7"/>
        </w:numPr>
        <w:spacing w:before="0" w:beforeAutospacing="0" w:after="0" w:afterAutospacing="0"/>
        <w:ind w:left="426" w:hanging="579"/>
        <w:rPr>
          <w:rFonts w:asciiTheme="minorHAnsi" w:hAnsiTheme="minorHAnsi" w:cstheme="minorHAnsi"/>
          <w:sz w:val="22"/>
          <w:szCs w:val="22"/>
          <w:lang w:val="fr-FR" w:eastAsia="en-US"/>
        </w:rPr>
      </w:pPr>
      <w:r w:rsidRPr="00AB2600">
        <w:rPr>
          <w:rFonts w:asciiTheme="minorHAnsi" w:hAnsiTheme="minorHAnsi" w:cstheme="minorHAnsi"/>
          <w:sz w:val="22"/>
          <w:szCs w:val="22"/>
          <w:lang w:val="fr-FR" w:eastAsia="en-US"/>
        </w:rPr>
        <w:t>Entre les sessi</w:t>
      </w:r>
      <w:r w:rsidR="00AB2600" w:rsidRPr="00AB2600">
        <w:rPr>
          <w:rFonts w:asciiTheme="minorHAnsi" w:hAnsiTheme="minorHAnsi" w:cstheme="minorHAnsi"/>
          <w:sz w:val="22"/>
          <w:szCs w:val="22"/>
          <w:lang w:val="fr-FR" w:eastAsia="en-US"/>
        </w:rPr>
        <w:t>ons, le Comité permanent a appr</w:t>
      </w:r>
      <w:r w:rsidRPr="00AB2600">
        <w:rPr>
          <w:rFonts w:asciiTheme="minorHAnsi" w:hAnsiTheme="minorHAnsi" w:cstheme="minorHAnsi"/>
          <w:sz w:val="22"/>
          <w:szCs w:val="22"/>
          <w:lang w:val="fr-FR" w:eastAsia="en-US"/>
        </w:rPr>
        <w:t xml:space="preserve">ouvé en mars 2021 </w:t>
      </w:r>
      <w:r w:rsidR="00AB2600" w:rsidRPr="00AB2600">
        <w:rPr>
          <w:rFonts w:asciiTheme="minorHAnsi" w:hAnsiTheme="minorHAnsi" w:cstheme="minorHAnsi"/>
          <w:sz w:val="22"/>
          <w:szCs w:val="22"/>
          <w:lang w:val="fr-FR" w:eastAsia="en-US"/>
        </w:rPr>
        <w:t xml:space="preserve">un budget de 17 000 CHF pour la réalisation de l’analyse financière et procédurale des options identifiées dans </w:t>
      </w:r>
      <w:r w:rsidR="008D2CD1">
        <w:rPr>
          <w:rFonts w:asciiTheme="minorHAnsi" w:hAnsiTheme="minorHAnsi" w:cstheme="minorHAnsi"/>
          <w:sz w:val="22"/>
          <w:szCs w:val="22"/>
          <w:lang w:val="fr-FR" w:eastAsia="en-US"/>
        </w:rPr>
        <w:t>l’« A</w:t>
      </w:r>
      <w:r w:rsidR="00AB2600" w:rsidRPr="00AB2600">
        <w:rPr>
          <w:rFonts w:asciiTheme="minorHAnsi" w:hAnsiTheme="minorHAnsi" w:cstheme="minorHAnsi"/>
          <w:sz w:val="22"/>
          <w:szCs w:val="22"/>
          <w:lang w:val="fr-FR" w:eastAsia="en-US"/>
        </w:rPr>
        <w:t>nalyse indépendante du statut juridique du Secrétariat de la Convention sur les zones humides ». Le processus de sélection du consultant est actuellement en cours.</w:t>
      </w:r>
    </w:p>
    <w:p w:rsidR="002B483E" w:rsidRPr="00AB2600" w:rsidRDefault="002B483E" w:rsidP="002B483E">
      <w:pPr>
        <w:pStyle w:val="ListParagraph"/>
        <w:rPr>
          <w:rFonts w:asciiTheme="minorHAnsi" w:hAnsiTheme="minorHAnsi" w:cstheme="minorHAnsi"/>
          <w:lang w:val="fr-FR"/>
        </w:rPr>
      </w:pPr>
    </w:p>
    <w:p w:rsidR="001C2C34" w:rsidRPr="00AB2600" w:rsidRDefault="001C2C34" w:rsidP="008A48CE">
      <w:pPr>
        <w:spacing w:after="0" w:line="240" w:lineRule="auto"/>
        <w:rPr>
          <w:rFonts w:cstheme="minorHAnsi"/>
          <w:lang w:val="fr-FR"/>
        </w:rPr>
      </w:pPr>
    </w:p>
    <w:p w:rsidR="00BB2B2F" w:rsidRDefault="00AB2600" w:rsidP="008D2CD1">
      <w:pPr>
        <w:keepNext/>
        <w:spacing w:after="0" w:line="240" w:lineRule="auto"/>
        <w:ind w:left="-284" w:firstLine="142"/>
        <w:rPr>
          <w:rFonts w:cstheme="minorHAnsi"/>
          <w:b/>
          <w:lang w:val="fr-FR"/>
        </w:rPr>
      </w:pPr>
      <w:r w:rsidRPr="00AB2600">
        <w:rPr>
          <w:rFonts w:cstheme="minorHAnsi"/>
          <w:b/>
          <w:lang w:val="fr-FR"/>
        </w:rPr>
        <w:lastRenderedPageBreak/>
        <w:t>Recomma</w:t>
      </w:r>
      <w:r w:rsidR="00982AE6" w:rsidRPr="00AB2600">
        <w:rPr>
          <w:rFonts w:cstheme="minorHAnsi"/>
          <w:b/>
          <w:lang w:val="fr-FR"/>
        </w:rPr>
        <w:t xml:space="preserve">ndations </w:t>
      </w:r>
      <w:r w:rsidRPr="00AB2600">
        <w:rPr>
          <w:rFonts w:cstheme="minorHAnsi"/>
          <w:b/>
          <w:lang w:val="fr-FR"/>
        </w:rPr>
        <w:t>du Groupe de travail</w:t>
      </w:r>
    </w:p>
    <w:p w:rsidR="008D2CD1" w:rsidRPr="00AB2600" w:rsidRDefault="008D2CD1" w:rsidP="008D2CD1">
      <w:pPr>
        <w:keepNext/>
        <w:spacing w:after="0" w:line="240" w:lineRule="auto"/>
        <w:ind w:left="-284" w:firstLine="142"/>
        <w:rPr>
          <w:rFonts w:cstheme="minorHAnsi"/>
          <w:b/>
          <w:lang w:val="fr-FR"/>
        </w:rPr>
      </w:pPr>
    </w:p>
    <w:p w:rsidR="00AB2600" w:rsidRPr="00AB2600" w:rsidRDefault="00AB2600" w:rsidP="008A48CE">
      <w:pPr>
        <w:pStyle w:val="ListParagraph"/>
        <w:numPr>
          <w:ilvl w:val="0"/>
          <w:numId w:val="7"/>
        </w:numPr>
        <w:ind w:left="426" w:hanging="568"/>
        <w:jc w:val="left"/>
        <w:rPr>
          <w:rFonts w:asciiTheme="minorHAnsi" w:hAnsiTheme="minorHAnsi" w:cstheme="minorHAnsi"/>
          <w:lang w:val="fr-FR"/>
        </w:rPr>
      </w:pPr>
      <w:r w:rsidRPr="00AB2600">
        <w:rPr>
          <w:rFonts w:asciiTheme="minorHAnsi" w:hAnsiTheme="minorHAnsi" w:cstheme="minorHAnsi"/>
          <w:lang w:val="fr-FR"/>
        </w:rPr>
        <w:t xml:space="preserve">Compte tenu l’état d’avancement des travaux du Groupe de travail </w:t>
      </w:r>
      <w:r w:rsidR="008D2CD1">
        <w:rPr>
          <w:rFonts w:asciiTheme="minorHAnsi" w:hAnsiTheme="minorHAnsi" w:cstheme="minorHAnsi"/>
          <w:lang w:val="fr-FR"/>
        </w:rPr>
        <w:t>dans le cadre du</w:t>
      </w:r>
      <w:r w:rsidRPr="00AB2600">
        <w:rPr>
          <w:rFonts w:asciiTheme="minorHAnsi" w:hAnsiTheme="minorHAnsi" w:cstheme="minorHAnsi"/>
          <w:lang w:val="fr-FR"/>
        </w:rPr>
        <w:t xml:space="preserve"> mandat accordé par le Comité permanent, </w:t>
      </w:r>
      <w:r w:rsidR="00A72E69">
        <w:rPr>
          <w:rFonts w:asciiTheme="minorHAnsi" w:hAnsiTheme="minorHAnsi" w:cstheme="minorHAnsi"/>
          <w:lang w:val="fr-FR"/>
        </w:rPr>
        <w:t>le Groupe de travail</w:t>
      </w:r>
      <w:r w:rsidRPr="00AB2600">
        <w:rPr>
          <w:rFonts w:asciiTheme="minorHAnsi" w:hAnsiTheme="minorHAnsi" w:cstheme="minorHAnsi"/>
          <w:lang w:val="fr-FR"/>
        </w:rPr>
        <w:t xml:space="preserve"> recommande </w:t>
      </w:r>
      <w:r w:rsidR="00A72E69">
        <w:rPr>
          <w:rFonts w:asciiTheme="minorHAnsi" w:hAnsiTheme="minorHAnsi" w:cstheme="minorHAnsi"/>
          <w:lang w:val="fr-FR"/>
        </w:rPr>
        <w:t>qu’il lui soit possible de</w:t>
      </w:r>
      <w:r w:rsidR="008D2CD1">
        <w:rPr>
          <w:rFonts w:asciiTheme="minorHAnsi" w:hAnsiTheme="minorHAnsi" w:cstheme="minorHAnsi"/>
          <w:lang w:val="fr-FR"/>
        </w:rPr>
        <w:t xml:space="preserve"> poursuivre</w:t>
      </w:r>
      <w:r w:rsidRPr="00AB2600">
        <w:rPr>
          <w:rFonts w:asciiTheme="minorHAnsi" w:hAnsiTheme="minorHAnsi" w:cstheme="minorHAnsi"/>
          <w:lang w:val="fr-FR"/>
        </w:rPr>
        <w:t xml:space="preserve"> ses travaux jusqu’à l’achèvement de l’analyse financière et la présentation à la 60</w:t>
      </w:r>
      <w:r w:rsidRPr="00AB2600">
        <w:rPr>
          <w:rFonts w:asciiTheme="minorHAnsi" w:hAnsiTheme="minorHAnsi" w:cstheme="minorHAnsi"/>
          <w:vertAlign w:val="superscript"/>
          <w:lang w:val="fr-FR"/>
        </w:rPr>
        <w:t>e</w:t>
      </w:r>
      <w:r w:rsidRPr="00AB2600">
        <w:rPr>
          <w:rFonts w:asciiTheme="minorHAnsi" w:hAnsiTheme="minorHAnsi" w:cstheme="minorHAnsi"/>
          <w:lang w:val="fr-FR"/>
        </w:rPr>
        <w:t xml:space="preserve"> réunion du Comité permanent de ses conclusions et recommandations finales sur les questions relatives au statut d’observateur.</w:t>
      </w:r>
    </w:p>
    <w:sectPr w:rsidR="00AB2600" w:rsidRPr="00AB2600" w:rsidSect="007D79AF">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1C1" w:rsidRDefault="00F041C1" w:rsidP="002805FE">
      <w:pPr>
        <w:spacing w:after="0" w:line="240" w:lineRule="auto"/>
      </w:pPr>
      <w:r>
        <w:separator/>
      </w:r>
    </w:p>
  </w:endnote>
  <w:endnote w:type="continuationSeparator" w:id="0">
    <w:p w:rsidR="00F041C1" w:rsidRDefault="00F041C1" w:rsidP="00280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9AF" w:rsidRPr="007D79AF" w:rsidRDefault="007D79AF">
    <w:pPr>
      <w:pStyle w:val="Footer"/>
      <w:rPr>
        <w:sz w:val="20"/>
        <w:szCs w:val="20"/>
      </w:rPr>
    </w:pPr>
    <w:r w:rsidRPr="007D79AF">
      <w:rPr>
        <w:sz w:val="20"/>
        <w:szCs w:val="20"/>
      </w:rPr>
      <w:t>SC59 Doc.14</w:t>
    </w:r>
    <w:r>
      <w:rPr>
        <w:sz w:val="20"/>
        <w:szCs w:val="20"/>
      </w:rPr>
      <w:tab/>
    </w:r>
    <w:r>
      <w:rPr>
        <w:sz w:val="20"/>
        <w:szCs w:val="20"/>
      </w:rPr>
      <w:tab/>
    </w:r>
    <w:r w:rsidR="008D3A06" w:rsidRPr="007D79AF">
      <w:rPr>
        <w:sz w:val="20"/>
        <w:szCs w:val="20"/>
      </w:rPr>
      <w:fldChar w:fldCharType="begin"/>
    </w:r>
    <w:r w:rsidRPr="007D79AF">
      <w:rPr>
        <w:sz w:val="20"/>
        <w:szCs w:val="20"/>
      </w:rPr>
      <w:instrText xml:space="preserve"> PAGE   \* MERGEFORMAT </w:instrText>
    </w:r>
    <w:r w:rsidR="008D3A06" w:rsidRPr="007D79AF">
      <w:rPr>
        <w:sz w:val="20"/>
        <w:szCs w:val="20"/>
      </w:rPr>
      <w:fldChar w:fldCharType="separate"/>
    </w:r>
    <w:r w:rsidR="00337103">
      <w:rPr>
        <w:noProof/>
        <w:sz w:val="20"/>
        <w:szCs w:val="20"/>
      </w:rPr>
      <w:t>5</w:t>
    </w:r>
    <w:r w:rsidR="008D3A06" w:rsidRPr="007D79AF">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1C1" w:rsidRDefault="00F041C1" w:rsidP="002805FE">
      <w:pPr>
        <w:spacing w:after="0" w:line="240" w:lineRule="auto"/>
      </w:pPr>
      <w:r>
        <w:separator/>
      </w:r>
    </w:p>
  </w:footnote>
  <w:footnote w:type="continuationSeparator" w:id="0">
    <w:p w:rsidR="00F041C1" w:rsidRDefault="00F041C1" w:rsidP="002805FE">
      <w:pPr>
        <w:spacing w:after="0" w:line="240" w:lineRule="auto"/>
      </w:pPr>
      <w:r>
        <w:continuationSeparator/>
      </w:r>
    </w:p>
  </w:footnote>
  <w:footnote w:id="1">
    <w:p w:rsidR="002805FE" w:rsidRPr="00B02ABC" w:rsidRDefault="002805FE" w:rsidP="00E45434">
      <w:pPr>
        <w:pStyle w:val="FootnoteText"/>
        <w:rPr>
          <w:rFonts w:cstheme="minorHAnsi"/>
          <w:lang w:val="fr-FR"/>
        </w:rPr>
      </w:pPr>
      <w:r w:rsidRPr="00E45434">
        <w:rPr>
          <w:rStyle w:val="FootnoteReference"/>
          <w:rFonts w:cstheme="minorHAnsi"/>
        </w:rPr>
        <w:footnoteRef/>
      </w:r>
      <w:r w:rsidR="00B02ABC" w:rsidRPr="00B02ABC">
        <w:rPr>
          <w:rStyle w:val="markedcontent"/>
          <w:rFonts w:cstheme="minorHAnsi"/>
          <w:lang w:val="fr-FR"/>
        </w:rPr>
        <w:t>Dans la Décision SC57-47, le Comité permanent a, par</w:t>
      </w:r>
      <w:r w:rsidR="00EF1111">
        <w:rPr>
          <w:rStyle w:val="markedcontent"/>
          <w:rFonts w:cstheme="minorHAnsi"/>
          <w:lang w:val="fr-FR"/>
        </w:rPr>
        <w:t xml:space="preserve"> la suite, approuvé l’attribution</w:t>
      </w:r>
      <w:r w:rsidR="00B02ABC" w:rsidRPr="00B02ABC">
        <w:rPr>
          <w:rStyle w:val="markedcontent"/>
          <w:rFonts w:cstheme="minorHAnsi"/>
          <w:lang w:val="fr-FR"/>
        </w:rPr>
        <w:t xml:space="preserve"> de 15 000 CHF de l’excédent du budget administratif 2018 à la « consultation pour l’analyse du statut juridique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D7FF36"/>
    <w:multiLevelType w:val="hybridMultilevel"/>
    <w:tmpl w:val="CE86A7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01DEC71"/>
    <w:multiLevelType w:val="hybridMultilevel"/>
    <w:tmpl w:val="FA91E83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0647F6"/>
    <w:multiLevelType w:val="hybridMultilevel"/>
    <w:tmpl w:val="E88CF6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F63584"/>
    <w:multiLevelType w:val="hybridMultilevel"/>
    <w:tmpl w:val="8C169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A34C08"/>
    <w:multiLevelType w:val="hybridMultilevel"/>
    <w:tmpl w:val="0D942D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0A22F1"/>
    <w:multiLevelType w:val="hybridMultilevel"/>
    <w:tmpl w:val="7430F3A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B13F97"/>
    <w:multiLevelType w:val="hybridMultilevel"/>
    <w:tmpl w:val="6B7E24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713803"/>
    <w:multiLevelType w:val="hybridMultilevel"/>
    <w:tmpl w:val="FA065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4070D3"/>
    <w:multiLevelType w:val="hybridMultilevel"/>
    <w:tmpl w:val="547803DA"/>
    <w:lvl w:ilvl="0" w:tplc="249278B0">
      <w:start w:val="1"/>
      <w:numFmt w:val="lowerLetter"/>
      <w:lvlText w:val="%1)"/>
      <w:lvlJc w:val="left"/>
      <w:pPr>
        <w:ind w:left="1353" w:hanging="360"/>
      </w:pPr>
      <w:rPr>
        <w:rFonts w:hint="default"/>
      </w:rPr>
    </w:lvl>
    <w:lvl w:ilvl="1" w:tplc="08090019" w:tentative="1">
      <w:start w:val="1"/>
      <w:numFmt w:val="lowerLetter"/>
      <w:lvlText w:val="%2."/>
      <w:lvlJc w:val="left"/>
      <w:pPr>
        <w:ind w:left="4341" w:hanging="360"/>
      </w:pPr>
    </w:lvl>
    <w:lvl w:ilvl="2" w:tplc="0809001B" w:tentative="1">
      <w:start w:val="1"/>
      <w:numFmt w:val="lowerRoman"/>
      <w:lvlText w:val="%3."/>
      <w:lvlJc w:val="right"/>
      <w:pPr>
        <w:ind w:left="5061" w:hanging="180"/>
      </w:pPr>
    </w:lvl>
    <w:lvl w:ilvl="3" w:tplc="0809000F" w:tentative="1">
      <w:start w:val="1"/>
      <w:numFmt w:val="decimal"/>
      <w:lvlText w:val="%4."/>
      <w:lvlJc w:val="left"/>
      <w:pPr>
        <w:ind w:left="5781" w:hanging="360"/>
      </w:pPr>
    </w:lvl>
    <w:lvl w:ilvl="4" w:tplc="08090019" w:tentative="1">
      <w:start w:val="1"/>
      <w:numFmt w:val="lowerLetter"/>
      <w:lvlText w:val="%5."/>
      <w:lvlJc w:val="left"/>
      <w:pPr>
        <w:ind w:left="6501" w:hanging="360"/>
      </w:pPr>
    </w:lvl>
    <w:lvl w:ilvl="5" w:tplc="0809001B" w:tentative="1">
      <w:start w:val="1"/>
      <w:numFmt w:val="lowerRoman"/>
      <w:lvlText w:val="%6."/>
      <w:lvlJc w:val="right"/>
      <w:pPr>
        <w:ind w:left="7221" w:hanging="180"/>
      </w:pPr>
    </w:lvl>
    <w:lvl w:ilvl="6" w:tplc="0809000F" w:tentative="1">
      <w:start w:val="1"/>
      <w:numFmt w:val="decimal"/>
      <w:lvlText w:val="%7."/>
      <w:lvlJc w:val="left"/>
      <w:pPr>
        <w:ind w:left="7941" w:hanging="360"/>
      </w:pPr>
    </w:lvl>
    <w:lvl w:ilvl="7" w:tplc="08090019" w:tentative="1">
      <w:start w:val="1"/>
      <w:numFmt w:val="lowerLetter"/>
      <w:lvlText w:val="%8."/>
      <w:lvlJc w:val="left"/>
      <w:pPr>
        <w:ind w:left="8661" w:hanging="360"/>
      </w:pPr>
    </w:lvl>
    <w:lvl w:ilvl="8" w:tplc="0809001B" w:tentative="1">
      <w:start w:val="1"/>
      <w:numFmt w:val="lowerRoman"/>
      <w:lvlText w:val="%9."/>
      <w:lvlJc w:val="right"/>
      <w:pPr>
        <w:ind w:left="9381" w:hanging="180"/>
      </w:pPr>
    </w:lvl>
  </w:abstractNum>
  <w:abstractNum w:abstractNumId="9" w15:restartNumberingAfterBreak="0">
    <w:nsid w:val="5BEB1AFA"/>
    <w:multiLevelType w:val="hybridMultilevel"/>
    <w:tmpl w:val="3878DC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E02152"/>
    <w:multiLevelType w:val="hybridMultilevel"/>
    <w:tmpl w:val="F9A27B76"/>
    <w:lvl w:ilvl="0" w:tplc="08090019">
      <w:start w:val="1"/>
      <w:numFmt w:val="lowerLetter"/>
      <w:lvlText w:val="%1."/>
      <w:lvlJc w:val="left"/>
      <w:pPr>
        <w:ind w:left="1353" w:hanging="360"/>
      </w:pPr>
      <w:rPr>
        <w:rFonts w:hint="default"/>
      </w:rPr>
    </w:lvl>
    <w:lvl w:ilvl="1" w:tplc="08090019" w:tentative="1">
      <w:start w:val="1"/>
      <w:numFmt w:val="lowerLetter"/>
      <w:lvlText w:val="%2."/>
      <w:lvlJc w:val="left"/>
      <w:pPr>
        <w:ind w:left="4341" w:hanging="360"/>
      </w:pPr>
    </w:lvl>
    <w:lvl w:ilvl="2" w:tplc="0809001B" w:tentative="1">
      <w:start w:val="1"/>
      <w:numFmt w:val="lowerRoman"/>
      <w:lvlText w:val="%3."/>
      <w:lvlJc w:val="right"/>
      <w:pPr>
        <w:ind w:left="5061" w:hanging="180"/>
      </w:pPr>
    </w:lvl>
    <w:lvl w:ilvl="3" w:tplc="0809000F" w:tentative="1">
      <w:start w:val="1"/>
      <w:numFmt w:val="decimal"/>
      <w:lvlText w:val="%4."/>
      <w:lvlJc w:val="left"/>
      <w:pPr>
        <w:ind w:left="5781" w:hanging="360"/>
      </w:pPr>
    </w:lvl>
    <w:lvl w:ilvl="4" w:tplc="08090019" w:tentative="1">
      <w:start w:val="1"/>
      <w:numFmt w:val="lowerLetter"/>
      <w:lvlText w:val="%5."/>
      <w:lvlJc w:val="left"/>
      <w:pPr>
        <w:ind w:left="6501" w:hanging="360"/>
      </w:pPr>
    </w:lvl>
    <w:lvl w:ilvl="5" w:tplc="0809001B" w:tentative="1">
      <w:start w:val="1"/>
      <w:numFmt w:val="lowerRoman"/>
      <w:lvlText w:val="%6."/>
      <w:lvlJc w:val="right"/>
      <w:pPr>
        <w:ind w:left="7221" w:hanging="180"/>
      </w:pPr>
    </w:lvl>
    <w:lvl w:ilvl="6" w:tplc="0809000F" w:tentative="1">
      <w:start w:val="1"/>
      <w:numFmt w:val="decimal"/>
      <w:lvlText w:val="%7."/>
      <w:lvlJc w:val="left"/>
      <w:pPr>
        <w:ind w:left="7941" w:hanging="360"/>
      </w:pPr>
    </w:lvl>
    <w:lvl w:ilvl="7" w:tplc="08090019" w:tentative="1">
      <w:start w:val="1"/>
      <w:numFmt w:val="lowerLetter"/>
      <w:lvlText w:val="%8."/>
      <w:lvlJc w:val="left"/>
      <w:pPr>
        <w:ind w:left="8661" w:hanging="360"/>
      </w:pPr>
    </w:lvl>
    <w:lvl w:ilvl="8" w:tplc="0809001B" w:tentative="1">
      <w:start w:val="1"/>
      <w:numFmt w:val="lowerRoman"/>
      <w:lvlText w:val="%9."/>
      <w:lvlJc w:val="right"/>
      <w:pPr>
        <w:ind w:left="9381" w:hanging="180"/>
      </w:pPr>
    </w:lvl>
  </w:abstractNum>
  <w:abstractNum w:abstractNumId="11" w15:restartNumberingAfterBreak="0">
    <w:nsid w:val="66E94F2A"/>
    <w:multiLevelType w:val="hybridMultilevel"/>
    <w:tmpl w:val="7D74674A"/>
    <w:lvl w:ilvl="0" w:tplc="0E260F12">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F023A5"/>
    <w:multiLevelType w:val="hybridMultilevel"/>
    <w:tmpl w:val="4394E942"/>
    <w:lvl w:ilvl="0" w:tplc="87207C5C">
      <w:start w:val="1"/>
      <w:numFmt w:val="decimal"/>
      <w:lvlText w:val="%1."/>
      <w:lvlJc w:val="left"/>
      <w:pPr>
        <w:ind w:left="411" w:hanging="360"/>
      </w:pPr>
    </w:lvl>
    <w:lvl w:ilvl="1" w:tplc="08090019">
      <w:start w:val="1"/>
      <w:numFmt w:val="lowerLetter"/>
      <w:lvlText w:val="%2."/>
      <w:lvlJc w:val="left"/>
      <w:pPr>
        <w:ind w:left="1131" w:hanging="360"/>
      </w:pPr>
    </w:lvl>
    <w:lvl w:ilvl="2" w:tplc="0809001B">
      <w:start w:val="1"/>
      <w:numFmt w:val="lowerRoman"/>
      <w:lvlText w:val="%3."/>
      <w:lvlJc w:val="right"/>
      <w:pPr>
        <w:ind w:left="1851" w:hanging="180"/>
      </w:pPr>
    </w:lvl>
    <w:lvl w:ilvl="3" w:tplc="0809000F">
      <w:start w:val="1"/>
      <w:numFmt w:val="decimal"/>
      <w:lvlText w:val="%4."/>
      <w:lvlJc w:val="left"/>
      <w:pPr>
        <w:ind w:left="2571" w:hanging="360"/>
      </w:pPr>
    </w:lvl>
    <w:lvl w:ilvl="4" w:tplc="08090019">
      <w:start w:val="1"/>
      <w:numFmt w:val="lowerLetter"/>
      <w:lvlText w:val="%5."/>
      <w:lvlJc w:val="left"/>
      <w:pPr>
        <w:ind w:left="3291" w:hanging="360"/>
      </w:pPr>
    </w:lvl>
    <w:lvl w:ilvl="5" w:tplc="0809001B">
      <w:start w:val="1"/>
      <w:numFmt w:val="lowerRoman"/>
      <w:lvlText w:val="%6."/>
      <w:lvlJc w:val="right"/>
      <w:pPr>
        <w:ind w:left="4011" w:hanging="180"/>
      </w:pPr>
    </w:lvl>
    <w:lvl w:ilvl="6" w:tplc="0809000F">
      <w:start w:val="1"/>
      <w:numFmt w:val="decimal"/>
      <w:lvlText w:val="%7."/>
      <w:lvlJc w:val="left"/>
      <w:pPr>
        <w:ind w:left="4731" w:hanging="360"/>
      </w:pPr>
    </w:lvl>
    <w:lvl w:ilvl="7" w:tplc="08090019">
      <w:start w:val="1"/>
      <w:numFmt w:val="lowerLetter"/>
      <w:lvlText w:val="%8."/>
      <w:lvlJc w:val="left"/>
      <w:pPr>
        <w:ind w:left="5451" w:hanging="360"/>
      </w:pPr>
    </w:lvl>
    <w:lvl w:ilvl="8" w:tplc="0809001B">
      <w:start w:val="1"/>
      <w:numFmt w:val="lowerRoman"/>
      <w:lvlText w:val="%9."/>
      <w:lvlJc w:val="right"/>
      <w:pPr>
        <w:ind w:left="6171" w:hanging="180"/>
      </w:pPr>
    </w:lvl>
  </w:abstractNum>
  <w:num w:numId="1">
    <w:abstractNumId w:val="8"/>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0"/>
  </w:num>
  <w:num w:numId="5">
    <w:abstractNumId w:val="1"/>
  </w:num>
  <w:num w:numId="6">
    <w:abstractNumId w:val="4"/>
  </w:num>
  <w:num w:numId="7">
    <w:abstractNumId w:val="11"/>
  </w:num>
  <w:num w:numId="8">
    <w:abstractNumId w:val="9"/>
  </w:num>
  <w:num w:numId="9">
    <w:abstractNumId w:val="6"/>
  </w:num>
  <w:num w:numId="10">
    <w:abstractNumId w:val="3"/>
  </w:num>
  <w:num w:numId="11">
    <w:abstractNumId w:val="7"/>
  </w:num>
  <w:num w:numId="12">
    <w:abstractNumId w:val="2"/>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2"/>
  </w:compat>
  <w:rsids>
    <w:rsidRoot w:val="00BC247E"/>
    <w:rsid w:val="00013C98"/>
    <w:rsid w:val="000349B9"/>
    <w:rsid w:val="00043524"/>
    <w:rsid w:val="00044B1C"/>
    <w:rsid w:val="000507AC"/>
    <w:rsid w:val="00056586"/>
    <w:rsid w:val="00070EBD"/>
    <w:rsid w:val="00084622"/>
    <w:rsid w:val="000C34E7"/>
    <w:rsid w:val="000E3574"/>
    <w:rsid w:val="000F3957"/>
    <w:rsid w:val="00111C67"/>
    <w:rsid w:val="00132658"/>
    <w:rsid w:val="001333AC"/>
    <w:rsid w:val="00143B3F"/>
    <w:rsid w:val="0016683F"/>
    <w:rsid w:val="00177921"/>
    <w:rsid w:val="00190CFF"/>
    <w:rsid w:val="00193027"/>
    <w:rsid w:val="001B4324"/>
    <w:rsid w:val="001B47E7"/>
    <w:rsid w:val="001C2C34"/>
    <w:rsid w:val="002467B8"/>
    <w:rsid w:val="002546A1"/>
    <w:rsid w:val="002805FE"/>
    <w:rsid w:val="00281059"/>
    <w:rsid w:val="00290741"/>
    <w:rsid w:val="002B0DE1"/>
    <w:rsid w:val="002B483E"/>
    <w:rsid w:val="003031B2"/>
    <w:rsid w:val="00306BF7"/>
    <w:rsid w:val="00307B7E"/>
    <w:rsid w:val="0031116C"/>
    <w:rsid w:val="00334EA6"/>
    <w:rsid w:val="00337103"/>
    <w:rsid w:val="0035685A"/>
    <w:rsid w:val="00356A11"/>
    <w:rsid w:val="003657F1"/>
    <w:rsid w:val="00371F3C"/>
    <w:rsid w:val="003B106A"/>
    <w:rsid w:val="003D5C77"/>
    <w:rsid w:val="003F0B77"/>
    <w:rsid w:val="00401270"/>
    <w:rsid w:val="0042627C"/>
    <w:rsid w:val="004315AB"/>
    <w:rsid w:val="004349EE"/>
    <w:rsid w:val="00446534"/>
    <w:rsid w:val="00465A3C"/>
    <w:rsid w:val="00467FF3"/>
    <w:rsid w:val="004C2C9E"/>
    <w:rsid w:val="005066C2"/>
    <w:rsid w:val="00554506"/>
    <w:rsid w:val="00560D12"/>
    <w:rsid w:val="00593969"/>
    <w:rsid w:val="005A2742"/>
    <w:rsid w:val="005B5EA4"/>
    <w:rsid w:val="005C1A97"/>
    <w:rsid w:val="005C59FE"/>
    <w:rsid w:val="005D0512"/>
    <w:rsid w:val="00612842"/>
    <w:rsid w:val="00622B44"/>
    <w:rsid w:val="0064721A"/>
    <w:rsid w:val="0066007A"/>
    <w:rsid w:val="006D5EA2"/>
    <w:rsid w:val="006F2953"/>
    <w:rsid w:val="007106B9"/>
    <w:rsid w:val="007119AE"/>
    <w:rsid w:val="00741821"/>
    <w:rsid w:val="007750F6"/>
    <w:rsid w:val="007916F1"/>
    <w:rsid w:val="007D79AF"/>
    <w:rsid w:val="007E04F2"/>
    <w:rsid w:val="007F3CF8"/>
    <w:rsid w:val="008017D0"/>
    <w:rsid w:val="0082610D"/>
    <w:rsid w:val="00840BE2"/>
    <w:rsid w:val="00884714"/>
    <w:rsid w:val="008A48CE"/>
    <w:rsid w:val="008B18F4"/>
    <w:rsid w:val="008D2CD1"/>
    <w:rsid w:val="008D3A06"/>
    <w:rsid w:val="009076D7"/>
    <w:rsid w:val="00912F2F"/>
    <w:rsid w:val="00920C59"/>
    <w:rsid w:val="00971F46"/>
    <w:rsid w:val="00982AE6"/>
    <w:rsid w:val="009C4299"/>
    <w:rsid w:val="009C5D04"/>
    <w:rsid w:val="009F1F36"/>
    <w:rsid w:val="009F46DB"/>
    <w:rsid w:val="00A06FB1"/>
    <w:rsid w:val="00A259BE"/>
    <w:rsid w:val="00A41B42"/>
    <w:rsid w:val="00A501D6"/>
    <w:rsid w:val="00A52E04"/>
    <w:rsid w:val="00A615A8"/>
    <w:rsid w:val="00A72E69"/>
    <w:rsid w:val="00A812F1"/>
    <w:rsid w:val="00A86655"/>
    <w:rsid w:val="00AB1D31"/>
    <w:rsid w:val="00AB2600"/>
    <w:rsid w:val="00AC5EC4"/>
    <w:rsid w:val="00AF1634"/>
    <w:rsid w:val="00B02ABC"/>
    <w:rsid w:val="00B11C44"/>
    <w:rsid w:val="00B43D92"/>
    <w:rsid w:val="00B440E3"/>
    <w:rsid w:val="00B8278C"/>
    <w:rsid w:val="00B82795"/>
    <w:rsid w:val="00B84558"/>
    <w:rsid w:val="00B87A7A"/>
    <w:rsid w:val="00B90D52"/>
    <w:rsid w:val="00B921ED"/>
    <w:rsid w:val="00BB2B2F"/>
    <w:rsid w:val="00BC247E"/>
    <w:rsid w:val="00C176A3"/>
    <w:rsid w:val="00C21673"/>
    <w:rsid w:val="00C23881"/>
    <w:rsid w:val="00C30FCE"/>
    <w:rsid w:val="00C64F80"/>
    <w:rsid w:val="00C712C4"/>
    <w:rsid w:val="00CE10F6"/>
    <w:rsid w:val="00CE15C1"/>
    <w:rsid w:val="00CE4497"/>
    <w:rsid w:val="00D03879"/>
    <w:rsid w:val="00D138D8"/>
    <w:rsid w:val="00D158DE"/>
    <w:rsid w:val="00D15AFB"/>
    <w:rsid w:val="00D2518D"/>
    <w:rsid w:val="00D41F93"/>
    <w:rsid w:val="00D46422"/>
    <w:rsid w:val="00D47055"/>
    <w:rsid w:val="00D54CB8"/>
    <w:rsid w:val="00DB2771"/>
    <w:rsid w:val="00DE153C"/>
    <w:rsid w:val="00E414F9"/>
    <w:rsid w:val="00E45434"/>
    <w:rsid w:val="00E47A4C"/>
    <w:rsid w:val="00E65350"/>
    <w:rsid w:val="00E92C39"/>
    <w:rsid w:val="00ED13E3"/>
    <w:rsid w:val="00ED498F"/>
    <w:rsid w:val="00EF1111"/>
    <w:rsid w:val="00F041C1"/>
    <w:rsid w:val="00F13981"/>
    <w:rsid w:val="00F23744"/>
    <w:rsid w:val="00F67DF4"/>
    <w:rsid w:val="00F928C3"/>
    <w:rsid w:val="00FC0B66"/>
    <w:rsid w:val="00FC7CCB"/>
    <w:rsid w:val="00FE30E7"/>
    <w:rsid w:val="00FE5F9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docId w15:val="{8CBDBEF6-8D7F-48FB-8BE2-A05C3A651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5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Párrafo de lista1,List Paragraph12,MAIN CONTENT,List Paragraph2,Rec para,List Paragraph1,Recommendation,List Paragraph11,F5 List Paragraph,List Paragraph Char Char Char,Indicator Text"/>
    <w:basedOn w:val="Normal"/>
    <w:link w:val="ListParagraphChar"/>
    <w:uiPriority w:val="34"/>
    <w:qFormat/>
    <w:rsid w:val="00043524"/>
    <w:pPr>
      <w:spacing w:after="0" w:line="240" w:lineRule="auto"/>
      <w:ind w:left="720"/>
      <w:contextualSpacing/>
      <w:jc w:val="both"/>
    </w:pPr>
    <w:rPr>
      <w:rFonts w:ascii="Tahoma" w:eastAsia="Calibri" w:hAnsi="Tahoma" w:cs="Times New Roman"/>
    </w:rPr>
  </w:style>
  <w:style w:type="character" w:customStyle="1" w:styleId="ListParagraphChar">
    <w:name w:val="List Paragraph Char"/>
    <w:aliases w:val="Dot pt Char,Párrafo de lista1 Char,List Paragraph12 Char,MAIN CONTENT Char,List Paragraph2 Char,Rec para Char,List Paragraph1 Char,Recommendation Char,List Paragraph11 Char,F5 List Paragraph Char,List Paragraph Char Char Char Char"/>
    <w:link w:val="ListParagraph"/>
    <w:uiPriority w:val="34"/>
    <w:qFormat/>
    <w:locked/>
    <w:rsid w:val="00043524"/>
    <w:rPr>
      <w:rFonts w:ascii="Tahoma" w:eastAsia="Calibri" w:hAnsi="Tahoma" w:cs="Times New Roman"/>
    </w:rPr>
  </w:style>
  <w:style w:type="paragraph" w:customStyle="1" w:styleId="Default">
    <w:name w:val="Default"/>
    <w:rsid w:val="00920C59"/>
    <w:pPr>
      <w:autoSpaceDE w:val="0"/>
      <w:autoSpaceDN w:val="0"/>
      <w:adjustRightInd w:val="0"/>
      <w:spacing w:after="0" w:line="240" w:lineRule="auto"/>
    </w:pPr>
    <w:rPr>
      <w:rFonts w:ascii="Calibri" w:hAnsi="Calibri" w:cs="Calibri"/>
      <w:color w:val="000000"/>
      <w:sz w:val="24"/>
      <w:szCs w:val="24"/>
    </w:rPr>
  </w:style>
  <w:style w:type="paragraph" w:customStyle="1" w:styleId="ColorfulList-Accent11">
    <w:name w:val="Colorful List - Accent 11"/>
    <w:basedOn w:val="Normal"/>
    <w:uiPriority w:val="34"/>
    <w:qFormat/>
    <w:rsid w:val="00401270"/>
    <w:pPr>
      <w:spacing w:after="0" w:line="240" w:lineRule="auto"/>
      <w:ind w:left="720" w:hanging="425"/>
      <w:contextualSpacing/>
    </w:pPr>
    <w:rPr>
      <w:rFonts w:ascii="Calibri" w:eastAsia="Calibri" w:hAnsi="Calibri" w:cs="Times New Roman"/>
    </w:rPr>
  </w:style>
  <w:style w:type="paragraph" w:styleId="FootnoteText">
    <w:name w:val="footnote text"/>
    <w:basedOn w:val="Normal"/>
    <w:link w:val="FootnoteTextChar"/>
    <w:unhideWhenUsed/>
    <w:rsid w:val="002805FE"/>
    <w:pPr>
      <w:spacing w:after="0" w:line="240" w:lineRule="auto"/>
    </w:pPr>
    <w:rPr>
      <w:sz w:val="20"/>
      <w:szCs w:val="20"/>
    </w:rPr>
  </w:style>
  <w:style w:type="character" w:customStyle="1" w:styleId="FootnoteTextChar">
    <w:name w:val="Footnote Text Char"/>
    <w:basedOn w:val="DefaultParagraphFont"/>
    <w:link w:val="FootnoteText"/>
    <w:rsid w:val="002805FE"/>
    <w:rPr>
      <w:sz w:val="20"/>
      <w:szCs w:val="20"/>
    </w:rPr>
  </w:style>
  <w:style w:type="character" w:styleId="FootnoteReference">
    <w:name w:val="footnote reference"/>
    <w:basedOn w:val="DefaultParagraphFont"/>
    <w:semiHidden/>
    <w:unhideWhenUsed/>
    <w:rsid w:val="002805FE"/>
    <w:rPr>
      <w:vertAlign w:val="superscript"/>
    </w:rPr>
  </w:style>
  <w:style w:type="paragraph" w:customStyle="1" w:styleId="wordsection1">
    <w:name w:val="wordsection1"/>
    <w:basedOn w:val="Normal"/>
    <w:rsid w:val="00ED13E3"/>
    <w:pPr>
      <w:spacing w:before="100" w:beforeAutospacing="1" w:after="100" w:afterAutospacing="1"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7D79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9AF"/>
  </w:style>
  <w:style w:type="paragraph" w:styleId="Footer">
    <w:name w:val="footer"/>
    <w:basedOn w:val="Normal"/>
    <w:link w:val="FooterChar"/>
    <w:uiPriority w:val="99"/>
    <w:unhideWhenUsed/>
    <w:rsid w:val="007D79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9AF"/>
  </w:style>
  <w:style w:type="character" w:styleId="CommentReference">
    <w:name w:val="annotation reference"/>
    <w:basedOn w:val="DefaultParagraphFont"/>
    <w:uiPriority w:val="99"/>
    <w:semiHidden/>
    <w:unhideWhenUsed/>
    <w:rsid w:val="007106B9"/>
    <w:rPr>
      <w:sz w:val="16"/>
      <w:szCs w:val="16"/>
    </w:rPr>
  </w:style>
  <w:style w:type="paragraph" w:styleId="CommentText">
    <w:name w:val="annotation text"/>
    <w:basedOn w:val="Normal"/>
    <w:link w:val="CommentTextChar"/>
    <w:uiPriority w:val="99"/>
    <w:semiHidden/>
    <w:unhideWhenUsed/>
    <w:rsid w:val="007106B9"/>
    <w:pPr>
      <w:spacing w:line="240" w:lineRule="auto"/>
    </w:pPr>
    <w:rPr>
      <w:sz w:val="20"/>
      <w:szCs w:val="20"/>
    </w:rPr>
  </w:style>
  <w:style w:type="character" w:customStyle="1" w:styleId="CommentTextChar">
    <w:name w:val="Comment Text Char"/>
    <w:basedOn w:val="DefaultParagraphFont"/>
    <w:link w:val="CommentText"/>
    <w:uiPriority w:val="99"/>
    <w:semiHidden/>
    <w:rsid w:val="007106B9"/>
    <w:rPr>
      <w:sz w:val="20"/>
      <w:szCs w:val="20"/>
    </w:rPr>
  </w:style>
  <w:style w:type="paragraph" w:styleId="CommentSubject">
    <w:name w:val="annotation subject"/>
    <w:basedOn w:val="CommentText"/>
    <w:next w:val="CommentText"/>
    <w:link w:val="CommentSubjectChar"/>
    <w:uiPriority w:val="99"/>
    <w:semiHidden/>
    <w:unhideWhenUsed/>
    <w:rsid w:val="007106B9"/>
    <w:rPr>
      <w:b/>
      <w:bCs/>
    </w:rPr>
  </w:style>
  <w:style w:type="character" w:customStyle="1" w:styleId="CommentSubjectChar">
    <w:name w:val="Comment Subject Char"/>
    <w:basedOn w:val="CommentTextChar"/>
    <w:link w:val="CommentSubject"/>
    <w:uiPriority w:val="99"/>
    <w:semiHidden/>
    <w:rsid w:val="007106B9"/>
    <w:rPr>
      <w:b/>
      <w:bCs/>
      <w:sz w:val="20"/>
      <w:szCs w:val="20"/>
    </w:rPr>
  </w:style>
  <w:style w:type="paragraph" w:styleId="BalloonText">
    <w:name w:val="Balloon Text"/>
    <w:basedOn w:val="Normal"/>
    <w:link w:val="BalloonTextChar"/>
    <w:uiPriority w:val="99"/>
    <w:semiHidden/>
    <w:unhideWhenUsed/>
    <w:rsid w:val="00710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6B9"/>
    <w:rPr>
      <w:rFonts w:ascii="Segoe UI" w:hAnsi="Segoe UI" w:cs="Segoe UI"/>
      <w:sz w:val="18"/>
      <w:szCs w:val="18"/>
    </w:rPr>
  </w:style>
  <w:style w:type="character" w:customStyle="1" w:styleId="markedcontent">
    <w:name w:val="markedcontent"/>
    <w:basedOn w:val="DefaultParagraphFont"/>
    <w:rsid w:val="00E65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242439">
      <w:bodyDiv w:val="1"/>
      <w:marLeft w:val="0"/>
      <w:marRight w:val="0"/>
      <w:marTop w:val="0"/>
      <w:marBottom w:val="0"/>
      <w:divBdr>
        <w:top w:val="none" w:sz="0" w:space="0" w:color="auto"/>
        <w:left w:val="none" w:sz="0" w:space="0" w:color="auto"/>
        <w:bottom w:val="none" w:sz="0" w:space="0" w:color="auto"/>
        <w:right w:val="none" w:sz="0" w:space="0" w:color="auto"/>
      </w:divBdr>
    </w:div>
    <w:div w:id="1556505191">
      <w:bodyDiv w:val="1"/>
      <w:marLeft w:val="0"/>
      <w:marRight w:val="0"/>
      <w:marTop w:val="0"/>
      <w:marBottom w:val="0"/>
      <w:divBdr>
        <w:top w:val="none" w:sz="0" w:space="0" w:color="auto"/>
        <w:left w:val="none" w:sz="0" w:space="0" w:color="auto"/>
        <w:bottom w:val="none" w:sz="0" w:space="0" w:color="auto"/>
        <w:right w:val="none" w:sz="0" w:space="0" w:color="auto"/>
      </w:divBdr>
    </w:div>
    <w:div w:id="213759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F1BCD-B99F-45B3-927B-F96EA5091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1662</Words>
  <Characters>9474</Characters>
  <Application>Microsoft Office Word</Application>
  <DocSecurity>4</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Secretariat on Wetlands</dc:creator>
  <cp:lastModifiedBy>Ed Jennings</cp:lastModifiedBy>
  <cp:revision>2</cp:revision>
  <cp:lastPrinted>2021-06-17T09:09:00Z</cp:lastPrinted>
  <dcterms:created xsi:type="dcterms:W3CDTF">2021-06-18T10:14:00Z</dcterms:created>
  <dcterms:modified xsi:type="dcterms:W3CDTF">2021-06-18T10:14:00Z</dcterms:modified>
</cp:coreProperties>
</file>