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4B010" w14:textId="77777777" w:rsidR="00043524" w:rsidRPr="009C2848" w:rsidRDefault="00043524" w:rsidP="00043524">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3214" w:hanging="357"/>
        <w:jc w:val="both"/>
        <w:rPr>
          <w:rFonts w:eastAsia="Times New Roman" w:cstheme="minorHAnsi"/>
          <w:bCs/>
          <w:lang w:eastAsia="en-GB"/>
        </w:rPr>
      </w:pPr>
      <w:r w:rsidRPr="009C2848">
        <w:rPr>
          <w:rFonts w:eastAsia="Times New Roman" w:cstheme="minorHAnsi"/>
          <w:bCs/>
          <w:lang w:eastAsia="en-GB"/>
        </w:rPr>
        <w:t>THE CONVENTION ON WETLANDS</w:t>
      </w:r>
    </w:p>
    <w:p w14:paraId="283303BF" w14:textId="77777777" w:rsidR="00043524" w:rsidRPr="009C2848" w:rsidRDefault="00043524" w:rsidP="00043524">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3214" w:hanging="357"/>
        <w:jc w:val="both"/>
        <w:rPr>
          <w:rFonts w:eastAsia="Times New Roman" w:cstheme="minorHAnsi"/>
          <w:bCs/>
          <w:lang w:eastAsia="en-GB"/>
        </w:rPr>
      </w:pPr>
      <w:r w:rsidRPr="009C2848">
        <w:rPr>
          <w:rFonts w:eastAsia="Times New Roman" w:cstheme="minorHAnsi"/>
          <w:bCs/>
          <w:lang w:eastAsia="en-GB"/>
        </w:rPr>
        <w:t>5</w:t>
      </w:r>
      <w:r>
        <w:rPr>
          <w:rFonts w:eastAsia="Times New Roman" w:cstheme="minorHAnsi"/>
          <w:bCs/>
          <w:lang w:eastAsia="en-GB"/>
        </w:rPr>
        <w:t>9</w:t>
      </w:r>
      <w:r w:rsidRPr="009C2848">
        <w:rPr>
          <w:rFonts w:eastAsia="Times New Roman" w:cstheme="minorHAnsi"/>
          <w:bCs/>
          <w:lang w:eastAsia="en-GB"/>
        </w:rPr>
        <w:t>th Meeting of the Standing Committee</w:t>
      </w:r>
    </w:p>
    <w:p w14:paraId="48237720" w14:textId="77777777" w:rsidR="00043524" w:rsidRPr="009C2848" w:rsidRDefault="00043524" w:rsidP="00043524">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3214" w:hanging="357"/>
        <w:jc w:val="both"/>
        <w:rPr>
          <w:rFonts w:eastAsia="Times New Roman" w:cstheme="minorHAnsi"/>
          <w:lang w:val="de-CH" w:eastAsia="en-GB"/>
        </w:rPr>
      </w:pPr>
      <w:r w:rsidRPr="009C2848">
        <w:rPr>
          <w:rFonts w:eastAsia="Times New Roman" w:cstheme="minorHAnsi"/>
          <w:bCs/>
          <w:lang w:val="de-CH" w:eastAsia="en-GB"/>
        </w:rPr>
        <w:t>Gland, Switzerland, 2</w:t>
      </w:r>
      <w:r>
        <w:rPr>
          <w:rFonts w:eastAsia="Times New Roman" w:cstheme="minorHAnsi"/>
          <w:bCs/>
          <w:lang w:val="de-CH" w:eastAsia="en-GB"/>
        </w:rPr>
        <w:t>1</w:t>
      </w:r>
      <w:r w:rsidRPr="009C2848">
        <w:rPr>
          <w:rFonts w:eastAsia="Times New Roman" w:cstheme="minorHAnsi"/>
          <w:bCs/>
          <w:lang w:val="de-CH" w:eastAsia="en-GB"/>
        </w:rPr>
        <w:t>-</w:t>
      </w:r>
      <w:r>
        <w:rPr>
          <w:rFonts w:eastAsia="Times New Roman" w:cstheme="minorHAnsi"/>
          <w:bCs/>
          <w:lang w:val="de-CH" w:eastAsia="en-GB"/>
        </w:rPr>
        <w:t>25</w:t>
      </w:r>
      <w:r w:rsidRPr="009C2848">
        <w:rPr>
          <w:rFonts w:eastAsia="Times New Roman" w:cstheme="minorHAnsi"/>
          <w:bCs/>
          <w:lang w:val="de-CH" w:eastAsia="en-GB"/>
        </w:rPr>
        <w:t xml:space="preserve"> </w:t>
      </w:r>
      <w:r>
        <w:rPr>
          <w:rFonts w:eastAsia="Times New Roman" w:cstheme="minorHAnsi"/>
          <w:bCs/>
          <w:lang w:val="de-CH" w:eastAsia="en-GB"/>
        </w:rPr>
        <w:t xml:space="preserve">June </w:t>
      </w:r>
      <w:r w:rsidRPr="009C2848">
        <w:rPr>
          <w:rFonts w:eastAsia="Times New Roman" w:cstheme="minorHAnsi"/>
          <w:bCs/>
          <w:lang w:val="de-CH" w:eastAsia="en-GB"/>
        </w:rPr>
        <w:t>202</w:t>
      </w:r>
      <w:r>
        <w:rPr>
          <w:rFonts w:eastAsia="Times New Roman" w:cstheme="minorHAnsi"/>
          <w:bCs/>
          <w:lang w:val="de-CH" w:eastAsia="en-GB"/>
        </w:rPr>
        <w:t>1</w:t>
      </w:r>
    </w:p>
    <w:p w14:paraId="139DDE12" w14:textId="77777777" w:rsidR="00043524" w:rsidRPr="002546A1" w:rsidRDefault="00043524" w:rsidP="007D79AF">
      <w:pPr>
        <w:spacing w:after="0" w:line="240" w:lineRule="auto"/>
        <w:jc w:val="both"/>
        <w:rPr>
          <w:rFonts w:eastAsia="Times New Roman" w:cstheme="minorHAnsi"/>
          <w:sz w:val="28"/>
          <w:szCs w:val="28"/>
          <w:lang w:val="de-CH" w:eastAsia="en-GB"/>
        </w:rPr>
      </w:pPr>
    </w:p>
    <w:p w14:paraId="2A5D0B0B" w14:textId="77777777" w:rsidR="00043524" w:rsidRPr="002546A1" w:rsidRDefault="00043524" w:rsidP="007D79AF">
      <w:pPr>
        <w:spacing w:after="0" w:line="240" w:lineRule="auto"/>
        <w:jc w:val="right"/>
        <w:rPr>
          <w:rFonts w:eastAsia="Times New Roman" w:cstheme="minorHAnsi"/>
          <w:b/>
          <w:sz w:val="28"/>
          <w:szCs w:val="28"/>
          <w:lang w:val="de-CH" w:eastAsia="en-GB"/>
        </w:rPr>
      </w:pPr>
      <w:r w:rsidRPr="002546A1">
        <w:rPr>
          <w:rFonts w:eastAsia="Times New Roman" w:cstheme="minorHAnsi"/>
          <w:b/>
          <w:sz w:val="28"/>
          <w:szCs w:val="28"/>
          <w:lang w:val="de-CH" w:eastAsia="en-GB"/>
        </w:rPr>
        <w:t>SC59 Doc.</w:t>
      </w:r>
      <w:r w:rsidR="004349EE" w:rsidRPr="002546A1">
        <w:rPr>
          <w:rFonts w:eastAsia="Times New Roman" w:cstheme="minorHAnsi"/>
          <w:b/>
          <w:sz w:val="28"/>
          <w:szCs w:val="28"/>
          <w:lang w:val="de-CH" w:eastAsia="en-GB"/>
        </w:rPr>
        <w:t>14</w:t>
      </w:r>
    </w:p>
    <w:p w14:paraId="4E7D68CE" w14:textId="77777777" w:rsidR="00043524" w:rsidRPr="002546A1" w:rsidRDefault="00043524" w:rsidP="007D79AF">
      <w:pPr>
        <w:spacing w:after="0" w:line="240" w:lineRule="auto"/>
        <w:jc w:val="right"/>
        <w:rPr>
          <w:rFonts w:eastAsia="Times New Roman" w:cstheme="minorHAnsi"/>
          <w:b/>
          <w:sz w:val="28"/>
          <w:szCs w:val="28"/>
          <w:lang w:val="de-CH" w:eastAsia="en-GB"/>
        </w:rPr>
      </w:pPr>
    </w:p>
    <w:p w14:paraId="3C2A8F70" w14:textId="77777777" w:rsidR="00043524" w:rsidRPr="002546A1" w:rsidRDefault="00043524" w:rsidP="007D79AF">
      <w:pPr>
        <w:autoSpaceDE w:val="0"/>
        <w:autoSpaceDN w:val="0"/>
        <w:adjustRightInd w:val="0"/>
        <w:spacing w:after="0" w:line="240" w:lineRule="auto"/>
        <w:jc w:val="center"/>
        <w:rPr>
          <w:rFonts w:cstheme="minorHAnsi"/>
          <w:b/>
          <w:color w:val="000000"/>
          <w:sz w:val="28"/>
          <w:szCs w:val="28"/>
        </w:rPr>
      </w:pPr>
      <w:r w:rsidRPr="002546A1">
        <w:rPr>
          <w:rFonts w:cstheme="minorHAnsi"/>
          <w:b/>
          <w:bCs/>
          <w:color w:val="000000"/>
          <w:sz w:val="28"/>
          <w:szCs w:val="28"/>
        </w:rPr>
        <w:t xml:space="preserve">Report of the Observer Status Working Group </w:t>
      </w:r>
    </w:p>
    <w:p w14:paraId="47CD850B" w14:textId="77777777" w:rsidR="00043524" w:rsidRPr="002546A1" w:rsidRDefault="00043524" w:rsidP="007D79AF">
      <w:pPr>
        <w:spacing w:after="0" w:line="240" w:lineRule="auto"/>
        <w:jc w:val="both"/>
        <w:rPr>
          <w:rFonts w:eastAsia="Times New Roman" w:cstheme="minorHAnsi"/>
          <w:b/>
          <w:sz w:val="28"/>
          <w:szCs w:val="28"/>
          <w:lang w:eastAsia="en-GB"/>
        </w:rPr>
      </w:pPr>
    </w:p>
    <w:p w14:paraId="3275CA2B" w14:textId="77777777" w:rsidR="00043524" w:rsidRPr="009C2848" w:rsidRDefault="00043524" w:rsidP="007D79AF">
      <w:pPr>
        <w:autoSpaceDE w:val="0"/>
        <w:autoSpaceDN w:val="0"/>
        <w:adjustRightInd w:val="0"/>
        <w:spacing w:after="0" w:line="240" w:lineRule="auto"/>
        <w:ind w:left="357" w:hanging="357"/>
        <w:jc w:val="both"/>
        <w:rPr>
          <w:rFonts w:cstheme="minorHAnsi"/>
        </w:rPr>
      </w:pPr>
      <w:r w:rsidRPr="009C2848">
        <w:rPr>
          <w:rFonts w:eastAsia="Times New Roman" w:cstheme="minorHAnsi"/>
          <w:noProof/>
          <w:lang w:eastAsia="en-GB"/>
        </w:rPr>
        <mc:AlternateContent>
          <mc:Choice Requires="wps">
            <w:drawing>
              <wp:inline distT="0" distB="0" distL="0" distR="0" wp14:anchorId="06800763" wp14:editId="78A80228">
                <wp:extent cx="5854535" cy="1524000"/>
                <wp:effectExtent l="0" t="0" r="13335" b="19050"/>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535" cy="1524000"/>
                        </a:xfrm>
                        <a:prstGeom prst="rect">
                          <a:avLst/>
                        </a:prstGeom>
                        <a:solidFill>
                          <a:srgbClr val="FFFFFF"/>
                        </a:solidFill>
                        <a:ln w="9525">
                          <a:solidFill>
                            <a:srgbClr val="000000"/>
                          </a:solidFill>
                          <a:miter lim="800000"/>
                          <a:headEnd/>
                          <a:tailEnd/>
                        </a:ln>
                      </wps:spPr>
                      <wps:txbx>
                        <w:txbxContent>
                          <w:p w14:paraId="5F76FB3A" w14:textId="77777777" w:rsidR="00043524" w:rsidRPr="00863119" w:rsidRDefault="00043524" w:rsidP="007D79AF">
                            <w:pPr>
                              <w:spacing w:after="0" w:line="240" w:lineRule="auto"/>
                              <w:rPr>
                                <w:rFonts w:ascii="Calibri" w:hAnsi="Calibri"/>
                                <w:b/>
                                <w:bCs/>
                              </w:rPr>
                            </w:pPr>
                            <w:r w:rsidRPr="00863119">
                              <w:rPr>
                                <w:rFonts w:ascii="Calibri" w:hAnsi="Calibri"/>
                                <w:b/>
                                <w:bCs/>
                              </w:rPr>
                              <w:t>Actions requested</w:t>
                            </w:r>
                            <w:r>
                              <w:rPr>
                                <w:rFonts w:ascii="Calibri" w:hAnsi="Calibri"/>
                                <w:b/>
                                <w:bCs/>
                              </w:rPr>
                              <w:t>:</w:t>
                            </w:r>
                          </w:p>
                          <w:p w14:paraId="7290B855" w14:textId="77777777" w:rsidR="00043524" w:rsidRDefault="00043524" w:rsidP="007D79AF">
                            <w:pPr>
                              <w:spacing w:after="0" w:line="240" w:lineRule="auto"/>
                            </w:pPr>
                            <w:r w:rsidRPr="00863119">
                              <w:t>The Standing Committee is invited to</w:t>
                            </w:r>
                            <w:r>
                              <w:t>:</w:t>
                            </w:r>
                            <w:r w:rsidRPr="00863119">
                              <w:t xml:space="preserve"> </w:t>
                            </w:r>
                          </w:p>
                          <w:p w14:paraId="34FC9409" w14:textId="77777777" w:rsidR="007D79AF" w:rsidRDefault="007D79AF" w:rsidP="007D79AF">
                            <w:pPr>
                              <w:spacing w:after="0" w:line="240" w:lineRule="auto"/>
                              <w:ind w:left="425" w:hanging="425"/>
                            </w:pPr>
                          </w:p>
                          <w:p w14:paraId="58C7DA2F" w14:textId="77777777" w:rsidR="00A615A8" w:rsidRDefault="00043524" w:rsidP="007D79AF">
                            <w:pPr>
                              <w:spacing w:after="0" w:line="240" w:lineRule="auto"/>
                              <w:ind w:left="425" w:hanging="425"/>
                            </w:pPr>
                            <w:r>
                              <w:t>i.</w:t>
                            </w:r>
                            <w:r>
                              <w:tab/>
                            </w:r>
                            <w:r w:rsidRPr="00AC0464">
                              <w:t>take note of the progress</w:t>
                            </w:r>
                            <w:r>
                              <w:t xml:space="preserve"> of the </w:t>
                            </w:r>
                            <w:r w:rsidR="00D2518D">
                              <w:t xml:space="preserve">work of the </w:t>
                            </w:r>
                            <w:r>
                              <w:t>Observer Status Working Group</w:t>
                            </w:r>
                            <w:r w:rsidRPr="00AC0464">
                              <w:t xml:space="preserve"> </w:t>
                            </w:r>
                            <w:r w:rsidR="00A615A8">
                              <w:t>according to the mandate of the Standing Committee.</w:t>
                            </w:r>
                          </w:p>
                          <w:p w14:paraId="060A30C4" w14:textId="77777777" w:rsidR="00D2518D" w:rsidRDefault="00D2518D" w:rsidP="007D79AF">
                            <w:pPr>
                              <w:spacing w:after="0" w:line="240" w:lineRule="auto"/>
                              <w:ind w:left="425" w:hanging="425"/>
                            </w:pPr>
                          </w:p>
                          <w:p w14:paraId="4FFD9410" w14:textId="5AE014ED" w:rsidR="0031116C" w:rsidRDefault="00A615A8" w:rsidP="007D79AF">
                            <w:pPr>
                              <w:spacing w:after="0" w:line="240" w:lineRule="auto"/>
                              <w:ind w:left="425" w:hanging="425"/>
                              <w:rPr>
                                <w:rFonts w:cs="Garamond"/>
                              </w:rPr>
                            </w:pPr>
                            <w:r>
                              <w:rPr>
                                <w:rFonts w:cs="Garamond"/>
                              </w:rPr>
                              <w:t xml:space="preserve"> </w:t>
                            </w:r>
                            <w:r w:rsidR="00043524">
                              <w:rPr>
                                <w:rFonts w:cs="Garamond"/>
                              </w:rPr>
                              <w:t>ii.</w:t>
                            </w:r>
                            <w:r w:rsidR="00043524">
                              <w:rPr>
                                <w:rFonts w:cs="Garamond"/>
                              </w:rPr>
                              <w:tab/>
                            </w:r>
                            <w:r w:rsidR="0031116C">
                              <w:rPr>
                                <w:rFonts w:cs="Garamond"/>
                              </w:rPr>
                              <w:t xml:space="preserve">agree on </w:t>
                            </w:r>
                            <w:r w:rsidR="00043524" w:rsidRPr="00AC0464">
                              <w:rPr>
                                <w:rFonts w:cs="Garamond"/>
                              </w:rPr>
                              <w:t>the</w:t>
                            </w:r>
                            <w:r w:rsidR="00B921ED">
                              <w:rPr>
                                <w:rFonts w:cs="Garamond"/>
                              </w:rPr>
                              <w:t xml:space="preserve"> recommendation</w:t>
                            </w:r>
                            <w:r w:rsidR="00D2518D">
                              <w:rPr>
                                <w:rFonts w:cs="Garamond"/>
                              </w:rPr>
                              <w:t xml:space="preserve"> of the Working Group to continue its work </w:t>
                            </w:r>
                            <w:r w:rsidR="0031116C">
                              <w:rPr>
                                <w:rFonts w:cs="Garamond"/>
                              </w:rPr>
                              <w:t xml:space="preserve">and to report back at Standing Committee </w:t>
                            </w:r>
                            <w:r w:rsidR="0031116C">
                              <w:rPr>
                                <w:rFonts w:cs="Garamond"/>
                              </w:rPr>
                              <w:t>60.</w:t>
                            </w:r>
                          </w:p>
                        </w:txbxContent>
                      </wps:txbx>
                      <wps:bodyPr rot="0" vert="horz" wrap="square" lIns="91440" tIns="45720" rIns="91440" bIns="45720" anchor="t" anchorCtr="0" upright="1">
                        <a:noAutofit/>
                      </wps:bodyPr>
                    </wps:wsp>
                  </a:graphicData>
                </a:graphic>
              </wp:inline>
            </w:drawing>
          </mc:Choice>
          <mc:Fallback>
            <w:pict>
              <v:shapetype w14:anchorId="06800763" id="_x0000_t202" coordsize="21600,21600" o:spt="202" path="m,l,21600r21600,l21600,xe">
                <v:stroke joinstyle="miter"/>
                <v:path gradientshapeok="t" o:connecttype="rect"/>
              </v:shapetype>
              <v:shape id="Text Box 5" o:spid="_x0000_s1026" type="#_x0000_t202" style="width:461pt;height:1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0PWLQIAAFEEAAAOAAAAZHJzL2Uyb0RvYy54bWysVNuO0zAQfUfiHyy/06SlgW7UdLV0KUJa&#10;LtIuH+A4TmJhe4ztNlm+nrHT7QZ4Q+TB8njGx2fOzGR7PWpFTsJ5Caaiy0VOiTAcGmm6in57OLza&#10;UOIDMw1TYERFH4Wn17uXL7aDLcUKelCNcARBjC8HW9E+BFtmmee90MwvwAqDzhacZgFN12WNYwOi&#10;a5Wt8vxNNoBrrAMuvMfT28lJdwm/bQUPX9rWi0BURZFbSKtLax3XbLdlZeeY7SU/02D/wEIzafDR&#10;C9QtC4wcnfwLSkvuwEMbFhx0Bm0ruUg5YDbL/I9s7ntmRcoFxfH2IpP/f7D88+mrI7LB2lFimMYS&#10;PYgxkHcwkiKqM1hfYtC9xbAw4nGMjJl6ewf8uycG9j0znbhxDoZesAbZLePNbHZ1wvERpB4+QYPP&#10;sGOABDS2TkdAFIMgOlbp8VKZSIXjYbEp1sXrghKOvmWxWud5ql3Gyqfr1vnwQYAmcVNRh6VP8Ox0&#10;50Okw8qnkEQflGwOUqlkuK7eK0dODNvkkL6UAWY5D1OGDBW9KlbFpMDc5+cQyO6Z4G8QWgbsdyV1&#10;RTeXIFZG3d6bJnVjYFJNe6SszFnIqN2kYhjr8VyYGppHlNTB1Nc4h7jpwf2kZMCerqj/cWROUKI+&#10;GizL1XK9jkOQjHXxdoWGm3vquYcZjlAVDZRM232YBudonex6fGlqBAM3WMpWJpFjzSdWZ97Yt0n7&#10;84zFwZjbKer5T7D7BQAA//8DAFBLAwQUAAYACAAAACEAOsLAytsAAAAFAQAADwAAAGRycy9kb3du&#10;cmV2LnhtbEyPwU7DMBBE70j8g7VIXBC1CVVpQ5wKIYHgBgXB1Y23SYS9Drabhr9n4QKXkUazmnlb&#10;rSfvxIgx9YE0XMwUCKQm2J5aDa8vd+dLECkbssYFQg1fmGBdHx9VprThQM84bnIruIRSaTR0OQ+l&#10;lKnp0Js0CwMSZ7sQvclsYyttNAcu904WSi2kNz3xQmcGvO2w+djsvYbl/GF8T4+XT2/NYudW+exq&#10;vP+MWp+eTDfXIDJO+e8YfvAZHWpm2oY92SScBn4k/ypnq6Jgu9VQzJUCWVfyP339DQAA//8DAFBL&#10;AQItABQABgAIAAAAIQC2gziS/gAAAOEBAAATAAAAAAAAAAAAAAAAAAAAAABbQ29udGVudF9UeXBl&#10;c10ueG1sUEsBAi0AFAAGAAgAAAAhADj9If/WAAAAlAEAAAsAAAAAAAAAAAAAAAAALwEAAF9yZWxz&#10;Ly5yZWxzUEsBAi0AFAAGAAgAAAAhAOQrQ9YtAgAAUQQAAA4AAAAAAAAAAAAAAAAALgIAAGRycy9l&#10;Mm9Eb2MueG1sUEsBAi0AFAAGAAgAAAAhADrCwMrbAAAABQEAAA8AAAAAAAAAAAAAAAAAhwQAAGRy&#10;cy9kb3ducmV2LnhtbFBLBQYAAAAABAAEAPMAAACPBQAAAAA=&#10;">
                <v:textbox>
                  <w:txbxContent>
                    <w:p w14:paraId="5F76FB3A" w14:textId="77777777" w:rsidR="00043524" w:rsidRPr="00863119" w:rsidRDefault="00043524" w:rsidP="007D79AF">
                      <w:pPr>
                        <w:spacing w:after="0" w:line="240" w:lineRule="auto"/>
                        <w:rPr>
                          <w:rFonts w:ascii="Calibri" w:hAnsi="Calibri"/>
                          <w:b/>
                          <w:bCs/>
                        </w:rPr>
                      </w:pPr>
                      <w:r w:rsidRPr="00863119">
                        <w:rPr>
                          <w:rFonts w:ascii="Calibri" w:hAnsi="Calibri"/>
                          <w:b/>
                          <w:bCs/>
                        </w:rPr>
                        <w:t>Actions requested</w:t>
                      </w:r>
                      <w:r>
                        <w:rPr>
                          <w:rFonts w:ascii="Calibri" w:hAnsi="Calibri"/>
                          <w:b/>
                          <w:bCs/>
                        </w:rPr>
                        <w:t>:</w:t>
                      </w:r>
                    </w:p>
                    <w:p w14:paraId="7290B855" w14:textId="77777777" w:rsidR="00043524" w:rsidRDefault="00043524" w:rsidP="007D79AF">
                      <w:pPr>
                        <w:spacing w:after="0" w:line="240" w:lineRule="auto"/>
                      </w:pPr>
                      <w:r w:rsidRPr="00863119">
                        <w:t>The Standing Committee is invited to</w:t>
                      </w:r>
                      <w:r>
                        <w:t>:</w:t>
                      </w:r>
                      <w:r w:rsidRPr="00863119">
                        <w:t xml:space="preserve"> </w:t>
                      </w:r>
                    </w:p>
                    <w:p w14:paraId="34FC9409" w14:textId="77777777" w:rsidR="007D79AF" w:rsidRDefault="007D79AF" w:rsidP="007D79AF">
                      <w:pPr>
                        <w:spacing w:after="0" w:line="240" w:lineRule="auto"/>
                        <w:ind w:left="425" w:hanging="425"/>
                      </w:pPr>
                    </w:p>
                    <w:p w14:paraId="58C7DA2F" w14:textId="77777777" w:rsidR="00A615A8" w:rsidRDefault="00043524" w:rsidP="007D79AF">
                      <w:pPr>
                        <w:spacing w:after="0" w:line="240" w:lineRule="auto"/>
                        <w:ind w:left="425" w:hanging="425"/>
                      </w:pPr>
                      <w:r>
                        <w:t>i.</w:t>
                      </w:r>
                      <w:r>
                        <w:tab/>
                      </w:r>
                      <w:r w:rsidRPr="00AC0464">
                        <w:t>take note of the progress</w:t>
                      </w:r>
                      <w:r>
                        <w:t xml:space="preserve"> of the </w:t>
                      </w:r>
                      <w:r w:rsidR="00D2518D">
                        <w:t xml:space="preserve">work of the </w:t>
                      </w:r>
                      <w:r>
                        <w:t>Observer Status Working Group</w:t>
                      </w:r>
                      <w:r w:rsidRPr="00AC0464">
                        <w:t xml:space="preserve"> </w:t>
                      </w:r>
                      <w:r w:rsidR="00A615A8">
                        <w:t>according to the mandate of the Standing Committee.</w:t>
                      </w:r>
                    </w:p>
                    <w:p w14:paraId="060A30C4" w14:textId="77777777" w:rsidR="00D2518D" w:rsidRDefault="00D2518D" w:rsidP="007D79AF">
                      <w:pPr>
                        <w:spacing w:after="0" w:line="240" w:lineRule="auto"/>
                        <w:ind w:left="425" w:hanging="425"/>
                      </w:pPr>
                    </w:p>
                    <w:p w14:paraId="4FFD9410" w14:textId="5AE014ED" w:rsidR="0031116C" w:rsidRDefault="00A615A8" w:rsidP="007D79AF">
                      <w:pPr>
                        <w:spacing w:after="0" w:line="240" w:lineRule="auto"/>
                        <w:ind w:left="425" w:hanging="425"/>
                        <w:rPr>
                          <w:rFonts w:cs="Garamond"/>
                        </w:rPr>
                      </w:pPr>
                      <w:r>
                        <w:rPr>
                          <w:rFonts w:cs="Garamond"/>
                        </w:rPr>
                        <w:t xml:space="preserve"> </w:t>
                      </w:r>
                      <w:r w:rsidR="00043524">
                        <w:rPr>
                          <w:rFonts w:cs="Garamond"/>
                        </w:rPr>
                        <w:t>ii.</w:t>
                      </w:r>
                      <w:r w:rsidR="00043524">
                        <w:rPr>
                          <w:rFonts w:cs="Garamond"/>
                        </w:rPr>
                        <w:tab/>
                      </w:r>
                      <w:r w:rsidR="0031116C">
                        <w:rPr>
                          <w:rFonts w:cs="Garamond"/>
                        </w:rPr>
                        <w:t xml:space="preserve">agree on </w:t>
                      </w:r>
                      <w:r w:rsidR="00043524" w:rsidRPr="00AC0464">
                        <w:rPr>
                          <w:rFonts w:cs="Garamond"/>
                        </w:rPr>
                        <w:t>the</w:t>
                      </w:r>
                      <w:r w:rsidR="00B921ED">
                        <w:rPr>
                          <w:rFonts w:cs="Garamond"/>
                        </w:rPr>
                        <w:t xml:space="preserve"> recommendation</w:t>
                      </w:r>
                      <w:r w:rsidR="00D2518D">
                        <w:rPr>
                          <w:rFonts w:cs="Garamond"/>
                        </w:rPr>
                        <w:t xml:space="preserve"> of the Working Group to continue its work </w:t>
                      </w:r>
                      <w:r w:rsidR="0031116C">
                        <w:rPr>
                          <w:rFonts w:cs="Garamond"/>
                        </w:rPr>
                        <w:t xml:space="preserve">and to report back at Standing Committee </w:t>
                      </w:r>
                      <w:r w:rsidR="0031116C">
                        <w:rPr>
                          <w:rFonts w:cs="Garamond"/>
                        </w:rPr>
                        <w:t>60.</w:t>
                      </w:r>
                    </w:p>
                  </w:txbxContent>
                </v:textbox>
                <w10:anchorlock/>
              </v:shape>
            </w:pict>
          </mc:Fallback>
        </mc:AlternateContent>
      </w:r>
    </w:p>
    <w:p w14:paraId="6BD99EEC" w14:textId="77777777" w:rsidR="00043524" w:rsidRDefault="00043524" w:rsidP="007D79AF">
      <w:pPr>
        <w:spacing w:after="0" w:line="240" w:lineRule="auto"/>
      </w:pPr>
    </w:p>
    <w:p w14:paraId="16B2B2A2" w14:textId="77777777" w:rsidR="007D79AF" w:rsidRPr="007D79AF" w:rsidRDefault="007D79AF" w:rsidP="007D79AF">
      <w:pPr>
        <w:spacing w:after="0" w:line="240" w:lineRule="auto"/>
      </w:pPr>
    </w:p>
    <w:p w14:paraId="607B9DBB" w14:textId="77777777" w:rsidR="00E92C39" w:rsidRPr="008A48CE" w:rsidRDefault="00E92C39" w:rsidP="008A48CE">
      <w:pPr>
        <w:spacing w:after="0" w:line="240" w:lineRule="auto"/>
        <w:rPr>
          <w:rFonts w:cstheme="minorHAnsi"/>
          <w:b/>
        </w:rPr>
      </w:pPr>
      <w:r w:rsidRPr="008A48CE">
        <w:rPr>
          <w:rFonts w:cstheme="minorHAnsi"/>
          <w:b/>
        </w:rPr>
        <w:t>Background</w:t>
      </w:r>
    </w:p>
    <w:p w14:paraId="015F0793" w14:textId="77777777" w:rsidR="00401270" w:rsidRPr="008A48CE" w:rsidRDefault="00401270" w:rsidP="008A48CE">
      <w:pPr>
        <w:spacing w:after="0" w:line="240" w:lineRule="auto"/>
        <w:rPr>
          <w:rFonts w:cstheme="minorHAnsi"/>
        </w:rPr>
      </w:pPr>
    </w:p>
    <w:p w14:paraId="35B23073" w14:textId="77777777" w:rsidR="00401270" w:rsidRPr="008A48CE" w:rsidRDefault="00401270" w:rsidP="008A48CE">
      <w:pPr>
        <w:pStyle w:val="ColorfulList-Accent11"/>
        <w:numPr>
          <w:ilvl w:val="0"/>
          <w:numId w:val="7"/>
        </w:numPr>
        <w:ind w:left="426" w:hanging="426"/>
        <w:contextualSpacing w:val="0"/>
        <w:rPr>
          <w:rFonts w:asciiTheme="minorHAnsi" w:hAnsiTheme="minorHAnsi" w:cstheme="minorHAnsi"/>
        </w:rPr>
      </w:pPr>
      <w:r w:rsidRPr="008A48CE">
        <w:rPr>
          <w:rFonts w:asciiTheme="minorHAnsi" w:hAnsiTheme="minorHAnsi" w:cstheme="minorHAnsi"/>
        </w:rPr>
        <w:t>In Decision SC55-12, the Standing Committee had instructed the Secretariat, with support from an informal group of interested Contracting Parties, to bring forward a structured proposal regarding the possibility of the Convention obtaining observer status at the United Nations General Assembly, taking into account the various options, for consideration at SC57.</w:t>
      </w:r>
    </w:p>
    <w:p w14:paraId="0FF97F67" w14:textId="77777777" w:rsidR="00401270" w:rsidRPr="008A48CE" w:rsidRDefault="00401270" w:rsidP="008A48CE">
      <w:pPr>
        <w:pStyle w:val="ColorfulList-Accent11"/>
        <w:ind w:left="0" w:firstLine="0"/>
        <w:contextualSpacing w:val="0"/>
        <w:rPr>
          <w:rFonts w:asciiTheme="minorHAnsi" w:hAnsiTheme="minorHAnsi" w:cstheme="minorHAnsi"/>
        </w:rPr>
      </w:pPr>
    </w:p>
    <w:p w14:paraId="71994644" w14:textId="77777777" w:rsidR="00401270" w:rsidRPr="008A48CE" w:rsidRDefault="00401270" w:rsidP="008A48CE">
      <w:pPr>
        <w:pStyle w:val="ColorfulList-Accent11"/>
        <w:numPr>
          <w:ilvl w:val="0"/>
          <w:numId w:val="7"/>
        </w:numPr>
        <w:ind w:left="426" w:hanging="426"/>
        <w:contextualSpacing w:val="0"/>
        <w:rPr>
          <w:rFonts w:asciiTheme="minorHAnsi" w:hAnsiTheme="minorHAnsi" w:cstheme="minorHAnsi"/>
        </w:rPr>
      </w:pPr>
      <w:r w:rsidRPr="008A48CE">
        <w:rPr>
          <w:rFonts w:asciiTheme="minorHAnsi" w:hAnsiTheme="minorHAnsi" w:cstheme="minorHAnsi"/>
        </w:rPr>
        <w:t>The Secretariat contacted all Parties to determine if any were interested in pursuing the process. As a result a small informal group was convened, comprising Bolivia (Plurinational State of), Chad, Colombia, Guinea, the United States of America and Uruguay. Four of the members participated in a teleconference on 17 May 2019.</w:t>
      </w:r>
    </w:p>
    <w:p w14:paraId="20299338" w14:textId="77777777" w:rsidR="00401270" w:rsidRPr="008A48CE" w:rsidRDefault="00401270" w:rsidP="008A48CE">
      <w:pPr>
        <w:pStyle w:val="ColorfulList-Accent11"/>
        <w:ind w:left="0" w:firstLine="0"/>
        <w:contextualSpacing w:val="0"/>
        <w:rPr>
          <w:rFonts w:asciiTheme="minorHAnsi" w:hAnsiTheme="minorHAnsi" w:cstheme="minorHAnsi"/>
        </w:rPr>
      </w:pPr>
    </w:p>
    <w:p w14:paraId="76019033" w14:textId="77777777" w:rsidR="00401270" w:rsidRPr="008A48CE" w:rsidRDefault="00401270" w:rsidP="008A48CE">
      <w:pPr>
        <w:pStyle w:val="ColorfulList-Accent11"/>
        <w:numPr>
          <w:ilvl w:val="0"/>
          <w:numId w:val="7"/>
        </w:numPr>
        <w:ind w:left="426" w:hanging="426"/>
        <w:contextualSpacing w:val="0"/>
        <w:rPr>
          <w:rFonts w:asciiTheme="minorHAnsi" w:hAnsiTheme="minorHAnsi" w:cstheme="minorHAnsi"/>
        </w:rPr>
      </w:pPr>
      <w:r w:rsidRPr="008A48CE">
        <w:rPr>
          <w:rFonts w:asciiTheme="minorHAnsi" w:hAnsiTheme="minorHAnsi" w:cstheme="minorHAnsi"/>
        </w:rPr>
        <w:t>Bolivia (Plurinational State of) presented the report of the informal group</w:t>
      </w:r>
      <w:r w:rsidR="007916F1" w:rsidRPr="008A48CE">
        <w:rPr>
          <w:rFonts w:asciiTheme="minorHAnsi" w:hAnsiTheme="minorHAnsi" w:cstheme="minorHAnsi"/>
        </w:rPr>
        <w:t xml:space="preserve"> at Standing Committee 57</w:t>
      </w:r>
      <w:r w:rsidRPr="008A48CE">
        <w:rPr>
          <w:rFonts w:asciiTheme="minorHAnsi" w:hAnsiTheme="minorHAnsi" w:cstheme="minorHAnsi"/>
        </w:rPr>
        <w:t>, with three recommendations for Standing Committee consideration for the way forward on the observer status.</w:t>
      </w:r>
    </w:p>
    <w:p w14:paraId="3505F1F5" w14:textId="77777777" w:rsidR="00401270" w:rsidRPr="008A48CE" w:rsidRDefault="00401270" w:rsidP="008A48CE">
      <w:pPr>
        <w:pStyle w:val="ColorfulList-Accent11"/>
        <w:ind w:left="0" w:firstLine="0"/>
        <w:contextualSpacing w:val="0"/>
        <w:rPr>
          <w:rFonts w:asciiTheme="minorHAnsi" w:hAnsiTheme="minorHAnsi" w:cstheme="minorHAnsi"/>
        </w:rPr>
      </w:pPr>
    </w:p>
    <w:p w14:paraId="4020208A" w14:textId="77777777" w:rsidR="00401270" w:rsidRPr="008A48CE" w:rsidRDefault="007916F1" w:rsidP="008A48CE">
      <w:pPr>
        <w:pStyle w:val="ColorfulList-Accent11"/>
        <w:numPr>
          <w:ilvl w:val="0"/>
          <w:numId w:val="7"/>
        </w:numPr>
        <w:ind w:left="426" w:hanging="426"/>
        <w:contextualSpacing w:val="0"/>
        <w:rPr>
          <w:rFonts w:asciiTheme="minorHAnsi" w:hAnsiTheme="minorHAnsi" w:cstheme="minorHAnsi"/>
        </w:rPr>
      </w:pPr>
      <w:r w:rsidRPr="008A48CE">
        <w:rPr>
          <w:rFonts w:asciiTheme="minorHAnsi" w:hAnsiTheme="minorHAnsi" w:cstheme="minorHAnsi"/>
        </w:rPr>
        <w:t>Standing Committee 57 (</w:t>
      </w:r>
      <w:r w:rsidR="00401270" w:rsidRPr="008A48CE">
        <w:rPr>
          <w:rFonts w:asciiTheme="minorHAnsi" w:hAnsiTheme="minorHAnsi" w:cstheme="minorHAnsi"/>
        </w:rPr>
        <w:t>Decision SC57-14</w:t>
      </w:r>
      <w:r w:rsidRPr="008A48CE">
        <w:rPr>
          <w:rFonts w:asciiTheme="minorHAnsi" w:hAnsiTheme="minorHAnsi" w:cstheme="minorHAnsi"/>
        </w:rPr>
        <w:t xml:space="preserve">) </w:t>
      </w:r>
      <w:r w:rsidR="002805FE" w:rsidRPr="008A48CE">
        <w:rPr>
          <w:rFonts w:asciiTheme="minorHAnsi" w:hAnsiTheme="minorHAnsi" w:cstheme="minorHAnsi"/>
        </w:rPr>
        <w:t>a</w:t>
      </w:r>
      <w:r w:rsidR="00401270" w:rsidRPr="008A48CE">
        <w:rPr>
          <w:rFonts w:asciiTheme="minorHAnsi" w:hAnsiTheme="minorHAnsi" w:cstheme="minorHAnsi"/>
        </w:rPr>
        <w:t>greed the following way forward on the observer status:</w:t>
      </w:r>
    </w:p>
    <w:p w14:paraId="2B8D347D" w14:textId="77777777" w:rsidR="007916F1" w:rsidRPr="008A48CE" w:rsidRDefault="007916F1" w:rsidP="008A48CE">
      <w:pPr>
        <w:pStyle w:val="ColorfulList-Accent11"/>
        <w:ind w:left="0" w:firstLine="0"/>
        <w:contextualSpacing w:val="0"/>
        <w:rPr>
          <w:rFonts w:asciiTheme="minorHAnsi" w:hAnsiTheme="minorHAnsi" w:cstheme="minorHAnsi"/>
        </w:rPr>
      </w:pPr>
    </w:p>
    <w:p w14:paraId="63235788" w14:textId="77777777" w:rsidR="00401270" w:rsidRPr="008A48CE" w:rsidRDefault="00401270" w:rsidP="008A48CE">
      <w:pPr>
        <w:spacing w:after="0" w:line="240" w:lineRule="auto"/>
        <w:ind w:left="851" w:hanging="425"/>
        <w:rPr>
          <w:rFonts w:cstheme="minorHAnsi"/>
        </w:rPr>
      </w:pPr>
      <w:r w:rsidRPr="008A48CE">
        <w:rPr>
          <w:rFonts w:cstheme="minorHAnsi"/>
        </w:rPr>
        <w:t>a.</w:t>
      </w:r>
      <w:r w:rsidRPr="008A48CE">
        <w:rPr>
          <w:rFonts w:cstheme="minorHAnsi"/>
        </w:rPr>
        <w:tab/>
        <w:t xml:space="preserve">Endorsement by SC57 of the continuity of the Observer Status Working Group (previously informal group) with the inclusion of Mexico, the Russian Federation and Switzerland; </w:t>
      </w:r>
    </w:p>
    <w:p w14:paraId="5DE1D81E" w14:textId="77777777" w:rsidR="0031116C" w:rsidRPr="008A48CE" w:rsidRDefault="0031116C" w:rsidP="008A48CE">
      <w:pPr>
        <w:spacing w:after="0" w:line="240" w:lineRule="auto"/>
        <w:ind w:left="851" w:hanging="425"/>
        <w:rPr>
          <w:rFonts w:cstheme="minorHAnsi"/>
        </w:rPr>
      </w:pPr>
    </w:p>
    <w:p w14:paraId="3C2CDD53" w14:textId="77777777" w:rsidR="00401270" w:rsidRPr="008A48CE" w:rsidRDefault="00401270" w:rsidP="008A48CE">
      <w:pPr>
        <w:spacing w:after="0" w:line="240" w:lineRule="auto"/>
        <w:ind w:left="851" w:hanging="425"/>
        <w:rPr>
          <w:rFonts w:cstheme="minorHAnsi"/>
        </w:rPr>
      </w:pPr>
      <w:r w:rsidRPr="008A48CE">
        <w:rPr>
          <w:rFonts w:cstheme="minorHAnsi"/>
        </w:rPr>
        <w:t>b.</w:t>
      </w:r>
      <w:r w:rsidRPr="008A48CE">
        <w:rPr>
          <w:rFonts w:cstheme="minorHAnsi"/>
        </w:rPr>
        <w:tab/>
        <w:t>Analysis of the different options and other options that might not yet have been addressed including the inputs from the Legal Adviser and the ones received from Parties during the meeting;</w:t>
      </w:r>
    </w:p>
    <w:p w14:paraId="20339E9C" w14:textId="77777777" w:rsidR="00D15AFB" w:rsidRPr="008A48CE" w:rsidRDefault="00D15AFB" w:rsidP="008A48CE">
      <w:pPr>
        <w:spacing w:after="0" w:line="240" w:lineRule="auto"/>
        <w:ind w:left="851" w:hanging="425"/>
        <w:rPr>
          <w:rFonts w:cstheme="minorHAnsi"/>
        </w:rPr>
      </w:pPr>
    </w:p>
    <w:p w14:paraId="775877E6" w14:textId="77777777" w:rsidR="007916F1" w:rsidRPr="008A48CE" w:rsidRDefault="00401270" w:rsidP="008A48CE">
      <w:pPr>
        <w:tabs>
          <w:tab w:val="left" w:pos="709"/>
        </w:tabs>
        <w:spacing w:after="0" w:line="240" w:lineRule="auto"/>
        <w:ind w:left="851" w:hanging="425"/>
        <w:rPr>
          <w:rFonts w:cstheme="minorHAnsi"/>
        </w:rPr>
      </w:pPr>
      <w:r w:rsidRPr="008A48CE">
        <w:rPr>
          <w:rFonts w:cstheme="minorHAnsi"/>
        </w:rPr>
        <w:t>c.</w:t>
      </w:r>
      <w:r w:rsidRPr="008A48CE">
        <w:rPr>
          <w:rFonts w:cstheme="minorHAnsi"/>
        </w:rPr>
        <w:tab/>
      </w:r>
      <w:r w:rsidR="00E45434" w:rsidRPr="008A48CE">
        <w:rPr>
          <w:rFonts w:cstheme="minorHAnsi"/>
        </w:rPr>
        <w:tab/>
      </w:r>
      <w:r w:rsidR="002805FE" w:rsidRPr="008A48CE">
        <w:rPr>
          <w:rFonts w:cstheme="minorHAnsi"/>
        </w:rPr>
        <w:t>Allocation of funds from the surplus for the independent analysis to be presented at the</w:t>
      </w:r>
      <w:r w:rsidR="0031116C" w:rsidRPr="008A48CE">
        <w:rPr>
          <w:rFonts w:cstheme="minorHAnsi"/>
        </w:rPr>
        <w:t xml:space="preserve"> </w:t>
      </w:r>
      <w:r w:rsidR="002805FE" w:rsidRPr="008A48CE">
        <w:rPr>
          <w:rFonts w:cstheme="minorHAnsi"/>
        </w:rPr>
        <w:t>58th meeting of the Standing Committee.</w:t>
      </w:r>
      <w:r w:rsidR="002805FE" w:rsidRPr="008A48CE">
        <w:rPr>
          <w:rStyle w:val="FootnoteReference"/>
          <w:rFonts w:cstheme="minorHAnsi"/>
        </w:rPr>
        <w:footnoteReference w:id="1"/>
      </w:r>
    </w:p>
    <w:p w14:paraId="17FC995C" w14:textId="77777777" w:rsidR="007916F1" w:rsidRPr="008A48CE" w:rsidRDefault="007916F1" w:rsidP="008A48CE">
      <w:pPr>
        <w:tabs>
          <w:tab w:val="left" w:pos="426"/>
        </w:tabs>
        <w:spacing w:after="0" w:line="240" w:lineRule="auto"/>
        <w:ind w:left="567" w:hanging="567"/>
        <w:rPr>
          <w:rFonts w:cstheme="minorHAnsi"/>
        </w:rPr>
      </w:pPr>
    </w:p>
    <w:p w14:paraId="509419FD" w14:textId="77777777" w:rsidR="00982AE6" w:rsidRPr="008A48CE" w:rsidRDefault="00982AE6" w:rsidP="008A48CE">
      <w:pPr>
        <w:spacing w:after="0" w:line="240" w:lineRule="auto"/>
        <w:ind w:left="284" w:hanging="284"/>
        <w:rPr>
          <w:rFonts w:cstheme="minorHAnsi"/>
          <w:b/>
        </w:rPr>
      </w:pPr>
      <w:r w:rsidRPr="008A48CE">
        <w:rPr>
          <w:rFonts w:cstheme="minorHAnsi"/>
          <w:b/>
        </w:rPr>
        <w:t xml:space="preserve">Summary of the process undertaken by the Working Group on the legal analysis </w:t>
      </w:r>
    </w:p>
    <w:p w14:paraId="5CB5E842" w14:textId="77777777" w:rsidR="007D79AF" w:rsidRPr="008A48CE" w:rsidRDefault="007D79AF" w:rsidP="008A48CE">
      <w:pPr>
        <w:spacing w:after="0" w:line="240" w:lineRule="auto"/>
        <w:ind w:left="284" w:hanging="284"/>
        <w:rPr>
          <w:rFonts w:cstheme="minorHAnsi"/>
          <w:b/>
        </w:rPr>
      </w:pPr>
    </w:p>
    <w:p w14:paraId="499C14A7" w14:textId="77777777" w:rsidR="009076D7" w:rsidRPr="008A48CE" w:rsidRDefault="009076D7" w:rsidP="008A48CE">
      <w:pPr>
        <w:pStyle w:val="ListParagraph"/>
        <w:numPr>
          <w:ilvl w:val="0"/>
          <w:numId w:val="7"/>
        </w:numPr>
        <w:ind w:left="426" w:hanging="426"/>
        <w:jc w:val="left"/>
        <w:rPr>
          <w:rFonts w:asciiTheme="minorHAnsi" w:hAnsiTheme="minorHAnsi" w:cstheme="minorHAnsi"/>
        </w:rPr>
      </w:pPr>
      <w:r w:rsidRPr="008A48CE">
        <w:rPr>
          <w:rFonts w:asciiTheme="minorHAnsi" w:hAnsiTheme="minorHAnsi" w:cstheme="minorHAnsi"/>
        </w:rPr>
        <w:t>During 20</w:t>
      </w:r>
      <w:r w:rsidR="002805FE" w:rsidRPr="008A48CE">
        <w:rPr>
          <w:rFonts w:asciiTheme="minorHAnsi" w:hAnsiTheme="minorHAnsi" w:cstheme="minorHAnsi"/>
        </w:rPr>
        <w:t>20</w:t>
      </w:r>
      <w:r w:rsidRPr="008A48CE">
        <w:rPr>
          <w:rFonts w:asciiTheme="minorHAnsi" w:hAnsiTheme="minorHAnsi" w:cstheme="minorHAnsi"/>
        </w:rPr>
        <w:t xml:space="preserve"> </w:t>
      </w:r>
      <w:r w:rsidR="00356A11" w:rsidRPr="008A48CE">
        <w:rPr>
          <w:rFonts w:asciiTheme="minorHAnsi" w:hAnsiTheme="minorHAnsi" w:cstheme="minorHAnsi"/>
        </w:rPr>
        <w:t xml:space="preserve">and 2021 </w:t>
      </w:r>
      <w:r w:rsidR="002805FE" w:rsidRPr="008A48CE">
        <w:rPr>
          <w:rFonts w:asciiTheme="minorHAnsi" w:hAnsiTheme="minorHAnsi" w:cstheme="minorHAnsi"/>
        </w:rPr>
        <w:t xml:space="preserve">the group held </w:t>
      </w:r>
      <w:r w:rsidR="00ED13E3" w:rsidRPr="008A48CE">
        <w:rPr>
          <w:rFonts w:asciiTheme="minorHAnsi" w:hAnsiTheme="minorHAnsi" w:cstheme="minorHAnsi"/>
        </w:rPr>
        <w:t xml:space="preserve">four </w:t>
      </w:r>
      <w:r w:rsidR="002805FE" w:rsidRPr="008A48CE">
        <w:rPr>
          <w:rFonts w:asciiTheme="minorHAnsi" w:hAnsiTheme="minorHAnsi" w:cstheme="minorHAnsi"/>
        </w:rPr>
        <w:t>conference calls</w:t>
      </w:r>
      <w:r w:rsidRPr="008A48CE">
        <w:rPr>
          <w:rFonts w:asciiTheme="minorHAnsi" w:hAnsiTheme="minorHAnsi" w:cstheme="minorHAnsi"/>
        </w:rPr>
        <w:t xml:space="preserve"> and prepared its work plan according to the mandate of the Standing Committee.</w:t>
      </w:r>
    </w:p>
    <w:p w14:paraId="03D11AFF" w14:textId="77777777" w:rsidR="00ED13E3" w:rsidRPr="008A48CE" w:rsidRDefault="00ED13E3" w:rsidP="008A48CE">
      <w:pPr>
        <w:spacing w:after="0" w:line="240" w:lineRule="auto"/>
        <w:ind w:left="426" w:hanging="426"/>
        <w:rPr>
          <w:rFonts w:cstheme="minorHAnsi"/>
        </w:rPr>
      </w:pPr>
    </w:p>
    <w:p w14:paraId="08055154" w14:textId="77777777" w:rsidR="00ED13E3" w:rsidRPr="008A48CE" w:rsidRDefault="00ED13E3" w:rsidP="008A48CE">
      <w:pPr>
        <w:pStyle w:val="wordsection1"/>
        <w:numPr>
          <w:ilvl w:val="0"/>
          <w:numId w:val="7"/>
        </w:numPr>
        <w:spacing w:before="0" w:beforeAutospacing="0" w:after="0" w:afterAutospacing="0"/>
        <w:ind w:left="426" w:hanging="426"/>
        <w:rPr>
          <w:rFonts w:asciiTheme="minorHAnsi" w:hAnsiTheme="minorHAnsi" w:cstheme="minorHAnsi"/>
          <w:sz w:val="22"/>
          <w:szCs w:val="22"/>
        </w:rPr>
      </w:pPr>
      <w:r w:rsidRPr="008A48CE">
        <w:rPr>
          <w:rFonts w:asciiTheme="minorHAnsi" w:hAnsiTheme="minorHAnsi" w:cstheme="minorHAnsi"/>
          <w:sz w:val="22"/>
          <w:szCs w:val="22"/>
          <w:lang w:val="en-US"/>
        </w:rPr>
        <w:t>T</w:t>
      </w:r>
      <w:r w:rsidRPr="008A48CE">
        <w:rPr>
          <w:rFonts w:asciiTheme="minorHAnsi" w:hAnsiTheme="minorHAnsi" w:cstheme="minorHAnsi"/>
          <w:sz w:val="22"/>
          <w:szCs w:val="22"/>
        </w:rPr>
        <w:t xml:space="preserve">he working group agreed on a roadmap that includes the development of a legal analysis </w:t>
      </w:r>
      <w:r w:rsidR="00070EBD" w:rsidRPr="008A48CE">
        <w:rPr>
          <w:rFonts w:asciiTheme="minorHAnsi" w:hAnsiTheme="minorHAnsi" w:cstheme="minorHAnsi"/>
          <w:sz w:val="22"/>
          <w:szCs w:val="22"/>
        </w:rPr>
        <w:t xml:space="preserve">in compliance with its mandate </w:t>
      </w:r>
      <w:r w:rsidR="00111C67" w:rsidRPr="008A48CE">
        <w:rPr>
          <w:rFonts w:asciiTheme="minorHAnsi" w:hAnsiTheme="minorHAnsi" w:cstheme="minorHAnsi"/>
          <w:sz w:val="22"/>
          <w:szCs w:val="22"/>
        </w:rPr>
        <w:t>of exploring different options and other options that might not yet have been explored</w:t>
      </w:r>
      <w:r w:rsidR="00190CFF" w:rsidRPr="008A48CE">
        <w:rPr>
          <w:rFonts w:asciiTheme="minorHAnsi" w:hAnsiTheme="minorHAnsi" w:cstheme="minorHAnsi"/>
          <w:sz w:val="22"/>
          <w:szCs w:val="22"/>
        </w:rPr>
        <w:t>,</w:t>
      </w:r>
      <w:r w:rsidR="00111C67" w:rsidRPr="008A48CE">
        <w:rPr>
          <w:rFonts w:asciiTheme="minorHAnsi" w:hAnsiTheme="minorHAnsi" w:cstheme="minorHAnsi"/>
          <w:sz w:val="22"/>
          <w:szCs w:val="22"/>
        </w:rPr>
        <w:t xml:space="preserve"> </w:t>
      </w:r>
      <w:r w:rsidRPr="008A48CE">
        <w:rPr>
          <w:rFonts w:asciiTheme="minorHAnsi" w:hAnsiTheme="minorHAnsi" w:cstheme="minorHAnsi"/>
          <w:sz w:val="22"/>
          <w:szCs w:val="22"/>
        </w:rPr>
        <w:t>that best address the Secretariat</w:t>
      </w:r>
      <w:r w:rsidR="008A48CE">
        <w:rPr>
          <w:rFonts w:asciiTheme="minorHAnsi" w:hAnsiTheme="minorHAnsi" w:cstheme="minorHAnsi"/>
          <w:sz w:val="22"/>
          <w:szCs w:val="22"/>
        </w:rPr>
        <w:t>’</w:t>
      </w:r>
      <w:r w:rsidRPr="008A48CE">
        <w:rPr>
          <w:rFonts w:asciiTheme="minorHAnsi" w:hAnsiTheme="minorHAnsi" w:cstheme="minorHAnsi"/>
          <w:sz w:val="22"/>
          <w:szCs w:val="22"/>
        </w:rPr>
        <w:t>s</w:t>
      </w:r>
      <w:r w:rsidR="00A06FB1" w:rsidRPr="008A48CE">
        <w:rPr>
          <w:rFonts w:asciiTheme="minorHAnsi" w:hAnsiTheme="minorHAnsi" w:cstheme="minorHAnsi"/>
          <w:sz w:val="22"/>
          <w:szCs w:val="22"/>
        </w:rPr>
        <w:t xml:space="preserve"> legal status, </w:t>
      </w:r>
      <w:r w:rsidRPr="008A48CE">
        <w:rPr>
          <w:rFonts w:asciiTheme="minorHAnsi" w:hAnsiTheme="minorHAnsi" w:cstheme="minorHAnsi"/>
          <w:sz w:val="22"/>
          <w:szCs w:val="22"/>
        </w:rPr>
        <w:t>participation</w:t>
      </w:r>
      <w:r w:rsidRPr="008A48CE">
        <w:rPr>
          <w:rFonts w:asciiTheme="minorHAnsi" w:hAnsiTheme="minorHAnsi" w:cstheme="minorHAnsi"/>
          <w:sz w:val="22"/>
          <w:szCs w:val="22"/>
          <w:lang w:val="en-US"/>
        </w:rPr>
        <w:t xml:space="preserve"> in international fora</w:t>
      </w:r>
      <w:r w:rsidRPr="008A48CE">
        <w:rPr>
          <w:rFonts w:asciiTheme="minorHAnsi" w:hAnsiTheme="minorHAnsi" w:cstheme="minorHAnsi"/>
          <w:sz w:val="22"/>
          <w:szCs w:val="22"/>
        </w:rPr>
        <w:t xml:space="preserve"> and visibility priorities. </w:t>
      </w:r>
    </w:p>
    <w:p w14:paraId="4F0DA8D4" w14:textId="77777777" w:rsidR="00ED13E3" w:rsidRPr="008A48CE" w:rsidRDefault="00ED13E3" w:rsidP="008A48CE">
      <w:pPr>
        <w:pStyle w:val="wordsection1"/>
        <w:spacing w:before="0" w:beforeAutospacing="0" w:after="0" w:afterAutospacing="0"/>
        <w:ind w:left="426" w:hanging="426"/>
        <w:rPr>
          <w:rFonts w:asciiTheme="minorHAnsi" w:hAnsiTheme="minorHAnsi" w:cstheme="minorHAnsi"/>
          <w:sz w:val="22"/>
          <w:szCs w:val="22"/>
          <w:lang w:eastAsia="en-US"/>
        </w:rPr>
      </w:pPr>
    </w:p>
    <w:p w14:paraId="5A12B863" w14:textId="77777777" w:rsidR="00334EA6" w:rsidRPr="008A48CE" w:rsidRDefault="003031B2" w:rsidP="008A48CE">
      <w:pPr>
        <w:pStyle w:val="ListParagraph"/>
        <w:numPr>
          <w:ilvl w:val="0"/>
          <w:numId w:val="7"/>
        </w:numPr>
        <w:ind w:left="426" w:hanging="426"/>
        <w:jc w:val="left"/>
        <w:rPr>
          <w:rFonts w:asciiTheme="minorHAnsi" w:hAnsiTheme="minorHAnsi" w:cstheme="minorHAnsi"/>
        </w:rPr>
      </w:pPr>
      <w:r w:rsidRPr="008A48CE">
        <w:rPr>
          <w:rFonts w:asciiTheme="minorHAnsi" w:hAnsiTheme="minorHAnsi" w:cstheme="minorHAnsi"/>
        </w:rPr>
        <w:t xml:space="preserve">The </w:t>
      </w:r>
      <w:r w:rsidR="0042627C" w:rsidRPr="008A48CE">
        <w:rPr>
          <w:rFonts w:asciiTheme="minorHAnsi" w:hAnsiTheme="minorHAnsi" w:cstheme="minorHAnsi"/>
        </w:rPr>
        <w:t xml:space="preserve">terms of reference for the consultancy </w:t>
      </w:r>
      <w:r w:rsidR="00F23744" w:rsidRPr="008A48CE">
        <w:rPr>
          <w:rFonts w:asciiTheme="minorHAnsi" w:hAnsiTheme="minorHAnsi" w:cstheme="minorHAnsi"/>
        </w:rPr>
        <w:t xml:space="preserve">agreed by the Working Group </w:t>
      </w:r>
      <w:r w:rsidR="0042627C" w:rsidRPr="008A48CE">
        <w:rPr>
          <w:rFonts w:asciiTheme="minorHAnsi" w:hAnsiTheme="minorHAnsi" w:cstheme="minorHAnsi"/>
        </w:rPr>
        <w:t>on the</w:t>
      </w:r>
      <w:r w:rsidR="001333AC" w:rsidRPr="008A48CE">
        <w:rPr>
          <w:rFonts w:asciiTheme="minorHAnsi" w:hAnsiTheme="minorHAnsi" w:cstheme="minorHAnsi"/>
        </w:rPr>
        <w:t xml:space="preserve"> </w:t>
      </w:r>
      <w:r w:rsidR="00920C59" w:rsidRPr="008A48CE">
        <w:rPr>
          <w:rFonts w:asciiTheme="minorHAnsi" w:hAnsiTheme="minorHAnsi" w:cstheme="minorHAnsi"/>
        </w:rPr>
        <w:t xml:space="preserve">independent analysis on the legal status of the Secretariat </w:t>
      </w:r>
      <w:r w:rsidR="00B921ED" w:rsidRPr="008A48CE">
        <w:rPr>
          <w:rFonts w:asciiTheme="minorHAnsi" w:hAnsiTheme="minorHAnsi" w:cstheme="minorHAnsi"/>
        </w:rPr>
        <w:t xml:space="preserve">included </w:t>
      </w:r>
      <w:r w:rsidRPr="008A48CE">
        <w:rPr>
          <w:rFonts w:asciiTheme="minorHAnsi" w:hAnsiTheme="minorHAnsi" w:cstheme="minorHAnsi"/>
        </w:rPr>
        <w:t xml:space="preserve">the following matters: </w:t>
      </w:r>
    </w:p>
    <w:p w14:paraId="1B3892F9" w14:textId="77777777" w:rsidR="000507AC" w:rsidRPr="008A48CE" w:rsidRDefault="000507AC" w:rsidP="008A48CE">
      <w:pPr>
        <w:spacing w:after="0" w:line="240" w:lineRule="auto"/>
        <w:rPr>
          <w:rFonts w:cstheme="minorHAnsi"/>
        </w:rPr>
      </w:pPr>
    </w:p>
    <w:p w14:paraId="646B083C" w14:textId="77777777" w:rsidR="009C5D04" w:rsidRPr="008A48CE" w:rsidRDefault="009C5D04" w:rsidP="008A48CE">
      <w:pPr>
        <w:pStyle w:val="ListParagraph"/>
        <w:numPr>
          <w:ilvl w:val="0"/>
          <w:numId w:val="13"/>
        </w:numPr>
        <w:ind w:left="851" w:hanging="425"/>
        <w:contextualSpacing w:val="0"/>
        <w:jc w:val="left"/>
        <w:rPr>
          <w:rFonts w:asciiTheme="minorHAnsi" w:hAnsiTheme="minorHAnsi" w:cstheme="minorHAnsi"/>
        </w:rPr>
      </w:pPr>
      <w:r w:rsidRPr="008A48CE">
        <w:rPr>
          <w:rFonts w:asciiTheme="minorHAnsi" w:hAnsiTheme="minorHAnsi" w:cstheme="minorHAnsi"/>
        </w:rPr>
        <w:t>Analysis of the different options identified by the Working Group and review and update the existing relevant documents (e.g. Doc COP10-35).</w:t>
      </w:r>
    </w:p>
    <w:p w14:paraId="7927E552" w14:textId="77777777" w:rsidR="000507AC" w:rsidRPr="008A48CE" w:rsidRDefault="000507AC" w:rsidP="008A48CE">
      <w:pPr>
        <w:spacing w:after="0" w:line="240" w:lineRule="auto"/>
        <w:ind w:left="851" w:hanging="425"/>
        <w:rPr>
          <w:rFonts w:cstheme="minorHAnsi"/>
        </w:rPr>
      </w:pPr>
    </w:p>
    <w:p w14:paraId="0A9580D7" w14:textId="77777777" w:rsidR="009C5D04" w:rsidRPr="008A48CE" w:rsidRDefault="009C5D04" w:rsidP="008A48CE">
      <w:pPr>
        <w:pStyle w:val="ListParagraph"/>
        <w:numPr>
          <w:ilvl w:val="0"/>
          <w:numId w:val="13"/>
        </w:numPr>
        <w:tabs>
          <w:tab w:val="left" w:pos="567"/>
        </w:tabs>
        <w:ind w:left="851" w:hanging="425"/>
        <w:contextualSpacing w:val="0"/>
        <w:jc w:val="left"/>
        <w:rPr>
          <w:rFonts w:asciiTheme="minorHAnsi" w:hAnsiTheme="minorHAnsi" w:cstheme="minorHAnsi"/>
        </w:rPr>
      </w:pPr>
      <w:r w:rsidRPr="008A48CE">
        <w:rPr>
          <w:rFonts w:asciiTheme="minorHAnsi" w:hAnsiTheme="minorHAnsi" w:cstheme="minorHAnsi"/>
        </w:rPr>
        <w:t>To look at other examples of MEA Secretariats including possible options such as independent organizations (e.g. the International Whaling Commission).</w:t>
      </w:r>
    </w:p>
    <w:p w14:paraId="247C69EF" w14:textId="77777777" w:rsidR="00593969" w:rsidRPr="008A48CE" w:rsidRDefault="00593969" w:rsidP="008A48CE">
      <w:pPr>
        <w:tabs>
          <w:tab w:val="left" w:pos="567"/>
        </w:tabs>
        <w:spacing w:after="0" w:line="240" w:lineRule="auto"/>
        <w:ind w:left="851" w:hanging="425"/>
        <w:rPr>
          <w:rFonts w:cstheme="minorHAnsi"/>
        </w:rPr>
      </w:pPr>
    </w:p>
    <w:p w14:paraId="53F8C7A5" w14:textId="77777777" w:rsidR="009C5D04" w:rsidRPr="008A48CE" w:rsidRDefault="009C5D04" w:rsidP="008A48CE">
      <w:pPr>
        <w:pStyle w:val="ListParagraph"/>
        <w:numPr>
          <w:ilvl w:val="0"/>
          <w:numId w:val="13"/>
        </w:numPr>
        <w:ind w:left="851" w:hanging="425"/>
        <w:contextualSpacing w:val="0"/>
        <w:jc w:val="left"/>
        <w:rPr>
          <w:rFonts w:asciiTheme="minorHAnsi" w:hAnsiTheme="minorHAnsi" w:cstheme="minorHAnsi"/>
        </w:rPr>
      </w:pPr>
      <w:r w:rsidRPr="008A48CE">
        <w:rPr>
          <w:rFonts w:asciiTheme="minorHAnsi" w:hAnsiTheme="minorHAnsi" w:cstheme="minorHAnsi"/>
        </w:rPr>
        <w:t>For each one of the options analyse how they would be implemented, including any legal implication such as treaty modification.</w:t>
      </w:r>
    </w:p>
    <w:p w14:paraId="0A0FEC45" w14:textId="77777777" w:rsidR="00B921ED" w:rsidRPr="008A48CE" w:rsidRDefault="00B921ED" w:rsidP="008A48CE">
      <w:pPr>
        <w:pStyle w:val="Default"/>
        <w:rPr>
          <w:rFonts w:asciiTheme="minorHAnsi" w:hAnsiTheme="minorHAnsi" w:cstheme="minorHAnsi"/>
          <w:sz w:val="22"/>
          <w:szCs w:val="22"/>
        </w:rPr>
      </w:pPr>
    </w:p>
    <w:p w14:paraId="1FE7D90D" w14:textId="77777777" w:rsidR="00B921ED" w:rsidRPr="008A48CE" w:rsidRDefault="00B921ED" w:rsidP="008A48CE">
      <w:pPr>
        <w:pStyle w:val="Default"/>
        <w:numPr>
          <w:ilvl w:val="0"/>
          <w:numId w:val="7"/>
        </w:numPr>
        <w:ind w:left="426" w:hanging="426"/>
        <w:rPr>
          <w:rFonts w:asciiTheme="minorHAnsi" w:hAnsiTheme="minorHAnsi" w:cstheme="minorHAnsi"/>
          <w:sz w:val="22"/>
          <w:szCs w:val="22"/>
        </w:rPr>
      </w:pPr>
      <w:r w:rsidRPr="008A48CE">
        <w:rPr>
          <w:rFonts w:asciiTheme="minorHAnsi" w:hAnsiTheme="minorHAnsi" w:cstheme="minorHAnsi"/>
          <w:sz w:val="22"/>
          <w:szCs w:val="22"/>
        </w:rPr>
        <w:t xml:space="preserve">The Working Group also discussed </w:t>
      </w:r>
      <w:r w:rsidR="0035685A" w:rsidRPr="008A48CE">
        <w:rPr>
          <w:rFonts w:asciiTheme="minorHAnsi" w:hAnsiTheme="minorHAnsi" w:cstheme="minorHAnsi"/>
          <w:sz w:val="22"/>
          <w:szCs w:val="22"/>
        </w:rPr>
        <w:t>the following options included in the report of the WG to SC57</w:t>
      </w:r>
      <w:r w:rsidR="00622B44" w:rsidRPr="008A48CE">
        <w:rPr>
          <w:rFonts w:asciiTheme="minorHAnsi" w:hAnsiTheme="minorHAnsi" w:cstheme="minorHAnsi"/>
          <w:sz w:val="22"/>
          <w:szCs w:val="22"/>
        </w:rPr>
        <w:t>:</w:t>
      </w:r>
      <w:r w:rsidR="007106B9">
        <w:rPr>
          <w:rFonts w:asciiTheme="minorHAnsi" w:hAnsiTheme="minorHAnsi" w:cstheme="minorHAnsi"/>
          <w:sz w:val="22"/>
          <w:szCs w:val="22"/>
        </w:rPr>
        <w:t xml:space="preserve"> </w:t>
      </w:r>
    </w:p>
    <w:p w14:paraId="1C7E943A" w14:textId="77777777" w:rsidR="0035685A" w:rsidRPr="008A48CE" w:rsidRDefault="0035685A" w:rsidP="008A48CE">
      <w:pPr>
        <w:pStyle w:val="Default"/>
        <w:rPr>
          <w:rFonts w:asciiTheme="minorHAnsi" w:hAnsiTheme="minorHAnsi" w:cstheme="minorHAnsi"/>
          <w:sz w:val="22"/>
          <w:szCs w:val="22"/>
        </w:rPr>
      </w:pPr>
    </w:p>
    <w:p w14:paraId="3F093A01" w14:textId="77777777" w:rsidR="0035685A" w:rsidRPr="008A48CE" w:rsidRDefault="0035685A" w:rsidP="008A48CE">
      <w:pPr>
        <w:pStyle w:val="ListParagraph"/>
        <w:numPr>
          <w:ilvl w:val="1"/>
          <w:numId w:val="2"/>
        </w:numPr>
        <w:ind w:left="851" w:hanging="425"/>
        <w:contextualSpacing w:val="0"/>
        <w:jc w:val="left"/>
        <w:rPr>
          <w:rFonts w:asciiTheme="minorHAnsi" w:hAnsiTheme="minorHAnsi" w:cstheme="minorHAnsi"/>
        </w:rPr>
      </w:pPr>
      <w:r w:rsidRPr="008A48CE">
        <w:rPr>
          <w:rFonts w:asciiTheme="minorHAnsi" w:hAnsiTheme="minorHAnsi" w:cstheme="minorHAnsi"/>
        </w:rPr>
        <w:t>Observer status under the UN General Assembly (</w:t>
      </w:r>
      <w:r w:rsidRPr="008A48CE">
        <w:rPr>
          <w:rFonts w:asciiTheme="minorHAnsi" w:hAnsiTheme="minorHAnsi" w:cstheme="minorHAnsi"/>
          <w:i/>
          <w:iCs/>
        </w:rPr>
        <w:t>background document</w:t>
      </w:r>
      <w:r w:rsidRPr="008A48CE">
        <w:rPr>
          <w:rFonts w:asciiTheme="minorHAnsi" w:hAnsiTheme="minorHAnsi" w:cstheme="minorHAnsi"/>
        </w:rPr>
        <w:t xml:space="preserve">: </w:t>
      </w:r>
      <w:r w:rsidRPr="008A48CE">
        <w:rPr>
          <w:rFonts w:asciiTheme="minorHAnsi" w:hAnsiTheme="minorHAnsi" w:cstheme="minorHAnsi"/>
          <w:i/>
          <w:iCs/>
        </w:rPr>
        <w:t>submission from Uruguay 11 August 2017 – Colombia joined as co-sponsor</w:t>
      </w:r>
      <w:r w:rsidRPr="008A48CE">
        <w:rPr>
          <w:rFonts w:asciiTheme="minorHAnsi" w:hAnsiTheme="minorHAnsi" w:cstheme="minorHAnsi"/>
        </w:rPr>
        <w:t>)</w:t>
      </w:r>
    </w:p>
    <w:p w14:paraId="60031666" w14:textId="77777777" w:rsidR="004315AB" w:rsidRPr="008A48CE" w:rsidRDefault="004315AB" w:rsidP="008A48CE">
      <w:pPr>
        <w:spacing w:after="0" w:line="240" w:lineRule="auto"/>
        <w:rPr>
          <w:rFonts w:cstheme="minorHAnsi"/>
        </w:rPr>
      </w:pPr>
    </w:p>
    <w:p w14:paraId="717F1F51" w14:textId="77777777" w:rsidR="004315AB" w:rsidRPr="008A48CE" w:rsidRDefault="00F67DF4" w:rsidP="005066C2">
      <w:pPr>
        <w:pStyle w:val="ListParagraph"/>
        <w:ind w:left="426"/>
        <w:jc w:val="left"/>
        <w:rPr>
          <w:rFonts w:asciiTheme="minorHAnsi" w:hAnsiTheme="minorHAnsi" w:cstheme="minorHAnsi"/>
        </w:rPr>
      </w:pPr>
      <w:r w:rsidRPr="008A48CE">
        <w:rPr>
          <w:rFonts w:asciiTheme="minorHAnsi" w:hAnsiTheme="minorHAnsi" w:cstheme="minorHAnsi"/>
        </w:rPr>
        <w:t>I</w:t>
      </w:r>
      <w:r w:rsidR="003F0B77" w:rsidRPr="008A48CE">
        <w:rPr>
          <w:rFonts w:asciiTheme="minorHAnsi" w:hAnsiTheme="minorHAnsi" w:cstheme="minorHAnsi"/>
        </w:rPr>
        <w:t xml:space="preserve">n 2017, and following consultations within the Standing, Uruguay, as the Chair of the Committee, put forward a draft resolution to the General Assembly seeking observer status for the Secretariat of the Convention. After this draft resolution was discussed at the 72nd session of the General Assembly, it was postponed for further consideration at the 73rd session. At the </w:t>
      </w:r>
      <w:r w:rsidR="003F0B77" w:rsidRPr="007106B9">
        <w:rPr>
          <w:rFonts w:asciiTheme="minorHAnsi" w:hAnsiTheme="minorHAnsi" w:cstheme="minorHAnsi"/>
        </w:rPr>
        <w:t>7</w:t>
      </w:r>
      <w:r w:rsidR="00356A11" w:rsidRPr="007106B9">
        <w:rPr>
          <w:rFonts w:asciiTheme="minorHAnsi" w:hAnsiTheme="minorHAnsi" w:cstheme="minorHAnsi"/>
        </w:rPr>
        <w:t>4</w:t>
      </w:r>
      <w:r w:rsidR="00593969" w:rsidRPr="007106B9">
        <w:rPr>
          <w:rFonts w:asciiTheme="minorHAnsi" w:hAnsiTheme="minorHAnsi" w:cstheme="minorHAnsi"/>
        </w:rPr>
        <w:t xml:space="preserve">th </w:t>
      </w:r>
      <w:r w:rsidRPr="007106B9">
        <w:rPr>
          <w:rFonts w:asciiTheme="minorHAnsi" w:hAnsiTheme="minorHAnsi" w:cstheme="minorHAnsi"/>
        </w:rPr>
        <w:t>and 75</w:t>
      </w:r>
      <w:r w:rsidR="00593969" w:rsidRPr="007106B9">
        <w:rPr>
          <w:rFonts w:asciiTheme="minorHAnsi" w:hAnsiTheme="minorHAnsi" w:cstheme="minorHAnsi"/>
        </w:rPr>
        <w:t>th</w:t>
      </w:r>
      <w:r w:rsidR="00593969" w:rsidRPr="008A48CE">
        <w:rPr>
          <w:rFonts w:asciiTheme="minorHAnsi" w:hAnsiTheme="minorHAnsi" w:cstheme="minorHAnsi"/>
        </w:rPr>
        <w:t xml:space="preserve"> </w:t>
      </w:r>
      <w:r w:rsidRPr="008A48CE">
        <w:rPr>
          <w:rFonts w:asciiTheme="minorHAnsi" w:hAnsiTheme="minorHAnsi" w:cstheme="minorHAnsi"/>
        </w:rPr>
        <w:t xml:space="preserve">sessions </w:t>
      </w:r>
      <w:r w:rsidR="003F0B77" w:rsidRPr="008A48CE">
        <w:rPr>
          <w:rFonts w:asciiTheme="minorHAnsi" w:hAnsiTheme="minorHAnsi" w:cstheme="minorHAnsi"/>
        </w:rPr>
        <w:t>the subject was postponed again</w:t>
      </w:r>
      <w:r w:rsidR="004315AB" w:rsidRPr="008A48CE">
        <w:rPr>
          <w:rFonts w:asciiTheme="minorHAnsi" w:hAnsiTheme="minorHAnsi" w:cstheme="minorHAnsi"/>
        </w:rPr>
        <w:t xml:space="preserve"> a</w:t>
      </w:r>
      <w:r w:rsidR="005066C2">
        <w:rPr>
          <w:rFonts w:asciiTheme="minorHAnsi" w:hAnsiTheme="minorHAnsi" w:cstheme="minorHAnsi"/>
        </w:rPr>
        <w:t>s there was not yet consensus.</w:t>
      </w:r>
    </w:p>
    <w:p w14:paraId="34E16595" w14:textId="77777777" w:rsidR="00F67DF4" w:rsidRPr="008A48CE" w:rsidRDefault="00F67DF4" w:rsidP="008A48CE">
      <w:pPr>
        <w:spacing w:after="0" w:line="240" w:lineRule="auto"/>
        <w:ind w:left="284"/>
        <w:rPr>
          <w:rFonts w:cstheme="minorHAnsi"/>
        </w:rPr>
      </w:pPr>
    </w:p>
    <w:p w14:paraId="4602C20C" w14:textId="0363E5E0" w:rsidR="003F0B77" w:rsidRPr="008A48CE" w:rsidRDefault="005066C2" w:rsidP="008A48CE">
      <w:pPr>
        <w:pStyle w:val="Default"/>
        <w:ind w:firstLine="426"/>
        <w:rPr>
          <w:rFonts w:asciiTheme="minorHAnsi" w:hAnsiTheme="minorHAnsi" w:cstheme="minorHAnsi"/>
          <w:sz w:val="22"/>
          <w:szCs w:val="22"/>
          <w:lang w:val="en-US"/>
        </w:rPr>
      </w:pPr>
      <w:r>
        <w:rPr>
          <w:rFonts w:asciiTheme="minorHAnsi" w:hAnsiTheme="minorHAnsi" w:cstheme="minorHAnsi"/>
          <w:sz w:val="22"/>
          <w:szCs w:val="22"/>
          <w:lang w:val="en-US" w:eastAsia="zh-CN"/>
        </w:rPr>
        <w:t>b.</w:t>
      </w:r>
      <w:r>
        <w:rPr>
          <w:rFonts w:asciiTheme="minorHAnsi" w:hAnsiTheme="minorHAnsi" w:cstheme="minorHAnsi"/>
          <w:sz w:val="22"/>
          <w:szCs w:val="22"/>
          <w:lang w:val="en-US" w:eastAsia="zh-CN"/>
        </w:rPr>
        <w:tab/>
      </w:r>
      <w:r w:rsidR="00622B44" w:rsidRPr="008A48CE">
        <w:rPr>
          <w:rFonts w:asciiTheme="minorHAnsi" w:hAnsiTheme="minorHAnsi" w:cstheme="minorHAnsi"/>
          <w:sz w:val="22"/>
          <w:szCs w:val="22"/>
          <w:lang w:val="en-US" w:eastAsia="zh-CN"/>
        </w:rPr>
        <w:t>A</w:t>
      </w:r>
      <w:r w:rsidR="003F0B77" w:rsidRPr="008A48CE">
        <w:rPr>
          <w:rFonts w:asciiTheme="minorHAnsi" w:hAnsiTheme="minorHAnsi" w:cstheme="minorHAnsi"/>
          <w:sz w:val="22"/>
          <w:szCs w:val="22"/>
          <w:lang w:val="en-US" w:eastAsia="zh-CN"/>
        </w:rPr>
        <w:t xml:space="preserve">pplication for </w:t>
      </w:r>
      <w:r w:rsidR="003F0B77" w:rsidRPr="008A48CE">
        <w:rPr>
          <w:rFonts w:asciiTheme="minorHAnsi" w:hAnsiTheme="minorHAnsi" w:cstheme="minorHAnsi"/>
          <w:sz w:val="22"/>
          <w:szCs w:val="22"/>
          <w:lang w:val="en-US"/>
        </w:rPr>
        <w:t xml:space="preserve">observer status with </w:t>
      </w:r>
      <w:r w:rsidR="00CE4497" w:rsidRPr="008A48CE">
        <w:rPr>
          <w:rFonts w:asciiTheme="minorHAnsi" w:hAnsiTheme="minorHAnsi" w:cstheme="minorHAnsi"/>
          <w:sz w:val="22"/>
          <w:szCs w:val="22"/>
          <w:lang w:val="en-US"/>
        </w:rPr>
        <w:t xml:space="preserve">the </w:t>
      </w:r>
      <w:r w:rsidR="00CE4497" w:rsidRPr="008A48CE">
        <w:rPr>
          <w:rFonts w:asciiTheme="minorHAnsi" w:hAnsiTheme="minorHAnsi" w:cstheme="minorHAnsi"/>
          <w:sz w:val="22"/>
          <w:szCs w:val="22"/>
        </w:rPr>
        <w:t>Economic and Social Council (</w:t>
      </w:r>
      <w:r w:rsidR="003F0B77" w:rsidRPr="008A48CE">
        <w:rPr>
          <w:rFonts w:asciiTheme="minorHAnsi" w:hAnsiTheme="minorHAnsi" w:cstheme="minorHAnsi"/>
          <w:sz w:val="22"/>
          <w:szCs w:val="22"/>
          <w:lang w:val="en-US"/>
        </w:rPr>
        <w:t>ECOSOC</w:t>
      </w:r>
      <w:r w:rsidR="00CE4497" w:rsidRPr="008A48CE">
        <w:rPr>
          <w:rFonts w:asciiTheme="minorHAnsi" w:hAnsiTheme="minorHAnsi" w:cstheme="minorHAnsi"/>
          <w:sz w:val="22"/>
          <w:szCs w:val="22"/>
          <w:lang w:val="en-US"/>
        </w:rPr>
        <w:t>)</w:t>
      </w:r>
    </w:p>
    <w:p w14:paraId="72DB13AF" w14:textId="77777777" w:rsidR="003F0B77" w:rsidRPr="008A48CE" w:rsidRDefault="003F0B77" w:rsidP="008A48CE">
      <w:pPr>
        <w:pStyle w:val="Default"/>
        <w:rPr>
          <w:rFonts w:asciiTheme="minorHAnsi" w:hAnsiTheme="minorHAnsi" w:cstheme="minorHAnsi"/>
          <w:sz w:val="22"/>
          <w:szCs w:val="22"/>
          <w:lang w:val="en-US"/>
        </w:rPr>
      </w:pPr>
    </w:p>
    <w:p w14:paraId="598F0BCC" w14:textId="02260C1D" w:rsidR="00A812F1" w:rsidRPr="008A48CE" w:rsidRDefault="003B106A" w:rsidP="008A48CE">
      <w:pPr>
        <w:spacing w:after="0" w:line="240" w:lineRule="auto"/>
        <w:ind w:left="426"/>
        <w:rPr>
          <w:rFonts w:cstheme="minorHAnsi"/>
          <w:iCs/>
        </w:rPr>
      </w:pPr>
      <w:r w:rsidRPr="008A48CE">
        <w:rPr>
          <w:rFonts w:cstheme="minorHAnsi"/>
        </w:rPr>
        <w:t>P</w:t>
      </w:r>
      <w:r w:rsidR="003F0B77" w:rsidRPr="008A48CE">
        <w:rPr>
          <w:rFonts w:cstheme="minorHAnsi"/>
        </w:rPr>
        <w:t xml:space="preserve">ursuant to the decision of the Standing Committee </w:t>
      </w:r>
      <w:r w:rsidR="003657F1" w:rsidRPr="008A48CE">
        <w:rPr>
          <w:rFonts w:cstheme="minorHAnsi"/>
        </w:rPr>
        <w:t xml:space="preserve">(SC55-12) </w:t>
      </w:r>
      <w:r w:rsidRPr="008A48CE">
        <w:rPr>
          <w:rFonts w:cstheme="minorHAnsi"/>
        </w:rPr>
        <w:t>an</w:t>
      </w:r>
      <w:r w:rsidR="00622B44" w:rsidRPr="008A48CE">
        <w:rPr>
          <w:rFonts w:cstheme="minorHAnsi"/>
        </w:rPr>
        <w:t>d</w:t>
      </w:r>
      <w:r w:rsidRPr="008A48CE">
        <w:rPr>
          <w:rFonts w:cstheme="minorHAnsi"/>
        </w:rPr>
        <w:t xml:space="preserve"> the Working Group </w:t>
      </w:r>
      <w:r w:rsidR="003F0B77" w:rsidRPr="008A48CE">
        <w:rPr>
          <w:rFonts w:cstheme="minorHAnsi"/>
        </w:rPr>
        <w:t>to seek a closer relationship with ECOSOC</w:t>
      </w:r>
      <w:r w:rsidR="00CE4497" w:rsidRPr="008A48CE">
        <w:rPr>
          <w:rFonts w:cstheme="minorHAnsi"/>
        </w:rPr>
        <w:t xml:space="preserve"> the Secretariat sent </w:t>
      </w:r>
      <w:r w:rsidR="00D138D8" w:rsidRPr="008A48CE">
        <w:rPr>
          <w:rFonts w:cstheme="minorHAnsi"/>
        </w:rPr>
        <w:t>request</w:t>
      </w:r>
      <w:r w:rsidR="003657F1" w:rsidRPr="008A48CE">
        <w:rPr>
          <w:rFonts w:cstheme="minorHAnsi"/>
        </w:rPr>
        <w:t>s</w:t>
      </w:r>
      <w:r w:rsidR="00D138D8" w:rsidRPr="008A48CE">
        <w:rPr>
          <w:rFonts w:cstheme="minorHAnsi"/>
        </w:rPr>
        <w:t xml:space="preserve"> </w:t>
      </w:r>
      <w:r w:rsidR="007106B9">
        <w:rPr>
          <w:rFonts w:cstheme="minorHAnsi"/>
        </w:rPr>
        <w:t>on</w:t>
      </w:r>
      <w:r w:rsidR="007106B9" w:rsidRPr="008A48CE">
        <w:rPr>
          <w:rFonts w:cstheme="minorHAnsi"/>
        </w:rPr>
        <w:t xml:space="preserve"> </w:t>
      </w:r>
      <w:r w:rsidR="003657F1" w:rsidRPr="008A48CE">
        <w:rPr>
          <w:rFonts w:cstheme="minorHAnsi"/>
        </w:rPr>
        <w:t xml:space="preserve">1 </w:t>
      </w:r>
      <w:r w:rsidR="00D138D8" w:rsidRPr="008A48CE">
        <w:rPr>
          <w:rFonts w:cstheme="minorHAnsi"/>
        </w:rPr>
        <w:t>April</w:t>
      </w:r>
      <w:r w:rsidR="003657F1" w:rsidRPr="008A48CE">
        <w:rPr>
          <w:rFonts w:cstheme="minorHAnsi"/>
        </w:rPr>
        <w:t xml:space="preserve"> and</w:t>
      </w:r>
      <w:r w:rsidR="00D138D8" w:rsidRPr="008A48CE">
        <w:rPr>
          <w:rFonts w:cstheme="minorHAnsi"/>
        </w:rPr>
        <w:t xml:space="preserve"> </w:t>
      </w:r>
      <w:r w:rsidR="003657F1" w:rsidRPr="008A48CE">
        <w:rPr>
          <w:rFonts w:cstheme="minorHAnsi"/>
        </w:rPr>
        <w:t xml:space="preserve">10 December </w:t>
      </w:r>
      <w:r w:rsidR="007106B9">
        <w:rPr>
          <w:rFonts w:cstheme="minorHAnsi"/>
        </w:rPr>
        <w:t>2019</w:t>
      </w:r>
      <w:r w:rsidR="00D138D8" w:rsidRPr="008A48CE">
        <w:rPr>
          <w:rFonts w:cstheme="minorHAnsi"/>
        </w:rPr>
        <w:t xml:space="preserve"> </w:t>
      </w:r>
      <w:r w:rsidR="00CE4497" w:rsidRPr="008A48CE">
        <w:rPr>
          <w:rFonts w:cstheme="minorHAnsi"/>
        </w:rPr>
        <w:t>to obtain observer status</w:t>
      </w:r>
      <w:r w:rsidR="00D138D8" w:rsidRPr="008A48CE">
        <w:rPr>
          <w:rFonts w:cstheme="minorHAnsi"/>
        </w:rPr>
        <w:t xml:space="preserve"> as </w:t>
      </w:r>
      <w:r w:rsidR="00CE4497" w:rsidRPr="008A48CE">
        <w:rPr>
          <w:rFonts w:cstheme="minorHAnsi"/>
        </w:rPr>
        <w:t xml:space="preserve">a significant step to achieve the objective of the Parties, to engage in the discussions on achievement of the Sustainable Development Goals, and other relevant discussions under the auspices of the United Nations. </w:t>
      </w:r>
      <w:r w:rsidR="0016683F" w:rsidRPr="008A48CE">
        <w:rPr>
          <w:rFonts w:cstheme="minorHAnsi"/>
        </w:rPr>
        <w:t>After sending the relevant documents for the application</w:t>
      </w:r>
      <w:r w:rsidR="0016683F" w:rsidRPr="008A48CE">
        <w:rPr>
          <w:rFonts w:cstheme="minorHAnsi"/>
          <w:iCs/>
        </w:rPr>
        <w:t xml:space="preserve"> </w:t>
      </w:r>
      <w:r w:rsidR="00741821" w:rsidRPr="008A48CE">
        <w:rPr>
          <w:rFonts w:cstheme="minorHAnsi"/>
          <w:iCs/>
        </w:rPr>
        <w:t xml:space="preserve">and sending multiple reminders ECOSOC </w:t>
      </w:r>
      <w:r w:rsidR="0016683F" w:rsidRPr="008A48CE">
        <w:rPr>
          <w:rFonts w:cstheme="minorHAnsi"/>
          <w:iCs/>
        </w:rPr>
        <w:t>has not provided yet a response to this request</w:t>
      </w:r>
      <w:r w:rsidR="00A812F1" w:rsidRPr="008A48CE">
        <w:rPr>
          <w:rFonts w:cstheme="minorHAnsi"/>
          <w:iCs/>
        </w:rPr>
        <w:t>.</w:t>
      </w:r>
    </w:p>
    <w:p w14:paraId="5FC46840" w14:textId="77777777" w:rsidR="007E04F2" w:rsidRPr="008A48CE" w:rsidRDefault="007E04F2" w:rsidP="008A48CE">
      <w:pPr>
        <w:spacing w:after="0" w:line="240" w:lineRule="auto"/>
        <w:rPr>
          <w:rFonts w:cstheme="minorHAnsi"/>
          <w:iCs/>
        </w:rPr>
      </w:pPr>
    </w:p>
    <w:p w14:paraId="0CE0429C" w14:textId="77777777" w:rsidR="00A812F1" w:rsidRPr="008A48CE" w:rsidRDefault="00A812F1" w:rsidP="008A48CE">
      <w:pPr>
        <w:pStyle w:val="Default"/>
        <w:ind w:firstLine="426"/>
        <w:rPr>
          <w:rFonts w:asciiTheme="minorHAnsi" w:hAnsiTheme="minorHAnsi" w:cstheme="minorHAnsi"/>
          <w:sz w:val="22"/>
          <w:szCs w:val="22"/>
          <w:lang w:val="en-US" w:eastAsia="zh-CN"/>
        </w:rPr>
      </w:pPr>
      <w:r w:rsidRPr="008A48CE">
        <w:rPr>
          <w:rFonts w:asciiTheme="minorHAnsi" w:hAnsiTheme="minorHAnsi" w:cstheme="minorHAnsi"/>
          <w:sz w:val="22"/>
          <w:szCs w:val="22"/>
          <w:lang w:val="en-US" w:eastAsia="zh-CN"/>
        </w:rPr>
        <w:t xml:space="preserve">c. </w:t>
      </w:r>
      <w:r w:rsidR="007E04F2" w:rsidRPr="008A48CE">
        <w:rPr>
          <w:rFonts w:asciiTheme="minorHAnsi" w:hAnsiTheme="minorHAnsi" w:cstheme="minorHAnsi"/>
          <w:sz w:val="22"/>
          <w:szCs w:val="22"/>
          <w:lang w:val="en-US" w:eastAsia="zh-CN"/>
        </w:rPr>
        <w:tab/>
      </w:r>
      <w:r w:rsidRPr="008A48CE">
        <w:rPr>
          <w:rFonts w:asciiTheme="minorHAnsi" w:hAnsiTheme="minorHAnsi" w:cstheme="minorHAnsi"/>
          <w:sz w:val="22"/>
          <w:szCs w:val="22"/>
          <w:lang w:val="en-US" w:eastAsia="zh-CN"/>
        </w:rPr>
        <w:t>The process of review of the HLPF</w:t>
      </w:r>
    </w:p>
    <w:p w14:paraId="1268089B" w14:textId="77777777" w:rsidR="00A812F1" w:rsidRPr="008A48CE" w:rsidRDefault="00A812F1" w:rsidP="008A48CE">
      <w:pPr>
        <w:pStyle w:val="ListParagraph"/>
        <w:ind w:left="426"/>
        <w:jc w:val="left"/>
        <w:rPr>
          <w:rFonts w:asciiTheme="minorHAnsi" w:hAnsiTheme="minorHAnsi" w:cstheme="minorHAnsi"/>
        </w:rPr>
      </w:pPr>
    </w:p>
    <w:p w14:paraId="3C1EE30C" w14:textId="77777777" w:rsidR="00A812F1" w:rsidRPr="008A48CE" w:rsidRDefault="00A812F1" w:rsidP="008A48CE">
      <w:pPr>
        <w:autoSpaceDE w:val="0"/>
        <w:autoSpaceDN w:val="0"/>
        <w:adjustRightInd w:val="0"/>
        <w:spacing w:after="0" w:line="240" w:lineRule="auto"/>
        <w:ind w:left="426"/>
        <w:rPr>
          <w:rFonts w:cstheme="minorHAnsi"/>
        </w:rPr>
      </w:pPr>
      <w:r w:rsidRPr="008A48CE">
        <w:rPr>
          <w:rFonts w:cstheme="minorHAnsi"/>
        </w:rPr>
        <w:t>The General Assembly decided to review progress in implementation of resolution</w:t>
      </w:r>
      <w:r w:rsidR="003B106A" w:rsidRPr="008A48CE">
        <w:rPr>
          <w:rFonts w:cstheme="minorHAnsi"/>
        </w:rPr>
        <w:t xml:space="preserve"> </w:t>
      </w:r>
      <w:r w:rsidRPr="008A48CE">
        <w:rPr>
          <w:rFonts w:cstheme="minorHAnsi"/>
        </w:rPr>
        <w:t>70/290 “Follow-up and review of the 2030 Agenda for Sustainable Development at the</w:t>
      </w:r>
      <w:r w:rsidR="003B106A" w:rsidRPr="008A48CE">
        <w:rPr>
          <w:rFonts w:cstheme="minorHAnsi"/>
        </w:rPr>
        <w:t xml:space="preserve"> </w:t>
      </w:r>
      <w:r w:rsidRPr="008A48CE">
        <w:rPr>
          <w:rFonts w:cstheme="minorHAnsi"/>
        </w:rPr>
        <w:t>global level” and resolution 67/290 on the format and organizational aspects of the</w:t>
      </w:r>
      <w:r w:rsidR="003B106A" w:rsidRPr="008A48CE">
        <w:rPr>
          <w:rFonts w:cstheme="minorHAnsi"/>
        </w:rPr>
        <w:t xml:space="preserve"> </w:t>
      </w:r>
      <w:r w:rsidRPr="008A48CE">
        <w:rPr>
          <w:rFonts w:cstheme="minorHAnsi"/>
        </w:rPr>
        <w:t>High-Level Political Forum on sustainable dev</w:t>
      </w:r>
      <w:r w:rsidR="007106B9">
        <w:rPr>
          <w:rFonts w:cstheme="minorHAnsi"/>
        </w:rPr>
        <w:t>elopment (HLPF) at its seventy-</w:t>
      </w:r>
      <w:r w:rsidRPr="008A48CE">
        <w:rPr>
          <w:rFonts w:cstheme="minorHAnsi"/>
        </w:rPr>
        <w:t>fourth</w:t>
      </w:r>
      <w:r w:rsidR="003B106A" w:rsidRPr="008A48CE">
        <w:rPr>
          <w:rFonts w:cstheme="minorHAnsi"/>
        </w:rPr>
        <w:t xml:space="preserve"> </w:t>
      </w:r>
      <w:r w:rsidRPr="008A48CE">
        <w:rPr>
          <w:rFonts w:cstheme="minorHAnsi"/>
        </w:rPr>
        <w:t xml:space="preserve">session (2019-2020). </w:t>
      </w:r>
    </w:p>
    <w:p w14:paraId="07F91ACE" w14:textId="77777777" w:rsidR="00A812F1" w:rsidRPr="008A48CE" w:rsidRDefault="00A812F1" w:rsidP="008A48CE">
      <w:pPr>
        <w:autoSpaceDE w:val="0"/>
        <w:autoSpaceDN w:val="0"/>
        <w:adjustRightInd w:val="0"/>
        <w:spacing w:after="0" w:line="240" w:lineRule="auto"/>
        <w:ind w:left="426"/>
        <w:rPr>
          <w:rFonts w:cstheme="minorHAnsi"/>
        </w:rPr>
      </w:pPr>
    </w:p>
    <w:p w14:paraId="7A860356" w14:textId="77777777" w:rsidR="00A812F1" w:rsidRPr="008A48CE" w:rsidRDefault="005D0512" w:rsidP="008A48CE">
      <w:pPr>
        <w:autoSpaceDE w:val="0"/>
        <w:autoSpaceDN w:val="0"/>
        <w:adjustRightInd w:val="0"/>
        <w:spacing w:after="0" w:line="240" w:lineRule="auto"/>
        <w:ind w:left="426"/>
        <w:rPr>
          <w:rFonts w:cstheme="minorHAnsi"/>
        </w:rPr>
      </w:pPr>
      <w:r w:rsidRPr="008A48CE">
        <w:rPr>
          <w:rFonts w:cstheme="minorHAnsi"/>
        </w:rPr>
        <w:t>For the above process l</w:t>
      </w:r>
      <w:r w:rsidR="00A812F1" w:rsidRPr="008A48CE">
        <w:rPr>
          <w:rFonts w:cstheme="minorHAnsi"/>
        </w:rPr>
        <w:t xml:space="preserve">anguage similar to the one used for the World Summit on Sustainable Development in 2002 could be included, as the organization of sessions that include reference to this Summit allow the Ramsar Convention </w:t>
      </w:r>
      <w:r w:rsidRPr="008A48CE">
        <w:rPr>
          <w:rFonts w:cstheme="minorHAnsi"/>
        </w:rPr>
        <w:t xml:space="preserve">on Wetlands </w:t>
      </w:r>
      <w:r w:rsidR="00A812F1" w:rsidRPr="008A48CE">
        <w:rPr>
          <w:rFonts w:cstheme="minorHAnsi"/>
        </w:rPr>
        <w:t>to participate as an observ</w:t>
      </w:r>
      <w:r w:rsidR="005066C2">
        <w:rPr>
          <w:rFonts w:cstheme="minorHAnsi"/>
        </w:rPr>
        <w:t>er (e.g. UN Oceans Conference).</w:t>
      </w:r>
    </w:p>
    <w:p w14:paraId="023AE46B" w14:textId="77777777" w:rsidR="001B4324" w:rsidRPr="008A48CE" w:rsidRDefault="001B4324" w:rsidP="008A48CE">
      <w:pPr>
        <w:autoSpaceDE w:val="0"/>
        <w:autoSpaceDN w:val="0"/>
        <w:adjustRightInd w:val="0"/>
        <w:spacing w:after="0" w:line="240" w:lineRule="auto"/>
        <w:ind w:left="426"/>
        <w:rPr>
          <w:rFonts w:cstheme="minorHAnsi"/>
        </w:rPr>
      </w:pPr>
    </w:p>
    <w:p w14:paraId="28599F2F" w14:textId="4A72F75F" w:rsidR="00C64F80" w:rsidRPr="008A48CE" w:rsidRDefault="001B4324" w:rsidP="008A48CE">
      <w:pPr>
        <w:autoSpaceDE w:val="0"/>
        <w:autoSpaceDN w:val="0"/>
        <w:adjustRightInd w:val="0"/>
        <w:spacing w:after="0" w:line="240" w:lineRule="auto"/>
        <w:ind w:left="426"/>
        <w:rPr>
          <w:rFonts w:cstheme="minorHAnsi"/>
        </w:rPr>
      </w:pPr>
      <w:r w:rsidRPr="008A48CE">
        <w:rPr>
          <w:rFonts w:cstheme="minorHAnsi"/>
        </w:rPr>
        <w:t>The working group agreed on the importance of the review process of the HLPF and</w:t>
      </w:r>
      <w:r w:rsidR="003B106A" w:rsidRPr="008A48CE">
        <w:rPr>
          <w:rFonts w:cstheme="minorHAnsi"/>
        </w:rPr>
        <w:t xml:space="preserve"> </w:t>
      </w:r>
      <w:r w:rsidRPr="008A48CE">
        <w:rPr>
          <w:rFonts w:cstheme="minorHAnsi"/>
        </w:rPr>
        <w:t>asked the Secretariat to follow up, including to identify members of the Friends of the</w:t>
      </w:r>
      <w:r w:rsidR="003B106A" w:rsidRPr="008A48CE">
        <w:rPr>
          <w:rFonts w:cstheme="minorHAnsi"/>
        </w:rPr>
        <w:t xml:space="preserve"> </w:t>
      </w:r>
      <w:r w:rsidRPr="008A48CE">
        <w:rPr>
          <w:rFonts w:cstheme="minorHAnsi"/>
        </w:rPr>
        <w:t>Review of the HLPF and timelines. The Secretariat ke</w:t>
      </w:r>
      <w:r w:rsidR="00D46422" w:rsidRPr="008A48CE">
        <w:rPr>
          <w:rFonts w:cstheme="minorHAnsi"/>
        </w:rPr>
        <w:t xml:space="preserve">pt the </w:t>
      </w:r>
      <w:r w:rsidRPr="008A48CE">
        <w:rPr>
          <w:rFonts w:cstheme="minorHAnsi"/>
        </w:rPr>
        <w:t>group informed so that it</w:t>
      </w:r>
      <w:r w:rsidR="003B106A" w:rsidRPr="008A48CE">
        <w:rPr>
          <w:rFonts w:cstheme="minorHAnsi"/>
        </w:rPr>
        <w:t xml:space="preserve"> </w:t>
      </w:r>
      <w:r w:rsidRPr="008A48CE">
        <w:rPr>
          <w:rFonts w:cstheme="minorHAnsi"/>
        </w:rPr>
        <w:t>can take the necessary actions with a view to engaging C</w:t>
      </w:r>
      <w:r w:rsidR="00C64F80" w:rsidRPr="008A48CE">
        <w:rPr>
          <w:rFonts w:cstheme="minorHAnsi"/>
        </w:rPr>
        <w:t>on</w:t>
      </w:r>
      <w:r w:rsidRPr="008A48CE">
        <w:rPr>
          <w:rFonts w:cstheme="minorHAnsi"/>
        </w:rPr>
        <w:t>tracting Parties</w:t>
      </w:r>
      <w:r w:rsidR="00C64F80" w:rsidRPr="008A48CE">
        <w:rPr>
          <w:rFonts w:cstheme="minorHAnsi"/>
        </w:rPr>
        <w:t xml:space="preserve"> on the relevant discussions. However, due to the COVID19 situation </w:t>
      </w:r>
      <w:bookmarkStart w:id="0" w:name="_GoBack"/>
      <w:bookmarkEnd w:id="0"/>
      <w:r w:rsidR="005D0512" w:rsidRPr="008A48CE">
        <w:rPr>
          <w:rFonts w:cstheme="minorHAnsi"/>
        </w:rPr>
        <w:t xml:space="preserve">the </w:t>
      </w:r>
      <w:r w:rsidR="00C64F80" w:rsidRPr="008A48CE">
        <w:rPr>
          <w:rFonts w:cstheme="minorHAnsi"/>
        </w:rPr>
        <w:t xml:space="preserve">in-depth review </w:t>
      </w:r>
      <w:r w:rsidR="00C64F80" w:rsidRPr="008A48CE">
        <w:rPr>
          <w:rFonts w:cstheme="minorHAnsi"/>
          <w:shd w:val="clear" w:color="auto" w:fill="FFFFFF"/>
        </w:rPr>
        <w:t xml:space="preserve">of the HLPF </w:t>
      </w:r>
      <w:r w:rsidR="005D0512" w:rsidRPr="008A48CE">
        <w:rPr>
          <w:rFonts w:cstheme="minorHAnsi"/>
          <w:shd w:val="clear" w:color="auto" w:fill="FFFFFF"/>
        </w:rPr>
        <w:t xml:space="preserve">was </w:t>
      </w:r>
      <w:r w:rsidR="00C64F80" w:rsidRPr="008A48CE">
        <w:rPr>
          <w:rFonts w:cstheme="minorHAnsi"/>
          <w:shd w:val="clear" w:color="auto" w:fill="FFFFFF"/>
        </w:rPr>
        <w:t xml:space="preserve">postponed to </w:t>
      </w:r>
      <w:r w:rsidR="005D0512" w:rsidRPr="008A48CE">
        <w:rPr>
          <w:rFonts w:cstheme="minorHAnsi"/>
          <w:shd w:val="clear" w:color="auto" w:fill="FFFFFF"/>
        </w:rPr>
        <w:t>2021</w:t>
      </w:r>
      <w:r w:rsidR="00C64F80" w:rsidRPr="008A48CE">
        <w:rPr>
          <w:rFonts w:cstheme="minorHAnsi"/>
          <w:shd w:val="clear" w:color="auto" w:fill="FFFFFF"/>
        </w:rPr>
        <w:t>.</w:t>
      </w:r>
    </w:p>
    <w:p w14:paraId="113C9E67" w14:textId="77777777" w:rsidR="005D0512" w:rsidRPr="008A48CE" w:rsidRDefault="005D0512" w:rsidP="008A48CE">
      <w:pPr>
        <w:autoSpaceDE w:val="0"/>
        <w:autoSpaceDN w:val="0"/>
        <w:adjustRightInd w:val="0"/>
        <w:spacing w:after="0" w:line="240" w:lineRule="auto"/>
        <w:ind w:left="426"/>
        <w:rPr>
          <w:rFonts w:cstheme="minorHAnsi"/>
        </w:rPr>
      </w:pPr>
    </w:p>
    <w:p w14:paraId="5D95951B" w14:textId="77777777" w:rsidR="005D0512" w:rsidRPr="008A48CE" w:rsidRDefault="00446534" w:rsidP="008A48CE">
      <w:pPr>
        <w:spacing w:after="0" w:line="240" w:lineRule="auto"/>
        <w:ind w:left="426"/>
        <w:rPr>
          <w:rFonts w:cstheme="minorHAnsi"/>
        </w:rPr>
      </w:pPr>
      <w:r w:rsidRPr="008A48CE">
        <w:rPr>
          <w:rFonts w:cstheme="minorHAnsi"/>
        </w:rPr>
        <w:t>V</w:t>
      </w:r>
      <w:r w:rsidR="005D0512" w:rsidRPr="008A48CE">
        <w:rPr>
          <w:rFonts w:cstheme="minorHAnsi"/>
        </w:rPr>
        <w:t>irtual consultation</w:t>
      </w:r>
      <w:r w:rsidRPr="008A48CE">
        <w:rPr>
          <w:rFonts w:cstheme="minorHAnsi"/>
        </w:rPr>
        <w:t>s</w:t>
      </w:r>
      <w:r w:rsidR="005D0512" w:rsidRPr="008A48CE">
        <w:rPr>
          <w:rFonts w:cstheme="minorHAnsi"/>
        </w:rPr>
        <w:t xml:space="preserve"> </w:t>
      </w:r>
      <w:r w:rsidRPr="008A48CE">
        <w:rPr>
          <w:rFonts w:cstheme="minorHAnsi"/>
        </w:rPr>
        <w:t xml:space="preserve">were </w:t>
      </w:r>
      <w:r w:rsidR="005D0512" w:rsidRPr="008A48CE">
        <w:rPr>
          <w:rFonts w:cstheme="minorHAnsi"/>
        </w:rPr>
        <w:t xml:space="preserve">held on 31 March </w:t>
      </w:r>
      <w:r w:rsidRPr="008A48CE">
        <w:rPr>
          <w:rFonts w:cstheme="minorHAnsi"/>
        </w:rPr>
        <w:t xml:space="preserve">and 19 April </w:t>
      </w:r>
      <w:r w:rsidR="005D0512" w:rsidRPr="008A48CE">
        <w:rPr>
          <w:rFonts w:cstheme="minorHAnsi"/>
        </w:rPr>
        <w:t>2021,</w:t>
      </w:r>
      <w:r w:rsidRPr="008A48CE">
        <w:rPr>
          <w:rFonts w:cstheme="minorHAnsi"/>
        </w:rPr>
        <w:t xml:space="preserve"> for the HLPF/ECOSOC Review of </w:t>
      </w:r>
      <w:r w:rsidR="005D0512" w:rsidRPr="008A48CE">
        <w:rPr>
          <w:rFonts w:cstheme="minorHAnsi"/>
        </w:rPr>
        <w:t>a revised draft resolution based on the views and suggestions of delegations</w:t>
      </w:r>
      <w:r w:rsidR="005066C2">
        <w:rPr>
          <w:rFonts w:cstheme="minorHAnsi"/>
        </w:rPr>
        <w:t>.</w:t>
      </w:r>
    </w:p>
    <w:p w14:paraId="4E8615C8" w14:textId="77777777" w:rsidR="00920C59" w:rsidRPr="008A48CE" w:rsidRDefault="00920C59" w:rsidP="008A48CE">
      <w:pPr>
        <w:pStyle w:val="Default"/>
        <w:rPr>
          <w:rFonts w:asciiTheme="minorHAnsi" w:hAnsiTheme="minorHAnsi" w:cstheme="minorHAnsi"/>
          <w:sz w:val="22"/>
          <w:szCs w:val="22"/>
        </w:rPr>
      </w:pPr>
    </w:p>
    <w:p w14:paraId="08FE85DB" w14:textId="77777777" w:rsidR="00132658" w:rsidRPr="008A48CE" w:rsidRDefault="00982AE6" w:rsidP="008A48CE">
      <w:pPr>
        <w:spacing w:after="0" w:line="240" w:lineRule="auto"/>
        <w:rPr>
          <w:rFonts w:cstheme="minorHAnsi"/>
          <w:b/>
        </w:rPr>
      </w:pPr>
      <w:r w:rsidRPr="008A48CE">
        <w:rPr>
          <w:rFonts w:cstheme="minorHAnsi"/>
          <w:b/>
        </w:rPr>
        <w:t xml:space="preserve">Summary of key findings of the </w:t>
      </w:r>
      <w:r w:rsidR="00190CFF" w:rsidRPr="008A48CE">
        <w:rPr>
          <w:rFonts w:cstheme="minorHAnsi"/>
          <w:b/>
        </w:rPr>
        <w:t xml:space="preserve">legal </w:t>
      </w:r>
      <w:r w:rsidRPr="008A48CE">
        <w:rPr>
          <w:rFonts w:cstheme="minorHAnsi"/>
          <w:b/>
        </w:rPr>
        <w:t xml:space="preserve">consultancy with a link to the full report </w:t>
      </w:r>
    </w:p>
    <w:p w14:paraId="2761E120" w14:textId="77777777" w:rsidR="00622B44" w:rsidRPr="008A48CE" w:rsidRDefault="00622B44" w:rsidP="008A48CE">
      <w:pPr>
        <w:spacing w:after="0" w:line="240" w:lineRule="auto"/>
        <w:rPr>
          <w:rFonts w:cstheme="minorHAnsi"/>
          <w:b/>
        </w:rPr>
      </w:pPr>
    </w:p>
    <w:p w14:paraId="710655CC" w14:textId="77777777" w:rsidR="00884714" w:rsidRPr="008A48CE" w:rsidRDefault="00884714" w:rsidP="008A48CE">
      <w:pPr>
        <w:pStyle w:val="ListParagraph"/>
        <w:numPr>
          <w:ilvl w:val="0"/>
          <w:numId w:val="7"/>
        </w:numPr>
        <w:ind w:left="426" w:hanging="426"/>
        <w:jc w:val="left"/>
        <w:rPr>
          <w:rFonts w:asciiTheme="minorHAnsi" w:hAnsiTheme="minorHAnsi" w:cstheme="minorHAnsi"/>
          <w:color w:val="000000"/>
        </w:rPr>
      </w:pPr>
      <w:r w:rsidRPr="008A48CE">
        <w:rPr>
          <w:rFonts w:asciiTheme="minorHAnsi" w:hAnsiTheme="minorHAnsi" w:cstheme="minorHAnsi"/>
        </w:rPr>
        <w:t xml:space="preserve">The independent </w:t>
      </w:r>
      <w:r w:rsidRPr="008A48CE">
        <w:rPr>
          <w:rFonts w:asciiTheme="minorHAnsi" w:hAnsiTheme="minorHAnsi" w:cstheme="minorHAnsi"/>
          <w:lang w:val="en-US"/>
        </w:rPr>
        <w:t xml:space="preserve">legal </w:t>
      </w:r>
      <w:r w:rsidRPr="008A48CE">
        <w:rPr>
          <w:rFonts w:asciiTheme="minorHAnsi" w:hAnsiTheme="minorHAnsi" w:cstheme="minorHAnsi"/>
        </w:rPr>
        <w:t xml:space="preserve">analysis concluded with five specific options to address the key concerns about the legal status of the Secretariat and its operation and three additional ones </w:t>
      </w:r>
      <w:r w:rsidRPr="008A48CE">
        <w:rPr>
          <w:rFonts w:asciiTheme="minorHAnsi" w:hAnsiTheme="minorHAnsi" w:cstheme="minorHAnsi"/>
          <w:color w:val="000000"/>
        </w:rPr>
        <w:t>aimed at enhancing participation in UN high-level fora and processes under the UNGA, respectively the ECOSOC, in particular in the HLPF.</w:t>
      </w:r>
    </w:p>
    <w:p w14:paraId="1B1676C3" w14:textId="77777777" w:rsidR="00622B44" w:rsidRPr="008A48CE" w:rsidRDefault="00622B44" w:rsidP="008A48CE">
      <w:pPr>
        <w:spacing w:after="0" w:line="240" w:lineRule="auto"/>
        <w:rPr>
          <w:rFonts w:cstheme="minorHAnsi"/>
          <w:color w:val="000000"/>
        </w:rPr>
      </w:pPr>
    </w:p>
    <w:p w14:paraId="47D6CFDC" w14:textId="77777777" w:rsidR="009F1F36" w:rsidRPr="008A48CE" w:rsidRDefault="00467FF3" w:rsidP="008A48CE">
      <w:pPr>
        <w:pStyle w:val="ListParagraph"/>
        <w:numPr>
          <w:ilvl w:val="0"/>
          <w:numId w:val="7"/>
        </w:numPr>
        <w:autoSpaceDE w:val="0"/>
        <w:autoSpaceDN w:val="0"/>
        <w:adjustRightInd w:val="0"/>
        <w:ind w:left="426" w:hanging="426"/>
        <w:jc w:val="left"/>
        <w:rPr>
          <w:rFonts w:asciiTheme="minorHAnsi" w:hAnsiTheme="minorHAnsi" w:cstheme="minorHAnsi"/>
          <w:color w:val="000000"/>
        </w:rPr>
      </w:pPr>
      <w:r w:rsidRPr="008A48CE">
        <w:rPr>
          <w:rFonts w:asciiTheme="minorHAnsi" w:hAnsiTheme="minorHAnsi" w:cstheme="minorHAnsi"/>
          <w:color w:val="000000"/>
        </w:rPr>
        <w:t xml:space="preserve">The sets of options analysed in </w:t>
      </w:r>
      <w:r w:rsidR="009F1F36" w:rsidRPr="008A48CE">
        <w:rPr>
          <w:rFonts w:asciiTheme="minorHAnsi" w:hAnsiTheme="minorHAnsi" w:cstheme="minorHAnsi"/>
          <w:color w:val="000000"/>
        </w:rPr>
        <w:t xml:space="preserve">the consultant´s </w:t>
      </w:r>
      <w:r w:rsidRPr="008A48CE">
        <w:rPr>
          <w:rFonts w:asciiTheme="minorHAnsi" w:hAnsiTheme="minorHAnsi" w:cstheme="minorHAnsi"/>
          <w:color w:val="000000"/>
        </w:rPr>
        <w:t xml:space="preserve">report can be seen as ranging from the highest to the lowest degree of independence vis-à-vis other international organizations, as follows: </w:t>
      </w:r>
    </w:p>
    <w:p w14:paraId="16F10D88" w14:textId="77777777" w:rsidR="00884714" w:rsidRPr="008A48CE" w:rsidRDefault="00884714" w:rsidP="008A48CE">
      <w:pPr>
        <w:numPr>
          <w:ilvl w:val="1"/>
          <w:numId w:val="4"/>
        </w:numPr>
        <w:autoSpaceDE w:val="0"/>
        <w:autoSpaceDN w:val="0"/>
        <w:adjustRightInd w:val="0"/>
        <w:spacing w:after="0" w:line="240" w:lineRule="auto"/>
        <w:rPr>
          <w:rFonts w:cstheme="minorHAnsi"/>
          <w:color w:val="000000"/>
        </w:rPr>
      </w:pPr>
    </w:p>
    <w:p w14:paraId="38A0CF62" w14:textId="77777777" w:rsidR="00467FF3" w:rsidRPr="008A48CE" w:rsidRDefault="00622B44" w:rsidP="008A48CE">
      <w:pPr>
        <w:autoSpaceDE w:val="0"/>
        <w:autoSpaceDN w:val="0"/>
        <w:adjustRightInd w:val="0"/>
        <w:spacing w:after="0" w:line="240" w:lineRule="auto"/>
        <w:ind w:left="851" w:hanging="425"/>
        <w:rPr>
          <w:rFonts w:cstheme="minorHAnsi"/>
          <w:color w:val="000000"/>
        </w:rPr>
      </w:pPr>
      <w:r w:rsidRPr="008A48CE">
        <w:rPr>
          <w:rFonts w:cstheme="minorHAnsi"/>
          <w:color w:val="000000"/>
        </w:rPr>
        <w:t>a.</w:t>
      </w:r>
      <w:r w:rsidRPr="008A48CE">
        <w:rPr>
          <w:rFonts w:cstheme="minorHAnsi"/>
          <w:color w:val="000000"/>
        </w:rPr>
        <w:tab/>
      </w:r>
      <w:r w:rsidR="00467FF3" w:rsidRPr="008A48CE">
        <w:rPr>
          <w:rFonts w:cstheme="minorHAnsi"/>
          <w:color w:val="000000"/>
        </w:rPr>
        <w:t xml:space="preserve">Secretariats of </w:t>
      </w:r>
      <w:r w:rsidR="00467FF3" w:rsidRPr="008A48CE">
        <w:rPr>
          <w:rFonts w:cstheme="minorHAnsi"/>
          <w:b/>
          <w:bCs/>
          <w:color w:val="000000"/>
        </w:rPr>
        <w:t xml:space="preserve">traditional IGOs </w:t>
      </w:r>
      <w:r w:rsidR="00467FF3" w:rsidRPr="008A48CE">
        <w:rPr>
          <w:rFonts w:cstheme="minorHAnsi"/>
          <w:color w:val="000000"/>
        </w:rPr>
        <w:t xml:space="preserve">– either entirely “outside” of the UN system, or with some relationship to the UN, while not “institutionally linked” – (examples of the IWC, the WTO, or the ISA, Option </w:t>
      </w:r>
      <w:r w:rsidR="00467FF3" w:rsidRPr="008A48CE">
        <w:rPr>
          <w:rFonts w:cstheme="minorHAnsi"/>
          <w:b/>
          <w:bCs/>
          <w:color w:val="000000"/>
        </w:rPr>
        <w:t>A1</w:t>
      </w:r>
      <w:r w:rsidR="005066C2">
        <w:rPr>
          <w:rFonts w:cstheme="minorHAnsi"/>
          <w:color w:val="000000"/>
        </w:rPr>
        <w:t>);</w:t>
      </w:r>
    </w:p>
    <w:p w14:paraId="0C40A631" w14:textId="77777777" w:rsidR="00884714" w:rsidRPr="008A48CE" w:rsidRDefault="00884714" w:rsidP="008A48CE">
      <w:pPr>
        <w:autoSpaceDE w:val="0"/>
        <w:autoSpaceDN w:val="0"/>
        <w:adjustRightInd w:val="0"/>
        <w:spacing w:after="0" w:line="240" w:lineRule="auto"/>
        <w:ind w:left="851" w:hanging="425"/>
        <w:rPr>
          <w:rFonts w:cstheme="minorHAnsi"/>
          <w:color w:val="000000"/>
        </w:rPr>
      </w:pPr>
    </w:p>
    <w:p w14:paraId="27345322" w14:textId="77777777" w:rsidR="00467FF3" w:rsidRPr="008A48CE" w:rsidRDefault="008B18F4" w:rsidP="008A48CE">
      <w:pPr>
        <w:autoSpaceDE w:val="0"/>
        <w:autoSpaceDN w:val="0"/>
        <w:adjustRightInd w:val="0"/>
        <w:spacing w:after="0" w:line="240" w:lineRule="auto"/>
        <w:ind w:left="851" w:hanging="425"/>
        <w:rPr>
          <w:rFonts w:cstheme="minorHAnsi"/>
          <w:color w:val="000000"/>
        </w:rPr>
      </w:pPr>
      <w:r w:rsidRPr="008A48CE">
        <w:rPr>
          <w:rFonts w:cstheme="minorHAnsi"/>
          <w:color w:val="000000"/>
        </w:rPr>
        <w:t>b.</w:t>
      </w:r>
      <w:r w:rsidRPr="008A48CE">
        <w:rPr>
          <w:rFonts w:cstheme="minorHAnsi"/>
          <w:color w:val="000000"/>
        </w:rPr>
        <w:tab/>
      </w:r>
      <w:r w:rsidR="00467FF3" w:rsidRPr="008A48CE">
        <w:rPr>
          <w:rFonts w:cstheme="minorHAnsi"/>
          <w:color w:val="000000"/>
        </w:rPr>
        <w:t xml:space="preserve">Fully </w:t>
      </w:r>
      <w:r w:rsidR="00467FF3" w:rsidRPr="008A48CE">
        <w:rPr>
          <w:rFonts w:cstheme="minorHAnsi"/>
          <w:b/>
          <w:bCs/>
          <w:color w:val="000000"/>
        </w:rPr>
        <w:t xml:space="preserve">independent treaty secretariats </w:t>
      </w:r>
      <w:r w:rsidR="00467FF3" w:rsidRPr="008A48CE">
        <w:rPr>
          <w:rFonts w:cstheme="minorHAnsi"/>
          <w:color w:val="000000"/>
        </w:rPr>
        <w:t xml:space="preserve">not of traditional IGOs, but of intergovernmental treaties that follow the “COP model” (example of the ATT Secretariat, Option </w:t>
      </w:r>
      <w:r w:rsidR="00467FF3" w:rsidRPr="008A48CE">
        <w:rPr>
          <w:rFonts w:cstheme="minorHAnsi"/>
          <w:b/>
          <w:bCs/>
          <w:color w:val="000000"/>
        </w:rPr>
        <w:t>A2</w:t>
      </w:r>
      <w:r w:rsidR="005066C2">
        <w:rPr>
          <w:rFonts w:cstheme="minorHAnsi"/>
          <w:color w:val="000000"/>
        </w:rPr>
        <w:t>);</w:t>
      </w:r>
    </w:p>
    <w:p w14:paraId="1D661512" w14:textId="77777777" w:rsidR="00884714" w:rsidRPr="008A48CE" w:rsidRDefault="00884714" w:rsidP="008A48CE">
      <w:pPr>
        <w:autoSpaceDE w:val="0"/>
        <w:autoSpaceDN w:val="0"/>
        <w:adjustRightInd w:val="0"/>
        <w:spacing w:after="0" w:line="240" w:lineRule="auto"/>
        <w:ind w:left="851" w:hanging="425"/>
        <w:rPr>
          <w:rFonts w:cstheme="minorHAnsi"/>
          <w:color w:val="000000"/>
        </w:rPr>
      </w:pPr>
    </w:p>
    <w:p w14:paraId="70432595" w14:textId="77777777" w:rsidR="00467FF3" w:rsidRPr="008A48CE" w:rsidRDefault="008B18F4" w:rsidP="008A48CE">
      <w:pPr>
        <w:autoSpaceDE w:val="0"/>
        <w:autoSpaceDN w:val="0"/>
        <w:adjustRightInd w:val="0"/>
        <w:spacing w:after="0" w:line="240" w:lineRule="auto"/>
        <w:ind w:left="851" w:hanging="425"/>
        <w:rPr>
          <w:rFonts w:cstheme="minorHAnsi"/>
          <w:color w:val="000000"/>
        </w:rPr>
      </w:pPr>
      <w:r w:rsidRPr="008A48CE">
        <w:rPr>
          <w:rFonts w:cstheme="minorHAnsi"/>
          <w:color w:val="000000"/>
        </w:rPr>
        <w:t>c.</w:t>
      </w:r>
      <w:r w:rsidRPr="008A48CE">
        <w:rPr>
          <w:rFonts w:cstheme="minorHAnsi"/>
          <w:color w:val="000000"/>
        </w:rPr>
        <w:tab/>
      </w:r>
      <w:r w:rsidR="00467FF3" w:rsidRPr="008A48CE">
        <w:rPr>
          <w:rFonts w:cstheme="minorHAnsi"/>
          <w:color w:val="000000"/>
        </w:rPr>
        <w:t xml:space="preserve">MEA secretariats with </w:t>
      </w:r>
      <w:r w:rsidR="00467FF3" w:rsidRPr="008A48CE">
        <w:rPr>
          <w:rFonts w:cstheme="minorHAnsi"/>
          <w:b/>
          <w:bCs/>
          <w:color w:val="000000"/>
        </w:rPr>
        <w:t xml:space="preserve">largely independent </w:t>
      </w:r>
      <w:r w:rsidR="00467FF3" w:rsidRPr="008A48CE">
        <w:rPr>
          <w:rFonts w:cstheme="minorHAnsi"/>
          <w:color w:val="000000"/>
        </w:rPr>
        <w:t>status whose arrangements are characterized by a specific “</w:t>
      </w:r>
      <w:r w:rsidR="00467FF3" w:rsidRPr="008A48CE">
        <w:rPr>
          <w:rFonts w:cstheme="minorHAnsi"/>
          <w:b/>
          <w:bCs/>
          <w:color w:val="000000"/>
        </w:rPr>
        <w:t>institutional linkage</w:t>
      </w:r>
      <w:r w:rsidR="00467FF3" w:rsidRPr="008A48CE">
        <w:rPr>
          <w:rFonts w:cstheme="minorHAnsi"/>
          <w:color w:val="000000"/>
        </w:rPr>
        <w:t xml:space="preserve">” to the UN (case of the UNFCCC and UNCCD secretariats, Option </w:t>
      </w:r>
      <w:r w:rsidR="00467FF3" w:rsidRPr="008A48CE">
        <w:rPr>
          <w:rFonts w:cstheme="minorHAnsi"/>
          <w:b/>
          <w:bCs/>
          <w:color w:val="000000"/>
        </w:rPr>
        <w:t>A3</w:t>
      </w:r>
      <w:r w:rsidR="005066C2">
        <w:rPr>
          <w:rFonts w:cstheme="minorHAnsi"/>
          <w:color w:val="000000"/>
        </w:rPr>
        <w:t>);</w:t>
      </w:r>
    </w:p>
    <w:p w14:paraId="5B05C15C" w14:textId="77777777" w:rsidR="00884714" w:rsidRPr="008A48CE" w:rsidRDefault="00884714" w:rsidP="008A48CE">
      <w:pPr>
        <w:autoSpaceDE w:val="0"/>
        <w:autoSpaceDN w:val="0"/>
        <w:adjustRightInd w:val="0"/>
        <w:spacing w:after="0" w:line="240" w:lineRule="auto"/>
        <w:ind w:left="851" w:hanging="425"/>
        <w:rPr>
          <w:rFonts w:cstheme="minorHAnsi"/>
          <w:color w:val="000000"/>
        </w:rPr>
      </w:pPr>
    </w:p>
    <w:p w14:paraId="06D7C68F" w14:textId="77777777" w:rsidR="00467FF3" w:rsidRPr="008A48CE" w:rsidRDefault="008B18F4" w:rsidP="008A48CE">
      <w:pPr>
        <w:autoSpaceDE w:val="0"/>
        <w:autoSpaceDN w:val="0"/>
        <w:adjustRightInd w:val="0"/>
        <w:spacing w:after="0" w:line="240" w:lineRule="auto"/>
        <w:ind w:left="851" w:hanging="425"/>
        <w:rPr>
          <w:rFonts w:cstheme="minorHAnsi"/>
          <w:color w:val="000000"/>
        </w:rPr>
      </w:pPr>
      <w:r w:rsidRPr="008A48CE">
        <w:rPr>
          <w:rFonts w:cstheme="minorHAnsi"/>
          <w:color w:val="000000"/>
        </w:rPr>
        <w:t>d.</w:t>
      </w:r>
      <w:r w:rsidRPr="008A48CE">
        <w:rPr>
          <w:rFonts w:cstheme="minorHAnsi"/>
          <w:color w:val="000000"/>
        </w:rPr>
        <w:tab/>
      </w:r>
      <w:r w:rsidR="00467FF3" w:rsidRPr="008A48CE">
        <w:rPr>
          <w:rFonts w:cstheme="minorHAnsi"/>
          <w:color w:val="000000"/>
        </w:rPr>
        <w:t xml:space="preserve">MEA secretariats that are </w:t>
      </w:r>
      <w:r w:rsidR="00467FF3" w:rsidRPr="008A48CE">
        <w:rPr>
          <w:rFonts w:cstheme="minorHAnsi"/>
          <w:b/>
          <w:bCs/>
          <w:color w:val="000000"/>
        </w:rPr>
        <w:t xml:space="preserve">largely integrated </w:t>
      </w:r>
      <w:r w:rsidR="00467FF3" w:rsidRPr="008A48CE">
        <w:rPr>
          <w:rFonts w:cstheme="minorHAnsi"/>
          <w:color w:val="000000"/>
        </w:rPr>
        <w:t xml:space="preserve">into the administrative structure of a UN programme (example of UNEP, Option </w:t>
      </w:r>
      <w:r w:rsidR="00467FF3" w:rsidRPr="008A48CE">
        <w:rPr>
          <w:rFonts w:cstheme="minorHAnsi"/>
          <w:b/>
          <w:bCs/>
          <w:color w:val="000000"/>
        </w:rPr>
        <w:t>B1</w:t>
      </w:r>
      <w:r w:rsidR="00467FF3" w:rsidRPr="008A48CE">
        <w:rPr>
          <w:rFonts w:cstheme="minorHAnsi"/>
          <w:color w:val="000000"/>
        </w:rPr>
        <w:t xml:space="preserve">) or a UN specialized agency (example of UNESCO, Option </w:t>
      </w:r>
      <w:r w:rsidR="00467FF3" w:rsidRPr="008A48CE">
        <w:rPr>
          <w:rFonts w:cstheme="minorHAnsi"/>
          <w:b/>
          <w:bCs/>
          <w:color w:val="000000"/>
        </w:rPr>
        <w:t>B2</w:t>
      </w:r>
      <w:r w:rsidR="005066C2">
        <w:rPr>
          <w:rFonts w:cstheme="minorHAnsi"/>
          <w:color w:val="000000"/>
        </w:rPr>
        <w:t>).</w:t>
      </w:r>
    </w:p>
    <w:p w14:paraId="1EE91127" w14:textId="77777777" w:rsidR="009F1F36" w:rsidRPr="008A48CE" w:rsidRDefault="009F1F36" w:rsidP="008A48CE">
      <w:pPr>
        <w:autoSpaceDE w:val="0"/>
        <w:autoSpaceDN w:val="0"/>
        <w:adjustRightInd w:val="0"/>
        <w:spacing w:after="0" w:line="240" w:lineRule="auto"/>
        <w:rPr>
          <w:rFonts w:cstheme="minorHAnsi"/>
          <w:color w:val="000000"/>
        </w:rPr>
      </w:pPr>
    </w:p>
    <w:p w14:paraId="6E43B74B" w14:textId="77777777" w:rsidR="009F1F36" w:rsidRPr="008A48CE" w:rsidRDefault="00DB2771" w:rsidP="008A48CE">
      <w:pPr>
        <w:pStyle w:val="ListParagraph"/>
        <w:numPr>
          <w:ilvl w:val="0"/>
          <w:numId w:val="7"/>
        </w:numPr>
        <w:autoSpaceDE w:val="0"/>
        <w:autoSpaceDN w:val="0"/>
        <w:adjustRightInd w:val="0"/>
        <w:ind w:left="426" w:hanging="426"/>
        <w:jc w:val="left"/>
        <w:rPr>
          <w:rFonts w:asciiTheme="minorHAnsi" w:hAnsiTheme="minorHAnsi" w:cstheme="minorHAnsi"/>
          <w:color w:val="000000"/>
        </w:rPr>
      </w:pPr>
      <w:r w:rsidRPr="008A48CE">
        <w:rPr>
          <w:rFonts w:asciiTheme="minorHAnsi" w:hAnsiTheme="minorHAnsi" w:cstheme="minorHAnsi"/>
          <w:bCs/>
          <w:color w:val="000000"/>
        </w:rPr>
        <w:t>A</w:t>
      </w:r>
      <w:r w:rsidR="009F1F36" w:rsidRPr="008A48CE">
        <w:rPr>
          <w:rFonts w:asciiTheme="minorHAnsi" w:hAnsiTheme="minorHAnsi" w:cstheme="minorHAnsi"/>
          <w:bCs/>
          <w:color w:val="000000"/>
        </w:rPr>
        <w:t>dditional possibilities</w:t>
      </w:r>
      <w:r w:rsidR="009F1F36" w:rsidRPr="008A48CE">
        <w:rPr>
          <w:rFonts w:asciiTheme="minorHAnsi" w:hAnsiTheme="minorHAnsi" w:cstheme="minorHAnsi"/>
          <w:color w:val="000000"/>
        </w:rPr>
        <w:t>, which are explored in th</w:t>
      </w:r>
      <w:r w:rsidRPr="008A48CE">
        <w:rPr>
          <w:rFonts w:asciiTheme="minorHAnsi" w:hAnsiTheme="minorHAnsi" w:cstheme="minorHAnsi"/>
          <w:color w:val="000000"/>
        </w:rPr>
        <w:t>e</w:t>
      </w:r>
      <w:r w:rsidR="009F1F36" w:rsidRPr="008A48CE">
        <w:rPr>
          <w:rFonts w:asciiTheme="minorHAnsi" w:hAnsiTheme="minorHAnsi" w:cstheme="minorHAnsi"/>
          <w:color w:val="000000"/>
        </w:rPr>
        <w:t xml:space="preserve"> report (sections </w:t>
      </w:r>
      <w:r w:rsidR="009F1F36" w:rsidRPr="008A48CE">
        <w:rPr>
          <w:rFonts w:asciiTheme="minorHAnsi" w:hAnsiTheme="minorHAnsi" w:cstheme="minorHAnsi"/>
          <w:b/>
          <w:bCs/>
          <w:color w:val="000000"/>
        </w:rPr>
        <w:t>C1</w:t>
      </w:r>
      <w:r w:rsidR="009F1F36" w:rsidRPr="008A48CE">
        <w:rPr>
          <w:rFonts w:asciiTheme="minorHAnsi" w:hAnsiTheme="minorHAnsi" w:cstheme="minorHAnsi"/>
          <w:color w:val="000000"/>
        </w:rPr>
        <w:t>-</w:t>
      </w:r>
      <w:r w:rsidR="009F1F36" w:rsidRPr="008A48CE">
        <w:rPr>
          <w:rFonts w:asciiTheme="minorHAnsi" w:hAnsiTheme="minorHAnsi" w:cstheme="minorHAnsi"/>
          <w:b/>
          <w:bCs/>
          <w:color w:val="000000"/>
        </w:rPr>
        <w:t xml:space="preserve">C3 </w:t>
      </w:r>
      <w:r w:rsidR="009F1F36" w:rsidRPr="008A48CE">
        <w:rPr>
          <w:rFonts w:asciiTheme="minorHAnsi" w:hAnsiTheme="minorHAnsi" w:cstheme="minorHAnsi"/>
          <w:color w:val="000000"/>
        </w:rPr>
        <w:t>of parts III and IV) and which are solely aimed at enhancing participation in UN high-level fora and processes under the UNGA, respectively the ECOSOC, in particular in the HLPF</w:t>
      </w:r>
      <w:r w:rsidRPr="008A48CE">
        <w:rPr>
          <w:rFonts w:asciiTheme="minorHAnsi" w:hAnsiTheme="minorHAnsi" w:cstheme="minorHAnsi"/>
          <w:color w:val="000000"/>
        </w:rPr>
        <w:t xml:space="preserve"> include:</w:t>
      </w:r>
    </w:p>
    <w:p w14:paraId="36DBA5F1" w14:textId="77777777" w:rsidR="00D41F93" w:rsidRPr="008A48CE" w:rsidRDefault="00D41F93" w:rsidP="008A48CE">
      <w:pPr>
        <w:autoSpaceDE w:val="0"/>
        <w:autoSpaceDN w:val="0"/>
        <w:adjustRightInd w:val="0"/>
        <w:spacing w:after="0" w:line="240" w:lineRule="auto"/>
        <w:rPr>
          <w:rFonts w:cstheme="minorHAnsi"/>
          <w:color w:val="000000"/>
        </w:rPr>
      </w:pPr>
    </w:p>
    <w:p w14:paraId="2379E565" w14:textId="77777777" w:rsidR="00D41F93" w:rsidRPr="008A48CE" w:rsidRDefault="00D41F93" w:rsidP="008A48CE">
      <w:pPr>
        <w:autoSpaceDE w:val="0"/>
        <w:autoSpaceDN w:val="0"/>
        <w:adjustRightInd w:val="0"/>
        <w:spacing w:after="0" w:line="240" w:lineRule="auto"/>
        <w:ind w:left="851" w:hanging="425"/>
        <w:rPr>
          <w:rFonts w:cstheme="minorHAnsi"/>
          <w:color w:val="000000"/>
        </w:rPr>
      </w:pPr>
      <w:r w:rsidRPr="008A48CE">
        <w:rPr>
          <w:rFonts w:cstheme="minorHAnsi"/>
          <w:color w:val="000000"/>
        </w:rPr>
        <w:t>a.</w:t>
      </w:r>
      <w:r w:rsidR="008B18F4" w:rsidRPr="008A48CE">
        <w:rPr>
          <w:rFonts w:cstheme="minorHAnsi"/>
          <w:color w:val="000000"/>
        </w:rPr>
        <w:tab/>
      </w:r>
      <w:r w:rsidRPr="008A48CE">
        <w:rPr>
          <w:rFonts w:cstheme="minorHAnsi"/>
          <w:color w:val="000000"/>
        </w:rPr>
        <w:t xml:space="preserve">Continuing with the (modified) </w:t>
      </w:r>
      <w:r w:rsidRPr="008A48CE">
        <w:rPr>
          <w:rFonts w:cstheme="minorHAnsi"/>
          <w:bCs/>
          <w:color w:val="000000"/>
        </w:rPr>
        <w:t xml:space="preserve">request for the Ramsar </w:t>
      </w:r>
      <w:r w:rsidRPr="008A48CE">
        <w:rPr>
          <w:rFonts w:cstheme="minorHAnsi"/>
          <w:bCs/>
          <w:i/>
          <w:iCs/>
          <w:color w:val="000000"/>
        </w:rPr>
        <w:t xml:space="preserve">Convention </w:t>
      </w:r>
      <w:r w:rsidRPr="008A48CE">
        <w:rPr>
          <w:rFonts w:cstheme="minorHAnsi"/>
          <w:color w:val="000000"/>
        </w:rPr>
        <w:t xml:space="preserve">to be granted </w:t>
      </w:r>
      <w:r w:rsidRPr="008A48CE">
        <w:rPr>
          <w:rFonts w:cstheme="minorHAnsi"/>
          <w:b/>
          <w:bCs/>
          <w:color w:val="000000"/>
        </w:rPr>
        <w:t>observer status in the UNGA</w:t>
      </w:r>
      <w:r w:rsidRPr="008A48CE">
        <w:rPr>
          <w:rFonts w:cstheme="minorHAnsi"/>
          <w:bCs/>
          <w:color w:val="000000"/>
        </w:rPr>
        <w:t xml:space="preserve"> </w:t>
      </w:r>
      <w:r w:rsidR="005066C2">
        <w:rPr>
          <w:rFonts w:cstheme="minorHAnsi"/>
          <w:color w:val="000000"/>
        </w:rPr>
        <w:t>(as an IGO) (“option” C1);</w:t>
      </w:r>
    </w:p>
    <w:p w14:paraId="16621B2D" w14:textId="77777777" w:rsidR="008B18F4" w:rsidRPr="008A48CE" w:rsidRDefault="008B18F4" w:rsidP="008A48CE">
      <w:pPr>
        <w:autoSpaceDE w:val="0"/>
        <w:autoSpaceDN w:val="0"/>
        <w:adjustRightInd w:val="0"/>
        <w:spacing w:after="0" w:line="240" w:lineRule="auto"/>
        <w:ind w:left="851" w:hanging="425"/>
        <w:rPr>
          <w:rFonts w:cstheme="minorHAnsi"/>
          <w:color w:val="000000"/>
        </w:rPr>
      </w:pPr>
    </w:p>
    <w:p w14:paraId="4CB94BC3" w14:textId="77777777" w:rsidR="00D41F93" w:rsidRPr="008A48CE" w:rsidRDefault="008B18F4" w:rsidP="008A48CE">
      <w:pPr>
        <w:autoSpaceDE w:val="0"/>
        <w:autoSpaceDN w:val="0"/>
        <w:adjustRightInd w:val="0"/>
        <w:spacing w:after="0" w:line="240" w:lineRule="auto"/>
        <w:ind w:left="851" w:hanging="425"/>
        <w:rPr>
          <w:rFonts w:cstheme="minorHAnsi"/>
          <w:color w:val="000000"/>
        </w:rPr>
      </w:pPr>
      <w:r w:rsidRPr="008A48CE">
        <w:rPr>
          <w:rFonts w:cstheme="minorHAnsi"/>
          <w:color w:val="000000"/>
        </w:rPr>
        <w:t>b.</w:t>
      </w:r>
      <w:r w:rsidRPr="008A48CE">
        <w:rPr>
          <w:rFonts w:cstheme="minorHAnsi"/>
          <w:color w:val="000000"/>
        </w:rPr>
        <w:tab/>
      </w:r>
      <w:r w:rsidR="00D41F93" w:rsidRPr="008A48CE">
        <w:rPr>
          <w:rFonts w:cstheme="minorHAnsi"/>
          <w:b/>
          <w:bCs/>
          <w:color w:val="000000"/>
        </w:rPr>
        <w:t>Broadening of the possibilities to participate in UN processes</w:t>
      </w:r>
      <w:r w:rsidR="00D41F93" w:rsidRPr="008A48CE">
        <w:rPr>
          <w:rFonts w:cstheme="minorHAnsi"/>
          <w:bCs/>
          <w:color w:val="000000"/>
        </w:rPr>
        <w:t xml:space="preserve"> </w:t>
      </w:r>
      <w:r w:rsidR="00D41F93" w:rsidRPr="008A48CE">
        <w:rPr>
          <w:rFonts w:cstheme="minorHAnsi"/>
          <w:color w:val="000000"/>
        </w:rPr>
        <w:t>in the context of the reform of the modalities for participa</w:t>
      </w:r>
      <w:r w:rsidR="005066C2">
        <w:rPr>
          <w:rFonts w:cstheme="minorHAnsi"/>
          <w:color w:val="000000"/>
        </w:rPr>
        <w:t>tion in the HLPF (“option” C2);</w:t>
      </w:r>
    </w:p>
    <w:p w14:paraId="7B9C5D70" w14:textId="77777777" w:rsidR="008B18F4" w:rsidRPr="008A48CE" w:rsidRDefault="008B18F4" w:rsidP="008A48CE">
      <w:pPr>
        <w:autoSpaceDE w:val="0"/>
        <w:autoSpaceDN w:val="0"/>
        <w:adjustRightInd w:val="0"/>
        <w:spacing w:after="0" w:line="240" w:lineRule="auto"/>
        <w:ind w:left="851" w:hanging="425"/>
        <w:rPr>
          <w:rFonts w:cstheme="minorHAnsi"/>
          <w:color w:val="000000"/>
        </w:rPr>
      </w:pPr>
    </w:p>
    <w:p w14:paraId="38B99D94" w14:textId="77777777" w:rsidR="00D41F93" w:rsidRPr="008A48CE" w:rsidRDefault="008B18F4" w:rsidP="008A48CE">
      <w:pPr>
        <w:autoSpaceDE w:val="0"/>
        <w:autoSpaceDN w:val="0"/>
        <w:adjustRightInd w:val="0"/>
        <w:spacing w:after="0" w:line="240" w:lineRule="auto"/>
        <w:ind w:left="851" w:hanging="425"/>
        <w:rPr>
          <w:rFonts w:cstheme="minorHAnsi"/>
          <w:color w:val="000000"/>
        </w:rPr>
      </w:pPr>
      <w:r w:rsidRPr="008A48CE">
        <w:rPr>
          <w:rFonts w:cstheme="minorHAnsi"/>
          <w:color w:val="000000"/>
        </w:rPr>
        <w:lastRenderedPageBreak/>
        <w:t>c.</w:t>
      </w:r>
      <w:r w:rsidRPr="008A48CE">
        <w:rPr>
          <w:rFonts w:cstheme="minorHAnsi"/>
          <w:color w:val="000000"/>
        </w:rPr>
        <w:tab/>
      </w:r>
      <w:r w:rsidR="00D41F93" w:rsidRPr="008A48CE">
        <w:rPr>
          <w:rFonts w:cstheme="minorHAnsi"/>
          <w:b/>
          <w:bCs/>
          <w:color w:val="000000"/>
        </w:rPr>
        <w:t xml:space="preserve">Request to the ECOSOC </w:t>
      </w:r>
      <w:r w:rsidR="00D41F93" w:rsidRPr="008A48CE">
        <w:rPr>
          <w:rFonts w:cstheme="minorHAnsi"/>
          <w:color w:val="000000"/>
        </w:rPr>
        <w:t xml:space="preserve">for designation of the Ramsar Convention to participate in deliberations of the ECOSOC and its functional commissions, which would include participation in HLPF meetings that are convened </w:t>
      </w:r>
      <w:r w:rsidR="005066C2">
        <w:rPr>
          <w:rFonts w:cstheme="minorHAnsi"/>
          <w:color w:val="000000"/>
        </w:rPr>
        <w:t>under the ECOSOC (“option” C3).</w:t>
      </w:r>
    </w:p>
    <w:p w14:paraId="43DF1566" w14:textId="77777777" w:rsidR="00D41F93" w:rsidRPr="008A48CE" w:rsidRDefault="00D41F93" w:rsidP="008A48CE">
      <w:pPr>
        <w:numPr>
          <w:ilvl w:val="1"/>
          <w:numId w:val="5"/>
        </w:numPr>
        <w:autoSpaceDE w:val="0"/>
        <w:autoSpaceDN w:val="0"/>
        <w:adjustRightInd w:val="0"/>
        <w:spacing w:after="0" w:line="240" w:lineRule="auto"/>
        <w:rPr>
          <w:rFonts w:cstheme="minorHAnsi"/>
          <w:color w:val="000000"/>
        </w:rPr>
      </w:pPr>
    </w:p>
    <w:p w14:paraId="6044D3B4" w14:textId="77777777" w:rsidR="00ED498F" w:rsidRPr="008A48CE" w:rsidRDefault="007750F6" w:rsidP="008A48CE">
      <w:pPr>
        <w:pStyle w:val="ListParagraph"/>
        <w:numPr>
          <w:ilvl w:val="0"/>
          <w:numId w:val="7"/>
        </w:numPr>
        <w:autoSpaceDE w:val="0"/>
        <w:autoSpaceDN w:val="0"/>
        <w:adjustRightInd w:val="0"/>
        <w:ind w:left="426" w:hanging="568"/>
        <w:jc w:val="left"/>
        <w:rPr>
          <w:rFonts w:asciiTheme="minorHAnsi" w:hAnsiTheme="minorHAnsi" w:cstheme="minorHAnsi"/>
        </w:rPr>
      </w:pPr>
      <w:r w:rsidRPr="008A48CE">
        <w:rPr>
          <w:rFonts w:asciiTheme="minorHAnsi" w:hAnsiTheme="minorHAnsi" w:cstheme="minorHAnsi"/>
          <w:color w:val="000000"/>
        </w:rPr>
        <w:t xml:space="preserve">From the </w:t>
      </w:r>
      <w:r w:rsidR="00193027" w:rsidRPr="008A48CE">
        <w:rPr>
          <w:rFonts w:asciiTheme="minorHAnsi" w:hAnsiTheme="minorHAnsi" w:cstheme="minorHAnsi"/>
          <w:color w:val="000000"/>
        </w:rPr>
        <w:t xml:space="preserve">above </w:t>
      </w:r>
      <w:r w:rsidRPr="008A48CE">
        <w:rPr>
          <w:rFonts w:asciiTheme="minorHAnsi" w:hAnsiTheme="minorHAnsi" w:cstheme="minorHAnsi"/>
          <w:color w:val="000000"/>
        </w:rPr>
        <w:t xml:space="preserve">five main options </w:t>
      </w:r>
      <w:r w:rsidR="00ED13E3" w:rsidRPr="008A48CE">
        <w:rPr>
          <w:rFonts w:asciiTheme="minorHAnsi" w:hAnsiTheme="minorHAnsi" w:cstheme="minorHAnsi"/>
        </w:rPr>
        <w:t>to address the key concerns about the legal status of the Secretariat and its operation</w:t>
      </w:r>
      <w:r w:rsidRPr="008A48CE">
        <w:rPr>
          <w:rFonts w:asciiTheme="minorHAnsi" w:hAnsiTheme="minorHAnsi" w:cstheme="minorHAnsi"/>
        </w:rPr>
        <w:t xml:space="preserve"> the </w:t>
      </w:r>
      <w:r w:rsidR="00334EA6" w:rsidRPr="008A48CE">
        <w:rPr>
          <w:rFonts w:asciiTheme="minorHAnsi" w:hAnsiTheme="minorHAnsi" w:cstheme="minorHAnsi"/>
        </w:rPr>
        <w:t xml:space="preserve">Working Group </w:t>
      </w:r>
      <w:r w:rsidR="00B90D52" w:rsidRPr="008A48CE">
        <w:rPr>
          <w:rFonts w:asciiTheme="minorHAnsi" w:hAnsiTheme="minorHAnsi" w:cstheme="minorHAnsi"/>
        </w:rPr>
        <w:t>agreed to undertake an in-depth financial analysis of the selected options with consultant</w:t>
      </w:r>
      <w:r w:rsidR="008A48CE">
        <w:rPr>
          <w:rFonts w:asciiTheme="minorHAnsi" w:hAnsiTheme="minorHAnsi" w:cstheme="minorHAnsi"/>
        </w:rPr>
        <w:t>’</w:t>
      </w:r>
      <w:r w:rsidR="00B90D52" w:rsidRPr="008A48CE">
        <w:rPr>
          <w:rFonts w:asciiTheme="minorHAnsi" w:hAnsiTheme="minorHAnsi" w:cstheme="minorHAnsi"/>
        </w:rPr>
        <w:t>s support that could be presented as part of the report of, and the recommendations from, the Working Group to SC59.</w:t>
      </w:r>
      <w:r w:rsidR="00ED498F" w:rsidRPr="008A48CE">
        <w:rPr>
          <w:rFonts w:asciiTheme="minorHAnsi" w:hAnsiTheme="minorHAnsi" w:cstheme="minorHAnsi"/>
        </w:rPr>
        <w:t xml:space="preserve"> The Working Group agreed the terms of </w:t>
      </w:r>
      <w:r w:rsidR="005066C2">
        <w:rPr>
          <w:rFonts w:asciiTheme="minorHAnsi" w:hAnsiTheme="minorHAnsi" w:cstheme="minorHAnsi"/>
        </w:rPr>
        <w:t>reference for this consultancy.</w:t>
      </w:r>
    </w:p>
    <w:p w14:paraId="4B7A7E93" w14:textId="77777777" w:rsidR="00A259BE" w:rsidRPr="008A48CE" w:rsidRDefault="00A259BE" w:rsidP="008A48CE">
      <w:pPr>
        <w:autoSpaceDE w:val="0"/>
        <w:autoSpaceDN w:val="0"/>
        <w:adjustRightInd w:val="0"/>
        <w:spacing w:after="0" w:line="240" w:lineRule="auto"/>
        <w:rPr>
          <w:rFonts w:cstheme="minorHAnsi"/>
        </w:rPr>
      </w:pPr>
    </w:p>
    <w:p w14:paraId="3556B39B" w14:textId="77777777" w:rsidR="00A259BE" w:rsidRPr="008A48CE" w:rsidRDefault="00A259BE" w:rsidP="008A48CE">
      <w:pPr>
        <w:pStyle w:val="ListParagraph"/>
        <w:numPr>
          <w:ilvl w:val="0"/>
          <w:numId w:val="7"/>
        </w:numPr>
        <w:ind w:left="426" w:hanging="568"/>
        <w:jc w:val="left"/>
        <w:rPr>
          <w:rFonts w:asciiTheme="minorHAnsi" w:hAnsiTheme="minorHAnsi" w:cstheme="minorHAnsi"/>
        </w:rPr>
      </w:pPr>
      <w:r w:rsidRPr="008A48CE">
        <w:rPr>
          <w:rFonts w:asciiTheme="minorHAnsi" w:hAnsiTheme="minorHAnsi" w:cstheme="minorHAnsi"/>
        </w:rPr>
        <w:t xml:space="preserve">The consultancy will prepare a comparative analysis of the three options identified by the Working Group </w:t>
      </w:r>
      <w:r w:rsidR="000349B9" w:rsidRPr="008A48CE">
        <w:rPr>
          <w:rFonts w:asciiTheme="minorHAnsi" w:hAnsiTheme="minorHAnsi" w:cstheme="minorHAnsi"/>
        </w:rPr>
        <w:t xml:space="preserve">as the most viable, </w:t>
      </w:r>
      <w:r w:rsidRPr="008A48CE">
        <w:rPr>
          <w:rFonts w:asciiTheme="minorHAnsi" w:hAnsiTheme="minorHAnsi" w:cstheme="minorHAnsi"/>
        </w:rPr>
        <w:t>plus the current arrangement of the Secretariat of the Ramsar Convention hosted by IUCN, as follows:</w:t>
      </w:r>
    </w:p>
    <w:p w14:paraId="5A3511DB" w14:textId="77777777" w:rsidR="00A259BE" w:rsidRPr="008A48CE" w:rsidRDefault="00A259BE" w:rsidP="008A48CE">
      <w:pPr>
        <w:autoSpaceDE w:val="0"/>
        <w:autoSpaceDN w:val="0"/>
        <w:adjustRightInd w:val="0"/>
        <w:spacing w:after="0" w:line="240" w:lineRule="auto"/>
        <w:rPr>
          <w:rFonts w:cstheme="minorHAnsi"/>
        </w:rPr>
      </w:pPr>
    </w:p>
    <w:p w14:paraId="40FAE283" w14:textId="77777777" w:rsidR="00A259BE" w:rsidRPr="008A48CE" w:rsidRDefault="00A259BE" w:rsidP="008A48CE">
      <w:pPr>
        <w:pStyle w:val="Default"/>
        <w:numPr>
          <w:ilvl w:val="0"/>
          <w:numId w:val="14"/>
        </w:numPr>
        <w:ind w:left="851" w:hanging="425"/>
        <w:rPr>
          <w:rFonts w:asciiTheme="minorHAnsi" w:hAnsiTheme="minorHAnsi" w:cstheme="minorHAnsi"/>
          <w:bCs/>
          <w:color w:val="auto"/>
          <w:sz w:val="22"/>
          <w:szCs w:val="22"/>
        </w:rPr>
      </w:pPr>
      <w:r w:rsidRPr="008A48CE">
        <w:rPr>
          <w:rFonts w:asciiTheme="minorHAnsi" w:hAnsiTheme="minorHAnsi" w:cstheme="minorHAnsi"/>
          <w:color w:val="auto"/>
          <w:sz w:val="22"/>
          <w:szCs w:val="22"/>
        </w:rPr>
        <w:t xml:space="preserve">Secretariat of </w:t>
      </w:r>
      <w:r w:rsidRPr="008A48CE">
        <w:rPr>
          <w:rFonts w:asciiTheme="minorHAnsi" w:hAnsiTheme="minorHAnsi" w:cstheme="minorHAnsi"/>
          <w:bCs/>
          <w:color w:val="auto"/>
          <w:sz w:val="22"/>
          <w:szCs w:val="22"/>
        </w:rPr>
        <w:t>traditional IGOs (A1)</w:t>
      </w:r>
    </w:p>
    <w:p w14:paraId="73D0A144" w14:textId="77777777" w:rsidR="00A259BE" w:rsidRPr="008A48CE" w:rsidRDefault="00A259BE" w:rsidP="008A48CE">
      <w:pPr>
        <w:pStyle w:val="Default"/>
        <w:numPr>
          <w:ilvl w:val="0"/>
          <w:numId w:val="14"/>
        </w:numPr>
        <w:ind w:left="851" w:hanging="425"/>
        <w:rPr>
          <w:rFonts w:asciiTheme="minorHAnsi" w:hAnsiTheme="minorHAnsi" w:cstheme="minorHAnsi"/>
          <w:color w:val="auto"/>
          <w:sz w:val="22"/>
          <w:szCs w:val="22"/>
        </w:rPr>
      </w:pPr>
      <w:r w:rsidRPr="008A48CE">
        <w:rPr>
          <w:rFonts w:asciiTheme="minorHAnsi" w:hAnsiTheme="minorHAnsi" w:cstheme="minorHAnsi"/>
          <w:color w:val="auto"/>
          <w:sz w:val="22"/>
          <w:szCs w:val="22"/>
        </w:rPr>
        <w:t xml:space="preserve">Multilateral environmental agreement (MEA), </w:t>
      </w:r>
      <w:r w:rsidRPr="008A48CE">
        <w:rPr>
          <w:rFonts w:asciiTheme="minorHAnsi" w:hAnsiTheme="minorHAnsi" w:cstheme="minorHAnsi"/>
          <w:bCs/>
          <w:color w:val="auto"/>
          <w:sz w:val="22"/>
          <w:szCs w:val="22"/>
        </w:rPr>
        <w:t>Institutional linkage to the UN (A3)</w:t>
      </w:r>
    </w:p>
    <w:p w14:paraId="25C79A34" w14:textId="77777777" w:rsidR="00A259BE" w:rsidRPr="008A48CE" w:rsidRDefault="00A259BE" w:rsidP="008A48CE">
      <w:pPr>
        <w:pStyle w:val="Default"/>
        <w:numPr>
          <w:ilvl w:val="0"/>
          <w:numId w:val="14"/>
        </w:numPr>
        <w:ind w:left="851" w:hanging="425"/>
        <w:rPr>
          <w:rFonts w:asciiTheme="minorHAnsi" w:hAnsiTheme="minorHAnsi" w:cstheme="minorHAnsi"/>
          <w:color w:val="auto"/>
          <w:sz w:val="22"/>
          <w:szCs w:val="22"/>
        </w:rPr>
      </w:pPr>
      <w:r w:rsidRPr="008A48CE">
        <w:rPr>
          <w:rFonts w:asciiTheme="minorHAnsi" w:hAnsiTheme="minorHAnsi" w:cstheme="minorHAnsi"/>
          <w:bCs/>
          <w:color w:val="auto"/>
          <w:sz w:val="22"/>
          <w:szCs w:val="22"/>
        </w:rPr>
        <w:t xml:space="preserve">Part of UNEP </w:t>
      </w:r>
      <w:r w:rsidRPr="008A48CE">
        <w:rPr>
          <w:rFonts w:asciiTheme="minorHAnsi" w:hAnsiTheme="minorHAnsi" w:cstheme="minorHAnsi"/>
          <w:color w:val="auto"/>
          <w:sz w:val="22"/>
          <w:szCs w:val="22"/>
        </w:rPr>
        <w:t>(Option B1)</w:t>
      </w:r>
    </w:p>
    <w:p w14:paraId="757370F6" w14:textId="3E30DE3C" w:rsidR="00A259BE" w:rsidRPr="008A48CE" w:rsidRDefault="00A259BE" w:rsidP="008A48CE">
      <w:pPr>
        <w:pStyle w:val="Default"/>
        <w:numPr>
          <w:ilvl w:val="0"/>
          <w:numId w:val="14"/>
        </w:numPr>
        <w:ind w:left="851" w:hanging="425"/>
        <w:rPr>
          <w:rFonts w:asciiTheme="minorHAnsi" w:hAnsiTheme="minorHAnsi" w:cstheme="minorHAnsi"/>
          <w:color w:val="auto"/>
          <w:sz w:val="22"/>
          <w:szCs w:val="22"/>
        </w:rPr>
      </w:pPr>
      <w:r w:rsidRPr="008A48CE">
        <w:rPr>
          <w:rFonts w:asciiTheme="minorHAnsi" w:hAnsiTheme="minorHAnsi" w:cstheme="minorHAnsi"/>
          <w:color w:val="auto"/>
          <w:sz w:val="22"/>
          <w:szCs w:val="22"/>
        </w:rPr>
        <w:t>Current scenario with Secretariat of the Convention/IUCN</w:t>
      </w:r>
      <w:r w:rsidR="00084622">
        <w:rPr>
          <w:rFonts w:asciiTheme="minorHAnsi" w:hAnsiTheme="minorHAnsi" w:cstheme="minorHAnsi"/>
          <w:color w:val="auto"/>
          <w:sz w:val="22"/>
          <w:szCs w:val="22"/>
        </w:rPr>
        <w:t xml:space="preserve"> – </w:t>
      </w:r>
      <w:r w:rsidR="00FE5F95" w:rsidRPr="008A48CE">
        <w:rPr>
          <w:rFonts w:asciiTheme="minorHAnsi" w:hAnsiTheme="minorHAnsi" w:cstheme="minorHAnsi"/>
          <w:color w:val="auto"/>
          <w:sz w:val="22"/>
          <w:szCs w:val="22"/>
        </w:rPr>
        <w:t xml:space="preserve">including a </w:t>
      </w:r>
      <w:r w:rsidR="00FE5F95" w:rsidRPr="008A48CE">
        <w:rPr>
          <w:rFonts w:asciiTheme="minorHAnsi" w:hAnsiTheme="minorHAnsi" w:cstheme="minorHAnsi"/>
          <w:sz w:val="22"/>
          <w:szCs w:val="22"/>
        </w:rPr>
        <w:t>comparative analysis of salaries and benefits between IUCN and the UN System</w:t>
      </w:r>
    </w:p>
    <w:p w14:paraId="68C196C9" w14:textId="77777777" w:rsidR="00B90D52" w:rsidRPr="008A48CE" w:rsidRDefault="00B90D52" w:rsidP="008A48CE">
      <w:pPr>
        <w:pStyle w:val="wordsection1"/>
        <w:spacing w:before="0" w:beforeAutospacing="0" w:after="0" w:afterAutospacing="0"/>
        <w:rPr>
          <w:rFonts w:asciiTheme="minorHAnsi" w:hAnsiTheme="minorHAnsi" w:cstheme="minorHAnsi"/>
          <w:sz w:val="22"/>
          <w:szCs w:val="22"/>
        </w:rPr>
      </w:pPr>
    </w:p>
    <w:p w14:paraId="65C27BF4" w14:textId="77777777" w:rsidR="00334EA6" w:rsidRPr="008A48CE" w:rsidRDefault="00334EA6" w:rsidP="008A48CE">
      <w:pPr>
        <w:pStyle w:val="wordsection1"/>
        <w:numPr>
          <w:ilvl w:val="0"/>
          <w:numId w:val="7"/>
        </w:numPr>
        <w:spacing w:before="0" w:beforeAutospacing="0" w:after="0" w:afterAutospacing="0"/>
        <w:ind w:left="426" w:hanging="568"/>
        <w:rPr>
          <w:rFonts w:asciiTheme="minorHAnsi" w:hAnsiTheme="minorHAnsi" w:cstheme="minorHAnsi"/>
          <w:sz w:val="22"/>
          <w:szCs w:val="22"/>
          <w:lang w:eastAsia="en-US"/>
        </w:rPr>
      </w:pPr>
      <w:r w:rsidRPr="008A48CE">
        <w:rPr>
          <w:rFonts w:asciiTheme="minorHAnsi" w:hAnsiTheme="minorHAnsi" w:cstheme="minorHAnsi"/>
          <w:sz w:val="22"/>
          <w:szCs w:val="22"/>
          <w:lang w:val="en-US"/>
        </w:rPr>
        <w:t xml:space="preserve">It is important to </w:t>
      </w:r>
      <w:r w:rsidR="00B440E3" w:rsidRPr="008A48CE">
        <w:rPr>
          <w:rFonts w:asciiTheme="minorHAnsi" w:hAnsiTheme="minorHAnsi" w:cstheme="minorHAnsi"/>
          <w:sz w:val="22"/>
          <w:szCs w:val="22"/>
          <w:lang w:val="en-US"/>
        </w:rPr>
        <w:t xml:space="preserve">note </w:t>
      </w:r>
      <w:r w:rsidRPr="008A48CE">
        <w:rPr>
          <w:rFonts w:asciiTheme="minorHAnsi" w:hAnsiTheme="minorHAnsi" w:cstheme="minorHAnsi"/>
          <w:sz w:val="22"/>
          <w:szCs w:val="22"/>
          <w:lang w:val="en-US"/>
        </w:rPr>
        <w:t xml:space="preserve">that in </w:t>
      </w:r>
      <w:r w:rsidRPr="008A48CE">
        <w:rPr>
          <w:rFonts w:asciiTheme="minorHAnsi" w:hAnsiTheme="minorHAnsi" w:cstheme="minorHAnsi"/>
          <w:sz w:val="22"/>
          <w:szCs w:val="22"/>
        </w:rPr>
        <w:t>addition</w:t>
      </w:r>
      <w:r w:rsidRPr="008A48CE">
        <w:rPr>
          <w:rFonts w:asciiTheme="minorHAnsi" w:hAnsiTheme="minorHAnsi" w:cstheme="minorHAnsi"/>
          <w:sz w:val="22"/>
          <w:szCs w:val="22"/>
          <w:lang w:val="en-US"/>
        </w:rPr>
        <w:t xml:space="preserve"> to the legal and financial analysis</w:t>
      </w:r>
      <w:r w:rsidRPr="008A48CE">
        <w:rPr>
          <w:rFonts w:asciiTheme="minorHAnsi" w:hAnsiTheme="minorHAnsi" w:cstheme="minorHAnsi"/>
          <w:sz w:val="22"/>
          <w:szCs w:val="22"/>
        </w:rPr>
        <w:t xml:space="preserve">, </w:t>
      </w:r>
      <w:r w:rsidR="00B440E3" w:rsidRPr="008A48CE">
        <w:rPr>
          <w:rFonts w:asciiTheme="minorHAnsi" w:hAnsiTheme="minorHAnsi" w:cstheme="minorHAnsi"/>
          <w:sz w:val="22"/>
          <w:szCs w:val="22"/>
        </w:rPr>
        <w:t xml:space="preserve">as indicated above </w:t>
      </w:r>
      <w:r w:rsidRPr="008A48CE">
        <w:rPr>
          <w:rFonts w:asciiTheme="minorHAnsi" w:hAnsiTheme="minorHAnsi" w:cstheme="minorHAnsi"/>
          <w:sz w:val="22"/>
          <w:szCs w:val="22"/>
        </w:rPr>
        <w:t xml:space="preserve">the Secretariat and the members of the group </w:t>
      </w:r>
      <w:r w:rsidR="00B440E3" w:rsidRPr="008A48CE">
        <w:rPr>
          <w:rFonts w:asciiTheme="minorHAnsi" w:hAnsiTheme="minorHAnsi" w:cstheme="minorHAnsi"/>
          <w:sz w:val="22"/>
          <w:szCs w:val="22"/>
        </w:rPr>
        <w:t xml:space="preserve">continue </w:t>
      </w:r>
      <w:r w:rsidRPr="008A48CE">
        <w:rPr>
          <w:rFonts w:asciiTheme="minorHAnsi" w:hAnsiTheme="minorHAnsi" w:cstheme="minorHAnsi"/>
          <w:sz w:val="22"/>
          <w:szCs w:val="22"/>
          <w:lang w:val="en-US"/>
        </w:rPr>
        <w:t xml:space="preserve">working on the request of the </w:t>
      </w:r>
      <w:r w:rsidRPr="008A48CE">
        <w:rPr>
          <w:rFonts w:asciiTheme="minorHAnsi" w:hAnsiTheme="minorHAnsi" w:cstheme="minorHAnsi"/>
          <w:sz w:val="22"/>
          <w:szCs w:val="22"/>
        </w:rPr>
        <w:t>observer status t</w:t>
      </w:r>
      <w:r w:rsidR="00B440E3" w:rsidRPr="008A48CE">
        <w:rPr>
          <w:rFonts w:asciiTheme="minorHAnsi" w:hAnsiTheme="minorHAnsi" w:cstheme="minorHAnsi"/>
          <w:sz w:val="22"/>
          <w:szCs w:val="22"/>
        </w:rPr>
        <w:t>o</w:t>
      </w:r>
      <w:r w:rsidRPr="008A48CE">
        <w:rPr>
          <w:rFonts w:asciiTheme="minorHAnsi" w:hAnsiTheme="minorHAnsi" w:cstheme="minorHAnsi"/>
          <w:sz w:val="22"/>
          <w:szCs w:val="22"/>
        </w:rPr>
        <w:t xml:space="preserve"> the UN General Assembly (C1) and ECOSOC (C3), as well as to seek participation in the high-level </w:t>
      </w:r>
      <w:r w:rsidRPr="008A48CE">
        <w:rPr>
          <w:rFonts w:asciiTheme="minorHAnsi" w:hAnsiTheme="minorHAnsi" w:cstheme="minorHAnsi"/>
          <w:sz w:val="22"/>
          <w:szCs w:val="22"/>
          <w:lang w:val="en-US"/>
        </w:rPr>
        <w:t xml:space="preserve">political </w:t>
      </w:r>
      <w:r w:rsidRPr="008A48CE">
        <w:rPr>
          <w:rFonts w:asciiTheme="minorHAnsi" w:hAnsiTheme="minorHAnsi" w:cstheme="minorHAnsi"/>
          <w:sz w:val="22"/>
          <w:szCs w:val="22"/>
        </w:rPr>
        <w:t>forum (C2).</w:t>
      </w:r>
    </w:p>
    <w:p w14:paraId="711A1ECC" w14:textId="77777777" w:rsidR="00334EA6" w:rsidRPr="008A48CE" w:rsidRDefault="00334EA6" w:rsidP="008A48CE">
      <w:pPr>
        <w:pStyle w:val="wordsection1"/>
        <w:spacing w:before="0" w:beforeAutospacing="0" w:after="0" w:afterAutospacing="0"/>
        <w:rPr>
          <w:rFonts w:asciiTheme="minorHAnsi" w:hAnsiTheme="minorHAnsi" w:cstheme="minorHAnsi"/>
          <w:sz w:val="22"/>
          <w:szCs w:val="22"/>
          <w:lang w:eastAsia="en-US"/>
        </w:rPr>
      </w:pPr>
    </w:p>
    <w:p w14:paraId="121C6C2D" w14:textId="77777777" w:rsidR="00334EA6" w:rsidRPr="008A48CE" w:rsidRDefault="00334EA6" w:rsidP="008A48CE">
      <w:pPr>
        <w:pStyle w:val="wordsection1"/>
        <w:numPr>
          <w:ilvl w:val="0"/>
          <w:numId w:val="7"/>
        </w:numPr>
        <w:spacing w:before="0" w:beforeAutospacing="0" w:after="0" w:afterAutospacing="0"/>
        <w:ind w:left="426" w:hanging="579"/>
        <w:rPr>
          <w:rFonts w:asciiTheme="minorHAnsi" w:hAnsiTheme="minorHAnsi" w:cstheme="minorHAnsi"/>
          <w:sz w:val="22"/>
          <w:szCs w:val="22"/>
          <w:lang w:eastAsia="en-US"/>
        </w:rPr>
      </w:pPr>
      <w:r w:rsidRPr="008A48CE">
        <w:rPr>
          <w:rFonts w:asciiTheme="minorHAnsi" w:hAnsiTheme="minorHAnsi" w:cstheme="minorHAnsi"/>
          <w:sz w:val="22"/>
          <w:szCs w:val="22"/>
          <w:lang w:val="en-US"/>
        </w:rPr>
        <w:t>T</w:t>
      </w:r>
      <w:r w:rsidRPr="008A48CE">
        <w:rPr>
          <w:rFonts w:asciiTheme="minorHAnsi" w:hAnsiTheme="minorHAnsi" w:cstheme="minorHAnsi"/>
          <w:sz w:val="22"/>
          <w:szCs w:val="22"/>
        </w:rPr>
        <w:t>he</w:t>
      </w:r>
      <w:r w:rsidR="00193027" w:rsidRPr="008A48CE">
        <w:rPr>
          <w:rFonts w:asciiTheme="minorHAnsi" w:hAnsiTheme="minorHAnsi" w:cstheme="minorHAnsi"/>
          <w:sz w:val="22"/>
          <w:szCs w:val="22"/>
        </w:rPr>
        <w:t xml:space="preserve"> Standing Committee approved intersessionally </w:t>
      </w:r>
      <w:r w:rsidR="00912F2F" w:rsidRPr="008A48CE">
        <w:rPr>
          <w:rFonts w:asciiTheme="minorHAnsi" w:hAnsiTheme="minorHAnsi" w:cstheme="minorHAnsi"/>
          <w:sz w:val="22"/>
          <w:szCs w:val="22"/>
        </w:rPr>
        <w:t xml:space="preserve">in March 2021, </w:t>
      </w:r>
      <w:r w:rsidR="00193027" w:rsidRPr="008A48CE">
        <w:rPr>
          <w:rFonts w:asciiTheme="minorHAnsi" w:hAnsiTheme="minorHAnsi" w:cstheme="minorHAnsi"/>
          <w:sz w:val="22"/>
          <w:szCs w:val="22"/>
        </w:rPr>
        <w:t>CHF</w:t>
      </w:r>
      <w:r w:rsidR="001C2C34" w:rsidRPr="008A48CE">
        <w:rPr>
          <w:rFonts w:asciiTheme="minorHAnsi" w:hAnsiTheme="minorHAnsi" w:cstheme="minorHAnsi"/>
          <w:sz w:val="22"/>
          <w:szCs w:val="22"/>
        </w:rPr>
        <w:t xml:space="preserve"> 17,000</w:t>
      </w:r>
      <w:r w:rsidR="00193027" w:rsidRPr="008A48CE">
        <w:rPr>
          <w:rFonts w:asciiTheme="minorHAnsi" w:hAnsiTheme="minorHAnsi" w:cstheme="minorHAnsi"/>
          <w:sz w:val="22"/>
          <w:szCs w:val="22"/>
        </w:rPr>
        <w:t xml:space="preserve"> </w:t>
      </w:r>
      <w:r w:rsidRPr="008A48CE">
        <w:rPr>
          <w:rFonts w:asciiTheme="minorHAnsi" w:hAnsiTheme="minorHAnsi" w:cstheme="minorHAnsi"/>
          <w:sz w:val="22"/>
          <w:szCs w:val="22"/>
        </w:rPr>
        <w:t xml:space="preserve">to </w:t>
      </w:r>
      <w:r w:rsidR="001C2C34" w:rsidRPr="008A48CE">
        <w:rPr>
          <w:rFonts w:asciiTheme="minorHAnsi" w:hAnsiTheme="minorHAnsi" w:cstheme="minorHAnsi"/>
          <w:sz w:val="22"/>
          <w:szCs w:val="22"/>
        </w:rPr>
        <w:t xml:space="preserve">conduct the financial and procedural analysis of the options identified in the “Independent analysis on the legal status of the Secretariat of the Convention on Wetlands”. </w:t>
      </w:r>
      <w:r w:rsidRPr="008A48CE">
        <w:rPr>
          <w:rFonts w:asciiTheme="minorHAnsi" w:hAnsiTheme="minorHAnsi" w:cstheme="minorHAnsi"/>
          <w:sz w:val="22"/>
          <w:szCs w:val="22"/>
        </w:rPr>
        <w:t>The consultant selection process is currently underway.</w:t>
      </w:r>
    </w:p>
    <w:p w14:paraId="676EBBC2" w14:textId="77777777" w:rsidR="001C2C34" w:rsidRPr="008A48CE" w:rsidRDefault="001C2C34" w:rsidP="008A48CE">
      <w:pPr>
        <w:spacing w:after="0" w:line="240" w:lineRule="auto"/>
        <w:rPr>
          <w:rFonts w:cstheme="minorHAnsi"/>
        </w:rPr>
      </w:pPr>
    </w:p>
    <w:p w14:paraId="1E25F146" w14:textId="77777777" w:rsidR="00BB2B2F" w:rsidRPr="008A48CE" w:rsidRDefault="00982AE6" w:rsidP="008A48CE">
      <w:pPr>
        <w:spacing w:after="0" w:line="240" w:lineRule="auto"/>
        <w:ind w:left="-284" w:firstLine="142"/>
        <w:rPr>
          <w:rFonts w:cstheme="minorHAnsi"/>
          <w:b/>
        </w:rPr>
      </w:pPr>
      <w:r w:rsidRPr="008A48CE">
        <w:rPr>
          <w:rFonts w:cstheme="minorHAnsi"/>
          <w:b/>
        </w:rPr>
        <w:t>Recommendations of the Working Group</w:t>
      </w:r>
    </w:p>
    <w:p w14:paraId="30A5BE35" w14:textId="77777777" w:rsidR="00E45434" w:rsidRPr="008A48CE" w:rsidRDefault="00E45434" w:rsidP="008A48CE">
      <w:pPr>
        <w:spacing w:after="0" w:line="240" w:lineRule="auto"/>
        <w:ind w:left="-284" w:firstLine="142"/>
        <w:rPr>
          <w:rFonts w:cstheme="minorHAnsi"/>
          <w:b/>
        </w:rPr>
      </w:pPr>
    </w:p>
    <w:p w14:paraId="617EBE6F" w14:textId="77777777" w:rsidR="00982AE6" w:rsidRPr="008A48CE" w:rsidRDefault="00560D12" w:rsidP="008A48CE">
      <w:pPr>
        <w:pStyle w:val="ListParagraph"/>
        <w:numPr>
          <w:ilvl w:val="0"/>
          <w:numId w:val="7"/>
        </w:numPr>
        <w:ind w:left="426" w:hanging="568"/>
        <w:jc w:val="left"/>
        <w:rPr>
          <w:rFonts w:asciiTheme="minorHAnsi" w:hAnsiTheme="minorHAnsi" w:cstheme="minorHAnsi"/>
        </w:rPr>
      </w:pPr>
      <w:r w:rsidRPr="008A48CE">
        <w:rPr>
          <w:rFonts w:asciiTheme="minorHAnsi" w:hAnsiTheme="minorHAnsi" w:cstheme="minorHAnsi"/>
        </w:rPr>
        <w:t>Taken in consideration the status of progress of the Working Group</w:t>
      </w:r>
      <w:r w:rsidR="004C2C9E" w:rsidRPr="008A48CE">
        <w:rPr>
          <w:rFonts w:asciiTheme="minorHAnsi" w:hAnsiTheme="minorHAnsi" w:cstheme="minorHAnsi"/>
        </w:rPr>
        <w:t xml:space="preserve"> on the mandate given by the Standing Committee, the Working Group recommends to continue its work until the completion of the financial analysis and the presentation of its findings</w:t>
      </w:r>
      <w:r w:rsidR="00A615A8" w:rsidRPr="008A48CE">
        <w:rPr>
          <w:rFonts w:asciiTheme="minorHAnsi" w:hAnsiTheme="minorHAnsi" w:cstheme="minorHAnsi"/>
        </w:rPr>
        <w:t xml:space="preserve"> with final recommendations on the observer status matters to Standing Committee 60.</w:t>
      </w:r>
    </w:p>
    <w:sectPr w:rsidR="00982AE6" w:rsidRPr="008A48CE" w:rsidSect="007D79AF">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07A18" w14:textId="77777777" w:rsidR="00C23881" w:rsidRDefault="00C23881" w:rsidP="002805FE">
      <w:pPr>
        <w:spacing w:after="0" w:line="240" w:lineRule="auto"/>
      </w:pPr>
      <w:r>
        <w:separator/>
      </w:r>
    </w:p>
  </w:endnote>
  <w:endnote w:type="continuationSeparator" w:id="0">
    <w:p w14:paraId="356BA75A" w14:textId="77777777" w:rsidR="00C23881" w:rsidRDefault="00C23881" w:rsidP="00280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87949" w14:textId="298B0DDF" w:rsidR="007D79AF" w:rsidRPr="007D79AF" w:rsidRDefault="007D79AF">
    <w:pPr>
      <w:pStyle w:val="Footer"/>
      <w:rPr>
        <w:sz w:val="20"/>
        <w:szCs w:val="20"/>
      </w:rPr>
    </w:pPr>
    <w:r w:rsidRPr="007D79AF">
      <w:rPr>
        <w:sz w:val="20"/>
        <w:szCs w:val="20"/>
      </w:rPr>
      <w:t>SC59 Doc.14</w:t>
    </w:r>
    <w:r>
      <w:rPr>
        <w:sz w:val="20"/>
        <w:szCs w:val="20"/>
      </w:rPr>
      <w:tab/>
    </w:r>
    <w:r>
      <w:rPr>
        <w:sz w:val="20"/>
        <w:szCs w:val="20"/>
      </w:rPr>
      <w:tab/>
    </w:r>
    <w:r w:rsidRPr="007D79AF">
      <w:rPr>
        <w:sz w:val="20"/>
        <w:szCs w:val="20"/>
      </w:rPr>
      <w:fldChar w:fldCharType="begin"/>
    </w:r>
    <w:r w:rsidRPr="007D79AF">
      <w:rPr>
        <w:sz w:val="20"/>
        <w:szCs w:val="20"/>
      </w:rPr>
      <w:instrText xml:space="preserve"> PAGE   \* MERGEFORMAT </w:instrText>
    </w:r>
    <w:r w:rsidRPr="007D79AF">
      <w:rPr>
        <w:sz w:val="20"/>
        <w:szCs w:val="20"/>
      </w:rPr>
      <w:fldChar w:fldCharType="separate"/>
    </w:r>
    <w:r w:rsidR="00465A3C">
      <w:rPr>
        <w:noProof/>
        <w:sz w:val="20"/>
        <w:szCs w:val="20"/>
      </w:rPr>
      <w:t>4</w:t>
    </w:r>
    <w:r w:rsidRPr="007D79AF">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A3814" w14:textId="77777777" w:rsidR="00C23881" w:rsidRDefault="00C23881" w:rsidP="002805FE">
      <w:pPr>
        <w:spacing w:after="0" w:line="240" w:lineRule="auto"/>
      </w:pPr>
      <w:r>
        <w:separator/>
      </w:r>
    </w:p>
  </w:footnote>
  <w:footnote w:type="continuationSeparator" w:id="0">
    <w:p w14:paraId="1AE8CFDA" w14:textId="77777777" w:rsidR="00C23881" w:rsidRDefault="00C23881" w:rsidP="002805FE">
      <w:pPr>
        <w:spacing w:after="0" w:line="240" w:lineRule="auto"/>
      </w:pPr>
      <w:r>
        <w:continuationSeparator/>
      </w:r>
    </w:p>
  </w:footnote>
  <w:footnote w:id="1">
    <w:p w14:paraId="3AC12C6E" w14:textId="77777777" w:rsidR="002805FE" w:rsidRPr="00E45434" w:rsidRDefault="002805FE" w:rsidP="00E45434">
      <w:pPr>
        <w:pStyle w:val="FootnoteText"/>
        <w:rPr>
          <w:rFonts w:cstheme="minorHAnsi"/>
        </w:rPr>
      </w:pPr>
      <w:r w:rsidRPr="00E45434">
        <w:rPr>
          <w:rStyle w:val="FootnoteReference"/>
          <w:rFonts w:cstheme="minorHAnsi"/>
        </w:rPr>
        <w:footnoteRef/>
      </w:r>
      <w:r w:rsidRPr="00E45434">
        <w:rPr>
          <w:rFonts w:cstheme="minorHAnsi"/>
          <w:vertAlign w:val="superscript"/>
        </w:rPr>
        <w:t xml:space="preserve"> </w:t>
      </w:r>
      <w:r w:rsidRPr="00E45434">
        <w:rPr>
          <w:rFonts w:cstheme="minorHAnsi"/>
        </w:rPr>
        <w:t>Through Decision SC57-47</w:t>
      </w:r>
      <w:r w:rsidR="003B106A" w:rsidRPr="00E45434">
        <w:rPr>
          <w:rFonts w:cstheme="minorHAnsi"/>
        </w:rPr>
        <w:t>,</w:t>
      </w:r>
      <w:r w:rsidRPr="00E45434">
        <w:rPr>
          <w:rFonts w:cstheme="minorHAnsi"/>
        </w:rPr>
        <w:t xml:space="preserve"> the Standing Committee subsequently approved the allocation of CHF 15,000 from the 2018 core budget surplus to “Legal status analysis consultancy”.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D7FF36"/>
    <w:multiLevelType w:val="hybridMultilevel"/>
    <w:tmpl w:val="CE86A7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01DEC71"/>
    <w:multiLevelType w:val="hybridMultilevel"/>
    <w:tmpl w:val="FA91E8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0647F6"/>
    <w:multiLevelType w:val="hybridMultilevel"/>
    <w:tmpl w:val="E88CF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F63584"/>
    <w:multiLevelType w:val="hybridMultilevel"/>
    <w:tmpl w:val="8C169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34C08"/>
    <w:multiLevelType w:val="hybridMultilevel"/>
    <w:tmpl w:val="0D942D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0A22F1"/>
    <w:multiLevelType w:val="hybridMultilevel"/>
    <w:tmpl w:val="7430F3A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B13F97"/>
    <w:multiLevelType w:val="hybridMultilevel"/>
    <w:tmpl w:val="6B7E24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713803"/>
    <w:multiLevelType w:val="hybridMultilevel"/>
    <w:tmpl w:val="FA065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4070D3"/>
    <w:multiLevelType w:val="hybridMultilevel"/>
    <w:tmpl w:val="547803DA"/>
    <w:lvl w:ilvl="0" w:tplc="249278B0">
      <w:start w:val="1"/>
      <w:numFmt w:val="lowerLetter"/>
      <w:lvlText w:val="%1)"/>
      <w:lvlJc w:val="left"/>
      <w:pPr>
        <w:ind w:left="1353" w:hanging="360"/>
      </w:pPr>
      <w:rPr>
        <w:rFonts w:hint="default"/>
      </w:rPr>
    </w:lvl>
    <w:lvl w:ilvl="1" w:tplc="08090019" w:tentative="1">
      <w:start w:val="1"/>
      <w:numFmt w:val="lowerLetter"/>
      <w:lvlText w:val="%2."/>
      <w:lvlJc w:val="left"/>
      <w:pPr>
        <w:ind w:left="4341" w:hanging="360"/>
      </w:pPr>
    </w:lvl>
    <w:lvl w:ilvl="2" w:tplc="0809001B" w:tentative="1">
      <w:start w:val="1"/>
      <w:numFmt w:val="lowerRoman"/>
      <w:lvlText w:val="%3."/>
      <w:lvlJc w:val="right"/>
      <w:pPr>
        <w:ind w:left="5061" w:hanging="180"/>
      </w:pPr>
    </w:lvl>
    <w:lvl w:ilvl="3" w:tplc="0809000F" w:tentative="1">
      <w:start w:val="1"/>
      <w:numFmt w:val="decimal"/>
      <w:lvlText w:val="%4."/>
      <w:lvlJc w:val="left"/>
      <w:pPr>
        <w:ind w:left="5781" w:hanging="360"/>
      </w:pPr>
    </w:lvl>
    <w:lvl w:ilvl="4" w:tplc="08090019" w:tentative="1">
      <w:start w:val="1"/>
      <w:numFmt w:val="lowerLetter"/>
      <w:lvlText w:val="%5."/>
      <w:lvlJc w:val="left"/>
      <w:pPr>
        <w:ind w:left="6501" w:hanging="360"/>
      </w:pPr>
    </w:lvl>
    <w:lvl w:ilvl="5" w:tplc="0809001B" w:tentative="1">
      <w:start w:val="1"/>
      <w:numFmt w:val="lowerRoman"/>
      <w:lvlText w:val="%6."/>
      <w:lvlJc w:val="right"/>
      <w:pPr>
        <w:ind w:left="7221" w:hanging="180"/>
      </w:pPr>
    </w:lvl>
    <w:lvl w:ilvl="6" w:tplc="0809000F" w:tentative="1">
      <w:start w:val="1"/>
      <w:numFmt w:val="decimal"/>
      <w:lvlText w:val="%7."/>
      <w:lvlJc w:val="left"/>
      <w:pPr>
        <w:ind w:left="7941" w:hanging="360"/>
      </w:pPr>
    </w:lvl>
    <w:lvl w:ilvl="7" w:tplc="08090019" w:tentative="1">
      <w:start w:val="1"/>
      <w:numFmt w:val="lowerLetter"/>
      <w:lvlText w:val="%8."/>
      <w:lvlJc w:val="left"/>
      <w:pPr>
        <w:ind w:left="8661" w:hanging="360"/>
      </w:pPr>
    </w:lvl>
    <w:lvl w:ilvl="8" w:tplc="0809001B" w:tentative="1">
      <w:start w:val="1"/>
      <w:numFmt w:val="lowerRoman"/>
      <w:lvlText w:val="%9."/>
      <w:lvlJc w:val="right"/>
      <w:pPr>
        <w:ind w:left="9381" w:hanging="180"/>
      </w:pPr>
    </w:lvl>
  </w:abstractNum>
  <w:abstractNum w:abstractNumId="9" w15:restartNumberingAfterBreak="0">
    <w:nsid w:val="5BEB1AFA"/>
    <w:multiLevelType w:val="hybridMultilevel"/>
    <w:tmpl w:val="3878D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E02152"/>
    <w:multiLevelType w:val="hybridMultilevel"/>
    <w:tmpl w:val="F9A27B76"/>
    <w:lvl w:ilvl="0" w:tplc="08090019">
      <w:start w:val="1"/>
      <w:numFmt w:val="lowerLetter"/>
      <w:lvlText w:val="%1."/>
      <w:lvlJc w:val="left"/>
      <w:pPr>
        <w:ind w:left="1353" w:hanging="360"/>
      </w:pPr>
      <w:rPr>
        <w:rFonts w:hint="default"/>
      </w:rPr>
    </w:lvl>
    <w:lvl w:ilvl="1" w:tplc="08090019" w:tentative="1">
      <w:start w:val="1"/>
      <w:numFmt w:val="lowerLetter"/>
      <w:lvlText w:val="%2."/>
      <w:lvlJc w:val="left"/>
      <w:pPr>
        <w:ind w:left="4341" w:hanging="360"/>
      </w:pPr>
    </w:lvl>
    <w:lvl w:ilvl="2" w:tplc="0809001B" w:tentative="1">
      <w:start w:val="1"/>
      <w:numFmt w:val="lowerRoman"/>
      <w:lvlText w:val="%3."/>
      <w:lvlJc w:val="right"/>
      <w:pPr>
        <w:ind w:left="5061" w:hanging="180"/>
      </w:pPr>
    </w:lvl>
    <w:lvl w:ilvl="3" w:tplc="0809000F" w:tentative="1">
      <w:start w:val="1"/>
      <w:numFmt w:val="decimal"/>
      <w:lvlText w:val="%4."/>
      <w:lvlJc w:val="left"/>
      <w:pPr>
        <w:ind w:left="5781" w:hanging="360"/>
      </w:pPr>
    </w:lvl>
    <w:lvl w:ilvl="4" w:tplc="08090019" w:tentative="1">
      <w:start w:val="1"/>
      <w:numFmt w:val="lowerLetter"/>
      <w:lvlText w:val="%5."/>
      <w:lvlJc w:val="left"/>
      <w:pPr>
        <w:ind w:left="6501" w:hanging="360"/>
      </w:pPr>
    </w:lvl>
    <w:lvl w:ilvl="5" w:tplc="0809001B" w:tentative="1">
      <w:start w:val="1"/>
      <w:numFmt w:val="lowerRoman"/>
      <w:lvlText w:val="%6."/>
      <w:lvlJc w:val="right"/>
      <w:pPr>
        <w:ind w:left="7221" w:hanging="180"/>
      </w:pPr>
    </w:lvl>
    <w:lvl w:ilvl="6" w:tplc="0809000F" w:tentative="1">
      <w:start w:val="1"/>
      <w:numFmt w:val="decimal"/>
      <w:lvlText w:val="%7."/>
      <w:lvlJc w:val="left"/>
      <w:pPr>
        <w:ind w:left="7941" w:hanging="360"/>
      </w:pPr>
    </w:lvl>
    <w:lvl w:ilvl="7" w:tplc="08090019" w:tentative="1">
      <w:start w:val="1"/>
      <w:numFmt w:val="lowerLetter"/>
      <w:lvlText w:val="%8."/>
      <w:lvlJc w:val="left"/>
      <w:pPr>
        <w:ind w:left="8661" w:hanging="360"/>
      </w:pPr>
    </w:lvl>
    <w:lvl w:ilvl="8" w:tplc="0809001B" w:tentative="1">
      <w:start w:val="1"/>
      <w:numFmt w:val="lowerRoman"/>
      <w:lvlText w:val="%9."/>
      <w:lvlJc w:val="right"/>
      <w:pPr>
        <w:ind w:left="9381" w:hanging="180"/>
      </w:pPr>
    </w:lvl>
  </w:abstractNum>
  <w:abstractNum w:abstractNumId="11" w15:restartNumberingAfterBreak="0">
    <w:nsid w:val="66E94F2A"/>
    <w:multiLevelType w:val="hybridMultilevel"/>
    <w:tmpl w:val="7D74674A"/>
    <w:lvl w:ilvl="0" w:tplc="0E260F12">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F023A5"/>
    <w:multiLevelType w:val="hybridMultilevel"/>
    <w:tmpl w:val="4394E942"/>
    <w:lvl w:ilvl="0" w:tplc="87207C5C">
      <w:start w:val="1"/>
      <w:numFmt w:val="decimal"/>
      <w:lvlText w:val="%1."/>
      <w:lvlJc w:val="left"/>
      <w:pPr>
        <w:ind w:left="411" w:hanging="360"/>
      </w:pPr>
    </w:lvl>
    <w:lvl w:ilvl="1" w:tplc="08090019">
      <w:start w:val="1"/>
      <w:numFmt w:val="lowerLetter"/>
      <w:lvlText w:val="%2."/>
      <w:lvlJc w:val="left"/>
      <w:pPr>
        <w:ind w:left="1131" w:hanging="360"/>
      </w:pPr>
    </w:lvl>
    <w:lvl w:ilvl="2" w:tplc="0809001B">
      <w:start w:val="1"/>
      <w:numFmt w:val="lowerRoman"/>
      <w:lvlText w:val="%3."/>
      <w:lvlJc w:val="right"/>
      <w:pPr>
        <w:ind w:left="1851" w:hanging="180"/>
      </w:pPr>
    </w:lvl>
    <w:lvl w:ilvl="3" w:tplc="0809000F">
      <w:start w:val="1"/>
      <w:numFmt w:val="decimal"/>
      <w:lvlText w:val="%4."/>
      <w:lvlJc w:val="left"/>
      <w:pPr>
        <w:ind w:left="2571" w:hanging="360"/>
      </w:pPr>
    </w:lvl>
    <w:lvl w:ilvl="4" w:tplc="08090019">
      <w:start w:val="1"/>
      <w:numFmt w:val="lowerLetter"/>
      <w:lvlText w:val="%5."/>
      <w:lvlJc w:val="left"/>
      <w:pPr>
        <w:ind w:left="3291" w:hanging="360"/>
      </w:pPr>
    </w:lvl>
    <w:lvl w:ilvl="5" w:tplc="0809001B">
      <w:start w:val="1"/>
      <w:numFmt w:val="lowerRoman"/>
      <w:lvlText w:val="%6."/>
      <w:lvlJc w:val="right"/>
      <w:pPr>
        <w:ind w:left="4011" w:hanging="180"/>
      </w:pPr>
    </w:lvl>
    <w:lvl w:ilvl="6" w:tplc="0809000F">
      <w:start w:val="1"/>
      <w:numFmt w:val="decimal"/>
      <w:lvlText w:val="%7."/>
      <w:lvlJc w:val="left"/>
      <w:pPr>
        <w:ind w:left="4731" w:hanging="360"/>
      </w:pPr>
    </w:lvl>
    <w:lvl w:ilvl="7" w:tplc="08090019">
      <w:start w:val="1"/>
      <w:numFmt w:val="lowerLetter"/>
      <w:lvlText w:val="%8."/>
      <w:lvlJc w:val="left"/>
      <w:pPr>
        <w:ind w:left="5451" w:hanging="360"/>
      </w:pPr>
    </w:lvl>
    <w:lvl w:ilvl="8" w:tplc="0809001B">
      <w:start w:val="1"/>
      <w:numFmt w:val="lowerRoman"/>
      <w:lvlText w:val="%9."/>
      <w:lvlJc w:val="right"/>
      <w:pPr>
        <w:ind w:left="6171" w:hanging="180"/>
      </w:pPr>
    </w:lvl>
  </w:abstractNum>
  <w:num w:numId="1">
    <w:abstractNumId w:val="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0"/>
  </w:num>
  <w:num w:numId="5">
    <w:abstractNumId w:val="1"/>
  </w:num>
  <w:num w:numId="6">
    <w:abstractNumId w:val="4"/>
  </w:num>
  <w:num w:numId="7">
    <w:abstractNumId w:val="11"/>
  </w:num>
  <w:num w:numId="8">
    <w:abstractNumId w:val="9"/>
  </w:num>
  <w:num w:numId="9">
    <w:abstractNumId w:val="6"/>
  </w:num>
  <w:num w:numId="10">
    <w:abstractNumId w:val="3"/>
  </w:num>
  <w:num w:numId="11">
    <w:abstractNumId w:val="7"/>
  </w:num>
  <w:num w:numId="12">
    <w:abstractNumId w:val="2"/>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7E"/>
    <w:rsid w:val="000349B9"/>
    <w:rsid w:val="00043524"/>
    <w:rsid w:val="00044B1C"/>
    <w:rsid w:val="000507AC"/>
    <w:rsid w:val="00056586"/>
    <w:rsid w:val="00070EBD"/>
    <w:rsid w:val="00084622"/>
    <w:rsid w:val="00111C67"/>
    <w:rsid w:val="00132658"/>
    <w:rsid w:val="001333AC"/>
    <w:rsid w:val="00143B3F"/>
    <w:rsid w:val="0016683F"/>
    <w:rsid w:val="00190CFF"/>
    <w:rsid w:val="00193027"/>
    <w:rsid w:val="001B4324"/>
    <w:rsid w:val="001C2C34"/>
    <w:rsid w:val="002546A1"/>
    <w:rsid w:val="002805FE"/>
    <w:rsid w:val="00281059"/>
    <w:rsid w:val="002B0DE1"/>
    <w:rsid w:val="003031B2"/>
    <w:rsid w:val="00307B7E"/>
    <w:rsid w:val="0031116C"/>
    <w:rsid w:val="00334EA6"/>
    <w:rsid w:val="0035685A"/>
    <w:rsid w:val="00356A11"/>
    <w:rsid w:val="003657F1"/>
    <w:rsid w:val="003B106A"/>
    <w:rsid w:val="003F0B77"/>
    <w:rsid w:val="00401270"/>
    <w:rsid w:val="0042627C"/>
    <w:rsid w:val="004315AB"/>
    <w:rsid w:val="004349EE"/>
    <w:rsid w:val="00446534"/>
    <w:rsid w:val="00465A3C"/>
    <w:rsid w:val="00467FF3"/>
    <w:rsid w:val="004C2C9E"/>
    <w:rsid w:val="005066C2"/>
    <w:rsid w:val="00560D12"/>
    <w:rsid w:val="00593969"/>
    <w:rsid w:val="005C59FE"/>
    <w:rsid w:val="005D0512"/>
    <w:rsid w:val="00622B44"/>
    <w:rsid w:val="006D5EA2"/>
    <w:rsid w:val="006F2953"/>
    <w:rsid w:val="007106B9"/>
    <w:rsid w:val="00741821"/>
    <w:rsid w:val="007750F6"/>
    <w:rsid w:val="007916F1"/>
    <w:rsid w:val="007D79AF"/>
    <w:rsid w:val="007E04F2"/>
    <w:rsid w:val="007F3CF8"/>
    <w:rsid w:val="0082610D"/>
    <w:rsid w:val="00840BE2"/>
    <w:rsid w:val="00884714"/>
    <w:rsid w:val="008A48CE"/>
    <w:rsid w:val="008B18F4"/>
    <w:rsid w:val="009076D7"/>
    <w:rsid w:val="00912F2F"/>
    <w:rsid w:val="00920C59"/>
    <w:rsid w:val="00971F46"/>
    <w:rsid w:val="00982AE6"/>
    <w:rsid w:val="009C4299"/>
    <w:rsid w:val="009C5D04"/>
    <w:rsid w:val="009F1F36"/>
    <w:rsid w:val="00A06FB1"/>
    <w:rsid w:val="00A259BE"/>
    <w:rsid w:val="00A52E04"/>
    <w:rsid w:val="00A615A8"/>
    <w:rsid w:val="00A812F1"/>
    <w:rsid w:val="00AF1634"/>
    <w:rsid w:val="00B11C44"/>
    <w:rsid w:val="00B440E3"/>
    <w:rsid w:val="00B84558"/>
    <w:rsid w:val="00B87A7A"/>
    <w:rsid w:val="00B90D52"/>
    <w:rsid w:val="00B921ED"/>
    <w:rsid w:val="00BB2B2F"/>
    <w:rsid w:val="00BC247E"/>
    <w:rsid w:val="00C176A3"/>
    <w:rsid w:val="00C21673"/>
    <w:rsid w:val="00C23881"/>
    <w:rsid w:val="00C64F80"/>
    <w:rsid w:val="00CE15C1"/>
    <w:rsid w:val="00CE4497"/>
    <w:rsid w:val="00D03879"/>
    <w:rsid w:val="00D138D8"/>
    <w:rsid w:val="00D15AFB"/>
    <w:rsid w:val="00D2518D"/>
    <w:rsid w:val="00D41F93"/>
    <w:rsid w:val="00D46422"/>
    <w:rsid w:val="00D47055"/>
    <w:rsid w:val="00DB2771"/>
    <w:rsid w:val="00DE153C"/>
    <w:rsid w:val="00E414F9"/>
    <w:rsid w:val="00E45434"/>
    <w:rsid w:val="00E92C39"/>
    <w:rsid w:val="00ED13E3"/>
    <w:rsid w:val="00ED498F"/>
    <w:rsid w:val="00F23744"/>
    <w:rsid w:val="00F67DF4"/>
    <w:rsid w:val="00F928C3"/>
    <w:rsid w:val="00FE5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5E96D4"/>
  <w15:chartTrackingRefBased/>
  <w15:docId w15:val="{B6F956D4-1B34-4EEF-9A00-9CB37C3BF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5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Párrafo de lista1,Paragraphe de liste,List Paragraph12,MAIN CONTENT,List Paragraph2,Rec para,List Paragraph1,Recommendation,List Paragraph11,F5 List Paragraph,List Paragraph Char Char Char,Indicator Text"/>
    <w:basedOn w:val="Normal"/>
    <w:link w:val="ListParagraphChar"/>
    <w:uiPriority w:val="34"/>
    <w:qFormat/>
    <w:rsid w:val="00043524"/>
    <w:pPr>
      <w:spacing w:after="0" w:line="240" w:lineRule="auto"/>
      <w:ind w:left="720"/>
      <w:contextualSpacing/>
      <w:jc w:val="both"/>
    </w:pPr>
    <w:rPr>
      <w:rFonts w:ascii="Tahoma" w:eastAsia="Calibri" w:hAnsi="Tahoma" w:cs="Times New Roman"/>
    </w:rPr>
  </w:style>
  <w:style w:type="character" w:customStyle="1" w:styleId="ListParagraphChar">
    <w:name w:val="List Paragraph Char"/>
    <w:aliases w:val="Dot pt Char,Párrafo de lista1 Char,Paragraphe de liste Char,List Paragraph12 Char,MAIN CONTENT Char,List Paragraph2 Char,Rec para Char,List Paragraph1 Char,Recommendation Char,List Paragraph11 Char,F5 List Paragraph Char"/>
    <w:link w:val="ListParagraph"/>
    <w:uiPriority w:val="34"/>
    <w:qFormat/>
    <w:locked/>
    <w:rsid w:val="00043524"/>
    <w:rPr>
      <w:rFonts w:ascii="Tahoma" w:eastAsia="Calibri" w:hAnsi="Tahoma" w:cs="Times New Roman"/>
    </w:rPr>
  </w:style>
  <w:style w:type="paragraph" w:customStyle="1" w:styleId="Default">
    <w:name w:val="Default"/>
    <w:rsid w:val="00920C59"/>
    <w:pPr>
      <w:autoSpaceDE w:val="0"/>
      <w:autoSpaceDN w:val="0"/>
      <w:adjustRightInd w:val="0"/>
      <w:spacing w:after="0" w:line="240" w:lineRule="auto"/>
    </w:pPr>
    <w:rPr>
      <w:rFonts w:ascii="Calibri" w:hAnsi="Calibri" w:cs="Calibri"/>
      <w:color w:val="000000"/>
      <w:sz w:val="24"/>
      <w:szCs w:val="24"/>
    </w:rPr>
  </w:style>
  <w:style w:type="paragraph" w:customStyle="1" w:styleId="ColorfulList-Accent11">
    <w:name w:val="Colorful List - Accent 11"/>
    <w:basedOn w:val="Normal"/>
    <w:uiPriority w:val="34"/>
    <w:qFormat/>
    <w:rsid w:val="00401270"/>
    <w:pPr>
      <w:spacing w:after="0" w:line="240" w:lineRule="auto"/>
      <w:ind w:left="720" w:hanging="425"/>
      <w:contextualSpacing/>
    </w:pPr>
    <w:rPr>
      <w:rFonts w:ascii="Calibri" w:eastAsia="Calibri" w:hAnsi="Calibri" w:cs="Times New Roman"/>
    </w:rPr>
  </w:style>
  <w:style w:type="paragraph" w:styleId="FootnoteText">
    <w:name w:val="footnote text"/>
    <w:basedOn w:val="Normal"/>
    <w:link w:val="FootnoteTextChar"/>
    <w:unhideWhenUsed/>
    <w:rsid w:val="002805FE"/>
    <w:pPr>
      <w:spacing w:after="0" w:line="240" w:lineRule="auto"/>
    </w:pPr>
    <w:rPr>
      <w:sz w:val="20"/>
      <w:szCs w:val="20"/>
    </w:rPr>
  </w:style>
  <w:style w:type="character" w:customStyle="1" w:styleId="FootnoteTextChar">
    <w:name w:val="Footnote Text Char"/>
    <w:basedOn w:val="DefaultParagraphFont"/>
    <w:link w:val="FootnoteText"/>
    <w:rsid w:val="002805FE"/>
    <w:rPr>
      <w:sz w:val="20"/>
      <w:szCs w:val="20"/>
    </w:rPr>
  </w:style>
  <w:style w:type="character" w:styleId="FootnoteReference">
    <w:name w:val="footnote reference"/>
    <w:basedOn w:val="DefaultParagraphFont"/>
    <w:semiHidden/>
    <w:unhideWhenUsed/>
    <w:rsid w:val="002805FE"/>
    <w:rPr>
      <w:vertAlign w:val="superscript"/>
    </w:rPr>
  </w:style>
  <w:style w:type="paragraph" w:customStyle="1" w:styleId="wordsection1">
    <w:name w:val="wordsection1"/>
    <w:basedOn w:val="Normal"/>
    <w:rsid w:val="00ED13E3"/>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7D79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9AF"/>
  </w:style>
  <w:style w:type="paragraph" w:styleId="Footer">
    <w:name w:val="footer"/>
    <w:basedOn w:val="Normal"/>
    <w:link w:val="FooterChar"/>
    <w:uiPriority w:val="99"/>
    <w:unhideWhenUsed/>
    <w:rsid w:val="007D79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9AF"/>
  </w:style>
  <w:style w:type="character" w:styleId="CommentReference">
    <w:name w:val="annotation reference"/>
    <w:basedOn w:val="DefaultParagraphFont"/>
    <w:uiPriority w:val="99"/>
    <w:semiHidden/>
    <w:unhideWhenUsed/>
    <w:rsid w:val="007106B9"/>
    <w:rPr>
      <w:sz w:val="16"/>
      <w:szCs w:val="16"/>
    </w:rPr>
  </w:style>
  <w:style w:type="paragraph" w:styleId="CommentText">
    <w:name w:val="annotation text"/>
    <w:basedOn w:val="Normal"/>
    <w:link w:val="CommentTextChar"/>
    <w:uiPriority w:val="99"/>
    <w:semiHidden/>
    <w:unhideWhenUsed/>
    <w:rsid w:val="007106B9"/>
    <w:pPr>
      <w:spacing w:line="240" w:lineRule="auto"/>
    </w:pPr>
    <w:rPr>
      <w:sz w:val="20"/>
      <w:szCs w:val="20"/>
    </w:rPr>
  </w:style>
  <w:style w:type="character" w:customStyle="1" w:styleId="CommentTextChar">
    <w:name w:val="Comment Text Char"/>
    <w:basedOn w:val="DefaultParagraphFont"/>
    <w:link w:val="CommentText"/>
    <w:uiPriority w:val="99"/>
    <w:semiHidden/>
    <w:rsid w:val="007106B9"/>
    <w:rPr>
      <w:sz w:val="20"/>
      <w:szCs w:val="20"/>
    </w:rPr>
  </w:style>
  <w:style w:type="paragraph" w:styleId="CommentSubject">
    <w:name w:val="annotation subject"/>
    <w:basedOn w:val="CommentText"/>
    <w:next w:val="CommentText"/>
    <w:link w:val="CommentSubjectChar"/>
    <w:uiPriority w:val="99"/>
    <w:semiHidden/>
    <w:unhideWhenUsed/>
    <w:rsid w:val="007106B9"/>
    <w:rPr>
      <w:b/>
      <w:bCs/>
    </w:rPr>
  </w:style>
  <w:style w:type="character" w:customStyle="1" w:styleId="CommentSubjectChar">
    <w:name w:val="Comment Subject Char"/>
    <w:basedOn w:val="CommentTextChar"/>
    <w:link w:val="CommentSubject"/>
    <w:uiPriority w:val="99"/>
    <w:semiHidden/>
    <w:rsid w:val="007106B9"/>
    <w:rPr>
      <w:b/>
      <w:bCs/>
      <w:sz w:val="20"/>
      <w:szCs w:val="20"/>
    </w:rPr>
  </w:style>
  <w:style w:type="paragraph" w:styleId="BalloonText">
    <w:name w:val="Balloon Text"/>
    <w:basedOn w:val="Normal"/>
    <w:link w:val="BalloonTextChar"/>
    <w:uiPriority w:val="99"/>
    <w:semiHidden/>
    <w:unhideWhenUsed/>
    <w:rsid w:val="00710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6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242439">
      <w:bodyDiv w:val="1"/>
      <w:marLeft w:val="0"/>
      <w:marRight w:val="0"/>
      <w:marTop w:val="0"/>
      <w:marBottom w:val="0"/>
      <w:divBdr>
        <w:top w:val="none" w:sz="0" w:space="0" w:color="auto"/>
        <w:left w:val="none" w:sz="0" w:space="0" w:color="auto"/>
        <w:bottom w:val="none" w:sz="0" w:space="0" w:color="auto"/>
        <w:right w:val="none" w:sz="0" w:space="0" w:color="auto"/>
      </w:divBdr>
    </w:div>
    <w:div w:id="1556505191">
      <w:bodyDiv w:val="1"/>
      <w:marLeft w:val="0"/>
      <w:marRight w:val="0"/>
      <w:marTop w:val="0"/>
      <w:marBottom w:val="0"/>
      <w:divBdr>
        <w:top w:val="none" w:sz="0" w:space="0" w:color="auto"/>
        <w:left w:val="none" w:sz="0" w:space="0" w:color="auto"/>
        <w:bottom w:val="none" w:sz="0" w:space="0" w:color="auto"/>
        <w:right w:val="none" w:sz="0" w:space="0" w:color="auto"/>
      </w:divBdr>
    </w:div>
    <w:div w:id="213759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1C111-BF12-4ED0-8765-92A5D943E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 on Wetlands</dc:creator>
  <cp:keywords/>
  <dc:description/>
  <cp:lastModifiedBy>Ed Jennings</cp:lastModifiedBy>
  <cp:revision>2</cp:revision>
  <dcterms:created xsi:type="dcterms:W3CDTF">2021-06-16T10:04:00Z</dcterms:created>
  <dcterms:modified xsi:type="dcterms:W3CDTF">2021-06-16T10:04:00Z</dcterms:modified>
</cp:coreProperties>
</file>