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5FB14" w14:textId="01726F2F" w:rsidR="00275F13" w:rsidRPr="003B1483" w:rsidRDefault="00BA777F" w:rsidP="001B1F9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bookmarkStart w:id="0" w:name="_GoBack"/>
      <w:bookmarkEnd w:id="0"/>
      <w:r w:rsidRPr="003B1483">
        <w:rPr>
          <w:bCs/>
          <w:sz w:val="24"/>
          <w:szCs w:val="24"/>
          <w:lang w:val="es-ES"/>
        </w:rPr>
        <w:t>LA CONVENCIÓN SOBRE LOS HUMEDALES</w:t>
      </w:r>
      <w:r w:rsidR="00DF2386" w:rsidRPr="003B1483">
        <w:rPr>
          <w:bCs/>
          <w:sz w:val="24"/>
          <w:szCs w:val="24"/>
          <w:lang w:val="es-ES"/>
        </w:rPr>
        <w:t xml:space="preserve"> </w:t>
      </w:r>
    </w:p>
    <w:p w14:paraId="080DE56B" w14:textId="6C935D11" w:rsidR="00DF2386" w:rsidRPr="003B1483" w:rsidRDefault="00DF2386" w:rsidP="001B1F9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3B1483">
        <w:rPr>
          <w:bCs/>
          <w:sz w:val="24"/>
          <w:szCs w:val="24"/>
          <w:lang w:val="es-ES"/>
        </w:rPr>
        <w:t>5</w:t>
      </w:r>
      <w:r w:rsidR="003D352B" w:rsidRPr="003B1483">
        <w:rPr>
          <w:bCs/>
          <w:sz w:val="24"/>
          <w:szCs w:val="24"/>
          <w:lang w:val="es-ES"/>
        </w:rPr>
        <w:t>9</w:t>
      </w:r>
      <w:r w:rsidR="00BA777F" w:rsidRPr="003B1483">
        <w:rPr>
          <w:bCs/>
          <w:sz w:val="24"/>
          <w:szCs w:val="24"/>
          <w:lang w:val="es-ES"/>
        </w:rPr>
        <w:t>ª Reunión del Comité Permanente</w:t>
      </w:r>
    </w:p>
    <w:p w14:paraId="1826E15C" w14:textId="26847079" w:rsidR="00DF2386" w:rsidRPr="003B1483" w:rsidRDefault="00DF2386" w:rsidP="001B1F9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es-ES"/>
        </w:rPr>
      </w:pPr>
      <w:r w:rsidRPr="003B1483">
        <w:rPr>
          <w:bCs/>
          <w:sz w:val="24"/>
          <w:szCs w:val="24"/>
          <w:lang w:val="es-ES"/>
        </w:rPr>
        <w:t>Gland, S</w:t>
      </w:r>
      <w:r w:rsidR="00BA777F" w:rsidRPr="003B1483">
        <w:rPr>
          <w:bCs/>
          <w:sz w:val="24"/>
          <w:szCs w:val="24"/>
          <w:lang w:val="es-ES"/>
        </w:rPr>
        <w:t xml:space="preserve">uiza, </w:t>
      </w:r>
      <w:r w:rsidR="003D352B" w:rsidRPr="003B1483">
        <w:rPr>
          <w:bCs/>
          <w:sz w:val="24"/>
          <w:szCs w:val="24"/>
          <w:lang w:val="es-ES"/>
        </w:rPr>
        <w:t>21</w:t>
      </w:r>
      <w:r w:rsidR="00BA777F" w:rsidRPr="003B1483">
        <w:rPr>
          <w:bCs/>
          <w:sz w:val="24"/>
          <w:szCs w:val="24"/>
          <w:lang w:val="es-ES"/>
        </w:rPr>
        <w:t xml:space="preserve"> a 25 de junio de 2021</w:t>
      </w:r>
    </w:p>
    <w:p w14:paraId="26A055B3" w14:textId="77777777" w:rsidR="00DF2386" w:rsidRPr="003B1483" w:rsidRDefault="00DF2386" w:rsidP="001B1F9E">
      <w:pPr>
        <w:outlineLvl w:val="0"/>
        <w:rPr>
          <w:b/>
          <w:lang w:val="es-ES"/>
        </w:rPr>
      </w:pPr>
    </w:p>
    <w:p w14:paraId="70046E3E" w14:textId="2727A126" w:rsidR="00DF2386" w:rsidRPr="003B1483" w:rsidRDefault="00DF2386" w:rsidP="001B1F9E">
      <w:pPr>
        <w:jc w:val="right"/>
        <w:rPr>
          <w:rFonts w:cs="Arial"/>
          <w:sz w:val="28"/>
          <w:szCs w:val="28"/>
          <w:lang w:val="es-ES"/>
        </w:rPr>
      </w:pPr>
      <w:r w:rsidRPr="003B1483">
        <w:rPr>
          <w:rFonts w:cs="Arial"/>
          <w:b/>
          <w:sz w:val="28"/>
          <w:szCs w:val="28"/>
          <w:lang w:val="es-ES"/>
        </w:rPr>
        <w:t>SC5</w:t>
      </w:r>
      <w:r w:rsidR="003D352B" w:rsidRPr="003B1483">
        <w:rPr>
          <w:rFonts w:cs="Arial"/>
          <w:b/>
          <w:sz w:val="28"/>
          <w:szCs w:val="28"/>
          <w:lang w:val="es-ES"/>
        </w:rPr>
        <w:t>9</w:t>
      </w:r>
      <w:r w:rsidR="006B19ED" w:rsidRPr="003B1483">
        <w:rPr>
          <w:rFonts w:cs="Arial"/>
          <w:b/>
          <w:sz w:val="28"/>
          <w:szCs w:val="28"/>
          <w:lang w:val="es-ES"/>
        </w:rPr>
        <w:t xml:space="preserve"> Doc.</w:t>
      </w:r>
      <w:r w:rsidR="009C7F10" w:rsidRPr="003B1483">
        <w:rPr>
          <w:rFonts w:cs="Arial"/>
          <w:b/>
          <w:sz w:val="28"/>
          <w:szCs w:val="28"/>
          <w:lang w:val="es-ES"/>
        </w:rPr>
        <w:t>1</w:t>
      </w:r>
      <w:r w:rsidR="00080BE6" w:rsidRPr="003B1483">
        <w:rPr>
          <w:rFonts w:cs="Arial"/>
          <w:b/>
          <w:sz w:val="28"/>
          <w:szCs w:val="28"/>
          <w:lang w:val="es-ES"/>
        </w:rPr>
        <w:t>3</w:t>
      </w:r>
    </w:p>
    <w:p w14:paraId="750645E5" w14:textId="77777777" w:rsidR="00DF2386" w:rsidRPr="003B1483" w:rsidRDefault="00DF2386" w:rsidP="001B1F9E">
      <w:pPr>
        <w:rPr>
          <w:rFonts w:cs="Arial"/>
          <w:b/>
          <w:sz w:val="28"/>
          <w:szCs w:val="28"/>
          <w:lang w:val="es-ES"/>
        </w:rPr>
      </w:pPr>
    </w:p>
    <w:p w14:paraId="0CB44852" w14:textId="3C8EB949" w:rsidR="00DF2386" w:rsidRPr="003B1483" w:rsidRDefault="00BA777F" w:rsidP="001B1F9E">
      <w:pPr>
        <w:jc w:val="center"/>
        <w:rPr>
          <w:rFonts w:cs="Arial"/>
          <w:b/>
          <w:sz w:val="28"/>
          <w:szCs w:val="28"/>
          <w:lang w:val="es-ES"/>
        </w:rPr>
      </w:pPr>
      <w:r w:rsidRPr="003B1483">
        <w:rPr>
          <w:rFonts w:cs="Arial"/>
          <w:b/>
          <w:sz w:val="28"/>
          <w:szCs w:val="28"/>
          <w:lang w:val="es-ES"/>
        </w:rPr>
        <w:t>Examen de todas las resoluciones y decisiones anteriores</w:t>
      </w:r>
    </w:p>
    <w:p w14:paraId="7B473B71" w14:textId="77777777" w:rsidR="00DF2386" w:rsidRPr="003B1483" w:rsidRDefault="00DF2386" w:rsidP="00E815B8">
      <w:pPr>
        <w:rPr>
          <w:rFonts w:ascii="Garamond" w:hAnsi="Garamond" w:cs="Arial"/>
          <w:lang w:val="es-ES"/>
        </w:rPr>
      </w:pPr>
    </w:p>
    <w:p w14:paraId="76C04D17" w14:textId="77777777" w:rsidR="000C2489" w:rsidRPr="003B1483" w:rsidRDefault="002B0F2D" w:rsidP="00E815B8">
      <w:pPr>
        <w:autoSpaceDE w:val="0"/>
        <w:autoSpaceDN w:val="0"/>
        <w:adjustRightInd w:val="0"/>
        <w:rPr>
          <w:rFonts w:asciiTheme="minorHAnsi" w:eastAsiaTheme="minorHAnsi" w:hAnsiTheme="minorHAnsi" w:cs="Calibri-Bold"/>
          <w:b/>
          <w:bCs/>
          <w:lang w:val="es-ES"/>
        </w:rPr>
      </w:pPr>
      <w:r w:rsidRPr="003B1483">
        <w:rPr>
          <w:noProof/>
          <w:lang w:eastAsia="en-GB"/>
        </w:rPr>
        <mc:AlternateContent>
          <mc:Choice Requires="wps">
            <w:drawing>
              <wp:inline distT="0" distB="0" distL="0" distR="0" wp14:anchorId="0B6DDBB3" wp14:editId="67F4A132">
                <wp:extent cx="5731510" cy="812132"/>
                <wp:effectExtent l="0" t="0" r="889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8121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53B08" w14:textId="1C00FFC0" w:rsidR="004F73D2" w:rsidRDefault="004F73D2" w:rsidP="006462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</w:t>
                            </w:r>
                            <w:r w:rsidR="00BA777F">
                              <w:rPr>
                                <w:b/>
                                <w:bCs/>
                              </w:rPr>
                              <w:t>ciones solicitadas:</w:t>
                            </w:r>
                          </w:p>
                          <w:p w14:paraId="6E8683C3" w14:textId="77777777" w:rsidR="004F73D2" w:rsidRDefault="004F73D2" w:rsidP="006462AD">
                            <w:pPr>
                              <w:pStyle w:val="ColorfulList-Accent11"/>
                              <w:ind w:left="0"/>
                            </w:pPr>
                          </w:p>
                          <w:p w14:paraId="36700245" w14:textId="7CEBB7CA" w:rsidR="004F73D2" w:rsidRPr="00F32D03" w:rsidRDefault="00BA777F" w:rsidP="00427324">
                            <w:pPr>
                              <w:pStyle w:val="ColorfulList-Accent11"/>
                              <w:ind w:left="0" w:firstLine="0"/>
                            </w:pPr>
                            <w:r>
                              <w:t>Se invita al Comité Permanente a tomar nota del presente documento.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DDBB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1.3pt;height:6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">
                <v:textbox>
                  <w:txbxContent>
                    <w:p w14:paraId="69153B08" w14:textId="1C00FFC0" w:rsidR="004F73D2" w:rsidRDefault="004F73D2" w:rsidP="006462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</w:t>
                      </w:r>
                      <w:r w:rsidR="00BA777F">
                        <w:rPr>
                          <w:b/>
                          <w:bCs/>
                        </w:rPr>
                        <w:t>ciones solicitadas:</w:t>
                      </w:r>
                    </w:p>
                    <w:p w14:paraId="6E8683C3" w14:textId="77777777" w:rsidR="004F73D2" w:rsidRDefault="004F73D2" w:rsidP="006462AD">
                      <w:pPr>
                        <w:pStyle w:val="ColorfulList-Accent11"/>
                        <w:ind w:left="0"/>
                      </w:pPr>
                    </w:p>
                    <w:p w14:paraId="36700245" w14:textId="7CEBB7CA" w:rsidR="004F73D2" w:rsidRPr="00F32D03" w:rsidRDefault="00BA777F" w:rsidP="00427324">
                      <w:pPr>
                        <w:pStyle w:val="ColorfulList-Accent11"/>
                        <w:ind w:left="0" w:firstLine="0"/>
                      </w:pPr>
                      <w:r>
                        <w:t>Se invita al Comité Permanente a tomar nota del presente documento.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5A730D" w14:textId="77777777" w:rsidR="000C2489" w:rsidRPr="003B1483" w:rsidRDefault="000C2489" w:rsidP="00E815B8">
      <w:pPr>
        <w:ind w:left="0" w:firstLine="0"/>
        <w:rPr>
          <w:rFonts w:cs="Arial"/>
          <w:b/>
          <w:lang w:val="es-ES"/>
        </w:rPr>
      </w:pPr>
    </w:p>
    <w:p w14:paraId="0AFC91C4" w14:textId="77777777" w:rsidR="007D3ED8" w:rsidRPr="003B1483" w:rsidRDefault="007D3ED8" w:rsidP="00E815B8">
      <w:pPr>
        <w:rPr>
          <w:rFonts w:cs="Arial"/>
          <w:b/>
          <w:lang w:val="es-ES"/>
        </w:rPr>
      </w:pPr>
    </w:p>
    <w:p w14:paraId="1670D017" w14:textId="19170C40" w:rsidR="007D3ED8" w:rsidRPr="003B1483" w:rsidRDefault="005C36BD" w:rsidP="00E815B8">
      <w:pPr>
        <w:ind w:left="0" w:firstLine="0"/>
        <w:rPr>
          <w:rFonts w:cs="Arial"/>
          <w:b/>
          <w:lang w:val="es-ES"/>
        </w:rPr>
      </w:pPr>
      <w:r w:rsidRPr="003B1483">
        <w:rPr>
          <w:rFonts w:cs="Arial"/>
          <w:b/>
          <w:lang w:val="es-ES"/>
        </w:rPr>
        <w:t>Introduc</w:t>
      </w:r>
      <w:r w:rsidR="00BA777F" w:rsidRPr="003B1483">
        <w:rPr>
          <w:rFonts w:cs="Arial"/>
          <w:b/>
          <w:lang w:val="es-ES"/>
        </w:rPr>
        <w:t>ción</w:t>
      </w:r>
    </w:p>
    <w:p w14:paraId="00EBCB91" w14:textId="77777777" w:rsidR="00E90337" w:rsidRPr="003B1483" w:rsidRDefault="00E90337" w:rsidP="00E815B8">
      <w:pPr>
        <w:rPr>
          <w:rFonts w:cs="Arial"/>
          <w:b/>
          <w:lang w:val="es-ES"/>
        </w:rPr>
      </w:pPr>
    </w:p>
    <w:p w14:paraId="70ED188B" w14:textId="5A4BF59E" w:rsidR="00394567" w:rsidRPr="003B1483" w:rsidRDefault="00E90337" w:rsidP="004E2714">
      <w:pPr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1.</w:t>
      </w:r>
      <w:r w:rsidRPr="003B1483">
        <w:rPr>
          <w:rFonts w:cstheme="minorHAnsi"/>
          <w:lang w:val="es-ES"/>
        </w:rPr>
        <w:tab/>
      </w:r>
      <w:r w:rsidR="00BA777F" w:rsidRPr="003B1483">
        <w:rPr>
          <w:rFonts w:cstheme="minorHAnsi"/>
          <w:lang w:val="es-ES"/>
        </w:rPr>
        <w:t xml:space="preserve">En su 13ª reunión </w:t>
      </w:r>
      <w:r w:rsidR="00394567" w:rsidRPr="003B1483">
        <w:rPr>
          <w:rFonts w:cstheme="minorHAnsi"/>
          <w:lang w:val="es-ES"/>
        </w:rPr>
        <w:t>(</w:t>
      </w:r>
      <w:r w:rsidR="0030773C" w:rsidRPr="003B1483">
        <w:rPr>
          <w:rFonts w:cstheme="minorHAnsi"/>
          <w:lang w:val="es-ES"/>
        </w:rPr>
        <w:t xml:space="preserve">COP13, </w:t>
      </w:r>
      <w:r w:rsidR="00394567" w:rsidRPr="003B1483">
        <w:rPr>
          <w:rFonts w:cstheme="minorHAnsi"/>
          <w:lang w:val="es-ES"/>
        </w:rPr>
        <w:t>Dub</w:t>
      </w:r>
      <w:r w:rsidR="00BA777F" w:rsidRPr="003B1483">
        <w:rPr>
          <w:rFonts w:cstheme="minorHAnsi"/>
          <w:lang w:val="es-ES"/>
        </w:rPr>
        <w:t>ái</w:t>
      </w:r>
      <w:r w:rsidR="00394567" w:rsidRPr="003B1483">
        <w:rPr>
          <w:rFonts w:cstheme="minorHAnsi"/>
          <w:lang w:val="es-ES"/>
        </w:rPr>
        <w:t xml:space="preserve">, 2018), </w:t>
      </w:r>
      <w:r w:rsidR="00BA777F" w:rsidRPr="003B1483">
        <w:rPr>
          <w:rFonts w:cstheme="minorHAnsi"/>
          <w:lang w:val="es-ES"/>
        </w:rPr>
        <w:t xml:space="preserve">la Conferencia de las Partes Contratantes adoptó la Resolución </w:t>
      </w:r>
      <w:r w:rsidR="00394567" w:rsidRPr="003B1483">
        <w:rPr>
          <w:rFonts w:cstheme="minorHAnsi"/>
          <w:lang w:val="es-ES"/>
        </w:rPr>
        <w:t>XIII.4</w:t>
      </w:r>
      <w:r w:rsidR="00BA777F" w:rsidRPr="003B1483">
        <w:rPr>
          <w:rFonts w:cstheme="minorHAnsi"/>
          <w:lang w:val="es-ES"/>
        </w:rPr>
        <w:t xml:space="preserve">, </w:t>
      </w:r>
      <w:r w:rsidR="00394567" w:rsidRPr="003B1483">
        <w:rPr>
          <w:rFonts w:cstheme="minorHAnsi"/>
          <w:i/>
          <w:lang w:val="es-ES"/>
        </w:rPr>
        <w:t>R</w:t>
      </w:r>
      <w:r w:rsidR="00BA777F" w:rsidRPr="003B1483">
        <w:rPr>
          <w:rFonts w:cstheme="minorHAnsi"/>
          <w:i/>
          <w:lang w:val="es-ES"/>
        </w:rPr>
        <w:t>esponsabilidades, funciones y composición del Comité Permanente y clasificación de los países por regiones en el marco de la Convención</w:t>
      </w:r>
      <w:r w:rsidR="00394567" w:rsidRPr="003B1483">
        <w:rPr>
          <w:rFonts w:cstheme="minorHAnsi"/>
          <w:lang w:val="es-ES"/>
        </w:rPr>
        <w:t xml:space="preserve">, </w:t>
      </w:r>
      <w:r w:rsidR="008C2BA0">
        <w:rPr>
          <w:rFonts w:cstheme="minorHAnsi"/>
          <w:lang w:val="es-ES"/>
        </w:rPr>
        <w:t>que</w:t>
      </w:r>
      <w:r w:rsidR="00BA777F" w:rsidRPr="003B1483">
        <w:rPr>
          <w:rFonts w:cstheme="minorHAnsi"/>
          <w:lang w:val="es-ES"/>
        </w:rPr>
        <w:t xml:space="preserve"> incluye las siguientes peticiones en los párrafos </w:t>
      </w:r>
      <w:r w:rsidR="00394567" w:rsidRPr="003B1483">
        <w:rPr>
          <w:rFonts w:cstheme="minorHAnsi"/>
          <w:lang w:val="es-ES"/>
        </w:rPr>
        <w:t xml:space="preserve">24 </w:t>
      </w:r>
      <w:r w:rsidR="00BA777F" w:rsidRPr="003B1483">
        <w:rPr>
          <w:rFonts w:cstheme="minorHAnsi"/>
          <w:lang w:val="es-ES"/>
        </w:rPr>
        <w:t>y</w:t>
      </w:r>
      <w:r w:rsidR="00394567" w:rsidRPr="003B1483">
        <w:rPr>
          <w:rFonts w:cstheme="minorHAnsi"/>
          <w:lang w:val="es-ES"/>
        </w:rPr>
        <w:t> 25:</w:t>
      </w:r>
      <w:r w:rsidR="004E2714" w:rsidRPr="003B1483">
        <w:rPr>
          <w:rFonts w:cstheme="minorHAnsi"/>
          <w:lang w:val="es-ES"/>
        </w:rPr>
        <w:t xml:space="preserve"> </w:t>
      </w:r>
    </w:p>
    <w:p w14:paraId="52D38668" w14:textId="77777777" w:rsidR="002D7731" w:rsidRPr="003B1483" w:rsidRDefault="002D7731" w:rsidP="004E2714">
      <w:pPr>
        <w:rPr>
          <w:rFonts w:cstheme="minorHAnsi"/>
          <w:lang w:val="es-ES"/>
        </w:rPr>
      </w:pPr>
    </w:p>
    <w:p w14:paraId="17D8172E" w14:textId="2294AF00" w:rsidR="00EE20EF" w:rsidRPr="003B1483" w:rsidRDefault="00394567" w:rsidP="00526950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>24.</w:t>
      </w:r>
      <w:r w:rsidR="001C0D1A" w:rsidRPr="003B1483">
        <w:rPr>
          <w:i/>
          <w:snapToGrid w:val="0"/>
          <w:kern w:val="22"/>
          <w:lang w:val="es-ES"/>
        </w:rPr>
        <w:tab/>
      </w:r>
      <w:r w:rsidR="00BA777F" w:rsidRPr="003B1483">
        <w:rPr>
          <w:rFonts w:asciiTheme="minorHAnsi" w:hAnsiTheme="minorHAnsi"/>
          <w:i/>
          <w:snapToGrid w:val="0"/>
          <w:kern w:val="22"/>
          <w:lang w:val="es-ES"/>
        </w:rPr>
        <w:t>PIDE a la Secretaría que haga lo siguiente</w:t>
      </w:r>
      <w:r w:rsidRPr="003B1483">
        <w:rPr>
          <w:i/>
          <w:snapToGrid w:val="0"/>
          <w:kern w:val="22"/>
          <w:lang w:val="es-ES"/>
        </w:rPr>
        <w:t>:</w:t>
      </w:r>
    </w:p>
    <w:p w14:paraId="57FDF98E" w14:textId="77777777" w:rsidR="00E815B8" w:rsidRPr="003B1483" w:rsidRDefault="00E815B8" w:rsidP="00526950">
      <w:pPr>
        <w:ind w:firstLine="0"/>
        <w:rPr>
          <w:i/>
          <w:snapToGrid w:val="0"/>
          <w:kern w:val="22"/>
          <w:lang w:val="es-ES"/>
        </w:rPr>
      </w:pPr>
    </w:p>
    <w:p w14:paraId="455B9F1E" w14:textId="02169DA9" w:rsidR="00EE20EF" w:rsidRPr="003B1483" w:rsidRDefault="00394567" w:rsidP="00526950">
      <w:pPr>
        <w:ind w:left="1276"/>
        <w:rPr>
          <w:bCs/>
          <w:i/>
          <w:lang w:val="es-ES"/>
        </w:rPr>
      </w:pPr>
      <w:r w:rsidRPr="003B1483">
        <w:rPr>
          <w:i/>
          <w:lang w:val="es-ES"/>
        </w:rPr>
        <w:t>a.</w:t>
      </w:r>
      <w:r w:rsidRPr="003B1483">
        <w:rPr>
          <w:i/>
          <w:lang w:val="es-ES"/>
        </w:rPr>
        <w:tab/>
      </w:r>
      <w:r w:rsidR="00BA777F" w:rsidRPr="003B1483">
        <w:rPr>
          <w:i/>
          <w:lang w:val="es-ES"/>
        </w:rPr>
        <w:t xml:space="preserve">revisar todas las resoluciones y decisiones </w:t>
      </w:r>
      <w:r w:rsidR="003B1483" w:rsidRPr="003B1483">
        <w:rPr>
          <w:i/>
          <w:lang w:val="es-ES"/>
        </w:rPr>
        <w:t>anteriores</w:t>
      </w:r>
      <w:r w:rsidR="00BA777F" w:rsidRPr="003B1483">
        <w:rPr>
          <w:i/>
          <w:lang w:val="es-ES"/>
        </w:rPr>
        <w:t xml:space="preserve"> e identificar aquellas o las partes de las mismas, si las hubiera, que actualmente no sean válidas o aplicables, o sean contradictorias o de otro modo incoherentes con las prácticas actuales de Ramsar, e informar de sus conclusiones en la reunión SC57, incluyendo información que justifique esas conclusiones (por ejemplo, porque el trabajo ha finalizado, porque ha sido reemplazada, es contradictoria, o está incluida en otro lugar, entre otras razones); y</w:t>
      </w:r>
    </w:p>
    <w:p w14:paraId="66F41644" w14:textId="77777777" w:rsidR="00E815B8" w:rsidRPr="003B1483" w:rsidRDefault="00E815B8" w:rsidP="00526950">
      <w:pPr>
        <w:ind w:left="1276"/>
        <w:rPr>
          <w:bCs/>
          <w:i/>
          <w:lang w:val="es-ES"/>
        </w:rPr>
      </w:pPr>
    </w:p>
    <w:p w14:paraId="3D071CC6" w14:textId="04B5526A" w:rsidR="00394567" w:rsidRPr="003B1483" w:rsidRDefault="00394567" w:rsidP="00526950">
      <w:pPr>
        <w:ind w:left="1276"/>
        <w:rPr>
          <w:bCs/>
          <w:i/>
          <w:lang w:val="es-ES"/>
        </w:rPr>
      </w:pPr>
      <w:r w:rsidRPr="003B1483">
        <w:rPr>
          <w:bCs/>
          <w:i/>
          <w:lang w:val="es-ES"/>
        </w:rPr>
        <w:t>b.</w:t>
      </w:r>
      <w:r w:rsidRPr="003B1483">
        <w:rPr>
          <w:bCs/>
          <w:i/>
          <w:lang w:val="es-ES"/>
        </w:rPr>
        <w:tab/>
        <w:t>ba</w:t>
      </w:r>
      <w:r w:rsidR="00BA777F" w:rsidRPr="003B1483">
        <w:rPr>
          <w:bCs/>
          <w:i/>
          <w:lang w:val="es-ES"/>
        </w:rPr>
        <w:t xml:space="preserve">sándose en sus conclusiones y en las </w:t>
      </w:r>
      <w:r w:rsidR="003B1483" w:rsidRPr="003B1483">
        <w:rPr>
          <w:bCs/>
          <w:i/>
          <w:lang w:val="es-ES"/>
        </w:rPr>
        <w:t>observaciones</w:t>
      </w:r>
      <w:r w:rsidR="00BA777F" w:rsidRPr="003B1483">
        <w:rPr>
          <w:bCs/>
          <w:i/>
          <w:lang w:val="es-ES"/>
        </w:rPr>
        <w:t xml:space="preserve"> de las Partes sobre el informe que presente en la reunión SC57, desarrollar recomendaciones para que las examinen las Partes durante la 58ª reunión del Comité </w:t>
      </w:r>
      <w:r w:rsidR="00F23393" w:rsidRPr="003B1483">
        <w:rPr>
          <w:bCs/>
          <w:i/>
          <w:lang w:val="es-ES"/>
        </w:rPr>
        <w:t>Permanente</w:t>
      </w:r>
      <w:r w:rsidR="00BA777F" w:rsidRPr="003B1483">
        <w:rPr>
          <w:bCs/>
          <w:i/>
          <w:lang w:val="es-ES"/>
        </w:rPr>
        <w:t xml:space="preserve"> (SC58) y se planteen un procedimiento para: retirar resoluciones y decisiones obsoletas; establecer una práctica para retirar automáticamente las resoluciones y decisiones obsoletas o contradictorias cuando estas sean reemplazadas por nuevas; y preparar una lista consolidada de resoluciones y decisiones que será actualizada después de cada reunión de las Partes Contratantes y cuando sea necesario, después de las </w:t>
      </w:r>
      <w:r w:rsidR="00F23393" w:rsidRPr="003B1483">
        <w:rPr>
          <w:bCs/>
          <w:i/>
          <w:lang w:val="es-ES"/>
        </w:rPr>
        <w:t>reuniones</w:t>
      </w:r>
      <w:r w:rsidR="00BA777F" w:rsidRPr="003B1483">
        <w:rPr>
          <w:bCs/>
          <w:i/>
          <w:lang w:val="es-ES"/>
        </w:rPr>
        <w:t xml:space="preserve"> del Comité Permanente;</w:t>
      </w:r>
    </w:p>
    <w:p w14:paraId="54E7AB40" w14:textId="77777777" w:rsidR="00E815B8" w:rsidRPr="003B1483" w:rsidRDefault="00E815B8" w:rsidP="00526950">
      <w:pPr>
        <w:ind w:left="1117" w:hanging="397"/>
        <w:rPr>
          <w:i/>
          <w:lang w:val="es-ES"/>
        </w:rPr>
      </w:pPr>
    </w:p>
    <w:p w14:paraId="56A18F7D" w14:textId="188AF915" w:rsidR="00394567" w:rsidRPr="003B1483" w:rsidRDefault="00394567" w:rsidP="00526950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>25</w:t>
      </w:r>
      <w:r w:rsidR="00814FEC" w:rsidRPr="003B1483">
        <w:rPr>
          <w:i/>
          <w:snapToGrid w:val="0"/>
          <w:kern w:val="22"/>
          <w:lang w:val="es-ES"/>
        </w:rPr>
        <w:t>.</w:t>
      </w:r>
      <w:r w:rsidR="000A63C7" w:rsidRPr="003B1483">
        <w:rPr>
          <w:i/>
          <w:snapToGrid w:val="0"/>
          <w:kern w:val="22"/>
          <w:lang w:val="es-ES"/>
        </w:rPr>
        <w:tab/>
      </w:r>
      <w:r w:rsidR="00BA777F" w:rsidRPr="003B1483">
        <w:rPr>
          <w:i/>
          <w:snapToGrid w:val="0"/>
          <w:kern w:val="22"/>
          <w:lang w:val="es-ES"/>
        </w:rPr>
        <w:t xml:space="preserve">PIDE que el Comité Permanente </w:t>
      </w:r>
      <w:r w:rsidR="00F23393" w:rsidRPr="003B1483">
        <w:rPr>
          <w:i/>
          <w:snapToGrid w:val="0"/>
          <w:kern w:val="22"/>
          <w:lang w:val="es-ES"/>
        </w:rPr>
        <w:t>examine</w:t>
      </w:r>
      <w:r w:rsidR="00BA777F" w:rsidRPr="003B1483">
        <w:rPr>
          <w:i/>
          <w:snapToGrid w:val="0"/>
          <w:kern w:val="22"/>
          <w:lang w:val="es-ES"/>
        </w:rPr>
        <w:t xml:space="preserve"> en la reunión SC57 el informe de la Secretaría sobre la validez de las </w:t>
      </w:r>
      <w:r w:rsidR="00F23393" w:rsidRPr="003B1483">
        <w:rPr>
          <w:i/>
          <w:snapToGrid w:val="0"/>
          <w:kern w:val="22"/>
          <w:lang w:val="es-ES"/>
        </w:rPr>
        <w:t>resoluciones</w:t>
      </w:r>
      <w:r w:rsidR="00BA777F" w:rsidRPr="003B1483">
        <w:rPr>
          <w:i/>
          <w:snapToGrid w:val="0"/>
          <w:kern w:val="22"/>
          <w:lang w:val="es-ES"/>
        </w:rPr>
        <w:t xml:space="preserve"> y decisiones y aporte sus observaciones y considere las recomendaciones de la Secretaría sobre esta </w:t>
      </w:r>
      <w:r w:rsidR="00F23393" w:rsidRPr="003B1483">
        <w:rPr>
          <w:i/>
          <w:snapToGrid w:val="0"/>
          <w:kern w:val="22"/>
          <w:lang w:val="es-ES"/>
        </w:rPr>
        <w:t>cuestión</w:t>
      </w:r>
      <w:r w:rsidR="00BA777F" w:rsidRPr="003B1483">
        <w:rPr>
          <w:i/>
          <w:snapToGrid w:val="0"/>
          <w:kern w:val="22"/>
          <w:lang w:val="es-ES"/>
        </w:rPr>
        <w:t xml:space="preserve"> durante la reunión SC58 con el objeto de incluir en un proyecto de </w:t>
      </w:r>
      <w:r w:rsidR="00F23393" w:rsidRPr="003B1483">
        <w:rPr>
          <w:i/>
          <w:snapToGrid w:val="0"/>
          <w:kern w:val="22"/>
          <w:lang w:val="es-ES"/>
        </w:rPr>
        <w:t>resolución</w:t>
      </w:r>
      <w:r w:rsidR="00BA777F" w:rsidRPr="003B1483">
        <w:rPr>
          <w:i/>
          <w:snapToGrid w:val="0"/>
          <w:kern w:val="22"/>
          <w:lang w:val="es-ES"/>
        </w:rPr>
        <w:t xml:space="preserve"> pertinente para la COP14 la retirada de las resoluciones y decisiones obsoletas y el establecimiento de una práctica por la que la Convención reitre las resoluciones y decisiones obsoletas de manera automática cuando estas sean reemplazadas por unas nuevas;</w:t>
      </w:r>
    </w:p>
    <w:p w14:paraId="0F0A9511" w14:textId="77777777" w:rsidR="00FB5740" w:rsidRPr="003B1483" w:rsidRDefault="00FB5740" w:rsidP="001B1F9E">
      <w:pPr>
        <w:keepNext/>
        <w:rPr>
          <w:rFonts w:cstheme="minorHAnsi"/>
          <w:b/>
          <w:lang w:val="es-ES"/>
        </w:rPr>
      </w:pPr>
    </w:p>
    <w:p w14:paraId="24055ACF" w14:textId="54E0EEAD" w:rsidR="00B144D9" w:rsidRPr="003B1483" w:rsidRDefault="00FB5740" w:rsidP="00550BD4">
      <w:pPr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2.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En cumplimiento del párrafo 24.a de la Resolución </w:t>
      </w:r>
      <w:r w:rsidR="00763605" w:rsidRPr="003B1483">
        <w:rPr>
          <w:rFonts w:cstheme="minorHAnsi"/>
          <w:lang w:val="es-ES"/>
        </w:rPr>
        <w:t>X</w:t>
      </w:r>
      <w:r w:rsidR="00E23C44" w:rsidRPr="003B1483">
        <w:rPr>
          <w:rFonts w:cstheme="minorHAnsi"/>
          <w:lang w:val="es-ES"/>
        </w:rPr>
        <w:t xml:space="preserve">III.4, </w:t>
      </w:r>
      <w:r w:rsidR="00C06132" w:rsidRPr="003B1483">
        <w:rPr>
          <w:rFonts w:cstheme="minorHAnsi"/>
          <w:lang w:val="es-ES"/>
        </w:rPr>
        <w:t>en la 57ª reunión del Comité Permanente (</w:t>
      </w:r>
      <w:r w:rsidRPr="003B1483">
        <w:rPr>
          <w:rFonts w:cstheme="minorHAnsi"/>
          <w:lang w:val="es-ES"/>
        </w:rPr>
        <w:t>SC57, Gland, 2019)</w:t>
      </w:r>
      <w:r w:rsidR="00550BD4" w:rsidRPr="003B1483">
        <w:rPr>
          <w:rFonts w:cstheme="minorHAnsi"/>
          <w:lang w:val="es-ES"/>
        </w:rPr>
        <w:t xml:space="preserve">, </w:t>
      </w:r>
      <w:r w:rsidR="00C06132" w:rsidRPr="003B1483">
        <w:rPr>
          <w:rFonts w:cstheme="minorHAnsi"/>
          <w:lang w:val="es-ES"/>
        </w:rPr>
        <w:t>la Secretaría presentó el documento</w:t>
      </w:r>
      <w:r w:rsidR="00550BD4" w:rsidRPr="003B1483">
        <w:rPr>
          <w:rFonts w:cstheme="minorHAnsi"/>
          <w:lang w:val="es-ES"/>
        </w:rPr>
        <w:t xml:space="preserve"> SC57 Doc.14, </w:t>
      </w:r>
      <w:r w:rsidR="00C06132" w:rsidRPr="003B1483">
        <w:rPr>
          <w:rFonts w:cstheme="minorHAnsi"/>
          <w:i/>
          <w:lang w:val="es-ES"/>
        </w:rPr>
        <w:t>Examen de todas las resoluciones y decisiones anteriores</w:t>
      </w:r>
      <w:r w:rsidR="00921448" w:rsidRPr="003B1483">
        <w:rPr>
          <w:rFonts w:cstheme="minorHAnsi"/>
          <w:lang w:val="es-ES"/>
        </w:rPr>
        <w:t xml:space="preserve">, </w:t>
      </w:r>
      <w:r w:rsidR="00C06132" w:rsidRPr="003B1483">
        <w:rPr>
          <w:rFonts w:cstheme="minorHAnsi"/>
          <w:lang w:val="es-ES"/>
        </w:rPr>
        <w:t>en el que se recomendaba un camino a seguir basado en tres medidas a tomar por la Conferencia de las Partes:</w:t>
      </w:r>
    </w:p>
    <w:p w14:paraId="18597205" w14:textId="72CF92E3" w:rsidR="00763605" w:rsidRPr="003B1483" w:rsidRDefault="00763605" w:rsidP="00FC7684">
      <w:pPr>
        <w:tabs>
          <w:tab w:val="left" w:pos="425"/>
          <w:tab w:val="left" w:pos="851"/>
          <w:tab w:val="left" w:pos="1276"/>
        </w:tabs>
        <w:ind w:left="851" w:hanging="851"/>
        <w:rPr>
          <w:rFonts w:cs="Arial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suprimir aquellas resoluciones o recomendaciones, o partes </w:t>
      </w:r>
      <w:r w:rsidR="00F23393" w:rsidRPr="003B1483">
        <w:rPr>
          <w:rFonts w:cstheme="minorHAnsi"/>
          <w:lang w:val="es-ES"/>
        </w:rPr>
        <w:t>de</w:t>
      </w:r>
      <w:r w:rsidR="00C06132" w:rsidRPr="003B1483">
        <w:rPr>
          <w:rFonts w:cstheme="minorHAnsi"/>
          <w:lang w:val="es-ES"/>
        </w:rPr>
        <w:t xml:space="preserve"> ellas, que hayan caducado</w:t>
      </w:r>
      <w:r w:rsidRPr="003B1483">
        <w:rPr>
          <w:rFonts w:cs="Arial"/>
          <w:lang w:val="es-ES"/>
        </w:rPr>
        <w:t>;</w:t>
      </w:r>
    </w:p>
    <w:p w14:paraId="1DC0A0DC" w14:textId="4F45D6D3" w:rsidR="00763605" w:rsidRPr="003B1483" w:rsidRDefault="00763605" w:rsidP="00FC7684">
      <w:pPr>
        <w:tabs>
          <w:tab w:val="left" w:pos="425"/>
          <w:tab w:val="left" w:pos="851"/>
          <w:tab w:val="left" w:pos="1276"/>
        </w:tabs>
        <w:ind w:left="851" w:hanging="851"/>
        <w:rPr>
          <w:rFonts w:cs="Arial"/>
          <w:lang w:val="es-ES"/>
        </w:rPr>
      </w:pPr>
      <w:r w:rsidRPr="003B1483">
        <w:rPr>
          <w:rFonts w:cs="Arial"/>
          <w:lang w:val="es-ES"/>
        </w:rPr>
        <w:tab/>
        <w:t>-</w:t>
      </w:r>
      <w:r w:rsidRPr="003B1483">
        <w:rPr>
          <w:rFonts w:cs="Arial"/>
          <w:lang w:val="es-ES"/>
        </w:rPr>
        <w:tab/>
      </w:r>
      <w:r w:rsidRPr="003B1483">
        <w:rPr>
          <w:rFonts w:cstheme="minorHAnsi"/>
          <w:lang w:val="es-ES"/>
        </w:rPr>
        <w:t>consolida</w:t>
      </w:r>
      <w:r w:rsidR="00C06132" w:rsidRPr="003B1483">
        <w:rPr>
          <w:rFonts w:cstheme="minorHAnsi"/>
          <w:lang w:val="es-ES"/>
        </w:rPr>
        <w:t>r las resoluciones y recomendaciones, o partes de ellas, que traten del mismo tema</w:t>
      </w:r>
      <w:r w:rsidRPr="003B1483">
        <w:rPr>
          <w:rFonts w:cs="Arial"/>
          <w:lang w:val="es-ES"/>
        </w:rPr>
        <w:t xml:space="preserve">; </w:t>
      </w:r>
      <w:r w:rsidR="00C06132" w:rsidRPr="003B1483">
        <w:rPr>
          <w:rFonts w:cs="Arial"/>
          <w:lang w:val="es-ES"/>
        </w:rPr>
        <w:t>y</w:t>
      </w:r>
    </w:p>
    <w:p w14:paraId="3EDFD410" w14:textId="6F447C98" w:rsidR="00763605" w:rsidRPr="003B1483" w:rsidRDefault="00763605" w:rsidP="00FC7684">
      <w:pPr>
        <w:tabs>
          <w:tab w:val="left" w:pos="425"/>
          <w:tab w:val="left" w:pos="851"/>
          <w:tab w:val="left" w:pos="1276"/>
        </w:tabs>
        <w:ind w:left="851" w:hanging="851"/>
        <w:rPr>
          <w:rFonts w:cstheme="minorHAnsi"/>
          <w:lang w:val="es-ES"/>
        </w:rPr>
      </w:pPr>
      <w:r w:rsidRPr="003B1483">
        <w:rPr>
          <w:rFonts w:cs="Arial"/>
          <w:lang w:val="es-ES"/>
        </w:rPr>
        <w:tab/>
        <w:t>-</w:t>
      </w:r>
      <w:r w:rsidRPr="003B1483">
        <w:rPr>
          <w:rFonts w:cs="Arial"/>
          <w:lang w:val="es-ES"/>
        </w:rPr>
        <w:tab/>
      </w:r>
      <w:r w:rsidR="00C06132" w:rsidRPr="003B1483">
        <w:rPr>
          <w:rFonts w:cs="Arial"/>
          <w:lang w:val="es-ES"/>
        </w:rPr>
        <w:t xml:space="preserve">estudiar la mejor manera de registrar sus decisiones en el futuro, para garantizar que, una vez finalizado </w:t>
      </w:r>
      <w:r w:rsidR="00EA41E7">
        <w:rPr>
          <w:rFonts w:cs="Arial"/>
          <w:lang w:val="es-ES"/>
        </w:rPr>
        <w:t>e</w:t>
      </w:r>
      <w:r w:rsidR="00C06132" w:rsidRPr="003B1483">
        <w:rPr>
          <w:rFonts w:cs="Arial"/>
          <w:lang w:val="es-ES"/>
        </w:rPr>
        <w:t xml:space="preserve">l proceso de examen, la comprensión y </w:t>
      </w:r>
      <w:r w:rsidR="00F23393" w:rsidRPr="003B1483">
        <w:rPr>
          <w:rFonts w:cs="Arial"/>
          <w:lang w:val="es-ES"/>
        </w:rPr>
        <w:t>aplicación</w:t>
      </w:r>
      <w:r w:rsidR="00C06132" w:rsidRPr="003B1483">
        <w:rPr>
          <w:rFonts w:cs="Arial"/>
          <w:lang w:val="es-ES"/>
        </w:rPr>
        <w:t xml:space="preserve"> de las </w:t>
      </w:r>
      <w:r w:rsidR="00F23393" w:rsidRPr="003B1483">
        <w:rPr>
          <w:rFonts w:cs="Arial"/>
          <w:lang w:val="es-ES"/>
        </w:rPr>
        <w:t>resoluciones</w:t>
      </w:r>
      <w:r w:rsidR="00C06132" w:rsidRPr="003B1483">
        <w:rPr>
          <w:rFonts w:cs="Arial"/>
          <w:lang w:val="es-ES"/>
        </w:rPr>
        <w:t xml:space="preserve"> no vuelvan a ser más difíciles de lo necesario</w:t>
      </w:r>
      <w:r w:rsidR="00DF5CDF" w:rsidRPr="003B1483">
        <w:rPr>
          <w:rFonts w:cs="Arial"/>
          <w:lang w:val="es-ES"/>
        </w:rPr>
        <w:t>.</w:t>
      </w:r>
    </w:p>
    <w:p w14:paraId="58E0BE34" w14:textId="76D7170D" w:rsidR="00845EF9" w:rsidRPr="003B1483" w:rsidRDefault="00845EF9" w:rsidP="00550BD4">
      <w:pPr>
        <w:rPr>
          <w:rFonts w:cstheme="minorHAnsi"/>
          <w:lang w:val="es-ES"/>
        </w:rPr>
      </w:pPr>
    </w:p>
    <w:p w14:paraId="349C46F5" w14:textId="046309C9" w:rsidR="00E23C44" w:rsidRPr="003B1483" w:rsidRDefault="00E23C44" w:rsidP="00550BD4">
      <w:pPr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3.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Tras haber deliberado sobre ese documento, el Comité Permanente adoptó la </w:t>
      </w:r>
      <w:r w:rsidR="00F23393" w:rsidRPr="003B1483">
        <w:rPr>
          <w:rFonts w:cstheme="minorHAnsi"/>
          <w:lang w:val="es-ES"/>
        </w:rPr>
        <w:t>Decisión</w:t>
      </w:r>
      <w:r w:rsidR="00C06132" w:rsidRPr="003B1483">
        <w:rPr>
          <w:rFonts w:cstheme="minorHAnsi"/>
          <w:lang w:val="es-ES"/>
        </w:rPr>
        <w:t xml:space="preserve"> </w:t>
      </w:r>
      <w:r w:rsidRPr="003B1483">
        <w:rPr>
          <w:rFonts w:cstheme="minorHAnsi"/>
          <w:lang w:val="es-ES"/>
        </w:rPr>
        <w:t>SC57-19</w:t>
      </w:r>
      <w:r w:rsidR="00C06132" w:rsidRPr="003B1483">
        <w:rPr>
          <w:rFonts w:cstheme="minorHAnsi"/>
          <w:lang w:val="es-ES"/>
        </w:rPr>
        <w:t>, que reza así:</w:t>
      </w:r>
    </w:p>
    <w:p w14:paraId="7998FB1C" w14:textId="7CE64E7D" w:rsidR="00845EF9" w:rsidRPr="003B1483" w:rsidRDefault="00845EF9" w:rsidP="00550BD4">
      <w:pPr>
        <w:rPr>
          <w:rFonts w:cstheme="minorHAnsi"/>
          <w:lang w:val="es-ES"/>
        </w:rPr>
      </w:pPr>
    </w:p>
    <w:p w14:paraId="2A5E1237" w14:textId="0C5B7DDB" w:rsidR="00845EF9" w:rsidRPr="003B1483" w:rsidRDefault="00E23C44" w:rsidP="00E23C44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ab/>
      </w:r>
      <w:r w:rsidR="00C06132" w:rsidRPr="003B1483">
        <w:rPr>
          <w:i/>
          <w:snapToGrid w:val="0"/>
          <w:kern w:val="22"/>
          <w:lang w:val="es-ES"/>
        </w:rPr>
        <w:t xml:space="preserve">El Comité Permanente encargó a la Secretaría que agrupara de forma preliminar las resoluciones existentes en las </w:t>
      </w:r>
      <w:r w:rsidR="00F23393" w:rsidRPr="003B1483">
        <w:rPr>
          <w:i/>
          <w:snapToGrid w:val="0"/>
          <w:kern w:val="22"/>
          <w:lang w:val="es-ES"/>
        </w:rPr>
        <w:t>principales</w:t>
      </w:r>
      <w:r w:rsidR="00C06132" w:rsidRPr="003B1483">
        <w:rPr>
          <w:i/>
          <w:snapToGrid w:val="0"/>
          <w:kern w:val="22"/>
          <w:lang w:val="es-ES"/>
        </w:rPr>
        <w:t xml:space="preserve"> </w:t>
      </w:r>
      <w:r w:rsidR="00F23393" w:rsidRPr="003B1483">
        <w:rPr>
          <w:i/>
          <w:snapToGrid w:val="0"/>
          <w:kern w:val="22"/>
          <w:lang w:val="es-ES"/>
        </w:rPr>
        <w:t>áreas</w:t>
      </w:r>
      <w:r w:rsidR="00C06132" w:rsidRPr="003B1483">
        <w:rPr>
          <w:i/>
          <w:snapToGrid w:val="0"/>
          <w:kern w:val="22"/>
          <w:lang w:val="es-ES"/>
        </w:rPr>
        <w:t xml:space="preserve"> temáticas, </w:t>
      </w:r>
      <w:r w:rsidR="00F23393" w:rsidRPr="003B1483">
        <w:rPr>
          <w:i/>
          <w:snapToGrid w:val="0"/>
          <w:kern w:val="22"/>
          <w:lang w:val="es-ES"/>
        </w:rPr>
        <w:t>identificando</w:t>
      </w:r>
      <w:r w:rsidR="00C06132" w:rsidRPr="003B1483">
        <w:rPr>
          <w:i/>
          <w:snapToGrid w:val="0"/>
          <w:kern w:val="22"/>
          <w:lang w:val="es-ES"/>
        </w:rPr>
        <w:t xml:space="preserve"> posibles ámbitos </w:t>
      </w:r>
      <w:r w:rsidR="00F23393" w:rsidRPr="003B1483">
        <w:rPr>
          <w:i/>
          <w:snapToGrid w:val="0"/>
          <w:kern w:val="22"/>
          <w:lang w:val="es-ES"/>
        </w:rPr>
        <w:t>prioritarios</w:t>
      </w:r>
      <w:r w:rsidR="00C06132" w:rsidRPr="003B1483">
        <w:rPr>
          <w:i/>
          <w:snapToGrid w:val="0"/>
          <w:kern w:val="22"/>
          <w:lang w:val="es-ES"/>
        </w:rPr>
        <w:t xml:space="preserve"> para actuaciones ulteriores con arreglo a la priorización de los desafíos urgentes que se realizaría en el punto 8 del orden </w:t>
      </w:r>
      <w:r w:rsidR="00F23393" w:rsidRPr="003B1483">
        <w:rPr>
          <w:i/>
          <w:snapToGrid w:val="0"/>
          <w:kern w:val="22"/>
          <w:lang w:val="es-ES"/>
        </w:rPr>
        <w:t>del</w:t>
      </w:r>
      <w:r w:rsidR="00C06132" w:rsidRPr="003B1483">
        <w:rPr>
          <w:i/>
          <w:snapToGrid w:val="0"/>
          <w:kern w:val="22"/>
          <w:lang w:val="es-ES"/>
        </w:rPr>
        <w:t xml:space="preserve"> día, a fin de presentarlos entre </w:t>
      </w:r>
      <w:r w:rsidR="00F23393" w:rsidRPr="003B1483">
        <w:rPr>
          <w:i/>
          <w:snapToGrid w:val="0"/>
          <w:kern w:val="22"/>
          <w:lang w:val="es-ES"/>
        </w:rPr>
        <w:t>períodos</w:t>
      </w:r>
      <w:r w:rsidR="00C06132" w:rsidRPr="003B1483">
        <w:rPr>
          <w:i/>
          <w:snapToGrid w:val="0"/>
          <w:kern w:val="22"/>
          <w:lang w:val="es-ES"/>
        </w:rPr>
        <w:t xml:space="preserve"> de sesiones, junto con asesoramiento sobre la capacidad necesaria para avanzar en este proceso, a un grupo compuesto por los Estados Unidos de América, los Países Bajos, Suecia y la Presidencia del GECT para que este los </w:t>
      </w:r>
      <w:r w:rsidR="00C06132" w:rsidRPr="00EA41E7">
        <w:rPr>
          <w:i/>
          <w:snapToGrid w:val="0"/>
          <w:kern w:val="22"/>
          <w:lang w:val="es-ES"/>
        </w:rPr>
        <w:t>examine</w:t>
      </w:r>
      <w:r w:rsidR="00C06132" w:rsidRPr="003B1483">
        <w:rPr>
          <w:i/>
          <w:snapToGrid w:val="0"/>
          <w:kern w:val="22"/>
          <w:lang w:val="es-ES"/>
        </w:rPr>
        <w:t>.</w:t>
      </w:r>
    </w:p>
    <w:p w14:paraId="340A7924" w14:textId="10D62755" w:rsidR="00845EF9" w:rsidRPr="003B1483" w:rsidRDefault="00845EF9" w:rsidP="00550BD4">
      <w:pPr>
        <w:rPr>
          <w:rFonts w:cstheme="minorHAnsi"/>
          <w:lang w:val="es-ES"/>
        </w:rPr>
      </w:pPr>
    </w:p>
    <w:p w14:paraId="72267A8B" w14:textId="3FB8ED74" w:rsidR="000660C8" w:rsidRPr="003B1483" w:rsidRDefault="00B44F86" w:rsidP="00A53B2A">
      <w:pPr>
        <w:tabs>
          <w:tab w:val="left" w:pos="425"/>
          <w:tab w:val="left" w:pos="851"/>
          <w:tab w:val="left" w:pos="1276"/>
        </w:tabs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4</w:t>
      </w:r>
      <w:r w:rsidR="000D4E44" w:rsidRPr="003B1483">
        <w:rPr>
          <w:rFonts w:cstheme="minorHAnsi"/>
          <w:lang w:val="es-ES"/>
        </w:rPr>
        <w:t>.</w:t>
      </w:r>
      <w:r w:rsidR="009514E6"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La Secretaría solicitó la opinión del grupo consultivo sobre la manera de proceder para aplicar las instrucciones </w:t>
      </w:r>
      <w:r w:rsidR="00EA41E7">
        <w:rPr>
          <w:rFonts w:cstheme="minorHAnsi"/>
          <w:lang w:val="es-ES"/>
        </w:rPr>
        <w:t xml:space="preserve">dadas </w:t>
      </w:r>
      <w:r w:rsidR="00C06132" w:rsidRPr="003B1483">
        <w:rPr>
          <w:rFonts w:cstheme="minorHAnsi"/>
          <w:lang w:val="es-ES"/>
        </w:rPr>
        <w:t xml:space="preserve">a la Secretaría en la Resolución </w:t>
      </w:r>
      <w:r w:rsidR="00A13541" w:rsidRPr="003B1483">
        <w:rPr>
          <w:rFonts w:cstheme="minorHAnsi"/>
          <w:lang w:val="es-ES"/>
        </w:rPr>
        <w:t>XIII.4.</w:t>
      </w:r>
      <w:r w:rsidR="0030773C" w:rsidRPr="003B1483">
        <w:rPr>
          <w:rFonts w:cstheme="minorHAnsi"/>
          <w:lang w:val="es-ES"/>
        </w:rPr>
        <w:t xml:space="preserve"> </w:t>
      </w:r>
      <w:r w:rsidR="00EA41E7">
        <w:rPr>
          <w:rFonts w:cstheme="minorHAnsi"/>
          <w:lang w:val="es-ES"/>
        </w:rPr>
        <w:t>S</w:t>
      </w:r>
      <w:r w:rsidR="00EA41E7" w:rsidRPr="003B1483">
        <w:rPr>
          <w:rFonts w:cstheme="minorHAnsi"/>
          <w:lang w:val="es-ES"/>
        </w:rPr>
        <w:t xml:space="preserve">e tuvo en cuenta </w:t>
      </w:r>
      <w:r w:rsidR="00EA41E7">
        <w:rPr>
          <w:rFonts w:cstheme="minorHAnsi"/>
          <w:lang w:val="es-ES"/>
        </w:rPr>
        <w:t>e</w:t>
      </w:r>
      <w:r w:rsidR="00C06132" w:rsidRPr="003B1483">
        <w:rPr>
          <w:rFonts w:cstheme="minorHAnsi"/>
          <w:lang w:val="es-ES"/>
        </w:rPr>
        <w:t xml:space="preserve">sa opinión en la preparación del documento </w:t>
      </w:r>
      <w:r w:rsidR="00526481" w:rsidRPr="003B1483">
        <w:rPr>
          <w:rFonts w:cstheme="minorHAnsi"/>
          <w:lang w:val="es-ES"/>
        </w:rPr>
        <w:t>SC58 Doc</w:t>
      </w:r>
      <w:r w:rsidR="002F5271" w:rsidRPr="003B1483">
        <w:rPr>
          <w:rFonts w:cstheme="minorHAnsi"/>
          <w:lang w:val="es-ES"/>
        </w:rPr>
        <w:t>.</w:t>
      </w:r>
      <w:r w:rsidR="00526481" w:rsidRPr="003B1483">
        <w:rPr>
          <w:rFonts w:cstheme="minorHAnsi"/>
          <w:lang w:val="es-ES"/>
        </w:rPr>
        <w:t>13</w:t>
      </w:r>
      <w:r w:rsidR="001040F2" w:rsidRPr="003B1483">
        <w:rPr>
          <w:rFonts w:cstheme="minorHAnsi"/>
          <w:lang w:val="es-ES"/>
        </w:rPr>
        <w:t xml:space="preserve">, </w:t>
      </w:r>
      <w:r w:rsidR="00C06132" w:rsidRPr="003B1483">
        <w:rPr>
          <w:rFonts w:cstheme="minorHAnsi"/>
          <w:lang w:val="es-ES"/>
        </w:rPr>
        <w:t xml:space="preserve">que </w:t>
      </w:r>
      <w:r w:rsidR="00EA41E7">
        <w:rPr>
          <w:rFonts w:cstheme="minorHAnsi"/>
          <w:lang w:val="es-ES"/>
        </w:rPr>
        <w:t xml:space="preserve">se presentó </w:t>
      </w:r>
      <w:r w:rsidR="00C06132" w:rsidRPr="003B1483">
        <w:rPr>
          <w:rFonts w:cstheme="minorHAnsi"/>
          <w:lang w:val="es-ES"/>
        </w:rPr>
        <w:t xml:space="preserve">en la </w:t>
      </w:r>
      <w:r w:rsidR="00F23393" w:rsidRPr="003B1483">
        <w:rPr>
          <w:rFonts w:cstheme="minorHAnsi"/>
          <w:lang w:val="es-ES"/>
        </w:rPr>
        <w:t>reunión</w:t>
      </w:r>
      <w:r w:rsidR="00C06132" w:rsidRPr="003B1483">
        <w:rPr>
          <w:rFonts w:cstheme="minorHAnsi"/>
          <w:lang w:val="es-ES"/>
        </w:rPr>
        <w:t xml:space="preserve"> </w:t>
      </w:r>
      <w:r w:rsidR="00526481" w:rsidRPr="003B1483">
        <w:rPr>
          <w:rFonts w:cstheme="minorHAnsi"/>
          <w:lang w:val="es-ES"/>
        </w:rPr>
        <w:t>SC58</w:t>
      </w:r>
      <w:r w:rsidR="00C06132" w:rsidRPr="003B1483">
        <w:rPr>
          <w:rFonts w:cstheme="minorHAnsi"/>
          <w:lang w:val="es-ES"/>
        </w:rPr>
        <w:t xml:space="preserve"> en junio de 20</w:t>
      </w:r>
      <w:r w:rsidR="00526481" w:rsidRPr="003B1483">
        <w:rPr>
          <w:rFonts w:cstheme="minorHAnsi"/>
          <w:lang w:val="es-ES"/>
        </w:rPr>
        <w:t xml:space="preserve">20. </w:t>
      </w:r>
      <w:r w:rsidR="00C06132" w:rsidRPr="003B1483">
        <w:rPr>
          <w:rFonts w:cstheme="minorHAnsi"/>
          <w:lang w:val="es-ES"/>
        </w:rPr>
        <w:t>Ese documento contenía lo siguiente:</w:t>
      </w:r>
    </w:p>
    <w:p w14:paraId="461147D7" w14:textId="7F7D8252" w:rsidR="00606044" w:rsidRPr="003B1483" w:rsidRDefault="00606044" w:rsidP="00A53B2A">
      <w:pPr>
        <w:tabs>
          <w:tab w:val="left" w:pos="425"/>
          <w:tab w:val="left" w:pos="851"/>
          <w:tab w:val="left" w:pos="1276"/>
        </w:tabs>
        <w:ind w:left="851" w:hanging="851"/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A73F63" w:rsidRPr="003B1483">
        <w:rPr>
          <w:rFonts w:cstheme="minorHAnsi"/>
          <w:lang w:val="es-ES"/>
        </w:rPr>
        <w:t>Recomendaciones</w:t>
      </w:r>
      <w:r w:rsidR="00C06132" w:rsidRPr="003B1483">
        <w:rPr>
          <w:rFonts w:cstheme="minorHAnsi"/>
          <w:lang w:val="es-ES"/>
        </w:rPr>
        <w:t xml:space="preserve"> sobre un procedimiento para aplicar las </w:t>
      </w:r>
      <w:r w:rsidR="00A73F63" w:rsidRPr="003B1483">
        <w:rPr>
          <w:rFonts w:cstheme="minorHAnsi"/>
          <w:lang w:val="es-ES"/>
        </w:rPr>
        <w:t>instrucciones</w:t>
      </w:r>
      <w:r w:rsidR="00C06132" w:rsidRPr="003B1483">
        <w:rPr>
          <w:rFonts w:cstheme="minorHAnsi"/>
          <w:lang w:val="es-ES"/>
        </w:rPr>
        <w:t xml:space="preserve"> de la Conferencia de las Partes contenidas en la Resolución</w:t>
      </w:r>
      <w:r w:rsidRPr="003B1483">
        <w:rPr>
          <w:rFonts w:cstheme="minorHAnsi"/>
          <w:lang w:val="es-ES"/>
        </w:rPr>
        <w:t xml:space="preserve"> </w:t>
      </w:r>
      <w:r w:rsidR="00DF5CDF" w:rsidRPr="003B1483">
        <w:rPr>
          <w:rFonts w:cstheme="minorHAnsi"/>
          <w:lang w:val="es-ES"/>
        </w:rPr>
        <w:t>X</w:t>
      </w:r>
      <w:r w:rsidRPr="003B1483">
        <w:rPr>
          <w:rFonts w:cstheme="minorHAnsi"/>
          <w:lang w:val="es-ES"/>
        </w:rPr>
        <w:t>III.4;</w:t>
      </w:r>
    </w:p>
    <w:p w14:paraId="552EED1A" w14:textId="17B468A2" w:rsidR="00D75FF5" w:rsidRPr="003B1483" w:rsidRDefault="00606044" w:rsidP="00A53B2A">
      <w:pPr>
        <w:tabs>
          <w:tab w:val="left" w:pos="425"/>
          <w:tab w:val="left" w:pos="851"/>
          <w:tab w:val="left" w:pos="1276"/>
        </w:tabs>
        <w:ind w:left="851" w:hanging="851"/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El Anexo </w:t>
      </w:r>
      <w:r w:rsidR="00D75FF5" w:rsidRPr="003B1483">
        <w:rPr>
          <w:rFonts w:cstheme="minorHAnsi"/>
          <w:lang w:val="es-ES"/>
        </w:rPr>
        <w:t xml:space="preserve">1, </w:t>
      </w:r>
      <w:r w:rsidR="00C06132" w:rsidRPr="003B1483">
        <w:rPr>
          <w:rFonts w:cstheme="minorHAnsi"/>
          <w:lang w:val="es-ES"/>
        </w:rPr>
        <w:t xml:space="preserve">en el que se </w:t>
      </w:r>
      <w:r w:rsidR="003441C0">
        <w:rPr>
          <w:rFonts w:cstheme="minorHAnsi"/>
          <w:lang w:val="es-ES"/>
        </w:rPr>
        <w:t xml:space="preserve">propone </w:t>
      </w:r>
      <w:r w:rsidR="00C06132" w:rsidRPr="003B1483">
        <w:rPr>
          <w:rFonts w:cstheme="minorHAnsi"/>
          <w:lang w:val="es-ES"/>
        </w:rPr>
        <w:t xml:space="preserve">una </w:t>
      </w:r>
      <w:r w:rsidR="003441C0">
        <w:rPr>
          <w:rFonts w:cstheme="minorHAnsi"/>
          <w:lang w:val="es-ES"/>
        </w:rPr>
        <w:t xml:space="preserve">categorización </w:t>
      </w:r>
      <w:r w:rsidR="00C06132" w:rsidRPr="003B1483">
        <w:rPr>
          <w:rFonts w:cstheme="minorHAnsi"/>
          <w:lang w:val="es-ES"/>
        </w:rPr>
        <w:t xml:space="preserve">de las </w:t>
      </w:r>
      <w:r w:rsidR="00A73F63" w:rsidRPr="003B1483">
        <w:rPr>
          <w:rFonts w:cstheme="minorHAnsi"/>
          <w:lang w:val="es-ES"/>
        </w:rPr>
        <w:t>resoluciones</w:t>
      </w:r>
      <w:r w:rsidR="00C06132" w:rsidRPr="003B1483">
        <w:rPr>
          <w:rFonts w:cstheme="minorHAnsi"/>
          <w:lang w:val="es-ES"/>
        </w:rPr>
        <w:t xml:space="preserve"> y recomendaciones de la Conferencia de las Partes Contratantes </w:t>
      </w:r>
      <w:r w:rsidR="00D75FF5" w:rsidRPr="003B1483">
        <w:rPr>
          <w:rFonts w:cstheme="minorHAnsi"/>
          <w:lang w:val="es-ES"/>
        </w:rPr>
        <w:t xml:space="preserve">(27 </w:t>
      </w:r>
      <w:r w:rsidR="00A73F63" w:rsidRPr="003B1483">
        <w:rPr>
          <w:rFonts w:cstheme="minorHAnsi"/>
          <w:lang w:val="es-ES"/>
        </w:rPr>
        <w:t>páginas</w:t>
      </w:r>
      <w:r w:rsidR="00C06132" w:rsidRPr="003B1483">
        <w:rPr>
          <w:rFonts w:cstheme="minorHAnsi"/>
          <w:lang w:val="es-ES"/>
        </w:rPr>
        <w:t xml:space="preserve">), según se </w:t>
      </w:r>
      <w:r w:rsidR="00A73F63" w:rsidRPr="003B1483">
        <w:rPr>
          <w:rFonts w:cstheme="minorHAnsi"/>
          <w:lang w:val="es-ES"/>
        </w:rPr>
        <w:t>solicita</w:t>
      </w:r>
      <w:r w:rsidR="003441C0">
        <w:rPr>
          <w:rFonts w:cstheme="minorHAnsi"/>
          <w:lang w:val="es-ES"/>
        </w:rPr>
        <w:t>ba</w:t>
      </w:r>
      <w:r w:rsidR="00C06132" w:rsidRPr="003B1483">
        <w:rPr>
          <w:rFonts w:cstheme="minorHAnsi"/>
          <w:lang w:val="es-ES"/>
        </w:rPr>
        <w:t xml:space="preserve"> en la Decisión </w:t>
      </w:r>
      <w:r w:rsidR="00DF5CDF" w:rsidRPr="003B1483">
        <w:rPr>
          <w:rFonts w:cstheme="minorHAnsi"/>
          <w:lang w:val="es-ES"/>
        </w:rPr>
        <w:t>SC57-19</w:t>
      </w:r>
      <w:r w:rsidR="00D75FF5" w:rsidRPr="003B1483">
        <w:rPr>
          <w:rFonts w:cstheme="minorHAnsi"/>
          <w:lang w:val="es-ES"/>
        </w:rPr>
        <w:t xml:space="preserve">; </w:t>
      </w:r>
      <w:r w:rsidR="00C06132" w:rsidRPr="003B1483">
        <w:rPr>
          <w:rFonts w:cstheme="minorHAnsi"/>
          <w:lang w:val="es-ES"/>
        </w:rPr>
        <w:t>y</w:t>
      </w:r>
    </w:p>
    <w:p w14:paraId="04484399" w14:textId="5BFB51C1" w:rsidR="00E4184D" w:rsidRPr="003B1483" w:rsidRDefault="00D75FF5" w:rsidP="00A53B2A">
      <w:pPr>
        <w:tabs>
          <w:tab w:val="left" w:pos="425"/>
          <w:tab w:val="left" w:pos="851"/>
          <w:tab w:val="left" w:pos="1276"/>
        </w:tabs>
        <w:ind w:left="851" w:hanging="851"/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El </w:t>
      </w:r>
      <w:r w:rsidRPr="003B1483">
        <w:rPr>
          <w:rFonts w:cstheme="minorHAnsi"/>
          <w:lang w:val="es-ES"/>
        </w:rPr>
        <w:t>An</w:t>
      </w:r>
      <w:r w:rsidR="00C06132" w:rsidRPr="003B1483">
        <w:rPr>
          <w:rFonts w:cstheme="minorHAnsi"/>
          <w:lang w:val="es-ES"/>
        </w:rPr>
        <w:t>exo</w:t>
      </w:r>
      <w:r w:rsidRPr="003B1483">
        <w:rPr>
          <w:rFonts w:cstheme="minorHAnsi"/>
          <w:lang w:val="es-ES"/>
        </w:rPr>
        <w:t xml:space="preserve"> 2, </w:t>
      </w:r>
      <w:r w:rsidR="00C06132" w:rsidRPr="003B1483">
        <w:rPr>
          <w:rFonts w:cstheme="minorHAnsi"/>
          <w:lang w:val="es-ES"/>
        </w:rPr>
        <w:t xml:space="preserve">en el que se presenta un proyecto de resolución consolidada sobre “Inventarios” con una explicación del </w:t>
      </w:r>
      <w:r w:rsidR="003441C0">
        <w:rPr>
          <w:rFonts w:cstheme="minorHAnsi"/>
          <w:lang w:val="es-ES"/>
        </w:rPr>
        <w:t>procedimiento</w:t>
      </w:r>
      <w:r w:rsidR="00C06132" w:rsidRPr="003B1483">
        <w:rPr>
          <w:rFonts w:cstheme="minorHAnsi"/>
          <w:lang w:val="es-ES"/>
        </w:rPr>
        <w:t xml:space="preserve"> seguido (13 páginas) como </w:t>
      </w:r>
      <w:r w:rsidR="00A73F63" w:rsidRPr="003B1483">
        <w:rPr>
          <w:rFonts w:cstheme="minorHAnsi"/>
          <w:lang w:val="es-ES"/>
        </w:rPr>
        <w:t>estudio</w:t>
      </w:r>
      <w:r w:rsidR="00C06132" w:rsidRPr="003B1483">
        <w:rPr>
          <w:rFonts w:cstheme="minorHAnsi"/>
          <w:lang w:val="es-ES"/>
        </w:rPr>
        <w:t xml:space="preserve"> piloto, según se había acordado con el grupo consultivo</w:t>
      </w:r>
      <w:r w:rsidR="006A4718" w:rsidRPr="003B1483">
        <w:rPr>
          <w:rFonts w:cstheme="minorHAnsi"/>
          <w:lang w:val="es-ES"/>
        </w:rPr>
        <w:t>.</w:t>
      </w:r>
    </w:p>
    <w:p w14:paraId="7498A36E" w14:textId="1D5A597B" w:rsidR="00E4184D" w:rsidRPr="003B1483" w:rsidRDefault="00E4184D" w:rsidP="008E09B1">
      <w:pPr>
        <w:rPr>
          <w:rFonts w:cstheme="minorHAnsi"/>
          <w:lang w:val="es-ES"/>
        </w:rPr>
      </w:pPr>
    </w:p>
    <w:p w14:paraId="2E27876C" w14:textId="0B3F9A74" w:rsidR="006A4718" w:rsidRPr="003B1483" w:rsidRDefault="006A4718" w:rsidP="008E09B1">
      <w:pPr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5.</w:t>
      </w:r>
      <w:r w:rsidRPr="003B1483">
        <w:rPr>
          <w:rFonts w:cstheme="minorHAnsi"/>
          <w:lang w:val="es-ES"/>
        </w:rPr>
        <w:tab/>
      </w:r>
      <w:r w:rsidR="00C06132" w:rsidRPr="003B1483">
        <w:rPr>
          <w:rFonts w:cstheme="minorHAnsi"/>
          <w:lang w:val="es-ES"/>
        </w:rPr>
        <w:t xml:space="preserve">Tras las </w:t>
      </w:r>
      <w:r w:rsidR="003441C0">
        <w:rPr>
          <w:rFonts w:cstheme="minorHAnsi"/>
          <w:lang w:val="es-ES"/>
        </w:rPr>
        <w:t xml:space="preserve">deliberaciones </w:t>
      </w:r>
      <w:r w:rsidR="00C06132" w:rsidRPr="003B1483">
        <w:rPr>
          <w:rFonts w:cstheme="minorHAnsi"/>
          <w:lang w:val="es-ES"/>
        </w:rPr>
        <w:t xml:space="preserve">que tuvieron lugar en la </w:t>
      </w:r>
      <w:r w:rsidR="00A73F63" w:rsidRPr="003B1483">
        <w:rPr>
          <w:rFonts w:cstheme="minorHAnsi"/>
          <w:lang w:val="es-ES"/>
        </w:rPr>
        <w:t>reunión</w:t>
      </w:r>
      <w:r w:rsidR="00C06132" w:rsidRPr="003B1483">
        <w:rPr>
          <w:rFonts w:cstheme="minorHAnsi"/>
          <w:lang w:val="es-ES"/>
        </w:rPr>
        <w:t xml:space="preserve"> </w:t>
      </w:r>
      <w:r w:rsidR="001D78C2" w:rsidRPr="003B1483">
        <w:rPr>
          <w:rFonts w:cstheme="minorHAnsi"/>
          <w:lang w:val="es-ES"/>
        </w:rPr>
        <w:t xml:space="preserve">SC58, </w:t>
      </w:r>
      <w:r w:rsidR="00C06132" w:rsidRPr="003B1483">
        <w:rPr>
          <w:rFonts w:cstheme="minorHAnsi"/>
          <w:lang w:val="es-ES"/>
        </w:rPr>
        <w:t xml:space="preserve">el </w:t>
      </w:r>
      <w:r w:rsidR="003441C0">
        <w:rPr>
          <w:rFonts w:cstheme="minorHAnsi"/>
          <w:lang w:val="es-ES"/>
        </w:rPr>
        <w:t>C</w:t>
      </w:r>
      <w:r w:rsidR="00C06132" w:rsidRPr="003B1483">
        <w:rPr>
          <w:rFonts w:cstheme="minorHAnsi"/>
          <w:lang w:val="es-ES"/>
        </w:rPr>
        <w:t xml:space="preserve">omité Permanente adoptó las siguientes </w:t>
      </w:r>
      <w:r w:rsidR="00A73F63" w:rsidRPr="003B1483">
        <w:rPr>
          <w:rFonts w:cstheme="minorHAnsi"/>
          <w:lang w:val="es-ES"/>
        </w:rPr>
        <w:t>decisiones</w:t>
      </w:r>
      <w:r w:rsidR="001D78C2" w:rsidRPr="003B1483">
        <w:rPr>
          <w:rFonts w:cstheme="minorHAnsi"/>
          <w:lang w:val="es-ES"/>
        </w:rPr>
        <w:t>:</w:t>
      </w:r>
    </w:p>
    <w:p w14:paraId="41DA52B2" w14:textId="77777777" w:rsidR="00A03D79" w:rsidRPr="003B1483" w:rsidRDefault="00A03D79" w:rsidP="008E09B1">
      <w:pPr>
        <w:rPr>
          <w:rFonts w:cstheme="minorHAnsi"/>
          <w:lang w:val="es-ES"/>
        </w:rPr>
      </w:pPr>
    </w:p>
    <w:p w14:paraId="57550FF8" w14:textId="1DE8B205" w:rsidR="00E4184D" w:rsidRPr="003B1483" w:rsidRDefault="00A03D79" w:rsidP="00A03D79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ab/>
      </w:r>
      <w:r w:rsidR="003441C0" w:rsidRPr="003441C0">
        <w:rPr>
          <w:i/>
          <w:snapToGrid w:val="0"/>
          <w:kern w:val="22"/>
          <w:lang w:val="es-ES"/>
        </w:rPr>
        <w:t>Decisión</w:t>
      </w:r>
      <w:r w:rsidR="00E4184D" w:rsidRPr="003B1483">
        <w:rPr>
          <w:i/>
          <w:snapToGrid w:val="0"/>
          <w:kern w:val="22"/>
          <w:lang w:val="es-ES"/>
        </w:rPr>
        <w:t xml:space="preserve"> SC58-19: </w:t>
      </w:r>
      <w:r w:rsidR="00C06132" w:rsidRPr="003B1483">
        <w:rPr>
          <w:i/>
          <w:snapToGrid w:val="0"/>
          <w:kern w:val="22"/>
          <w:lang w:val="es-ES"/>
        </w:rPr>
        <w:t xml:space="preserve">El Comité Permanente decide que, en consulta con el grupo </w:t>
      </w:r>
      <w:r w:rsidR="00A73F63" w:rsidRPr="003B1483">
        <w:rPr>
          <w:i/>
          <w:snapToGrid w:val="0"/>
          <w:kern w:val="22"/>
          <w:lang w:val="es-ES"/>
        </w:rPr>
        <w:t>consultivo</w:t>
      </w:r>
      <w:r w:rsidR="00C06132" w:rsidRPr="003B1483">
        <w:rPr>
          <w:i/>
          <w:snapToGrid w:val="0"/>
          <w:kern w:val="22"/>
          <w:lang w:val="es-ES"/>
        </w:rPr>
        <w:t xml:space="preserve"> del Comité Permanente sobre el examen de las resoluciones y </w:t>
      </w:r>
      <w:r w:rsidR="00A73F63" w:rsidRPr="003B1483">
        <w:rPr>
          <w:i/>
          <w:snapToGrid w:val="0"/>
          <w:kern w:val="22"/>
          <w:lang w:val="es-ES"/>
        </w:rPr>
        <w:t>decisiones</w:t>
      </w:r>
      <w:r w:rsidR="00C06132" w:rsidRPr="003B1483">
        <w:rPr>
          <w:i/>
          <w:snapToGrid w:val="0"/>
          <w:kern w:val="22"/>
          <w:lang w:val="es-ES"/>
        </w:rPr>
        <w:t xml:space="preserve"> del Comité Permanente, la Secretaría </w:t>
      </w:r>
      <w:r w:rsidR="000B466C" w:rsidRPr="003B1483">
        <w:rPr>
          <w:i/>
          <w:snapToGrid w:val="0"/>
          <w:kern w:val="22"/>
          <w:lang w:val="es-ES"/>
        </w:rPr>
        <w:t xml:space="preserve">debería preparar los </w:t>
      </w:r>
      <w:r w:rsidR="00A73F63" w:rsidRPr="003B1483">
        <w:rPr>
          <w:i/>
          <w:snapToGrid w:val="0"/>
          <w:kern w:val="22"/>
          <w:lang w:val="es-ES"/>
        </w:rPr>
        <w:t>siguientes</w:t>
      </w:r>
      <w:r w:rsidR="000B466C" w:rsidRPr="003B1483">
        <w:rPr>
          <w:i/>
          <w:snapToGrid w:val="0"/>
          <w:kern w:val="22"/>
          <w:lang w:val="es-ES"/>
        </w:rPr>
        <w:t xml:space="preserve"> documentos para que los examine el Comité en su 59ª reunión y, si procede, se sometan, a la consideración de la </w:t>
      </w:r>
      <w:r w:rsidR="00E4184D" w:rsidRPr="003B1483">
        <w:rPr>
          <w:i/>
          <w:snapToGrid w:val="0"/>
          <w:kern w:val="22"/>
          <w:lang w:val="es-ES"/>
        </w:rPr>
        <w:t>COP14:</w:t>
      </w:r>
    </w:p>
    <w:p w14:paraId="75527EB9" w14:textId="72311421" w:rsidR="00E4184D" w:rsidRPr="003B1483" w:rsidRDefault="00A03D79" w:rsidP="00A03D79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ab/>
      </w:r>
      <w:r w:rsidR="00E4184D" w:rsidRPr="003B1483">
        <w:rPr>
          <w:i/>
          <w:snapToGrid w:val="0"/>
          <w:kern w:val="22"/>
          <w:lang w:val="es-ES"/>
        </w:rPr>
        <w:t>i.</w:t>
      </w:r>
      <w:r w:rsidR="00E4184D" w:rsidRPr="003B1483">
        <w:rPr>
          <w:i/>
          <w:snapToGrid w:val="0"/>
          <w:kern w:val="22"/>
          <w:lang w:val="es-ES"/>
        </w:rPr>
        <w:tab/>
      </w:r>
      <w:r w:rsidR="000B466C" w:rsidRPr="003B1483">
        <w:rPr>
          <w:i/>
          <w:snapToGrid w:val="0"/>
          <w:kern w:val="22"/>
          <w:lang w:val="es-ES"/>
        </w:rPr>
        <w:t xml:space="preserve">un proyecto de lista de todas las </w:t>
      </w:r>
      <w:r w:rsidR="00A73F63" w:rsidRPr="003B1483">
        <w:rPr>
          <w:i/>
          <w:snapToGrid w:val="0"/>
          <w:kern w:val="22"/>
          <w:lang w:val="es-ES"/>
        </w:rPr>
        <w:t>resoluciones</w:t>
      </w:r>
      <w:r w:rsidR="000B466C" w:rsidRPr="003B1483">
        <w:rPr>
          <w:i/>
          <w:snapToGrid w:val="0"/>
          <w:kern w:val="22"/>
          <w:lang w:val="es-ES"/>
        </w:rPr>
        <w:t xml:space="preserve"> existentes que ya no son aplicables y deberían ser </w:t>
      </w:r>
      <w:r w:rsidR="00A73F63" w:rsidRPr="003B1483">
        <w:rPr>
          <w:i/>
          <w:snapToGrid w:val="0"/>
          <w:kern w:val="22"/>
          <w:lang w:val="es-ES"/>
        </w:rPr>
        <w:t>eliminadas</w:t>
      </w:r>
      <w:r w:rsidR="000B466C" w:rsidRPr="003B1483">
        <w:rPr>
          <w:i/>
          <w:snapToGrid w:val="0"/>
          <w:kern w:val="22"/>
          <w:lang w:val="es-ES"/>
        </w:rPr>
        <w:t xml:space="preserve"> de la lista de </w:t>
      </w:r>
      <w:r w:rsidR="00A73F63" w:rsidRPr="003B1483">
        <w:rPr>
          <w:i/>
          <w:snapToGrid w:val="0"/>
          <w:kern w:val="22"/>
          <w:lang w:val="es-ES"/>
        </w:rPr>
        <w:t>resoluciones</w:t>
      </w:r>
      <w:r w:rsidR="000B466C" w:rsidRPr="003B1483">
        <w:rPr>
          <w:i/>
          <w:snapToGrid w:val="0"/>
          <w:kern w:val="22"/>
          <w:lang w:val="es-ES"/>
        </w:rPr>
        <w:t xml:space="preserve"> válidas;</w:t>
      </w:r>
    </w:p>
    <w:p w14:paraId="78D4730B" w14:textId="7A77CD49" w:rsidR="00E4184D" w:rsidRPr="003B1483" w:rsidRDefault="00A03D79" w:rsidP="00A03D79">
      <w:pPr>
        <w:ind w:left="850"/>
        <w:rPr>
          <w:i/>
          <w:snapToGrid w:val="0"/>
          <w:kern w:val="22"/>
          <w:lang w:val="es-ES"/>
        </w:rPr>
      </w:pPr>
      <w:r w:rsidRPr="003B1483">
        <w:rPr>
          <w:i/>
          <w:snapToGrid w:val="0"/>
          <w:kern w:val="22"/>
          <w:lang w:val="es-ES"/>
        </w:rPr>
        <w:tab/>
      </w:r>
      <w:r w:rsidR="00E4184D" w:rsidRPr="003B1483">
        <w:rPr>
          <w:i/>
          <w:snapToGrid w:val="0"/>
          <w:kern w:val="22"/>
          <w:lang w:val="es-ES"/>
        </w:rPr>
        <w:t>ii. </w:t>
      </w:r>
      <w:r w:rsidR="00E4184D" w:rsidRPr="003B1483">
        <w:rPr>
          <w:i/>
          <w:snapToGrid w:val="0"/>
          <w:kern w:val="22"/>
          <w:lang w:val="es-ES"/>
        </w:rPr>
        <w:tab/>
      </w:r>
      <w:r w:rsidR="000B466C" w:rsidRPr="003B1483">
        <w:rPr>
          <w:i/>
          <w:snapToGrid w:val="0"/>
          <w:kern w:val="22"/>
          <w:lang w:val="es-ES"/>
        </w:rPr>
        <w:t xml:space="preserve">un </w:t>
      </w:r>
      <w:r w:rsidR="00A73F63" w:rsidRPr="003B1483">
        <w:rPr>
          <w:i/>
          <w:snapToGrid w:val="0"/>
          <w:kern w:val="22"/>
          <w:lang w:val="es-ES"/>
        </w:rPr>
        <w:t>proyecto</w:t>
      </w:r>
      <w:r w:rsidR="000B466C" w:rsidRPr="003B1483">
        <w:rPr>
          <w:i/>
          <w:snapToGrid w:val="0"/>
          <w:kern w:val="22"/>
          <w:lang w:val="es-ES"/>
        </w:rPr>
        <w:t xml:space="preserve"> de orientación para las Partes, las </w:t>
      </w:r>
      <w:r w:rsidR="00A73F63" w:rsidRPr="003B1483">
        <w:rPr>
          <w:i/>
          <w:snapToGrid w:val="0"/>
          <w:kern w:val="22"/>
          <w:lang w:val="es-ES"/>
        </w:rPr>
        <w:t>presidencias</w:t>
      </w:r>
      <w:r w:rsidR="000B466C" w:rsidRPr="003B1483">
        <w:rPr>
          <w:i/>
          <w:snapToGrid w:val="0"/>
          <w:kern w:val="22"/>
          <w:lang w:val="es-ES"/>
        </w:rPr>
        <w:t xml:space="preserve"> de los comités, los grupos y otros órganos de la Convención y la </w:t>
      </w:r>
      <w:r w:rsidR="00A73F63" w:rsidRPr="003B1483">
        <w:rPr>
          <w:i/>
          <w:snapToGrid w:val="0"/>
          <w:kern w:val="22"/>
          <w:lang w:val="es-ES"/>
        </w:rPr>
        <w:t>Secretaría</w:t>
      </w:r>
      <w:r w:rsidR="000B466C" w:rsidRPr="003B1483">
        <w:rPr>
          <w:i/>
          <w:snapToGrid w:val="0"/>
          <w:kern w:val="22"/>
          <w:lang w:val="es-ES"/>
        </w:rPr>
        <w:t xml:space="preserve">, para especificar cómo se </w:t>
      </w:r>
      <w:r w:rsidR="00A73F63" w:rsidRPr="003B1483">
        <w:rPr>
          <w:i/>
          <w:snapToGrid w:val="0"/>
          <w:kern w:val="22"/>
          <w:lang w:val="es-ES"/>
        </w:rPr>
        <w:t>deben</w:t>
      </w:r>
      <w:r w:rsidR="000B466C" w:rsidRPr="003B1483">
        <w:rPr>
          <w:i/>
          <w:snapToGrid w:val="0"/>
          <w:kern w:val="22"/>
          <w:lang w:val="es-ES"/>
        </w:rPr>
        <w:t xml:space="preserve"> redactar, </w:t>
      </w:r>
      <w:r w:rsidR="00A73F63" w:rsidRPr="003B1483">
        <w:rPr>
          <w:i/>
          <w:snapToGrid w:val="0"/>
          <w:kern w:val="22"/>
          <w:lang w:val="es-ES"/>
        </w:rPr>
        <w:t>adoptar</w:t>
      </w:r>
      <w:r w:rsidR="000B466C" w:rsidRPr="003B1483">
        <w:rPr>
          <w:i/>
          <w:snapToGrid w:val="0"/>
          <w:kern w:val="22"/>
          <w:lang w:val="es-ES"/>
        </w:rPr>
        <w:t xml:space="preserve"> y archivar las </w:t>
      </w:r>
      <w:r w:rsidR="00A73F63" w:rsidRPr="003B1483">
        <w:rPr>
          <w:i/>
          <w:snapToGrid w:val="0"/>
          <w:kern w:val="22"/>
          <w:lang w:val="es-ES"/>
        </w:rPr>
        <w:t>resoluciones</w:t>
      </w:r>
      <w:r w:rsidR="000B466C" w:rsidRPr="003B1483">
        <w:rPr>
          <w:i/>
          <w:snapToGrid w:val="0"/>
          <w:kern w:val="22"/>
          <w:lang w:val="es-ES"/>
        </w:rPr>
        <w:t xml:space="preserve"> en el futuro, para garantizar que el derecho indicativo de la Convención siga siendo claro, accesible y </w:t>
      </w:r>
      <w:r w:rsidR="00A73F63" w:rsidRPr="003B1483">
        <w:rPr>
          <w:i/>
          <w:snapToGrid w:val="0"/>
          <w:kern w:val="22"/>
          <w:lang w:val="es-ES"/>
        </w:rPr>
        <w:t>fácil</w:t>
      </w:r>
      <w:r w:rsidR="000B466C" w:rsidRPr="003B1483">
        <w:rPr>
          <w:i/>
          <w:snapToGrid w:val="0"/>
          <w:kern w:val="22"/>
          <w:lang w:val="es-ES"/>
        </w:rPr>
        <w:t xml:space="preserve"> de utilizar para asuntos con </w:t>
      </w:r>
      <w:r w:rsidR="00A73F63" w:rsidRPr="003B1483">
        <w:rPr>
          <w:i/>
          <w:snapToGrid w:val="0"/>
          <w:kern w:val="22"/>
          <w:lang w:val="es-ES"/>
        </w:rPr>
        <w:t>múltiples</w:t>
      </w:r>
      <w:r w:rsidR="000B466C" w:rsidRPr="003B1483">
        <w:rPr>
          <w:i/>
          <w:snapToGrid w:val="0"/>
          <w:kern w:val="22"/>
          <w:lang w:val="es-ES"/>
        </w:rPr>
        <w:t xml:space="preserve"> </w:t>
      </w:r>
      <w:r w:rsidR="00A73F63">
        <w:rPr>
          <w:i/>
          <w:snapToGrid w:val="0"/>
          <w:kern w:val="22"/>
          <w:lang w:val="es-ES"/>
        </w:rPr>
        <w:t>resoluciones y rec</w:t>
      </w:r>
      <w:r w:rsidR="00A73F63" w:rsidRPr="003B1483">
        <w:rPr>
          <w:i/>
          <w:snapToGrid w:val="0"/>
          <w:kern w:val="22"/>
          <w:lang w:val="es-ES"/>
        </w:rPr>
        <w:t>omendaciones</w:t>
      </w:r>
      <w:r w:rsidR="000B466C" w:rsidRPr="003B1483">
        <w:rPr>
          <w:i/>
          <w:snapToGrid w:val="0"/>
          <w:kern w:val="22"/>
          <w:lang w:val="es-ES"/>
        </w:rPr>
        <w:t xml:space="preserve"> anteriores de la COP.</w:t>
      </w:r>
    </w:p>
    <w:p w14:paraId="094E664F" w14:textId="77777777" w:rsidR="00E4184D" w:rsidRPr="003B1483" w:rsidRDefault="00E4184D" w:rsidP="00A03D79">
      <w:pPr>
        <w:ind w:left="850"/>
        <w:rPr>
          <w:i/>
          <w:snapToGrid w:val="0"/>
          <w:kern w:val="22"/>
          <w:lang w:val="es-ES"/>
        </w:rPr>
      </w:pPr>
    </w:p>
    <w:p w14:paraId="1FB79B2D" w14:textId="4E17E154" w:rsidR="00E4184D" w:rsidRPr="003B1483" w:rsidRDefault="00A03D79" w:rsidP="00A03D79">
      <w:pPr>
        <w:ind w:left="850"/>
        <w:rPr>
          <w:rFonts w:cstheme="minorHAnsi"/>
          <w:b/>
          <w:lang w:val="es-ES"/>
        </w:rPr>
      </w:pPr>
      <w:r w:rsidRPr="003B1483">
        <w:rPr>
          <w:i/>
          <w:snapToGrid w:val="0"/>
          <w:kern w:val="22"/>
          <w:lang w:val="es-ES"/>
        </w:rPr>
        <w:tab/>
      </w:r>
      <w:r w:rsidR="00A73F63" w:rsidRPr="003B1483">
        <w:rPr>
          <w:i/>
          <w:snapToGrid w:val="0"/>
          <w:kern w:val="22"/>
          <w:lang w:val="es-ES"/>
        </w:rPr>
        <w:t>Decisión</w:t>
      </w:r>
      <w:r w:rsidR="00E4184D" w:rsidRPr="003B1483">
        <w:rPr>
          <w:i/>
          <w:snapToGrid w:val="0"/>
          <w:kern w:val="22"/>
          <w:lang w:val="es-ES"/>
        </w:rPr>
        <w:t xml:space="preserve"> SC58-20: </w:t>
      </w:r>
      <w:r w:rsidR="000B466C" w:rsidRPr="003B1483">
        <w:rPr>
          <w:i/>
          <w:snapToGrid w:val="0"/>
          <w:kern w:val="22"/>
          <w:lang w:val="es-ES"/>
        </w:rPr>
        <w:t xml:space="preserve">El Comité </w:t>
      </w:r>
      <w:r w:rsidR="00A73F63" w:rsidRPr="003B1483">
        <w:rPr>
          <w:i/>
          <w:snapToGrid w:val="0"/>
          <w:kern w:val="22"/>
          <w:lang w:val="es-ES"/>
        </w:rPr>
        <w:t>Permanente</w:t>
      </w:r>
      <w:r w:rsidR="000B466C" w:rsidRPr="003B1483">
        <w:rPr>
          <w:i/>
          <w:snapToGrid w:val="0"/>
          <w:kern w:val="22"/>
          <w:lang w:val="es-ES"/>
        </w:rPr>
        <w:t xml:space="preserve"> pidió a la Secretaría que incorporara los comentarios recibidos de las Partes mediante el 10 de julio de 2020 en una propuesta revisada de resolución </w:t>
      </w:r>
      <w:r w:rsidR="00A73F63" w:rsidRPr="003B1483">
        <w:rPr>
          <w:i/>
          <w:snapToGrid w:val="0"/>
          <w:kern w:val="22"/>
          <w:lang w:val="es-ES"/>
        </w:rPr>
        <w:t>consolidada</w:t>
      </w:r>
      <w:r w:rsidR="000B466C" w:rsidRPr="003B1483">
        <w:rPr>
          <w:i/>
          <w:snapToGrid w:val="0"/>
          <w:kern w:val="22"/>
          <w:lang w:val="es-ES"/>
        </w:rPr>
        <w:t xml:space="preserve"> sobre “Inventarios”, tal y como se encuentra en el Anexo 2 del </w:t>
      </w:r>
      <w:r w:rsidR="00E4184D" w:rsidRPr="003B1483">
        <w:rPr>
          <w:i/>
          <w:snapToGrid w:val="0"/>
          <w:kern w:val="22"/>
          <w:lang w:val="es-ES"/>
        </w:rPr>
        <w:t xml:space="preserve">SC58 Doc.13 </w:t>
      </w:r>
      <w:r w:rsidR="000B466C" w:rsidRPr="003B1483">
        <w:rPr>
          <w:i/>
          <w:snapToGrid w:val="0"/>
          <w:kern w:val="22"/>
          <w:lang w:val="es-ES"/>
        </w:rPr>
        <w:t xml:space="preserve">para utilizarlo como modelo en la preparación de futuras propuestas de resolución </w:t>
      </w:r>
      <w:r w:rsidR="00A73F63" w:rsidRPr="003B1483">
        <w:rPr>
          <w:i/>
          <w:snapToGrid w:val="0"/>
          <w:kern w:val="22"/>
          <w:lang w:val="es-ES"/>
        </w:rPr>
        <w:t>consolidada</w:t>
      </w:r>
      <w:r w:rsidR="000B466C" w:rsidRPr="003B1483">
        <w:rPr>
          <w:i/>
          <w:snapToGrid w:val="0"/>
          <w:kern w:val="22"/>
          <w:lang w:val="es-ES"/>
        </w:rPr>
        <w:t xml:space="preserve"> </w:t>
      </w:r>
      <w:r w:rsidR="00A73F63" w:rsidRPr="003B1483">
        <w:rPr>
          <w:i/>
          <w:snapToGrid w:val="0"/>
          <w:kern w:val="22"/>
          <w:lang w:val="es-ES"/>
        </w:rPr>
        <w:t>según</w:t>
      </w:r>
      <w:r w:rsidR="000B466C" w:rsidRPr="003B1483">
        <w:rPr>
          <w:i/>
          <w:snapToGrid w:val="0"/>
          <w:kern w:val="22"/>
          <w:lang w:val="es-ES"/>
        </w:rPr>
        <w:t xml:space="preserve"> las </w:t>
      </w:r>
      <w:r w:rsidR="00A73F63" w:rsidRPr="003B1483">
        <w:rPr>
          <w:i/>
          <w:snapToGrid w:val="0"/>
          <w:kern w:val="22"/>
          <w:lang w:val="es-ES"/>
        </w:rPr>
        <w:t>instrucciones</w:t>
      </w:r>
      <w:r w:rsidR="000B466C" w:rsidRPr="003B1483">
        <w:rPr>
          <w:i/>
          <w:snapToGrid w:val="0"/>
          <w:kern w:val="22"/>
          <w:lang w:val="es-ES"/>
        </w:rPr>
        <w:t xml:space="preserve"> </w:t>
      </w:r>
      <w:r w:rsidR="00A73F63" w:rsidRPr="003B1483">
        <w:rPr>
          <w:i/>
          <w:snapToGrid w:val="0"/>
          <w:kern w:val="22"/>
          <w:lang w:val="es-ES"/>
        </w:rPr>
        <w:t>del</w:t>
      </w:r>
      <w:r w:rsidR="000B466C" w:rsidRPr="003B1483">
        <w:rPr>
          <w:i/>
          <w:snapToGrid w:val="0"/>
          <w:kern w:val="22"/>
          <w:lang w:val="es-ES"/>
        </w:rPr>
        <w:t xml:space="preserve"> Comité Permanente.</w:t>
      </w:r>
    </w:p>
    <w:p w14:paraId="69038D99" w14:textId="77777777" w:rsidR="00CC7A56" w:rsidRPr="003B1483" w:rsidRDefault="00CC7A56" w:rsidP="00FB5740">
      <w:pPr>
        <w:rPr>
          <w:rFonts w:cstheme="minorHAnsi"/>
          <w:lang w:val="es-ES"/>
        </w:rPr>
      </w:pPr>
    </w:p>
    <w:p w14:paraId="41E0150A" w14:textId="006BDF06" w:rsidR="00D71F0B" w:rsidRPr="003B1483" w:rsidRDefault="00A03D79" w:rsidP="00A03D79">
      <w:pPr>
        <w:ind w:left="850"/>
        <w:rPr>
          <w:rFonts w:cstheme="minorHAnsi"/>
          <w:i/>
          <w:iCs/>
          <w:lang w:val="es-ES"/>
        </w:rPr>
      </w:pPr>
      <w:r w:rsidRPr="003B1483">
        <w:rPr>
          <w:rFonts w:cstheme="minorHAnsi"/>
          <w:lang w:val="es-ES"/>
        </w:rPr>
        <w:tab/>
      </w:r>
      <w:r w:rsidR="00A73F63" w:rsidRPr="003B1483">
        <w:rPr>
          <w:i/>
          <w:snapToGrid w:val="0"/>
          <w:kern w:val="22"/>
          <w:lang w:val="es-ES"/>
        </w:rPr>
        <w:t>Decisión</w:t>
      </w:r>
      <w:r w:rsidR="00526481" w:rsidRPr="003B1483">
        <w:rPr>
          <w:i/>
          <w:snapToGrid w:val="0"/>
          <w:kern w:val="22"/>
          <w:lang w:val="es-ES"/>
        </w:rPr>
        <w:t xml:space="preserve"> SC58-21</w:t>
      </w:r>
      <w:r w:rsidR="00D71F0B" w:rsidRPr="003B1483">
        <w:rPr>
          <w:i/>
          <w:snapToGrid w:val="0"/>
          <w:kern w:val="22"/>
          <w:lang w:val="es-ES"/>
        </w:rPr>
        <w:t>:</w:t>
      </w:r>
      <w:r w:rsidRPr="003B1483">
        <w:rPr>
          <w:i/>
          <w:snapToGrid w:val="0"/>
          <w:kern w:val="22"/>
          <w:lang w:val="es-ES"/>
        </w:rPr>
        <w:t xml:space="preserve"> </w:t>
      </w:r>
      <w:r w:rsidR="000B466C" w:rsidRPr="003B1483">
        <w:rPr>
          <w:i/>
          <w:snapToGrid w:val="0"/>
          <w:kern w:val="22"/>
          <w:lang w:val="es-ES"/>
        </w:rPr>
        <w:t xml:space="preserve">El </w:t>
      </w:r>
      <w:r w:rsidR="00A73F63" w:rsidRPr="003B1483">
        <w:rPr>
          <w:i/>
          <w:snapToGrid w:val="0"/>
          <w:kern w:val="22"/>
          <w:lang w:val="es-ES"/>
        </w:rPr>
        <w:t>Comité Permanente</w:t>
      </w:r>
      <w:r w:rsidR="000B466C" w:rsidRPr="003B1483">
        <w:rPr>
          <w:i/>
          <w:snapToGrid w:val="0"/>
          <w:kern w:val="22"/>
          <w:lang w:val="es-ES"/>
        </w:rPr>
        <w:t xml:space="preserve"> pidió a la Secretaría que </w:t>
      </w:r>
      <w:r w:rsidR="00A73F63" w:rsidRPr="003B1483">
        <w:rPr>
          <w:i/>
          <w:snapToGrid w:val="0"/>
          <w:kern w:val="22"/>
          <w:lang w:val="es-ES"/>
        </w:rPr>
        <w:t>preparara</w:t>
      </w:r>
      <w:r w:rsidR="000B466C" w:rsidRPr="003B1483">
        <w:rPr>
          <w:i/>
          <w:snapToGrid w:val="0"/>
          <w:kern w:val="22"/>
          <w:lang w:val="es-ES"/>
        </w:rPr>
        <w:t xml:space="preserve"> un documento revisado</w:t>
      </w:r>
      <w:r w:rsidR="00685573" w:rsidRPr="003B1483">
        <w:rPr>
          <w:i/>
          <w:snapToGrid w:val="0"/>
          <w:kern w:val="22"/>
          <w:lang w:val="es-ES"/>
        </w:rPr>
        <w:t xml:space="preserve"> (SC58 Doc</w:t>
      </w:r>
      <w:r w:rsidR="00D71F0B" w:rsidRPr="003B1483">
        <w:rPr>
          <w:i/>
          <w:snapToGrid w:val="0"/>
          <w:kern w:val="22"/>
          <w:lang w:val="es-ES"/>
        </w:rPr>
        <w:t>.</w:t>
      </w:r>
      <w:r w:rsidR="00685573" w:rsidRPr="003B1483">
        <w:rPr>
          <w:i/>
          <w:snapToGrid w:val="0"/>
          <w:kern w:val="22"/>
          <w:lang w:val="es-ES"/>
        </w:rPr>
        <w:t xml:space="preserve">13) </w:t>
      </w:r>
      <w:r w:rsidR="000B466C" w:rsidRPr="003B1483">
        <w:rPr>
          <w:i/>
          <w:snapToGrid w:val="0"/>
          <w:kern w:val="22"/>
          <w:lang w:val="es-ES"/>
        </w:rPr>
        <w:t xml:space="preserve">con el grupo consultivo </w:t>
      </w:r>
      <w:r w:rsidR="00A73F63" w:rsidRPr="003B1483">
        <w:rPr>
          <w:i/>
          <w:snapToGrid w:val="0"/>
          <w:kern w:val="22"/>
          <w:lang w:val="es-ES"/>
        </w:rPr>
        <w:t>para</w:t>
      </w:r>
      <w:r w:rsidR="000B466C" w:rsidRPr="003B1483">
        <w:rPr>
          <w:i/>
          <w:snapToGrid w:val="0"/>
          <w:kern w:val="22"/>
          <w:lang w:val="es-ES"/>
        </w:rPr>
        <w:t xml:space="preserve"> </w:t>
      </w:r>
      <w:r w:rsidR="00A73F63" w:rsidRPr="003B1483">
        <w:rPr>
          <w:i/>
          <w:snapToGrid w:val="0"/>
          <w:kern w:val="22"/>
          <w:lang w:val="es-ES"/>
        </w:rPr>
        <w:t>presentarlo</w:t>
      </w:r>
      <w:r w:rsidR="000B466C" w:rsidRPr="003B1483">
        <w:rPr>
          <w:i/>
          <w:snapToGrid w:val="0"/>
          <w:kern w:val="22"/>
          <w:lang w:val="es-ES"/>
        </w:rPr>
        <w:t xml:space="preserve"> en la reunión </w:t>
      </w:r>
      <w:r w:rsidR="00685573" w:rsidRPr="003B1483">
        <w:rPr>
          <w:i/>
          <w:snapToGrid w:val="0"/>
          <w:kern w:val="22"/>
          <w:lang w:val="es-ES"/>
        </w:rPr>
        <w:t xml:space="preserve">SC58 </w:t>
      </w:r>
      <w:r w:rsidR="000B466C" w:rsidRPr="003B1483">
        <w:rPr>
          <w:i/>
          <w:snapToGrid w:val="0"/>
          <w:kern w:val="22"/>
          <w:lang w:val="es-ES"/>
        </w:rPr>
        <w:t xml:space="preserve">en octubre de 2020, prestando la debida atención a la información recibida de las Partes Contratantes sobre el enfoque para aplicar la </w:t>
      </w:r>
      <w:r w:rsidR="00A73F63">
        <w:rPr>
          <w:i/>
          <w:snapToGrid w:val="0"/>
          <w:kern w:val="22"/>
          <w:lang w:val="es-ES"/>
        </w:rPr>
        <w:t>Decisión</w:t>
      </w:r>
      <w:r w:rsidR="000B466C" w:rsidRPr="003B1483">
        <w:rPr>
          <w:i/>
          <w:snapToGrid w:val="0"/>
          <w:kern w:val="22"/>
          <w:lang w:val="es-ES"/>
        </w:rPr>
        <w:t xml:space="preserve"> </w:t>
      </w:r>
      <w:r w:rsidR="00FF3444" w:rsidRPr="003B1483">
        <w:rPr>
          <w:i/>
          <w:snapToGrid w:val="0"/>
          <w:kern w:val="22"/>
          <w:lang w:val="es-ES"/>
        </w:rPr>
        <w:t>SC57-19</w:t>
      </w:r>
      <w:r w:rsidR="000B466C" w:rsidRPr="003B1483">
        <w:rPr>
          <w:i/>
          <w:snapToGrid w:val="0"/>
          <w:kern w:val="22"/>
          <w:lang w:val="es-ES"/>
        </w:rPr>
        <w:t xml:space="preserve"> del Comité Permanente, y solicitara orientaciones al grupo consultivo de las Partes </w:t>
      </w:r>
      <w:r w:rsidR="00A73F63" w:rsidRPr="003B1483">
        <w:rPr>
          <w:i/>
          <w:snapToGrid w:val="0"/>
          <w:kern w:val="22"/>
          <w:lang w:val="es-ES"/>
        </w:rPr>
        <w:t>Contratantes</w:t>
      </w:r>
      <w:r w:rsidR="000B466C" w:rsidRPr="003B1483">
        <w:rPr>
          <w:i/>
          <w:snapToGrid w:val="0"/>
          <w:kern w:val="22"/>
          <w:lang w:val="es-ES"/>
        </w:rPr>
        <w:t xml:space="preserve"> interesadas sobre su </w:t>
      </w:r>
      <w:r w:rsidR="00A73F63" w:rsidRPr="003B1483">
        <w:rPr>
          <w:i/>
          <w:snapToGrid w:val="0"/>
          <w:kern w:val="22"/>
          <w:lang w:val="es-ES"/>
        </w:rPr>
        <w:t>posible</w:t>
      </w:r>
      <w:r w:rsidR="000B466C" w:rsidRPr="003B1483">
        <w:rPr>
          <w:i/>
          <w:snapToGrid w:val="0"/>
          <w:kern w:val="22"/>
          <w:lang w:val="es-ES"/>
        </w:rPr>
        <w:t xml:space="preserve"> modificación, antes de la reunión</w:t>
      </w:r>
      <w:r w:rsidR="00FF3444" w:rsidRPr="003B1483">
        <w:rPr>
          <w:i/>
          <w:snapToGrid w:val="0"/>
          <w:kern w:val="22"/>
          <w:lang w:val="es-ES"/>
        </w:rPr>
        <w:t xml:space="preserve"> SC58, </w:t>
      </w:r>
      <w:r w:rsidR="000B466C" w:rsidRPr="003B1483">
        <w:rPr>
          <w:i/>
          <w:snapToGrid w:val="0"/>
          <w:kern w:val="22"/>
          <w:lang w:val="es-ES"/>
        </w:rPr>
        <w:t>como una serie de documentos temáticos más pequeños</w:t>
      </w:r>
      <w:r w:rsidR="00FF3444" w:rsidRPr="003B1483">
        <w:rPr>
          <w:i/>
          <w:snapToGrid w:val="0"/>
          <w:kern w:val="22"/>
          <w:lang w:val="es-ES"/>
        </w:rPr>
        <w:t>.</w:t>
      </w:r>
      <w:r w:rsidR="00D71F0B" w:rsidRPr="003B1483">
        <w:rPr>
          <w:iCs/>
          <w:snapToGrid w:val="0"/>
          <w:kern w:val="22"/>
          <w:lang w:val="es-ES"/>
        </w:rPr>
        <w:t xml:space="preserve"> (</w:t>
      </w:r>
      <w:r w:rsidR="000B466C" w:rsidRPr="003B1483">
        <w:rPr>
          <w:iCs/>
          <w:snapToGrid w:val="0"/>
          <w:kern w:val="22"/>
          <w:lang w:val="es-ES"/>
        </w:rPr>
        <w:t>La reunión prevista en octubre de 2020 fue cancelada ulteriormente</w:t>
      </w:r>
      <w:r w:rsidR="00D71F0B" w:rsidRPr="003B1483">
        <w:rPr>
          <w:iCs/>
          <w:snapToGrid w:val="0"/>
          <w:kern w:val="22"/>
          <w:lang w:val="es-ES"/>
        </w:rPr>
        <w:t>.)</w:t>
      </w:r>
      <w:r w:rsidR="00FF3444" w:rsidRPr="003B1483">
        <w:rPr>
          <w:iCs/>
          <w:snapToGrid w:val="0"/>
          <w:kern w:val="22"/>
          <w:lang w:val="es-ES"/>
        </w:rPr>
        <w:t xml:space="preserve"> </w:t>
      </w:r>
    </w:p>
    <w:p w14:paraId="31AD2829" w14:textId="77777777" w:rsidR="00AF13C7" w:rsidRPr="003B1483" w:rsidRDefault="00AF13C7" w:rsidP="00526481">
      <w:pPr>
        <w:rPr>
          <w:rFonts w:cstheme="minorHAnsi"/>
          <w:lang w:val="es-ES"/>
        </w:rPr>
      </w:pPr>
    </w:p>
    <w:p w14:paraId="10A0C7FA" w14:textId="78E94FFF" w:rsidR="00FA0E4B" w:rsidRPr="003B1483" w:rsidRDefault="00AF13C7" w:rsidP="00526481">
      <w:pPr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>5.</w:t>
      </w:r>
      <w:r w:rsidR="00D71F0B" w:rsidRPr="003B1483">
        <w:rPr>
          <w:rFonts w:cstheme="minorHAnsi"/>
          <w:lang w:val="es-ES"/>
        </w:rPr>
        <w:tab/>
      </w:r>
      <w:r w:rsidR="000B466C" w:rsidRPr="003B1483">
        <w:rPr>
          <w:rFonts w:cstheme="minorHAnsi"/>
          <w:lang w:val="es-ES"/>
        </w:rPr>
        <w:t xml:space="preserve">En respuesta a las decisiones </w:t>
      </w:r>
      <w:r w:rsidR="00FD39EB">
        <w:rPr>
          <w:rFonts w:cstheme="minorHAnsi"/>
          <w:lang w:val="es-ES"/>
        </w:rPr>
        <w:t>adoptadas por</w:t>
      </w:r>
      <w:r w:rsidR="000B466C" w:rsidRPr="003B1483">
        <w:rPr>
          <w:rFonts w:cstheme="minorHAnsi"/>
          <w:lang w:val="es-ES"/>
        </w:rPr>
        <w:t xml:space="preserve"> Comité </w:t>
      </w:r>
      <w:r w:rsidR="00A73F63" w:rsidRPr="003B1483">
        <w:rPr>
          <w:rFonts w:cstheme="minorHAnsi"/>
          <w:lang w:val="es-ES"/>
        </w:rPr>
        <w:t>Permanente</w:t>
      </w:r>
      <w:r w:rsidR="000B466C" w:rsidRPr="003B1483">
        <w:rPr>
          <w:rFonts w:cstheme="minorHAnsi"/>
          <w:lang w:val="es-ES"/>
        </w:rPr>
        <w:t xml:space="preserve"> en las </w:t>
      </w:r>
      <w:r w:rsidR="00A73F63" w:rsidRPr="003B1483">
        <w:rPr>
          <w:rFonts w:cstheme="minorHAnsi"/>
          <w:lang w:val="es-ES"/>
        </w:rPr>
        <w:t>reuniones</w:t>
      </w:r>
      <w:r w:rsidR="000B466C" w:rsidRPr="003B1483">
        <w:rPr>
          <w:rFonts w:cstheme="minorHAnsi"/>
          <w:lang w:val="es-ES"/>
        </w:rPr>
        <w:t xml:space="preserve"> </w:t>
      </w:r>
      <w:r w:rsidR="00E06E83" w:rsidRPr="003B1483">
        <w:rPr>
          <w:rFonts w:cstheme="minorHAnsi"/>
          <w:lang w:val="es-ES"/>
        </w:rPr>
        <w:t xml:space="preserve">SC57 </w:t>
      </w:r>
      <w:r w:rsidR="000B466C" w:rsidRPr="003B1483">
        <w:rPr>
          <w:rFonts w:cstheme="minorHAnsi"/>
          <w:lang w:val="es-ES"/>
        </w:rPr>
        <w:t>y</w:t>
      </w:r>
      <w:r w:rsidR="00E06E83" w:rsidRPr="003B1483">
        <w:rPr>
          <w:rFonts w:cstheme="minorHAnsi"/>
          <w:lang w:val="es-ES"/>
        </w:rPr>
        <w:t xml:space="preserve"> </w:t>
      </w:r>
      <w:r w:rsidR="00FA0E4B" w:rsidRPr="003B1483">
        <w:rPr>
          <w:rFonts w:cstheme="minorHAnsi"/>
          <w:lang w:val="es-ES"/>
        </w:rPr>
        <w:t>SC58,</w:t>
      </w:r>
      <w:r w:rsidR="000B466C" w:rsidRPr="003B1483">
        <w:rPr>
          <w:rFonts w:cstheme="minorHAnsi"/>
          <w:lang w:val="es-ES"/>
        </w:rPr>
        <w:t xml:space="preserve"> la Secretaría ha </w:t>
      </w:r>
      <w:r w:rsidR="00A73F63" w:rsidRPr="003B1483">
        <w:rPr>
          <w:rFonts w:cstheme="minorHAnsi"/>
          <w:lang w:val="es-ES"/>
        </w:rPr>
        <w:t>preparado</w:t>
      </w:r>
      <w:r w:rsidR="000B466C" w:rsidRPr="003B1483">
        <w:rPr>
          <w:rFonts w:cstheme="minorHAnsi"/>
          <w:lang w:val="es-ES"/>
        </w:rPr>
        <w:t xml:space="preserve"> los siguientes documentos para </w:t>
      </w:r>
      <w:r w:rsidR="00A73F63" w:rsidRPr="003B1483">
        <w:rPr>
          <w:rFonts w:cstheme="minorHAnsi"/>
          <w:lang w:val="es-ES"/>
        </w:rPr>
        <w:t>que</w:t>
      </w:r>
      <w:r w:rsidR="000B466C" w:rsidRPr="003B1483">
        <w:rPr>
          <w:rFonts w:cstheme="minorHAnsi"/>
          <w:lang w:val="es-ES"/>
        </w:rPr>
        <w:t xml:space="preserve"> sean examinados en la reunión </w:t>
      </w:r>
      <w:r w:rsidR="00526481" w:rsidRPr="003B1483">
        <w:rPr>
          <w:rFonts w:cstheme="minorHAnsi"/>
          <w:lang w:val="es-ES"/>
        </w:rPr>
        <w:t>SC59</w:t>
      </w:r>
      <w:r w:rsidRPr="003B1483">
        <w:rPr>
          <w:rFonts w:cstheme="minorHAnsi"/>
          <w:lang w:val="es-ES"/>
        </w:rPr>
        <w:t>:</w:t>
      </w:r>
    </w:p>
    <w:p w14:paraId="0EAE2F5C" w14:textId="05F79AE0" w:rsidR="00E06E83" w:rsidRPr="003B1483" w:rsidRDefault="00FA0E4B" w:rsidP="00FA0E4B">
      <w:pPr>
        <w:tabs>
          <w:tab w:val="left" w:pos="425"/>
          <w:tab w:val="left" w:pos="851"/>
          <w:tab w:val="left" w:pos="1276"/>
        </w:tabs>
        <w:ind w:left="851" w:hanging="851"/>
        <w:rPr>
          <w:rFonts w:cs="Arial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526481" w:rsidRPr="003B1483">
        <w:rPr>
          <w:rFonts w:cstheme="minorHAnsi"/>
          <w:lang w:val="es-ES"/>
        </w:rPr>
        <w:t>SC59 Doc</w:t>
      </w:r>
      <w:r w:rsidR="00A45845" w:rsidRPr="003B1483">
        <w:rPr>
          <w:rFonts w:cstheme="minorHAnsi"/>
          <w:lang w:val="es-ES"/>
        </w:rPr>
        <w:t>.</w:t>
      </w:r>
      <w:r w:rsidR="00526481" w:rsidRPr="003B1483">
        <w:rPr>
          <w:rFonts w:cstheme="minorHAnsi"/>
          <w:lang w:val="es-ES"/>
        </w:rPr>
        <w:t>13.1</w:t>
      </w:r>
      <w:r w:rsidR="00FD39EB">
        <w:rPr>
          <w:rFonts w:cstheme="minorHAnsi"/>
          <w:lang w:val="es-ES"/>
        </w:rPr>
        <w:t>,</w:t>
      </w:r>
      <w:r w:rsidR="00526481" w:rsidRPr="003B1483">
        <w:rPr>
          <w:rFonts w:cstheme="minorHAnsi"/>
          <w:lang w:val="es-ES"/>
        </w:rPr>
        <w:t xml:space="preserve"> </w:t>
      </w:r>
      <w:r w:rsidR="000B466C" w:rsidRPr="003B1483">
        <w:rPr>
          <w:rFonts w:cs="Arial"/>
          <w:i/>
          <w:iCs/>
          <w:lang w:val="es-ES"/>
        </w:rPr>
        <w:t xml:space="preserve">Examen de todas las </w:t>
      </w:r>
      <w:r w:rsidR="00A73F63" w:rsidRPr="003B1483">
        <w:rPr>
          <w:rFonts w:cs="Arial"/>
          <w:i/>
          <w:iCs/>
          <w:lang w:val="es-ES"/>
        </w:rPr>
        <w:t>resoluciones</w:t>
      </w:r>
      <w:r w:rsidR="000B466C" w:rsidRPr="003B1483">
        <w:rPr>
          <w:rFonts w:cs="Arial"/>
          <w:i/>
          <w:iCs/>
          <w:lang w:val="es-ES"/>
        </w:rPr>
        <w:t xml:space="preserve"> y deci</w:t>
      </w:r>
      <w:r w:rsidR="00A73F63">
        <w:rPr>
          <w:rFonts w:cs="Arial"/>
          <w:i/>
          <w:iCs/>
          <w:lang w:val="es-ES"/>
        </w:rPr>
        <w:t>siones</w:t>
      </w:r>
      <w:r w:rsidR="000B466C" w:rsidRPr="003B1483">
        <w:rPr>
          <w:rFonts w:cs="Arial"/>
          <w:i/>
          <w:iCs/>
          <w:lang w:val="es-ES"/>
        </w:rPr>
        <w:t xml:space="preserve"> anteriores: </w:t>
      </w:r>
      <w:r w:rsidR="00FD39EB">
        <w:rPr>
          <w:rFonts w:cs="Arial"/>
          <w:i/>
          <w:iCs/>
          <w:lang w:val="es-ES"/>
        </w:rPr>
        <w:t>Procedimiento</w:t>
      </w:r>
      <w:r w:rsidR="000B466C" w:rsidRPr="003B1483">
        <w:rPr>
          <w:rFonts w:cs="Arial"/>
          <w:i/>
          <w:iCs/>
          <w:lang w:val="es-ES"/>
        </w:rPr>
        <w:t xml:space="preserve"> para realizar el examen</w:t>
      </w:r>
      <w:r w:rsidR="002531D8" w:rsidRPr="003B1483">
        <w:rPr>
          <w:rFonts w:cs="Arial"/>
          <w:i/>
          <w:iCs/>
          <w:lang w:val="es-ES"/>
        </w:rPr>
        <w:t>;</w:t>
      </w:r>
      <w:r w:rsidR="007816EC" w:rsidRPr="003B1483">
        <w:rPr>
          <w:rFonts w:cs="Arial"/>
          <w:lang w:val="es-ES"/>
        </w:rPr>
        <w:br/>
      </w:r>
      <w:r w:rsidR="00E06E83" w:rsidRPr="003B1483">
        <w:rPr>
          <w:rFonts w:cs="Arial"/>
          <w:lang w:val="es-ES"/>
        </w:rPr>
        <w:t>(</w:t>
      </w:r>
      <w:r w:rsidR="000B466C" w:rsidRPr="003B1483">
        <w:rPr>
          <w:rFonts w:cs="Arial"/>
          <w:lang w:val="es-ES"/>
        </w:rPr>
        <w:t xml:space="preserve">según se encarga en la </w:t>
      </w:r>
      <w:r w:rsidR="00A73F63">
        <w:rPr>
          <w:rFonts w:cs="Arial"/>
          <w:lang w:val="es-ES"/>
        </w:rPr>
        <w:t>Decisión</w:t>
      </w:r>
      <w:r w:rsidR="000B466C" w:rsidRPr="003B1483">
        <w:rPr>
          <w:rFonts w:cs="Arial"/>
          <w:lang w:val="es-ES"/>
        </w:rPr>
        <w:t xml:space="preserve"> </w:t>
      </w:r>
      <w:r w:rsidR="00E06E83" w:rsidRPr="003B1483">
        <w:rPr>
          <w:rFonts w:cs="Arial"/>
          <w:lang w:val="es-ES"/>
        </w:rPr>
        <w:t>SC58-21</w:t>
      </w:r>
      <w:r w:rsidR="007816EC" w:rsidRPr="003B1483">
        <w:rPr>
          <w:rFonts w:cs="Arial"/>
          <w:lang w:val="es-ES"/>
        </w:rPr>
        <w:t xml:space="preserve"> </w:t>
      </w:r>
      <w:r w:rsidR="000B466C" w:rsidRPr="003B1483">
        <w:rPr>
          <w:rFonts w:cs="Arial"/>
          <w:lang w:val="es-ES"/>
        </w:rPr>
        <w:t xml:space="preserve">y en respuesta a la </w:t>
      </w:r>
      <w:r w:rsidR="00A73F63">
        <w:rPr>
          <w:rFonts w:cs="Arial"/>
          <w:lang w:val="es-ES"/>
        </w:rPr>
        <w:t>D</w:t>
      </w:r>
      <w:r w:rsidR="00A73F63" w:rsidRPr="003B1483">
        <w:rPr>
          <w:rFonts w:cs="Arial"/>
          <w:lang w:val="es-ES"/>
        </w:rPr>
        <w:t>ecisión</w:t>
      </w:r>
      <w:r w:rsidR="000B466C" w:rsidRPr="003B1483">
        <w:rPr>
          <w:rFonts w:cs="Arial"/>
          <w:lang w:val="es-ES"/>
        </w:rPr>
        <w:t xml:space="preserve"> </w:t>
      </w:r>
      <w:r w:rsidR="007816EC" w:rsidRPr="003B1483">
        <w:rPr>
          <w:rFonts w:cs="Arial"/>
          <w:lang w:val="es-ES"/>
        </w:rPr>
        <w:t>SC57-19</w:t>
      </w:r>
      <w:r w:rsidR="00E06E83" w:rsidRPr="003B1483">
        <w:rPr>
          <w:rFonts w:cs="Arial"/>
          <w:lang w:val="es-ES"/>
        </w:rPr>
        <w:t>)</w:t>
      </w:r>
      <w:r w:rsidR="000B466C" w:rsidRPr="003B1483">
        <w:rPr>
          <w:rFonts w:cs="Arial"/>
          <w:lang w:val="es-ES"/>
        </w:rPr>
        <w:t>, que incluye</w:t>
      </w:r>
      <w:r w:rsidR="00E06E83" w:rsidRPr="003B1483">
        <w:rPr>
          <w:rFonts w:cs="Arial"/>
          <w:lang w:val="es-ES"/>
        </w:rPr>
        <w:t>:</w:t>
      </w:r>
    </w:p>
    <w:p w14:paraId="2E466CD1" w14:textId="77162CE1" w:rsidR="00FA0E4B" w:rsidRPr="003B1483" w:rsidRDefault="00E06E83" w:rsidP="00AB7634">
      <w:pPr>
        <w:tabs>
          <w:tab w:val="left" w:pos="425"/>
          <w:tab w:val="left" w:pos="851"/>
          <w:tab w:val="left" w:pos="1276"/>
          <w:tab w:val="left" w:pos="1701"/>
        </w:tabs>
        <w:ind w:left="1276" w:hanging="1276"/>
        <w:rPr>
          <w:rFonts w:cstheme="minorHAnsi"/>
          <w:lang w:val="es-ES"/>
        </w:rPr>
      </w:pPr>
      <w:r w:rsidRPr="003B1483">
        <w:rPr>
          <w:rFonts w:cs="Arial"/>
          <w:lang w:val="es-ES"/>
        </w:rPr>
        <w:tab/>
      </w:r>
      <w:r w:rsidRPr="003B1483">
        <w:rPr>
          <w:rFonts w:cs="Arial"/>
          <w:lang w:val="es-ES"/>
        </w:rPr>
        <w:tab/>
        <w:t>-</w:t>
      </w:r>
      <w:r w:rsidRPr="003B1483">
        <w:rPr>
          <w:rFonts w:cs="Arial"/>
          <w:lang w:val="es-ES"/>
        </w:rPr>
        <w:tab/>
      </w:r>
      <w:r w:rsidR="00A73F63" w:rsidRPr="003B1483">
        <w:rPr>
          <w:rFonts w:cs="Arial"/>
          <w:lang w:val="es-ES"/>
        </w:rPr>
        <w:t>proyectos</w:t>
      </w:r>
      <w:r w:rsidR="000B466C" w:rsidRPr="003B1483">
        <w:rPr>
          <w:rFonts w:cs="Arial"/>
          <w:lang w:val="es-ES"/>
        </w:rPr>
        <w:t xml:space="preserve"> de orientaciones sobre la </w:t>
      </w:r>
      <w:r w:rsidR="00A73F63" w:rsidRPr="003B1483">
        <w:rPr>
          <w:rFonts w:cs="Arial"/>
          <w:lang w:val="es-ES"/>
        </w:rPr>
        <w:t>preparación</w:t>
      </w:r>
      <w:r w:rsidR="000B466C" w:rsidRPr="003B1483">
        <w:rPr>
          <w:rFonts w:cs="Arial"/>
          <w:lang w:val="es-ES"/>
        </w:rPr>
        <w:t xml:space="preserve"> y </w:t>
      </w:r>
      <w:r w:rsidR="00A73F63" w:rsidRPr="003B1483">
        <w:rPr>
          <w:rFonts w:cs="Arial"/>
          <w:lang w:val="es-ES"/>
        </w:rPr>
        <w:t>adopción</w:t>
      </w:r>
      <w:r w:rsidR="000B466C" w:rsidRPr="003B1483">
        <w:rPr>
          <w:rFonts w:cs="Arial"/>
          <w:lang w:val="es-ES"/>
        </w:rPr>
        <w:t xml:space="preserve"> de proyectos de </w:t>
      </w:r>
      <w:r w:rsidR="00A73F63" w:rsidRPr="00FD39EB">
        <w:rPr>
          <w:rFonts w:cs="Arial"/>
          <w:lang w:val="es-ES"/>
        </w:rPr>
        <w:t>resoluci</w:t>
      </w:r>
      <w:r w:rsidR="00FD39EB" w:rsidRPr="00FD39EB">
        <w:rPr>
          <w:rFonts w:cs="Arial"/>
          <w:lang w:val="es-ES"/>
        </w:rPr>
        <w:t>ón</w:t>
      </w:r>
      <w:r w:rsidR="000B466C" w:rsidRPr="003B1483">
        <w:rPr>
          <w:rFonts w:cs="Arial"/>
          <w:lang w:val="es-ES"/>
        </w:rPr>
        <w:t xml:space="preserve"> en el futuro</w:t>
      </w:r>
      <w:r w:rsidR="00975147" w:rsidRPr="003B1483">
        <w:rPr>
          <w:rFonts w:cs="Arial"/>
          <w:lang w:val="es-ES"/>
        </w:rPr>
        <w:br/>
      </w:r>
      <w:r w:rsidR="00FA0E4B" w:rsidRPr="003B1483">
        <w:rPr>
          <w:rFonts w:cs="Arial"/>
          <w:lang w:val="es-ES"/>
        </w:rPr>
        <w:t>(</w:t>
      </w:r>
      <w:r w:rsidR="000B466C" w:rsidRPr="003B1483">
        <w:rPr>
          <w:rFonts w:cs="Arial"/>
          <w:lang w:val="es-ES"/>
        </w:rPr>
        <w:t>según se enca</w:t>
      </w:r>
      <w:r w:rsidR="00A73F63">
        <w:rPr>
          <w:rFonts w:cs="Arial"/>
          <w:lang w:val="es-ES"/>
        </w:rPr>
        <w:t>r</w:t>
      </w:r>
      <w:r w:rsidR="000B466C" w:rsidRPr="003B1483">
        <w:rPr>
          <w:rFonts w:cs="Arial"/>
          <w:lang w:val="es-ES"/>
        </w:rPr>
        <w:t xml:space="preserve">ga en la Decisión </w:t>
      </w:r>
      <w:r w:rsidRPr="003B1483">
        <w:rPr>
          <w:rFonts w:cs="Arial"/>
          <w:lang w:val="es-ES"/>
        </w:rPr>
        <w:t>SC58-19.ii)</w:t>
      </w:r>
      <w:r w:rsidR="007816EC" w:rsidRPr="003B1483">
        <w:rPr>
          <w:rFonts w:cs="Arial"/>
          <w:lang w:val="es-ES"/>
        </w:rPr>
        <w:t>;</w:t>
      </w:r>
      <w:r w:rsidR="00526481" w:rsidRPr="003B1483">
        <w:rPr>
          <w:rFonts w:cstheme="minorHAnsi"/>
          <w:lang w:val="es-ES"/>
        </w:rPr>
        <w:t xml:space="preserve"> </w:t>
      </w:r>
      <w:r w:rsidR="000B466C" w:rsidRPr="003B1483">
        <w:rPr>
          <w:rFonts w:cstheme="minorHAnsi"/>
          <w:lang w:val="es-ES"/>
        </w:rPr>
        <w:t>y</w:t>
      </w:r>
      <w:r w:rsidR="00142B88" w:rsidRPr="003B1483">
        <w:rPr>
          <w:rFonts w:cstheme="minorHAnsi"/>
          <w:lang w:val="es-ES"/>
        </w:rPr>
        <w:t xml:space="preserve"> </w:t>
      </w:r>
    </w:p>
    <w:p w14:paraId="576F6D66" w14:textId="385D0BCD" w:rsidR="00142B88" w:rsidRPr="003B1483" w:rsidRDefault="00142B88" w:rsidP="00AB7634">
      <w:pPr>
        <w:tabs>
          <w:tab w:val="left" w:pos="425"/>
          <w:tab w:val="left" w:pos="851"/>
          <w:tab w:val="left" w:pos="1276"/>
          <w:tab w:val="left" w:pos="1701"/>
        </w:tabs>
        <w:ind w:left="1276" w:hanging="1276"/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</w: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0B466C" w:rsidRPr="003B1483">
        <w:rPr>
          <w:rFonts w:cstheme="minorHAnsi"/>
          <w:lang w:val="es-ES"/>
        </w:rPr>
        <w:t xml:space="preserve">un proyecto de </w:t>
      </w:r>
      <w:r w:rsidR="00FD39EB">
        <w:rPr>
          <w:rFonts w:cstheme="minorHAnsi"/>
          <w:lang w:val="es-ES"/>
        </w:rPr>
        <w:t>agrupación (</w:t>
      </w:r>
      <w:r w:rsidR="00A73F63" w:rsidRPr="003B1483">
        <w:rPr>
          <w:rFonts w:cstheme="minorHAnsi"/>
          <w:lang w:val="es-ES"/>
        </w:rPr>
        <w:t>categorización</w:t>
      </w:r>
      <w:r w:rsidR="00FD39EB">
        <w:rPr>
          <w:rFonts w:cstheme="minorHAnsi"/>
          <w:lang w:val="es-ES"/>
        </w:rPr>
        <w:t>)</w:t>
      </w:r>
      <w:r w:rsidR="000B466C" w:rsidRPr="003B1483">
        <w:rPr>
          <w:rFonts w:cstheme="minorHAnsi"/>
          <w:lang w:val="es-ES"/>
        </w:rPr>
        <w:t xml:space="preserve"> de las </w:t>
      </w:r>
      <w:r w:rsidR="00A73F63" w:rsidRPr="003B1483">
        <w:rPr>
          <w:rFonts w:cstheme="minorHAnsi"/>
          <w:lang w:val="es-ES"/>
        </w:rPr>
        <w:t>resoluciones</w:t>
      </w:r>
      <w:r w:rsidR="000B466C" w:rsidRPr="003B1483">
        <w:rPr>
          <w:rFonts w:cstheme="minorHAnsi"/>
          <w:lang w:val="es-ES"/>
        </w:rPr>
        <w:t xml:space="preserve"> y recomendaciones existentes en las principales áreas temáticas, como base para priorizar los temas de las resoluciones que habría que consolidar</w:t>
      </w:r>
      <w:r w:rsidR="00C74BB6" w:rsidRPr="003B1483">
        <w:rPr>
          <w:rFonts w:cstheme="minorHAnsi"/>
          <w:lang w:val="es-ES"/>
        </w:rPr>
        <w:br/>
        <w:t>(</w:t>
      </w:r>
      <w:r w:rsidR="000B466C" w:rsidRPr="003B1483">
        <w:rPr>
          <w:rFonts w:cstheme="minorHAnsi"/>
          <w:lang w:val="es-ES"/>
        </w:rPr>
        <w:t xml:space="preserve">según se encarga en la Decisión </w:t>
      </w:r>
      <w:r w:rsidR="00C74BB6" w:rsidRPr="003B1483">
        <w:rPr>
          <w:rFonts w:cstheme="minorHAnsi"/>
          <w:lang w:val="es-ES"/>
        </w:rPr>
        <w:t xml:space="preserve">SC57-19); </w:t>
      </w:r>
      <w:r w:rsidRPr="003B1483">
        <w:rPr>
          <w:rFonts w:cstheme="minorHAnsi"/>
          <w:lang w:val="es-ES"/>
        </w:rPr>
        <w:t xml:space="preserve"> </w:t>
      </w:r>
    </w:p>
    <w:p w14:paraId="090DACEF" w14:textId="05CA9EB2" w:rsidR="00FA0E4B" w:rsidRPr="003B1483" w:rsidRDefault="00FA0E4B" w:rsidP="00FA0E4B">
      <w:pPr>
        <w:tabs>
          <w:tab w:val="left" w:pos="425"/>
          <w:tab w:val="left" w:pos="851"/>
          <w:tab w:val="left" w:pos="1276"/>
        </w:tabs>
        <w:ind w:left="851" w:hanging="851"/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526481" w:rsidRPr="003B1483">
        <w:rPr>
          <w:rFonts w:cstheme="minorHAnsi"/>
          <w:lang w:val="es-ES"/>
        </w:rPr>
        <w:t>SC59 Doc</w:t>
      </w:r>
      <w:r w:rsidR="00A45845" w:rsidRPr="003B1483">
        <w:rPr>
          <w:rFonts w:cstheme="minorHAnsi"/>
          <w:lang w:val="es-ES"/>
        </w:rPr>
        <w:t>.</w:t>
      </w:r>
      <w:r w:rsidR="00526481" w:rsidRPr="003B1483">
        <w:rPr>
          <w:rFonts w:cstheme="minorHAnsi"/>
          <w:lang w:val="es-ES"/>
        </w:rPr>
        <w:t>13.2</w:t>
      </w:r>
      <w:r w:rsidR="00FD39EB">
        <w:rPr>
          <w:rFonts w:cstheme="minorHAnsi"/>
          <w:lang w:val="es-ES"/>
        </w:rPr>
        <w:t>,</w:t>
      </w:r>
      <w:r w:rsidR="00526481" w:rsidRPr="003B1483">
        <w:rPr>
          <w:rFonts w:cstheme="minorHAnsi"/>
          <w:lang w:val="es-ES"/>
        </w:rPr>
        <w:t xml:space="preserve"> </w:t>
      </w:r>
      <w:r w:rsidR="000B466C" w:rsidRPr="003B1483">
        <w:rPr>
          <w:rFonts w:cs="Arial"/>
          <w:i/>
          <w:iCs/>
          <w:lang w:val="es-ES"/>
        </w:rPr>
        <w:t xml:space="preserve">Proyecto de lista de las resoluciones que </w:t>
      </w:r>
      <w:r w:rsidR="00FD39EB">
        <w:rPr>
          <w:rFonts w:cs="Arial"/>
          <w:i/>
          <w:iCs/>
          <w:lang w:val="es-ES"/>
        </w:rPr>
        <w:t>ya no son aplicables</w:t>
      </w:r>
      <w:r w:rsidR="007816EC" w:rsidRPr="003B1483">
        <w:rPr>
          <w:rFonts w:cs="Arial"/>
          <w:lang w:val="es-ES"/>
        </w:rPr>
        <w:t xml:space="preserve"> </w:t>
      </w:r>
      <w:r w:rsidR="007816EC" w:rsidRPr="003B1483">
        <w:rPr>
          <w:rFonts w:cs="Arial"/>
          <w:lang w:val="es-ES"/>
        </w:rPr>
        <w:br/>
        <w:t>(</w:t>
      </w:r>
      <w:r w:rsidR="000B466C" w:rsidRPr="003B1483">
        <w:rPr>
          <w:rFonts w:cs="Arial"/>
          <w:lang w:val="es-ES"/>
        </w:rPr>
        <w:t>según se encarga en la</w:t>
      </w:r>
      <w:r w:rsidR="007816EC" w:rsidRPr="003B1483">
        <w:rPr>
          <w:rFonts w:cs="Arial"/>
          <w:lang w:val="es-ES"/>
        </w:rPr>
        <w:t xml:space="preserve"> </w:t>
      </w:r>
      <w:r w:rsidR="00A73F63" w:rsidRPr="003B1483">
        <w:rPr>
          <w:rFonts w:cs="Arial"/>
          <w:lang w:val="es-ES"/>
        </w:rPr>
        <w:t>Decisión</w:t>
      </w:r>
      <w:r w:rsidR="007816EC" w:rsidRPr="003B1483">
        <w:rPr>
          <w:rFonts w:cs="Arial"/>
          <w:lang w:val="es-ES"/>
        </w:rPr>
        <w:t xml:space="preserve"> SC58-19.i)</w:t>
      </w:r>
      <w:r w:rsidR="00A45845" w:rsidRPr="003B1483">
        <w:rPr>
          <w:rFonts w:cstheme="minorHAnsi"/>
          <w:lang w:val="es-ES"/>
        </w:rPr>
        <w:t>;</w:t>
      </w:r>
      <w:r w:rsidR="00526481" w:rsidRPr="003B1483">
        <w:rPr>
          <w:rFonts w:cstheme="minorHAnsi"/>
          <w:lang w:val="es-ES"/>
        </w:rPr>
        <w:t xml:space="preserve"> </w:t>
      </w:r>
      <w:r w:rsidR="000B466C" w:rsidRPr="003B1483">
        <w:rPr>
          <w:rFonts w:cstheme="minorHAnsi"/>
          <w:lang w:val="es-ES"/>
        </w:rPr>
        <w:t>y</w:t>
      </w:r>
      <w:r w:rsidR="00526481" w:rsidRPr="003B1483">
        <w:rPr>
          <w:rFonts w:cstheme="minorHAnsi"/>
          <w:lang w:val="es-ES"/>
        </w:rPr>
        <w:t xml:space="preserve"> </w:t>
      </w:r>
    </w:p>
    <w:p w14:paraId="485C0ECF" w14:textId="4936B342" w:rsidR="00CC7A56" w:rsidRPr="003B1483" w:rsidRDefault="00FA0E4B" w:rsidP="00FA0E4B">
      <w:pPr>
        <w:tabs>
          <w:tab w:val="left" w:pos="425"/>
          <w:tab w:val="left" w:pos="851"/>
          <w:tab w:val="left" w:pos="1276"/>
        </w:tabs>
        <w:ind w:left="851" w:hanging="851"/>
        <w:rPr>
          <w:rFonts w:cs="Arial"/>
          <w:b/>
          <w:sz w:val="28"/>
          <w:szCs w:val="28"/>
          <w:lang w:val="es-ES"/>
        </w:rPr>
      </w:pPr>
      <w:r w:rsidRPr="003B1483">
        <w:rPr>
          <w:rFonts w:cstheme="minorHAnsi"/>
          <w:lang w:val="es-ES"/>
        </w:rPr>
        <w:tab/>
        <w:t>-</w:t>
      </w:r>
      <w:r w:rsidRPr="003B1483">
        <w:rPr>
          <w:rFonts w:cstheme="minorHAnsi"/>
          <w:lang w:val="es-ES"/>
        </w:rPr>
        <w:tab/>
      </w:r>
      <w:r w:rsidR="00526481" w:rsidRPr="003B1483">
        <w:rPr>
          <w:rFonts w:cstheme="minorHAnsi"/>
          <w:lang w:val="es-ES"/>
        </w:rPr>
        <w:t>SC59 Doc</w:t>
      </w:r>
      <w:r w:rsidR="00A45845" w:rsidRPr="003B1483">
        <w:rPr>
          <w:rFonts w:cstheme="minorHAnsi"/>
          <w:lang w:val="es-ES"/>
        </w:rPr>
        <w:t>.</w:t>
      </w:r>
      <w:r w:rsidR="00526481" w:rsidRPr="003B1483">
        <w:rPr>
          <w:rFonts w:cstheme="minorHAnsi"/>
          <w:lang w:val="es-ES"/>
        </w:rPr>
        <w:t>13.3</w:t>
      </w:r>
      <w:r w:rsidR="00FD39EB">
        <w:rPr>
          <w:rFonts w:cstheme="minorHAnsi"/>
          <w:lang w:val="es-ES"/>
        </w:rPr>
        <w:t>,</w:t>
      </w:r>
      <w:r w:rsidR="00526481" w:rsidRPr="003B1483">
        <w:rPr>
          <w:rFonts w:cstheme="minorHAnsi"/>
          <w:lang w:val="es-ES"/>
        </w:rPr>
        <w:t xml:space="preserve"> </w:t>
      </w:r>
      <w:r w:rsidR="000B466C" w:rsidRPr="003B1483">
        <w:rPr>
          <w:rFonts w:cstheme="minorHAnsi"/>
          <w:i/>
          <w:iCs/>
          <w:lang w:val="es-ES"/>
        </w:rPr>
        <w:t>Proyecto de resolución consolidada sobre “Inventarios”</w:t>
      </w:r>
      <w:r w:rsidR="007816EC" w:rsidRPr="003B1483">
        <w:rPr>
          <w:rFonts w:cstheme="minorHAnsi"/>
          <w:lang w:val="es-ES"/>
        </w:rPr>
        <w:t xml:space="preserve"> </w:t>
      </w:r>
      <w:r w:rsidR="007816EC" w:rsidRPr="003B1483">
        <w:rPr>
          <w:rFonts w:cstheme="minorHAnsi"/>
          <w:lang w:val="es-ES"/>
        </w:rPr>
        <w:br/>
        <w:t>(</w:t>
      </w:r>
      <w:r w:rsidR="000B466C" w:rsidRPr="003B1483">
        <w:rPr>
          <w:rFonts w:cstheme="minorHAnsi"/>
          <w:lang w:val="es-ES"/>
        </w:rPr>
        <w:t>según se encarga en la</w:t>
      </w:r>
      <w:r w:rsidR="007816EC" w:rsidRPr="003B1483">
        <w:rPr>
          <w:rFonts w:cstheme="minorHAnsi"/>
          <w:lang w:val="es-ES"/>
        </w:rPr>
        <w:t xml:space="preserve"> </w:t>
      </w:r>
      <w:r w:rsidR="00A73F63" w:rsidRPr="003B1483">
        <w:rPr>
          <w:rFonts w:cstheme="minorHAnsi"/>
          <w:lang w:val="es-ES"/>
        </w:rPr>
        <w:t>Decisión</w:t>
      </w:r>
      <w:r w:rsidR="007816EC" w:rsidRPr="003B1483">
        <w:rPr>
          <w:rFonts w:cstheme="minorHAnsi"/>
          <w:lang w:val="es-ES"/>
        </w:rPr>
        <w:t xml:space="preserve"> SC58-20)</w:t>
      </w:r>
      <w:r w:rsidR="00A45845" w:rsidRPr="003B1483">
        <w:rPr>
          <w:rFonts w:cstheme="minorHAnsi"/>
          <w:lang w:val="es-ES"/>
        </w:rPr>
        <w:t>.</w:t>
      </w:r>
    </w:p>
    <w:p w14:paraId="7EDE0AB9" w14:textId="3D3E6DA2" w:rsidR="00685573" w:rsidRPr="003B1483" w:rsidRDefault="003B1483" w:rsidP="003B1483">
      <w:pPr>
        <w:tabs>
          <w:tab w:val="left" w:pos="2767"/>
        </w:tabs>
        <w:rPr>
          <w:rFonts w:cstheme="minorHAnsi"/>
          <w:lang w:val="es-ES"/>
        </w:rPr>
      </w:pPr>
      <w:r w:rsidRPr="003B1483">
        <w:rPr>
          <w:rFonts w:cstheme="minorHAnsi"/>
          <w:lang w:val="es-ES"/>
        </w:rPr>
        <w:tab/>
      </w:r>
      <w:r w:rsidRPr="003B1483">
        <w:rPr>
          <w:rFonts w:cstheme="minorHAnsi"/>
          <w:lang w:val="es-ES"/>
        </w:rPr>
        <w:tab/>
      </w:r>
    </w:p>
    <w:p w14:paraId="69BFD724" w14:textId="7FAD8213" w:rsidR="00FA0E4B" w:rsidRPr="003B1483" w:rsidRDefault="00FA0E4B" w:rsidP="00FB5740">
      <w:pPr>
        <w:rPr>
          <w:rFonts w:cstheme="minorHAnsi"/>
          <w:lang w:val="es-ES"/>
        </w:rPr>
      </w:pPr>
    </w:p>
    <w:p w14:paraId="0E9F94E4" w14:textId="74958F09" w:rsidR="00B619EC" w:rsidRPr="003B1483" w:rsidRDefault="00B619EC" w:rsidP="002714A5">
      <w:pPr>
        <w:ind w:left="0" w:firstLine="0"/>
        <w:rPr>
          <w:rFonts w:asciiTheme="minorHAnsi" w:hAnsiTheme="minorHAnsi" w:cstheme="minorHAnsi"/>
          <w:lang w:val="es-ES"/>
        </w:rPr>
      </w:pPr>
    </w:p>
    <w:sectPr w:rsidR="00B619EC" w:rsidRPr="003B1483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A9657" w14:textId="77777777" w:rsidR="00614B6F" w:rsidRDefault="00614B6F" w:rsidP="00DF2386">
      <w:r>
        <w:separator/>
      </w:r>
    </w:p>
  </w:endnote>
  <w:endnote w:type="continuationSeparator" w:id="0">
    <w:p w14:paraId="344EA5D4" w14:textId="77777777" w:rsidR="00614B6F" w:rsidRDefault="00614B6F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A7FA" w14:textId="612D7F06" w:rsidR="004F73D2" w:rsidRDefault="00816A1B" w:rsidP="002137E0">
    <w:pPr>
      <w:pStyle w:val="Header"/>
      <w:rPr>
        <w:noProof/>
      </w:rPr>
    </w:pPr>
    <w:r>
      <w:rPr>
        <w:sz w:val="20"/>
        <w:szCs w:val="20"/>
      </w:rPr>
      <w:t>SC59</w:t>
    </w:r>
    <w:r w:rsidR="004F73D2">
      <w:rPr>
        <w:sz w:val="20"/>
        <w:szCs w:val="20"/>
      </w:rPr>
      <w:t xml:space="preserve"> Doc.13</w:t>
    </w:r>
    <w:r w:rsidR="004F73D2">
      <w:tab/>
    </w:r>
    <w:r w:rsidR="004F73D2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F73D2">
          <w:fldChar w:fldCharType="begin"/>
        </w:r>
        <w:r w:rsidR="004F73D2">
          <w:instrText xml:space="preserve"> PAGE   \* MERGEFORMAT </w:instrText>
        </w:r>
        <w:r w:rsidR="004F73D2">
          <w:fldChar w:fldCharType="separate"/>
        </w:r>
        <w:r w:rsidR="007B41F7" w:rsidRPr="007B41F7">
          <w:rPr>
            <w:noProof/>
            <w:sz w:val="20"/>
            <w:szCs w:val="20"/>
          </w:rPr>
          <w:t>3</w:t>
        </w:r>
        <w:r w:rsidR="004F73D2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551BD" w14:textId="77777777" w:rsidR="00614B6F" w:rsidRDefault="00614B6F" w:rsidP="00DF2386">
      <w:r>
        <w:separator/>
      </w:r>
    </w:p>
  </w:footnote>
  <w:footnote w:type="continuationSeparator" w:id="0">
    <w:p w14:paraId="49B12C73" w14:textId="77777777" w:rsidR="00614B6F" w:rsidRDefault="00614B6F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0417" w14:textId="77777777" w:rsidR="004F73D2" w:rsidRDefault="004F73D2">
    <w:pPr>
      <w:pStyle w:val="Header"/>
    </w:pPr>
  </w:p>
  <w:p w14:paraId="0812CCCA" w14:textId="77777777" w:rsidR="004F73D2" w:rsidRDefault="004F7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687700"/>
    <w:multiLevelType w:val="hybridMultilevel"/>
    <w:tmpl w:val="F50EDC3A"/>
    <w:lvl w:ilvl="0" w:tplc="337A5B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D1A2F"/>
    <w:multiLevelType w:val="hybridMultilevel"/>
    <w:tmpl w:val="6B1EFEF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10E1280B"/>
    <w:multiLevelType w:val="hybridMultilevel"/>
    <w:tmpl w:val="7CA64C3A"/>
    <w:lvl w:ilvl="0" w:tplc="05D405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047E6E"/>
    <w:multiLevelType w:val="hybridMultilevel"/>
    <w:tmpl w:val="0A70DED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16D4276"/>
    <w:multiLevelType w:val="hybridMultilevel"/>
    <w:tmpl w:val="30325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D1C9E"/>
    <w:multiLevelType w:val="multilevel"/>
    <w:tmpl w:val="18249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C15F13"/>
    <w:multiLevelType w:val="hybridMultilevel"/>
    <w:tmpl w:val="27BE296E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24A62A50"/>
    <w:multiLevelType w:val="hybridMultilevel"/>
    <w:tmpl w:val="068ECD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6669E"/>
    <w:multiLevelType w:val="multilevel"/>
    <w:tmpl w:val="F4B2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 w15:restartNumberingAfterBreak="0">
    <w:nsid w:val="644F0567"/>
    <w:multiLevelType w:val="hybridMultilevel"/>
    <w:tmpl w:val="BB9000B2"/>
    <w:lvl w:ilvl="0" w:tplc="E312BC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D2E21"/>
    <w:multiLevelType w:val="hybridMultilevel"/>
    <w:tmpl w:val="AB543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B74B4EA">
      <w:start w:val="1"/>
      <w:numFmt w:val="bullet"/>
      <w:lvlText w:val="­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5A161C"/>
    <w:multiLevelType w:val="hybridMultilevel"/>
    <w:tmpl w:val="67CA23FC"/>
    <w:lvl w:ilvl="0" w:tplc="08D08B8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DE22DAF"/>
    <w:multiLevelType w:val="hybridMultilevel"/>
    <w:tmpl w:val="A3883308"/>
    <w:lvl w:ilvl="0" w:tplc="BCF23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3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0"/>
  </w:num>
  <w:num w:numId="13">
    <w:abstractNumId w:val="24"/>
  </w:num>
  <w:num w:numId="14">
    <w:abstractNumId w:val="19"/>
  </w:num>
  <w:num w:numId="15">
    <w:abstractNumId w:val="3"/>
  </w:num>
  <w:num w:numId="16">
    <w:abstractNumId w:val="21"/>
  </w:num>
  <w:num w:numId="17">
    <w:abstractNumId w:val="26"/>
  </w:num>
  <w:num w:numId="18">
    <w:abstractNumId w:val="39"/>
  </w:num>
  <w:num w:numId="19">
    <w:abstractNumId w:val="35"/>
  </w:num>
  <w:num w:numId="20">
    <w:abstractNumId w:val="29"/>
  </w:num>
  <w:num w:numId="21">
    <w:abstractNumId w:val="31"/>
  </w:num>
  <w:num w:numId="22">
    <w:abstractNumId w:val="22"/>
  </w:num>
  <w:num w:numId="23">
    <w:abstractNumId w:val="28"/>
  </w:num>
  <w:num w:numId="24">
    <w:abstractNumId w:val="25"/>
  </w:num>
  <w:num w:numId="25">
    <w:abstractNumId w:val="34"/>
  </w:num>
  <w:num w:numId="26">
    <w:abstractNumId w:val="14"/>
  </w:num>
  <w:num w:numId="27">
    <w:abstractNumId w:val="0"/>
  </w:num>
  <w:num w:numId="28">
    <w:abstractNumId w:val="18"/>
  </w:num>
  <w:num w:numId="29">
    <w:abstractNumId w:val="4"/>
  </w:num>
  <w:num w:numId="30">
    <w:abstractNumId w:val="16"/>
  </w:num>
  <w:num w:numId="31">
    <w:abstractNumId w:val="36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"/>
  </w:num>
  <w:num w:numId="35">
    <w:abstractNumId w:val="5"/>
  </w:num>
  <w:num w:numId="36">
    <w:abstractNumId w:val="9"/>
  </w:num>
  <w:num w:numId="37">
    <w:abstractNumId w:val="27"/>
  </w:num>
  <w:num w:numId="38">
    <w:abstractNumId w:val="32"/>
  </w:num>
  <w:num w:numId="39">
    <w:abstractNumId w:val="2"/>
  </w:num>
  <w:num w:numId="40">
    <w:abstractNumId w:val="37"/>
  </w:num>
  <w:num w:numId="41">
    <w:abstractNumId w:val="6"/>
  </w:num>
  <w:num w:numId="42">
    <w:abstractNumId w:val="38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0AF2"/>
    <w:rsid w:val="0000179E"/>
    <w:rsid w:val="00006AD4"/>
    <w:rsid w:val="00007294"/>
    <w:rsid w:val="00010FD2"/>
    <w:rsid w:val="000138C9"/>
    <w:rsid w:val="00014168"/>
    <w:rsid w:val="000152D3"/>
    <w:rsid w:val="00015D7B"/>
    <w:rsid w:val="00017A16"/>
    <w:rsid w:val="0002490F"/>
    <w:rsid w:val="00025D01"/>
    <w:rsid w:val="00026E09"/>
    <w:rsid w:val="00026E8B"/>
    <w:rsid w:val="000279B7"/>
    <w:rsid w:val="00034F86"/>
    <w:rsid w:val="00037CE0"/>
    <w:rsid w:val="00037F4D"/>
    <w:rsid w:val="00051FDD"/>
    <w:rsid w:val="000534E3"/>
    <w:rsid w:val="00053929"/>
    <w:rsid w:val="0005515A"/>
    <w:rsid w:val="000568BA"/>
    <w:rsid w:val="00057B25"/>
    <w:rsid w:val="000610CF"/>
    <w:rsid w:val="00061CB2"/>
    <w:rsid w:val="00062809"/>
    <w:rsid w:val="0006506B"/>
    <w:rsid w:val="00065C9E"/>
    <w:rsid w:val="000660C8"/>
    <w:rsid w:val="00066A3B"/>
    <w:rsid w:val="00072EEA"/>
    <w:rsid w:val="00074DE8"/>
    <w:rsid w:val="00074F28"/>
    <w:rsid w:val="00080BE6"/>
    <w:rsid w:val="000840F0"/>
    <w:rsid w:val="0009059F"/>
    <w:rsid w:val="00092F3B"/>
    <w:rsid w:val="00092F4E"/>
    <w:rsid w:val="00096E5F"/>
    <w:rsid w:val="000979C0"/>
    <w:rsid w:val="000A0F35"/>
    <w:rsid w:val="000A339A"/>
    <w:rsid w:val="000A3437"/>
    <w:rsid w:val="000A3E3E"/>
    <w:rsid w:val="000A4D3D"/>
    <w:rsid w:val="000A54CA"/>
    <w:rsid w:val="000A63C7"/>
    <w:rsid w:val="000A63FF"/>
    <w:rsid w:val="000A6BFA"/>
    <w:rsid w:val="000B0FB5"/>
    <w:rsid w:val="000B17BB"/>
    <w:rsid w:val="000B3A1B"/>
    <w:rsid w:val="000B466C"/>
    <w:rsid w:val="000C0A55"/>
    <w:rsid w:val="000C2489"/>
    <w:rsid w:val="000C70D9"/>
    <w:rsid w:val="000D068C"/>
    <w:rsid w:val="000D1705"/>
    <w:rsid w:val="000D171B"/>
    <w:rsid w:val="000D1884"/>
    <w:rsid w:val="000D4E44"/>
    <w:rsid w:val="000D5C76"/>
    <w:rsid w:val="000E285E"/>
    <w:rsid w:val="000E2FA0"/>
    <w:rsid w:val="000E4161"/>
    <w:rsid w:val="000E47E9"/>
    <w:rsid w:val="000E5C86"/>
    <w:rsid w:val="000F247D"/>
    <w:rsid w:val="000F2995"/>
    <w:rsid w:val="000F31AE"/>
    <w:rsid w:val="000F380A"/>
    <w:rsid w:val="000F6601"/>
    <w:rsid w:val="000F726B"/>
    <w:rsid w:val="000F7A27"/>
    <w:rsid w:val="000F7DE2"/>
    <w:rsid w:val="00103ACB"/>
    <w:rsid w:val="001040F2"/>
    <w:rsid w:val="001053AF"/>
    <w:rsid w:val="00106655"/>
    <w:rsid w:val="00107865"/>
    <w:rsid w:val="00110895"/>
    <w:rsid w:val="0011120D"/>
    <w:rsid w:val="001113FC"/>
    <w:rsid w:val="00111B4D"/>
    <w:rsid w:val="00111C7E"/>
    <w:rsid w:val="00116F86"/>
    <w:rsid w:val="00116FD2"/>
    <w:rsid w:val="00117BAC"/>
    <w:rsid w:val="0012096C"/>
    <w:rsid w:val="001217B7"/>
    <w:rsid w:val="00122B39"/>
    <w:rsid w:val="00123272"/>
    <w:rsid w:val="00125BD5"/>
    <w:rsid w:val="00126D1D"/>
    <w:rsid w:val="00127828"/>
    <w:rsid w:val="0013295E"/>
    <w:rsid w:val="0013545E"/>
    <w:rsid w:val="001359D3"/>
    <w:rsid w:val="0013614E"/>
    <w:rsid w:val="00137AC7"/>
    <w:rsid w:val="00141787"/>
    <w:rsid w:val="00142B88"/>
    <w:rsid w:val="0014453D"/>
    <w:rsid w:val="0014575C"/>
    <w:rsid w:val="00146B9E"/>
    <w:rsid w:val="00152700"/>
    <w:rsid w:val="00157656"/>
    <w:rsid w:val="00160381"/>
    <w:rsid w:val="00161BDA"/>
    <w:rsid w:val="0016277B"/>
    <w:rsid w:val="001645BB"/>
    <w:rsid w:val="00165524"/>
    <w:rsid w:val="001663DB"/>
    <w:rsid w:val="00166DE6"/>
    <w:rsid w:val="00167055"/>
    <w:rsid w:val="00170872"/>
    <w:rsid w:val="00171618"/>
    <w:rsid w:val="00172D2D"/>
    <w:rsid w:val="00176E7A"/>
    <w:rsid w:val="0017758A"/>
    <w:rsid w:val="001819B1"/>
    <w:rsid w:val="001825B2"/>
    <w:rsid w:val="001876AE"/>
    <w:rsid w:val="001912E7"/>
    <w:rsid w:val="00194EAB"/>
    <w:rsid w:val="00195A26"/>
    <w:rsid w:val="00196F71"/>
    <w:rsid w:val="00197764"/>
    <w:rsid w:val="001A2071"/>
    <w:rsid w:val="001A2D10"/>
    <w:rsid w:val="001A5F7E"/>
    <w:rsid w:val="001A6850"/>
    <w:rsid w:val="001A7B4D"/>
    <w:rsid w:val="001A7DA5"/>
    <w:rsid w:val="001B1F9E"/>
    <w:rsid w:val="001B30C4"/>
    <w:rsid w:val="001B375B"/>
    <w:rsid w:val="001B6E0D"/>
    <w:rsid w:val="001B772D"/>
    <w:rsid w:val="001C0D1A"/>
    <w:rsid w:val="001C150B"/>
    <w:rsid w:val="001C263A"/>
    <w:rsid w:val="001C379B"/>
    <w:rsid w:val="001C5E41"/>
    <w:rsid w:val="001C5E50"/>
    <w:rsid w:val="001C73CB"/>
    <w:rsid w:val="001C77BC"/>
    <w:rsid w:val="001D48BB"/>
    <w:rsid w:val="001D55F2"/>
    <w:rsid w:val="001D6B24"/>
    <w:rsid w:val="001D78C2"/>
    <w:rsid w:val="001E00E3"/>
    <w:rsid w:val="001E0580"/>
    <w:rsid w:val="001E0658"/>
    <w:rsid w:val="001E1B8E"/>
    <w:rsid w:val="001E23D7"/>
    <w:rsid w:val="001E3FF9"/>
    <w:rsid w:val="001E7AB3"/>
    <w:rsid w:val="001F0C66"/>
    <w:rsid w:val="001F2349"/>
    <w:rsid w:val="001F2708"/>
    <w:rsid w:val="001F3C45"/>
    <w:rsid w:val="001F57E8"/>
    <w:rsid w:val="002005D2"/>
    <w:rsid w:val="0020298B"/>
    <w:rsid w:val="002031A9"/>
    <w:rsid w:val="002052CF"/>
    <w:rsid w:val="00206111"/>
    <w:rsid w:val="00206C65"/>
    <w:rsid w:val="00207362"/>
    <w:rsid w:val="00210D9D"/>
    <w:rsid w:val="00211984"/>
    <w:rsid w:val="002128BA"/>
    <w:rsid w:val="002137E0"/>
    <w:rsid w:val="00213F5E"/>
    <w:rsid w:val="00214348"/>
    <w:rsid w:val="00217576"/>
    <w:rsid w:val="002178D0"/>
    <w:rsid w:val="0022111D"/>
    <w:rsid w:val="00221142"/>
    <w:rsid w:val="002218A8"/>
    <w:rsid w:val="00231F6E"/>
    <w:rsid w:val="002333E8"/>
    <w:rsid w:val="00233CED"/>
    <w:rsid w:val="00237830"/>
    <w:rsid w:val="00242E59"/>
    <w:rsid w:val="0024387A"/>
    <w:rsid w:val="0025098C"/>
    <w:rsid w:val="00252C88"/>
    <w:rsid w:val="002531D8"/>
    <w:rsid w:val="0025471D"/>
    <w:rsid w:val="0025610B"/>
    <w:rsid w:val="00263542"/>
    <w:rsid w:val="002663AA"/>
    <w:rsid w:val="002714A5"/>
    <w:rsid w:val="002741AC"/>
    <w:rsid w:val="00274727"/>
    <w:rsid w:val="00275F13"/>
    <w:rsid w:val="00281542"/>
    <w:rsid w:val="002819C0"/>
    <w:rsid w:val="0028548C"/>
    <w:rsid w:val="00292FC9"/>
    <w:rsid w:val="002941D9"/>
    <w:rsid w:val="002947EA"/>
    <w:rsid w:val="00295298"/>
    <w:rsid w:val="00295556"/>
    <w:rsid w:val="00295BB5"/>
    <w:rsid w:val="00295C91"/>
    <w:rsid w:val="00295FF8"/>
    <w:rsid w:val="00296598"/>
    <w:rsid w:val="002A2748"/>
    <w:rsid w:val="002A4A06"/>
    <w:rsid w:val="002A5A4D"/>
    <w:rsid w:val="002A6A9D"/>
    <w:rsid w:val="002B0BD1"/>
    <w:rsid w:val="002B0F2D"/>
    <w:rsid w:val="002B4262"/>
    <w:rsid w:val="002B4D97"/>
    <w:rsid w:val="002B4F80"/>
    <w:rsid w:val="002C01DA"/>
    <w:rsid w:val="002C1FF0"/>
    <w:rsid w:val="002C338F"/>
    <w:rsid w:val="002C3A95"/>
    <w:rsid w:val="002C739E"/>
    <w:rsid w:val="002D2700"/>
    <w:rsid w:val="002D4876"/>
    <w:rsid w:val="002D5A4D"/>
    <w:rsid w:val="002D7731"/>
    <w:rsid w:val="002E0574"/>
    <w:rsid w:val="002E1B83"/>
    <w:rsid w:val="002E22AF"/>
    <w:rsid w:val="002E2BCA"/>
    <w:rsid w:val="002E3528"/>
    <w:rsid w:val="002E68C1"/>
    <w:rsid w:val="002E75BD"/>
    <w:rsid w:val="002F2A7B"/>
    <w:rsid w:val="002F3C29"/>
    <w:rsid w:val="002F5271"/>
    <w:rsid w:val="002F6155"/>
    <w:rsid w:val="002F77D7"/>
    <w:rsid w:val="00306962"/>
    <w:rsid w:val="00306BA4"/>
    <w:rsid w:val="00306BED"/>
    <w:rsid w:val="00306FE2"/>
    <w:rsid w:val="0030773C"/>
    <w:rsid w:val="00310796"/>
    <w:rsid w:val="00321739"/>
    <w:rsid w:val="00323B38"/>
    <w:rsid w:val="00324398"/>
    <w:rsid w:val="003264CE"/>
    <w:rsid w:val="003270A6"/>
    <w:rsid w:val="00327C35"/>
    <w:rsid w:val="00327E80"/>
    <w:rsid w:val="003337AE"/>
    <w:rsid w:val="00337B4E"/>
    <w:rsid w:val="00337B60"/>
    <w:rsid w:val="00340329"/>
    <w:rsid w:val="00340BA1"/>
    <w:rsid w:val="0034176B"/>
    <w:rsid w:val="0034376B"/>
    <w:rsid w:val="003441C0"/>
    <w:rsid w:val="00345611"/>
    <w:rsid w:val="00346AD5"/>
    <w:rsid w:val="00346BE0"/>
    <w:rsid w:val="00355D2B"/>
    <w:rsid w:val="00356943"/>
    <w:rsid w:val="003612A3"/>
    <w:rsid w:val="00362634"/>
    <w:rsid w:val="0036283B"/>
    <w:rsid w:val="00364794"/>
    <w:rsid w:val="00364ADE"/>
    <w:rsid w:val="0036781A"/>
    <w:rsid w:val="00372250"/>
    <w:rsid w:val="00381003"/>
    <w:rsid w:val="003818CC"/>
    <w:rsid w:val="00384FC3"/>
    <w:rsid w:val="00390C4B"/>
    <w:rsid w:val="00392BDB"/>
    <w:rsid w:val="00394567"/>
    <w:rsid w:val="003A039A"/>
    <w:rsid w:val="003A0CFD"/>
    <w:rsid w:val="003A15C2"/>
    <w:rsid w:val="003A26D2"/>
    <w:rsid w:val="003A318A"/>
    <w:rsid w:val="003A3804"/>
    <w:rsid w:val="003A52BE"/>
    <w:rsid w:val="003A5713"/>
    <w:rsid w:val="003A5866"/>
    <w:rsid w:val="003A6947"/>
    <w:rsid w:val="003A6E9F"/>
    <w:rsid w:val="003B053D"/>
    <w:rsid w:val="003B1483"/>
    <w:rsid w:val="003B23CF"/>
    <w:rsid w:val="003B7BE1"/>
    <w:rsid w:val="003C3515"/>
    <w:rsid w:val="003C384D"/>
    <w:rsid w:val="003C4757"/>
    <w:rsid w:val="003C501F"/>
    <w:rsid w:val="003C7F0A"/>
    <w:rsid w:val="003D0D54"/>
    <w:rsid w:val="003D2579"/>
    <w:rsid w:val="003D2DBE"/>
    <w:rsid w:val="003D352B"/>
    <w:rsid w:val="003D4203"/>
    <w:rsid w:val="003D4CD6"/>
    <w:rsid w:val="003D6921"/>
    <w:rsid w:val="003E05A8"/>
    <w:rsid w:val="003E0F9C"/>
    <w:rsid w:val="003E2B56"/>
    <w:rsid w:val="003E38C2"/>
    <w:rsid w:val="003E3AD3"/>
    <w:rsid w:val="003E5890"/>
    <w:rsid w:val="003F1FA8"/>
    <w:rsid w:val="003F2F7F"/>
    <w:rsid w:val="003F3992"/>
    <w:rsid w:val="003F62C4"/>
    <w:rsid w:val="00400AFA"/>
    <w:rsid w:val="00402432"/>
    <w:rsid w:val="004045B5"/>
    <w:rsid w:val="00405AD8"/>
    <w:rsid w:val="00406306"/>
    <w:rsid w:val="00412E7F"/>
    <w:rsid w:val="0041506F"/>
    <w:rsid w:val="0041513F"/>
    <w:rsid w:val="0041555D"/>
    <w:rsid w:val="00421AA7"/>
    <w:rsid w:val="004228C7"/>
    <w:rsid w:val="00423718"/>
    <w:rsid w:val="00424D51"/>
    <w:rsid w:val="00425BE5"/>
    <w:rsid w:val="00425EF4"/>
    <w:rsid w:val="00427324"/>
    <w:rsid w:val="0042798B"/>
    <w:rsid w:val="00431734"/>
    <w:rsid w:val="00431B87"/>
    <w:rsid w:val="004327FB"/>
    <w:rsid w:val="00432B12"/>
    <w:rsid w:val="0043309D"/>
    <w:rsid w:val="00433113"/>
    <w:rsid w:val="0043396A"/>
    <w:rsid w:val="00434865"/>
    <w:rsid w:val="00434913"/>
    <w:rsid w:val="00441A35"/>
    <w:rsid w:val="00445A22"/>
    <w:rsid w:val="0044606D"/>
    <w:rsid w:val="00446220"/>
    <w:rsid w:val="004474F8"/>
    <w:rsid w:val="00451172"/>
    <w:rsid w:val="00451390"/>
    <w:rsid w:val="004523D4"/>
    <w:rsid w:val="0046206C"/>
    <w:rsid w:val="004622DE"/>
    <w:rsid w:val="00464174"/>
    <w:rsid w:val="00464266"/>
    <w:rsid w:val="004656F4"/>
    <w:rsid w:val="0047033E"/>
    <w:rsid w:val="00472E0D"/>
    <w:rsid w:val="00473E96"/>
    <w:rsid w:val="00477550"/>
    <w:rsid w:val="004810CA"/>
    <w:rsid w:val="00482E23"/>
    <w:rsid w:val="004844A8"/>
    <w:rsid w:val="00495853"/>
    <w:rsid w:val="00496803"/>
    <w:rsid w:val="004A1A5D"/>
    <w:rsid w:val="004A25B5"/>
    <w:rsid w:val="004A55A7"/>
    <w:rsid w:val="004A73C3"/>
    <w:rsid w:val="004B187B"/>
    <w:rsid w:val="004B515A"/>
    <w:rsid w:val="004B6688"/>
    <w:rsid w:val="004B6D9F"/>
    <w:rsid w:val="004B7282"/>
    <w:rsid w:val="004C0107"/>
    <w:rsid w:val="004C5041"/>
    <w:rsid w:val="004C6332"/>
    <w:rsid w:val="004C64F4"/>
    <w:rsid w:val="004D199C"/>
    <w:rsid w:val="004D2E8F"/>
    <w:rsid w:val="004D458A"/>
    <w:rsid w:val="004D7BDD"/>
    <w:rsid w:val="004D7DCC"/>
    <w:rsid w:val="004E0240"/>
    <w:rsid w:val="004E18D2"/>
    <w:rsid w:val="004E2714"/>
    <w:rsid w:val="004E32AB"/>
    <w:rsid w:val="004E6DB0"/>
    <w:rsid w:val="004F3317"/>
    <w:rsid w:val="004F69D1"/>
    <w:rsid w:val="004F73D2"/>
    <w:rsid w:val="00501CDD"/>
    <w:rsid w:val="0050450F"/>
    <w:rsid w:val="0050555F"/>
    <w:rsid w:val="005065DB"/>
    <w:rsid w:val="00510D29"/>
    <w:rsid w:val="005118D7"/>
    <w:rsid w:val="00516D07"/>
    <w:rsid w:val="005170F7"/>
    <w:rsid w:val="005244A4"/>
    <w:rsid w:val="00525D05"/>
    <w:rsid w:val="00526481"/>
    <w:rsid w:val="00526950"/>
    <w:rsid w:val="00527783"/>
    <w:rsid w:val="005301E9"/>
    <w:rsid w:val="005331C2"/>
    <w:rsid w:val="00533C62"/>
    <w:rsid w:val="0053671A"/>
    <w:rsid w:val="00540583"/>
    <w:rsid w:val="0054117E"/>
    <w:rsid w:val="0054130C"/>
    <w:rsid w:val="00541C1A"/>
    <w:rsid w:val="00544B31"/>
    <w:rsid w:val="00545A6B"/>
    <w:rsid w:val="00550BD4"/>
    <w:rsid w:val="00554A1F"/>
    <w:rsid w:val="00555518"/>
    <w:rsid w:val="00556284"/>
    <w:rsid w:val="0055659C"/>
    <w:rsid w:val="005600F2"/>
    <w:rsid w:val="005645A2"/>
    <w:rsid w:val="00564642"/>
    <w:rsid w:val="0056466A"/>
    <w:rsid w:val="005672E5"/>
    <w:rsid w:val="005676E7"/>
    <w:rsid w:val="00567EDC"/>
    <w:rsid w:val="00571A5B"/>
    <w:rsid w:val="00571B72"/>
    <w:rsid w:val="00571D1A"/>
    <w:rsid w:val="0057488C"/>
    <w:rsid w:val="00574A54"/>
    <w:rsid w:val="00574C6F"/>
    <w:rsid w:val="005756E9"/>
    <w:rsid w:val="005814B5"/>
    <w:rsid w:val="005821F4"/>
    <w:rsid w:val="00582B28"/>
    <w:rsid w:val="005864A5"/>
    <w:rsid w:val="00587004"/>
    <w:rsid w:val="00591022"/>
    <w:rsid w:val="00591E85"/>
    <w:rsid w:val="00593817"/>
    <w:rsid w:val="00593CB5"/>
    <w:rsid w:val="005A0AE2"/>
    <w:rsid w:val="005B31C1"/>
    <w:rsid w:val="005B3304"/>
    <w:rsid w:val="005B65D4"/>
    <w:rsid w:val="005B6CA6"/>
    <w:rsid w:val="005B738A"/>
    <w:rsid w:val="005B7719"/>
    <w:rsid w:val="005C36BD"/>
    <w:rsid w:val="005C4A21"/>
    <w:rsid w:val="005C585C"/>
    <w:rsid w:val="005C6BDB"/>
    <w:rsid w:val="005D1E18"/>
    <w:rsid w:val="005D3422"/>
    <w:rsid w:val="005D3E9D"/>
    <w:rsid w:val="005D57B0"/>
    <w:rsid w:val="005D6C72"/>
    <w:rsid w:val="005D793E"/>
    <w:rsid w:val="005E0D87"/>
    <w:rsid w:val="005E20E4"/>
    <w:rsid w:val="005E3207"/>
    <w:rsid w:val="005E798B"/>
    <w:rsid w:val="005F1960"/>
    <w:rsid w:val="005F1A22"/>
    <w:rsid w:val="005F23AF"/>
    <w:rsid w:val="005F640D"/>
    <w:rsid w:val="00600BD7"/>
    <w:rsid w:val="00601DEE"/>
    <w:rsid w:val="00603AA3"/>
    <w:rsid w:val="00605662"/>
    <w:rsid w:val="00606044"/>
    <w:rsid w:val="006107A3"/>
    <w:rsid w:val="00611386"/>
    <w:rsid w:val="00611753"/>
    <w:rsid w:val="00613FD2"/>
    <w:rsid w:val="00614307"/>
    <w:rsid w:val="00614B6F"/>
    <w:rsid w:val="00615407"/>
    <w:rsid w:val="00615BB6"/>
    <w:rsid w:val="00621D31"/>
    <w:rsid w:val="0062295A"/>
    <w:rsid w:val="00624345"/>
    <w:rsid w:val="0062474B"/>
    <w:rsid w:val="006256D3"/>
    <w:rsid w:val="00625F8D"/>
    <w:rsid w:val="00626844"/>
    <w:rsid w:val="00627BB7"/>
    <w:rsid w:val="00635EF1"/>
    <w:rsid w:val="00636959"/>
    <w:rsid w:val="00642D0F"/>
    <w:rsid w:val="006431B2"/>
    <w:rsid w:val="00643CE1"/>
    <w:rsid w:val="0064447C"/>
    <w:rsid w:val="006446DC"/>
    <w:rsid w:val="00644A13"/>
    <w:rsid w:val="00644A66"/>
    <w:rsid w:val="00644D4D"/>
    <w:rsid w:val="006462AD"/>
    <w:rsid w:val="00647084"/>
    <w:rsid w:val="0065041B"/>
    <w:rsid w:val="0065136E"/>
    <w:rsid w:val="00652DDB"/>
    <w:rsid w:val="0065435B"/>
    <w:rsid w:val="00656CBF"/>
    <w:rsid w:val="00657FD9"/>
    <w:rsid w:val="00660C45"/>
    <w:rsid w:val="00664E59"/>
    <w:rsid w:val="00670D71"/>
    <w:rsid w:val="00671192"/>
    <w:rsid w:val="006730AD"/>
    <w:rsid w:val="00682E1C"/>
    <w:rsid w:val="00685573"/>
    <w:rsid w:val="00693FFD"/>
    <w:rsid w:val="006A0BDA"/>
    <w:rsid w:val="006A4718"/>
    <w:rsid w:val="006A625B"/>
    <w:rsid w:val="006A6B2D"/>
    <w:rsid w:val="006A7232"/>
    <w:rsid w:val="006B0F63"/>
    <w:rsid w:val="006B19ED"/>
    <w:rsid w:val="006B7C5D"/>
    <w:rsid w:val="006C03C5"/>
    <w:rsid w:val="006C199C"/>
    <w:rsid w:val="006C4B67"/>
    <w:rsid w:val="006C5204"/>
    <w:rsid w:val="006C744E"/>
    <w:rsid w:val="006D54D5"/>
    <w:rsid w:val="006D78B1"/>
    <w:rsid w:val="006E4037"/>
    <w:rsid w:val="006E4080"/>
    <w:rsid w:val="006E4D77"/>
    <w:rsid w:val="006E51BC"/>
    <w:rsid w:val="006E7DCE"/>
    <w:rsid w:val="006F7513"/>
    <w:rsid w:val="0070383E"/>
    <w:rsid w:val="007050FF"/>
    <w:rsid w:val="00705D3F"/>
    <w:rsid w:val="007141A9"/>
    <w:rsid w:val="00715F37"/>
    <w:rsid w:val="00716971"/>
    <w:rsid w:val="00722F57"/>
    <w:rsid w:val="007255EB"/>
    <w:rsid w:val="00725937"/>
    <w:rsid w:val="00726DB1"/>
    <w:rsid w:val="00730E92"/>
    <w:rsid w:val="00731382"/>
    <w:rsid w:val="00731914"/>
    <w:rsid w:val="00731E79"/>
    <w:rsid w:val="00733AE6"/>
    <w:rsid w:val="007378F3"/>
    <w:rsid w:val="007403E4"/>
    <w:rsid w:val="007418A3"/>
    <w:rsid w:val="00743A0D"/>
    <w:rsid w:val="00744255"/>
    <w:rsid w:val="0074477B"/>
    <w:rsid w:val="007524C3"/>
    <w:rsid w:val="00752764"/>
    <w:rsid w:val="0075286D"/>
    <w:rsid w:val="00754124"/>
    <w:rsid w:val="00755700"/>
    <w:rsid w:val="0075622E"/>
    <w:rsid w:val="00757029"/>
    <w:rsid w:val="00763605"/>
    <w:rsid w:val="0076433A"/>
    <w:rsid w:val="00765F32"/>
    <w:rsid w:val="00766962"/>
    <w:rsid w:val="00770469"/>
    <w:rsid w:val="00770A52"/>
    <w:rsid w:val="007715C8"/>
    <w:rsid w:val="00771AF8"/>
    <w:rsid w:val="00771B25"/>
    <w:rsid w:val="00775287"/>
    <w:rsid w:val="00775924"/>
    <w:rsid w:val="007768E2"/>
    <w:rsid w:val="00777BAB"/>
    <w:rsid w:val="00781464"/>
    <w:rsid w:val="007816EC"/>
    <w:rsid w:val="00781862"/>
    <w:rsid w:val="0078213C"/>
    <w:rsid w:val="00782ED0"/>
    <w:rsid w:val="00785102"/>
    <w:rsid w:val="00785FCB"/>
    <w:rsid w:val="00786D99"/>
    <w:rsid w:val="00797071"/>
    <w:rsid w:val="007A13A3"/>
    <w:rsid w:val="007A1C2C"/>
    <w:rsid w:val="007A2577"/>
    <w:rsid w:val="007A2CB9"/>
    <w:rsid w:val="007A2D92"/>
    <w:rsid w:val="007B0AFE"/>
    <w:rsid w:val="007B0B0D"/>
    <w:rsid w:val="007B1F16"/>
    <w:rsid w:val="007B1FA5"/>
    <w:rsid w:val="007B32F6"/>
    <w:rsid w:val="007B41F7"/>
    <w:rsid w:val="007B4B56"/>
    <w:rsid w:val="007B5AAC"/>
    <w:rsid w:val="007B748D"/>
    <w:rsid w:val="007C774A"/>
    <w:rsid w:val="007D2746"/>
    <w:rsid w:val="007D33F4"/>
    <w:rsid w:val="007D391D"/>
    <w:rsid w:val="007D3ED8"/>
    <w:rsid w:val="007E1ABE"/>
    <w:rsid w:val="007E26D3"/>
    <w:rsid w:val="007E437A"/>
    <w:rsid w:val="007E725D"/>
    <w:rsid w:val="007F0A11"/>
    <w:rsid w:val="007F1189"/>
    <w:rsid w:val="007F2AD0"/>
    <w:rsid w:val="007F2DF7"/>
    <w:rsid w:val="007F341A"/>
    <w:rsid w:val="007F3ABE"/>
    <w:rsid w:val="007F3F91"/>
    <w:rsid w:val="007F44BD"/>
    <w:rsid w:val="008030AE"/>
    <w:rsid w:val="008031DE"/>
    <w:rsid w:val="00804540"/>
    <w:rsid w:val="008068B6"/>
    <w:rsid w:val="00806E3A"/>
    <w:rsid w:val="00811DAA"/>
    <w:rsid w:val="00814FEC"/>
    <w:rsid w:val="0081636C"/>
    <w:rsid w:val="00816A1B"/>
    <w:rsid w:val="008178C7"/>
    <w:rsid w:val="0082063A"/>
    <w:rsid w:val="008212CA"/>
    <w:rsid w:val="008217D7"/>
    <w:rsid w:val="00822221"/>
    <w:rsid w:val="00824BC4"/>
    <w:rsid w:val="00824DD9"/>
    <w:rsid w:val="00826FE8"/>
    <w:rsid w:val="008328E9"/>
    <w:rsid w:val="00835BCB"/>
    <w:rsid w:val="00835CDC"/>
    <w:rsid w:val="008360EC"/>
    <w:rsid w:val="00836446"/>
    <w:rsid w:val="0083661D"/>
    <w:rsid w:val="00836B95"/>
    <w:rsid w:val="00836C60"/>
    <w:rsid w:val="0084049D"/>
    <w:rsid w:val="00843622"/>
    <w:rsid w:val="00845EF9"/>
    <w:rsid w:val="00850B09"/>
    <w:rsid w:val="008526B2"/>
    <w:rsid w:val="008527F0"/>
    <w:rsid w:val="00852D89"/>
    <w:rsid w:val="0085444B"/>
    <w:rsid w:val="008561D2"/>
    <w:rsid w:val="00856D6E"/>
    <w:rsid w:val="0086144B"/>
    <w:rsid w:val="00861775"/>
    <w:rsid w:val="00861AE9"/>
    <w:rsid w:val="00862C6D"/>
    <w:rsid w:val="00862CB1"/>
    <w:rsid w:val="00863B7C"/>
    <w:rsid w:val="00863B9D"/>
    <w:rsid w:val="00863BE6"/>
    <w:rsid w:val="00863F2D"/>
    <w:rsid w:val="00871056"/>
    <w:rsid w:val="0087197C"/>
    <w:rsid w:val="008724AF"/>
    <w:rsid w:val="008733BF"/>
    <w:rsid w:val="00874211"/>
    <w:rsid w:val="00875172"/>
    <w:rsid w:val="008760C2"/>
    <w:rsid w:val="008775BC"/>
    <w:rsid w:val="0088059B"/>
    <w:rsid w:val="00881E05"/>
    <w:rsid w:val="00882F1B"/>
    <w:rsid w:val="00883ECA"/>
    <w:rsid w:val="008849A6"/>
    <w:rsid w:val="00886AEB"/>
    <w:rsid w:val="008905BC"/>
    <w:rsid w:val="00891991"/>
    <w:rsid w:val="00894456"/>
    <w:rsid w:val="00895A61"/>
    <w:rsid w:val="00895E0F"/>
    <w:rsid w:val="008A1544"/>
    <w:rsid w:val="008A191E"/>
    <w:rsid w:val="008A2696"/>
    <w:rsid w:val="008A5D38"/>
    <w:rsid w:val="008A70CE"/>
    <w:rsid w:val="008A79BD"/>
    <w:rsid w:val="008B6D14"/>
    <w:rsid w:val="008C231C"/>
    <w:rsid w:val="008C25E4"/>
    <w:rsid w:val="008C2BA0"/>
    <w:rsid w:val="008C2DAE"/>
    <w:rsid w:val="008C421A"/>
    <w:rsid w:val="008C5314"/>
    <w:rsid w:val="008D417A"/>
    <w:rsid w:val="008E09B1"/>
    <w:rsid w:val="008E2215"/>
    <w:rsid w:val="008E4FA6"/>
    <w:rsid w:val="008E5BB0"/>
    <w:rsid w:val="008E69E8"/>
    <w:rsid w:val="008E7135"/>
    <w:rsid w:val="008E7CA5"/>
    <w:rsid w:val="008F1271"/>
    <w:rsid w:val="008F3FB5"/>
    <w:rsid w:val="00901473"/>
    <w:rsid w:val="00901E7F"/>
    <w:rsid w:val="009024C9"/>
    <w:rsid w:val="00903FA5"/>
    <w:rsid w:val="009059A9"/>
    <w:rsid w:val="009108F2"/>
    <w:rsid w:val="00911C11"/>
    <w:rsid w:val="00913356"/>
    <w:rsid w:val="00916BF2"/>
    <w:rsid w:val="00916CDF"/>
    <w:rsid w:val="009172B1"/>
    <w:rsid w:val="00917824"/>
    <w:rsid w:val="009207CF"/>
    <w:rsid w:val="00921448"/>
    <w:rsid w:val="0092261B"/>
    <w:rsid w:val="00923947"/>
    <w:rsid w:val="00923DC5"/>
    <w:rsid w:val="00924348"/>
    <w:rsid w:val="0092515E"/>
    <w:rsid w:val="009274E7"/>
    <w:rsid w:val="00930A5A"/>
    <w:rsid w:val="00930C93"/>
    <w:rsid w:val="0093199F"/>
    <w:rsid w:val="00932132"/>
    <w:rsid w:val="00933403"/>
    <w:rsid w:val="00936F43"/>
    <w:rsid w:val="009405DE"/>
    <w:rsid w:val="009422B2"/>
    <w:rsid w:val="00942F8A"/>
    <w:rsid w:val="00942FBD"/>
    <w:rsid w:val="00944A2C"/>
    <w:rsid w:val="0094770B"/>
    <w:rsid w:val="009507BA"/>
    <w:rsid w:val="00950B0E"/>
    <w:rsid w:val="00951187"/>
    <w:rsid w:val="009514E6"/>
    <w:rsid w:val="00952BBC"/>
    <w:rsid w:val="00952D61"/>
    <w:rsid w:val="00961BE6"/>
    <w:rsid w:val="009666CE"/>
    <w:rsid w:val="00971E10"/>
    <w:rsid w:val="00972E40"/>
    <w:rsid w:val="00973FE9"/>
    <w:rsid w:val="00974CC3"/>
    <w:rsid w:val="00975147"/>
    <w:rsid w:val="009763AC"/>
    <w:rsid w:val="00976CAD"/>
    <w:rsid w:val="00977811"/>
    <w:rsid w:val="00981A0F"/>
    <w:rsid w:val="00984157"/>
    <w:rsid w:val="00991E80"/>
    <w:rsid w:val="00995683"/>
    <w:rsid w:val="00995E2D"/>
    <w:rsid w:val="009A122E"/>
    <w:rsid w:val="009A2754"/>
    <w:rsid w:val="009A32ED"/>
    <w:rsid w:val="009A47C3"/>
    <w:rsid w:val="009A701E"/>
    <w:rsid w:val="009A7D30"/>
    <w:rsid w:val="009B174E"/>
    <w:rsid w:val="009B18DC"/>
    <w:rsid w:val="009B2267"/>
    <w:rsid w:val="009B527F"/>
    <w:rsid w:val="009B6F5E"/>
    <w:rsid w:val="009B782F"/>
    <w:rsid w:val="009C2C5F"/>
    <w:rsid w:val="009C2DA3"/>
    <w:rsid w:val="009C3B85"/>
    <w:rsid w:val="009C7F10"/>
    <w:rsid w:val="009D022E"/>
    <w:rsid w:val="009D0F03"/>
    <w:rsid w:val="009D1339"/>
    <w:rsid w:val="009D281A"/>
    <w:rsid w:val="009D2DC0"/>
    <w:rsid w:val="009D63CF"/>
    <w:rsid w:val="009D78F7"/>
    <w:rsid w:val="009D7DF6"/>
    <w:rsid w:val="009E050C"/>
    <w:rsid w:val="009E0AE8"/>
    <w:rsid w:val="009E1E76"/>
    <w:rsid w:val="009E4024"/>
    <w:rsid w:val="009E5374"/>
    <w:rsid w:val="009E64C7"/>
    <w:rsid w:val="009F1371"/>
    <w:rsid w:val="009F1E2A"/>
    <w:rsid w:val="009F25D7"/>
    <w:rsid w:val="009F28E3"/>
    <w:rsid w:val="009F345D"/>
    <w:rsid w:val="009F3E0A"/>
    <w:rsid w:val="00A01DF0"/>
    <w:rsid w:val="00A03AC3"/>
    <w:rsid w:val="00A03D79"/>
    <w:rsid w:val="00A042C5"/>
    <w:rsid w:val="00A04C64"/>
    <w:rsid w:val="00A10928"/>
    <w:rsid w:val="00A1185E"/>
    <w:rsid w:val="00A13218"/>
    <w:rsid w:val="00A13541"/>
    <w:rsid w:val="00A13753"/>
    <w:rsid w:val="00A21438"/>
    <w:rsid w:val="00A227A3"/>
    <w:rsid w:val="00A27F14"/>
    <w:rsid w:val="00A36447"/>
    <w:rsid w:val="00A4023B"/>
    <w:rsid w:val="00A42A3F"/>
    <w:rsid w:val="00A42F0C"/>
    <w:rsid w:val="00A45196"/>
    <w:rsid w:val="00A45845"/>
    <w:rsid w:val="00A45B94"/>
    <w:rsid w:val="00A470F3"/>
    <w:rsid w:val="00A47CF0"/>
    <w:rsid w:val="00A51A5B"/>
    <w:rsid w:val="00A53B2A"/>
    <w:rsid w:val="00A60B73"/>
    <w:rsid w:val="00A6107D"/>
    <w:rsid w:val="00A6528A"/>
    <w:rsid w:val="00A6715F"/>
    <w:rsid w:val="00A73F63"/>
    <w:rsid w:val="00A744DD"/>
    <w:rsid w:val="00A76E6B"/>
    <w:rsid w:val="00A80080"/>
    <w:rsid w:val="00A82AB0"/>
    <w:rsid w:val="00A86C22"/>
    <w:rsid w:val="00A872C8"/>
    <w:rsid w:val="00A903E7"/>
    <w:rsid w:val="00A93AE9"/>
    <w:rsid w:val="00A94410"/>
    <w:rsid w:val="00A96F10"/>
    <w:rsid w:val="00AA0FE5"/>
    <w:rsid w:val="00AA2C9C"/>
    <w:rsid w:val="00AA3171"/>
    <w:rsid w:val="00AA3386"/>
    <w:rsid w:val="00AA4442"/>
    <w:rsid w:val="00AA5069"/>
    <w:rsid w:val="00AB19A7"/>
    <w:rsid w:val="00AB235E"/>
    <w:rsid w:val="00AB2918"/>
    <w:rsid w:val="00AB3044"/>
    <w:rsid w:val="00AB3BC5"/>
    <w:rsid w:val="00AB3BE8"/>
    <w:rsid w:val="00AB3CC1"/>
    <w:rsid w:val="00AB4951"/>
    <w:rsid w:val="00AB5C29"/>
    <w:rsid w:val="00AB64EB"/>
    <w:rsid w:val="00AB7634"/>
    <w:rsid w:val="00AC1A50"/>
    <w:rsid w:val="00AC5858"/>
    <w:rsid w:val="00AD08E1"/>
    <w:rsid w:val="00AD66C8"/>
    <w:rsid w:val="00AD6B8D"/>
    <w:rsid w:val="00AE0DB4"/>
    <w:rsid w:val="00AE1ED3"/>
    <w:rsid w:val="00AE4290"/>
    <w:rsid w:val="00AE68DB"/>
    <w:rsid w:val="00AF1364"/>
    <w:rsid w:val="00AF13C7"/>
    <w:rsid w:val="00AF1F3E"/>
    <w:rsid w:val="00AF5E3F"/>
    <w:rsid w:val="00AF740B"/>
    <w:rsid w:val="00B012D1"/>
    <w:rsid w:val="00B112A8"/>
    <w:rsid w:val="00B1285F"/>
    <w:rsid w:val="00B144D9"/>
    <w:rsid w:val="00B147EE"/>
    <w:rsid w:val="00B14939"/>
    <w:rsid w:val="00B1587A"/>
    <w:rsid w:val="00B20F6B"/>
    <w:rsid w:val="00B2124D"/>
    <w:rsid w:val="00B2229B"/>
    <w:rsid w:val="00B22303"/>
    <w:rsid w:val="00B229AB"/>
    <w:rsid w:val="00B22A18"/>
    <w:rsid w:val="00B315A0"/>
    <w:rsid w:val="00B3215B"/>
    <w:rsid w:val="00B323B0"/>
    <w:rsid w:val="00B34067"/>
    <w:rsid w:val="00B34A18"/>
    <w:rsid w:val="00B35D12"/>
    <w:rsid w:val="00B40B2C"/>
    <w:rsid w:val="00B40D48"/>
    <w:rsid w:val="00B44F86"/>
    <w:rsid w:val="00B45552"/>
    <w:rsid w:val="00B465F1"/>
    <w:rsid w:val="00B468CE"/>
    <w:rsid w:val="00B46EF7"/>
    <w:rsid w:val="00B563DF"/>
    <w:rsid w:val="00B56936"/>
    <w:rsid w:val="00B57192"/>
    <w:rsid w:val="00B579CB"/>
    <w:rsid w:val="00B619EC"/>
    <w:rsid w:val="00B626CD"/>
    <w:rsid w:val="00B635D7"/>
    <w:rsid w:val="00B65503"/>
    <w:rsid w:val="00B67A6C"/>
    <w:rsid w:val="00B70083"/>
    <w:rsid w:val="00B703F1"/>
    <w:rsid w:val="00B72AD3"/>
    <w:rsid w:val="00B74440"/>
    <w:rsid w:val="00B74592"/>
    <w:rsid w:val="00B76CC5"/>
    <w:rsid w:val="00B83D6F"/>
    <w:rsid w:val="00B858D0"/>
    <w:rsid w:val="00B87D52"/>
    <w:rsid w:val="00B87DEC"/>
    <w:rsid w:val="00B87E7A"/>
    <w:rsid w:val="00B919C3"/>
    <w:rsid w:val="00B91BEC"/>
    <w:rsid w:val="00B92BF4"/>
    <w:rsid w:val="00B93082"/>
    <w:rsid w:val="00B93724"/>
    <w:rsid w:val="00B94492"/>
    <w:rsid w:val="00B97526"/>
    <w:rsid w:val="00BA2B66"/>
    <w:rsid w:val="00BA503D"/>
    <w:rsid w:val="00BA50A6"/>
    <w:rsid w:val="00BA582E"/>
    <w:rsid w:val="00BA66F6"/>
    <w:rsid w:val="00BA777F"/>
    <w:rsid w:val="00BB04BD"/>
    <w:rsid w:val="00BB1F29"/>
    <w:rsid w:val="00BB28F6"/>
    <w:rsid w:val="00BB30CC"/>
    <w:rsid w:val="00BB3413"/>
    <w:rsid w:val="00BB36F9"/>
    <w:rsid w:val="00BB3D72"/>
    <w:rsid w:val="00BB5D44"/>
    <w:rsid w:val="00BC2609"/>
    <w:rsid w:val="00BC2C67"/>
    <w:rsid w:val="00BD02F4"/>
    <w:rsid w:val="00BD088E"/>
    <w:rsid w:val="00BD191E"/>
    <w:rsid w:val="00BD417E"/>
    <w:rsid w:val="00BE04A1"/>
    <w:rsid w:val="00BE0C68"/>
    <w:rsid w:val="00BE1B62"/>
    <w:rsid w:val="00BE2AEE"/>
    <w:rsid w:val="00BE322A"/>
    <w:rsid w:val="00BE3FC2"/>
    <w:rsid w:val="00BE496D"/>
    <w:rsid w:val="00BF196B"/>
    <w:rsid w:val="00BF487F"/>
    <w:rsid w:val="00C01D1C"/>
    <w:rsid w:val="00C0450E"/>
    <w:rsid w:val="00C04E08"/>
    <w:rsid w:val="00C04F5F"/>
    <w:rsid w:val="00C0528F"/>
    <w:rsid w:val="00C05E66"/>
    <w:rsid w:val="00C06132"/>
    <w:rsid w:val="00C120C7"/>
    <w:rsid w:val="00C128F0"/>
    <w:rsid w:val="00C13145"/>
    <w:rsid w:val="00C1578F"/>
    <w:rsid w:val="00C15C10"/>
    <w:rsid w:val="00C2084A"/>
    <w:rsid w:val="00C2108A"/>
    <w:rsid w:val="00C25182"/>
    <w:rsid w:val="00C260FF"/>
    <w:rsid w:val="00C31505"/>
    <w:rsid w:val="00C357D6"/>
    <w:rsid w:val="00C37230"/>
    <w:rsid w:val="00C3797E"/>
    <w:rsid w:val="00C45321"/>
    <w:rsid w:val="00C453B5"/>
    <w:rsid w:val="00C456B3"/>
    <w:rsid w:val="00C4707A"/>
    <w:rsid w:val="00C5132C"/>
    <w:rsid w:val="00C545DB"/>
    <w:rsid w:val="00C55C92"/>
    <w:rsid w:val="00C56339"/>
    <w:rsid w:val="00C56B81"/>
    <w:rsid w:val="00C5757F"/>
    <w:rsid w:val="00C63109"/>
    <w:rsid w:val="00C63D50"/>
    <w:rsid w:val="00C64D55"/>
    <w:rsid w:val="00C6759E"/>
    <w:rsid w:val="00C67E70"/>
    <w:rsid w:val="00C74BB6"/>
    <w:rsid w:val="00C80304"/>
    <w:rsid w:val="00C8139B"/>
    <w:rsid w:val="00C83904"/>
    <w:rsid w:val="00C91DF1"/>
    <w:rsid w:val="00C93A0C"/>
    <w:rsid w:val="00C9708F"/>
    <w:rsid w:val="00CA081C"/>
    <w:rsid w:val="00CA0CDE"/>
    <w:rsid w:val="00CA0EFF"/>
    <w:rsid w:val="00CA1124"/>
    <w:rsid w:val="00CA45FA"/>
    <w:rsid w:val="00CA62CB"/>
    <w:rsid w:val="00CB6687"/>
    <w:rsid w:val="00CB7541"/>
    <w:rsid w:val="00CC1D10"/>
    <w:rsid w:val="00CC48BF"/>
    <w:rsid w:val="00CC7A56"/>
    <w:rsid w:val="00CD0572"/>
    <w:rsid w:val="00CD24F4"/>
    <w:rsid w:val="00CD422B"/>
    <w:rsid w:val="00CE0358"/>
    <w:rsid w:val="00CE0C72"/>
    <w:rsid w:val="00CE33C1"/>
    <w:rsid w:val="00CE38C8"/>
    <w:rsid w:val="00CE4A12"/>
    <w:rsid w:val="00CE5145"/>
    <w:rsid w:val="00CE7131"/>
    <w:rsid w:val="00CE750F"/>
    <w:rsid w:val="00CE7DE7"/>
    <w:rsid w:val="00CF2550"/>
    <w:rsid w:val="00CF2913"/>
    <w:rsid w:val="00CF497C"/>
    <w:rsid w:val="00CF5650"/>
    <w:rsid w:val="00D01CEE"/>
    <w:rsid w:val="00D05C0F"/>
    <w:rsid w:val="00D063A8"/>
    <w:rsid w:val="00D07F19"/>
    <w:rsid w:val="00D11385"/>
    <w:rsid w:val="00D12487"/>
    <w:rsid w:val="00D14A7E"/>
    <w:rsid w:val="00D14CE0"/>
    <w:rsid w:val="00D15B3A"/>
    <w:rsid w:val="00D160CB"/>
    <w:rsid w:val="00D2037F"/>
    <w:rsid w:val="00D21444"/>
    <w:rsid w:val="00D236BD"/>
    <w:rsid w:val="00D238CA"/>
    <w:rsid w:val="00D245A1"/>
    <w:rsid w:val="00D2504A"/>
    <w:rsid w:val="00D25A59"/>
    <w:rsid w:val="00D31510"/>
    <w:rsid w:val="00D32DC6"/>
    <w:rsid w:val="00D369FB"/>
    <w:rsid w:val="00D415E2"/>
    <w:rsid w:val="00D4187E"/>
    <w:rsid w:val="00D41C3F"/>
    <w:rsid w:val="00D42055"/>
    <w:rsid w:val="00D4247A"/>
    <w:rsid w:val="00D44A86"/>
    <w:rsid w:val="00D459DF"/>
    <w:rsid w:val="00D50AC2"/>
    <w:rsid w:val="00D50C30"/>
    <w:rsid w:val="00D52626"/>
    <w:rsid w:val="00D531A4"/>
    <w:rsid w:val="00D54BD0"/>
    <w:rsid w:val="00D55B41"/>
    <w:rsid w:val="00D56948"/>
    <w:rsid w:val="00D57127"/>
    <w:rsid w:val="00D603E7"/>
    <w:rsid w:val="00D60C85"/>
    <w:rsid w:val="00D647C3"/>
    <w:rsid w:val="00D65205"/>
    <w:rsid w:val="00D70F75"/>
    <w:rsid w:val="00D71F0B"/>
    <w:rsid w:val="00D74512"/>
    <w:rsid w:val="00D74B0D"/>
    <w:rsid w:val="00D751D0"/>
    <w:rsid w:val="00D75FF5"/>
    <w:rsid w:val="00D807F0"/>
    <w:rsid w:val="00D816C0"/>
    <w:rsid w:val="00D90347"/>
    <w:rsid w:val="00D91655"/>
    <w:rsid w:val="00D94361"/>
    <w:rsid w:val="00D94AB5"/>
    <w:rsid w:val="00D9633A"/>
    <w:rsid w:val="00D96415"/>
    <w:rsid w:val="00D978C6"/>
    <w:rsid w:val="00DA2040"/>
    <w:rsid w:val="00DA3EDF"/>
    <w:rsid w:val="00DA4DE8"/>
    <w:rsid w:val="00DB133C"/>
    <w:rsid w:val="00DB5C19"/>
    <w:rsid w:val="00DB6327"/>
    <w:rsid w:val="00DB70BA"/>
    <w:rsid w:val="00DB76DD"/>
    <w:rsid w:val="00DC2D2B"/>
    <w:rsid w:val="00DC56CC"/>
    <w:rsid w:val="00DC66DC"/>
    <w:rsid w:val="00DC6DB3"/>
    <w:rsid w:val="00DD0A59"/>
    <w:rsid w:val="00DD6BF0"/>
    <w:rsid w:val="00DE1305"/>
    <w:rsid w:val="00DE3C51"/>
    <w:rsid w:val="00DE538E"/>
    <w:rsid w:val="00DE570F"/>
    <w:rsid w:val="00DE7ABD"/>
    <w:rsid w:val="00DF0587"/>
    <w:rsid w:val="00DF1886"/>
    <w:rsid w:val="00DF2386"/>
    <w:rsid w:val="00DF3E50"/>
    <w:rsid w:val="00DF41C0"/>
    <w:rsid w:val="00DF56F5"/>
    <w:rsid w:val="00DF5CDF"/>
    <w:rsid w:val="00DF6C5A"/>
    <w:rsid w:val="00DF7FE7"/>
    <w:rsid w:val="00E01BE5"/>
    <w:rsid w:val="00E04608"/>
    <w:rsid w:val="00E06E83"/>
    <w:rsid w:val="00E12A11"/>
    <w:rsid w:val="00E146BF"/>
    <w:rsid w:val="00E14BA7"/>
    <w:rsid w:val="00E15B18"/>
    <w:rsid w:val="00E1777E"/>
    <w:rsid w:val="00E209BA"/>
    <w:rsid w:val="00E21CCA"/>
    <w:rsid w:val="00E224CE"/>
    <w:rsid w:val="00E235D0"/>
    <w:rsid w:val="00E23B69"/>
    <w:rsid w:val="00E23C44"/>
    <w:rsid w:val="00E33921"/>
    <w:rsid w:val="00E34284"/>
    <w:rsid w:val="00E4184D"/>
    <w:rsid w:val="00E41C6E"/>
    <w:rsid w:val="00E42856"/>
    <w:rsid w:val="00E4319A"/>
    <w:rsid w:val="00E45830"/>
    <w:rsid w:val="00E46367"/>
    <w:rsid w:val="00E469B9"/>
    <w:rsid w:val="00E50B83"/>
    <w:rsid w:val="00E513A9"/>
    <w:rsid w:val="00E5251D"/>
    <w:rsid w:val="00E537F6"/>
    <w:rsid w:val="00E558E9"/>
    <w:rsid w:val="00E55A5E"/>
    <w:rsid w:val="00E57322"/>
    <w:rsid w:val="00E57904"/>
    <w:rsid w:val="00E57C65"/>
    <w:rsid w:val="00E600B1"/>
    <w:rsid w:val="00E61050"/>
    <w:rsid w:val="00E619A1"/>
    <w:rsid w:val="00E626CD"/>
    <w:rsid w:val="00E62BE4"/>
    <w:rsid w:val="00E63F0B"/>
    <w:rsid w:val="00E64E9B"/>
    <w:rsid w:val="00E715FC"/>
    <w:rsid w:val="00E71A2B"/>
    <w:rsid w:val="00E72D1A"/>
    <w:rsid w:val="00E75B41"/>
    <w:rsid w:val="00E80F36"/>
    <w:rsid w:val="00E810F8"/>
    <w:rsid w:val="00E815B8"/>
    <w:rsid w:val="00E82CCD"/>
    <w:rsid w:val="00E842D7"/>
    <w:rsid w:val="00E85A47"/>
    <w:rsid w:val="00E87628"/>
    <w:rsid w:val="00E90337"/>
    <w:rsid w:val="00E92962"/>
    <w:rsid w:val="00E93B42"/>
    <w:rsid w:val="00E9485D"/>
    <w:rsid w:val="00E95E5D"/>
    <w:rsid w:val="00E95F64"/>
    <w:rsid w:val="00E96EFF"/>
    <w:rsid w:val="00EA0897"/>
    <w:rsid w:val="00EA393A"/>
    <w:rsid w:val="00EA3A7F"/>
    <w:rsid w:val="00EA41E7"/>
    <w:rsid w:val="00EB032F"/>
    <w:rsid w:val="00EC0EEB"/>
    <w:rsid w:val="00EC0FFA"/>
    <w:rsid w:val="00EC2BE2"/>
    <w:rsid w:val="00EC2E0D"/>
    <w:rsid w:val="00EC4D11"/>
    <w:rsid w:val="00EC7276"/>
    <w:rsid w:val="00ED2380"/>
    <w:rsid w:val="00ED2D66"/>
    <w:rsid w:val="00EE06FA"/>
    <w:rsid w:val="00EE20EF"/>
    <w:rsid w:val="00EE2138"/>
    <w:rsid w:val="00EF2ACE"/>
    <w:rsid w:val="00F00DCE"/>
    <w:rsid w:val="00F0219C"/>
    <w:rsid w:val="00F0459C"/>
    <w:rsid w:val="00F06493"/>
    <w:rsid w:val="00F06C80"/>
    <w:rsid w:val="00F072EF"/>
    <w:rsid w:val="00F078F1"/>
    <w:rsid w:val="00F0791D"/>
    <w:rsid w:val="00F07DF1"/>
    <w:rsid w:val="00F07EB4"/>
    <w:rsid w:val="00F1338E"/>
    <w:rsid w:val="00F13758"/>
    <w:rsid w:val="00F17256"/>
    <w:rsid w:val="00F227F6"/>
    <w:rsid w:val="00F23393"/>
    <w:rsid w:val="00F24477"/>
    <w:rsid w:val="00F248A8"/>
    <w:rsid w:val="00F24F52"/>
    <w:rsid w:val="00F25941"/>
    <w:rsid w:val="00F25D3D"/>
    <w:rsid w:val="00F266C6"/>
    <w:rsid w:val="00F32D03"/>
    <w:rsid w:val="00F32E2F"/>
    <w:rsid w:val="00F34089"/>
    <w:rsid w:val="00F344DE"/>
    <w:rsid w:val="00F35DDE"/>
    <w:rsid w:val="00F402D0"/>
    <w:rsid w:val="00F407B5"/>
    <w:rsid w:val="00F43279"/>
    <w:rsid w:val="00F45B4A"/>
    <w:rsid w:val="00F45FC0"/>
    <w:rsid w:val="00F46317"/>
    <w:rsid w:val="00F47B42"/>
    <w:rsid w:val="00F47FAB"/>
    <w:rsid w:val="00F50F9E"/>
    <w:rsid w:val="00F53C6F"/>
    <w:rsid w:val="00F546A4"/>
    <w:rsid w:val="00F63AED"/>
    <w:rsid w:val="00F716C3"/>
    <w:rsid w:val="00F72BD0"/>
    <w:rsid w:val="00F73E71"/>
    <w:rsid w:val="00F75931"/>
    <w:rsid w:val="00F82167"/>
    <w:rsid w:val="00F95574"/>
    <w:rsid w:val="00FA0E4B"/>
    <w:rsid w:val="00FA21A7"/>
    <w:rsid w:val="00FA2724"/>
    <w:rsid w:val="00FA721F"/>
    <w:rsid w:val="00FB0F4C"/>
    <w:rsid w:val="00FB5740"/>
    <w:rsid w:val="00FB5CBB"/>
    <w:rsid w:val="00FC0CC4"/>
    <w:rsid w:val="00FC5ABE"/>
    <w:rsid w:val="00FC7684"/>
    <w:rsid w:val="00FC7FD9"/>
    <w:rsid w:val="00FD03C9"/>
    <w:rsid w:val="00FD39EB"/>
    <w:rsid w:val="00FD5BFB"/>
    <w:rsid w:val="00FD5D1C"/>
    <w:rsid w:val="00FD6A25"/>
    <w:rsid w:val="00FE10F3"/>
    <w:rsid w:val="00FE33EB"/>
    <w:rsid w:val="00FE3503"/>
    <w:rsid w:val="00FE48D3"/>
    <w:rsid w:val="00FE4E86"/>
    <w:rsid w:val="00FE5F7C"/>
    <w:rsid w:val="00FF1CBF"/>
    <w:rsid w:val="00FF3444"/>
    <w:rsid w:val="00FF4BB5"/>
    <w:rsid w:val="00FF6C2F"/>
    <w:rsid w:val="00FF7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9D980C"/>
  <w15:docId w15:val="{5CFC5529-7A6A-4DBC-A76C-B75E2A8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4307"/>
    <w:pPr>
      <w:spacing w:before="100" w:beforeAutospacing="1" w:after="100" w:afterAutospacing="1"/>
      <w:ind w:left="0" w:firstLine="0"/>
      <w:outlineLvl w:val="1"/>
    </w:pPr>
    <w:rPr>
      <w:rFonts w:ascii="Times New Roman" w:eastAsiaTheme="minorHAnsi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basedOn w:val="DefaultParagraphFont"/>
    <w:uiPriority w:val="99"/>
    <w:semiHidden/>
    <w:unhideWhenUsed/>
    <w:qFormat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NormalNonumber">
    <w:name w:val="Normal_No_number"/>
    <w:basedOn w:val="Normal"/>
    <w:uiPriority w:val="99"/>
    <w:rsid w:val="00E90337"/>
    <w:pPr>
      <w:spacing w:after="120"/>
      <w:ind w:left="1247" w:firstLine="0"/>
    </w:pPr>
    <w:rPr>
      <w:rFonts w:ascii="Times New Roman" w:eastAsiaTheme="minorHAnsi" w:hAnsi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C64F4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rsid w:val="00233CED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4307"/>
    <w:rPr>
      <w:rFonts w:ascii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AB3CC1"/>
  </w:style>
  <w:style w:type="character" w:styleId="PageNumber">
    <w:name w:val="page number"/>
    <w:basedOn w:val="DefaultParagraphFont"/>
    <w:rsid w:val="00DD6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4DA1-FC84-4BDA-A776-FCE7F111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6652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Ramsar\KatzM</dc:creator>
  <cp:lastModifiedBy>Secretariat</cp:lastModifiedBy>
  <cp:revision>2</cp:revision>
  <cp:lastPrinted>2016-10-06T13:08:00Z</cp:lastPrinted>
  <dcterms:created xsi:type="dcterms:W3CDTF">2021-04-22T07:36:00Z</dcterms:created>
  <dcterms:modified xsi:type="dcterms:W3CDTF">2021-04-22T07:36:00Z</dcterms:modified>
</cp:coreProperties>
</file>