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B14" w14:textId="77777777" w:rsidR="00275F13" w:rsidRPr="00425EF4"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bookmarkStart w:id="0" w:name="_GoBack"/>
      <w:bookmarkEnd w:id="0"/>
      <w:r>
        <w:rPr>
          <w:bCs/>
          <w:sz w:val="24"/>
          <w:szCs w:val="24"/>
        </w:rPr>
        <w:t>THE</w:t>
      </w:r>
      <w:r w:rsidR="00275F13" w:rsidRPr="00425EF4">
        <w:rPr>
          <w:bCs/>
          <w:sz w:val="24"/>
          <w:szCs w:val="24"/>
        </w:rPr>
        <w:t xml:space="preserve"> </w:t>
      </w:r>
      <w:r w:rsidR="00DF2386" w:rsidRPr="00425EF4">
        <w:rPr>
          <w:bCs/>
          <w:sz w:val="24"/>
          <w:szCs w:val="24"/>
        </w:rPr>
        <w:t xml:space="preserve">CONVENTION ON WETLANDS </w:t>
      </w:r>
    </w:p>
    <w:p w14:paraId="080DE56B" w14:textId="7B20F935" w:rsidR="00DF2386" w:rsidRPr="00425EF4"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5</w:t>
      </w:r>
      <w:r w:rsidR="003D352B">
        <w:rPr>
          <w:bCs/>
          <w:sz w:val="24"/>
          <w:szCs w:val="24"/>
        </w:rPr>
        <w:t>9</w:t>
      </w:r>
      <w:r w:rsidR="00275F13" w:rsidRPr="00425EF4">
        <w:rPr>
          <w:bCs/>
          <w:sz w:val="24"/>
          <w:szCs w:val="24"/>
        </w:rPr>
        <w:t>th</w:t>
      </w:r>
      <w:r w:rsidRPr="00425EF4">
        <w:rPr>
          <w:bCs/>
          <w:sz w:val="24"/>
          <w:szCs w:val="24"/>
        </w:rPr>
        <w:t xml:space="preserve"> Meeting of the Standing Committee</w:t>
      </w:r>
    </w:p>
    <w:p w14:paraId="1826E15C" w14:textId="76B7B7EC" w:rsidR="00DF2386" w:rsidRPr="00310796"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310796">
        <w:rPr>
          <w:bCs/>
          <w:sz w:val="24"/>
          <w:szCs w:val="24"/>
          <w:lang w:val="de-CH"/>
        </w:rPr>
        <w:t xml:space="preserve">Gland, Switzerland, </w:t>
      </w:r>
      <w:r w:rsidR="003D352B" w:rsidRPr="00310796">
        <w:rPr>
          <w:bCs/>
          <w:sz w:val="24"/>
          <w:szCs w:val="24"/>
          <w:lang w:val="de-CH"/>
        </w:rPr>
        <w:t>21 – 25 June</w:t>
      </w:r>
      <w:r w:rsidR="00F17256" w:rsidRPr="00310796">
        <w:rPr>
          <w:bCs/>
          <w:sz w:val="24"/>
          <w:szCs w:val="24"/>
          <w:lang w:val="de-CH"/>
        </w:rPr>
        <w:t xml:space="preserve"> </w:t>
      </w:r>
      <w:r w:rsidR="003D6921" w:rsidRPr="00310796">
        <w:rPr>
          <w:bCs/>
          <w:sz w:val="24"/>
          <w:szCs w:val="24"/>
          <w:lang w:val="de-CH"/>
        </w:rPr>
        <w:t>202</w:t>
      </w:r>
      <w:r w:rsidR="00B3215B">
        <w:rPr>
          <w:bCs/>
          <w:sz w:val="24"/>
          <w:szCs w:val="24"/>
          <w:lang w:val="de-CH"/>
        </w:rPr>
        <w:t>1</w:t>
      </w:r>
    </w:p>
    <w:p w14:paraId="26A055B3" w14:textId="77777777" w:rsidR="00DF2386" w:rsidRPr="00310796" w:rsidRDefault="00DF2386" w:rsidP="001B1F9E">
      <w:pPr>
        <w:outlineLvl w:val="0"/>
        <w:rPr>
          <w:b/>
          <w:lang w:val="de-CH"/>
        </w:rPr>
      </w:pPr>
    </w:p>
    <w:p w14:paraId="70046E3E" w14:textId="2727A126" w:rsidR="00DF2386" w:rsidRPr="00310796" w:rsidRDefault="00DF2386" w:rsidP="001B1F9E">
      <w:pPr>
        <w:jc w:val="right"/>
        <w:rPr>
          <w:rFonts w:cs="Arial"/>
          <w:sz w:val="28"/>
          <w:szCs w:val="28"/>
          <w:lang w:val="de-CH"/>
        </w:rPr>
      </w:pPr>
      <w:r w:rsidRPr="00310796">
        <w:rPr>
          <w:rFonts w:cs="Arial"/>
          <w:b/>
          <w:sz w:val="28"/>
          <w:szCs w:val="28"/>
          <w:lang w:val="de-CH"/>
        </w:rPr>
        <w:t>SC5</w:t>
      </w:r>
      <w:r w:rsidR="003D352B" w:rsidRPr="00310796">
        <w:rPr>
          <w:rFonts w:cs="Arial"/>
          <w:b/>
          <w:sz w:val="28"/>
          <w:szCs w:val="28"/>
          <w:lang w:val="de-CH"/>
        </w:rPr>
        <w:t>9</w:t>
      </w:r>
      <w:r w:rsidR="006B19ED" w:rsidRPr="00310796">
        <w:rPr>
          <w:rFonts w:cs="Arial"/>
          <w:b/>
          <w:sz w:val="28"/>
          <w:szCs w:val="28"/>
          <w:lang w:val="de-CH"/>
        </w:rPr>
        <w:t xml:space="preserve"> Doc.</w:t>
      </w:r>
      <w:r w:rsidR="009C7F10" w:rsidRPr="00310796">
        <w:rPr>
          <w:rFonts w:cs="Arial"/>
          <w:b/>
          <w:sz w:val="28"/>
          <w:szCs w:val="28"/>
          <w:lang w:val="de-CH"/>
        </w:rPr>
        <w:t>1</w:t>
      </w:r>
      <w:r w:rsidR="00080BE6" w:rsidRPr="00310796">
        <w:rPr>
          <w:rFonts w:cs="Arial"/>
          <w:b/>
          <w:sz w:val="28"/>
          <w:szCs w:val="28"/>
          <w:lang w:val="de-CH"/>
        </w:rPr>
        <w:t>3</w:t>
      </w:r>
    </w:p>
    <w:p w14:paraId="750645E5" w14:textId="77777777" w:rsidR="00DF2386" w:rsidRPr="00310796" w:rsidRDefault="00DF2386" w:rsidP="001B1F9E">
      <w:pPr>
        <w:rPr>
          <w:rFonts w:cs="Arial"/>
          <w:b/>
          <w:sz w:val="28"/>
          <w:szCs w:val="28"/>
          <w:lang w:val="de-CH"/>
        </w:rPr>
      </w:pPr>
    </w:p>
    <w:p w14:paraId="0CB44852" w14:textId="77777777" w:rsidR="00DF2386" w:rsidRPr="00425EF4" w:rsidRDefault="00E90337" w:rsidP="001B1F9E">
      <w:pPr>
        <w:jc w:val="center"/>
        <w:rPr>
          <w:rFonts w:cs="Arial"/>
          <w:b/>
          <w:sz w:val="28"/>
          <w:szCs w:val="28"/>
        </w:rPr>
      </w:pPr>
      <w:r w:rsidRPr="00425EF4">
        <w:rPr>
          <w:rFonts w:cs="Arial"/>
          <w:b/>
          <w:sz w:val="28"/>
          <w:szCs w:val="28"/>
        </w:rPr>
        <w:t>Re</w:t>
      </w:r>
      <w:r w:rsidR="009C7F10">
        <w:rPr>
          <w:rFonts w:cs="Arial"/>
          <w:b/>
          <w:sz w:val="28"/>
          <w:szCs w:val="28"/>
        </w:rPr>
        <w:t xml:space="preserve">view </w:t>
      </w:r>
      <w:r w:rsidR="0006506B">
        <w:rPr>
          <w:rFonts w:cs="Arial"/>
          <w:b/>
          <w:sz w:val="28"/>
          <w:szCs w:val="28"/>
        </w:rPr>
        <w:t xml:space="preserve">of </w:t>
      </w:r>
      <w:r w:rsidR="009C7F10">
        <w:rPr>
          <w:rFonts w:cs="Arial"/>
          <w:b/>
          <w:sz w:val="28"/>
          <w:szCs w:val="28"/>
        </w:rPr>
        <w:t>all previous Resolutions and Decisions</w:t>
      </w:r>
    </w:p>
    <w:p w14:paraId="7B473B71" w14:textId="77777777" w:rsidR="00DF2386" w:rsidRPr="00425EF4" w:rsidRDefault="00DF2386" w:rsidP="00E815B8">
      <w:pPr>
        <w:rPr>
          <w:rFonts w:ascii="Garamond" w:hAnsi="Garamond" w:cs="Arial"/>
        </w:rPr>
      </w:pPr>
    </w:p>
    <w:p w14:paraId="76C04D17"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0B6DDBB3" wp14:editId="67F4A132">
                <wp:extent cx="5731510" cy="812132"/>
                <wp:effectExtent l="0" t="0" r="88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12132"/>
                        </a:xfrm>
                        <a:prstGeom prst="rect">
                          <a:avLst/>
                        </a:prstGeom>
                        <a:solidFill>
                          <a:srgbClr val="FFFFFF"/>
                        </a:solidFill>
                        <a:ln w="9525">
                          <a:solidFill>
                            <a:srgbClr val="000000"/>
                          </a:solidFill>
                          <a:miter lim="800000"/>
                          <a:headEnd/>
                          <a:tailEnd/>
                        </a:ln>
                      </wps:spPr>
                      <wps:txbx>
                        <w:txbxContent>
                          <w:p w14:paraId="69153B08" w14:textId="77777777" w:rsidR="004F73D2" w:rsidRDefault="004F73D2" w:rsidP="006462AD">
                            <w:pPr>
                              <w:rPr>
                                <w:b/>
                                <w:bCs/>
                              </w:rPr>
                            </w:pPr>
                            <w:r>
                              <w:rPr>
                                <w:b/>
                                <w:bCs/>
                              </w:rPr>
                              <w:t>Actions requested:</w:t>
                            </w:r>
                          </w:p>
                          <w:p w14:paraId="6E8683C3" w14:textId="77777777" w:rsidR="004F73D2" w:rsidRDefault="004F73D2" w:rsidP="006462AD">
                            <w:pPr>
                              <w:pStyle w:val="ColorfulList-Accent11"/>
                              <w:ind w:left="0"/>
                            </w:pPr>
                          </w:p>
                          <w:p w14:paraId="36700245" w14:textId="057365BE" w:rsidR="004F73D2" w:rsidRPr="00F32D03" w:rsidRDefault="004F73D2" w:rsidP="00427324">
                            <w:pPr>
                              <w:pStyle w:val="ColorfulList-Accent11"/>
                              <w:ind w:left="0" w:firstLine="0"/>
                            </w:pPr>
                            <w:r>
                              <w:t xml:space="preserve">The Standing Committee is </w:t>
                            </w:r>
                            <w:r>
                              <w:rPr>
                                <w:rFonts w:cs="Calibri"/>
                              </w:rPr>
                              <w:t>invited to</w:t>
                            </w:r>
                            <w:r w:rsidR="00427324">
                              <w:rPr>
                                <w:rFonts w:cs="Calibri"/>
                              </w:rPr>
                              <w:t xml:space="preserve"> note the present document.</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B6DDBB3" id="_x0000_t202" coordsize="21600,21600" o:spt="202" path="m,l,21600r21600,l21600,xe">
                <v:stroke joinstyle="miter"/>
                <v:path gradientshapeok="t" o:connecttype="rect"/>
              </v:shapetype>
              <v:shape id="Text Box 1" o:spid="_x0000_s1026" type="#_x0000_t202" style="width:451.3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">
                <v:textbox>
                  <w:txbxContent>
                    <w:p w14:paraId="69153B08" w14:textId="77777777" w:rsidR="004F73D2" w:rsidRDefault="004F73D2" w:rsidP="006462AD">
                      <w:pPr>
                        <w:rPr>
                          <w:b/>
                          <w:bCs/>
                        </w:rPr>
                      </w:pPr>
                      <w:r>
                        <w:rPr>
                          <w:b/>
                          <w:bCs/>
                        </w:rPr>
                        <w:t>Actions requested:</w:t>
                      </w:r>
                    </w:p>
                    <w:p w14:paraId="6E8683C3" w14:textId="77777777" w:rsidR="004F73D2" w:rsidRDefault="004F73D2" w:rsidP="006462AD">
                      <w:pPr>
                        <w:pStyle w:val="ColorfulList-Accent11"/>
                        <w:ind w:left="0"/>
                      </w:pPr>
                    </w:p>
                    <w:p w14:paraId="36700245" w14:textId="057365BE" w:rsidR="004F73D2" w:rsidRPr="00F32D03" w:rsidRDefault="004F73D2" w:rsidP="00427324">
                      <w:pPr>
                        <w:pStyle w:val="ColorfulList-Accent11"/>
                        <w:ind w:left="0" w:firstLine="0"/>
                      </w:pPr>
                      <w:r>
                        <w:t xml:space="preserve">The Standing Committee is </w:t>
                      </w:r>
                      <w:r>
                        <w:rPr>
                          <w:rFonts w:cs="Calibri"/>
                        </w:rPr>
                        <w:t>invited to</w:t>
                      </w:r>
                      <w:r w:rsidR="00427324">
                        <w:rPr>
                          <w:rFonts w:cs="Calibri"/>
                        </w:rPr>
                        <w:t xml:space="preserve"> note the present document.</w:t>
                      </w:r>
                    </w:p>
                  </w:txbxContent>
                </v:textbox>
                <w10:anchorlock/>
              </v:shape>
            </w:pict>
          </mc:Fallback>
        </mc:AlternateContent>
      </w:r>
    </w:p>
    <w:p w14:paraId="4A5A730D" w14:textId="77777777" w:rsidR="000C2489" w:rsidRPr="00425EF4" w:rsidRDefault="000C2489" w:rsidP="00E815B8">
      <w:pPr>
        <w:ind w:left="0" w:firstLine="0"/>
        <w:rPr>
          <w:rFonts w:cs="Arial"/>
          <w:b/>
        </w:rPr>
      </w:pPr>
    </w:p>
    <w:p w14:paraId="0AFC91C4" w14:textId="77777777" w:rsidR="007D3ED8" w:rsidRDefault="007D3ED8" w:rsidP="00E815B8">
      <w:pPr>
        <w:rPr>
          <w:rFonts w:cs="Arial"/>
          <w:b/>
        </w:rPr>
      </w:pPr>
    </w:p>
    <w:p w14:paraId="1670D017" w14:textId="1AC5D4D4" w:rsidR="007D3ED8" w:rsidRPr="00E815B8" w:rsidRDefault="005C36BD" w:rsidP="00E815B8">
      <w:pPr>
        <w:ind w:left="0" w:firstLine="0"/>
        <w:rPr>
          <w:rFonts w:cs="Arial"/>
          <w:b/>
        </w:rPr>
      </w:pPr>
      <w:r>
        <w:rPr>
          <w:rFonts w:cs="Arial"/>
          <w:b/>
        </w:rPr>
        <w:t>Introduction</w:t>
      </w:r>
    </w:p>
    <w:p w14:paraId="00EBCB91" w14:textId="77777777" w:rsidR="00E90337" w:rsidRPr="00425EF4" w:rsidRDefault="00E90337" w:rsidP="00E815B8">
      <w:pPr>
        <w:rPr>
          <w:rFonts w:cs="Arial"/>
          <w:b/>
        </w:rPr>
      </w:pPr>
    </w:p>
    <w:p w14:paraId="70ED188B" w14:textId="77777777" w:rsidR="00394567" w:rsidRPr="00394567" w:rsidRDefault="00E90337" w:rsidP="004E2714">
      <w:pPr>
        <w:rPr>
          <w:rFonts w:cstheme="minorHAnsi"/>
        </w:rPr>
      </w:pPr>
      <w:r w:rsidRPr="00425EF4">
        <w:rPr>
          <w:rFonts w:cstheme="minorHAnsi"/>
        </w:rPr>
        <w:t>1.</w:t>
      </w:r>
      <w:r w:rsidRPr="00425EF4">
        <w:rPr>
          <w:rFonts w:cstheme="minorHAnsi"/>
        </w:rPr>
        <w:tab/>
      </w:r>
      <w:r w:rsidR="00394567">
        <w:rPr>
          <w:rFonts w:cstheme="minorHAnsi"/>
        </w:rPr>
        <w:t>At its 13th meeting (</w:t>
      </w:r>
      <w:r w:rsidR="0030773C">
        <w:rPr>
          <w:rFonts w:cstheme="minorHAnsi"/>
        </w:rPr>
        <w:t xml:space="preserve">COP13, </w:t>
      </w:r>
      <w:r w:rsidR="00394567">
        <w:rPr>
          <w:rFonts w:cstheme="minorHAnsi"/>
        </w:rPr>
        <w:t xml:space="preserve">Dubai, 2018), the Conference of the </w:t>
      </w:r>
      <w:r w:rsidR="007F2AD0">
        <w:rPr>
          <w:rFonts w:cstheme="minorHAnsi"/>
        </w:rPr>
        <w:t xml:space="preserve">Contracting </w:t>
      </w:r>
      <w:r w:rsidR="00394567">
        <w:rPr>
          <w:rFonts w:cstheme="minorHAnsi"/>
        </w:rPr>
        <w:t>Parties adopted Resolution</w:t>
      </w:r>
      <w:r w:rsidR="007F2AD0">
        <w:rPr>
          <w:rFonts w:cstheme="minorHAnsi"/>
        </w:rPr>
        <w:t> </w:t>
      </w:r>
      <w:r w:rsidR="00394567">
        <w:rPr>
          <w:rFonts w:cstheme="minorHAnsi"/>
        </w:rPr>
        <w:t xml:space="preserve">XIII.4 on </w:t>
      </w:r>
      <w:r w:rsidR="00394567" w:rsidRPr="00394567">
        <w:rPr>
          <w:rFonts w:cstheme="minorHAnsi"/>
          <w:i/>
        </w:rPr>
        <w:t>Responsibilities, roles and composition of the Standing Committee and regional categorization of countries under the Convention</w:t>
      </w:r>
      <w:r w:rsidR="00394567">
        <w:rPr>
          <w:rFonts w:cstheme="minorHAnsi"/>
        </w:rPr>
        <w:t>, which includes the following requests, in paragraphs 24 and 25:</w:t>
      </w:r>
      <w:r w:rsidR="004E2714">
        <w:rPr>
          <w:rFonts w:cstheme="minorHAnsi"/>
        </w:rPr>
        <w:t xml:space="preserve"> </w:t>
      </w:r>
    </w:p>
    <w:p w14:paraId="52D38668" w14:textId="77777777" w:rsidR="002D7731" w:rsidRDefault="002D7731" w:rsidP="004E2714">
      <w:pPr>
        <w:rPr>
          <w:rFonts w:cstheme="minorHAnsi"/>
        </w:rPr>
      </w:pPr>
    </w:p>
    <w:p w14:paraId="17D8172E" w14:textId="77777777" w:rsidR="00EE20EF" w:rsidRDefault="00394567" w:rsidP="00526950">
      <w:pPr>
        <w:ind w:left="850"/>
        <w:rPr>
          <w:i/>
          <w:snapToGrid w:val="0"/>
          <w:kern w:val="22"/>
        </w:rPr>
      </w:pPr>
      <w:r w:rsidRPr="00E537F6">
        <w:rPr>
          <w:i/>
          <w:snapToGrid w:val="0"/>
          <w:kern w:val="22"/>
        </w:rPr>
        <w:t>24.</w:t>
      </w:r>
      <w:r w:rsidR="001C0D1A" w:rsidRPr="00E537F6">
        <w:rPr>
          <w:i/>
          <w:snapToGrid w:val="0"/>
          <w:kern w:val="22"/>
        </w:rPr>
        <w:tab/>
      </w:r>
      <w:r w:rsidRPr="00E537F6">
        <w:rPr>
          <w:rFonts w:asciiTheme="minorHAnsi" w:hAnsiTheme="minorHAnsi"/>
          <w:i/>
          <w:snapToGrid w:val="0"/>
          <w:kern w:val="22"/>
        </w:rPr>
        <w:t>REQUESTS</w:t>
      </w:r>
      <w:r w:rsidRPr="00E537F6">
        <w:rPr>
          <w:i/>
          <w:snapToGrid w:val="0"/>
          <w:kern w:val="22"/>
        </w:rPr>
        <w:t xml:space="preserve"> the Secretariat to:</w:t>
      </w:r>
    </w:p>
    <w:p w14:paraId="57FDF98E" w14:textId="77777777" w:rsidR="00E815B8" w:rsidRPr="00E537F6" w:rsidRDefault="00E815B8" w:rsidP="00526950">
      <w:pPr>
        <w:ind w:firstLine="0"/>
        <w:rPr>
          <w:i/>
          <w:snapToGrid w:val="0"/>
          <w:kern w:val="22"/>
        </w:rPr>
      </w:pPr>
    </w:p>
    <w:p w14:paraId="455B9F1E" w14:textId="77777777" w:rsidR="00EE20EF" w:rsidRDefault="00394567" w:rsidP="00526950">
      <w:pPr>
        <w:ind w:left="1276"/>
        <w:rPr>
          <w:bCs/>
          <w:i/>
          <w:lang w:val="en-US"/>
        </w:rPr>
      </w:pPr>
      <w:r w:rsidRPr="00E537F6">
        <w:rPr>
          <w:i/>
          <w:lang w:val="en-US"/>
        </w:rPr>
        <w:t>a.</w:t>
      </w:r>
      <w:r w:rsidRPr="00E537F6">
        <w:rPr>
          <w:i/>
          <w:lang w:val="en-US"/>
        </w:rPr>
        <w:tab/>
      </w:r>
      <w:r w:rsidRPr="00E537F6">
        <w:rPr>
          <w:i/>
        </w:rPr>
        <w:t xml:space="preserve">review all </w:t>
      </w:r>
      <w:r w:rsidRPr="00E537F6">
        <w:rPr>
          <w:bCs/>
          <w:i/>
          <w:lang w:val="en-US"/>
        </w:rPr>
        <w:t>previous</w:t>
      </w:r>
      <w:r w:rsidRPr="00E537F6">
        <w:rPr>
          <w:i/>
          <w:lang w:val="en-US"/>
        </w:rPr>
        <w:t xml:space="preserve"> </w:t>
      </w:r>
      <w:r w:rsidRPr="00E537F6">
        <w:rPr>
          <w:i/>
        </w:rPr>
        <w:t xml:space="preserve">Resolutions </w:t>
      </w:r>
      <w:r w:rsidRPr="00E537F6">
        <w:rPr>
          <w:bCs/>
          <w:i/>
          <w:lang w:val="en-US"/>
        </w:rPr>
        <w:t>and</w:t>
      </w:r>
      <w:r w:rsidRPr="00E537F6">
        <w:rPr>
          <w:bCs/>
          <w:i/>
        </w:rPr>
        <w:t xml:space="preserve"> </w:t>
      </w:r>
      <w:r w:rsidRPr="00E537F6">
        <w:rPr>
          <w:i/>
        </w:rPr>
        <w:t>decisions</w:t>
      </w:r>
      <w:r w:rsidRPr="00E537F6">
        <w:rPr>
          <w:i/>
          <w:lang w:val="en-US"/>
        </w:rPr>
        <w:t xml:space="preserve">, </w:t>
      </w:r>
      <w:r w:rsidRPr="00E537F6">
        <w:rPr>
          <w:i/>
        </w:rPr>
        <w:t>identifying those or parts of those, if any, that may no longer be valid or applicable, that contradict each other, or are otherwise inconsistent</w:t>
      </w:r>
      <w:r w:rsidRPr="00E537F6">
        <w:rPr>
          <w:bCs/>
          <w:i/>
          <w:lang w:val="en-US"/>
        </w:rPr>
        <w:t xml:space="preserve"> with current Ramsar practices, and at SC57 report its findings, including information on how it reached these conclusions (e.g. </w:t>
      </w:r>
      <w:r w:rsidRPr="008E09B1">
        <w:rPr>
          <w:bCs/>
          <w:iCs/>
          <w:lang w:val="en-US"/>
        </w:rPr>
        <w:t>inter alia</w:t>
      </w:r>
      <w:r w:rsidRPr="00E537F6">
        <w:rPr>
          <w:bCs/>
          <w:i/>
          <w:lang w:val="en-US"/>
        </w:rPr>
        <w:t>, that the work has been completed, superseded, is contradictory, or is incorporated elsewhere); and</w:t>
      </w:r>
    </w:p>
    <w:p w14:paraId="66F41644" w14:textId="77777777" w:rsidR="00E815B8" w:rsidRPr="00E537F6" w:rsidRDefault="00E815B8" w:rsidP="00526950">
      <w:pPr>
        <w:ind w:left="1276"/>
        <w:rPr>
          <w:bCs/>
          <w:i/>
          <w:lang w:val="en-US"/>
        </w:rPr>
      </w:pPr>
    </w:p>
    <w:p w14:paraId="3D071CC6" w14:textId="77777777" w:rsidR="00394567" w:rsidRDefault="00394567" w:rsidP="00526950">
      <w:pPr>
        <w:ind w:left="1276"/>
        <w:rPr>
          <w:bCs/>
          <w:i/>
          <w:lang w:val="en-US"/>
        </w:rPr>
      </w:pPr>
      <w:r w:rsidRPr="00E537F6">
        <w:rPr>
          <w:bCs/>
          <w:i/>
          <w:lang w:val="en-US"/>
        </w:rPr>
        <w:t>b.</w:t>
      </w:r>
      <w:r w:rsidRPr="00E537F6">
        <w:rPr>
          <w:bCs/>
          <w:i/>
          <w:lang w:val="en-US"/>
        </w:rPr>
        <w:tab/>
        <w:t>based on its findings and Parties’ feedback on its report to SC57, develop recommendations for Parties to consider at the 58th meeting of the Standing Committee (SC58) to consider a process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54E7AB40" w14:textId="77777777" w:rsidR="00E815B8" w:rsidRPr="00E537F6" w:rsidRDefault="00E815B8" w:rsidP="00526950">
      <w:pPr>
        <w:ind w:left="1117" w:hanging="397"/>
        <w:rPr>
          <w:i/>
          <w:lang w:val="en-US"/>
        </w:rPr>
      </w:pPr>
    </w:p>
    <w:p w14:paraId="56A18F7D" w14:textId="77777777" w:rsidR="00394567" w:rsidRPr="00526950" w:rsidRDefault="00394567" w:rsidP="00526950">
      <w:pPr>
        <w:ind w:left="850"/>
        <w:rPr>
          <w:i/>
          <w:snapToGrid w:val="0"/>
          <w:kern w:val="22"/>
        </w:rPr>
      </w:pPr>
      <w:r w:rsidRPr="00526950">
        <w:rPr>
          <w:i/>
          <w:snapToGrid w:val="0"/>
          <w:kern w:val="22"/>
        </w:rPr>
        <w:t>25</w:t>
      </w:r>
      <w:r w:rsidR="00814FEC" w:rsidRPr="00526950">
        <w:rPr>
          <w:i/>
          <w:snapToGrid w:val="0"/>
          <w:kern w:val="22"/>
        </w:rPr>
        <w:t>.</w:t>
      </w:r>
      <w:r w:rsidR="000A63C7" w:rsidRPr="00E537F6">
        <w:rPr>
          <w:i/>
          <w:snapToGrid w:val="0"/>
          <w:kern w:val="22"/>
        </w:rPr>
        <w:tab/>
      </w:r>
      <w:r w:rsidRPr="00526950">
        <w:rPr>
          <w:i/>
          <w:snapToGrid w:val="0"/>
          <w:kern w:val="22"/>
        </w:rPr>
        <w:t>REQUESTS that the Standing Committee, at SC57, review the Secretariat’s report on the validity of Resolutions and decisions and provide feedback, and consider the Secretariat’s recommendations on this subject at SC58, with a view to including, in a relevant draft resolution for COP14, the retirement of outdated Resolutions and decisions and the establishment of a practice for the Convention to retire outdated Resolutions and decisions automatically when they are superseded by new ones</w:t>
      </w:r>
      <w:r w:rsidR="00814FEC" w:rsidRPr="00526950">
        <w:rPr>
          <w:i/>
          <w:snapToGrid w:val="0"/>
          <w:kern w:val="22"/>
        </w:rPr>
        <w:t>.</w:t>
      </w:r>
    </w:p>
    <w:p w14:paraId="0F0A9511" w14:textId="77777777" w:rsidR="00FB5740" w:rsidRDefault="00FB5740" w:rsidP="001B1F9E">
      <w:pPr>
        <w:keepNext/>
        <w:rPr>
          <w:rFonts w:cstheme="minorHAnsi"/>
          <w:b/>
        </w:rPr>
      </w:pPr>
    </w:p>
    <w:p w14:paraId="24055ACF" w14:textId="6ABF9BBA" w:rsidR="00B144D9" w:rsidRDefault="00FB5740" w:rsidP="00550BD4">
      <w:pPr>
        <w:rPr>
          <w:rFonts w:cstheme="minorHAnsi"/>
        </w:rPr>
      </w:pPr>
      <w:r w:rsidRPr="00FB5740">
        <w:rPr>
          <w:rFonts w:cstheme="minorHAnsi"/>
        </w:rPr>
        <w:t>2.</w:t>
      </w:r>
      <w:r>
        <w:rPr>
          <w:rFonts w:cstheme="minorHAnsi"/>
        </w:rPr>
        <w:tab/>
      </w:r>
      <w:r w:rsidR="00E23C44">
        <w:rPr>
          <w:rFonts w:cstheme="minorHAnsi"/>
        </w:rPr>
        <w:t xml:space="preserve">In accordance with Resolution </w:t>
      </w:r>
      <w:r w:rsidR="00763605">
        <w:rPr>
          <w:rFonts w:cstheme="minorHAnsi"/>
        </w:rPr>
        <w:t>X</w:t>
      </w:r>
      <w:r w:rsidR="00E23C44">
        <w:rPr>
          <w:rFonts w:cstheme="minorHAnsi"/>
        </w:rPr>
        <w:t xml:space="preserve">III.4, paragraph 24.a., </w:t>
      </w:r>
      <w:r>
        <w:rPr>
          <w:rFonts w:cstheme="minorHAnsi"/>
        </w:rPr>
        <w:t>at the 57th meeting of the Standing Committee (SC57, Gland, 2019)</w:t>
      </w:r>
      <w:r w:rsidR="00550BD4">
        <w:rPr>
          <w:rFonts w:cstheme="minorHAnsi"/>
        </w:rPr>
        <w:t xml:space="preserve">, the Secretariat presented document SC57 Doc.14, on </w:t>
      </w:r>
      <w:r w:rsidR="00550BD4" w:rsidRPr="00921448">
        <w:rPr>
          <w:rFonts w:cstheme="minorHAnsi"/>
          <w:i/>
        </w:rPr>
        <w:t>Review of all previous Resolutions and Decisions</w:t>
      </w:r>
      <w:r w:rsidR="00921448">
        <w:rPr>
          <w:rFonts w:cstheme="minorHAnsi"/>
        </w:rPr>
        <w:t xml:space="preserve">, </w:t>
      </w:r>
      <w:r w:rsidR="00B144D9">
        <w:rPr>
          <w:rFonts w:cstheme="minorHAnsi"/>
        </w:rPr>
        <w:t>recommending a way forward</w:t>
      </w:r>
      <w:r w:rsidR="00763605">
        <w:rPr>
          <w:rFonts w:cstheme="minorHAnsi"/>
        </w:rPr>
        <w:t xml:space="preserve"> based on three actions to be taken by the Conference of the Parties:</w:t>
      </w:r>
    </w:p>
    <w:p w14:paraId="18597205" w14:textId="05F832C7" w:rsidR="00763605" w:rsidRDefault="00763605" w:rsidP="00FC7684">
      <w:pPr>
        <w:tabs>
          <w:tab w:val="left" w:pos="425"/>
          <w:tab w:val="left" w:pos="851"/>
          <w:tab w:val="left" w:pos="1276"/>
        </w:tabs>
        <w:ind w:left="851" w:hanging="851"/>
        <w:rPr>
          <w:rFonts w:cs="Arial"/>
        </w:rPr>
      </w:pPr>
      <w:r>
        <w:rPr>
          <w:rFonts w:cstheme="minorHAnsi"/>
        </w:rPr>
        <w:lastRenderedPageBreak/>
        <w:tab/>
        <w:t>-</w:t>
      </w:r>
      <w:r>
        <w:rPr>
          <w:rFonts w:cstheme="minorHAnsi"/>
        </w:rPr>
        <w:tab/>
      </w:r>
      <w:r w:rsidRPr="00FC7684">
        <w:rPr>
          <w:rFonts w:cstheme="minorHAnsi"/>
        </w:rPr>
        <w:t>repeal</w:t>
      </w:r>
      <w:r w:rsidRPr="00CA45FA">
        <w:rPr>
          <w:rFonts w:cs="Arial"/>
        </w:rPr>
        <w:t xml:space="preserve"> Resolutions </w:t>
      </w:r>
      <w:r>
        <w:rPr>
          <w:rFonts w:cs="Arial"/>
        </w:rPr>
        <w:t xml:space="preserve">and Recommendations, </w:t>
      </w:r>
      <w:r w:rsidRPr="00CA45FA">
        <w:rPr>
          <w:rFonts w:cs="Arial"/>
        </w:rPr>
        <w:t>or parts of</w:t>
      </w:r>
      <w:r>
        <w:rPr>
          <w:rFonts w:cs="Arial"/>
        </w:rPr>
        <w:t xml:space="preserve"> them,</w:t>
      </w:r>
      <w:r w:rsidRPr="00CA45FA">
        <w:rPr>
          <w:rFonts w:cs="Arial"/>
        </w:rPr>
        <w:t xml:space="preserve"> that are defunct</w:t>
      </w:r>
      <w:r>
        <w:rPr>
          <w:rFonts w:cs="Arial"/>
        </w:rPr>
        <w:t>;</w:t>
      </w:r>
    </w:p>
    <w:p w14:paraId="1DC0A0DC" w14:textId="1C81E94C" w:rsidR="00763605" w:rsidRDefault="00763605" w:rsidP="00FC7684">
      <w:pPr>
        <w:tabs>
          <w:tab w:val="left" w:pos="425"/>
          <w:tab w:val="left" w:pos="851"/>
          <w:tab w:val="left" w:pos="1276"/>
        </w:tabs>
        <w:ind w:left="851" w:hanging="851"/>
        <w:rPr>
          <w:rFonts w:cs="Arial"/>
        </w:rPr>
      </w:pPr>
      <w:r>
        <w:rPr>
          <w:rFonts w:cs="Arial"/>
        </w:rPr>
        <w:tab/>
        <w:t>-</w:t>
      </w:r>
      <w:r>
        <w:rPr>
          <w:rFonts w:cs="Arial"/>
        </w:rPr>
        <w:tab/>
      </w:r>
      <w:r w:rsidRPr="00FC7684">
        <w:rPr>
          <w:rFonts w:cstheme="minorHAnsi"/>
        </w:rPr>
        <w:t>consolidate</w:t>
      </w:r>
      <w:r>
        <w:rPr>
          <w:rFonts w:cs="Arial"/>
        </w:rPr>
        <w:t xml:space="preserve"> the</w:t>
      </w:r>
      <w:r w:rsidRPr="00CA45FA">
        <w:rPr>
          <w:rFonts w:cs="Arial"/>
        </w:rPr>
        <w:t xml:space="preserve"> Resolutions </w:t>
      </w:r>
      <w:r>
        <w:rPr>
          <w:rFonts w:cs="Arial"/>
        </w:rPr>
        <w:t xml:space="preserve">and Recommendations, </w:t>
      </w:r>
      <w:r w:rsidRPr="00CA45FA">
        <w:rPr>
          <w:rFonts w:cs="Arial"/>
        </w:rPr>
        <w:t xml:space="preserve">or parts </w:t>
      </w:r>
      <w:r>
        <w:rPr>
          <w:rFonts w:cs="Arial"/>
        </w:rPr>
        <w:t>there</w:t>
      </w:r>
      <w:r w:rsidRPr="00CA45FA">
        <w:rPr>
          <w:rFonts w:cs="Arial"/>
        </w:rPr>
        <w:t>of</w:t>
      </w:r>
      <w:r>
        <w:rPr>
          <w:rFonts w:cs="Arial"/>
        </w:rPr>
        <w:t>,</w:t>
      </w:r>
      <w:r w:rsidRPr="00CA45FA">
        <w:rPr>
          <w:rFonts w:cs="Arial"/>
        </w:rPr>
        <w:t xml:space="preserve"> t</w:t>
      </w:r>
      <w:r>
        <w:rPr>
          <w:rFonts w:cs="Arial"/>
        </w:rPr>
        <w:t>hat deal with the same subject; and</w:t>
      </w:r>
    </w:p>
    <w:p w14:paraId="3EDFD410" w14:textId="07C75CCF" w:rsidR="00763605" w:rsidRDefault="00763605" w:rsidP="00FC7684">
      <w:pPr>
        <w:tabs>
          <w:tab w:val="left" w:pos="425"/>
          <w:tab w:val="left" w:pos="851"/>
          <w:tab w:val="left" w:pos="1276"/>
        </w:tabs>
        <w:ind w:left="851" w:hanging="851"/>
        <w:rPr>
          <w:rFonts w:cstheme="minorHAnsi"/>
        </w:rPr>
      </w:pPr>
      <w:r>
        <w:rPr>
          <w:rFonts w:cs="Arial"/>
        </w:rPr>
        <w:tab/>
        <w:t>-</w:t>
      </w:r>
      <w:r>
        <w:rPr>
          <w:rFonts w:cs="Arial"/>
        </w:rPr>
        <w:tab/>
        <w:t xml:space="preserve">consider how its </w:t>
      </w:r>
      <w:r w:rsidRPr="00CA45FA">
        <w:rPr>
          <w:rFonts w:cs="Arial"/>
        </w:rPr>
        <w:t>decision</w:t>
      </w:r>
      <w:r>
        <w:rPr>
          <w:rFonts w:cs="Arial"/>
        </w:rPr>
        <w:t>s</w:t>
      </w:r>
      <w:r w:rsidRPr="00CA45FA">
        <w:rPr>
          <w:rFonts w:cs="Arial"/>
        </w:rPr>
        <w:t xml:space="preserve"> would best be recorded in future, to ensure that, after the review process is complete, the Resolutions do not again become more difficult to understand and implement than they need to be</w:t>
      </w:r>
      <w:r w:rsidR="00DF5CDF">
        <w:rPr>
          <w:rFonts w:cs="Arial"/>
        </w:rPr>
        <w:t>.</w:t>
      </w:r>
    </w:p>
    <w:p w14:paraId="58E0BE34" w14:textId="76D7170D" w:rsidR="00845EF9" w:rsidRDefault="00845EF9" w:rsidP="00550BD4">
      <w:pPr>
        <w:rPr>
          <w:rFonts w:cstheme="minorHAnsi"/>
        </w:rPr>
      </w:pPr>
    </w:p>
    <w:p w14:paraId="349C46F5" w14:textId="0F5525E5" w:rsidR="00E23C44" w:rsidRDefault="00E23C44" w:rsidP="00550BD4">
      <w:pPr>
        <w:rPr>
          <w:rFonts w:cstheme="minorHAnsi"/>
        </w:rPr>
      </w:pPr>
      <w:r>
        <w:rPr>
          <w:rFonts w:cstheme="minorHAnsi"/>
        </w:rPr>
        <w:t>3.</w:t>
      </w:r>
      <w:r>
        <w:rPr>
          <w:rFonts w:cstheme="minorHAnsi"/>
        </w:rPr>
        <w:tab/>
      </w:r>
      <w:r w:rsidR="002F5271">
        <w:rPr>
          <w:rFonts w:cstheme="minorHAnsi"/>
        </w:rPr>
        <w:t xml:space="preserve">Following discussion </w:t>
      </w:r>
      <w:r w:rsidR="00763605">
        <w:rPr>
          <w:rFonts w:cstheme="minorHAnsi"/>
        </w:rPr>
        <w:t>of that document</w:t>
      </w:r>
      <w:r w:rsidR="002F5271">
        <w:rPr>
          <w:rFonts w:cstheme="minorHAnsi"/>
        </w:rPr>
        <w:t xml:space="preserve">, </w:t>
      </w:r>
      <w:r>
        <w:rPr>
          <w:rFonts w:cstheme="minorHAnsi"/>
        </w:rPr>
        <w:t>the Standing Committee adopted Decision SC57-19 as follows:</w:t>
      </w:r>
    </w:p>
    <w:p w14:paraId="7998FB1C" w14:textId="7CE64E7D" w:rsidR="00845EF9" w:rsidRDefault="00845EF9" w:rsidP="00550BD4">
      <w:pPr>
        <w:rPr>
          <w:rFonts w:cstheme="minorHAnsi"/>
        </w:rPr>
      </w:pPr>
    </w:p>
    <w:p w14:paraId="2A5E1237" w14:textId="0AB00E72" w:rsidR="00845EF9" w:rsidRPr="00E23C44" w:rsidRDefault="00E23C44" w:rsidP="00E23C44">
      <w:pPr>
        <w:ind w:left="850"/>
        <w:rPr>
          <w:i/>
          <w:snapToGrid w:val="0"/>
          <w:kern w:val="22"/>
        </w:rPr>
      </w:pPr>
      <w:r>
        <w:rPr>
          <w:i/>
          <w:snapToGrid w:val="0"/>
          <w:kern w:val="22"/>
        </w:rPr>
        <w:tab/>
      </w:r>
      <w:r w:rsidR="00845EF9" w:rsidRPr="00E23C44">
        <w:rPr>
          <w:i/>
          <w:snapToGrid w:val="0"/>
          <w:kern w:val="22"/>
        </w:rPr>
        <w:t>The Standing Committee instructed the Secretariat to carry out a preliminary grouping of existing Resolutions into major thematic areas, identifying possible priority areas for further action in line with the prioritization of urgent challenges under Agenda item 8, to submit intersessionally to a group comprising the Netherlands, Sweden, the United States of America and the Chair of the STRP for their consideration, along with advice on the capacity that would be needed to take the process further.</w:t>
      </w:r>
    </w:p>
    <w:p w14:paraId="340A7924" w14:textId="10D62755" w:rsidR="00845EF9" w:rsidRDefault="00845EF9" w:rsidP="00550BD4">
      <w:pPr>
        <w:rPr>
          <w:rFonts w:cstheme="minorHAnsi"/>
        </w:rPr>
      </w:pPr>
    </w:p>
    <w:p w14:paraId="72267A8B" w14:textId="4DE7BCD8" w:rsidR="000660C8" w:rsidRDefault="00B44F86" w:rsidP="00A53B2A">
      <w:pPr>
        <w:tabs>
          <w:tab w:val="left" w:pos="425"/>
          <w:tab w:val="left" w:pos="851"/>
          <w:tab w:val="left" w:pos="1276"/>
        </w:tabs>
        <w:rPr>
          <w:rFonts w:cstheme="minorHAnsi"/>
        </w:rPr>
      </w:pPr>
      <w:r>
        <w:rPr>
          <w:rFonts w:cstheme="minorHAnsi"/>
        </w:rPr>
        <w:t>4</w:t>
      </w:r>
      <w:r w:rsidR="000D4E44">
        <w:rPr>
          <w:rFonts w:cstheme="minorHAnsi"/>
        </w:rPr>
        <w:t>.</w:t>
      </w:r>
      <w:r w:rsidR="009514E6">
        <w:rPr>
          <w:rFonts w:cstheme="minorHAnsi"/>
        </w:rPr>
        <w:tab/>
      </w:r>
      <w:r w:rsidR="0050450F">
        <w:rPr>
          <w:rFonts w:cstheme="minorHAnsi"/>
        </w:rPr>
        <w:t>The Secretariat sought</w:t>
      </w:r>
      <w:r w:rsidR="009514E6">
        <w:rPr>
          <w:rFonts w:cstheme="minorHAnsi"/>
        </w:rPr>
        <w:t xml:space="preserve"> the views of the cons</w:t>
      </w:r>
      <w:r w:rsidR="00E34284">
        <w:rPr>
          <w:rFonts w:cstheme="minorHAnsi"/>
        </w:rPr>
        <w:t xml:space="preserve">ultative group on the way </w:t>
      </w:r>
      <w:r w:rsidR="001040F2">
        <w:rPr>
          <w:rFonts w:cstheme="minorHAnsi"/>
        </w:rPr>
        <w:t xml:space="preserve">to proceed in </w:t>
      </w:r>
      <w:r w:rsidR="009514E6">
        <w:rPr>
          <w:rFonts w:cstheme="minorHAnsi"/>
        </w:rPr>
        <w:t xml:space="preserve">implementing the instructions </w:t>
      </w:r>
      <w:r w:rsidR="00A13541">
        <w:rPr>
          <w:rFonts w:cstheme="minorHAnsi"/>
        </w:rPr>
        <w:t>to the Secretariat in Resolution XIII.4.</w:t>
      </w:r>
      <w:r w:rsidR="0030773C">
        <w:rPr>
          <w:rFonts w:cstheme="minorHAnsi"/>
        </w:rPr>
        <w:t xml:space="preserve"> </w:t>
      </w:r>
      <w:r w:rsidR="00526481">
        <w:rPr>
          <w:rFonts w:cstheme="minorHAnsi"/>
        </w:rPr>
        <w:t xml:space="preserve">These views were </w:t>
      </w:r>
      <w:r>
        <w:rPr>
          <w:rFonts w:cstheme="minorHAnsi"/>
        </w:rPr>
        <w:t xml:space="preserve">taken into </w:t>
      </w:r>
      <w:r w:rsidR="001040F2">
        <w:rPr>
          <w:rFonts w:cstheme="minorHAnsi"/>
        </w:rPr>
        <w:t>account in the preparation of document</w:t>
      </w:r>
      <w:r w:rsidR="00526481">
        <w:rPr>
          <w:rFonts w:cstheme="minorHAnsi"/>
        </w:rPr>
        <w:t xml:space="preserve"> SC58 Doc</w:t>
      </w:r>
      <w:r w:rsidR="002F5271">
        <w:rPr>
          <w:rFonts w:cstheme="minorHAnsi"/>
        </w:rPr>
        <w:t>.</w:t>
      </w:r>
      <w:r w:rsidR="00526481">
        <w:rPr>
          <w:rFonts w:cstheme="minorHAnsi"/>
        </w:rPr>
        <w:t>13</w:t>
      </w:r>
      <w:r w:rsidR="001040F2">
        <w:rPr>
          <w:rFonts w:cstheme="minorHAnsi"/>
        </w:rPr>
        <w:t>, which</w:t>
      </w:r>
      <w:r w:rsidR="00526481">
        <w:rPr>
          <w:rFonts w:cstheme="minorHAnsi"/>
        </w:rPr>
        <w:t xml:space="preserve"> was presented a</w:t>
      </w:r>
      <w:r w:rsidR="001040F2">
        <w:rPr>
          <w:rFonts w:cstheme="minorHAnsi"/>
        </w:rPr>
        <w:t>t</w:t>
      </w:r>
      <w:r w:rsidR="00526481">
        <w:rPr>
          <w:rFonts w:cstheme="minorHAnsi"/>
        </w:rPr>
        <w:t xml:space="preserve"> </w:t>
      </w:r>
      <w:r w:rsidR="00526481" w:rsidRPr="00777BAB">
        <w:rPr>
          <w:rFonts w:cstheme="minorHAnsi"/>
        </w:rPr>
        <w:t xml:space="preserve">SC58 in June 2020. </w:t>
      </w:r>
      <w:r w:rsidR="00606044" w:rsidRPr="00777BAB">
        <w:rPr>
          <w:rFonts w:cstheme="minorHAnsi"/>
        </w:rPr>
        <w:t>That document contained:</w:t>
      </w:r>
    </w:p>
    <w:p w14:paraId="461147D7" w14:textId="064015B1" w:rsidR="00606044" w:rsidRDefault="00606044" w:rsidP="00A53B2A">
      <w:pPr>
        <w:tabs>
          <w:tab w:val="left" w:pos="425"/>
          <w:tab w:val="left" w:pos="851"/>
          <w:tab w:val="left" w:pos="1276"/>
        </w:tabs>
        <w:ind w:left="851" w:hanging="851"/>
        <w:rPr>
          <w:rFonts w:cstheme="minorHAnsi"/>
        </w:rPr>
      </w:pPr>
      <w:r>
        <w:rPr>
          <w:rFonts w:cstheme="minorHAnsi"/>
        </w:rPr>
        <w:tab/>
        <w:t>-</w:t>
      </w:r>
      <w:r>
        <w:rPr>
          <w:rFonts w:cstheme="minorHAnsi"/>
        </w:rPr>
        <w:tab/>
        <w:t xml:space="preserve">Recommendations for </w:t>
      </w:r>
      <w:r w:rsidR="00D75FF5">
        <w:rPr>
          <w:rFonts w:cstheme="minorHAnsi"/>
        </w:rPr>
        <w:t>a</w:t>
      </w:r>
      <w:r w:rsidR="00B40B2C">
        <w:rPr>
          <w:rFonts w:cstheme="minorHAnsi"/>
        </w:rPr>
        <w:t xml:space="preserve"> process </w:t>
      </w:r>
      <w:r>
        <w:rPr>
          <w:rFonts w:cstheme="minorHAnsi"/>
        </w:rPr>
        <w:t xml:space="preserve">to implement the instructions of the Conference of the Parties contained in Resolution </w:t>
      </w:r>
      <w:r w:rsidR="00DF5CDF">
        <w:rPr>
          <w:rFonts w:cstheme="minorHAnsi"/>
        </w:rPr>
        <w:t>X</w:t>
      </w:r>
      <w:r>
        <w:rPr>
          <w:rFonts w:cstheme="minorHAnsi"/>
        </w:rPr>
        <w:t>III.4;</w:t>
      </w:r>
    </w:p>
    <w:p w14:paraId="552EED1A" w14:textId="4FEA834A" w:rsidR="00D75FF5" w:rsidRDefault="00606044" w:rsidP="00A53B2A">
      <w:pPr>
        <w:tabs>
          <w:tab w:val="left" w:pos="425"/>
          <w:tab w:val="left" w:pos="851"/>
          <w:tab w:val="left" w:pos="1276"/>
        </w:tabs>
        <w:ind w:left="851" w:hanging="851"/>
        <w:rPr>
          <w:rFonts w:cstheme="minorHAnsi"/>
        </w:rPr>
      </w:pPr>
      <w:r>
        <w:rPr>
          <w:rFonts w:cstheme="minorHAnsi"/>
        </w:rPr>
        <w:tab/>
        <w:t>-</w:t>
      </w:r>
      <w:r>
        <w:rPr>
          <w:rFonts w:cstheme="minorHAnsi"/>
        </w:rPr>
        <w:tab/>
      </w:r>
      <w:r w:rsidR="00D75FF5">
        <w:rPr>
          <w:rFonts w:cstheme="minorHAnsi"/>
        </w:rPr>
        <w:t xml:space="preserve">Annex 1, </w:t>
      </w:r>
      <w:r w:rsidR="00D74512">
        <w:rPr>
          <w:rFonts w:cstheme="minorHAnsi"/>
        </w:rPr>
        <w:t>presenting</w:t>
      </w:r>
      <w:r w:rsidR="00D75FF5">
        <w:rPr>
          <w:rFonts w:cstheme="minorHAnsi"/>
        </w:rPr>
        <w:t xml:space="preserve"> a proposed categorization of Resolutions and Recommendations of the Conference of the Contracting Parties (27 pages)</w:t>
      </w:r>
      <w:r w:rsidR="00DF5CDF">
        <w:rPr>
          <w:rFonts w:cstheme="minorHAnsi"/>
        </w:rPr>
        <w:t>,</w:t>
      </w:r>
      <w:r w:rsidR="00D75FF5">
        <w:rPr>
          <w:rFonts w:cstheme="minorHAnsi"/>
        </w:rPr>
        <w:t xml:space="preserve"> as requested </w:t>
      </w:r>
      <w:r w:rsidR="00DF5CDF">
        <w:rPr>
          <w:rFonts w:cstheme="minorHAnsi"/>
        </w:rPr>
        <w:t>in Decision SC57-19</w:t>
      </w:r>
      <w:r w:rsidR="00D75FF5">
        <w:rPr>
          <w:rFonts w:cstheme="minorHAnsi"/>
        </w:rPr>
        <w:t>; and</w:t>
      </w:r>
    </w:p>
    <w:p w14:paraId="04484399" w14:textId="35C7C26A" w:rsidR="00E4184D" w:rsidRDefault="00D75FF5" w:rsidP="00A53B2A">
      <w:pPr>
        <w:tabs>
          <w:tab w:val="left" w:pos="425"/>
          <w:tab w:val="left" w:pos="851"/>
          <w:tab w:val="left" w:pos="1276"/>
        </w:tabs>
        <w:ind w:left="851" w:hanging="851"/>
        <w:rPr>
          <w:rFonts w:cstheme="minorHAnsi"/>
        </w:rPr>
      </w:pPr>
      <w:r>
        <w:rPr>
          <w:rFonts w:cstheme="minorHAnsi"/>
        </w:rPr>
        <w:tab/>
        <w:t>-</w:t>
      </w:r>
      <w:r>
        <w:rPr>
          <w:rFonts w:cstheme="minorHAnsi"/>
        </w:rPr>
        <w:tab/>
        <w:t xml:space="preserve">Annex 2, </w:t>
      </w:r>
      <w:r w:rsidR="00D74512">
        <w:rPr>
          <w:rFonts w:cstheme="minorHAnsi"/>
        </w:rPr>
        <w:t>presenting</w:t>
      </w:r>
      <w:r>
        <w:rPr>
          <w:rFonts w:cstheme="minorHAnsi"/>
        </w:rPr>
        <w:t xml:space="preserve"> </w:t>
      </w:r>
      <w:r w:rsidR="007E26D3">
        <w:rPr>
          <w:rFonts w:cstheme="minorHAnsi"/>
        </w:rPr>
        <w:t xml:space="preserve">a draft of a consolidated resolution on 'Inventories', </w:t>
      </w:r>
      <w:r w:rsidR="006A4718">
        <w:rPr>
          <w:rFonts w:cstheme="minorHAnsi"/>
        </w:rPr>
        <w:t>with an explanation of the process followed (13 pages)</w:t>
      </w:r>
      <w:r w:rsidR="00BA582E">
        <w:rPr>
          <w:rFonts w:cstheme="minorHAnsi"/>
        </w:rPr>
        <w:t>, as a pilot study, as agreed with the consultative group</w:t>
      </w:r>
      <w:r w:rsidR="006A4718">
        <w:rPr>
          <w:rFonts w:cstheme="minorHAnsi"/>
        </w:rPr>
        <w:t>.</w:t>
      </w:r>
    </w:p>
    <w:p w14:paraId="7498A36E" w14:textId="1D5A597B" w:rsidR="00E4184D" w:rsidRDefault="00E4184D" w:rsidP="008E09B1">
      <w:pPr>
        <w:rPr>
          <w:rFonts w:cstheme="minorHAnsi"/>
        </w:rPr>
      </w:pPr>
    </w:p>
    <w:p w14:paraId="2E27876C" w14:textId="0ABE4E9B" w:rsidR="006A4718" w:rsidRDefault="006A4718" w:rsidP="008E09B1">
      <w:pPr>
        <w:rPr>
          <w:rFonts w:cstheme="minorHAnsi"/>
        </w:rPr>
      </w:pPr>
      <w:r>
        <w:rPr>
          <w:rFonts w:cstheme="minorHAnsi"/>
        </w:rPr>
        <w:t>5.</w:t>
      </w:r>
      <w:r>
        <w:rPr>
          <w:rFonts w:cstheme="minorHAnsi"/>
        </w:rPr>
        <w:tab/>
      </w:r>
      <w:r w:rsidR="001D78C2">
        <w:rPr>
          <w:rFonts w:cstheme="minorHAnsi"/>
        </w:rPr>
        <w:t>Following discussion at SC58, the Standing Committee adopted the following Decisions:</w:t>
      </w:r>
    </w:p>
    <w:p w14:paraId="41DA52B2" w14:textId="77777777" w:rsidR="00A03D79" w:rsidRDefault="00A03D79" w:rsidP="008E09B1">
      <w:pPr>
        <w:rPr>
          <w:rFonts w:cstheme="minorHAnsi"/>
        </w:rPr>
      </w:pPr>
    </w:p>
    <w:p w14:paraId="57550FF8" w14:textId="7F62EEDF" w:rsidR="00E4184D" w:rsidRPr="00A03D79" w:rsidRDefault="00A03D79" w:rsidP="00A03D79">
      <w:pPr>
        <w:ind w:left="850"/>
        <w:rPr>
          <w:i/>
          <w:snapToGrid w:val="0"/>
          <w:kern w:val="22"/>
        </w:rPr>
      </w:pPr>
      <w:r>
        <w:rPr>
          <w:i/>
          <w:snapToGrid w:val="0"/>
          <w:kern w:val="22"/>
        </w:rPr>
        <w:tab/>
      </w:r>
      <w:r w:rsidR="00E4184D" w:rsidRPr="00A03D79">
        <w:rPr>
          <w:i/>
          <w:snapToGrid w:val="0"/>
          <w:kern w:val="22"/>
        </w:rPr>
        <w:t>Decision SC58-19: The Standing Committee decided that, in consultation with the Standing Committee’s consultative group on the review of Resolutions and Decisions of the Standing Committee, the Secretariat should prepare the following documents for consideration by the Committee at its 59th meeting and, if appropriate, forwarding for consideration at COP14:</w:t>
      </w:r>
    </w:p>
    <w:p w14:paraId="75527EB9" w14:textId="1172EF3B" w:rsidR="00E4184D" w:rsidRPr="00A03D79" w:rsidRDefault="00A03D79" w:rsidP="00A03D79">
      <w:pPr>
        <w:ind w:left="850"/>
        <w:rPr>
          <w:i/>
          <w:snapToGrid w:val="0"/>
          <w:kern w:val="22"/>
        </w:rPr>
      </w:pPr>
      <w:r>
        <w:rPr>
          <w:i/>
          <w:snapToGrid w:val="0"/>
          <w:kern w:val="22"/>
        </w:rPr>
        <w:tab/>
      </w:r>
      <w:r w:rsidR="00E4184D" w:rsidRPr="00A03D79">
        <w:rPr>
          <w:i/>
          <w:snapToGrid w:val="0"/>
          <w:kern w:val="22"/>
        </w:rPr>
        <w:t>i.</w:t>
      </w:r>
      <w:r w:rsidR="00E4184D" w:rsidRPr="00A03D79">
        <w:rPr>
          <w:i/>
          <w:snapToGrid w:val="0"/>
          <w:kern w:val="22"/>
        </w:rPr>
        <w:tab/>
        <w:t>a draft list of all existing Resolutions that are effectively defunct and that should be removed from a list of valid Resolutions;</w:t>
      </w:r>
    </w:p>
    <w:p w14:paraId="78D4730B" w14:textId="0150549F" w:rsidR="00E4184D" w:rsidRPr="00A03D79" w:rsidRDefault="00A03D79" w:rsidP="00A03D79">
      <w:pPr>
        <w:ind w:left="850"/>
        <w:rPr>
          <w:i/>
          <w:snapToGrid w:val="0"/>
          <w:kern w:val="22"/>
        </w:rPr>
      </w:pPr>
      <w:r>
        <w:rPr>
          <w:i/>
          <w:snapToGrid w:val="0"/>
          <w:kern w:val="22"/>
        </w:rPr>
        <w:tab/>
      </w:r>
      <w:r w:rsidR="00E4184D" w:rsidRPr="00A03D79">
        <w:rPr>
          <w:i/>
          <w:snapToGrid w:val="0"/>
          <w:kern w:val="22"/>
        </w:rPr>
        <w:t>ii. </w:t>
      </w:r>
      <w:r w:rsidR="00E4184D" w:rsidRPr="00A03D79">
        <w:rPr>
          <w:i/>
          <w:snapToGrid w:val="0"/>
          <w:kern w:val="22"/>
        </w:rPr>
        <w:tab/>
        <w:t>draft guidance for the Parties, the chairs of committees, panels and other Convention bodies and the Secretariat, to specify how Resolutions should be drafted, adopted and recorded in future, to ensure that the soft law of the Convention remains clear, accessible and easy to use for matters with multiple prior COP Resolutions and/or Recommendations.</w:t>
      </w:r>
    </w:p>
    <w:p w14:paraId="094E664F" w14:textId="77777777" w:rsidR="00E4184D" w:rsidRPr="00A03D79" w:rsidRDefault="00E4184D" w:rsidP="00A03D79">
      <w:pPr>
        <w:ind w:left="850"/>
        <w:rPr>
          <w:i/>
          <w:snapToGrid w:val="0"/>
          <w:kern w:val="22"/>
        </w:rPr>
      </w:pPr>
    </w:p>
    <w:p w14:paraId="1FB79B2D" w14:textId="01CB155B" w:rsidR="00E4184D" w:rsidRPr="00742889" w:rsidRDefault="00A03D79" w:rsidP="00A03D79">
      <w:pPr>
        <w:ind w:left="850"/>
        <w:rPr>
          <w:rFonts w:cstheme="minorHAnsi"/>
          <w:b/>
        </w:rPr>
      </w:pPr>
      <w:r>
        <w:rPr>
          <w:i/>
          <w:snapToGrid w:val="0"/>
          <w:kern w:val="22"/>
        </w:rPr>
        <w:tab/>
      </w:r>
      <w:r w:rsidR="00E4184D" w:rsidRPr="00A03D79">
        <w:rPr>
          <w:i/>
          <w:snapToGrid w:val="0"/>
          <w:kern w:val="22"/>
        </w:rPr>
        <w:t>Decision SC58-20: The Standing Committee requested that the Secretariat incorporate feedback received from Parties by 10 July 2020 into a revised draft consolidated resolution on “Inventories” as found in Annex 2 of SC58 Doc.13 for use as a model in preparing future draft consolidated resolutions as instructed by the Standing Committee.</w:t>
      </w:r>
    </w:p>
    <w:p w14:paraId="69038D99" w14:textId="77777777" w:rsidR="00CC7A56" w:rsidRDefault="00CC7A56" w:rsidP="00FB5740">
      <w:pPr>
        <w:rPr>
          <w:rFonts w:cstheme="minorHAnsi"/>
        </w:rPr>
      </w:pPr>
    </w:p>
    <w:p w14:paraId="41E0150A" w14:textId="4550FEB9" w:rsidR="00D71F0B" w:rsidRPr="008E09B1" w:rsidRDefault="00A03D79" w:rsidP="00A03D79">
      <w:pPr>
        <w:ind w:left="850"/>
        <w:rPr>
          <w:rFonts w:cstheme="minorHAnsi"/>
          <w:i/>
          <w:iCs/>
        </w:rPr>
      </w:pPr>
      <w:r>
        <w:rPr>
          <w:rFonts w:cstheme="minorHAnsi"/>
        </w:rPr>
        <w:tab/>
      </w:r>
      <w:r w:rsidR="00526481" w:rsidRPr="00A03D79">
        <w:rPr>
          <w:i/>
          <w:snapToGrid w:val="0"/>
          <w:kern w:val="22"/>
        </w:rPr>
        <w:t>Decision SC58-21</w:t>
      </w:r>
      <w:r w:rsidR="00D71F0B" w:rsidRPr="00A03D79">
        <w:rPr>
          <w:i/>
          <w:snapToGrid w:val="0"/>
          <w:kern w:val="22"/>
        </w:rPr>
        <w:t>:</w:t>
      </w:r>
      <w:r w:rsidRPr="00A03D79">
        <w:rPr>
          <w:i/>
          <w:snapToGrid w:val="0"/>
          <w:kern w:val="22"/>
        </w:rPr>
        <w:t xml:space="preserve"> </w:t>
      </w:r>
      <w:r w:rsidR="00685573" w:rsidRPr="00A03D79">
        <w:rPr>
          <w:i/>
          <w:snapToGrid w:val="0"/>
          <w:kern w:val="22"/>
        </w:rPr>
        <w:t>The Standing Committee requested the Secretariat to prepare a revised document (SC58 Doc</w:t>
      </w:r>
      <w:r w:rsidR="00D71F0B" w:rsidRPr="00A03D79">
        <w:rPr>
          <w:i/>
          <w:snapToGrid w:val="0"/>
          <w:kern w:val="22"/>
        </w:rPr>
        <w:t>.</w:t>
      </w:r>
      <w:r w:rsidR="00685573" w:rsidRPr="00A03D79">
        <w:rPr>
          <w:i/>
          <w:snapToGrid w:val="0"/>
          <w:kern w:val="22"/>
        </w:rPr>
        <w:t xml:space="preserve">13) with the consultative group to be presented to SC58 in October </w:t>
      </w:r>
      <w:r w:rsidR="00FF3444" w:rsidRPr="00A03D79">
        <w:rPr>
          <w:i/>
          <w:snapToGrid w:val="0"/>
          <w:kern w:val="22"/>
        </w:rPr>
        <w:lastRenderedPageBreak/>
        <w:t>2020, giving due consideration to the feedback from Contracting Parties on the approach to implem</w:t>
      </w:r>
      <w:r w:rsidR="00526481" w:rsidRPr="00A03D79">
        <w:rPr>
          <w:i/>
          <w:snapToGrid w:val="0"/>
          <w:kern w:val="22"/>
        </w:rPr>
        <w:t>ent Standing Committee Decision</w:t>
      </w:r>
      <w:r w:rsidR="00FF3444" w:rsidRPr="00A03D79">
        <w:rPr>
          <w:i/>
          <w:snapToGrid w:val="0"/>
          <w:kern w:val="22"/>
        </w:rPr>
        <w:t xml:space="preserve"> SC57-19, and to seek </w:t>
      </w:r>
      <w:r w:rsidR="00D71F0B" w:rsidRPr="00A03D79">
        <w:rPr>
          <w:i/>
          <w:snapToGrid w:val="0"/>
          <w:kern w:val="22"/>
        </w:rPr>
        <w:t xml:space="preserve">the </w:t>
      </w:r>
      <w:r w:rsidR="00FF3444" w:rsidRPr="00A03D79">
        <w:rPr>
          <w:i/>
          <w:snapToGrid w:val="0"/>
          <w:kern w:val="22"/>
        </w:rPr>
        <w:t>guidance of the consultative group of interested Contracting Parties on its possible revision, in advance of SC58, as a number of smaller thematic documents.</w:t>
      </w:r>
      <w:r w:rsidR="00D71F0B" w:rsidRPr="00A03D79">
        <w:rPr>
          <w:iCs/>
          <w:snapToGrid w:val="0"/>
          <w:kern w:val="22"/>
        </w:rPr>
        <w:t xml:space="preserve"> (The meeting planned for October 2020 was subsequently cancelled.)</w:t>
      </w:r>
      <w:r w:rsidR="00FF3444" w:rsidRPr="00A03D79">
        <w:rPr>
          <w:iCs/>
          <w:snapToGrid w:val="0"/>
          <w:kern w:val="22"/>
        </w:rPr>
        <w:t xml:space="preserve"> </w:t>
      </w:r>
    </w:p>
    <w:p w14:paraId="31AD2829" w14:textId="77777777" w:rsidR="00AF13C7" w:rsidRDefault="00AF13C7" w:rsidP="00526481">
      <w:pPr>
        <w:rPr>
          <w:rFonts w:cstheme="minorHAnsi"/>
        </w:rPr>
      </w:pPr>
    </w:p>
    <w:p w14:paraId="10A0C7FA" w14:textId="574BDA71" w:rsidR="00FA0E4B" w:rsidRDefault="00AF13C7" w:rsidP="00526481">
      <w:pPr>
        <w:rPr>
          <w:rFonts w:cstheme="minorHAnsi"/>
        </w:rPr>
      </w:pPr>
      <w:r>
        <w:rPr>
          <w:rFonts w:cstheme="minorHAnsi"/>
        </w:rPr>
        <w:t>5.</w:t>
      </w:r>
      <w:r w:rsidR="00D71F0B">
        <w:rPr>
          <w:rFonts w:cstheme="minorHAnsi"/>
        </w:rPr>
        <w:tab/>
      </w:r>
      <w:r w:rsidR="00526481">
        <w:rPr>
          <w:rFonts w:cstheme="minorHAnsi"/>
        </w:rPr>
        <w:t>In response to th</w:t>
      </w:r>
      <w:r w:rsidR="00FA0E4B">
        <w:rPr>
          <w:rFonts w:cstheme="minorHAnsi"/>
        </w:rPr>
        <w:t>e</w:t>
      </w:r>
      <w:r w:rsidR="00526481">
        <w:rPr>
          <w:rFonts w:cstheme="minorHAnsi"/>
        </w:rPr>
        <w:t xml:space="preserve"> </w:t>
      </w:r>
      <w:r w:rsidR="00FA0E4B">
        <w:rPr>
          <w:rFonts w:cstheme="minorHAnsi"/>
        </w:rPr>
        <w:t xml:space="preserve">Decisions of the Standing Committee at </w:t>
      </w:r>
      <w:r w:rsidR="00E06E83">
        <w:rPr>
          <w:rFonts w:cstheme="minorHAnsi"/>
        </w:rPr>
        <w:t xml:space="preserve">SC57 and </w:t>
      </w:r>
      <w:r w:rsidR="00FA0E4B">
        <w:rPr>
          <w:rFonts w:cstheme="minorHAnsi"/>
        </w:rPr>
        <w:t xml:space="preserve">SC58, </w:t>
      </w:r>
      <w:r w:rsidR="00526481">
        <w:rPr>
          <w:rFonts w:cstheme="minorHAnsi"/>
        </w:rPr>
        <w:t xml:space="preserve">the Secretariat has prepared </w:t>
      </w:r>
      <w:r w:rsidR="00FA0E4B">
        <w:rPr>
          <w:rFonts w:cstheme="minorHAnsi"/>
        </w:rPr>
        <w:t xml:space="preserve">the following </w:t>
      </w:r>
      <w:r w:rsidR="00526481">
        <w:rPr>
          <w:rFonts w:cstheme="minorHAnsi"/>
        </w:rPr>
        <w:t>documents for</w:t>
      </w:r>
      <w:r w:rsidR="00FA0E4B">
        <w:rPr>
          <w:rFonts w:cstheme="minorHAnsi"/>
        </w:rPr>
        <w:t xml:space="preserve"> consideration at</w:t>
      </w:r>
      <w:r w:rsidR="00526481">
        <w:rPr>
          <w:rFonts w:cstheme="minorHAnsi"/>
        </w:rPr>
        <w:t xml:space="preserve"> SC59</w:t>
      </w:r>
      <w:r>
        <w:rPr>
          <w:rFonts w:cstheme="minorHAnsi"/>
        </w:rPr>
        <w:t>:</w:t>
      </w:r>
      <w:r w:rsidR="00526481">
        <w:rPr>
          <w:rFonts w:cstheme="minorHAnsi"/>
        </w:rPr>
        <w:t xml:space="preserve"> </w:t>
      </w:r>
    </w:p>
    <w:p w14:paraId="0EAE2F5C" w14:textId="756140DF" w:rsidR="00E06E83" w:rsidRDefault="00FA0E4B" w:rsidP="00FA0E4B">
      <w:pPr>
        <w:tabs>
          <w:tab w:val="left" w:pos="425"/>
          <w:tab w:val="left" w:pos="851"/>
          <w:tab w:val="left" w:pos="1276"/>
        </w:tabs>
        <w:ind w:left="851" w:hanging="851"/>
        <w:rPr>
          <w:rFonts w:cs="Arial"/>
        </w:rPr>
      </w:pPr>
      <w:r>
        <w:rPr>
          <w:rFonts w:cstheme="minorHAnsi"/>
        </w:rPr>
        <w:tab/>
        <w:t>-</w:t>
      </w:r>
      <w:r>
        <w:rPr>
          <w:rFonts w:cstheme="minorHAnsi"/>
        </w:rPr>
        <w:tab/>
      </w:r>
      <w:r w:rsidR="00526481">
        <w:rPr>
          <w:rFonts w:cstheme="minorHAnsi"/>
        </w:rPr>
        <w:t>SC59 Doc</w:t>
      </w:r>
      <w:r w:rsidR="00A45845">
        <w:rPr>
          <w:rFonts w:cstheme="minorHAnsi"/>
        </w:rPr>
        <w:t>.</w:t>
      </w:r>
      <w:r w:rsidR="00526481">
        <w:rPr>
          <w:rFonts w:cstheme="minorHAnsi"/>
        </w:rPr>
        <w:t xml:space="preserve">13.1 </w:t>
      </w:r>
      <w:r w:rsidR="00526481" w:rsidRPr="008E09B1">
        <w:rPr>
          <w:rFonts w:cs="Arial"/>
          <w:i/>
          <w:iCs/>
        </w:rPr>
        <w:t>Review of all previous Resolutions and Decisions</w:t>
      </w:r>
      <w:r w:rsidR="002531D8">
        <w:rPr>
          <w:rFonts w:cs="Arial"/>
          <w:i/>
          <w:iCs/>
        </w:rPr>
        <w:t xml:space="preserve">: Process for </w:t>
      </w:r>
      <w:r w:rsidR="00061CB2">
        <w:rPr>
          <w:rFonts w:cs="Arial"/>
          <w:i/>
          <w:iCs/>
        </w:rPr>
        <w:t>conducting the review</w:t>
      </w:r>
      <w:r w:rsidR="002531D8">
        <w:rPr>
          <w:rFonts w:cs="Arial"/>
          <w:i/>
          <w:iCs/>
        </w:rPr>
        <w:t>;</w:t>
      </w:r>
      <w:r w:rsidR="007816EC">
        <w:rPr>
          <w:rFonts w:cs="Arial"/>
        </w:rPr>
        <w:br/>
      </w:r>
      <w:r w:rsidR="00E06E83">
        <w:rPr>
          <w:rFonts w:cs="Arial"/>
        </w:rPr>
        <w:t>(</w:t>
      </w:r>
      <w:r w:rsidR="00975147">
        <w:rPr>
          <w:rFonts w:cs="Arial"/>
        </w:rPr>
        <w:t>a</w:t>
      </w:r>
      <w:r w:rsidR="007816EC">
        <w:rPr>
          <w:rFonts w:cs="Arial"/>
        </w:rPr>
        <w:t xml:space="preserve">s instructed </w:t>
      </w:r>
      <w:r w:rsidR="00E06E83">
        <w:rPr>
          <w:rFonts w:cs="Arial"/>
        </w:rPr>
        <w:t>in Decision SC58-21</w:t>
      </w:r>
      <w:r w:rsidR="007816EC">
        <w:rPr>
          <w:rFonts w:cs="Arial"/>
        </w:rPr>
        <w:t xml:space="preserve"> and in response to Decision SC57-19</w:t>
      </w:r>
      <w:r w:rsidR="00E06E83">
        <w:rPr>
          <w:rFonts w:cs="Arial"/>
        </w:rPr>
        <w:t>)</w:t>
      </w:r>
      <w:r>
        <w:rPr>
          <w:rFonts w:cs="Arial"/>
        </w:rPr>
        <w:t xml:space="preserve"> including</w:t>
      </w:r>
      <w:r w:rsidR="00E06E83">
        <w:rPr>
          <w:rFonts w:cs="Arial"/>
        </w:rPr>
        <w:t>:</w:t>
      </w:r>
    </w:p>
    <w:p w14:paraId="2E466CD1" w14:textId="16EB2ECF" w:rsidR="00FA0E4B" w:rsidRDefault="00E06E83" w:rsidP="00AB7634">
      <w:pPr>
        <w:tabs>
          <w:tab w:val="left" w:pos="425"/>
          <w:tab w:val="left" w:pos="851"/>
          <w:tab w:val="left" w:pos="1276"/>
          <w:tab w:val="left" w:pos="1701"/>
        </w:tabs>
        <w:ind w:left="1276" w:hanging="1276"/>
        <w:rPr>
          <w:rFonts w:cstheme="minorHAnsi"/>
        </w:rPr>
      </w:pPr>
      <w:r>
        <w:rPr>
          <w:rFonts w:cs="Arial"/>
        </w:rPr>
        <w:tab/>
      </w:r>
      <w:r>
        <w:rPr>
          <w:rFonts w:cs="Arial"/>
        </w:rPr>
        <w:tab/>
        <w:t>-</w:t>
      </w:r>
      <w:r>
        <w:rPr>
          <w:rFonts w:cs="Arial"/>
        </w:rPr>
        <w:tab/>
      </w:r>
      <w:r w:rsidR="00FA0E4B">
        <w:rPr>
          <w:rFonts w:cs="Arial"/>
        </w:rPr>
        <w:t xml:space="preserve">draft guidance for preparation and adoption of draft resolutions in the future </w:t>
      </w:r>
      <w:r w:rsidR="00975147">
        <w:rPr>
          <w:rFonts w:cs="Arial"/>
        </w:rPr>
        <w:br/>
      </w:r>
      <w:r w:rsidR="00FA0E4B">
        <w:rPr>
          <w:rFonts w:cs="Arial"/>
        </w:rPr>
        <w:t xml:space="preserve">(as </w:t>
      </w:r>
      <w:r>
        <w:rPr>
          <w:rFonts w:cs="Arial"/>
        </w:rPr>
        <w:t>instructed in Decision SC58-19.ii)</w:t>
      </w:r>
      <w:r w:rsidR="007816EC">
        <w:rPr>
          <w:rFonts w:cs="Arial"/>
        </w:rPr>
        <w:t>;</w:t>
      </w:r>
      <w:r w:rsidR="00526481">
        <w:rPr>
          <w:rFonts w:cstheme="minorHAnsi"/>
        </w:rPr>
        <w:t xml:space="preserve"> </w:t>
      </w:r>
      <w:r w:rsidR="00142B88">
        <w:rPr>
          <w:rFonts w:cstheme="minorHAnsi"/>
        </w:rPr>
        <w:t xml:space="preserve">and </w:t>
      </w:r>
    </w:p>
    <w:p w14:paraId="576F6D66" w14:textId="242FBE5D" w:rsidR="00142B88" w:rsidRDefault="00142B88" w:rsidP="00AB7634">
      <w:pPr>
        <w:tabs>
          <w:tab w:val="left" w:pos="425"/>
          <w:tab w:val="left" w:pos="851"/>
          <w:tab w:val="left" w:pos="1276"/>
          <w:tab w:val="left" w:pos="1701"/>
        </w:tabs>
        <w:ind w:left="1276" w:hanging="1276"/>
        <w:rPr>
          <w:rFonts w:cstheme="minorHAnsi"/>
        </w:rPr>
      </w:pPr>
      <w:r>
        <w:rPr>
          <w:rFonts w:cstheme="minorHAnsi"/>
        </w:rPr>
        <w:tab/>
      </w:r>
      <w:r>
        <w:rPr>
          <w:rFonts w:cstheme="minorHAnsi"/>
        </w:rPr>
        <w:tab/>
        <w:t>-</w:t>
      </w:r>
      <w:r>
        <w:rPr>
          <w:rFonts w:cstheme="minorHAnsi"/>
        </w:rPr>
        <w:tab/>
        <w:t>d</w:t>
      </w:r>
      <w:r w:rsidR="002531D8">
        <w:rPr>
          <w:rFonts w:cstheme="minorHAnsi"/>
        </w:rPr>
        <w:t>r</w:t>
      </w:r>
      <w:r>
        <w:rPr>
          <w:rFonts w:cstheme="minorHAnsi"/>
        </w:rPr>
        <w:t xml:space="preserve">aft grouping (categorization) of current Resolutions and Recommendations into major thematic areas, as a basis for </w:t>
      </w:r>
      <w:r w:rsidR="00C74BB6">
        <w:rPr>
          <w:rFonts w:cstheme="minorHAnsi"/>
        </w:rPr>
        <w:t>prioritizing the themes of Resolutions to be consolidated</w:t>
      </w:r>
      <w:r w:rsidR="00C74BB6">
        <w:rPr>
          <w:rFonts w:cstheme="minorHAnsi"/>
        </w:rPr>
        <w:br/>
        <w:t xml:space="preserve">(as instructed in Decision SC57-19); </w:t>
      </w:r>
      <w:r>
        <w:rPr>
          <w:rFonts w:cstheme="minorHAnsi"/>
        </w:rPr>
        <w:t xml:space="preserve"> </w:t>
      </w:r>
    </w:p>
    <w:p w14:paraId="090DACEF" w14:textId="77DC9ECC" w:rsidR="00FA0E4B" w:rsidRDefault="00FA0E4B" w:rsidP="00FA0E4B">
      <w:pPr>
        <w:tabs>
          <w:tab w:val="left" w:pos="425"/>
          <w:tab w:val="left" w:pos="851"/>
          <w:tab w:val="left" w:pos="1276"/>
        </w:tabs>
        <w:ind w:left="851" w:hanging="851"/>
        <w:rPr>
          <w:rFonts w:cstheme="minorHAnsi"/>
        </w:rPr>
      </w:pPr>
      <w:r>
        <w:rPr>
          <w:rFonts w:cstheme="minorHAnsi"/>
        </w:rPr>
        <w:tab/>
        <w:t>-</w:t>
      </w:r>
      <w:r>
        <w:rPr>
          <w:rFonts w:cstheme="minorHAnsi"/>
        </w:rPr>
        <w:tab/>
      </w:r>
      <w:r w:rsidR="00526481">
        <w:rPr>
          <w:rFonts w:cstheme="minorHAnsi"/>
        </w:rPr>
        <w:t>SC59 Doc</w:t>
      </w:r>
      <w:r w:rsidR="00A45845">
        <w:rPr>
          <w:rFonts w:cstheme="minorHAnsi"/>
        </w:rPr>
        <w:t>.</w:t>
      </w:r>
      <w:r w:rsidR="00526481">
        <w:rPr>
          <w:rFonts w:cstheme="minorHAnsi"/>
        </w:rPr>
        <w:t xml:space="preserve">13.2 </w:t>
      </w:r>
      <w:r w:rsidR="00A45845" w:rsidRPr="008E09B1">
        <w:rPr>
          <w:rFonts w:cs="Arial"/>
          <w:i/>
          <w:iCs/>
        </w:rPr>
        <w:t>Draft list of Resolutions that are effectively defunct</w:t>
      </w:r>
      <w:r w:rsidR="007816EC">
        <w:rPr>
          <w:rFonts w:cs="Arial"/>
        </w:rPr>
        <w:t xml:space="preserve"> </w:t>
      </w:r>
      <w:r w:rsidR="007816EC">
        <w:rPr>
          <w:rFonts w:cs="Arial"/>
        </w:rPr>
        <w:br/>
        <w:t>(as instructed in Decision SC58-19.i)</w:t>
      </w:r>
      <w:r w:rsidR="00A45845">
        <w:rPr>
          <w:rFonts w:cstheme="minorHAnsi"/>
        </w:rPr>
        <w:t>;</w:t>
      </w:r>
      <w:r w:rsidR="00526481">
        <w:rPr>
          <w:rFonts w:cstheme="minorHAnsi"/>
        </w:rPr>
        <w:t xml:space="preserve"> and </w:t>
      </w:r>
    </w:p>
    <w:p w14:paraId="485C0ECF" w14:textId="2F67A0E8" w:rsidR="00CC7A56" w:rsidRPr="00526481" w:rsidRDefault="00FA0E4B" w:rsidP="00FA0E4B">
      <w:pPr>
        <w:tabs>
          <w:tab w:val="left" w:pos="425"/>
          <w:tab w:val="left" w:pos="851"/>
          <w:tab w:val="left" w:pos="1276"/>
        </w:tabs>
        <w:ind w:left="851" w:hanging="851"/>
        <w:rPr>
          <w:rFonts w:cs="Arial"/>
          <w:b/>
          <w:sz w:val="28"/>
          <w:szCs w:val="28"/>
        </w:rPr>
      </w:pPr>
      <w:r>
        <w:rPr>
          <w:rFonts w:cstheme="minorHAnsi"/>
        </w:rPr>
        <w:tab/>
        <w:t>-</w:t>
      </w:r>
      <w:r>
        <w:rPr>
          <w:rFonts w:cstheme="minorHAnsi"/>
        </w:rPr>
        <w:tab/>
      </w:r>
      <w:r w:rsidR="00526481">
        <w:rPr>
          <w:rFonts w:cstheme="minorHAnsi"/>
        </w:rPr>
        <w:t>SC59 Doc</w:t>
      </w:r>
      <w:r w:rsidR="00A45845">
        <w:rPr>
          <w:rFonts w:cstheme="minorHAnsi"/>
        </w:rPr>
        <w:t>.</w:t>
      </w:r>
      <w:r w:rsidR="00526481">
        <w:rPr>
          <w:rFonts w:cstheme="minorHAnsi"/>
        </w:rPr>
        <w:t xml:space="preserve">13.3 </w:t>
      </w:r>
      <w:r w:rsidR="00A45845">
        <w:rPr>
          <w:rFonts w:cstheme="minorHAnsi"/>
          <w:i/>
          <w:iCs/>
        </w:rPr>
        <w:t>Draft consolidated resolution on "Inventories"</w:t>
      </w:r>
      <w:r w:rsidR="007816EC">
        <w:rPr>
          <w:rFonts w:cstheme="minorHAnsi"/>
        </w:rPr>
        <w:t xml:space="preserve"> </w:t>
      </w:r>
      <w:r w:rsidR="007816EC">
        <w:rPr>
          <w:rFonts w:cstheme="minorHAnsi"/>
        </w:rPr>
        <w:br/>
        <w:t>(as instructed in Decision SC58-20)</w:t>
      </w:r>
      <w:r w:rsidR="00A45845">
        <w:rPr>
          <w:rFonts w:cstheme="minorHAnsi"/>
        </w:rPr>
        <w:t>.</w:t>
      </w:r>
    </w:p>
    <w:p w14:paraId="7EDE0AB9" w14:textId="0650EDCF" w:rsidR="00685573" w:rsidRDefault="00685573" w:rsidP="00FB5740">
      <w:pPr>
        <w:rPr>
          <w:rFonts w:cstheme="minorHAnsi"/>
        </w:rPr>
      </w:pPr>
    </w:p>
    <w:p w14:paraId="69BFD724" w14:textId="7FAD8213" w:rsidR="00FA0E4B" w:rsidRDefault="00FA0E4B" w:rsidP="00FB5740">
      <w:pPr>
        <w:rPr>
          <w:rFonts w:cstheme="minorHAnsi"/>
        </w:rPr>
      </w:pPr>
    </w:p>
    <w:p w14:paraId="0E9F94E4" w14:textId="74958F09" w:rsidR="00B619EC" w:rsidRPr="00770A52" w:rsidRDefault="00B619EC" w:rsidP="002714A5">
      <w:pPr>
        <w:ind w:left="0" w:firstLine="0"/>
        <w:rPr>
          <w:rFonts w:asciiTheme="minorHAnsi" w:hAnsiTheme="minorHAnsi" w:cstheme="minorHAnsi"/>
        </w:rPr>
      </w:pPr>
    </w:p>
    <w:sectPr w:rsidR="00B619EC" w:rsidRPr="00770A52"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C4E11" w14:textId="77777777" w:rsidR="00591022" w:rsidRDefault="00591022" w:rsidP="00DF2386">
      <w:r>
        <w:separator/>
      </w:r>
    </w:p>
  </w:endnote>
  <w:endnote w:type="continuationSeparator" w:id="0">
    <w:p w14:paraId="0B89D0FE" w14:textId="77777777" w:rsidR="00591022" w:rsidRDefault="0059102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7FA" w14:textId="6CE643E0" w:rsidR="004F73D2" w:rsidRDefault="00816A1B" w:rsidP="002137E0">
    <w:pPr>
      <w:pStyle w:val="Header"/>
      <w:rPr>
        <w:noProof/>
      </w:rPr>
    </w:pPr>
    <w:r>
      <w:rPr>
        <w:sz w:val="20"/>
        <w:szCs w:val="20"/>
      </w:rPr>
      <w:t>SC59</w:t>
    </w:r>
    <w:r w:rsidR="004F73D2">
      <w:rPr>
        <w:sz w:val="20"/>
        <w:szCs w:val="20"/>
      </w:rPr>
      <w:t xml:space="preserve"> Doc.13</w:t>
    </w:r>
    <w:r w:rsidR="004F73D2">
      <w:tab/>
    </w:r>
    <w:r w:rsidR="004F73D2">
      <w:tab/>
    </w:r>
    <w:sdt>
      <w:sdtPr>
        <w:id w:val="-1790969534"/>
        <w:docPartObj>
          <w:docPartGallery w:val="Page Numbers (Top of Page)"/>
          <w:docPartUnique/>
        </w:docPartObj>
      </w:sdtPr>
      <w:sdtEndPr>
        <w:rPr>
          <w:noProof/>
        </w:rPr>
      </w:sdtEndPr>
      <w:sdtContent>
        <w:r w:rsidR="004F73D2">
          <w:fldChar w:fldCharType="begin"/>
        </w:r>
        <w:r w:rsidR="004F73D2">
          <w:instrText xml:space="preserve"> PAGE   \* MERGEFORMAT </w:instrText>
        </w:r>
        <w:r w:rsidR="004F73D2">
          <w:fldChar w:fldCharType="separate"/>
        </w:r>
        <w:r w:rsidR="00F72BD0" w:rsidRPr="00F72BD0">
          <w:rPr>
            <w:noProof/>
            <w:sz w:val="20"/>
            <w:szCs w:val="20"/>
          </w:rPr>
          <w:t>3</w:t>
        </w:r>
        <w:r w:rsidR="004F73D2">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061D" w14:textId="77777777" w:rsidR="00591022" w:rsidRDefault="00591022" w:rsidP="00DF2386">
      <w:r>
        <w:separator/>
      </w:r>
    </w:p>
  </w:footnote>
  <w:footnote w:type="continuationSeparator" w:id="0">
    <w:p w14:paraId="3EAD9E60" w14:textId="77777777" w:rsidR="00591022" w:rsidRDefault="00591022"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0417" w14:textId="77777777" w:rsidR="004F73D2" w:rsidRDefault="004F73D2">
    <w:pPr>
      <w:pStyle w:val="Header"/>
    </w:pPr>
  </w:p>
  <w:p w14:paraId="0812CCCA" w14:textId="77777777" w:rsidR="004F73D2" w:rsidRDefault="004F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687700"/>
    <w:multiLevelType w:val="hybridMultilevel"/>
    <w:tmpl w:val="F50EDC3A"/>
    <w:lvl w:ilvl="0" w:tplc="337A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05D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7" w15:restartNumberingAfterBreak="0">
    <w:nsid w:val="24A62A50"/>
    <w:multiLevelType w:val="hybridMultilevel"/>
    <w:tmpl w:val="068EC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44F0567"/>
    <w:multiLevelType w:val="hybridMultilevel"/>
    <w:tmpl w:val="BB9000B2"/>
    <w:lvl w:ilvl="0" w:tplc="E312B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75A161C"/>
    <w:multiLevelType w:val="hybridMultilevel"/>
    <w:tmpl w:val="67CA23FC"/>
    <w:lvl w:ilvl="0" w:tplc="08D08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DE22DAF"/>
    <w:multiLevelType w:val="hybridMultilevel"/>
    <w:tmpl w:val="A3883308"/>
    <w:lvl w:ilvl="0" w:tplc="BCF2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4"/>
  </w:num>
  <w:num w:numId="14">
    <w:abstractNumId w:val="19"/>
  </w:num>
  <w:num w:numId="15">
    <w:abstractNumId w:val="3"/>
  </w:num>
  <w:num w:numId="16">
    <w:abstractNumId w:val="21"/>
  </w:num>
  <w:num w:numId="17">
    <w:abstractNumId w:val="26"/>
  </w:num>
  <w:num w:numId="18">
    <w:abstractNumId w:val="39"/>
  </w:num>
  <w:num w:numId="19">
    <w:abstractNumId w:val="35"/>
  </w:num>
  <w:num w:numId="20">
    <w:abstractNumId w:val="29"/>
  </w:num>
  <w:num w:numId="21">
    <w:abstractNumId w:val="31"/>
  </w:num>
  <w:num w:numId="22">
    <w:abstractNumId w:val="22"/>
  </w:num>
  <w:num w:numId="23">
    <w:abstractNumId w:val="28"/>
  </w:num>
  <w:num w:numId="24">
    <w:abstractNumId w:val="25"/>
  </w:num>
  <w:num w:numId="25">
    <w:abstractNumId w:val="34"/>
  </w:num>
  <w:num w:numId="26">
    <w:abstractNumId w:val="14"/>
  </w:num>
  <w:num w:numId="27">
    <w:abstractNumId w:val="0"/>
  </w:num>
  <w:num w:numId="28">
    <w:abstractNumId w:val="18"/>
  </w:num>
  <w:num w:numId="29">
    <w:abstractNumId w:val="4"/>
  </w:num>
  <w:num w:numId="30">
    <w:abstractNumId w:val="16"/>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7"/>
  </w:num>
  <w:num w:numId="38">
    <w:abstractNumId w:val="32"/>
  </w:num>
  <w:num w:numId="39">
    <w:abstractNumId w:val="2"/>
  </w:num>
  <w:num w:numId="40">
    <w:abstractNumId w:val="37"/>
  </w:num>
  <w:num w:numId="41">
    <w:abstractNumId w:val="6"/>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FD2"/>
    <w:rsid w:val="000138C9"/>
    <w:rsid w:val="00014168"/>
    <w:rsid w:val="000152D3"/>
    <w:rsid w:val="00015D7B"/>
    <w:rsid w:val="00017A16"/>
    <w:rsid w:val="0002490F"/>
    <w:rsid w:val="00025D01"/>
    <w:rsid w:val="00026E09"/>
    <w:rsid w:val="00026E8B"/>
    <w:rsid w:val="000279B7"/>
    <w:rsid w:val="00034F86"/>
    <w:rsid w:val="00037CE0"/>
    <w:rsid w:val="00037F4D"/>
    <w:rsid w:val="00051FDD"/>
    <w:rsid w:val="000534E3"/>
    <w:rsid w:val="00053929"/>
    <w:rsid w:val="0005515A"/>
    <w:rsid w:val="000568BA"/>
    <w:rsid w:val="00057B25"/>
    <w:rsid w:val="000610CF"/>
    <w:rsid w:val="00061CB2"/>
    <w:rsid w:val="00062809"/>
    <w:rsid w:val="0006506B"/>
    <w:rsid w:val="00065C9E"/>
    <w:rsid w:val="000660C8"/>
    <w:rsid w:val="00066A3B"/>
    <w:rsid w:val="00072EEA"/>
    <w:rsid w:val="00074DE8"/>
    <w:rsid w:val="00074F28"/>
    <w:rsid w:val="00080BE6"/>
    <w:rsid w:val="000840F0"/>
    <w:rsid w:val="0009059F"/>
    <w:rsid w:val="00092F3B"/>
    <w:rsid w:val="00092F4E"/>
    <w:rsid w:val="00096E5F"/>
    <w:rsid w:val="000979C0"/>
    <w:rsid w:val="000A0F35"/>
    <w:rsid w:val="000A339A"/>
    <w:rsid w:val="000A3437"/>
    <w:rsid w:val="000A3E3E"/>
    <w:rsid w:val="000A4D3D"/>
    <w:rsid w:val="000A54CA"/>
    <w:rsid w:val="000A63C7"/>
    <w:rsid w:val="000A63FF"/>
    <w:rsid w:val="000A6BFA"/>
    <w:rsid w:val="000B0FB5"/>
    <w:rsid w:val="000B17BB"/>
    <w:rsid w:val="000B3A1B"/>
    <w:rsid w:val="000C0A55"/>
    <w:rsid w:val="000C2489"/>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31AE"/>
    <w:rsid w:val="000F380A"/>
    <w:rsid w:val="000F6601"/>
    <w:rsid w:val="000F726B"/>
    <w:rsid w:val="000F7A27"/>
    <w:rsid w:val="000F7DE2"/>
    <w:rsid w:val="00103ACB"/>
    <w:rsid w:val="001040F2"/>
    <w:rsid w:val="001053AF"/>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95E"/>
    <w:rsid w:val="0013545E"/>
    <w:rsid w:val="001359D3"/>
    <w:rsid w:val="0013614E"/>
    <w:rsid w:val="00137AC7"/>
    <w:rsid w:val="00141787"/>
    <w:rsid w:val="00142B88"/>
    <w:rsid w:val="0014453D"/>
    <w:rsid w:val="0014575C"/>
    <w:rsid w:val="00146B9E"/>
    <w:rsid w:val="00152700"/>
    <w:rsid w:val="00157656"/>
    <w:rsid w:val="00160381"/>
    <w:rsid w:val="00161BDA"/>
    <w:rsid w:val="0016277B"/>
    <w:rsid w:val="001645BB"/>
    <w:rsid w:val="00165524"/>
    <w:rsid w:val="001663DB"/>
    <w:rsid w:val="00166DE6"/>
    <w:rsid w:val="00167055"/>
    <w:rsid w:val="00170872"/>
    <w:rsid w:val="00171618"/>
    <w:rsid w:val="00172D2D"/>
    <w:rsid w:val="00176E7A"/>
    <w:rsid w:val="0017758A"/>
    <w:rsid w:val="001819B1"/>
    <w:rsid w:val="001825B2"/>
    <w:rsid w:val="001876AE"/>
    <w:rsid w:val="001912E7"/>
    <w:rsid w:val="00194EAB"/>
    <w:rsid w:val="00195A26"/>
    <w:rsid w:val="00196F71"/>
    <w:rsid w:val="00197764"/>
    <w:rsid w:val="001A2071"/>
    <w:rsid w:val="001A2D10"/>
    <w:rsid w:val="001A5F7E"/>
    <w:rsid w:val="001A6850"/>
    <w:rsid w:val="001A7B4D"/>
    <w:rsid w:val="001A7DA5"/>
    <w:rsid w:val="001B1F9E"/>
    <w:rsid w:val="001B30C4"/>
    <w:rsid w:val="001B375B"/>
    <w:rsid w:val="001B6E0D"/>
    <w:rsid w:val="001B772D"/>
    <w:rsid w:val="001C0D1A"/>
    <w:rsid w:val="001C150B"/>
    <w:rsid w:val="001C263A"/>
    <w:rsid w:val="001C379B"/>
    <w:rsid w:val="001C5E41"/>
    <w:rsid w:val="001C5E50"/>
    <w:rsid w:val="001C73CB"/>
    <w:rsid w:val="001C77BC"/>
    <w:rsid w:val="001D48BB"/>
    <w:rsid w:val="001D55F2"/>
    <w:rsid w:val="001D6B24"/>
    <w:rsid w:val="001D78C2"/>
    <w:rsid w:val="001E00E3"/>
    <w:rsid w:val="001E0580"/>
    <w:rsid w:val="001E0658"/>
    <w:rsid w:val="001E1B8E"/>
    <w:rsid w:val="001E23D7"/>
    <w:rsid w:val="001E3FF9"/>
    <w:rsid w:val="001E7AB3"/>
    <w:rsid w:val="001F0C66"/>
    <w:rsid w:val="001F2349"/>
    <w:rsid w:val="001F2708"/>
    <w:rsid w:val="001F3C45"/>
    <w:rsid w:val="001F57E8"/>
    <w:rsid w:val="002005D2"/>
    <w:rsid w:val="0020298B"/>
    <w:rsid w:val="002031A9"/>
    <w:rsid w:val="002052CF"/>
    <w:rsid w:val="00206111"/>
    <w:rsid w:val="00206C65"/>
    <w:rsid w:val="00207362"/>
    <w:rsid w:val="00210D9D"/>
    <w:rsid w:val="00211984"/>
    <w:rsid w:val="002128BA"/>
    <w:rsid w:val="002137E0"/>
    <w:rsid w:val="00213F5E"/>
    <w:rsid w:val="00214348"/>
    <w:rsid w:val="00217576"/>
    <w:rsid w:val="002178D0"/>
    <w:rsid w:val="0022111D"/>
    <w:rsid w:val="00221142"/>
    <w:rsid w:val="002218A8"/>
    <w:rsid w:val="00231F6E"/>
    <w:rsid w:val="002333E8"/>
    <w:rsid w:val="00233CED"/>
    <w:rsid w:val="00237830"/>
    <w:rsid w:val="00242E59"/>
    <w:rsid w:val="0024387A"/>
    <w:rsid w:val="0025098C"/>
    <w:rsid w:val="00252C88"/>
    <w:rsid w:val="002531D8"/>
    <w:rsid w:val="0025471D"/>
    <w:rsid w:val="0025610B"/>
    <w:rsid w:val="00263542"/>
    <w:rsid w:val="002663AA"/>
    <w:rsid w:val="002714A5"/>
    <w:rsid w:val="002741AC"/>
    <w:rsid w:val="00274727"/>
    <w:rsid w:val="00275F13"/>
    <w:rsid w:val="00281542"/>
    <w:rsid w:val="002819C0"/>
    <w:rsid w:val="0028548C"/>
    <w:rsid w:val="00292FC9"/>
    <w:rsid w:val="002941D9"/>
    <w:rsid w:val="002947EA"/>
    <w:rsid w:val="00295298"/>
    <w:rsid w:val="00295556"/>
    <w:rsid w:val="00295BB5"/>
    <w:rsid w:val="00295C91"/>
    <w:rsid w:val="00295FF8"/>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68C1"/>
    <w:rsid w:val="002E75BD"/>
    <w:rsid w:val="002F2A7B"/>
    <w:rsid w:val="002F3C29"/>
    <w:rsid w:val="002F5271"/>
    <w:rsid w:val="002F6155"/>
    <w:rsid w:val="002F77D7"/>
    <w:rsid w:val="00306962"/>
    <w:rsid w:val="00306BA4"/>
    <w:rsid w:val="00306BED"/>
    <w:rsid w:val="00306FE2"/>
    <w:rsid w:val="0030773C"/>
    <w:rsid w:val="00310796"/>
    <w:rsid w:val="00321739"/>
    <w:rsid w:val="00323B38"/>
    <w:rsid w:val="00324398"/>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55D2B"/>
    <w:rsid w:val="00356943"/>
    <w:rsid w:val="003612A3"/>
    <w:rsid w:val="00362634"/>
    <w:rsid w:val="0036283B"/>
    <w:rsid w:val="00364794"/>
    <w:rsid w:val="00364ADE"/>
    <w:rsid w:val="0036781A"/>
    <w:rsid w:val="00372250"/>
    <w:rsid w:val="00381003"/>
    <w:rsid w:val="003818CC"/>
    <w:rsid w:val="00384FC3"/>
    <w:rsid w:val="00390C4B"/>
    <w:rsid w:val="00392BDB"/>
    <w:rsid w:val="00394567"/>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C501F"/>
    <w:rsid w:val="003C7F0A"/>
    <w:rsid w:val="003D0D54"/>
    <w:rsid w:val="003D2579"/>
    <w:rsid w:val="003D2DBE"/>
    <w:rsid w:val="003D352B"/>
    <w:rsid w:val="003D4203"/>
    <w:rsid w:val="003D4CD6"/>
    <w:rsid w:val="003D6921"/>
    <w:rsid w:val="003E05A8"/>
    <w:rsid w:val="003E0F9C"/>
    <w:rsid w:val="003E2B56"/>
    <w:rsid w:val="003E38C2"/>
    <w:rsid w:val="003E3AD3"/>
    <w:rsid w:val="003E5890"/>
    <w:rsid w:val="003F1FA8"/>
    <w:rsid w:val="003F2F7F"/>
    <w:rsid w:val="003F3992"/>
    <w:rsid w:val="003F62C4"/>
    <w:rsid w:val="00400AFA"/>
    <w:rsid w:val="00402432"/>
    <w:rsid w:val="004045B5"/>
    <w:rsid w:val="00405AD8"/>
    <w:rsid w:val="00406306"/>
    <w:rsid w:val="00412E7F"/>
    <w:rsid w:val="0041506F"/>
    <w:rsid w:val="0041513F"/>
    <w:rsid w:val="0041555D"/>
    <w:rsid w:val="004228C7"/>
    <w:rsid w:val="00423718"/>
    <w:rsid w:val="00424D51"/>
    <w:rsid w:val="00425BE5"/>
    <w:rsid w:val="00425EF4"/>
    <w:rsid w:val="00427324"/>
    <w:rsid w:val="0042798B"/>
    <w:rsid w:val="00431734"/>
    <w:rsid w:val="00431B87"/>
    <w:rsid w:val="004327FB"/>
    <w:rsid w:val="00432B12"/>
    <w:rsid w:val="0043309D"/>
    <w:rsid w:val="00433113"/>
    <w:rsid w:val="0043396A"/>
    <w:rsid w:val="00434865"/>
    <w:rsid w:val="00434913"/>
    <w:rsid w:val="00441A35"/>
    <w:rsid w:val="00445A22"/>
    <w:rsid w:val="0044606D"/>
    <w:rsid w:val="00446220"/>
    <w:rsid w:val="004474F8"/>
    <w:rsid w:val="00451172"/>
    <w:rsid w:val="00451390"/>
    <w:rsid w:val="004523D4"/>
    <w:rsid w:val="0046206C"/>
    <w:rsid w:val="004622DE"/>
    <w:rsid w:val="00464174"/>
    <w:rsid w:val="00464266"/>
    <w:rsid w:val="0047033E"/>
    <w:rsid w:val="00472E0D"/>
    <w:rsid w:val="00473E96"/>
    <w:rsid w:val="00477550"/>
    <w:rsid w:val="004810CA"/>
    <w:rsid w:val="00482E23"/>
    <w:rsid w:val="004844A8"/>
    <w:rsid w:val="00495853"/>
    <w:rsid w:val="00496803"/>
    <w:rsid w:val="004A1A5D"/>
    <w:rsid w:val="004A25B5"/>
    <w:rsid w:val="004A55A7"/>
    <w:rsid w:val="004A73C3"/>
    <w:rsid w:val="004B187B"/>
    <w:rsid w:val="004B515A"/>
    <w:rsid w:val="004B6688"/>
    <w:rsid w:val="004B6D9F"/>
    <w:rsid w:val="004B7282"/>
    <w:rsid w:val="004C0107"/>
    <w:rsid w:val="004C5041"/>
    <w:rsid w:val="004C6332"/>
    <w:rsid w:val="004C64F4"/>
    <w:rsid w:val="004D199C"/>
    <w:rsid w:val="004D2E8F"/>
    <w:rsid w:val="004D458A"/>
    <w:rsid w:val="004D7BDD"/>
    <w:rsid w:val="004D7DCC"/>
    <w:rsid w:val="004E0240"/>
    <w:rsid w:val="004E18D2"/>
    <w:rsid w:val="004E2714"/>
    <w:rsid w:val="004E32AB"/>
    <w:rsid w:val="004E6DB0"/>
    <w:rsid w:val="004F3317"/>
    <w:rsid w:val="004F69D1"/>
    <w:rsid w:val="004F73D2"/>
    <w:rsid w:val="00501CDD"/>
    <w:rsid w:val="0050450F"/>
    <w:rsid w:val="0050555F"/>
    <w:rsid w:val="005065DB"/>
    <w:rsid w:val="00510D29"/>
    <w:rsid w:val="005118D7"/>
    <w:rsid w:val="00516D07"/>
    <w:rsid w:val="005170F7"/>
    <w:rsid w:val="005244A4"/>
    <w:rsid w:val="00525D05"/>
    <w:rsid w:val="00526481"/>
    <w:rsid w:val="00526950"/>
    <w:rsid w:val="00527783"/>
    <w:rsid w:val="005301E9"/>
    <w:rsid w:val="005331C2"/>
    <w:rsid w:val="00533C62"/>
    <w:rsid w:val="0053671A"/>
    <w:rsid w:val="00540583"/>
    <w:rsid w:val="0054117E"/>
    <w:rsid w:val="0054130C"/>
    <w:rsid w:val="00541C1A"/>
    <w:rsid w:val="00544B31"/>
    <w:rsid w:val="00545A6B"/>
    <w:rsid w:val="00550BD4"/>
    <w:rsid w:val="00554A1F"/>
    <w:rsid w:val="00555518"/>
    <w:rsid w:val="00556284"/>
    <w:rsid w:val="0055659C"/>
    <w:rsid w:val="005600F2"/>
    <w:rsid w:val="005645A2"/>
    <w:rsid w:val="00564642"/>
    <w:rsid w:val="0056466A"/>
    <w:rsid w:val="005672E5"/>
    <w:rsid w:val="005676E7"/>
    <w:rsid w:val="00567EDC"/>
    <w:rsid w:val="00571A5B"/>
    <w:rsid w:val="00571B72"/>
    <w:rsid w:val="00571D1A"/>
    <w:rsid w:val="0057488C"/>
    <w:rsid w:val="00574A54"/>
    <w:rsid w:val="00574C6F"/>
    <w:rsid w:val="005756E9"/>
    <w:rsid w:val="005814B5"/>
    <w:rsid w:val="005821F4"/>
    <w:rsid w:val="00582B28"/>
    <w:rsid w:val="005864A5"/>
    <w:rsid w:val="00587004"/>
    <w:rsid w:val="00591022"/>
    <w:rsid w:val="00591E85"/>
    <w:rsid w:val="00593817"/>
    <w:rsid w:val="00593CB5"/>
    <w:rsid w:val="005A0AE2"/>
    <w:rsid w:val="005B31C1"/>
    <w:rsid w:val="005B3304"/>
    <w:rsid w:val="005B65D4"/>
    <w:rsid w:val="005B6CA6"/>
    <w:rsid w:val="005B738A"/>
    <w:rsid w:val="005B7719"/>
    <w:rsid w:val="005C36BD"/>
    <w:rsid w:val="005C4A21"/>
    <w:rsid w:val="005C585C"/>
    <w:rsid w:val="005C6BDB"/>
    <w:rsid w:val="005D1E18"/>
    <w:rsid w:val="005D3422"/>
    <w:rsid w:val="005D3E9D"/>
    <w:rsid w:val="005D57B0"/>
    <w:rsid w:val="005D6C72"/>
    <w:rsid w:val="005D793E"/>
    <w:rsid w:val="005E0D87"/>
    <w:rsid w:val="005E20E4"/>
    <w:rsid w:val="005E3207"/>
    <w:rsid w:val="005E798B"/>
    <w:rsid w:val="005F1960"/>
    <w:rsid w:val="005F1A22"/>
    <w:rsid w:val="005F23AF"/>
    <w:rsid w:val="005F640D"/>
    <w:rsid w:val="00600BD7"/>
    <w:rsid w:val="00601DEE"/>
    <w:rsid w:val="00603AA3"/>
    <w:rsid w:val="00605662"/>
    <w:rsid w:val="00606044"/>
    <w:rsid w:val="006107A3"/>
    <w:rsid w:val="00611386"/>
    <w:rsid w:val="00611753"/>
    <w:rsid w:val="00613FD2"/>
    <w:rsid w:val="00614307"/>
    <w:rsid w:val="00615407"/>
    <w:rsid w:val="00615BB6"/>
    <w:rsid w:val="00621D31"/>
    <w:rsid w:val="0062295A"/>
    <w:rsid w:val="00624345"/>
    <w:rsid w:val="0062474B"/>
    <w:rsid w:val="006256D3"/>
    <w:rsid w:val="00625F8D"/>
    <w:rsid w:val="00626844"/>
    <w:rsid w:val="00627BB7"/>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0C45"/>
    <w:rsid w:val="00664E59"/>
    <w:rsid w:val="00670D71"/>
    <w:rsid w:val="00671192"/>
    <w:rsid w:val="006730AD"/>
    <w:rsid w:val="00682E1C"/>
    <w:rsid w:val="00685573"/>
    <w:rsid w:val="00693FFD"/>
    <w:rsid w:val="006A0BDA"/>
    <w:rsid w:val="006A4718"/>
    <w:rsid w:val="006A625B"/>
    <w:rsid w:val="006A6B2D"/>
    <w:rsid w:val="006A7232"/>
    <w:rsid w:val="006B0F63"/>
    <w:rsid w:val="006B19ED"/>
    <w:rsid w:val="006B7C5D"/>
    <w:rsid w:val="006C03C5"/>
    <w:rsid w:val="006C199C"/>
    <w:rsid w:val="006C4B67"/>
    <w:rsid w:val="006C5204"/>
    <w:rsid w:val="006C744E"/>
    <w:rsid w:val="006D54D5"/>
    <w:rsid w:val="006D78B1"/>
    <w:rsid w:val="006E4037"/>
    <w:rsid w:val="006E4080"/>
    <w:rsid w:val="006E4D77"/>
    <w:rsid w:val="006E51BC"/>
    <w:rsid w:val="006E7DCE"/>
    <w:rsid w:val="006F7513"/>
    <w:rsid w:val="0070383E"/>
    <w:rsid w:val="007050FF"/>
    <w:rsid w:val="00705D3F"/>
    <w:rsid w:val="007141A9"/>
    <w:rsid w:val="00715F37"/>
    <w:rsid w:val="00716971"/>
    <w:rsid w:val="00722F57"/>
    <w:rsid w:val="007255EB"/>
    <w:rsid w:val="00725937"/>
    <w:rsid w:val="00726DB1"/>
    <w:rsid w:val="00730E92"/>
    <w:rsid w:val="00731382"/>
    <w:rsid w:val="00731914"/>
    <w:rsid w:val="00731E79"/>
    <w:rsid w:val="00733AE6"/>
    <w:rsid w:val="007378F3"/>
    <w:rsid w:val="007403E4"/>
    <w:rsid w:val="007418A3"/>
    <w:rsid w:val="00743A0D"/>
    <w:rsid w:val="00744255"/>
    <w:rsid w:val="0074477B"/>
    <w:rsid w:val="007524C3"/>
    <w:rsid w:val="00752764"/>
    <w:rsid w:val="0075286D"/>
    <w:rsid w:val="00754124"/>
    <w:rsid w:val="00755700"/>
    <w:rsid w:val="0075622E"/>
    <w:rsid w:val="00757029"/>
    <w:rsid w:val="00763605"/>
    <w:rsid w:val="0076433A"/>
    <w:rsid w:val="00765F32"/>
    <w:rsid w:val="00766962"/>
    <w:rsid w:val="00770469"/>
    <w:rsid w:val="00770A52"/>
    <w:rsid w:val="007715C8"/>
    <w:rsid w:val="00771AF8"/>
    <w:rsid w:val="00771B25"/>
    <w:rsid w:val="00775287"/>
    <w:rsid w:val="00775924"/>
    <w:rsid w:val="007768E2"/>
    <w:rsid w:val="00777BAB"/>
    <w:rsid w:val="00781464"/>
    <w:rsid w:val="007816EC"/>
    <w:rsid w:val="00781862"/>
    <w:rsid w:val="0078213C"/>
    <w:rsid w:val="00782ED0"/>
    <w:rsid w:val="00785102"/>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748D"/>
    <w:rsid w:val="007C774A"/>
    <w:rsid w:val="007D2746"/>
    <w:rsid w:val="007D33F4"/>
    <w:rsid w:val="007D391D"/>
    <w:rsid w:val="007D3ED8"/>
    <w:rsid w:val="007E1ABE"/>
    <w:rsid w:val="007E26D3"/>
    <w:rsid w:val="007E437A"/>
    <w:rsid w:val="007E725D"/>
    <w:rsid w:val="007F0A11"/>
    <w:rsid w:val="007F1189"/>
    <w:rsid w:val="007F2AD0"/>
    <w:rsid w:val="007F2DF7"/>
    <w:rsid w:val="007F341A"/>
    <w:rsid w:val="007F3ABE"/>
    <w:rsid w:val="007F3F91"/>
    <w:rsid w:val="007F44BD"/>
    <w:rsid w:val="008030AE"/>
    <w:rsid w:val="008031DE"/>
    <w:rsid w:val="00804540"/>
    <w:rsid w:val="008068B6"/>
    <w:rsid w:val="00806E3A"/>
    <w:rsid w:val="00811DAA"/>
    <w:rsid w:val="00814FEC"/>
    <w:rsid w:val="0081636C"/>
    <w:rsid w:val="00816A1B"/>
    <w:rsid w:val="008178C7"/>
    <w:rsid w:val="0082063A"/>
    <w:rsid w:val="008212CA"/>
    <w:rsid w:val="008217D7"/>
    <w:rsid w:val="00822221"/>
    <w:rsid w:val="00824BC4"/>
    <w:rsid w:val="00824DD9"/>
    <w:rsid w:val="00826FE8"/>
    <w:rsid w:val="008328E9"/>
    <w:rsid w:val="00835BCB"/>
    <w:rsid w:val="00835CDC"/>
    <w:rsid w:val="008360EC"/>
    <w:rsid w:val="00836446"/>
    <w:rsid w:val="0083661D"/>
    <w:rsid w:val="00836B95"/>
    <w:rsid w:val="00836C60"/>
    <w:rsid w:val="0084049D"/>
    <w:rsid w:val="00843622"/>
    <w:rsid w:val="00845EF9"/>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71056"/>
    <w:rsid w:val="0087197C"/>
    <w:rsid w:val="008724AF"/>
    <w:rsid w:val="008733BF"/>
    <w:rsid w:val="00874211"/>
    <w:rsid w:val="00875172"/>
    <w:rsid w:val="008760C2"/>
    <w:rsid w:val="008775BC"/>
    <w:rsid w:val="0088059B"/>
    <w:rsid w:val="00881E05"/>
    <w:rsid w:val="00882F1B"/>
    <w:rsid w:val="00883ECA"/>
    <w:rsid w:val="008849A6"/>
    <w:rsid w:val="00886AEB"/>
    <w:rsid w:val="008905BC"/>
    <w:rsid w:val="00891991"/>
    <w:rsid w:val="00894456"/>
    <w:rsid w:val="00895A61"/>
    <w:rsid w:val="00895E0F"/>
    <w:rsid w:val="008A1544"/>
    <w:rsid w:val="008A191E"/>
    <w:rsid w:val="008A2696"/>
    <w:rsid w:val="008A5D38"/>
    <w:rsid w:val="008A70CE"/>
    <w:rsid w:val="008A79BD"/>
    <w:rsid w:val="008B6D14"/>
    <w:rsid w:val="008C231C"/>
    <w:rsid w:val="008C25E4"/>
    <w:rsid w:val="008C2DAE"/>
    <w:rsid w:val="008C421A"/>
    <w:rsid w:val="008C5314"/>
    <w:rsid w:val="008D417A"/>
    <w:rsid w:val="008E09B1"/>
    <w:rsid w:val="008E2215"/>
    <w:rsid w:val="008E4FA6"/>
    <w:rsid w:val="008E5BB0"/>
    <w:rsid w:val="008E69E8"/>
    <w:rsid w:val="008E7135"/>
    <w:rsid w:val="008E7CA5"/>
    <w:rsid w:val="008F1271"/>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8A"/>
    <w:rsid w:val="00942FBD"/>
    <w:rsid w:val="00944A2C"/>
    <w:rsid w:val="0094770B"/>
    <w:rsid w:val="009507BA"/>
    <w:rsid w:val="00950B0E"/>
    <w:rsid w:val="00951187"/>
    <w:rsid w:val="009514E6"/>
    <w:rsid w:val="00952BBC"/>
    <w:rsid w:val="00952D61"/>
    <w:rsid w:val="00961BE6"/>
    <w:rsid w:val="009666CE"/>
    <w:rsid w:val="00971E10"/>
    <w:rsid w:val="00972E40"/>
    <w:rsid w:val="00973FE9"/>
    <w:rsid w:val="00974CC3"/>
    <w:rsid w:val="00975147"/>
    <w:rsid w:val="009763AC"/>
    <w:rsid w:val="00976CAD"/>
    <w:rsid w:val="00977811"/>
    <w:rsid w:val="00981A0F"/>
    <w:rsid w:val="00984157"/>
    <w:rsid w:val="00991E80"/>
    <w:rsid w:val="00995683"/>
    <w:rsid w:val="00995E2D"/>
    <w:rsid w:val="009A122E"/>
    <w:rsid w:val="009A2754"/>
    <w:rsid w:val="009A32ED"/>
    <w:rsid w:val="009A47C3"/>
    <w:rsid w:val="009A701E"/>
    <w:rsid w:val="009A7D30"/>
    <w:rsid w:val="009B174E"/>
    <w:rsid w:val="009B18DC"/>
    <w:rsid w:val="009B2267"/>
    <w:rsid w:val="009B527F"/>
    <w:rsid w:val="009B6F5E"/>
    <w:rsid w:val="009B782F"/>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E64C7"/>
    <w:rsid w:val="009F1371"/>
    <w:rsid w:val="009F1E2A"/>
    <w:rsid w:val="009F25D7"/>
    <w:rsid w:val="009F28E3"/>
    <w:rsid w:val="009F345D"/>
    <w:rsid w:val="009F3E0A"/>
    <w:rsid w:val="00A01DF0"/>
    <w:rsid w:val="00A03AC3"/>
    <w:rsid w:val="00A03D79"/>
    <w:rsid w:val="00A042C5"/>
    <w:rsid w:val="00A04C64"/>
    <w:rsid w:val="00A10928"/>
    <w:rsid w:val="00A1185E"/>
    <w:rsid w:val="00A13218"/>
    <w:rsid w:val="00A13541"/>
    <w:rsid w:val="00A13753"/>
    <w:rsid w:val="00A21438"/>
    <w:rsid w:val="00A227A3"/>
    <w:rsid w:val="00A27F14"/>
    <w:rsid w:val="00A36447"/>
    <w:rsid w:val="00A4023B"/>
    <w:rsid w:val="00A42A3F"/>
    <w:rsid w:val="00A42F0C"/>
    <w:rsid w:val="00A45196"/>
    <w:rsid w:val="00A45845"/>
    <w:rsid w:val="00A45B94"/>
    <w:rsid w:val="00A470F3"/>
    <w:rsid w:val="00A47CF0"/>
    <w:rsid w:val="00A51A5B"/>
    <w:rsid w:val="00A53B2A"/>
    <w:rsid w:val="00A60B73"/>
    <w:rsid w:val="00A6107D"/>
    <w:rsid w:val="00A6528A"/>
    <w:rsid w:val="00A6715F"/>
    <w:rsid w:val="00A744DD"/>
    <w:rsid w:val="00A76E6B"/>
    <w:rsid w:val="00A80080"/>
    <w:rsid w:val="00A82AB0"/>
    <w:rsid w:val="00A86C22"/>
    <w:rsid w:val="00A872C8"/>
    <w:rsid w:val="00A903E7"/>
    <w:rsid w:val="00A93AE9"/>
    <w:rsid w:val="00A94410"/>
    <w:rsid w:val="00A96F10"/>
    <w:rsid w:val="00AA0FE5"/>
    <w:rsid w:val="00AA2C9C"/>
    <w:rsid w:val="00AA3171"/>
    <w:rsid w:val="00AA3386"/>
    <w:rsid w:val="00AA4442"/>
    <w:rsid w:val="00AA5069"/>
    <w:rsid w:val="00AB19A7"/>
    <w:rsid w:val="00AB235E"/>
    <w:rsid w:val="00AB2918"/>
    <w:rsid w:val="00AB3044"/>
    <w:rsid w:val="00AB3BC5"/>
    <w:rsid w:val="00AB3BE8"/>
    <w:rsid w:val="00AB3CC1"/>
    <w:rsid w:val="00AB4951"/>
    <w:rsid w:val="00AB5C29"/>
    <w:rsid w:val="00AB64EB"/>
    <w:rsid w:val="00AB7634"/>
    <w:rsid w:val="00AC1A50"/>
    <w:rsid w:val="00AC5858"/>
    <w:rsid w:val="00AD08E1"/>
    <w:rsid w:val="00AD66C8"/>
    <w:rsid w:val="00AD6B8D"/>
    <w:rsid w:val="00AE0DB4"/>
    <w:rsid w:val="00AE1ED3"/>
    <w:rsid w:val="00AE4290"/>
    <w:rsid w:val="00AE68DB"/>
    <w:rsid w:val="00AF1364"/>
    <w:rsid w:val="00AF13C7"/>
    <w:rsid w:val="00AF1F3E"/>
    <w:rsid w:val="00AF5E3F"/>
    <w:rsid w:val="00AF740B"/>
    <w:rsid w:val="00B012D1"/>
    <w:rsid w:val="00B112A8"/>
    <w:rsid w:val="00B1285F"/>
    <w:rsid w:val="00B144D9"/>
    <w:rsid w:val="00B147EE"/>
    <w:rsid w:val="00B14939"/>
    <w:rsid w:val="00B1587A"/>
    <w:rsid w:val="00B20F6B"/>
    <w:rsid w:val="00B2124D"/>
    <w:rsid w:val="00B2229B"/>
    <w:rsid w:val="00B22303"/>
    <w:rsid w:val="00B229AB"/>
    <w:rsid w:val="00B22A18"/>
    <w:rsid w:val="00B315A0"/>
    <w:rsid w:val="00B3215B"/>
    <w:rsid w:val="00B323B0"/>
    <w:rsid w:val="00B34067"/>
    <w:rsid w:val="00B34A18"/>
    <w:rsid w:val="00B35D12"/>
    <w:rsid w:val="00B40B2C"/>
    <w:rsid w:val="00B40D48"/>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70083"/>
    <w:rsid w:val="00B703F1"/>
    <w:rsid w:val="00B72AD3"/>
    <w:rsid w:val="00B74440"/>
    <w:rsid w:val="00B74592"/>
    <w:rsid w:val="00B76CC5"/>
    <w:rsid w:val="00B83D6F"/>
    <w:rsid w:val="00B858D0"/>
    <w:rsid w:val="00B87D52"/>
    <w:rsid w:val="00B87DEC"/>
    <w:rsid w:val="00B87E7A"/>
    <w:rsid w:val="00B919C3"/>
    <w:rsid w:val="00B91BEC"/>
    <w:rsid w:val="00B92BF4"/>
    <w:rsid w:val="00B93082"/>
    <w:rsid w:val="00B93724"/>
    <w:rsid w:val="00B94492"/>
    <w:rsid w:val="00B97526"/>
    <w:rsid w:val="00BA2B66"/>
    <w:rsid w:val="00BA503D"/>
    <w:rsid w:val="00BA50A6"/>
    <w:rsid w:val="00BA582E"/>
    <w:rsid w:val="00BA66F6"/>
    <w:rsid w:val="00BB04BD"/>
    <w:rsid w:val="00BB1F29"/>
    <w:rsid w:val="00BB28F6"/>
    <w:rsid w:val="00BB30CC"/>
    <w:rsid w:val="00BB3413"/>
    <w:rsid w:val="00BB36F9"/>
    <w:rsid w:val="00BB3D72"/>
    <w:rsid w:val="00BB5D44"/>
    <w:rsid w:val="00BC2609"/>
    <w:rsid w:val="00BC2C67"/>
    <w:rsid w:val="00BD02F4"/>
    <w:rsid w:val="00BD088E"/>
    <w:rsid w:val="00BD191E"/>
    <w:rsid w:val="00BD417E"/>
    <w:rsid w:val="00BE04A1"/>
    <w:rsid w:val="00BE0C68"/>
    <w:rsid w:val="00BE1B62"/>
    <w:rsid w:val="00BE2AEE"/>
    <w:rsid w:val="00BE322A"/>
    <w:rsid w:val="00BE3FC2"/>
    <w:rsid w:val="00BE496D"/>
    <w:rsid w:val="00BF196B"/>
    <w:rsid w:val="00BF487F"/>
    <w:rsid w:val="00C01D1C"/>
    <w:rsid w:val="00C0450E"/>
    <w:rsid w:val="00C04E08"/>
    <w:rsid w:val="00C04F5F"/>
    <w:rsid w:val="00C0528F"/>
    <w:rsid w:val="00C05E66"/>
    <w:rsid w:val="00C120C7"/>
    <w:rsid w:val="00C128F0"/>
    <w:rsid w:val="00C13145"/>
    <w:rsid w:val="00C1578F"/>
    <w:rsid w:val="00C15C10"/>
    <w:rsid w:val="00C2084A"/>
    <w:rsid w:val="00C2108A"/>
    <w:rsid w:val="00C25182"/>
    <w:rsid w:val="00C260FF"/>
    <w:rsid w:val="00C31505"/>
    <w:rsid w:val="00C357D6"/>
    <w:rsid w:val="00C37230"/>
    <w:rsid w:val="00C3797E"/>
    <w:rsid w:val="00C45321"/>
    <w:rsid w:val="00C453B5"/>
    <w:rsid w:val="00C456B3"/>
    <w:rsid w:val="00C4707A"/>
    <w:rsid w:val="00C5132C"/>
    <w:rsid w:val="00C545DB"/>
    <w:rsid w:val="00C55C92"/>
    <w:rsid w:val="00C56339"/>
    <w:rsid w:val="00C56B81"/>
    <w:rsid w:val="00C5757F"/>
    <w:rsid w:val="00C63109"/>
    <w:rsid w:val="00C63D50"/>
    <w:rsid w:val="00C64D55"/>
    <w:rsid w:val="00C6759E"/>
    <w:rsid w:val="00C67E70"/>
    <w:rsid w:val="00C74BB6"/>
    <w:rsid w:val="00C80304"/>
    <w:rsid w:val="00C8139B"/>
    <w:rsid w:val="00C83904"/>
    <w:rsid w:val="00C91DF1"/>
    <w:rsid w:val="00C93A0C"/>
    <w:rsid w:val="00C9708F"/>
    <w:rsid w:val="00CA081C"/>
    <w:rsid w:val="00CA0CDE"/>
    <w:rsid w:val="00CA0EFF"/>
    <w:rsid w:val="00CA1124"/>
    <w:rsid w:val="00CA45FA"/>
    <w:rsid w:val="00CA62CB"/>
    <w:rsid w:val="00CB6687"/>
    <w:rsid w:val="00CB7541"/>
    <w:rsid w:val="00CC1D10"/>
    <w:rsid w:val="00CC48BF"/>
    <w:rsid w:val="00CC7A56"/>
    <w:rsid w:val="00CD0572"/>
    <w:rsid w:val="00CD24F4"/>
    <w:rsid w:val="00CD422B"/>
    <w:rsid w:val="00CE0358"/>
    <w:rsid w:val="00CE0C72"/>
    <w:rsid w:val="00CE33C1"/>
    <w:rsid w:val="00CE38C8"/>
    <w:rsid w:val="00CE4A12"/>
    <w:rsid w:val="00CE5145"/>
    <w:rsid w:val="00CE7131"/>
    <w:rsid w:val="00CE750F"/>
    <w:rsid w:val="00CE7DE7"/>
    <w:rsid w:val="00CF2550"/>
    <w:rsid w:val="00CF2913"/>
    <w:rsid w:val="00CF497C"/>
    <w:rsid w:val="00CF5650"/>
    <w:rsid w:val="00D01CEE"/>
    <w:rsid w:val="00D05C0F"/>
    <w:rsid w:val="00D063A8"/>
    <w:rsid w:val="00D07F19"/>
    <w:rsid w:val="00D11385"/>
    <w:rsid w:val="00D12487"/>
    <w:rsid w:val="00D14A7E"/>
    <w:rsid w:val="00D14CE0"/>
    <w:rsid w:val="00D15B3A"/>
    <w:rsid w:val="00D160CB"/>
    <w:rsid w:val="00D2037F"/>
    <w:rsid w:val="00D21444"/>
    <w:rsid w:val="00D236BD"/>
    <w:rsid w:val="00D238CA"/>
    <w:rsid w:val="00D245A1"/>
    <w:rsid w:val="00D2504A"/>
    <w:rsid w:val="00D25A59"/>
    <w:rsid w:val="00D31510"/>
    <w:rsid w:val="00D32DC6"/>
    <w:rsid w:val="00D369FB"/>
    <w:rsid w:val="00D415E2"/>
    <w:rsid w:val="00D4187E"/>
    <w:rsid w:val="00D41C3F"/>
    <w:rsid w:val="00D42055"/>
    <w:rsid w:val="00D4247A"/>
    <w:rsid w:val="00D44A86"/>
    <w:rsid w:val="00D459DF"/>
    <w:rsid w:val="00D50AC2"/>
    <w:rsid w:val="00D50C30"/>
    <w:rsid w:val="00D52626"/>
    <w:rsid w:val="00D531A4"/>
    <w:rsid w:val="00D54BD0"/>
    <w:rsid w:val="00D55B41"/>
    <w:rsid w:val="00D56948"/>
    <w:rsid w:val="00D57127"/>
    <w:rsid w:val="00D603E7"/>
    <w:rsid w:val="00D60C85"/>
    <w:rsid w:val="00D647C3"/>
    <w:rsid w:val="00D65205"/>
    <w:rsid w:val="00D70F75"/>
    <w:rsid w:val="00D71F0B"/>
    <w:rsid w:val="00D74512"/>
    <w:rsid w:val="00D74B0D"/>
    <w:rsid w:val="00D751D0"/>
    <w:rsid w:val="00D75FF5"/>
    <w:rsid w:val="00D807F0"/>
    <w:rsid w:val="00D816C0"/>
    <w:rsid w:val="00D90347"/>
    <w:rsid w:val="00D91655"/>
    <w:rsid w:val="00D94361"/>
    <w:rsid w:val="00D94AB5"/>
    <w:rsid w:val="00D9633A"/>
    <w:rsid w:val="00D96415"/>
    <w:rsid w:val="00D978C6"/>
    <w:rsid w:val="00DA2040"/>
    <w:rsid w:val="00DA3EDF"/>
    <w:rsid w:val="00DA4DE8"/>
    <w:rsid w:val="00DB133C"/>
    <w:rsid w:val="00DB5C19"/>
    <w:rsid w:val="00DB6327"/>
    <w:rsid w:val="00DB70BA"/>
    <w:rsid w:val="00DB76DD"/>
    <w:rsid w:val="00DC2D2B"/>
    <w:rsid w:val="00DC56CC"/>
    <w:rsid w:val="00DC66DC"/>
    <w:rsid w:val="00DC6DB3"/>
    <w:rsid w:val="00DD0A59"/>
    <w:rsid w:val="00DD6BF0"/>
    <w:rsid w:val="00DE1305"/>
    <w:rsid w:val="00DE3C51"/>
    <w:rsid w:val="00DE538E"/>
    <w:rsid w:val="00DE570F"/>
    <w:rsid w:val="00DE7ABD"/>
    <w:rsid w:val="00DF0587"/>
    <w:rsid w:val="00DF1886"/>
    <w:rsid w:val="00DF2386"/>
    <w:rsid w:val="00DF3E50"/>
    <w:rsid w:val="00DF41C0"/>
    <w:rsid w:val="00DF56F5"/>
    <w:rsid w:val="00DF5CDF"/>
    <w:rsid w:val="00DF6C5A"/>
    <w:rsid w:val="00DF7FE7"/>
    <w:rsid w:val="00E01BE5"/>
    <w:rsid w:val="00E04608"/>
    <w:rsid w:val="00E06E83"/>
    <w:rsid w:val="00E12A11"/>
    <w:rsid w:val="00E146BF"/>
    <w:rsid w:val="00E14BA7"/>
    <w:rsid w:val="00E15B18"/>
    <w:rsid w:val="00E1777E"/>
    <w:rsid w:val="00E209BA"/>
    <w:rsid w:val="00E21CCA"/>
    <w:rsid w:val="00E224CE"/>
    <w:rsid w:val="00E235D0"/>
    <w:rsid w:val="00E23B69"/>
    <w:rsid w:val="00E23C44"/>
    <w:rsid w:val="00E33921"/>
    <w:rsid w:val="00E34284"/>
    <w:rsid w:val="00E4184D"/>
    <w:rsid w:val="00E41C6E"/>
    <w:rsid w:val="00E42856"/>
    <w:rsid w:val="00E4319A"/>
    <w:rsid w:val="00E45830"/>
    <w:rsid w:val="00E46367"/>
    <w:rsid w:val="00E469B9"/>
    <w:rsid w:val="00E50B83"/>
    <w:rsid w:val="00E513A9"/>
    <w:rsid w:val="00E5251D"/>
    <w:rsid w:val="00E537F6"/>
    <w:rsid w:val="00E558E9"/>
    <w:rsid w:val="00E55A5E"/>
    <w:rsid w:val="00E57322"/>
    <w:rsid w:val="00E57904"/>
    <w:rsid w:val="00E57C65"/>
    <w:rsid w:val="00E600B1"/>
    <w:rsid w:val="00E61050"/>
    <w:rsid w:val="00E619A1"/>
    <w:rsid w:val="00E626CD"/>
    <w:rsid w:val="00E62BE4"/>
    <w:rsid w:val="00E63F0B"/>
    <w:rsid w:val="00E64E9B"/>
    <w:rsid w:val="00E715FC"/>
    <w:rsid w:val="00E71A2B"/>
    <w:rsid w:val="00E72D1A"/>
    <w:rsid w:val="00E75B41"/>
    <w:rsid w:val="00E80F36"/>
    <w:rsid w:val="00E810F8"/>
    <w:rsid w:val="00E815B8"/>
    <w:rsid w:val="00E82CCD"/>
    <w:rsid w:val="00E842D7"/>
    <w:rsid w:val="00E85A47"/>
    <w:rsid w:val="00E87628"/>
    <w:rsid w:val="00E90337"/>
    <w:rsid w:val="00E92962"/>
    <w:rsid w:val="00E93B42"/>
    <w:rsid w:val="00E9485D"/>
    <w:rsid w:val="00E95E5D"/>
    <w:rsid w:val="00E95F64"/>
    <w:rsid w:val="00E96EFF"/>
    <w:rsid w:val="00EA0897"/>
    <w:rsid w:val="00EA393A"/>
    <w:rsid w:val="00EA3A7F"/>
    <w:rsid w:val="00EB032F"/>
    <w:rsid w:val="00EC0EEB"/>
    <w:rsid w:val="00EC0FFA"/>
    <w:rsid w:val="00EC2BE2"/>
    <w:rsid w:val="00EC2E0D"/>
    <w:rsid w:val="00EC4D11"/>
    <w:rsid w:val="00EC7276"/>
    <w:rsid w:val="00ED2380"/>
    <w:rsid w:val="00ED2D66"/>
    <w:rsid w:val="00EE06FA"/>
    <w:rsid w:val="00EE20EF"/>
    <w:rsid w:val="00EE2138"/>
    <w:rsid w:val="00EF2ACE"/>
    <w:rsid w:val="00F00DCE"/>
    <w:rsid w:val="00F0219C"/>
    <w:rsid w:val="00F0459C"/>
    <w:rsid w:val="00F06493"/>
    <w:rsid w:val="00F06C80"/>
    <w:rsid w:val="00F072EF"/>
    <w:rsid w:val="00F078F1"/>
    <w:rsid w:val="00F0791D"/>
    <w:rsid w:val="00F07DF1"/>
    <w:rsid w:val="00F07EB4"/>
    <w:rsid w:val="00F1338E"/>
    <w:rsid w:val="00F13758"/>
    <w:rsid w:val="00F17256"/>
    <w:rsid w:val="00F227F6"/>
    <w:rsid w:val="00F24477"/>
    <w:rsid w:val="00F248A8"/>
    <w:rsid w:val="00F24F52"/>
    <w:rsid w:val="00F25941"/>
    <w:rsid w:val="00F25D3D"/>
    <w:rsid w:val="00F266C6"/>
    <w:rsid w:val="00F32D03"/>
    <w:rsid w:val="00F32E2F"/>
    <w:rsid w:val="00F34089"/>
    <w:rsid w:val="00F344DE"/>
    <w:rsid w:val="00F35DDE"/>
    <w:rsid w:val="00F402D0"/>
    <w:rsid w:val="00F407B5"/>
    <w:rsid w:val="00F43279"/>
    <w:rsid w:val="00F45B4A"/>
    <w:rsid w:val="00F45FC0"/>
    <w:rsid w:val="00F46317"/>
    <w:rsid w:val="00F47B42"/>
    <w:rsid w:val="00F47FAB"/>
    <w:rsid w:val="00F50F9E"/>
    <w:rsid w:val="00F53C6F"/>
    <w:rsid w:val="00F546A4"/>
    <w:rsid w:val="00F63AED"/>
    <w:rsid w:val="00F716C3"/>
    <w:rsid w:val="00F72BD0"/>
    <w:rsid w:val="00F73E71"/>
    <w:rsid w:val="00F75931"/>
    <w:rsid w:val="00F82167"/>
    <w:rsid w:val="00F95574"/>
    <w:rsid w:val="00FA0E4B"/>
    <w:rsid w:val="00FA21A7"/>
    <w:rsid w:val="00FA2724"/>
    <w:rsid w:val="00FA721F"/>
    <w:rsid w:val="00FB0F4C"/>
    <w:rsid w:val="00FB5740"/>
    <w:rsid w:val="00FB5CBB"/>
    <w:rsid w:val="00FC0CC4"/>
    <w:rsid w:val="00FC5ABE"/>
    <w:rsid w:val="00FC7684"/>
    <w:rsid w:val="00FC7FD9"/>
    <w:rsid w:val="00FD03C9"/>
    <w:rsid w:val="00FD5BFB"/>
    <w:rsid w:val="00FD5D1C"/>
    <w:rsid w:val="00FD6A25"/>
    <w:rsid w:val="00FE10F3"/>
    <w:rsid w:val="00FE33EB"/>
    <w:rsid w:val="00FE3503"/>
    <w:rsid w:val="00FE48D3"/>
    <w:rsid w:val="00FE4E86"/>
    <w:rsid w:val="00FE5F7C"/>
    <w:rsid w:val="00FF1CBF"/>
    <w:rsid w:val="00FF344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3535-D460-4DBB-BFAA-A05419A5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Secretariat</cp:lastModifiedBy>
  <cp:revision>2</cp:revision>
  <cp:lastPrinted>2016-10-06T13:08:00Z</cp:lastPrinted>
  <dcterms:created xsi:type="dcterms:W3CDTF">2021-04-16T13:49:00Z</dcterms:created>
  <dcterms:modified xsi:type="dcterms:W3CDTF">2021-04-16T13:49:00Z</dcterms:modified>
</cp:coreProperties>
</file>