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C005E9" w:rsidRDefault="00C005E9"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bookmarkStart w:id="0" w:name="_GoBack"/>
      <w:bookmarkEnd w:id="0"/>
      <w:r>
        <w:rPr>
          <w:bCs/>
          <w:sz w:val="24"/>
          <w:szCs w:val="24"/>
          <w:lang w:val="fr-FR"/>
        </w:rPr>
        <w:t xml:space="preserve">CONVENTION SUR LES ZONES HUMIDES </w:t>
      </w:r>
    </w:p>
    <w:p w:rsidR="00DF2386" w:rsidRPr="00C005E9" w:rsidRDefault="00C005E9"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59</w:t>
      </w:r>
      <w:r w:rsidRPr="00C005E9">
        <w:rPr>
          <w:bCs/>
          <w:sz w:val="24"/>
          <w:szCs w:val="24"/>
          <w:vertAlign w:val="superscript"/>
          <w:lang w:val="fr-FR"/>
        </w:rPr>
        <w:t>e</w:t>
      </w:r>
      <w:r>
        <w:rPr>
          <w:bCs/>
          <w:sz w:val="24"/>
          <w:szCs w:val="24"/>
          <w:lang w:val="fr-FR"/>
        </w:rPr>
        <w:t> Réunion du Comité permanent</w:t>
      </w:r>
    </w:p>
    <w:p w:rsidR="00DF2386" w:rsidRPr="00310796" w:rsidRDefault="00C005E9"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Pr>
          <w:bCs/>
          <w:sz w:val="24"/>
          <w:szCs w:val="24"/>
          <w:lang w:val="fr-FR"/>
        </w:rPr>
        <w:t>Gland, Suisse, 21 - 25 juin 2021</w:t>
      </w:r>
    </w:p>
    <w:p w:rsidR="00DF2386" w:rsidRPr="00310796" w:rsidRDefault="00DF2386" w:rsidP="001B1F9E">
      <w:pPr>
        <w:outlineLvl w:val="0"/>
        <w:rPr>
          <w:b/>
          <w:lang w:val="de-CH"/>
        </w:rPr>
      </w:pPr>
    </w:p>
    <w:p w:rsidR="00DF2386" w:rsidRPr="00310796" w:rsidRDefault="00C005E9" w:rsidP="001B1F9E">
      <w:pPr>
        <w:jc w:val="right"/>
        <w:rPr>
          <w:rFonts w:cs="Arial"/>
          <w:sz w:val="28"/>
          <w:szCs w:val="28"/>
          <w:lang w:val="de-CH"/>
        </w:rPr>
      </w:pPr>
      <w:r>
        <w:rPr>
          <w:rFonts w:cs="Arial"/>
          <w:b/>
          <w:bCs/>
          <w:sz w:val="28"/>
          <w:szCs w:val="28"/>
          <w:lang w:val="fr-FR"/>
        </w:rPr>
        <w:t>SC59 Doc.13.1</w:t>
      </w:r>
    </w:p>
    <w:p w:rsidR="00DF2386" w:rsidRPr="00310796" w:rsidRDefault="00DF2386" w:rsidP="001B1F9E">
      <w:pPr>
        <w:rPr>
          <w:rFonts w:cs="Arial"/>
          <w:b/>
          <w:sz w:val="28"/>
          <w:szCs w:val="28"/>
          <w:lang w:val="de-CH"/>
        </w:rPr>
      </w:pPr>
    </w:p>
    <w:p w:rsidR="00DF2386" w:rsidRPr="00C005E9" w:rsidRDefault="00C005E9" w:rsidP="001B1F9E">
      <w:pPr>
        <w:jc w:val="center"/>
        <w:rPr>
          <w:rFonts w:cs="Arial"/>
          <w:b/>
          <w:sz w:val="28"/>
          <w:szCs w:val="28"/>
          <w:lang w:val="fr-FR"/>
        </w:rPr>
      </w:pPr>
      <w:r>
        <w:rPr>
          <w:rFonts w:cs="Arial"/>
          <w:b/>
          <w:bCs/>
          <w:sz w:val="28"/>
          <w:szCs w:val="28"/>
          <w:lang w:val="fr-FR"/>
        </w:rPr>
        <w:t>Examen de toutes les résolutions et décisions précédentes</w:t>
      </w:r>
    </w:p>
    <w:p w:rsidR="009F16AC" w:rsidRDefault="00C005E9" w:rsidP="001B1F9E">
      <w:pPr>
        <w:jc w:val="center"/>
        <w:rPr>
          <w:rFonts w:cs="Arial"/>
          <w:b/>
          <w:sz w:val="28"/>
          <w:szCs w:val="28"/>
        </w:rPr>
      </w:pPr>
      <w:r>
        <w:rPr>
          <w:rFonts w:cs="Arial"/>
          <w:b/>
          <w:bCs/>
          <w:sz w:val="28"/>
          <w:szCs w:val="28"/>
          <w:lang w:val="fr-FR"/>
        </w:rPr>
        <w:t>Processus de réalisation de l</w:t>
      </w:r>
      <w:r w:rsidR="00E37382">
        <w:rPr>
          <w:rFonts w:cs="Arial"/>
          <w:b/>
          <w:bCs/>
          <w:sz w:val="28"/>
          <w:szCs w:val="28"/>
          <w:lang w:val="fr-FR"/>
        </w:rPr>
        <w:t>’</w:t>
      </w:r>
      <w:r>
        <w:rPr>
          <w:rFonts w:cs="Arial"/>
          <w:b/>
          <w:bCs/>
          <w:sz w:val="28"/>
          <w:szCs w:val="28"/>
          <w:lang w:val="fr-FR"/>
        </w:rPr>
        <w:t>examen</w:t>
      </w:r>
    </w:p>
    <w:p w:rsidR="00737177" w:rsidRPr="00425EF4" w:rsidRDefault="00737177" w:rsidP="001B1F9E">
      <w:pPr>
        <w:jc w:val="center"/>
        <w:rPr>
          <w:rFonts w:cs="Arial"/>
          <w:b/>
          <w:sz w:val="28"/>
          <w:szCs w:val="28"/>
        </w:rPr>
      </w:pPr>
    </w:p>
    <w:p w:rsidR="000C2489" w:rsidRPr="00425EF4" w:rsidRDefault="00C005E9" w:rsidP="00E815B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A698CE1" wp14:editId="1E4E69AF">
                <wp:extent cx="5934075" cy="500062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00625"/>
                        </a:xfrm>
                        <a:prstGeom prst="rect">
                          <a:avLst/>
                        </a:prstGeom>
                        <a:solidFill>
                          <a:srgbClr val="FFFFFF"/>
                        </a:solidFill>
                        <a:ln w="9525">
                          <a:solidFill>
                            <a:srgbClr val="000000"/>
                          </a:solidFill>
                          <a:miter lim="800000"/>
                          <a:headEnd/>
                          <a:tailEnd/>
                        </a:ln>
                      </wps:spPr>
                      <wps:txbx>
                        <w:txbxContent>
                          <w:p w:rsidR="00E37382" w:rsidRPr="00C005E9" w:rsidRDefault="00E37382" w:rsidP="006462AD">
                            <w:pPr>
                              <w:rPr>
                                <w:b/>
                                <w:bCs/>
                                <w:lang w:val="fr-FR"/>
                              </w:rPr>
                            </w:pPr>
                            <w:r>
                              <w:rPr>
                                <w:b/>
                                <w:bCs/>
                                <w:lang w:val="fr-FR"/>
                              </w:rPr>
                              <w:t>Mesures requises :</w:t>
                            </w:r>
                          </w:p>
                          <w:p w:rsidR="00E37382" w:rsidRPr="00C005E9" w:rsidRDefault="00E37382" w:rsidP="006462AD">
                            <w:pPr>
                              <w:pStyle w:val="ColorfulList-Accent11"/>
                              <w:ind w:left="0"/>
                              <w:rPr>
                                <w:lang w:val="fr-FR"/>
                              </w:rPr>
                            </w:pPr>
                          </w:p>
                          <w:p w:rsidR="00E37382" w:rsidRPr="00C005E9" w:rsidRDefault="00E37382" w:rsidP="00B4490E">
                            <w:pPr>
                              <w:pStyle w:val="ColorfulList-Accent11"/>
                              <w:ind w:left="0" w:firstLine="0"/>
                              <w:rPr>
                                <w:rFonts w:cs="Calibri"/>
                                <w:lang w:val="fr-FR"/>
                              </w:rPr>
                            </w:pPr>
                            <w:r>
                              <w:rPr>
                                <w:lang w:val="fr-FR"/>
                              </w:rPr>
                              <w:t xml:space="preserve">Le Comité permanent est </w:t>
                            </w:r>
                            <w:r>
                              <w:rPr>
                                <w:rFonts w:cs="Calibri"/>
                                <w:lang w:val="fr-FR"/>
                              </w:rPr>
                              <w:t>invité à :</w:t>
                            </w:r>
                          </w:p>
                          <w:p w:rsidR="00E37382" w:rsidRPr="00C005E9" w:rsidRDefault="00E37382" w:rsidP="00DE2349">
                            <w:pPr>
                              <w:pStyle w:val="ColorfulList-Accent11"/>
                              <w:ind w:left="0" w:firstLine="0"/>
                              <w:rPr>
                                <w:rFonts w:cs="Calibri"/>
                                <w:lang w:val="fr-FR"/>
                              </w:rPr>
                            </w:pPr>
                          </w:p>
                          <w:p w:rsidR="00E37382" w:rsidRPr="00C005E9" w:rsidRDefault="00E37382" w:rsidP="007E6527">
                            <w:pPr>
                              <w:rPr>
                                <w:rFonts w:cs="Calibri"/>
                                <w:lang w:val="fr-FR"/>
                              </w:rPr>
                            </w:pPr>
                            <w:r>
                              <w:rPr>
                                <w:rFonts w:cs="Calibri"/>
                                <w:lang w:val="fr-FR"/>
                              </w:rPr>
                              <w:t>a)</w:t>
                            </w:r>
                            <w:r>
                              <w:rPr>
                                <w:rFonts w:cs="Calibri"/>
                                <w:lang w:val="fr-FR"/>
                              </w:rPr>
                              <w:tab/>
                              <w:t>examiner et commenter le projet de résolution (y compris ses annexes) figurant à l’annexe</w:t>
                            </w:r>
                            <w:r w:rsidR="00EF0BBF">
                              <w:rPr>
                                <w:rFonts w:cs="Calibri"/>
                                <w:lang w:val="fr-FR"/>
                              </w:rPr>
                              <w:t> </w:t>
                            </w:r>
                            <w:r>
                              <w:rPr>
                                <w:rFonts w:cs="Calibri"/>
                                <w:lang w:val="fr-FR"/>
                              </w:rPr>
                              <w:t>1 du présent document, et convenir qu’il doit être transmis pour examen à la COP14, après toute modification nécessaire pour tenir compte des commentaires du Comité permanent, comme demandé au paragraphe</w:t>
                            </w:r>
                            <w:r w:rsidR="00EF0BBF">
                              <w:rPr>
                                <w:rFonts w:cs="Calibri"/>
                                <w:lang w:val="fr-FR"/>
                              </w:rPr>
                              <w:t> </w:t>
                            </w:r>
                            <w:r>
                              <w:rPr>
                                <w:rFonts w:cs="Calibri"/>
                                <w:lang w:val="fr-FR"/>
                              </w:rPr>
                              <w:t>25 de la Résolution</w:t>
                            </w:r>
                            <w:r w:rsidR="00EF0BBF">
                              <w:rPr>
                                <w:rFonts w:cs="Calibri"/>
                                <w:lang w:val="fr-FR"/>
                              </w:rPr>
                              <w:t> </w:t>
                            </w:r>
                            <w:r>
                              <w:rPr>
                                <w:rFonts w:cs="Calibri"/>
                                <w:lang w:val="fr-FR"/>
                              </w:rPr>
                              <w:t>XIII.4  ;</w:t>
                            </w:r>
                          </w:p>
                          <w:p w:rsidR="00E37382" w:rsidRPr="00C005E9" w:rsidRDefault="00E37382" w:rsidP="007E6527">
                            <w:pPr>
                              <w:rPr>
                                <w:rFonts w:cs="Calibri"/>
                                <w:lang w:val="fr-FR"/>
                              </w:rPr>
                            </w:pPr>
                          </w:p>
                          <w:p w:rsidR="00E37382" w:rsidRPr="00C005E9" w:rsidRDefault="00E37382" w:rsidP="007E6527">
                            <w:pPr>
                              <w:rPr>
                                <w:rFonts w:cs="Calibri"/>
                                <w:lang w:val="fr-FR"/>
                              </w:rPr>
                            </w:pPr>
                            <w:r>
                              <w:rPr>
                                <w:rFonts w:cs="Calibri"/>
                                <w:lang w:val="fr-FR"/>
                              </w:rPr>
                              <w:t>b)</w:t>
                            </w:r>
                            <w:r>
                              <w:rPr>
                                <w:rFonts w:cs="Calibri"/>
                                <w:lang w:val="fr-FR"/>
                              </w:rPr>
                              <w:tab/>
                              <w:t>examiner le regroupement préliminaire des résolutions et recommandations présenté à l’annexe</w:t>
                            </w:r>
                            <w:r w:rsidR="00EF0BBF">
                              <w:rPr>
                                <w:rFonts w:cs="Calibri"/>
                                <w:lang w:val="fr-FR"/>
                              </w:rPr>
                              <w:t> </w:t>
                            </w:r>
                            <w:r>
                              <w:rPr>
                                <w:rFonts w:cs="Calibri"/>
                                <w:lang w:val="fr-FR"/>
                              </w:rPr>
                              <w:t>2 comme guide pour la préparation des projets ultérieurs de résolutions regroupées ;</w:t>
                            </w:r>
                          </w:p>
                          <w:p w:rsidR="00E37382" w:rsidRPr="00C005E9" w:rsidRDefault="00E37382" w:rsidP="007E6527">
                            <w:pPr>
                              <w:rPr>
                                <w:rFonts w:cs="Calibri"/>
                                <w:lang w:val="fr-FR"/>
                              </w:rPr>
                            </w:pPr>
                          </w:p>
                          <w:p w:rsidR="00E37382" w:rsidRPr="00C005E9" w:rsidRDefault="00E37382" w:rsidP="004F5FB5">
                            <w:pPr>
                              <w:rPr>
                                <w:rFonts w:cs="Calibri"/>
                                <w:lang w:val="fr-FR"/>
                              </w:rPr>
                            </w:pPr>
                            <w:r>
                              <w:rPr>
                                <w:rFonts w:cs="Calibri"/>
                                <w:lang w:val="fr-FR"/>
                              </w:rPr>
                              <w:t>c)</w:t>
                            </w:r>
                            <w:r>
                              <w:rPr>
                                <w:rFonts w:cs="Calibri"/>
                                <w:lang w:val="fr-FR"/>
                              </w:rPr>
                              <w:tab/>
                              <w:t>convenir que le Secrétariat devrait préparer au moins deux autres projets de résolutions regroupées à examiner à la 60</w:t>
                            </w:r>
                            <w:r w:rsidRPr="00D81CD9">
                              <w:rPr>
                                <w:rFonts w:cs="Calibri"/>
                                <w:vertAlign w:val="superscript"/>
                                <w:lang w:val="fr-FR"/>
                              </w:rPr>
                              <w:t>e</w:t>
                            </w:r>
                            <w:r>
                              <w:rPr>
                                <w:rFonts w:cs="Calibri"/>
                                <w:lang w:val="fr-FR"/>
                              </w:rPr>
                              <w:t> Réunion du Comité permanent (SC60), sur des thèmes choisis dans le regroupement préliminaire de résolutions et recommandations présenté à l’annexe</w:t>
                            </w:r>
                            <w:r w:rsidR="00EF0BBF">
                              <w:rPr>
                                <w:rFonts w:cs="Calibri"/>
                                <w:lang w:val="fr-FR"/>
                              </w:rPr>
                              <w:t> </w:t>
                            </w:r>
                            <w:r>
                              <w:rPr>
                                <w:rFonts w:cs="Calibri"/>
                                <w:lang w:val="fr-FR"/>
                              </w:rPr>
                              <w:t>2</w:t>
                            </w:r>
                            <w:r w:rsidR="00EF0BBF">
                              <w:rPr>
                                <w:rFonts w:cs="Calibri"/>
                                <w:lang w:val="fr-FR"/>
                              </w:rPr>
                              <w:t> </w:t>
                            </w:r>
                            <w:r>
                              <w:rPr>
                                <w:rFonts w:cs="Calibri"/>
                                <w:lang w:val="fr-FR"/>
                              </w:rPr>
                              <w:t xml:space="preserve">; </w:t>
                            </w:r>
                          </w:p>
                          <w:p w:rsidR="00E37382" w:rsidRPr="00C005E9" w:rsidRDefault="00E37382" w:rsidP="007E6527">
                            <w:pPr>
                              <w:rPr>
                                <w:rFonts w:cs="Calibri"/>
                                <w:lang w:val="fr-FR"/>
                              </w:rPr>
                            </w:pPr>
                          </w:p>
                          <w:p w:rsidR="00E37382" w:rsidRPr="00C005E9" w:rsidRDefault="00E37382" w:rsidP="007E6527">
                            <w:pPr>
                              <w:rPr>
                                <w:rFonts w:cs="Calibri"/>
                                <w:lang w:val="fr-FR"/>
                              </w:rPr>
                            </w:pPr>
                            <w:r>
                              <w:rPr>
                                <w:rFonts w:cs="Calibri"/>
                                <w:lang w:val="fr-FR"/>
                              </w:rPr>
                              <w:t>d)</w:t>
                            </w:r>
                            <w:r>
                              <w:rPr>
                                <w:rFonts w:cs="Calibri"/>
                                <w:lang w:val="fr-FR"/>
                              </w:rPr>
                              <w:tab/>
                              <w:t>approuver l’allocation de 12</w:t>
                            </w:r>
                            <w:r w:rsidR="00EF0BBF">
                              <w:rPr>
                                <w:rFonts w:cs="Calibri"/>
                                <w:lang w:val="fr-FR"/>
                              </w:rPr>
                              <w:t> 000 </w:t>
                            </w:r>
                            <w:r>
                              <w:rPr>
                                <w:rFonts w:cs="Calibri"/>
                                <w:lang w:val="fr-FR"/>
                              </w:rPr>
                              <w:t>CHF, dont 3000</w:t>
                            </w:r>
                            <w:r w:rsidR="00EF0BBF">
                              <w:rPr>
                                <w:rFonts w:cs="Calibri"/>
                                <w:lang w:val="fr-FR"/>
                              </w:rPr>
                              <w:t> </w:t>
                            </w:r>
                            <w:r>
                              <w:rPr>
                                <w:rFonts w:cs="Calibri"/>
                                <w:lang w:val="fr-FR"/>
                              </w:rPr>
                              <w:t>CHF de fonds non dépensés, pour couvrir le coût de la poursuite des travaux de regroupement des résolutions et recommandations de la Conférence des Parties, en faisant appel à des services de consultants</w:t>
                            </w:r>
                            <w:r w:rsidR="00EF0BBF">
                              <w:rPr>
                                <w:rFonts w:cs="Calibri"/>
                                <w:lang w:val="fr-FR"/>
                              </w:rPr>
                              <w:t> </w:t>
                            </w:r>
                            <w:r>
                              <w:rPr>
                                <w:rFonts w:cs="Calibri"/>
                                <w:lang w:val="fr-FR"/>
                              </w:rPr>
                              <w:t>;</w:t>
                            </w:r>
                          </w:p>
                          <w:p w:rsidR="00E37382" w:rsidRPr="00C005E9" w:rsidRDefault="00E37382" w:rsidP="007E6527">
                            <w:pPr>
                              <w:ind w:left="851"/>
                              <w:rPr>
                                <w:rFonts w:cs="Calibri"/>
                                <w:lang w:val="fr-FR"/>
                              </w:rPr>
                            </w:pPr>
                          </w:p>
                          <w:p w:rsidR="00E37382" w:rsidRPr="00C005E9" w:rsidRDefault="00E37382" w:rsidP="007E6527">
                            <w:pPr>
                              <w:rPr>
                                <w:rFonts w:cs="Calibri"/>
                                <w:lang w:val="fr-FR"/>
                              </w:rPr>
                            </w:pPr>
                            <w:r>
                              <w:rPr>
                                <w:rFonts w:cs="Calibri"/>
                                <w:lang w:val="fr-FR"/>
                              </w:rPr>
                              <w:t>e)</w:t>
                            </w:r>
                            <w:r>
                              <w:rPr>
                                <w:rFonts w:cs="Calibri"/>
                                <w:lang w:val="fr-FR"/>
                              </w:rPr>
                              <w:tab/>
                              <w:t>convenir que le Secrétariat devrait établir et maintenir à jour, sur le site Web de la Convention, une page dédiée énumérant toutes les résolutions et recommandations valides de la Conférence des Parties et une liste distincte de toutes les résolutions et recommandations qui ne sont plus en vigueur</w:t>
                            </w:r>
                            <w:r w:rsidR="00EF0BBF">
                              <w:rPr>
                                <w:rFonts w:cs="Calibri"/>
                                <w:lang w:val="fr-FR"/>
                              </w:rPr>
                              <w:t> </w:t>
                            </w:r>
                            <w:r>
                              <w:rPr>
                                <w:rFonts w:cs="Calibri"/>
                                <w:lang w:val="fr-FR"/>
                              </w:rPr>
                              <w:t>; et</w:t>
                            </w:r>
                          </w:p>
                          <w:p w:rsidR="00E37382" w:rsidRPr="00C005E9" w:rsidRDefault="00E37382" w:rsidP="007E6527">
                            <w:pPr>
                              <w:ind w:left="851"/>
                              <w:rPr>
                                <w:rFonts w:cs="Calibri"/>
                                <w:lang w:val="fr-FR"/>
                              </w:rPr>
                            </w:pPr>
                          </w:p>
                          <w:p w:rsidR="00E37382" w:rsidRPr="00C005E9" w:rsidRDefault="00E37382">
                            <w:pPr>
                              <w:rPr>
                                <w:rFonts w:cs="Arial"/>
                                <w:lang w:val="fr-FR"/>
                              </w:rPr>
                            </w:pPr>
                            <w:r>
                              <w:rPr>
                                <w:rFonts w:cs="Calibri"/>
                                <w:lang w:val="fr-FR"/>
                              </w:rPr>
                              <w:t>f)</w:t>
                            </w:r>
                            <w:r>
                              <w:rPr>
                                <w:rFonts w:cs="Calibri"/>
                                <w:lang w:val="fr-FR"/>
                              </w:rPr>
                              <w:tab/>
                              <w:t xml:space="preserve">convenir </w:t>
                            </w:r>
                            <w:r>
                              <w:rPr>
                                <w:rFonts w:cs="Arial"/>
                                <w:lang w:val="fr-FR"/>
                              </w:rPr>
                              <w:t>que les décisions</w:t>
                            </w:r>
                            <w:r>
                              <w:rPr>
                                <w:rFonts w:cs="Calibri"/>
                                <w:lang w:val="fr-FR"/>
                              </w:rPr>
                              <w:t xml:space="preserve"> qui ont été adoptées avant la COP11 (ou une autre date, à préciser par </w:t>
                            </w:r>
                            <w:r>
                              <w:rPr>
                                <w:rFonts w:cs="Arial"/>
                                <w:lang w:val="fr-FR"/>
                              </w:rPr>
                              <w:t>le Comité permanent) ne sont plus en vigueur, et que les organes directeurs assureront le suivi des décisions prises et de leur application.</w:t>
                            </w:r>
                          </w:p>
                          <w:p w:rsidR="00E37382" w:rsidRPr="00C005E9" w:rsidRDefault="00E37382">
                            <w:pPr>
                              <w:rPr>
                                <w:rFonts w:cs="Arial"/>
                                <w:lang w:val="fr-FR"/>
                              </w:rPr>
                            </w:pPr>
                          </w:p>
                          <w:p w:rsidR="00E37382" w:rsidRPr="00C005E9" w:rsidRDefault="00E37382" w:rsidP="009B62A7">
                            <w:pPr>
                              <w:ind w:left="0" w:firstLine="0"/>
                              <w:rPr>
                                <w:rFonts w:cs="Calibri"/>
                                <w:lang w:val="fr-FR"/>
                              </w:rPr>
                            </w:pPr>
                          </w:p>
                          <w:p w:rsidR="00E37382" w:rsidRPr="00C005E9" w:rsidRDefault="00E37382" w:rsidP="009B62A7">
                            <w:pPr>
                              <w:ind w:left="0" w:firstLine="0"/>
                              <w:rPr>
                                <w:lang w:val="fr-FR"/>
                              </w:rPr>
                            </w:pPr>
                          </w:p>
                        </w:txbxContent>
                      </wps:txbx>
                      <wps:bodyPr rot="0" vert="horz" wrap="square" anchor="t" anchorCtr="0" upright="1"/>
                    </wps:wsp>
                  </a:graphicData>
                </a:graphic>
              </wp:inline>
            </w:drawing>
          </mc:Choice>
          <mc:Fallback>
            <w:pict>
              <v:shapetype w14:anchorId="5A698CE1" id="_x0000_t202" coordsize="21600,21600" o:spt="202" path="m,l,21600r21600,l21600,xe">
                <v:stroke joinstyle="miter"/>
                <v:path gradientshapeok="t" o:connecttype="rect"/>
              </v:shapetype>
              <v:shape id="Text Box 1" o:spid="_x0000_s1026" type="#_x0000_t202" style="width:467.25pt;height:3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">
                <v:textbox>
                  <w:txbxContent>
                    <w:p w:rsidR="00E37382" w:rsidRPr="00C005E9" w:rsidRDefault="00E37382" w:rsidP="006462AD">
                      <w:pPr>
                        <w:rPr>
                          <w:b/>
                          <w:bCs/>
                          <w:lang w:val="fr-FR"/>
                        </w:rPr>
                      </w:pPr>
                      <w:r>
                        <w:rPr>
                          <w:b/>
                          <w:bCs/>
                          <w:lang w:val="fr-FR"/>
                        </w:rPr>
                        <w:t>Mesures requises :</w:t>
                      </w:r>
                    </w:p>
                    <w:p w:rsidR="00E37382" w:rsidRPr="00C005E9" w:rsidRDefault="00E37382" w:rsidP="006462AD">
                      <w:pPr>
                        <w:pStyle w:val="ColorfulList-Accent11"/>
                        <w:ind w:left="0"/>
                        <w:rPr>
                          <w:lang w:val="fr-FR"/>
                        </w:rPr>
                      </w:pPr>
                    </w:p>
                    <w:p w:rsidR="00E37382" w:rsidRPr="00C005E9" w:rsidRDefault="00E37382" w:rsidP="00B4490E">
                      <w:pPr>
                        <w:pStyle w:val="ColorfulList-Accent11"/>
                        <w:ind w:left="0" w:firstLine="0"/>
                        <w:rPr>
                          <w:rFonts w:cs="Calibri"/>
                          <w:lang w:val="fr-FR"/>
                        </w:rPr>
                      </w:pPr>
                      <w:r>
                        <w:rPr>
                          <w:lang w:val="fr-FR"/>
                        </w:rPr>
                        <w:t xml:space="preserve">Le Comité permanent est </w:t>
                      </w:r>
                      <w:r>
                        <w:rPr>
                          <w:rFonts w:cs="Calibri"/>
                          <w:lang w:val="fr-FR"/>
                        </w:rPr>
                        <w:t>invité à :</w:t>
                      </w:r>
                    </w:p>
                    <w:p w:rsidR="00E37382" w:rsidRPr="00C005E9" w:rsidRDefault="00E37382" w:rsidP="00DE2349">
                      <w:pPr>
                        <w:pStyle w:val="ColorfulList-Accent11"/>
                        <w:ind w:left="0" w:firstLine="0"/>
                        <w:rPr>
                          <w:rFonts w:cs="Calibri"/>
                          <w:lang w:val="fr-FR"/>
                        </w:rPr>
                      </w:pPr>
                    </w:p>
                    <w:p w:rsidR="00E37382" w:rsidRPr="00C005E9" w:rsidRDefault="00E37382" w:rsidP="007E6527">
                      <w:pPr>
                        <w:rPr>
                          <w:rFonts w:cs="Calibri"/>
                          <w:lang w:val="fr-FR"/>
                        </w:rPr>
                      </w:pPr>
                      <w:r>
                        <w:rPr>
                          <w:rFonts w:cs="Calibri"/>
                          <w:lang w:val="fr-FR"/>
                        </w:rPr>
                        <w:t>a)</w:t>
                      </w:r>
                      <w:r>
                        <w:rPr>
                          <w:rFonts w:cs="Calibri"/>
                          <w:lang w:val="fr-FR"/>
                        </w:rPr>
                        <w:tab/>
                        <w:t>examiner et commenter le projet de résolution (y compris ses annexes) figurant à l’annexe</w:t>
                      </w:r>
                      <w:r w:rsidR="00EF0BBF">
                        <w:rPr>
                          <w:rFonts w:cs="Calibri"/>
                          <w:lang w:val="fr-FR"/>
                        </w:rPr>
                        <w:t> </w:t>
                      </w:r>
                      <w:r>
                        <w:rPr>
                          <w:rFonts w:cs="Calibri"/>
                          <w:lang w:val="fr-FR"/>
                        </w:rPr>
                        <w:t>1 du présent document, et convenir qu’il doit être transmis pour examen à la COP14, après toute modification nécessaire pour tenir compte des commentaires du Comité permanent, comme demandé au paragraphe</w:t>
                      </w:r>
                      <w:r w:rsidR="00EF0BBF">
                        <w:rPr>
                          <w:rFonts w:cs="Calibri"/>
                          <w:lang w:val="fr-FR"/>
                        </w:rPr>
                        <w:t> </w:t>
                      </w:r>
                      <w:r>
                        <w:rPr>
                          <w:rFonts w:cs="Calibri"/>
                          <w:lang w:val="fr-FR"/>
                        </w:rPr>
                        <w:t>25 de la Résolution</w:t>
                      </w:r>
                      <w:r w:rsidR="00EF0BBF">
                        <w:rPr>
                          <w:rFonts w:cs="Calibri"/>
                          <w:lang w:val="fr-FR"/>
                        </w:rPr>
                        <w:t> </w:t>
                      </w:r>
                      <w:r>
                        <w:rPr>
                          <w:rFonts w:cs="Calibri"/>
                          <w:lang w:val="fr-FR"/>
                        </w:rPr>
                        <w:t>XIII.4  ;</w:t>
                      </w:r>
                    </w:p>
                    <w:p w:rsidR="00E37382" w:rsidRPr="00C005E9" w:rsidRDefault="00E37382" w:rsidP="007E6527">
                      <w:pPr>
                        <w:rPr>
                          <w:rFonts w:cs="Calibri"/>
                          <w:lang w:val="fr-FR"/>
                        </w:rPr>
                      </w:pPr>
                    </w:p>
                    <w:p w:rsidR="00E37382" w:rsidRPr="00C005E9" w:rsidRDefault="00E37382" w:rsidP="007E6527">
                      <w:pPr>
                        <w:rPr>
                          <w:rFonts w:cs="Calibri"/>
                          <w:lang w:val="fr-FR"/>
                        </w:rPr>
                      </w:pPr>
                      <w:r>
                        <w:rPr>
                          <w:rFonts w:cs="Calibri"/>
                          <w:lang w:val="fr-FR"/>
                        </w:rPr>
                        <w:t>b)</w:t>
                      </w:r>
                      <w:r>
                        <w:rPr>
                          <w:rFonts w:cs="Calibri"/>
                          <w:lang w:val="fr-FR"/>
                        </w:rPr>
                        <w:tab/>
                        <w:t>examiner le regroupement préliminaire des résolutions et recommandations présenté à l’annexe</w:t>
                      </w:r>
                      <w:r w:rsidR="00EF0BBF">
                        <w:rPr>
                          <w:rFonts w:cs="Calibri"/>
                          <w:lang w:val="fr-FR"/>
                        </w:rPr>
                        <w:t> </w:t>
                      </w:r>
                      <w:r>
                        <w:rPr>
                          <w:rFonts w:cs="Calibri"/>
                          <w:lang w:val="fr-FR"/>
                        </w:rPr>
                        <w:t>2 comme guide pour la préparation des projets ultérieurs de résolutions regroupées ;</w:t>
                      </w:r>
                    </w:p>
                    <w:p w:rsidR="00E37382" w:rsidRPr="00C005E9" w:rsidRDefault="00E37382" w:rsidP="007E6527">
                      <w:pPr>
                        <w:rPr>
                          <w:rFonts w:cs="Calibri"/>
                          <w:lang w:val="fr-FR"/>
                        </w:rPr>
                      </w:pPr>
                    </w:p>
                    <w:p w:rsidR="00E37382" w:rsidRPr="00C005E9" w:rsidRDefault="00E37382" w:rsidP="004F5FB5">
                      <w:pPr>
                        <w:rPr>
                          <w:rFonts w:cs="Calibri"/>
                          <w:lang w:val="fr-FR"/>
                        </w:rPr>
                      </w:pPr>
                      <w:r>
                        <w:rPr>
                          <w:rFonts w:cs="Calibri"/>
                          <w:lang w:val="fr-FR"/>
                        </w:rPr>
                        <w:t>c)</w:t>
                      </w:r>
                      <w:r>
                        <w:rPr>
                          <w:rFonts w:cs="Calibri"/>
                          <w:lang w:val="fr-FR"/>
                        </w:rPr>
                        <w:tab/>
                        <w:t>convenir que le Secrétariat devrait préparer au moins deux autres projets de résolutions regroupées à examiner à la 60</w:t>
                      </w:r>
                      <w:r w:rsidRPr="00D81CD9">
                        <w:rPr>
                          <w:rFonts w:cs="Calibri"/>
                          <w:vertAlign w:val="superscript"/>
                          <w:lang w:val="fr-FR"/>
                        </w:rPr>
                        <w:t>e</w:t>
                      </w:r>
                      <w:r>
                        <w:rPr>
                          <w:rFonts w:cs="Calibri"/>
                          <w:lang w:val="fr-FR"/>
                        </w:rPr>
                        <w:t> Réunion du Comité permanent (SC60), sur des thèmes choisis dans le regroupement préliminaire de résolutions et recommandations présenté à l’annexe</w:t>
                      </w:r>
                      <w:r w:rsidR="00EF0BBF">
                        <w:rPr>
                          <w:rFonts w:cs="Calibri"/>
                          <w:lang w:val="fr-FR"/>
                        </w:rPr>
                        <w:t> </w:t>
                      </w:r>
                      <w:r>
                        <w:rPr>
                          <w:rFonts w:cs="Calibri"/>
                          <w:lang w:val="fr-FR"/>
                        </w:rPr>
                        <w:t>2</w:t>
                      </w:r>
                      <w:r w:rsidR="00EF0BBF">
                        <w:rPr>
                          <w:rFonts w:cs="Calibri"/>
                          <w:lang w:val="fr-FR"/>
                        </w:rPr>
                        <w:t> </w:t>
                      </w:r>
                      <w:r>
                        <w:rPr>
                          <w:rFonts w:cs="Calibri"/>
                          <w:lang w:val="fr-FR"/>
                        </w:rPr>
                        <w:t xml:space="preserve">; </w:t>
                      </w:r>
                    </w:p>
                    <w:p w:rsidR="00E37382" w:rsidRPr="00C005E9" w:rsidRDefault="00E37382" w:rsidP="007E6527">
                      <w:pPr>
                        <w:rPr>
                          <w:rFonts w:cs="Calibri"/>
                          <w:lang w:val="fr-FR"/>
                        </w:rPr>
                      </w:pPr>
                    </w:p>
                    <w:p w:rsidR="00E37382" w:rsidRPr="00C005E9" w:rsidRDefault="00E37382" w:rsidP="007E6527">
                      <w:pPr>
                        <w:rPr>
                          <w:rFonts w:cs="Calibri"/>
                          <w:lang w:val="fr-FR"/>
                        </w:rPr>
                      </w:pPr>
                      <w:r>
                        <w:rPr>
                          <w:rFonts w:cs="Calibri"/>
                          <w:lang w:val="fr-FR"/>
                        </w:rPr>
                        <w:t>d)</w:t>
                      </w:r>
                      <w:r>
                        <w:rPr>
                          <w:rFonts w:cs="Calibri"/>
                          <w:lang w:val="fr-FR"/>
                        </w:rPr>
                        <w:tab/>
                        <w:t>approuver l’allocation de 12</w:t>
                      </w:r>
                      <w:r w:rsidR="00EF0BBF">
                        <w:rPr>
                          <w:rFonts w:cs="Calibri"/>
                          <w:lang w:val="fr-FR"/>
                        </w:rPr>
                        <w:t> 000 </w:t>
                      </w:r>
                      <w:r>
                        <w:rPr>
                          <w:rFonts w:cs="Calibri"/>
                          <w:lang w:val="fr-FR"/>
                        </w:rPr>
                        <w:t>CHF, dont 3000</w:t>
                      </w:r>
                      <w:r w:rsidR="00EF0BBF">
                        <w:rPr>
                          <w:rFonts w:cs="Calibri"/>
                          <w:lang w:val="fr-FR"/>
                        </w:rPr>
                        <w:t> </w:t>
                      </w:r>
                      <w:r>
                        <w:rPr>
                          <w:rFonts w:cs="Calibri"/>
                          <w:lang w:val="fr-FR"/>
                        </w:rPr>
                        <w:t>CHF de fonds non dépensés, pour couvrir le coût de la poursuite des travaux de regroupement des résolutions et recommandations de la Conférence des Parties, en faisant appel à des services de consultants</w:t>
                      </w:r>
                      <w:r w:rsidR="00EF0BBF">
                        <w:rPr>
                          <w:rFonts w:cs="Calibri"/>
                          <w:lang w:val="fr-FR"/>
                        </w:rPr>
                        <w:t> </w:t>
                      </w:r>
                      <w:r>
                        <w:rPr>
                          <w:rFonts w:cs="Calibri"/>
                          <w:lang w:val="fr-FR"/>
                        </w:rPr>
                        <w:t>;</w:t>
                      </w:r>
                    </w:p>
                    <w:p w:rsidR="00E37382" w:rsidRPr="00C005E9" w:rsidRDefault="00E37382" w:rsidP="007E6527">
                      <w:pPr>
                        <w:ind w:left="851"/>
                        <w:rPr>
                          <w:rFonts w:cs="Calibri"/>
                          <w:lang w:val="fr-FR"/>
                        </w:rPr>
                      </w:pPr>
                    </w:p>
                    <w:p w:rsidR="00E37382" w:rsidRPr="00C005E9" w:rsidRDefault="00E37382" w:rsidP="007E6527">
                      <w:pPr>
                        <w:rPr>
                          <w:rFonts w:cs="Calibri"/>
                          <w:lang w:val="fr-FR"/>
                        </w:rPr>
                      </w:pPr>
                      <w:r>
                        <w:rPr>
                          <w:rFonts w:cs="Calibri"/>
                          <w:lang w:val="fr-FR"/>
                        </w:rPr>
                        <w:t>e)</w:t>
                      </w:r>
                      <w:r>
                        <w:rPr>
                          <w:rFonts w:cs="Calibri"/>
                          <w:lang w:val="fr-FR"/>
                        </w:rPr>
                        <w:tab/>
                        <w:t>convenir que le Secrétariat devrait établir et maintenir à jour, sur le site Web de la Convention, une page dédiée énumérant toutes les résolutions et recommandations valides de la Conférence des Parties et une liste distincte de toutes les résolutions et recommandations qui ne sont plus en vigueur</w:t>
                      </w:r>
                      <w:r w:rsidR="00EF0BBF">
                        <w:rPr>
                          <w:rFonts w:cs="Calibri"/>
                          <w:lang w:val="fr-FR"/>
                        </w:rPr>
                        <w:t> </w:t>
                      </w:r>
                      <w:r>
                        <w:rPr>
                          <w:rFonts w:cs="Calibri"/>
                          <w:lang w:val="fr-FR"/>
                        </w:rPr>
                        <w:t>; et</w:t>
                      </w:r>
                    </w:p>
                    <w:p w:rsidR="00E37382" w:rsidRPr="00C005E9" w:rsidRDefault="00E37382" w:rsidP="007E6527">
                      <w:pPr>
                        <w:ind w:left="851"/>
                        <w:rPr>
                          <w:rFonts w:cs="Calibri"/>
                          <w:lang w:val="fr-FR"/>
                        </w:rPr>
                      </w:pPr>
                    </w:p>
                    <w:p w:rsidR="00E37382" w:rsidRPr="00C005E9" w:rsidRDefault="00E37382">
                      <w:pPr>
                        <w:rPr>
                          <w:rFonts w:cs="Arial"/>
                          <w:lang w:val="fr-FR"/>
                        </w:rPr>
                      </w:pPr>
                      <w:r>
                        <w:rPr>
                          <w:rFonts w:cs="Calibri"/>
                          <w:lang w:val="fr-FR"/>
                        </w:rPr>
                        <w:t>f)</w:t>
                      </w:r>
                      <w:r>
                        <w:rPr>
                          <w:rFonts w:cs="Calibri"/>
                          <w:lang w:val="fr-FR"/>
                        </w:rPr>
                        <w:tab/>
                        <w:t xml:space="preserve">convenir </w:t>
                      </w:r>
                      <w:r>
                        <w:rPr>
                          <w:rFonts w:cs="Arial"/>
                          <w:lang w:val="fr-FR"/>
                        </w:rPr>
                        <w:t>que les décisions</w:t>
                      </w:r>
                      <w:r>
                        <w:rPr>
                          <w:rFonts w:cs="Calibri"/>
                          <w:lang w:val="fr-FR"/>
                        </w:rPr>
                        <w:t xml:space="preserve"> qui ont été adoptées avant la COP11 (ou une autre date, à préciser par </w:t>
                      </w:r>
                      <w:r>
                        <w:rPr>
                          <w:rFonts w:cs="Arial"/>
                          <w:lang w:val="fr-FR"/>
                        </w:rPr>
                        <w:t>le Comité permanent) ne sont plus en vigueur, et que les organes directeurs assureront le suivi des décisions prises et de leur application.</w:t>
                      </w:r>
                    </w:p>
                    <w:p w:rsidR="00E37382" w:rsidRPr="00C005E9" w:rsidRDefault="00E37382">
                      <w:pPr>
                        <w:rPr>
                          <w:rFonts w:cs="Arial"/>
                          <w:lang w:val="fr-FR"/>
                        </w:rPr>
                      </w:pPr>
                    </w:p>
                    <w:p w:rsidR="00E37382" w:rsidRPr="00C005E9" w:rsidRDefault="00E37382" w:rsidP="009B62A7">
                      <w:pPr>
                        <w:ind w:left="0" w:firstLine="0"/>
                        <w:rPr>
                          <w:rFonts w:cs="Calibri"/>
                          <w:lang w:val="fr-FR"/>
                        </w:rPr>
                      </w:pPr>
                    </w:p>
                    <w:p w:rsidR="00E37382" w:rsidRPr="00C005E9" w:rsidRDefault="00E37382" w:rsidP="009B62A7">
                      <w:pPr>
                        <w:ind w:left="0" w:firstLine="0"/>
                        <w:rPr>
                          <w:lang w:val="fr-FR"/>
                        </w:rPr>
                      </w:pPr>
                    </w:p>
                  </w:txbxContent>
                </v:textbox>
                <w10:anchorlock/>
              </v:shape>
            </w:pict>
          </mc:Fallback>
        </mc:AlternateContent>
      </w:r>
    </w:p>
    <w:p w:rsidR="000C2489" w:rsidRPr="00425EF4" w:rsidRDefault="000C2489" w:rsidP="00E815B8">
      <w:pPr>
        <w:ind w:left="0" w:firstLine="0"/>
        <w:rPr>
          <w:rFonts w:cs="Arial"/>
          <w:b/>
        </w:rPr>
      </w:pPr>
    </w:p>
    <w:p w:rsidR="007D3ED8" w:rsidRDefault="007D3ED8" w:rsidP="00E815B8">
      <w:pPr>
        <w:rPr>
          <w:rFonts w:cs="Arial"/>
          <w:b/>
        </w:rPr>
      </w:pPr>
    </w:p>
    <w:p w:rsidR="007D3ED8" w:rsidRPr="00C005E9" w:rsidRDefault="00C005E9" w:rsidP="009B62A7">
      <w:pPr>
        <w:keepNext/>
        <w:ind w:left="0" w:firstLine="0"/>
        <w:rPr>
          <w:rFonts w:cs="Arial"/>
          <w:b/>
          <w:lang w:val="fr-FR"/>
        </w:rPr>
      </w:pPr>
      <w:r>
        <w:rPr>
          <w:rFonts w:cs="Arial"/>
          <w:b/>
          <w:bCs/>
          <w:lang w:val="fr-FR"/>
        </w:rPr>
        <w:t>Contexte</w:t>
      </w:r>
    </w:p>
    <w:p w:rsidR="00E90337" w:rsidRPr="00C005E9" w:rsidRDefault="00E90337" w:rsidP="009B62A7">
      <w:pPr>
        <w:keepNext/>
        <w:rPr>
          <w:rFonts w:cs="Arial"/>
          <w:b/>
          <w:lang w:val="fr-FR"/>
        </w:rPr>
      </w:pPr>
    </w:p>
    <w:p w:rsidR="00394567" w:rsidRPr="00C005E9" w:rsidRDefault="00C005E9" w:rsidP="00AD4A65">
      <w:pPr>
        <w:rPr>
          <w:rFonts w:cstheme="minorHAnsi"/>
          <w:lang w:val="fr-FR"/>
        </w:rPr>
      </w:pPr>
      <w:r>
        <w:rPr>
          <w:rFonts w:cs="Calibri"/>
          <w:lang w:val="fr-FR"/>
        </w:rPr>
        <w:t>1.</w:t>
      </w:r>
      <w:r>
        <w:rPr>
          <w:rFonts w:cs="Calibri"/>
          <w:lang w:val="fr-FR"/>
        </w:rPr>
        <w:tab/>
        <w:t>La Résolution</w:t>
      </w:r>
      <w:r w:rsidR="00196387">
        <w:rPr>
          <w:rFonts w:cs="Calibri"/>
          <w:lang w:val="fr-FR"/>
        </w:rPr>
        <w:t> </w:t>
      </w:r>
      <w:r>
        <w:rPr>
          <w:rFonts w:cs="Calibri"/>
          <w:lang w:val="fr-FR"/>
        </w:rPr>
        <w:t xml:space="preserve">XII.4, </w:t>
      </w:r>
      <w:r>
        <w:rPr>
          <w:rFonts w:cs="Calibri"/>
          <w:i/>
          <w:iCs/>
          <w:lang w:val="fr-FR"/>
        </w:rPr>
        <w:t>Responsabilités, rôle et composition du Comité permanent et répartition régionale des pays dans le cadre de la Convention de Ramsar</w:t>
      </w:r>
      <w:r>
        <w:rPr>
          <w:rFonts w:cs="Calibri"/>
          <w:lang w:val="fr-FR"/>
        </w:rPr>
        <w:t>, comprend la demande suivante au Comité permanent, au paragraphe</w:t>
      </w:r>
      <w:r w:rsidR="00196387">
        <w:rPr>
          <w:rFonts w:cs="Calibri"/>
          <w:lang w:val="fr-FR"/>
        </w:rPr>
        <w:t> </w:t>
      </w:r>
      <w:r>
        <w:rPr>
          <w:rFonts w:cs="Calibri"/>
          <w:lang w:val="fr-FR"/>
        </w:rPr>
        <w:t>25</w:t>
      </w:r>
      <w:r w:rsidR="00196387">
        <w:rPr>
          <w:rFonts w:cs="Calibri"/>
          <w:lang w:val="fr-FR"/>
        </w:rPr>
        <w:t> </w:t>
      </w:r>
      <w:r>
        <w:rPr>
          <w:rFonts w:cs="Calibri"/>
          <w:lang w:val="fr-FR"/>
        </w:rPr>
        <w:t xml:space="preserve">: </w:t>
      </w:r>
    </w:p>
    <w:p w:rsidR="002D7731" w:rsidRPr="00C005E9" w:rsidRDefault="002D7731" w:rsidP="004E2714">
      <w:pPr>
        <w:rPr>
          <w:rFonts w:cstheme="minorHAnsi"/>
          <w:lang w:val="fr-FR"/>
        </w:rPr>
      </w:pPr>
    </w:p>
    <w:p w:rsidR="00394567" w:rsidRPr="00C005E9" w:rsidRDefault="00C005E9" w:rsidP="00526950">
      <w:pPr>
        <w:ind w:left="850"/>
        <w:rPr>
          <w:i/>
          <w:snapToGrid w:val="0"/>
          <w:kern w:val="22"/>
          <w:lang w:val="fr-FR"/>
        </w:rPr>
      </w:pPr>
      <w:r>
        <w:rPr>
          <w:i/>
          <w:iCs/>
          <w:kern w:val="22"/>
          <w:lang w:val="fr-FR"/>
        </w:rPr>
        <w:tab/>
        <w:t>CHARG</w:t>
      </w:r>
      <w:r w:rsidR="00D81CD9">
        <w:rPr>
          <w:i/>
          <w:iCs/>
          <w:kern w:val="22"/>
          <w:lang w:val="fr-FR"/>
        </w:rPr>
        <w:t>E le Comité permanent, à sa 57</w:t>
      </w:r>
      <w:r w:rsidR="00D81CD9" w:rsidRPr="00D81CD9">
        <w:rPr>
          <w:i/>
          <w:iCs/>
          <w:kern w:val="22"/>
          <w:vertAlign w:val="superscript"/>
          <w:lang w:val="fr-FR"/>
        </w:rPr>
        <w:t>e</w:t>
      </w:r>
      <w:r w:rsidR="00D81CD9">
        <w:rPr>
          <w:i/>
          <w:iCs/>
          <w:kern w:val="22"/>
          <w:lang w:val="fr-FR"/>
        </w:rPr>
        <w:t> </w:t>
      </w:r>
      <w:r>
        <w:rPr>
          <w:i/>
          <w:iCs/>
          <w:kern w:val="22"/>
          <w:lang w:val="fr-FR"/>
        </w:rPr>
        <w:t>Réunion, d</w:t>
      </w:r>
      <w:r w:rsidR="00E37382">
        <w:rPr>
          <w:i/>
          <w:iCs/>
          <w:kern w:val="22"/>
          <w:lang w:val="fr-FR"/>
        </w:rPr>
        <w:t>’</w:t>
      </w:r>
      <w:r>
        <w:rPr>
          <w:i/>
          <w:iCs/>
          <w:kern w:val="22"/>
          <w:lang w:val="fr-FR"/>
        </w:rPr>
        <w:t>examiner le rapport du Secrétariat sur la validité des résolutions et décisions et de le commenter, et d</w:t>
      </w:r>
      <w:r w:rsidR="00E37382">
        <w:rPr>
          <w:i/>
          <w:iCs/>
          <w:kern w:val="22"/>
          <w:lang w:val="fr-FR"/>
        </w:rPr>
        <w:t>’</w:t>
      </w:r>
      <w:r>
        <w:rPr>
          <w:i/>
          <w:iCs/>
          <w:kern w:val="22"/>
          <w:lang w:val="fr-FR"/>
        </w:rPr>
        <w:t>examiner les recommandations du Se</w:t>
      </w:r>
      <w:r w:rsidR="00D81CD9">
        <w:rPr>
          <w:i/>
          <w:iCs/>
          <w:kern w:val="22"/>
          <w:lang w:val="fr-FR"/>
        </w:rPr>
        <w:t>crétariat sur ce sujet à sa 58</w:t>
      </w:r>
      <w:r w:rsidR="00D81CD9" w:rsidRPr="00D81CD9">
        <w:rPr>
          <w:i/>
          <w:iCs/>
          <w:kern w:val="22"/>
          <w:vertAlign w:val="superscript"/>
          <w:lang w:val="fr-FR"/>
        </w:rPr>
        <w:t>e</w:t>
      </w:r>
      <w:r w:rsidR="00D81CD9">
        <w:rPr>
          <w:i/>
          <w:iCs/>
          <w:kern w:val="22"/>
          <w:lang w:val="fr-FR"/>
        </w:rPr>
        <w:t> </w:t>
      </w:r>
      <w:r>
        <w:rPr>
          <w:i/>
          <w:iCs/>
          <w:kern w:val="22"/>
          <w:lang w:val="fr-FR"/>
        </w:rPr>
        <w:t>Réunion, en vue d</w:t>
      </w:r>
      <w:r w:rsidR="00E37382">
        <w:rPr>
          <w:i/>
          <w:iCs/>
          <w:kern w:val="22"/>
          <w:lang w:val="fr-FR"/>
        </w:rPr>
        <w:t>’</w:t>
      </w:r>
      <w:r>
        <w:rPr>
          <w:i/>
          <w:iCs/>
          <w:kern w:val="22"/>
          <w:lang w:val="fr-FR"/>
        </w:rPr>
        <w:t xml:space="preserve">inclure dans une résolution pertinente, </w:t>
      </w:r>
      <w:r>
        <w:rPr>
          <w:i/>
          <w:iCs/>
          <w:kern w:val="22"/>
          <w:lang w:val="fr-FR"/>
        </w:rPr>
        <w:lastRenderedPageBreak/>
        <w:t>adressée à la 14</w:t>
      </w:r>
      <w:r w:rsidRPr="00D81CD9">
        <w:rPr>
          <w:i/>
          <w:iCs/>
          <w:kern w:val="22"/>
          <w:vertAlign w:val="superscript"/>
          <w:lang w:val="fr-FR"/>
        </w:rPr>
        <w:t>e</w:t>
      </w:r>
      <w:r w:rsidR="00D81CD9">
        <w:rPr>
          <w:i/>
          <w:iCs/>
          <w:kern w:val="22"/>
          <w:lang w:val="fr-FR"/>
        </w:rPr>
        <w:t> </w:t>
      </w:r>
      <w:r>
        <w:rPr>
          <w:i/>
          <w:iCs/>
          <w:kern w:val="22"/>
          <w:lang w:val="fr-FR"/>
        </w:rPr>
        <w:t>Session de la Conférence des Parties contractantes (COP14), la suppression de résolutions et décisions obsolètes et la mise en place, pour la Convention, d</w:t>
      </w:r>
      <w:r w:rsidR="00E37382">
        <w:rPr>
          <w:i/>
          <w:iCs/>
          <w:kern w:val="22"/>
          <w:lang w:val="fr-FR"/>
        </w:rPr>
        <w:t>’</w:t>
      </w:r>
      <w:r>
        <w:rPr>
          <w:i/>
          <w:iCs/>
          <w:kern w:val="22"/>
          <w:lang w:val="fr-FR"/>
        </w:rPr>
        <w:t>une procédure d</w:t>
      </w:r>
      <w:r w:rsidR="00E37382">
        <w:rPr>
          <w:i/>
          <w:iCs/>
          <w:kern w:val="22"/>
          <w:lang w:val="fr-FR"/>
        </w:rPr>
        <w:t>’</w:t>
      </w:r>
      <w:r>
        <w:rPr>
          <w:i/>
          <w:iCs/>
          <w:kern w:val="22"/>
          <w:lang w:val="fr-FR"/>
        </w:rPr>
        <w:t>abrogation automatique des résolutions et décisions obsolètes lorsqu</w:t>
      </w:r>
      <w:r w:rsidR="00E37382">
        <w:rPr>
          <w:i/>
          <w:iCs/>
          <w:kern w:val="22"/>
          <w:lang w:val="fr-FR"/>
        </w:rPr>
        <w:t>’</w:t>
      </w:r>
      <w:r>
        <w:rPr>
          <w:i/>
          <w:iCs/>
          <w:kern w:val="22"/>
          <w:lang w:val="fr-FR"/>
        </w:rPr>
        <w:t>elles sont remplacées par de nouveaux textes.</w:t>
      </w:r>
    </w:p>
    <w:p w:rsidR="00FB5740" w:rsidRPr="00C005E9" w:rsidRDefault="00FB5740" w:rsidP="001B1F9E">
      <w:pPr>
        <w:keepNext/>
        <w:rPr>
          <w:rFonts w:cstheme="minorHAnsi"/>
          <w:b/>
          <w:lang w:val="fr-FR"/>
        </w:rPr>
      </w:pPr>
    </w:p>
    <w:p w:rsidR="00EB5B22" w:rsidRPr="00C005E9" w:rsidRDefault="00C005E9" w:rsidP="00E82AB9">
      <w:pPr>
        <w:rPr>
          <w:rFonts w:cstheme="minorHAnsi"/>
          <w:lang w:val="fr-FR"/>
        </w:rPr>
      </w:pPr>
      <w:r>
        <w:rPr>
          <w:rFonts w:cs="Calibri"/>
          <w:lang w:val="fr-FR"/>
        </w:rPr>
        <w:t>2.</w:t>
      </w:r>
      <w:r>
        <w:rPr>
          <w:rFonts w:cs="Calibri"/>
          <w:lang w:val="fr-FR"/>
        </w:rPr>
        <w:tab/>
        <w:t>Suite à</w:t>
      </w:r>
      <w:r w:rsidR="00E37382">
        <w:rPr>
          <w:rFonts w:cs="Calibri"/>
          <w:lang w:val="fr-FR"/>
        </w:rPr>
        <w:t xml:space="preserve"> cette demande, lors de sa 57</w:t>
      </w:r>
      <w:r w:rsidR="00E37382" w:rsidRPr="00E37382">
        <w:rPr>
          <w:rFonts w:cs="Calibri"/>
          <w:vertAlign w:val="superscript"/>
          <w:lang w:val="fr-FR"/>
        </w:rPr>
        <w:t>e</w:t>
      </w:r>
      <w:r w:rsidR="00E37382">
        <w:rPr>
          <w:rFonts w:cs="Calibri"/>
          <w:lang w:val="fr-FR"/>
        </w:rPr>
        <w:t xml:space="preserve"> R</w:t>
      </w:r>
      <w:r>
        <w:rPr>
          <w:rFonts w:cs="Calibri"/>
          <w:lang w:val="fr-FR"/>
        </w:rPr>
        <w:t>éunion (SC57, 2019), dans la décision</w:t>
      </w:r>
      <w:r w:rsidR="00196387">
        <w:rPr>
          <w:rFonts w:cs="Calibri"/>
          <w:lang w:val="fr-FR"/>
        </w:rPr>
        <w:t> </w:t>
      </w:r>
      <w:r>
        <w:rPr>
          <w:rFonts w:cs="Calibri"/>
          <w:lang w:val="fr-FR"/>
        </w:rPr>
        <w:t xml:space="preserve">SC57-19, </w:t>
      </w:r>
      <w:r w:rsidR="00196387">
        <w:rPr>
          <w:rFonts w:cs="Calibri"/>
          <w:lang w:val="fr-FR"/>
        </w:rPr>
        <w:t>« </w:t>
      </w:r>
      <w:r w:rsidRPr="00E37382">
        <w:rPr>
          <w:i/>
          <w:lang w:val="fr-FR"/>
        </w:rPr>
        <w:t>l</w:t>
      </w:r>
      <w:r w:rsidRPr="00E37382">
        <w:rPr>
          <w:i/>
          <w:iCs/>
          <w:lang w:val="fr-FR"/>
        </w:rPr>
        <w:t xml:space="preserve">e </w:t>
      </w:r>
      <w:r>
        <w:rPr>
          <w:i/>
          <w:iCs/>
          <w:lang w:val="fr-FR"/>
        </w:rPr>
        <w:t>Comité permanent a chargé le Secrétariat de procéder à un regroupement préalable des résolutions existantes en grands domaines thématiques, en identifiant les domaines prioritaires pouvant faire l</w:t>
      </w:r>
      <w:r w:rsidR="00E37382">
        <w:rPr>
          <w:i/>
          <w:iCs/>
          <w:lang w:val="fr-FR"/>
        </w:rPr>
        <w:t>’</w:t>
      </w:r>
      <w:r>
        <w:rPr>
          <w:i/>
          <w:iCs/>
          <w:lang w:val="fr-FR"/>
        </w:rPr>
        <w:t>objet d</w:t>
      </w:r>
      <w:r w:rsidR="00E37382">
        <w:rPr>
          <w:i/>
          <w:iCs/>
          <w:lang w:val="fr-FR"/>
        </w:rPr>
        <w:t>’</w:t>
      </w:r>
      <w:r>
        <w:rPr>
          <w:i/>
          <w:iCs/>
          <w:lang w:val="fr-FR"/>
        </w:rPr>
        <w:t>une action ultérieure</w:t>
      </w:r>
      <w:r>
        <w:rPr>
          <w:lang w:val="fr-FR"/>
        </w:rPr>
        <w:t xml:space="preserve"> ...</w:t>
      </w:r>
      <w:r w:rsidR="00196387">
        <w:rPr>
          <w:lang w:val="fr-FR"/>
        </w:rPr>
        <w:t> »</w:t>
      </w:r>
      <w:r>
        <w:rPr>
          <w:rFonts w:cs="Calibri"/>
          <w:lang w:val="fr-FR"/>
        </w:rPr>
        <w:t>.</w:t>
      </w:r>
    </w:p>
    <w:p w:rsidR="00EB5B22" w:rsidRPr="00C005E9" w:rsidRDefault="00EB5B22" w:rsidP="00E82AB9">
      <w:pPr>
        <w:rPr>
          <w:rFonts w:cstheme="minorHAnsi"/>
          <w:lang w:val="fr-FR"/>
        </w:rPr>
      </w:pPr>
    </w:p>
    <w:p w:rsidR="00CC7A56" w:rsidRPr="00C005E9" w:rsidRDefault="00C005E9" w:rsidP="00EB5B22">
      <w:pPr>
        <w:keepNext/>
        <w:rPr>
          <w:rFonts w:cstheme="minorHAnsi"/>
          <w:lang w:val="fr-FR"/>
        </w:rPr>
      </w:pPr>
      <w:r>
        <w:rPr>
          <w:rFonts w:cs="Calibri"/>
          <w:lang w:val="fr-FR"/>
        </w:rPr>
        <w:t>3.</w:t>
      </w:r>
      <w:r>
        <w:rPr>
          <w:rFonts w:cs="Calibri"/>
          <w:lang w:val="fr-FR"/>
        </w:rPr>
        <w:tab/>
        <w:t>Pour faire avancer la mise en œuvre de la demande formulée dans la Résolution</w:t>
      </w:r>
      <w:r w:rsidR="00196387">
        <w:rPr>
          <w:rFonts w:cs="Calibri"/>
          <w:lang w:val="fr-FR"/>
        </w:rPr>
        <w:t> </w:t>
      </w:r>
      <w:r w:rsidR="00E37382">
        <w:rPr>
          <w:rFonts w:cs="Calibri"/>
          <w:lang w:val="fr-FR"/>
        </w:rPr>
        <w:t>XIII.4, le Comité à sa 58</w:t>
      </w:r>
      <w:r w:rsidR="00E37382" w:rsidRPr="00E37382">
        <w:rPr>
          <w:rFonts w:cs="Calibri"/>
          <w:vertAlign w:val="superscript"/>
          <w:lang w:val="fr-FR"/>
        </w:rPr>
        <w:t>e</w:t>
      </w:r>
      <w:r w:rsidR="00E37382">
        <w:rPr>
          <w:rFonts w:cs="Calibri"/>
          <w:lang w:val="fr-FR"/>
        </w:rPr>
        <w:t> R</w:t>
      </w:r>
      <w:r>
        <w:rPr>
          <w:rFonts w:cs="Calibri"/>
          <w:lang w:val="fr-FR"/>
        </w:rPr>
        <w:t>éunion (SC58, 2020) a adopté les décisions</w:t>
      </w:r>
      <w:r w:rsidR="00196387">
        <w:rPr>
          <w:rFonts w:cs="Calibri"/>
          <w:lang w:val="fr-FR"/>
        </w:rPr>
        <w:t> </w:t>
      </w:r>
      <w:r>
        <w:rPr>
          <w:rFonts w:cs="Calibri"/>
          <w:lang w:val="fr-FR"/>
        </w:rPr>
        <w:t>SC58-19 et SC58-21, comme suit</w:t>
      </w:r>
      <w:r w:rsidR="00196387">
        <w:rPr>
          <w:rFonts w:cs="Calibri"/>
          <w:lang w:val="fr-FR"/>
        </w:rPr>
        <w:t> </w:t>
      </w:r>
      <w:r>
        <w:rPr>
          <w:rFonts w:cs="Calibri"/>
          <w:lang w:val="fr-FR"/>
        </w:rPr>
        <w:t>:</w:t>
      </w:r>
    </w:p>
    <w:p w:rsidR="00C70E90" w:rsidRPr="00C005E9" w:rsidRDefault="00C70E90" w:rsidP="00EB5B22">
      <w:pPr>
        <w:keepNext/>
        <w:rPr>
          <w:rFonts w:cstheme="minorHAnsi"/>
          <w:lang w:val="fr-FR"/>
        </w:rPr>
      </w:pPr>
    </w:p>
    <w:p w:rsidR="00C70E90" w:rsidRPr="00C005E9" w:rsidRDefault="00C005E9" w:rsidP="00C70E90">
      <w:pPr>
        <w:ind w:left="850"/>
        <w:rPr>
          <w:i/>
          <w:snapToGrid w:val="0"/>
          <w:kern w:val="22"/>
          <w:lang w:val="fr-FR"/>
        </w:rPr>
      </w:pPr>
      <w:r>
        <w:rPr>
          <w:i/>
          <w:iCs/>
          <w:kern w:val="22"/>
          <w:lang w:val="fr-FR"/>
        </w:rPr>
        <w:tab/>
        <w:t>Décision SC58-19 : Le Comité permanent décide, en consultation avec le Groupe consultatif du Comité permanent sur l</w:t>
      </w:r>
      <w:r w:rsidR="00E37382">
        <w:rPr>
          <w:i/>
          <w:iCs/>
          <w:kern w:val="22"/>
          <w:lang w:val="fr-FR"/>
        </w:rPr>
        <w:t>’</w:t>
      </w:r>
      <w:r>
        <w:rPr>
          <w:i/>
          <w:iCs/>
          <w:kern w:val="22"/>
          <w:lang w:val="fr-FR"/>
        </w:rPr>
        <w:t xml:space="preserve">examen des résolutions et </w:t>
      </w:r>
      <w:r w:rsidR="00196387">
        <w:rPr>
          <w:i/>
          <w:iCs/>
          <w:kern w:val="22"/>
          <w:lang w:val="fr-FR"/>
        </w:rPr>
        <w:t>décisions</w:t>
      </w:r>
      <w:r>
        <w:rPr>
          <w:i/>
          <w:iCs/>
          <w:kern w:val="22"/>
          <w:lang w:val="fr-FR"/>
        </w:rPr>
        <w:t>, que le Secrétariat préparera les documents suivants pou</w:t>
      </w:r>
      <w:r w:rsidR="00D81CD9">
        <w:rPr>
          <w:i/>
          <w:iCs/>
          <w:kern w:val="22"/>
          <w:lang w:val="fr-FR"/>
        </w:rPr>
        <w:t>r examen par le Comité à sa 59</w:t>
      </w:r>
      <w:r w:rsidR="00D81CD9" w:rsidRPr="00D81CD9">
        <w:rPr>
          <w:i/>
          <w:iCs/>
          <w:kern w:val="22"/>
          <w:vertAlign w:val="superscript"/>
          <w:lang w:val="fr-FR"/>
        </w:rPr>
        <w:t>e</w:t>
      </w:r>
      <w:r w:rsidR="00D81CD9">
        <w:rPr>
          <w:i/>
          <w:iCs/>
          <w:kern w:val="22"/>
          <w:lang w:val="fr-FR"/>
        </w:rPr>
        <w:t> </w:t>
      </w:r>
      <w:r>
        <w:rPr>
          <w:i/>
          <w:iCs/>
          <w:kern w:val="22"/>
          <w:lang w:val="fr-FR"/>
        </w:rPr>
        <w:t>Réunion et, le cas échéant, communication pour examen à la COP14</w:t>
      </w:r>
      <w:r w:rsidR="00196387">
        <w:rPr>
          <w:i/>
          <w:iCs/>
          <w:kern w:val="22"/>
          <w:lang w:val="fr-FR"/>
        </w:rPr>
        <w:t> </w:t>
      </w:r>
      <w:r>
        <w:rPr>
          <w:kern w:val="22"/>
          <w:lang w:val="fr-FR"/>
        </w:rPr>
        <w:t>:</w:t>
      </w:r>
    </w:p>
    <w:p w:rsidR="00C70E90" w:rsidRPr="00C005E9" w:rsidRDefault="00C005E9" w:rsidP="00C70E90">
      <w:pPr>
        <w:ind w:left="1701"/>
        <w:rPr>
          <w:rFonts w:cs="Arial"/>
          <w:i/>
          <w:lang w:val="fr-FR"/>
        </w:rPr>
      </w:pPr>
      <w:r w:rsidRPr="00C005E9">
        <w:rPr>
          <w:rFonts w:cs="Arial"/>
          <w:i/>
          <w:lang w:val="fr-FR"/>
        </w:rPr>
        <w:t>...</w:t>
      </w:r>
    </w:p>
    <w:p w:rsidR="00C70E90" w:rsidRPr="00C005E9" w:rsidRDefault="00C005E9" w:rsidP="00C70E90">
      <w:pPr>
        <w:ind w:left="1701"/>
        <w:rPr>
          <w:i/>
          <w:snapToGrid w:val="0"/>
          <w:kern w:val="22"/>
          <w:lang w:val="fr-FR"/>
        </w:rPr>
      </w:pPr>
      <w:r>
        <w:rPr>
          <w:rFonts w:cs="Arial"/>
          <w:i/>
          <w:iCs/>
          <w:lang w:val="fr-FR"/>
        </w:rPr>
        <w:t>ii. </w:t>
      </w:r>
      <w:r>
        <w:rPr>
          <w:rFonts w:cs="Arial"/>
          <w:i/>
          <w:iCs/>
          <w:lang w:val="fr-FR"/>
        </w:rPr>
        <w:tab/>
        <w:t>un projet d</w:t>
      </w:r>
      <w:r w:rsidR="00E37382">
        <w:rPr>
          <w:rFonts w:cs="Arial"/>
          <w:i/>
          <w:iCs/>
          <w:lang w:val="fr-FR"/>
        </w:rPr>
        <w:t>’</w:t>
      </w:r>
      <w:r>
        <w:rPr>
          <w:rFonts w:cs="Arial"/>
          <w:i/>
          <w:iCs/>
          <w:lang w:val="fr-FR"/>
        </w:rPr>
        <w:t>orientations à l</w:t>
      </w:r>
      <w:r w:rsidR="00E37382">
        <w:rPr>
          <w:rFonts w:cs="Arial"/>
          <w:i/>
          <w:iCs/>
          <w:lang w:val="fr-FR"/>
        </w:rPr>
        <w:t>’</w:t>
      </w:r>
      <w:r>
        <w:rPr>
          <w:rFonts w:cs="Arial"/>
          <w:i/>
          <w:iCs/>
          <w:lang w:val="fr-FR"/>
        </w:rPr>
        <w:t xml:space="preserve">intention des Parties, pour les Parties, les présidents des comités, groupes et autres organes de la Convention et le Secrétariat, afin de préciser comment les </w:t>
      </w:r>
      <w:r w:rsidR="00196387">
        <w:rPr>
          <w:rFonts w:cs="Arial"/>
          <w:i/>
          <w:iCs/>
          <w:lang w:val="fr-FR"/>
        </w:rPr>
        <w:t>résolutions</w:t>
      </w:r>
      <w:r>
        <w:rPr>
          <w:rFonts w:cs="Arial"/>
          <w:i/>
          <w:iCs/>
          <w:lang w:val="fr-FR"/>
        </w:rPr>
        <w:t xml:space="preserve"> devraient être rédigées, adoptées et enregistrées à l</w:t>
      </w:r>
      <w:r w:rsidR="00E37382">
        <w:rPr>
          <w:rFonts w:cs="Arial"/>
          <w:i/>
          <w:iCs/>
          <w:lang w:val="fr-FR"/>
        </w:rPr>
        <w:t>’</w:t>
      </w:r>
      <w:r>
        <w:rPr>
          <w:rFonts w:cs="Arial"/>
          <w:i/>
          <w:iCs/>
          <w:lang w:val="fr-FR"/>
        </w:rPr>
        <w:t xml:space="preserve">avenir, afin de garantir que le droit non contraignant de la Convention reste clair, accessible et facile à utiliser pour des questions sur lesquelles il y a eu de multiples </w:t>
      </w:r>
      <w:r w:rsidR="00196387">
        <w:rPr>
          <w:rFonts w:cs="Arial"/>
          <w:i/>
          <w:iCs/>
          <w:lang w:val="fr-FR"/>
        </w:rPr>
        <w:t>résolutions</w:t>
      </w:r>
      <w:r>
        <w:rPr>
          <w:rFonts w:cs="Arial"/>
          <w:i/>
          <w:iCs/>
          <w:lang w:val="fr-FR"/>
        </w:rPr>
        <w:t xml:space="preserve"> et/ou </w:t>
      </w:r>
      <w:r w:rsidR="00196387">
        <w:rPr>
          <w:rFonts w:cs="Arial"/>
          <w:i/>
          <w:iCs/>
          <w:lang w:val="fr-FR"/>
        </w:rPr>
        <w:t>recommandations</w:t>
      </w:r>
      <w:r>
        <w:rPr>
          <w:rFonts w:cs="Arial"/>
          <w:i/>
          <w:iCs/>
          <w:lang w:val="fr-FR"/>
        </w:rPr>
        <w:t xml:space="preserve"> de la COP.</w:t>
      </w:r>
    </w:p>
    <w:p w:rsidR="00E82AB9" w:rsidRPr="00C005E9" w:rsidRDefault="00E82AB9" w:rsidP="00EB5B22">
      <w:pPr>
        <w:keepNext/>
        <w:rPr>
          <w:rFonts w:cstheme="minorHAnsi"/>
          <w:i/>
          <w:lang w:val="fr-FR"/>
        </w:rPr>
      </w:pPr>
    </w:p>
    <w:p w:rsidR="00D71F0B" w:rsidRPr="00C005E9" w:rsidRDefault="00C005E9" w:rsidP="00A03D79">
      <w:pPr>
        <w:ind w:left="850"/>
        <w:rPr>
          <w:rFonts w:cstheme="minorHAnsi"/>
          <w:i/>
          <w:iCs/>
          <w:lang w:val="fr-FR"/>
        </w:rPr>
      </w:pPr>
      <w:r>
        <w:rPr>
          <w:rFonts w:cs="Calibri"/>
          <w:i/>
          <w:iCs/>
          <w:lang w:val="fr-FR"/>
        </w:rPr>
        <w:tab/>
        <w:t>Décision</w:t>
      </w:r>
      <w:r w:rsidR="00196387">
        <w:rPr>
          <w:rFonts w:cs="Calibri"/>
          <w:i/>
          <w:iCs/>
          <w:lang w:val="fr-FR"/>
        </w:rPr>
        <w:t> </w:t>
      </w:r>
      <w:r>
        <w:rPr>
          <w:rFonts w:cs="Calibri"/>
          <w:i/>
          <w:iCs/>
          <w:lang w:val="fr-FR"/>
        </w:rPr>
        <w:t xml:space="preserve">SC58-21 : </w:t>
      </w:r>
      <w:r>
        <w:rPr>
          <w:i/>
          <w:iCs/>
          <w:lang w:val="fr-FR"/>
        </w:rPr>
        <w:t>Le Comité permanent charge le Secrétariat de préparer un document révisé (SC58 Doc.13), en collaboration avec un groupe consulta</w:t>
      </w:r>
      <w:r w:rsidR="00D81CD9">
        <w:rPr>
          <w:i/>
          <w:iCs/>
          <w:lang w:val="fr-FR"/>
        </w:rPr>
        <w:t>tif, pour le présenter à la 58</w:t>
      </w:r>
      <w:r w:rsidR="00D81CD9" w:rsidRPr="00D81CD9">
        <w:rPr>
          <w:i/>
          <w:iCs/>
          <w:vertAlign w:val="superscript"/>
          <w:lang w:val="fr-FR"/>
        </w:rPr>
        <w:t>e</w:t>
      </w:r>
      <w:r w:rsidR="00D81CD9">
        <w:rPr>
          <w:i/>
          <w:iCs/>
          <w:lang w:val="fr-FR"/>
        </w:rPr>
        <w:t> </w:t>
      </w:r>
      <w:r>
        <w:rPr>
          <w:i/>
          <w:iCs/>
          <w:lang w:val="fr-FR"/>
        </w:rPr>
        <w:t>Réunion du</w:t>
      </w:r>
      <w:r w:rsidR="00196387">
        <w:rPr>
          <w:i/>
          <w:iCs/>
          <w:lang w:val="fr-FR"/>
        </w:rPr>
        <w:t xml:space="preserve"> </w:t>
      </w:r>
      <w:r>
        <w:rPr>
          <w:i/>
          <w:iCs/>
          <w:lang w:val="fr-FR"/>
        </w:rPr>
        <w:t>Comité permanent, en octobre 2020, en tenant dûment compte des commentaires des Parties contractantes sur l</w:t>
      </w:r>
      <w:r w:rsidR="00E37382">
        <w:rPr>
          <w:i/>
          <w:iCs/>
          <w:lang w:val="fr-FR"/>
        </w:rPr>
        <w:t>’</w:t>
      </w:r>
      <w:r>
        <w:rPr>
          <w:i/>
          <w:iCs/>
          <w:lang w:val="fr-FR"/>
        </w:rPr>
        <w:t>approche de la mise en œuvre de la Décision</w:t>
      </w:r>
      <w:r w:rsidR="00196387">
        <w:rPr>
          <w:i/>
          <w:iCs/>
          <w:lang w:val="fr-FR"/>
        </w:rPr>
        <w:t> </w:t>
      </w:r>
      <w:r>
        <w:rPr>
          <w:i/>
          <w:iCs/>
          <w:lang w:val="fr-FR"/>
        </w:rPr>
        <w:t>SC57-19 du Comité, et de demander conseil au groupe consultatif des Parties contractantes intéressées sur sa possible révision, ava</w:t>
      </w:r>
      <w:r w:rsidR="00D81CD9">
        <w:rPr>
          <w:i/>
          <w:iCs/>
          <w:lang w:val="fr-FR"/>
        </w:rPr>
        <w:t>nt la 58</w:t>
      </w:r>
      <w:r w:rsidR="00D81CD9" w:rsidRPr="00D81CD9">
        <w:rPr>
          <w:i/>
          <w:iCs/>
          <w:vertAlign w:val="superscript"/>
          <w:lang w:val="fr-FR"/>
        </w:rPr>
        <w:t>e</w:t>
      </w:r>
      <w:r w:rsidR="00D81CD9">
        <w:rPr>
          <w:i/>
          <w:iCs/>
          <w:lang w:val="fr-FR"/>
        </w:rPr>
        <w:t> </w:t>
      </w:r>
      <w:r>
        <w:rPr>
          <w:i/>
          <w:iCs/>
          <w:lang w:val="fr-FR"/>
        </w:rPr>
        <w:t>Réunion du Comité permanent, sous la forme d</w:t>
      </w:r>
      <w:r w:rsidR="00E37382">
        <w:rPr>
          <w:i/>
          <w:iCs/>
          <w:lang w:val="fr-FR"/>
        </w:rPr>
        <w:t>’</w:t>
      </w:r>
      <w:r>
        <w:rPr>
          <w:i/>
          <w:iCs/>
          <w:lang w:val="fr-FR"/>
        </w:rPr>
        <w:t>un certain nombre de documents thématiques plus petits</w:t>
      </w:r>
      <w:r>
        <w:rPr>
          <w:lang w:val="fr-FR"/>
        </w:rPr>
        <w:t xml:space="preserve">. (La réunion prévue en octobre 2020 a par la suite été annulée.) </w:t>
      </w:r>
    </w:p>
    <w:p w:rsidR="00AF13C7" w:rsidRPr="00C005E9" w:rsidRDefault="00AF13C7" w:rsidP="00526481">
      <w:pPr>
        <w:rPr>
          <w:rFonts w:cstheme="minorHAnsi"/>
          <w:lang w:val="fr-FR"/>
        </w:rPr>
      </w:pPr>
    </w:p>
    <w:p w:rsidR="00361740" w:rsidRPr="00C005E9" w:rsidRDefault="00C005E9" w:rsidP="00361740">
      <w:pPr>
        <w:rPr>
          <w:rFonts w:cstheme="minorHAnsi"/>
          <w:lang w:val="fr-FR"/>
        </w:rPr>
      </w:pPr>
      <w:r>
        <w:rPr>
          <w:rFonts w:cs="Calibri"/>
          <w:lang w:val="fr-FR"/>
        </w:rPr>
        <w:t>4.</w:t>
      </w:r>
      <w:r>
        <w:rPr>
          <w:rFonts w:cs="Calibri"/>
          <w:lang w:val="fr-FR"/>
        </w:rPr>
        <w:tab/>
        <w:t>Le présent document a été préparé en réponse à ces demandes, en particulier en tant que révision du document</w:t>
      </w:r>
      <w:r w:rsidR="00196387">
        <w:rPr>
          <w:rFonts w:cs="Calibri"/>
          <w:lang w:val="fr-FR"/>
        </w:rPr>
        <w:t> </w:t>
      </w:r>
      <w:r>
        <w:rPr>
          <w:rFonts w:cs="Calibri"/>
          <w:lang w:val="fr-FR"/>
        </w:rPr>
        <w:t xml:space="preserve">SC58 Doc.13 concernant le processus de révision des résolutions existantes. Comme la </w:t>
      </w:r>
      <w:r w:rsidR="00992922">
        <w:rPr>
          <w:rFonts w:cs="Calibri"/>
          <w:lang w:val="fr-FR"/>
        </w:rPr>
        <w:t>D</w:t>
      </w:r>
      <w:r>
        <w:rPr>
          <w:rFonts w:cs="Calibri"/>
          <w:lang w:val="fr-FR"/>
        </w:rPr>
        <w:t>écision</w:t>
      </w:r>
      <w:r w:rsidR="00196387">
        <w:rPr>
          <w:rFonts w:cs="Calibri"/>
          <w:lang w:val="fr-FR"/>
        </w:rPr>
        <w:t> </w:t>
      </w:r>
      <w:r>
        <w:rPr>
          <w:rFonts w:cs="Calibri"/>
          <w:lang w:val="fr-FR"/>
        </w:rPr>
        <w:t>SC58-21 soutient également l</w:t>
      </w:r>
      <w:r w:rsidR="00E37382">
        <w:rPr>
          <w:rFonts w:cs="Calibri"/>
          <w:lang w:val="fr-FR"/>
        </w:rPr>
        <w:t>’</w:t>
      </w:r>
      <w:r>
        <w:rPr>
          <w:rFonts w:cs="Calibri"/>
          <w:lang w:val="fr-FR"/>
        </w:rPr>
        <w:t xml:space="preserve">application de la </w:t>
      </w:r>
      <w:r w:rsidR="00992922">
        <w:rPr>
          <w:rFonts w:cs="Calibri"/>
          <w:lang w:val="fr-FR"/>
        </w:rPr>
        <w:t>D</w:t>
      </w:r>
      <w:r>
        <w:rPr>
          <w:rFonts w:cs="Calibri"/>
          <w:lang w:val="fr-FR"/>
        </w:rPr>
        <w:t>écision</w:t>
      </w:r>
      <w:r w:rsidR="00196387">
        <w:rPr>
          <w:rFonts w:cs="Calibri"/>
          <w:lang w:val="fr-FR"/>
        </w:rPr>
        <w:t> </w:t>
      </w:r>
      <w:r>
        <w:rPr>
          <w:rFonts w:cs="Calibri"/>
          <w:lang w:val="fr-FR"/>
        </w:rPr>
        <w:t>SC57-19, sur le regroupement des résolutions en thèmes majeurs, un projet de ce regroupement préliminaire est joint en annexe</w:t>
      </w:r>
      <w:r w:rsidR="00196387">
        <w:rPr>
          <w:rFonts w:cs="Calibri"/>
          <w:lang w:val="fr-FR"/>
        </w:rPr>
        <w:t> </w:t>
      </w:r>
      <w:r>
        <w:rPr>
          <w:rFonts w:cs="Calibri"/>
          <w:lang w:val="fr-FR"/>
        </w:rPr>
        <w:t>2 au présent document.</w:t>
      </w:r>
    </w:p>
    <w:p w:rsidR="00361740" w:rsidRPr="00C005E9" w:rsidRDefault="00361740" w:rsidP="00361740">
      <w:pPr>
        <w:rPr>
          <w:rFonts w:cstheme="minorHAnsi"/>
          <w:lang w:val="fr-FR"/>
        </w:rPr>
      </w:pPr>
    </w:p>
    <w:p w:rsidR="00930C93" w:rsidRPr="00C005E9" w:rsidRDefault="00C005E9" w:rsidP="00B36934">
      <w:pPr>
        <w:keepNext/>
        <w:ind w:left="0" w:firstLine="0"/>
        <w:rPr>
          <w:rFonts w:cs="Arial"/>
          <w:i/>
          <w:lang w:val="fr-FR"/>
        </w:rPr>
      </w:pPr>
      <w:r>
        <w:rPr>
          <w:rFonts w:cs="Arial"/>
          <w:b/>
          <w:bCs/>
          <w:lang w:val="fr-FR"/>
        </w:rPr>
        <w:t>Instructions de la Conférence des Parties</w:t>
      </w:r>
    </w:p>
    <w:p w:rsidR="00C3797E" w:rsidRPr="00C005E9" w:rsidRDefault="00C3797E" w:rsidP="002B4D97">
      <w:pPr>
        <w:keepNext/>
        <w:ind w:left="0" w:firstLine="0"/>
        <w:rPr>
          <w:rFonts w:cs="Arial"/>
          <w:lang w:val="fr-FR"/>
        </w:rPr>
      </w:pPr>
    </w:p>
    <w:p w:rsidR="0081636C" w:rsidRPr="00C005E9" w:rsidRDefault="00C005E9" w:rsidP="008443E6">
      <w:pPr>
        <w:keepNext/>
        <w:rPr>
          <w:rFonts w:cs="Arial"/>
          <w:lang w:val="fr-FR"/>
        </w:rPr>
      </w:pPr>
      <w:r>
        <w:rPr>
          <w:rFonts w:cs="Arial"/>
          <w:lang w:val="fr-FR"/>
        </w:rPr>
        <w:t>5.</w:t>
      </w:r>
      <w:r>
        <w:rPr>
          <w:rFonts w:cs="Arial"/>
          <w:lang w:val="fr-FR"/>
        </w:rPr>
        <w:tab/>
        <w:t>Dans la Résolution</w:t>
      </w:r>
      <w:r w:rsidR="00196387">
        <w:rPr>
          <w:rFonts w:cs="Arial"/>
          <w:lang w:val="fr-FR"/>
        </w:rPr>
        <w:t> </w:t>
      </w:r>
      <w:r>
        <w:rPr>
          <w:rFonts w:cs="Arial"/>
          <w:lang w:val="fr-FR"/>
        </w:rPr>
        <w:t xml:space="preserve">XIII.4, la Conférence des Parties contractantes donne instruction au Secrétariat de préparer des recommandations relatives à un processus pour : </w:t>
      </w:r>
    </w:p>
    <w:p w:rsidR="0081636C" w:rsidRPr="00C005E9" w:rsidRDefault="00C005E9" w:rsidP="00FD03C9">
      <w:pPr>
        <w:ind w:left="851"/>
        <w:rPr>
          <w:rFonts w:cs="Arial"/>
          <w:lang w:val="fr-FR"/>
        </w:rPr>
      </w:pPr>
      <w:r>
        <w:rPr>
          <w:rFonts w:cs="Arial"/>
          <w:lang w:val="fr-FR"/>
        </w:rPr>
        <w:t>a)</w:t>
      </w:r>
      <w:r>
        <w:rPr>
          <w:rFonts w:cs="Arial"/>
          <w:lang w:val="fr-FR"/>
        </w:rPr>
        <w:tab/>
        <w:t>abroger les résolutions et décisions obsolètes</w:t>
      </w:r>
      <w:r w:rsidR="00196387">
        <w:rPr>
          <w:rFonts w:cs="Arial"/>
          <w:lang w:val="fr-FR"/>
        </w:rPr>
        <w:t> </w:t>
      </w:r>
      <w:r>
        <w:rPr>
          <w:rFonts w:cs="Arial"/>
          <w:lang w:val="fr-FR"/>
        </w:rPr>
        <w:t xml:space="preserve">;  </w:t>
      </w:r>
    </w:p>
    <w:p w:rsidR="0081636C" w:rsidRPr="00C005E9" w:rsidRDefault="00C005E9" w:rsidP="00FD03C9">
      <w:pPr>
        <w:ind w:left="851"/>
        <w:rPr>
          <w:rFonts w:cs="Arial"/>
          <w:lang w:val="fr-FR"/>
        </w:rPr>
      </w:pPr>
      <w:r>
        <w:rPr>
          <w:rFonts w:cs="Arial"/>
          <w:lang w:val="fr-FR"/>
        </w:rPr>
        <w:t>b)</w:t>
      </w:r>
      <w:r>
        <w:rPr>
          <w:rFonts w:cs="Arial"/>
          <w:lang w:val="fr-FR"/>
        </w:rPr>
        <w:tab/>
        <w:t>établir une procédure automatique d</w:t>
      </w:r>
      <w:r w:rsidR="00E37382">
        <w:rPr>
          <w:rFonts w:cs="Arial"/>
          <w:lang w:val="fr-FR"/>
        </w:rPr>
        <w:t>’</w:t>
      </w:r>
      <w:r>
        <w:rPr>
          <w:rFonts w:cs="Arial"/>
          <w:lang w:val="fr-FR"/>
        </w:rPr>
        <w:t>abrogation des résolutions et décisions obsolètes ou contradictoires lorsqu</w:t>
      </w:r>
      <w:r w:rsidR="00E37382">
        <w:rPr>
          <w:rFonts w:cs="Arial"/>
          <w:lang w:val="fr-FR"/>
        </w:rPr>
        <w:t>’</w:t>
      </w:r>
      <w:r>
        <w:rPr>
          <w:rFonts w:cs="Arial"/>
          <w:lang w:val="fr-FR"/>
        </w:rPr>
        <w:t xml:space="preserve">elles sont remplacées par de nouveaux textes ; et </w:t>
      </w:r>
    </w:p>
    <w:p w:rsidR="0081636C" w:rsidRPr="00C005E9" w:rsidRDefault="00C005E9" w:rsidP="00FD03C9">
      <w:pPr>
        <w:ind w:left="851"/>
        <w:rPr>
          <w:rFonts w:cs="Arial"/>
          <w:lang w:val="fr-FR"/>
        </w:rPr>
      </w:pPr>
      <w:r>
        <w:rPr>
          <w:rFonts w:cs="Arial"/>
          <w:lang w:val="fr-FR"/>
        </w:rPr>
        <w:t>c)</w:t>
      </w:r>
      <w:r>
        <w:rPr>
          <w:rFonts w:cs="Arial"/>
          <w:lang w:val="fr-FR"/>
        </w:rPr>
        <w:tab/>
        <w:t xml:space="preserve">préparer une liste regroupée de résolutions et décisions à mettre à jour après chaque session de la Conférence des Parties contractantes ainsi que, selon les besoins, après les réunions du Comité permanent. </w:t>
      </w:r>
    </w:p>
    <w:p w:rsidR="0081636C" w:rsidRPr="00C005E9" w:rsidRDefault="0081636C" w:rsidP="0081636C">
      <w:pPr>
        <w:rPr>
          <w:rFonts w:cs="Arial"/>
          <w:lang w:val="fr-FR"/>
        </w:rPr>
      </w:pPr>
    </w:p>
    <w:p w:rsidR="009A47C3" w:rsidRPr="00C005E9" w:rsidRDefault="00C005E9" w:rsidP="00C3797E">
      <w:pPr>
        <w:rPr>
          <w:rFonts w:cs="Arial"/>
          <w:lang w:val="fr-FR"/>
        </w:rPr>
      </w:pPr>
      <w:r>
        <w:rPr>
          <w:rFonts w:cs="Arial"/>
          <w:lang w:val="fr-FR"/>
        </w:rPr>
        <w:lastRenderedPageBreak/>
        <w:t>6.</w:t>
      </w:r>
      <w:r>
        <w:rPr>
          <w:rFonts w:cs="Arial"/>
          <w:lang w:val="fr-FR"/>
        </w:rPr>
        <w:tab/>
        <w:t xml:space="preserve">Pour le Secrétariat, le terme </w:t>
      </w:r>
      <w:r w:rsidR="00196387">
        <w:rPr>
          <w:rFonts w:cs="Arial"/>
          <w:lang w:val="fr-FR"/>
        </w:rPr>
        <w:t>« </w:t>
      </w:r>
      <w:r>
        <w:rPr>
          <w:rFonts w:cs="Arial"/>
          <w:lang w:val="fr-FR"/>
        </w:rPr>
        <w:t>résolutions</w:t>
      </w:r>
      <w:r w:rsidR="00196387">
        <w:rPr>
          <w:rFonts w:cs="Arial"/>
          <w:lang w:val="fr-FR"/>
        </w:rPr>
        <w:t> »</w:t>
      </w:r>
      <w:r>
        <w:rPr>
          <w:rFonts w:cs="Arial"/>
          <w:lang w:val="fr-FR"/>
        </w:rPr>
        <w:t xml:space="preserve"> dans la Résolution</w:t>
      </w:r>
      <w:r w:rsidR="00EF0BBF">
        <w:rPr>
          <w:rFonts w:cs="Arial"/>
          <w:lang w:val="fr-FR"/>
        </w:rPr>
        <w:t> </w:t>
      </w:r>
      <w:r>
        <w:rPr>
          <w:rFonts w:cs="Arial"/>
          <w:lang w:val="fr-FR"/>
        </w:rPr>
        <w:t xml:space="preserve">XIII.4 englobe les </w:t>
      </w:r>
      <w:r w:rsidR="00196387">
        <w:rPr>
          <w:rFonts w:cs="Arial"/>
          <w:lang w:val="fr-FR"/>
        </w:rPr>
        <w:t>« recommandations »</w:t>
      </w:r>
      <w:r>
        <w:rPr>
          <w:rFonts w:cs="Arial"/>
          <w:lang w:val="fr-FR"/>
        </w:rPr>
        <w:t xml:space="preserve"> de la Conférence des Parties </w:t>
      </w:r>
      <w:r w:rsidR="00992922">
        <w:rPr>
          <w:rFonts w:cs="Arial"/>
          <w:lang w:val="fr-FR"/>
        </w:rPr>
        <w:t>car</w:t>
      </w:r>
      <w:r>
        <w:rPr>
          <w:rFonts w:cs="Arial"/>
          <w:lang w:val="fr-FR"/>
        </w:rPr>
        <w:t> :</w:t>
      </w:r>
      <w:r>
        <w:rPr>
          <w:rFonts w:cs="Arial"/>
          <w:lang w:val="fr-FR"/>
        </w:rPr>
        <w:br/>
        <w:t>- elles ont été adoptées selon les mêmes règles et ont donc le même effet juridique</w:t>
      </w:r>
      <w:r w:rsidR="00196387">
        <w:rPr>
          <w:rFonts w:cs="Arial"/>
          <w:lang w:val="fr-FR"/>
        </w:rPr>
        <w:t> </w:t>
      </w:r>
      <w:r>
        <w:rPr>
          <w:rFonts w:cs="Arial"/>
          <w:lang w:val="fr-FR"/>
        </w:rPr>
        <w:t xml:space="preserve">; </w:t>
      </w:r>
      <w:r>
        <w:rPr>
          <w:rFonts w:cs="Arial"/>
          <w:lang w:val="fr-FR"/>
        </w:rPr>
        <w:br/>
        <w:t>- certaines des premières recommandations de la Conférence des Parties ont été présentées sous la même forme que les résolutions</w:t>
      </w:r>
      <w:r w:rsidR="00196387">
        <w:rPr>
          <w:rFonts w:cs="Arial"/>
          <w:lang w:val="fr-FR"/>
        </w:rPr>
        <w:t> </w:t>
      </w:r>
      <w:r>
        <w:rPr>
          <w:rFonts w:cs="Arial"/>
          <w:lang w:val="fr-FR"/>
        </w:rPr>
        <w:t xml:space="preserve">; et </w:t>
      </w:r>
      <w:r>
        <w:rPr>
          <w:rFonts w:cs="Arial"/>
          <w:lang w:val="fr-FR"/>
        </w:rPr>
        <w:br/>
        <w:t xml:space="preserve">- beaucoup de recommandations couvrent les mêmes sujets que les résolutions et doivent donc être prises en compte. </w:t>
      </w:r>
    </w:p>
    <w:p w:rsidR="009A47C3" w:rsidRPr="00C005E9" w:rsidRDefault="009A47C3" w:rsidP="00C3797E">
      <w:pPr>
        <w:rPr>
          <w:rFonts w:cs="Arial"/>
          <w:lang w:val="fr-FR"/>
        </w:rPr>
      </w:pPr>
    </w:p>
    <w:p w:rsidR="00B34067" w:rsidRPr="00C005E9" w:rsidRDefault="00C005E9" w:rsidP="00C3797E">
      <w:pPr>
        <w:rPr>
          <w:rFonts w:cs="Arial"/>
          <w:lang w:val="fr-FR"/>
        </w:rPr>
      </w:pPr>
      <w:r>
        <w:rPr>
          <w:rFonts w:cs="Arial"/>
          <w:lang w:val="fr-FR"/>
        </w:rPr>
        <w:t>7.</w:t>
      </w:r>
      <w:r>
        <w:rPr>
          <w:rFonts w:cs="Arial"/>
          <w:lang w:val="fr-FR"/>
        </w:rPr>
        <w:tab/>
        <w:t xml:space="preserve">Pour le Secrétariat, le terme </w:t>
      </w:r>
      <w:r w:rsidR="00196387">
        <w:rPr>
          <w:rFonts w:cs="Arial"/>
          <w:lang w:val="fr-FR"/>
        </w:rPr>
        <w:t>« </w:t>
      </w:r>
      <w:r>
        <w:rPr>
          <w:rFonts w:cs="Arial"/>
          <w:lang w:val="fr-FR"/>
        </w:rPr>
        <w:t>décisions</w:t>
      </w:r>
      <w:r w:rsidR="00196387">
        <w:rPr>
          <w:rFonts w:cs="Arial"/>
          <w:lang w:val="fr-FR"/>
        </w:rPr>
        <w:t> »</w:t>
      </w:r>
      <w:r>
        <w:rPr>
          <w:rFonts w:cs="Arial"/>
          <w:lang w:val="fr-FR"/>
        </w:rPr>
        <w:t xml:space="preserve"> tel qu</w:t>
      </w:r>
      <w:r w:rsidR="00E37382">
        <w:rPr>
          <w:rFonts w:cs="Arial"/>
          <w:lang w:val="fr-FR"/>
        </w:rPr>
        <w:t>’</w:t>
      </w:r>
      <w:r>
        <w:rPr>
          <w:rFonts w:cs="Arial"/>
          <w:lang w:val="fr-FR"/>
        </w:rPr>
        <w:t>il est utilisé dans la Résolution</w:t>
      </w:r>
      <w:r w:rsidR="00196387">
        <w:rPr>
          <w:rFonts w:cs="Arial"/>
          <w:lang w:val="fr-FR"/>
        </w:rPr>
        <w:t> </w:t>
      </w:r>
      <w:r>
        <w:rPr>
          <w:rFonts w:cs="Arial"/>
          <w:lang w:val="fr-FR"/>
        </w:rPr>
        <w:t xml:space="preserve">XIII.4 fait référence aux décisions numérotées du Comité permanent. </w:t>
      </w:r>
      <w:r w:rsidR="00992922">
        <w:rPr>
          <w:rFonts w:cs="Arial"/>
          <w:lang w:val="fr-FR"/>
        </w:rPr>
        <w:t>Par conséquent</w:t>
      </w:r>
      <w:r>
        <w:rPr>
          <w:rFonts w:cs="Arial"/>
          <w:lang w:val="fr-FR"/>
        </w:rPr>
        <w:t>, pour éviter toute ambiguïté, dans le texte qui suit, ces décisions sont libellées «</w:t>
      </w:r>
      <w:r w:rsidR="00196387">
        <w:rPr>
          <w:rFonts w:cs="Arial"/>
          <w:lang w:val="fr-FR"/>
        </w:rPr>
        <w:t> </w:t>
      </w:r>
      <w:r>
        <w:rPr>
          <w:rFonts w:cs="Arial"/>
          <w:lang w:val="fr-FR"/>
        </w:rPr>
        <w:t>décisions du Comité permanent</w:t>
      </w:r>
      <w:r w:rsidR="00196387">
        <w:rPr>
          <w:rFonts w:cs="Arial"/>
          <w:lang w:val="fr-FR"/>
        </w:rPr>
        <w:t> </w:t>
      </w:r>
      <w:r>
        <w:rPr>
          <w:rFonts w:cs="Arial"/>
          <w:lang w:val="fr-FR"/>
        </w:rPr>
        <w:t xml:space="preserve">». </w:t>
      </w:r>
    </w:p>
    <w:p w:rsidR="002C367B" w:rsidRPr="00C005E9" w:rsidRDefault="002C367B" w:rsidP="00C3797E">
      <w:pPr>
        <w:rPr>
          <w:rFonts w:cs="Arial"/>
          <w:lang w:val="fr-FR"/>
        </w:rPr>
      </w:pPr>
    </w:p>
    <w:p w:rsidR="002C367B" w:rsidRPr="00C005E9" w:rsidRDefault="00C005E9" w:rsidP="00C3797E">
      <w:pPr>
        <w:rPr>
          <w:rFonts w:cs="Arial"/>
          <w:lang w:val="fr-FR"/>
        </w:rPr>
      </w:pPr>
      <w:r>
        <w:rPr>
          <w:rFonts w:cs="Arial"/>
          <w:lang w:val="fr-FR"/>
        </w:rPr>
        <w:t>8.</w:t>
      </w:r>
      <w:r>
        <w:rPr>
          <w:rFonts w:cs="Arial"/>
          <w:lang w:val="fr-FR"/>
        </w:rPr>
        <w:tab/>
        <w:t xml:space="preserve">Le Secrétariat a préparé un projet de résolution, </w:t>
      </w:r>
      <w:r w:rsidR="00992922">
        <w:rPr>
          <w:rFonts w:cs="Arial"/>
          <w:lang w:val="fr-FR"/>
        </w:rPr>
        <w:t>figurant</w:t>
      </w:r>
      <w:r>
        <w:rPr>
          <w:rFonts w:cs="Arial"/>
          <w:lang w:val="fr-FR"/>
        </w:rPr>
        <w:t xml:space="preserve"> en annexe</w:t>
      </w:r>
      <w:r w:rsidR="00196387">
        <w:rPr>
          <w:rFonts w:cs="Arial"/>
          <w:lang w:val="fr-FR"/>
        </w:rPr>
        <w:t> </w:t>
      </w:r>
      <w:r>
        <w:rPr>
          <w:rFonts w:cs="Arial"/>
          <w:lang w:val="fr-FR"/>
        </w:rPr>
        <w:t>1, pour atteindre les objectifs définis par la Conférence des Parties et indiqués au paragraphe</w:t>
      </w:r>
      <w:r w:rsidR="00196387">
        <w:rPr>
          <w:rFonts w:cs="Arial"/>
          <w:lang w:val="fr-FR"/>
        </w:rPr>
        <w:t> </w:t>
      </w:r>
      <w:r>
        <w:rPr>
          <w:rFonts w:cs="Arial"/>
          <w:lang w:val="fr-FR"/>
        </w:rPr>
        <w:t>5 ci-dessus. Le texte suivant explique l</w:t>
      </w:r>
      <w:r w:rsidR="00E37382">
        <w:rPr>
          <w:rFonts w:cs="Arial"/>
          <w:lang w:val="fr-FR"/>
        </w:rPr>
        <w:t>’</w:t>
      </w:r>
      <w:r>
        <w:rPr>
          <w:rFonts w:cs="Arial"/>
          <w:lang w:val="fr-FR"/>
        </w:rPr>
        <w:t>approche adoptée pour chacun de ces trois objectifs.</w:t>
      </w:r>
    </w:p>
    <w:p w:rsidR="003C384D" w:rsidRPr="00C005E9" w:rsidRDefault="00C005E9" w:rsidP="00C3797E">
      <w:pPr>
        <w:rPr>
          <w:rFonts w:cs="Arial"/>
          <w:lang w:val="fr-FR"/>
        </w:rPr>
      </w:pPr>
      <w:r w:rsidRPr="00C005E9">
        <w:rPr>
          <w:rFonts w:cs="Arial"/>
          <w:lang w:val="fr-FR"/>
        </w:rPr>
        <w:tab/>
      </w:r>
    </w:p>
    <w:p w:rsidR="003C384D" w:rsidRPr="00C005E9" w:rsidRDefault="00992922" w:rsidP="00B36934">
      <w:pPr>
        <w:keepNext/>
        <w:ind w:left="0" w:firstLine="0"/>
        <w:rPr>
          <w:rFonts w:cs="Arial"/>
          <w:i/>
          <w:lang w:val="fr-FR"/>
        </w:rPr>
      </w:pPr>
      <w:r>
        <w:rPr>
          <w:rFonts w:cs="Arial"/>
          <w:b/>
          <w:bCs/>
          <w:lang w:val="fr-FR"/>
        </w:rPr>
        <w:t>Abrogation d</w:t>
      </w:r>
      <w:r w:rsidR="00C005E9">
        <w:rPr>
          <w:rFonts w:cs="Arial"/>
          <w:b/>
          <w:bCs/>
          <w:lang w:val="fr-FR"/>
        </w:rPr>
        <w:t xml:space="preserve">es </w:t>
      </w:r>
      <w:r w:rsidR="00196387">
        <w:rPr>
          <w:rFonts w:cs="Arial"/>
          <w:b/>
          <w:bCs/>
          <w:lang w:val="fr-FR"/>
        </w:rPr>
        <w:t>résolutions</w:t>
      </w:r>
      <w:r w:rsidR="00C005E9">
        <w:rPr>
          <w:rFonts w:cs="Arial"/>
          <w:b/>
          <w:bCs/>
          <w:lang w:val="fr-FR"/>
        </w:rPr>
        <w:t xml:space="preserve"> de la C</w:t>
      </w:r>
      <w:r>
        <w:rPr>
          <w:rFonts w:cs="Arial"/>
          <w:b/>
          <w:bCs/>
          <w:lang w:val="fr-FR"/>
        </w:rPr>
        <w:t>onférence des Parties et d</w:t>
      </w:r>
      <w:r w:rsidR="00C005E9">
        <w:rPr>
          <w:rFonts w:cs="Arial"/>
          <w:b/>
          <w:bCs/>
          <w:lang w:val="fr-FR"/>
        </w:rPr>
        <w:t xml:space="preserve">es </w:t>
      </w:r>
      <w:r w:rsidR="00196387">
        <w:rPr>
          <w:rFonts w:cs="Arial"/>
          <w:b/>
          <w:bCs/>
          <w:lang w:val="fr-FR"/>
        </w:rPr>
        <w:t>décisions</w:t>
      </w:r>
      <w:r w:rsidR="00C005E9">
        <w:rPr>
          <w:rFonts w:cs="Arial"/>
          <w:b/>
          <w:bCs/>
          <w:lang w:val="fr-FR"/>
        </w:rPr>
        <w:t xml:space="preserve"> du Comité permanent devenues obsolètes</w:t>
      </w:r>
    </w:p>
    <w:p w:rsidR="007378F3" w:rsidRPr="00C005E9" w:rsidRDefault="007378F3" w:rsidP="00C3797E">
      <w:pPr>
        <w:rPr>
          <w:rFonts w:cs="Arial"/>
          <w:lang w:val="fr-FR"/>
        </w:rPr>
      </w:pPr>
    </w:p>
    <w:p w:rsidR="00B45552" w:rsidRPr="00C005E9" w:rsidRDefault="00C005E9" w:rsidP="007378F3">
      <w:pPr>
        <w:rPr>
          <w:rFonts w:cs="Arial"/>
          <w:u w:val="single"/>
          <w:lang w:val="fr-FR"/>
        </w:rPr>
      </w:pPr>
      <w:r>
        <w:rPr>
          <w:rFonts w:cs="Arial"/>
          <w:lang w:val="fr-FR"/>
        </w:rPr>
        <w:tab/>
      </w:r>
      <w:r>
        <w:rPr>
          <w:rFonts w:cs="Arial"/>
          <w:u w:val="single"/>
          <w:lang w:val="fr-FR"/>
        </w:rPr>
        <w:t>Résolutions de la Conférence des Parties :</w:t>
      </w:r>
    </w:p>
    <w:p w:rsidR="00B45552" w:rsidRPr="00C005E9" w:rsidRDefault="00B45552" w:rsidP="007378F3">
      <w:pPr>
        <w:rPr>
          <w:rFonts w:cs="Arial"/>
          <w:lang w:val="fr-FR"/>
        </w:rPr>
      </w:pPr>
    </w:p>
    <w:p w:rsidR="00CE0C72" w:rsidRPr="00C005E9" w:rsidRDefault="00C005E9" w:rsidP="00E77BD0">
      <w:pPr>
        <w:rPr>
          <w:rFonts w:cs="Arial"/>
          <w:lang w:val="fr-FR"/>
        </w:rPr>
      </w:pPr>
      <w:r>
        <w:rPr>
          <w:rFonts w:cs="Arial"/>
          <w:lang w:val="fr-FR"/>
        </w:rPr>
        <w:t>9.</w:t>
      </w:r>
      <w:r>
        <w:rPr>
          <w:rFonts w:cs="Arial"/>
          <w:lang w:val="fr-FR"/>
        </w:rPr>
        <w:tab/>
        <w:t>Conformément à la demande faite au Comité permanent dans la Résolution</w:t>
      </w:r>
      <w:r w:rsidR="00196387">
        <w:rPr>
          <w:rFonts w:cs="Arial"/>
          <w:lang w:val="fr-FR"/>
        </w:rPr>
        <w:t> </w:t>
      </w:r>
      <w:r w:rsidR="00992922">
        <w:rPr>
          <w:rFonts w:cs="Arial"/>
          <w:lang w:val="fr-FR"/>
        </w:rPr>
        <w:t>XIII.4</w:t>
      </w:r>
      <w:r>
        <w:rPr>
          <w:rFonts w:cs="Arial"/>
          <w:lang w:val="fr-FR"/>
        </w:rPr>
        <w:t xml:space="preserve"> de préparer un projet de résolution pour la COP14 afin d</w:t>
      </w:r>
      <w:r w:rsidR="00E37382">
        <w:rPr>
          <w:rFonts w:cs="Arial"/>
          <w:lang w:val="fr-FR"/>
        </w:rPr>
        <w:t>’</w:t>
      </w:r>
      <w:r>
        <w:rPr>
          <w:rFonts w:cs="Arial"/>
          <w:lang w:val="fr-FR"/>
        </w:rPr>
        <w:t>inclure l</w:t>
      </w:r>
      <w:r w:rsidR="00E37382">
        <w:rPr>
          <w:rFonts w:cs="Arial"/>
          <w:lang w:val="fr-FR"/>
        </w:rPr>
        <w:t>’</w:t>
      </w:r>
      <w:r>
        <w:rPr>
          <w:rFonts w:cs="Arial"/>
          <w:lang w:val="fr-FR"/>
        </w:rPr>
        <w:t>abrogation des résolutions et décisions obsolètes, dans la Décision SC58-19.i), le Comité a chargé le Secrétariat de préparer un projet de liste de toutes les résolutions existantes qui sont effectivement caduques et devraient être retirées de la liste des résolutions valides. Le projet de liste est annexé au document</w:t>
      </w:r>
      <w:r w:rsidR="00196387">
        <w:rPr>
          <w:rFonts w:cs="Arial"/>
          <w:lang w:val="fr-FR"/>
        </w:rPr>
        <w:t> </w:t>
      </w:r>
      <w:r>
        <w:rPr>
          <w:rFonts w:cs="Arial"/>
          <w:lang w:val="fr-FR"/>
        </w:rPr>
        <w:t>SC59 Doc.13.2, et est inclus dans le projet de résolution figurant à l</w:t>
      </w:r>
      <w:r w:rsidR="00E37382">
        <w:rPr>
          <w:rFonts w:cs="Arial"/>
          <w:lang w:val="fr-FR"/>
        </w:rPr>
        <w:t>’</w:t>
      </w:r>
      <w:r>
        <w:rPr>
          <w:rFonts w:cs="Arial"/>
          <w:lang w:val="fr-FR"/>
        </w:rPr>
        <w:t>annexe</w:t>
      </w:r>
      <w:r w:rsidR="00196387">
        <w:rPr>
          <w:rFonts w:cs="Arial"/>
          <w:lang w:val="fr-FR"/>
        </w:rPr>
        <w:t> </w:t>
      </w:r>
      <w:r>
        <w:rPr>
          <w:rFonts w:cs="Arial"/>
          <w:lang w:val="fr-FR"/>
        </w:rPr>
        <w:t>1 du présent document.</w:t>
      </w:r>
    </w:p>
    <w:p w:rsidR="00CE0C72" w:rsidRPr="00C005E9" w:rsidRDefault="00CE0C72" w:rsidP="007378F3">
      <w:pPr>
        <w:rPr>
          <w:rFonts w:cs="Arial"/>
          <w:lang w:val="fr-FR"/>
        </w:rPr>
      </w:pPr>
    </w:p>
    <w:p w:rsidR="00CE0C72" w:rsidRPr="00C005E9" w:rsidRDefault="00C005E9" w:rsidP="00CE0C72">
      <w:pPr>
        <w:rPr>
          <w:rFonts w:cs="Arial"/>
          <w:lang w:val="fr-FR"/>
        </w:rPr>
      </w:pPr>
      <w:r>
        <w:rPr>
          <w:rFonts w:cs="Arial"/>
          <w:lang w:val="fr-FR"/>
        </w:rPr>
        <w:t>10.</w:t>
      </w:r>
      <w:r>
        <w:rPr>
          <w:rFonts w:cs="Arial"/>
          <w:lang w:val="fr-FR"/>
        </w:rPr>
        <w:tab/>
        <w:t>Que la Conférence des Parties accepte ou non d</w:t>
      </w:r>
      <w:r w:rsidR="00E37382">
        <w:rPr>
          <w:rFonts w:cs="Arial"/>
          <w:lang w:val="fr-FR"/>
        </w:rPr>
        <w:t>’</w:t>
      </w:r>
      <w:r>
        <w:rPr>
          <w:rFonts w:cs="Arial"/>
          <w:lang w:val="fr-FR"/>
        </w:rPr>
        <w:t xml:space="preserve">abroger les </w:t>
      </w:r>
      <w:r w:rsidR="00196387">
        <w:rPr>
          <w:rFonts w:cs="Arial"/>
          <w:lang w:val="fr-FR"/>
        </w:rPr>
        <w:t>résolutions</w:t>
      </w:r>
      <w:r>
        <w:rPr>
          <w:rFonts w:cs="Arial"/>
          <w:lang w:val="fr-FR"/>
        </w:rPr>
        <w:t xml:space="preserve"> obsolètes de manière groupée, le processus de regroupement des </w:t>
      </w:r>
      <w:r w:rsidR="00196387">
        <w:rPr>
          <w:rFonts w:cs="Arial"/>
          <w:lang w:val="fr-FR"/>
        </w:rPr>
        <w:t>résolutions</w:t>
      </w:r>
      <w:r>
        <w:rPr>
          <w:rFonts w:cs="Arial"/>
          <w:lang w:val="fr-FR"/>
        </w:rPr>
        <w:t xml:space="preserve"> sur chaque sujet, s</w:t>
      </w:r>
      <w:r w:rsidR="00E37382">
        <w:rPr>
          <w:rFonts w:cs="Arial"/>
          <w:lang w:val="fr-FR"/>
        </w:rPr>
        <w:t>’</w:t>
      </w:r>
      <w:r>
        <w:rPr>
          <w:rFonts w:cs="Arial"/>
          <w:lang w:val="fr-FR"/>
        </w:rPr>
        <w:t>il est accepté par la Conférence, permettra d</w:t>
      </w:r>
      <w:r w:rsidR="00E37382">
        <w:rPr>
          <w:rFonts w:cs="Arial"/>
          <w:lang w:val="fr-FR"/>
        </w:rPr>
        <w:t>’</w:t>
      </w:r>
      <w:r>
        <w:rPr>
          <w:rFonts w:cs="Arial"/>
          <w:lang w:val="fr-FR"/>
        </w:rPr>
        <w:t>identifier et d</w:t>
      </w:r>
      <w:r w:rsidR="00E37382">
        <w:rPr>
          <w:rFonts w:cs="Arial"/>
          <w:lang w:val="fr-FR"/>
        </w:rPr>
        <w:t>’</w:t>
      </w:r>
      <w:r>
        <w:rPr>
          <w:rFonts w:cs="Arial"/>
          <w:lang w:val="fr-FR"/>
        </w:rPr>
        <w:t xml:space="preserve">abroger toutes les </w:t>
      </w:r>
      <w:r w:rsidR="00196387">
        <w:rPr>
          <w:rFonts w:cs="Arial"/>
          <w:lang w:val="fr-FR"/>
        </w:rPr>
        <w:t>résolutions</w:t>
      </w:r>
      <w:r>
        <w:rPr>
          <w:rFonts w:cs="Arial"/>
          <w:lang w:val="fr-FR"/>
        </w:rPr>
        <w:t>, ou certaines de leurs parties, qui sont obsolètes. L</w:t>
      </w:r>
      <w:r w:rsidR="00E37382">
        <w:rPr>
          <w:rFonts w:cs="Arial"/>
          <w:lang w:val="fr-FR"/>
        </w:rPr>
        <w:t>’</w:t>
      </w:r>
      <w:r>
        <w:rPr>
          <w:rFonts w:cs="Arial"/>
          <w:lang w:val="fr-FR"/>
        </w:rPr>
        <w:t xml:space="preserve">exemple de résolution regroupée sur les </w:t>
      </w:r>
      <w:r w:rsidR="00196387">
        <w:rPr>
          <w:rFonts w:cs="Arial"/>
          <w:lang w:val="fr-FR"/>
        </w:rPr>
        <w:t>« </w:t>
      </w:r>
      <w:r>
        <w:rPr>
          <w:rFonts w:cs="Arial"/>
          <w:lang w:val="fr-FR"/>
        </w:rPr>
        <w:t>inventaires</w:t>
      </w:r>
      <w:r w:rsidR="00196387">
        <w:rPr>
          <w:rFonts w:cs="Arial"/>
          <w:lang w:val="fr-FR"/>
        </w:rPr>
        <w:t> »</w:t>
      </w:r>
      <w:r>
        <w:rPr>
          <w:rFonts w:cs="Arial"/>
          <w:lang w:val="fr-FR"/>
        </w:rPr>
        <w:t>, présenté dans le document</w:t>
      </w:r>
      <w:r w:rsidR="00196387">
        <w:rPr>
          <w:rFonts w:cs="Arial"/>
          <w:lang w:val="fr-FR"/>
        </w:rPr>
        <w:t> </w:t>
      </w:r>
      <w:r>
        <w:rPr>
          <w:rFonts w:cs="Arial"/>
          <w:lang w:val="fr-FR"/>
        </w:rPr>
        <w:t>SC59 Doc.13.3, montre comment cela peut être réalisé, en suivant une approche utilisée par d</w:t>
      </w:r>
      <w:r w:rsidR="00E37382">
        <w:rPr>
          <w:rFonts w:cs="Arial"/>
          <w:lang w:val="fr-FR"/>
        </w:rPr>
        <w:t>’</w:t>
      </w:r>
      <w:r>
        <w:rPr>
          <w:rFonts w:cs="Arial"/>
          <w:lang w:val="fr-FR"/>
        </w:rPr>
        <w:t>autres traités.</w:t>
      </w:r>
    </w:p>
    <w:p w:rsidR="00B45552" w:rsidRPr="00C005E9" w:rsidRDefault="00B45552" w:rsidP="00CE0C72">
      <w:pPr>
        <w:rPr>
          <w:rFonts w:cs="Arial"/>
          <w:lang w:val="fr-FR"/>
        </w:rPr>
      </w:pPr>
    </w:p>
    <w:p w:rsidR="00B45552" w:rsidRPr="00C005E9" w:rsidRDefault="00C005E9" w:rsidP="00FD03C9">
      <w:pPr>
        <w:ind w:firstLine="0"/>
        <w:rPr>
          <w:rFonts w:cs="Arial"/>
          <w:u w:val="single"/>
          <w:lang w:val="fr-FR"/>
        </w:rPr>
      </w:pPr>
      <w:r>
        <w:rPr>
          <w:rFonts w:cs="Arial"/>
          <w:u w:val="single"/>
          <w:lang w:val="fr-FR"/>
        </w:rPr>
        <w:t>Décisions du Comité permanent</w:t>
      </w:r>
    </w:p>
    <w:p w:rsidR="00CE0C72" w:rsidRPr="00C005E9" w:rsidRDefault="00CE0C72" w:rsidP="00CE0C72">
      <w:pPr>
        <w:rPr>
          <w:rFonts w:cs="Arial"/>
          <w:lang w:val="fr-FR"/>
        </w:rPr>
      </w:pPr>
    </w:p>
    <w:p w:rsidR="006C744E" w:rsidRPr="00C005E9" w:rsidRDefault="00C005E9" w:rsidP="00CE0C72">
      <w:pPr>
        <w:rPr>
          <w:rFonts w:cs="Arial"/>
          <w:lang w:val="fr-FR"/>
        </w:rPr>
      </w:pPr>
      <w:r>
        <w:rPr>
          <w:rFonts w:cs="Arial"/>
          <w:lang w:val="fr-FR"/>
        </w:rPr>
        <w:t>11.</w:t>
      </w:r>
      <w:r>
        <w:rPr>
          <w:rFonts w:cs="Arial"/>
          <w:lang w:val="fr-FR"/>
        </w:rPr>
        <w:tab/>
        <w:t xml:space="preserve">Concernant les </w:t>
      </w:r>
      <w:r w:rsidR="00196387">
        <w:rPr>
          <w:rFonts w:cs="Arial"/>
          <w:lang w:val="fr-FR"/>
        </w:rPr>
        <w:t>décisions</w:t>
      </w:r>
      <w:r>
        <w:rPr>
          <w:rFonts w:cs="Arial"/>
          <w:lang w:val="fr-FR"/>
        </w:rPr>
        <w:t xml:space="preserve"> du Comité permanent, il convient de noter que le Comité a adopté, à ce jour, 1027 </w:t>
      </w:r>
      <w:r w:rsidR="00196387">
        <w:rPr>
          <w:rFonts w:cs="Arial"/>
          <w:lang w:val="fr-FR"/>
        </w:rPr>
        <w:t>décisions</w:t>
      </w:r>
      <w:r>
        <w:rPr>
          <w:rFonts w:cs="Arial"/>
          <w:lang w:val="fr-FR"/>
        </w:rPr>
        <w:t xml:space="preserve">. Par conséquent, examiner individuellement toutes ces </w:t>
      </w:r>
      <w:r w:rsidR="00196387">
        <w:rPr>
          <w:rFonts w:cs="Arial"/>
          <w:lang w:val="fr-FR"/>
        </w:rPr>
        <w:t>décisions</w:t>
      </w:r>
      <w:r>
        <w:rPr>
          <w:rFonts w:cs="Arial"/>
          <w:lang w:val="fr-FR"/>
        </w:rPr>
        <w:t xml:space="preserve"> et décider si elles ont été appliquées ou si certaines parties restent en vigueur serait une tâche immense et consommatrice de temps. L</w:t>
      </w:r>
      <w:r w:rsidR="00E37382">
        <w:rPr>
          <w:rFonts w:cs="Arial"/>
          <w:lang w:val="fr-FR"/>
        </w:rPr>
        <w:t>’</w:t>
      </w:r>
      <w:r>
        <w:rPr>
          <w:rFonts w:cs="Arial"/>
          <w:lang w:val="fr-FR"/>
        </w:rPr>
        <w:t>examen d</w:t>
      </w:r>
      <w:r w:rsidR="00E37382">
        <w:rPr>
          <w:rFonts w:cs="Arial"/>
          <w:lang w:val="fr-FR"/>
        </w:rPr>
        <w:t>’</w:t>
      </w:r>
      <w:r>
        <w:rPr>
          <w:rFonts w:cs="Arial"/>
          <w:lang w:val="fr-FR"/>
        </w:rPr>
        <w:t xml:space="preserve">un tel nombre de </w:t>
      </w:r>
      <w:r w:rsidR="00196387">
        <w:rPr>
          <w:rFonts w:cs="Arial"/>
          <w:lang w:val="fr-FR"/>
        </w:rPr>
        <w:t>décisions</w:t>
      </w:r>
      <w:r>
        <w:rPr>
          <w:rFonts w:cs="Arial"/>
          <w:lang w:val="fr-FR"/>
        </w:rPr>
        <w:t xml:space="preserve"> </w:t>
      </w:r>
      <w:r w:rsidR="00B7278E">
        <w:rPr>
          <w:rFonts w:cs="Arial"/>
          <w:lang w:val="fr-FR"/>
        </w:rPr>
        <w:t>nécessiterait des ressources</w:t>
      </w:r>
      <w:r>
        <w:rPr>
          <w:rFonts w:cs="Arial"/>
          <w:lang w:val="fr-FR"/>
        </w:rPr>
        <w:t xml:space="preserve"> considérable</w:t>
      </w:r>
      <w:r w:rsidR="00B7278E">
        <w:rPr>
          <w:rFonts w:cs="Arial"/>
          <w:lang w:val="fr-FR"/>
        </w:rPr>
        <w:t>s</w:t>
      </w:r>
      <w:r>
        <w:rPr>
          <w:rFonts w:cs="Arial"/>
          <w:lang w:val="fr-FR"/>
        </w:rPr>
        <w:t xml:space="preserve"> de </w:t>
      </w:r>
      <w:r w:rsidR="00B7278E">
        <w:rPr>
          <w:rFonts w:cs="Arial"/>
          <w:lang w:val="fr-FR"/>
        </w:rPr>
        <w:t>la part</w:t>
      </w:r>
      <w:r>
        <w:rPr>
          <w:rFonts w:cs="Arial"/>
          <w:lang w:val="fr-FR"/>
        </w:rPr>
        <w:t xml:space="preserve"> du Comité permanent et du Secrétariat. En outre, il semble que les </w:t>
      </w:r>
      <w:r w:rsidR="00196387">
        <w:rPr>
          <w:rFonts w:cs="Arial"/>
          <w:lang w:val="fr-FR"/>
        </w:rPr>
        <w:t>décisions</w:t>
      </w:r>
      <w:r>
        <w:rPr>
          <w:rFonts w:cs="Arial"/>
          <w:lang w:val="fr-FR"/>
        </w:rPr>
        <w:t xml:space="preserve"> du Comité permanent soient, pour l</w:t>
      </w:r>
      <w:r w:rsidR="00E37382">
        <w:rPr>
          <w:rFonts w:cs="Arial"/>
          <w:lang w:val="fr-FR"/>
        </w:rPr>
        <w:t>’</w:t>
      </w:r>
      <w:r>
        <w:rPr>
          <w:rFonts w:cs="Arial"/>
          <w:lang w:val="fr-FR"/>
        </w:rPr>
        <w:t xml:space="preserve">essentiel, opérationnelles et à court terme par nature. Pour toutes ces raisons, le Secrétariat suggère une approche différente. </w:t>
      </w:r>
    </w:p>
    <w:p w:rsidR="006C744E" w:rsidRPr="00C005E9" w:rsidRDefault="006C744E" w:rsidP="00CE0C72">
      <w:pPr>
        <w:rPr>
          <w:rFonts w:cs="Arial"/>
          <w:lang w:val="fr-FR"/>
        </w:rPr>
      </w:pPr>
    </w:p>
    <w:p w:rsidR="00B44DDB" w:rsidRPr="00C005E9" w:rsidRDefault="00C005E9" w:rsidP="001A0DA6">
      <w:pPr>
        <w:rPr>
          <w:rFonts w:cs="Arial"/>
          <w:lang w:val="fr-FR"/>
        </w:rPr>
      </w:pPr>
      <w:r>
        <w:rPr>
          <w:rFonts w:cs="Arial"/>
          <w:lang w:val="fr-FR"/>
        </w:rPr>
        <w:t>12.</w:t>
      </w:r>
      <w:r>
        <w:rPr>
          <w:rFonts w:cs="Arial"/>
          <w:lang w:val="fr-FR"/>
        </w:rPr>
        <w:tab/>
        <w:t>Une approche possible serait de considérer toutes les décisions adoptées avant la COP11 (ou une autre date à préciser par le Comité permanent) comme n</w:t>
      </w:r>
      <w:r w:rsidR="00E37382">
        <w:rPr>
          <w:rFonts w:cs="Arial"/>
          <w:lang w:val="fr-FR"/>
        </w:rPr>
        <w:t>’</w:t>
      </w:r>
      <w:r>
        <w:rPr>
          <w:rFonts w:cs="Arial"/>
          <w:lang w:val="fr-FR"/>
        </w:rPr>
        <w:t>étant plus en vigueur et de veiller à ce que les organes directeurs de la Convention gardent trace des décisions prises à l</w:t>
      </w:r>
      <w:r w:rsidR="00E37382">
        <w:rPr>
          <w:rFonts w:cs="Arial"/>
          <w:lang w:val="fr-FR"/>
        </w:rPr>
        <w:t>’</w:t>
      </w:r>
      <w:r>
        <w:rPr>
          <w:rFonts w:cs="Arial"/>
          <w:lang w:val="fr-FR"/>
        </w:rPr>
        <w:t>avenir, ainsi que de leur application.</w:t>
      </w:r>
    </w:p>
    <w:p w:rsidR="009D7E98" w:rsidRPr="00C005E9" w:rsidRDefault="009D7E98" w:rsidP="00C3797E">
      <w:pPr>
        <w:rPr>
          <w:rFonts w:cs="Arial"/>
          <w:lang w:val="fr-FR"/>
        </w:rPr>
      </w:pPr>
    </w:p>
    <w:p w:rsidR="00916BF2" w:rsidRPr="00C005E9" w:rsidRDefault="00C005E9" w:rsidP="00B36934">
      <w:pPr>
        <w:keepNext/>
        <w:ind w:left="0" w:firstLine="0"/>
        <w:rPr>
          <w:rFonts w:cs="Arial"/>
          <w:i/>
          <w:lang w:val="fr-FR"/>
        </w:rPr>
      </w:pPr>
      <w:r>
        <w:rPr>
          <w:rFonts w:cs="Arial"/>
          <w:b/>
          <w:bCs/>
          <w:lang w:val="fr-FR"/>
        </w:rPr>
        <w:lastRenderedPageBreak/>
        <w:t>Établissement d</w:t>
      </w:r>
      <w:r w:rsidR="00E37382">
        <w:rPr>
          <w:rFonts w:cs="Arial"/>
          <w:b/>
          <w:bCs/>
          <w:lang w:val="fr-FR"/>
        </w:rPr>
        <w:t>’</w:t>
      </w:r>
      <w:r>
        <w:rPr>
          <w:rFonts w:cs="Arial"/>
          <w:b/>
          <w:bCs/>
          <w:lang w:val="fr-FR"/>
        </w:rPr>
        <w:t>une procédure d</w:t>
      </w:r>
      <w:r w:rsidR="00E37382">
        <w:rPr>
          <w:rFonts w:cs="Arial"/>
          <w:b/>
          <w:bCs/>
          <w:lang w:val="fr-FR"/>
        </w:rPr>
        <w:t>’</w:t>
      </w:r>
      <w:r>
        <w:rPr>
          <w:rFonts w:cs="Arial"/>
          <w:b/>
          <w:bCs/>
          <w:lang w:val="fr-FR"/>
        </w:rPr>
        <w:t>abrogation automatique des résolutions de la Conférence des Parties lorsqu</w:t>
      </w:r>
      <w:r w:rsidR="00E37382">
        <w:rPr>
          <w:rFonts w:cs="Arial"/>
          <w:b/>
          <w:bCs/>
          <w:lang w:val="fr-FR"/>
        </w:rPr>
        <w:t>’</w:t>
      </w:r>
      <w:r>
        <w:rPr>
          <w:rFonts w:cs="Arial"/>
          <w:b/>
          <w:bCs/>
          <w:lang w:val="fr-FR"/>
        </w:rPr>
        <w:t>elles sont obsolètes ou contradictoires et des décisions du Comité permanent lorsqu</w:t>
      </w:r>
      <w:r w:rsidR="00E37382">
        <w:rPr>
          <w:rFonts w:cs="Arial"/>
          <w:b/>
          <w:bCs/>
          <w:lang w:val="fr-FR"/>
        </w:rPr>
        <w:t>’</w:t>
      </w:r>
      <w:r>
        <w:rPr>
          <w:rFonts w:cs="Arial"/>
          <w:b/>
          <w:bCs/>
          <w:lang w:val="fr-FR"/>
        </w:rPr>
        <w:t>elles sont remplacées par de nouveaux textes</w:t>
      </w:r>
    </w:p>
    <w:p w:rsidR="006C199C" w:rsidRPr="00C005E9" w:rsidRDefault="006C199C">
      <w:pPr>
        <w:keepNext/>
        <w:rPr>
          <w:rFonts w:cs="Arial"/>
          <w:lang w:val="fr-FR"/>
        </w:rPr>
      </w:pPr>
    </w:p>
    <w:p w:rsidR="00F13758" w:rsidRPr="00C005E9" w:rsidRDefault="00C005E9" w:rsidP="00FD03C9">
      <w:pPr>
        <w:keepNext/>
        <w:ind w:firstLine="0"/>
        <w:rPr>
          <w:rFonts w:cs="Arial"/>
          <w:u w:val="single"/>
          <w:lang w:val="fr-FR"/>
        </w:rPr>
      </w:pPr>
      <w:r>
        <w:rPr>
          <w:rFonts w:cs="Arial"/>
          <w:u w:val="single"/>
          <w:lang w:val="fr-FR"/>
        </w:rPr>
        <w:t>Résolutions de la Conférence des Parties </w:t>
      </w:r>
    </w:p>
    <w:p w:rsidR="00916BF2" w:rsidRPr="00C005E9" w:rsidRDefault="00916BF2" w:rsidP="00916BF2">
      <w:pPr>
        <w:keepNext/>
        <w:rPr>
          <w:rFonts w:cs="Arial"/>
          <w:lang w:val="fr-FR"/>
        </w:rPr>
      </w:pPr>
    </w:p>
    <w:p w:rsidR="00BB3413" w:rsidRPr="00C005E9" w:rsidRDefault="00C005E9" w:rsidP="00C3797E">
      <w:pPr>
        <w:rPr>
          <w:rFonts w:cs="Arial"/>
          <w:lang w:val="fr-FR"/>
        </w:rPr>
      </w:pPr>
      <w:r>
        <w:rPr>
          <w:rFonts w:cs="Arial"/>
          <w:lang w:val="fr-FR"/>
        </w:rPr>
        <w:t>13.</w:t>
      </w:r>
      <w:r>
        <w:rPr>
          <w:rFonts w:cs="Arial"/>
          <w:lang w:val="fr-FR"/>
        </w:rPr>
        <w:tab/>
        <w:t>Un des objectifs du présent exercice est de mettre en place un processus garantissant qu</w:t>
      </w:r>
      <w:r w:rsidR="00E37382">
        <w:rPr>
          <w:rFonts w:cs="Arial"/>
          <w:lang w:val="fr-FR"/>
        </w:rPr>
        <w:t>’</w:t>
      </w:r>
      <w:r>
        <w:rPr>
          <w:rFonts w:cs="Arial"/>
          <w:lang w:val="fr-FR"/>
        </w:rPr>
        <w:t>à l</w:t>
      </w:r>
      <w:r w:rsidR="00E37382">
        <w:rPr>
          <w:rFonts w:cs="Arial"/>
          <w:lang w:val="fr-FR"/>
        </w:rPr>
        <w:t>’</w:t>
      </w:r>
      <w:r>
        <w:rPr>
          <w:rFonts w:cs="Arial"/>
          <w:lang w:val="fr-FR"/>
        </w:rPr>
        <w:t>avenir, lorsque le processus d</w:t>
      </w:r>
      <w:r w:rsidR="00E37382">
        <w:rPr>
          <w:rFonts w:cs="Arial"/>
          <w:lang w:val="fr-FR"/>
        </w:rPr>
        <w:t>’</w:t>
      </w:r>
      <w:r>
        <w:rPr>
          <w:rFonts w:cs="Arial"/>
          <w:lang w:val="fr-FR"/>
        </w:rPr>
        <w:t>examen sera terminé, l</w:t>
      </w:r>
      <w:r w:rsidR="00E37382">
        <w:rPr>
          <w:rFonts w:cs="Arial"/>
          <w:lang w:val="fr-FR"/>
        </w:rPr>
        <w:t>’</w:t>
      </w:r>
      <w:r>
        <w:rPr>
          <w:rFonts w:cs="Arial"/>
          <w:lang w:val="fr-FR"/>
        </w:rPr>
        <w:t xml:space="preserve">ensemble des </w:t>
      </w:r>
      <w:r w:rsidR="00196387">
        <w:rPr>
          <w:rFonts w:cs="Arial"/>
          <w:lang w:val="fr-FR"/>
        </w:rPr>
        <w:t>résolutions</w:t>
      </w:r>
      <w:r>
        <w:rPr>
          <w:rFonts w:cs="Arial"/>
          <w:lang w:val="fr-FR"/>
        </w:rPr>
        <w:t xml:space="preserve"> ne soit plus aussi difficile à comprendre et à appliquer et qu</w:t>
      </w:r>
      <w:r w:rsidR="00E37382">
        <w:rPr>
          <w:rFonts w:cs="Arial"/>
          <w:lang w:val="fr-FR"/>
        </w:rPr>
        <w:t>’</w:t>
      </w:r>
      <w:r>
        <w:rPr>
          <w:rFonts w:cs="Arial"/>
          <w:lang w:val="fr-FR"/>
        </w:rPr>
        <w:t>il n</w:t>
      </w:r>
      <w:r w:rsidR="00E37382">
        <w:rPr>
          <w:rFonts w:cs="Arial"/>
          <w:lang w:val="fr-FR"/>
        </w:rPr>
        <w:t>’</w:t>
      </w:r>
      <w:r>
        <w:rPr>
          <w:rFonts w:cs="Arial"/>
          <w:lang w:val="fr-FR"/>
        </w:rPr>
        <w:t>y ait plus de recommandations contradictoires ou faisant double emploi sur quelque sujet que ce soit. Pour cela, deux mesures peuvent être prises.</w:t>
      </w:r>
    </w:p>
    <w:p w:rsidR="009108F2" w:rsidRPr="00C005E9" w:rsidRDefault="009108F2" w:rsidP="00C3797E">
      <w:pPr>
        <w:rPr>
          <w:rFonts w:cs="Arial"/>
          <w:lang w:val="fr-FR"/>
        </w:rPr>
      </w:pPr>
    </w:p>
    <w:p w:rsidR="00556284" w:rsidRPr="00C005E9" w:rsidRDefault="00C005E9" w:rsidP="00CE4A12">
      <w:pPr>
        <w:ind w:left="851"/>
        <w:rPr>
          <w:rFonts w:cs="Arial"/>
          <w:lang w:val="fr-FR"/>
        </w:rPr>
      </w:pPr>
      <w:r>
        <w:rPr>
          <w:rFonts w:cs="Arial"/>
          <w:lang w:val="fr-FR"/>
        </w:rPr>
        <w:t xml:space="preserve">a) </w:t>
      </w:r>
      <w:r w:rsidR="00B7278E">
        <w:rPr>
          <w:rFonts w:cs="Arial"/>
          <w:lang w:val="fr-FR"/>
        </w:rPr>
        <w:tab/>
      </w:r>
      <w:r>
        <w:rPr>
          <w:rFonts w:cs="Arial"/>
          <w:lang w:val="fr-FR"/>
        </w:rPr>
        <w:t xml:space="preserve">La première consiste à regrouper les </w:t>
      </w:r>
      <w:r w:rsidR="00196387">
        <w:rPr>
          <w:rFonts w:cs="Arial"/>
          <w:lang w:val="fr-FR"/>
        </w:rPr>
        <w:t>résolutions</w:t>
      </w:r>
      <w:r>
        <w:rPr>
          <w:rFonts w:cs="Arial"/>
          <w:lang w:val="fr-FR"/>
        </w:rPr>
        <w:t xml:space="preserve"> qui traitent du même sujet et à abroger toutes les </w:t>
      </w:r>
      <w:r w:rsidR="00196387">
        <w:rPr>
          <w:rFonts w:cs="Arial"/>
          <w:lang w:val="fr-FR"/>
        </w:rPr>
        <w:t>résolutions</w:t>
      </w:r>
      <w:r>
        <w:rPr>
          <w:rFonts w:cs="Arial"/>
          <w:lang w:val="fr-FR"/>
        </w:rPr>
        <w:t xml:space="preserve"> précédentes sur le même sujet. Le regroupement consiste à compiler les textes existants traitant d</w:t>
      </w:r>
      <w:r w:rsidR="00E37382">
        <w:rPr>
          <w:rFonts w:cs="Arial"/>
          <w:lang w:val="fr-FR"/>
        </w:rPr>
        <w:t>’</w:t>
      </w:r>
      <w:r>
        <w:rPr>
          <w:rFonts w:cs="Arial"/>
          <w:lang w:val="fr-FR"/>
        </w:rPr>
        <w:t xml:space="preserve">un même thème, tout en supprimant les parties de chaque résolution qui sont caduques et en éliminant les conflits et les doublons. Pour </w:t>
      </w:r>
      <w:r w:rsidR="00B7278E">
        <w:rPr>
          <w:rFonts w:cs="Arial"/>
          <w:lang w:val="fr-FR"/>
        </w:rPr>
        <w:t>assurer le succès de ce</w:t>
      </w:r>
      <w:r>
        <w:rPr>
          <w:rFonts w:cs="Arial"/>
          <w:lang w:val="fr-FR"/>
        </w:rPr>
        <w:t xml:space="preserve"> processus, il conviendrait d</w:t>
      </w:r>
      <w:r w:rsidR="00E37382">
        <w:rPr>
          <w:rFonts w:cs="Arial"/>
          <w:lang w:val="fr-FR"/>
        </w:rPr>
        <w:t>’</w:t>
      </w:r>
      <w:r>
        <w:rPr>
          <w:rFonts w:cs="Arial"/>
          <w:lang w:val="fr-FR"/>
        </w:rPr>
        <w:t>adopter deux principes de base pour tout projet de résolution proposé à l</w:t>
      </w:r>
      <w:r w:rsidR="00E37382">
        <w:rPr>
          <w:rFonts w:cs="Arial"/>
          <w:lang w:val="fr-FR"/>
        </w:rPr>
        <w:t>’</w:t>
      </w:r>
      <w:r>
        <w:rPr>
          <w:rFonts w:cs="Arial"/>
          <w:lang w:val="fr-FR"/>
        </w:rPr>
        <w:t>avenir</w:t>
      </w:r>
      <w:r w:rsidR="00196387">
        <w:rPr>
          <w:rFonts w:cs="Arial"/>
          <w:lang w:val="fr-FR"/>
        </w:rPr>
        <w:t> </w:t>
      </w:r>
      <w:r>
        <w:rPr>
          <w:rFonts w:cs="Arial"/>
          <w:lang w:val="fr-FR"/>
        </w:rPr>
        <w:t>:</w:t>
      </w:r>
    </w:p>
    <w:p w:rsidR="00556284" w:rsidRPr="00C005E9" w:rsidRDefault="00556284" w:rsidP="00C3797E">
      <w:pPr>
        <w:rPr>
          <w:rFonts w:cs="Arial"/>
          <w:lang w:val="fr-FR"/>
        </w:rPr>
      </w:pPr>
    </w:p>
    <w:p w:rsidR="00556284" w:rsidRPr="00C005E9" w:rsidRDefault="00C005E9" w:rsidP="00CE4A12">
      <w:pPr>
        <w:ind w:left="1276"/>
        <w:rPr>
          <w:rFonts w:cs="Arial"/>
          <w:lang w:val="fr-FR"/>
        </w:rPr>
      </w:pPr>
      <w:r>
        <w:rPr>
          <w:rFonts w:cs="Arial"/>
          <w:lang w:val="fr-FR"/>
        </w:rPr>
        <w:t>i)</w:t>
      </w:r>
      <w:r>
        <w:rPr>
          <w:rFonts w:cs="Arial"/>
          <w:lang w:val="fr-FR"/>
        </w:rPr>
        <w:tab/>
        <w:t>si un projet de résolution traite d</w:t>
      </w:r>
      <w:r w:rsidR="00E37382">
        <w:rPr>
          <w:rFonts w:cs="Arial"/>
          <w:lang w:val="fr-FR"/>
        </w:rPr>
        <w:t>’</w:t>
      </w:r>
      <w:r>
        <w:rPr>
          <w:rFonts w:cs="Arial"/>
          <w:lang w:val="fr-FR"/>
        </w:rPr>
        <w:t xml:space="preserve">un sujet pour lequel une </w:t>
      </w:r>
      <w:r w:rsidR="00196387">
        <w:rPr>
          <w:rFonts w:cs="Arial"/>
          <w:lang w:val="fr-FR"/>
        </w:rPr>
        <w:t>résolution</w:t>
      </w:r>
      <w:r>
        <w:rPr>
          <w:rFonts w:cs="Arial"/>
          <w:lang w:val="fr-FR"/>
        </w:rPr>
        <w:t xml:space="preserve"> regroupée a déjà été adoptée, le projet doit être présenté de manière à réviser la </w:t>
      </w:r>
      <w:r w:rsidR="00196387">
        <w:rPr>
          <w:rFonts w:cs="Arial"/>
          <w:lang w:val="fr-FR"/>
        </w:rPr>
        <w:t>résolution</w:t>
      </w:r>
      <w:r>
        <w:rPr>
          <w:rFonts w:cs="Arial"/>
          <w:lang w:val="fr-FR"/>
        </w:rPr>
        <w:t xml:space="preserve"> regroupée</w:t>
      </w:r>
      <w:r w:rsidR="00196387">
        <w:rPr>
          <w:rFonts w:cs="Arial"/>
          <w:lang w:val="fr-FR"/>
        </w:rPr>
        <w:t> </w:t>
      </w:r>
      <w:r>
        <w:rPr>
          <w:rFonts w:cs="Arial"/>
          <w:lang w:val="fr-FR"/>
        </w:rPr>
        <w:t xml:space="preserve">; et </w:t>
      </w:r>
    </w:p>
    <w:p w:rsidR="00556284" w:rsidRPr="00C005E9" w:rsidRDefault="00556284" w:rsidP="00CE4A12">
      <w:pPr>
        <w:ind w:left="1276"/>
        <w:rPr>
          <w:rFonts w:cs="Arial"/>
          <w:lang w:val="fr-FR"/>
        </w:rPr>
      </w:pPr>
    </w:p>
    <w:p w:rsidR="00CE0358" w:rsidRPr="00C005E9" w:rsidRDefault="00C005E9" w:rsidP="00CE4A12">
      <w:pPr>
        <w:ind w:left="1276"/>
        <w:rPr>
          <w:rFonts w:cs="Arial"/>
          <w:lang w:val="fr-FR"/>
        </w:rPr>
      </w:pPr>
      <w:r>
        <w:rPr>
          <w:rFonts w:cs="Arial"/>
          <w:lang w:val="fr-FR"/>
        </w:rPr>
        <w:t>ii)</w:t>
      </w:r>
      <w:r>
        <w:rPr>
          <w:rFonts w:cs="Arial"/>
          <w:lang w:val="fr-FR"/>
        </w:rPr>
        <w:tab/>
        <w:t>si un projet de résolution traite d</w:t>
      </w:r>
      <w:r w:rsidR="00E37382">
        <w:rPr>
          <w:rFonts w:cs="Arial"/>
          <w:lang w:val="fr-FR"/>
        </w:rPr>
        <w:t>’</w:t>
      </w:r>
      <w:r>
        <w:rPr>
          <w:rFonts w:cs="Arial"/>
          <w:lang w:val="fr-FR"/>
        </w:rPr>
        <w:t>un sujet déjà couvert par une</w:t>
      </w:r>
      <w:r w:rsidR="00B7278E">
        <w:rPr>
          <w:rFonts w:cs="Arial"/>
          <w:lang w:val="fr-FR"/>
        </w:rPr>
        <w:t xml:space="preserve"> ou plusieurs</w:t>
      </w:r>
      <w:r>
        <w:rPr>
          <w:rFonts w:cs="Arial"/>
          <w:lang w:val="fr-FR"/>
        </w:rPr>
        <w:t xml:space="preserve"> </w:t>
      </w:r>
      <w:r w:rsidR="00196387">
        <w:rPr>
          <w:rFonts w:cs="Arial"/>
          <w:lang w:val="fr-FR"/>
        </w:rPr>
        <w:t>résolution</w:t>
      </w:r>
      <w:r w:rsidR="00B7278E">
        <w:rPr>
          <w:rFonts w:cs="Arial"/>
          <w:lang w:val="fr-FR"/>
        </w:rPr>
        <w:t>s</w:t>
      </w:r>
      <w:r>
        <w:rPr>
          <w:rFonts w:cs="Arial"/>
          <w:lang w:val="fr-FR"/>
        </w:rPr>
        <w:t xml:space="preserve"> existante</w:t>
      </w:r>
      <w:r w:rsidR="00B7278E">
        <w:rPr>
          <w:rFonts w:cs="Arial"/>
          <w:lang w:val="fr-FR"/>
        </w:rPr>
        <w:t xml:space="preserve">s </w:t>
      </w:r>
      <w:r>
        <w:rPr>
          <w:rFonts w:cs="Arial"/>
          <w:lang w:val="fr-FR"/>
        </w:rPr>
        <w:t>n</w:t>
      </w:r>
      <w:r w:rsidR="00E37382">
        <w:rPr>
          <w:rFonts w:cs="Arial"/>
          <w:lang w:val="fr-FR"/>
        </w:rPr>
        <w:t>’</w:t>
      </w:r>
      <w:r>
        <w:rPr>
          <w:rFonts w:cs="Arial"/>
          <w:lang w:val="fr-FR"/>
        </w:rPr>
        <w:t>ayant pas fait l</w:t>
      </w:r>
      <w:r w:rsidR="00E37382">
        <w:rPr>
          <w:rFonts w:cs="Arial"/>
          <w:lang w:val="fr-FR"/>
        </w:rPr>
        <w:t>’</w:t>
      </w:r>
      <w:r>
        <w:rPr>
          <w:rFonts w:cs="Arial"/>
          <w:lang w:val="fr-FR"/>
        </w:rPr>
        <w:t>objet d</w:t>
      </w:r>
      <w:r w:rsidR="00E37382">
        <w:rPr>
          <w:rFonts w:cs="Arial"/>
          <w:lang w:val="fr-FR"/>
        </w:rPr>
        <w:t>’</w:t>
      </w:r>
      <w:r>
        <w:rPr>
          <w:rFonts w:cs="Arial"/>
          <w:lang w:val="fr-FR"/>
        </w:rPr>
        <w:t>un regroupement</w:t>
      </w:r>
      <w:r w:rsidR="00196387">
        <w:rPr>
          <w:rFonts w:cs="Arial"/>
          <w:lang w:val="fr-FR"/>
        </w:rPr>
        <w:t> </w:t>
      </w:r>
      <w:r>
        <w:rPr>
          <w:rFonts w:cs="Arial"/>
          <w:lang w:val="fr-FR"/>
        </w:rPr>
        <w:t xml:space="preserve">:  </w:t>
      </w:r>
    </w:p>
    <w:p w:rsidR="00CE0358" w:rsidRPr="00C005E9" w:rsidRDefault="00C005E9" w:rsidP="00CE4A12">
      <w:pPr>
        <w:ind w:left="1701"/>
        <w:rPr>
          <w:rFonts w:cs="Arial"/>
          <w:lang w:val="fr-FR"/>
        </w:rPr>
      </w:pPr>
      <w:r>
        <w:rPr>
          <w:rFonts w:cs="Arial"/>
          <w:lang w:val="fr-FR"/>
        </w:rPr>
        <w:t xml:space="preserve">- </w:t>
      </w:r>
      <w:r>
        <w:rPr>
          <w:rFonts w:cs="Arial"/>
          <w:lang w:val="fr-FR"/>
        </w:rPr>
        <w:tab/>
        <w:t xml:space="preserve">le préambule doit rappeler toutes les </w:t>
      </w:r>
      <w:r w:rsidR="00196387">
        <w:rPr>
          <w:rFonts w:cs="Arial"/>
          <w:lang w:val="fr-FR"/>
        </w:rPr>
        <w:t>résolutions</w:t>
      </w:r>
      <w:r>
        <w:rPr>
          <w:rFonts w:cs="Arial"/>
          <w:lang w:val="fr-FR"/>
        </w:rPr>
        <w:t xml:space="preserve"> existantes sur le même sujet</w:t>
      </w:r>
      <w:r w:rsidR="00196387">
        <w:rPr>
          <w:rFonts w:cs="Arial"/>
          <w:lang w:val="fr-FR"/>
        </w:rPr>
        <w:t> </w:t>
      </w:r>
      <w:r>
        <w:rPr>
          <w:rFonts w:cs="Arial"/>
          <w:lang w:val="fr-FR"/>
        </w:rPr>
        <w:t>;</w:t>
      </w:r>
    </w:p>
    <w:p w:rsidR="002F2A7B" w:rsidRPr="00C005E9" w:rsidRDefault="00C005E9" w:rsidP="00CE4A12">
      <w:pPr>
        <w:ind w:left="1701"/>
        <w:rPr>
          <w:rFonts w:cs="Arial"/>
          <w:lang w:val="fr-FR"/>
        </w:rPr>
      </w:pPr>
      <w:r>
        <w:rPr>
          <w:rFonts w:cs="Arial"/>
          <w:lang w:val="fr-FR"/>
        </w:rPr>
        <w:t xml:space="preserve">- </w:t>
      </w:r>
      <w:r>
        <w:rPr>
          <w:rFonts w:cs="Arial"/>
          <w:lang w:val="fr-FR"/>
        </w:rPr>
        <w:tab/>
        <w:t>les recommandations contenues dans le projet ne doivent pas faire double emploi avec une recommandation existante</w:t>
      </w:r>
      <w:r w:rsidR="00196387">
        <w:rPr>
          <w:rFonts w:cs="Arial"/>
          <w:lang w:val="fr-FR"/>
        </w:rPr>
        <w:t> </w:t>
      </w:r>
      <w:r>
        <w:rPr>
          <w:rFonts w:cs="Arial"/>
          <w:lang w:val="fr-FR"/>
        </w:rPr>
        <w:t xml:space="preserve">; et  </w:t>
      </w:r>
    </w:p>
    <w:p w:rsidR="00CE0358" w:rsidRPr="00C005E9" w:rsidRDefault="00C005E9" w:rsidP="00CE4A12">
      <w:pPr>
        <w:ind w:left="1701"/>
        <w:rPr>
          <w:rFonts w:cs="Arial"/>
          <w:lang w:val="fr-FR"/>
        </w:rPr>
      </w:pPr>
      <w:r>
        <w:rPr>
          <w:rFonts w:cs="Arial"/>
          <w:lang w:val="fr-FR"/>
        </w:rPr>
        <w:t xml:space="preserve">- </w:t>
      </w:r>
      <w:r>
        <w:rPr>
          <w:rFonts w:cs="Arial"/>
          <w:lang w:val="fr-FR"/>
        </w:rPr>
        <w:tab/>
        <w:t>si les recommandations du projet sont en conflit avec une recommandation déjà existante, le projet doit indiquer l</w:t>
      </w:r>
      <w:r w:rsidR="00E37382">
        <w:rPr>
          <w:rFonts w:cs="Arial"/>
          <w:lang w:val="fr-FR"/>
        </w:rPr>
        <w:t>’</w:t>
      </w:r>
      <w:r>
        <w:rPr>
          <w:rFonts w:cs="Arial"/>
          <w:lang w:val="fr-FR"/>
        </w:rPr>
        <w:t>abrogation de l</w:t>
      </w:r>
      <w:r w:rsidR="00E37382">
        <w:rPr>
          <w:rFonts w:cs="Arial"/>
          <w:lang w:val="fr-FR"/>
        </w:rPr>
        <w:t>’</w:t>
      </w:r>
      <w:r>
        <w:rPr>
          <w:rFonts w:cs="Arial"/>
          <w:lang w:val="fr-FR"/>
        </w:rPr>
        <w:t xml:space="preserve">avis existant.  </w:t>
      </w:r>
    </w:p>
    <w:p w:rsidR="00CE4A12" w:rsidRPr="00C005E9" w:rsidRDefault="00CE4A12" w:rsidP="00CE4A12">
      <w:pPr>
        <w:ind w:left="1191" w:hanging="57"/>
        <w:rPr>
          <w:rFonts w:cs="Arial"/>
          <w:lang w:val="fr-FR"/>
        </w:rPr>
      </w:pPr>
    </w:p>
    <w:p w:rsidR="00211984" w:rsidRPr="00C005E9" w:rsidRDefault="00C005E9" w:rsidP="008E09B1">
      <w:pPr>
        <w:ind w:left="851"/>
        <w:rPr>
          <w:rFonts w:cs="Arial"/>
          <w:lang w:val="fr-FR"/>
        </w:rPr>
      </w:pPr>
      <w:r>
        <w:rPr>
          <w:rFonts w:cs="Arial"/>
          <w:lang w:val="fr-FR"/>
        </w:rPr>
        <w:tab/>
        <w:t xml:space="preserve">Il importe de noter que, si une </w:t>
      </w:r>
      <w:r w:rsidR="00196387">
        <w:rPr>
          <w:rFonts w:cs="Arial"/>
          <w:lang w:val="fr-FR"/>
        </w:rPr>
        <w:t>résolution</w:t>
      </w:r>
      <w:r>
        <w:rPr>
          <w:rFonts w:cs="Arial"/>
          <w:lang w:val="fr-FR"/>
        </w:rPr>
        <w:t xml:space="preserve"> existante est abrogée par la Conférence des Parties, elle reste cependant dans les registres pour refléter l</w:t>
      </w:r>
      <w:r w:rsidR="00E37382">
        <w:rPr>
          <w:rFonts w:cs="Arial"/>
          <w:lang w:val="fr-FR"/>
        </w:rPr>
        <w:t>’</w:t>
      </w:r>
      <w:r>
        <w:rPr>
          <w:rFonts w:cs="Arial"/>
          <w:lang w:val="fr-FR"/>
        </w:rPr>
        <w:t>accord de la Conférence au moment de son adoption.</w:t>
      </w:r>
    </w:p>
    <w:p w:rsidR="00556284" w:rsidRPr="00C005E9" w:rsidRDefault="00556284" w:rsidP="00C3797E">
      <w:pPr>
        <w:rPr>
          <w:rFonts w:cs="Arial"/>
          <w:lang w:val="fr-FR"/>
        </w:rPr>
      </w:pPr>
    </w:p>
    <w:p w:rsidR="00AA2C9C" w:rsidRPr="00C005E9" w:rsidRDefault="00C005E9" w:rsidP="00BB3D72">
      <w:pPr>
        <w:ind w:left="851"/>
        <w:rPr>
          <w:rFonts w:cs="Arial"/>
          <w:lang w:val="fr-FR"/>
        </w:rPr>
      </w:pPr>
      <w:r>
        <w:rPr>
          <w:rFonts w:cs="Arial"/>
          <w:lang w:val="fr-FR"/>
        </w:rPr>
        <w:t>b)</w:t>
      </w:r>
      <w:r>
        <w:rPr>
          <w:rFonts w:cs="Arial"/>
          <w:lang w:val="fr-FR"/>
        </w:rPr>
        <w:tab/>
        <w:t>La deuxième mesure serait que la Conférence des Parties convienne qu</w:t>
      </w:r>
      <w:r w:rsidR="00E37382">
        <w:rPr>
          <w:rFonts w:cs="Arial"/>
          <w:lang w:val="fr-FR"/>
        </w:rPr>
        <w:t>’</w:t>
      </w:r>
      <w:r>
        <w:rPr>
          <w:rFonts w:cs="Arial"/>
          <w:lang w:val="fr-FR"/>
        </w:rPr>
        <w:t xml:space="preserve">à partir de la COP14, le Secrétariat maintiendra, séparément de la liste des </w:t>
      </w:r>
      <w:r w:rsidR="00196387">
        <w:rPr>
          <w:rFonts w:cs="Arial"/>
          <w:lang w:val="fr-FR"/>
        </w:rPr>
        <w:t>résolutions</w:t>
      </w:r>
      <w:r>
        <w:rPr>
          <w:rFonts w:cs="Arial"/>
          <w:lang w:val="fr-FR"/>
        </w:rPr>
        <w:t xml:space="preserve">, une liste des autres </w:t>
      </w:r>
      <w:r w:rsidR="00196387">
        <w:rPr>
          <w:rFonts w:cs="Arial"/>
          <w:lang w:val="fr-FR"/>
        </w:rPr>
        <w:t>« décisions</w:t>
      </w:r>
      <w:r>
        <w:rPr>
          <w:rFonts w:cs="Arial"/>
          <w:lang w:val="fr-FR"/>
        </w:rPr>
        <w:t xml:space="preserve"> de la Conférence des Parties</w:t>
      </w:r>
      <w:r w:rsidR="00196387">
        <w:rPr>
          <w:rFonts w:cs="Arial"/>
          <w:lang w:val="fr-FR"/>
        </w:rPr>
        <w:t> »</w:t>
      </w:r>
      <w:r>
        <w:rPr>
          <w:rFonts w:cs="Arial"/>
          <w:lang w:val="fr-FR"/>
        </w:rPr>
        <w:t xml:space="preserve"> qui comprendra toutes les décisions pr</w:t>
      </w:r>
      <w:r w:rsidR="00D81CD9">
        <w:rPr>
          <w:rFonts w:cs="Arial"/>
          <w:lang w:val="fr-FR"/>
        </w:rPr>
        <w:t>ises par la Conférence à sa 14</w:t>
      </w:r>
      <w:r w:rsidR="00D81CD9" w:rsidRPr="00D81CD9">
        <w:rPr>
          <w:rFonts w:cs="Arial"/>
          <w:vertAlign w:val="superscript"/>
          <w:lang w:val="fr-FR"/>
        </w:rPr>
        <w:t>e</w:t>
      </w:r>
      <w:r w:rsidR="00D81CD9">
        <w:rPr>
          <w:rFonts w:cs="Arial"/>
          <w:lang w:val="fr-FR"/>
        </w:rPr>
        <w:t> </w:t>
      </w:r>
      <w:r>
        <w:rPr>
          <w:rFonts w:cs="Arial"/>
          <w:lang w:val="fr-FR"/>
        </w:rPr>
        <w:t>Session et aux sessions futures qui contiennent des instructions aux organes de la Convention et d</w:t>
      </w:r>
      <w:r w:rsidR="00E37382">
        <w:rPr>
          <w:rFonts w:cs="Arial"/>
          <w:lang w:val="fr-FR"/>
        </w:rPr>
        <w:t>’</w:t>
      </w:r>
      <w:r>
        <w:rPr>
          <w:rFonts w:cs="Arial"/>
          <w:lang w:val="fr-FR"/>
        </w:rPr>
        <w:t xml:space="preserve">autres textes limités dans le temps, avec un effet à court terme. Si cela est accepté par la Conférence, le Secrétariat mettra à jour la liste après chaque session de la Conférence, en incluant toutes les nouvelles </w:t>
      </w:r>
      <w:r w:rsidR="00196387">
        <w:rPr>
          <w:rFonts w:cs="Arial"/>
          <w:lang w:val="fr-FR"/>
        </w:rPr>
        <w:t>décisions</w:t>
      </w:r>
      <w:r>
        <w:rPr>
          <w:rFonts w:cs="Arial"/>
          <w:lang w:val="fr-FR"/>
        </w:rPr>
        <w:t xml:space="preserve"> de la COP, en supprimant toutes les </w:t>
      </w:r>
      <w:r w:rsidR="00196387">
        <w:rPr>
          <w:rFonts w:cs="Arial"/>
          <w:lang w:val="fr-FR"/>
        </w:rPr>
        <w:t>décisions</w:t>
      </w:r>
      <w:r>
        <w:rPr>
          <w:rFonts w:cs="Arial"/>
          <w:lang w:val="fr-FR"/>
        </w:rPr>
        <w:t xml:space="preserve"> qui ont été appliquées, et en révisant et mettant à jour toutes les </w:t>
      </w:r>
      <w:r w:rsidR="00196387">
        <w:rPr>
          <w:rFonts w:cs="Arial"/>
          <w:lang w:val="fr-FR"/>
        </w:rPr>
        <w:t>décisions</w:t>
      </w:r>
      <w:r>
        <w:rPr>
          <w:rFonts w:cs="Arial"/>
          <w:lang w:val="fr-FR"/>
        </w:rPr>
        <w:t xml:space="preserve"> existantes si des révisions sont convenues pendant la session de la COP.</w:t>
      </w:r>
    </w:p>
    <w:p w:rsidR="00852D89" w:rsidRPr="00C005E9" w:rsidRDefault="00852D89" w:rsidP="00C3797E">
      <w:pPr>
        <w:rPr>
          <w:rFonts w:cs="Arial"/>
          <w:lang w:val="fr-FR"/>
        </w:rPr>
      </w:pPr>
    </w:p>
    <w:p w:rsidR="00811D2C" w:rsidRPr="00C005E9" w:rsidRDefault="00C005E9" w:rsidP="008F2877">
      <w:pPr>
        <w:rPr>
          <w:rFonts w:cs="Arial"/>
          <w:lang w:val="fr-FR"/>
        </w:rPr>
      </w:pPr>
      <w:r>
        <w:rPr>
          <w:rFonts w:cs="Arial"/>
          <w:lang w:val="fr-FR"/>
        </w:rPr>
        <w:t>14.</w:t>
      </w:r>
      <w:r>
        <w:rPr>
          <w:rFonts w:cs="Arial"/>
          <w:lang w:val="fr-FR"/>
        </w:rPr>
        <w:tab/>
        <w:t>L</w:t>
      </w:r>
      <w:r w:rsidR="00E37382">
        <w:rPr>
          <w:rFonts w:cs="Arial"/>
          <w:lang w:val="fr-FR"/>
        </w:rPr>
        <w:t>’</w:t>
      </w:r>
      <w:r>
        <w:rPr>
          <w:rFonts w:cs="Arial"/>
          <w:lang w:val="fr-FR"/>
        </w:rPr>
        <w:t xml:space="preserve">étape supplémentaire qui est nécessaire pour soutenir ces mesures est que la Conférence des Parties fournisse des orientations claires aux Parties et au Secrétariat sur </w:t>
      </w:r>
      <w:r>
        <w:rPr>
          <w:rFonts w:cs="Calibri"/>
          <w:lang w:val="fr-FR"/>
        </w:rPr>
        <w:t>le meilleur moyen d</w:t>
      </w:r>
      <w:r w:rsidR="00E37382">
        <w:rPr>
          <w:rFonts w:cs="Calibri"/>
          <w:lang w:val="fr-FR"/>
        </w:rPr>
        <w:t>’</w:t>
      </w:r>
      <w:r>
        <w:rPr>
          <w:rFonts w:cs="Calibri"/>
          <w:lang w:val="fr-FR"/>
        </w:rPr>
        <w:t>adopter les décisions de la Conférence et de les enregistrer à l</w:t>
      </w:r>
      <w:r w:rsidR="00E37382">
        <w:rPr>
          <w:rFonts w:cs="Calibri"/>
          <w:lang w:val="fr-FR"/>
        </w:rPr>
        <w:t>’</w:t>
      </w:r>
      <w:r>
        <w:rPr>
          <w:rFonts w:cs="Calibri"/>
          <w:lang w:val="fr-FR"/>
        </w:rPr>
        <w:t xml:space="preserve">avenir. Cette étape est nécessaire non seulement pour éviter une prolifération de </w:t>
      </w:r>
      <w:r w:rsidR="00196387">
        <w:rPr>
          <w:rFonts w:cs="Calibri"/>
          <w:lang w:val="fr-FR"/>
        </w:rPr>
        <w:t>résolutions</w:t>
      </w:r>
      <w:r>
        <w:rPr>
          <w:rFonts w:cs="Calibri"/>
          <w:lang w:val="fr-FR"/>
        </w:rPr>
        <w:t xml:space="preserve"> sur le même sujet</w:t>
      </w:r>
      <w:r w:rsidR="00196387">
        <w:rPr>
          <w:rFonts w:cs="Calibri"/>
          <w:lang w:val="fr-FR"/>
        </w:rPr>
        <w:t>,</w:t>
      </w:r>
      <w:r>
        <w:rPr>
          <w:rFonts w:cs="Calibri"/>
          <w:lang w:val="fr-FR"/>
        </w:rPr>
        <w:t xml:space="preserve"> mais aussi pour garantir que les </w:t>
      </w:r>
      <w:r w:rsidR="00196387">
        <w:rPr>
          <w:rFonts w:cs="Calibri"/>
          <w:lang w:val="fr-FR"/>
        </w:rPr>
        <w:t>résolutions</w:t>
      </w:r>
      <w:r>
        <w:rPr>
          <w:rFonts w:cs="Calibri"/>
          <w:lang w:val="fr-FR"/>
        </w:rPr>
        <w:t>, en tant qu</w:t>
      </w:r>
      <w:r w:rsidR="00E37382">
        <w:rPr>
          <w:rFonts w:cs="Calibri"/>
          <w:lang w:val="fr-FR"/>
        </w:rPr>
        <w:t>’</w:t>
      </w:r>
      <w:r>
        <w:rPr>
          <w:rFonts w:cs="Calibri"/>
          <w:lang w:val="fr-FR"/>
        </w:rPr>
        <w:t xml:space="preserve">instruments </w:t>
      </w:r>
      <w:r w:rsidR="00196387">
        <w:rPr>
          <w:rFonts w:cs="Calibri"/>
          <w:lang w:val="fr-FR"/>
        </w:rPr>
        <w:t>« </w:t>
      </w:r>
      <w:r>
        <w:rPr>
          <w:rFonts w:cs="Calibri"/>
          <w:lang w:val="fr-FR"/>
        </w:rPr>
        <w:t>non contraignants</w:t>
      </w:r>
      <w:r w:rsidR="00196387">
        <w:rPr>
          <w:rFonts w:cs="Calibri"/>
          <w:lang w:val="fr-FR"/>
        </w:rPr>
        <w:t> »</w:t>
      </w:r>
      <w:r>
        <w:rPr>
          <w:rFonts w:cs="Calibri"/>
          <w:lang w:val="fr-FR"/>
        </w:rPr>
        <w:t xml:space="preserve"> de la </w:t>
      </w:r>
      <w:r>
        <w:rPr>
          <w:rFonts w:cs="Calibri"/>
          <w:lang w:val="fr-FR"/>
        </w:rPr>
        <w:lastRenderedPageBreak/>
        <w:t>Convention, contiennent ce qu</w:t>
      </w:r>
      <w:r w:rsidR="00E37382">
        <w:rPr>
          <w:rFonts w:cs="Calibri"/>
          <w:lang w:val="fr-FR"/>
        </w:rPr>
        <w:t>’</w:t>
      </w:r>
      <w:r>
        <w:rPr>
          <w:rFonts w:cs="Calibri"/>
          <w:lang w:val="fr-FR"/>
        </w:rPr>
        <w:t>elles doivent contenir et rien d</w:t>
      </w:r>
      <w:r w:rsidR="00E37382">
        <w:rPr>
          <w:rFonts w:cs="Calibri"/>
          <w:lang w:val="fr-FR"/>
        </w:rPr>
        <w:t>’</w:t>
      </w:r>
      <w:r>
        <w:rPr>
          <w:rFonts w:cs="Calibri"/>
          <w:lang w:val="fr-FR"/>
        </w:rPr>
        <w:t xml:space="preserve">autre, et ne comportent pas de texte qui devienne rapidement obsolète. À cette fin, dans la Décision SC58-19.ii., le Comité permanent a demandé des </w:t>
      </w:r>
      <w:r>
        <w:rPr>
          <w:rFonts w:cs="Arial"/>
          <w:lang w:val="fr-FR"/>
        </w:rPr>
        <w:t>lignes directrices sur la préparation et l</w:t>
      </w:r>
      <w:r w:rsidR="00E37382">
        <w:rPr>
          <w:rFonts w:cs="Arial"/>
          <w:lang w:val="fr-FR"/>
        </w:rPr>
        <w:t>’</w:t>
      </w:r>
      <w:r>
        <w:rPr>
          <w:rFonts w:cs="Arial"/>
          <w:lang w:val="fr-FR"/>
        </w:rPr>
        <w:t>enregistrement des futures décisions de la Conférence des Parties contractantes ; et un projet a été fourni dans l</w:t>
      </w:r>
      <w:r w:rsidR="00E37382">
        <w:rPr>
          <w:rFonts w:cs="Arial"/>
          <w:lang w:val="fr-FR"/>
        </w:rPr>
        <w:t>’</w:t>
      </w:r>
      <w:r>
        <w:rPr>
          <w:rFonts w:cs="Arial"/>
          <w:lang w:val="fr-FR"/>
        </w:rPr>
        <w:t>annexe</w:t>
      </w:r>
      <w:r w:rsidR="00196387">
        <w:rPr>
          <w:rFonts w:cs="Arial"/>
          <w:lang w:val="fr-FR"/>
        </w:rPr>
        <w:t> </w:t>
      </w:r>
      <w:r>
        <w:rPr>
          <w:rFonts w:cs="Arial"/>
          <w:lang w:val="fr-FR"/>
        </w:rPr>
        <w:t>1 du document</w:t>
      </w:r>
      <w:r w:rsidR="00196387">
        <w:rPr>
          <w:rFonts w:cs="Arial"/>
          <w:lang w:val="fr-FR"/>
        </w:rPr>
        <w:t> </w:t>
      </w:r>
      <w:r>
        <w:rPr>
          <w:rFonts w:cs="Arial"/>
          <w:lang w:val="fr-FR"/>
        </w:rPr>
        <w:t>SC57 Doc.14.</w:t>
      </w:r>
    </w:p>
    <w:p w:rsidR="00811D2C" w:rsidRPr="00C005E9" w:rsidRDefault="00811D2C" w:rsidP="008F2877">
      <w:pPr>
        <w:rPr>
          <w:rFonts w:cs="Arial"/>
          <w:lang w:val="fr-FR"/>
        </w:rPr>
      </w:pPr>
    </w:p>
    <w:p w:rsidR="00122205" w:rsidRPr="00C005E9" w:rsidRDefault="00C005E9" w:rsidP="00811D2C">
      <w:pPr>
        <w:rPr>
          <w:rFonts w:cs="Arial"/>
          <w:lang w:val="fr-FR"/>
        </w:rPr>
      </w:pPr>
      <w:r>
        <w:rPr>
          <w:rFonts w:cs="Arial"/>
          <w:lang w:val="fr-FR"/>
        </w:rPr>
        <w:t>15.</w:t>
      </w:r>
      <w:r>
        <w:rPr>
          <w:rFonts w:cs="Arial"/>
          <w:lang w:val="fr-FR"/>
        </w:rPr>
        <w:tab/>
        <w:t>Un projet de résolution visant à mettre en place les processus demandés par la Conférence des Parties figure à l</w:t>
      </w:r>
      <w:r w:rsidR="00E37382">
        <w:rPr>
          <w:rFonts w:cs="Arial"/>
          <w:lang w:val="fr-FR"/>
        </w:rPr>
        <w:t>’</w:t>
      </w:r>
      <w:r>
        <w:rPr>
          <w:rFonts w:cs="Arial"/>
          <w:lang w:val="fr-FR"/>
        </w:rPr>
        <w:t>annexe</w:t>
      </w:r>
      <w:r w:rsidR="00196387">
        <w:rPr>
          <w:rFonts w:cs="Arial"/>
          <w:lang w:val="fr-FR"/>
        </w:rPr>
        <w:t> </w:t>
      </w:r>
      <w:r>
        <w:rPr>
          <w:rFonts w:cs="Arial"/>
          <w:lang w:val="fr-FR"/>
        </w:rPr>
        <w:t>1 du présent document. Il comprend un texte sur la mise en œuvre des mesures mentionnées ci-dessus. Il comprend également, en annexe, le projet de liste des résolutions caduques et les lignes directrices pour la préparation et l</w:t>
      </w:r>
      <w:r w:rsidR="00E37382">
        <w:rPr>
          <w:rFonts w:cs="Arial"/>
          <w:lang w:val="fr-FR"/>
        </w:rPr>
        <w:t>’</w:t>
      </w:r>
      <w:r>
        <w:rPr>
          <w:rFonts w:cs="Arial"/>
          <w:lang w:val="fr-FR"/>
        </w:rPr>
        <w:t xml:space="preserve">enregistrement des futures </w:t>
      </w:r>
      <w:r w:rsidR="00196387">
        <w:rPr>
          <w:rFonts w:cs="Arial"/>
          <w:lang w:val="fr-FR"/>
        </w:rPr>
        <w:t>résolutions</w:t>
      </w:r>
      <w:r>
        <w:rPr>
          <w:rFonts w:cs="Arial"/>
          <w:lang w:val="fr-FR"/>
        </w:rPr>
        <w:t xml:space="preserve"> et </w:t>
      </w:r>
      <w:r w:rsidR="00196387">
        <w:rPr>
          <w:rFonts w:cs="Arial"/>
          <w:lang w:val="fr-FR"/>
        </w:rPr>
        <w:t>décisions</w:t>
      </w:r>
      <w:r>
        <w:rPr>
          <w:rFonts w:cs="Arial"/>
          <w:lang w:val="fr-FR"/>
        </w:rPr>
        <w:t xml:space="preserve"> de la Conférence des Parties. Les lignes directrices sont basée</w:t>
      </w:r>
      <w:r w:rsidR="00D81CD9">
        <w:rPr>
          <w:rFonts w:cs="Arial"/>
          <w:lang w:val="fr-FR"/>
        </w:rPr>
        <w:t>s sur le projet fourni à la 57</w:t>
      </w:r>
      <w:r w:rsidR="00D81CD9" w:rsidRPr="00D81CD9">
        <w:rPr>
          <w:rFonts w:cs="Arial"/>
          <w:vertAlign w:val="superscript"/>
          <w:lang w:val="fr-FR"/>
        </w:rPr>
        <w:t>e</w:t>
      </w:r>
      <w:r w:rsidR="00D81CD9">
        <w:rPr>
          <w:rFonts w:cs="Arial"/>
          <w:lang w:val="fr-FR"/>
        </w:rPr>
        <w:t> </w:t>
      </w:r>
      <w:r>
        <w:rPr>
          <w:rFonts w:cs="Arial"/>
          <w:lang w:val="fr-FR"/>
        </w:rPr>
        <w:t>Réunion du Comité permanent (SC57).</w:t>
      </w:r>
    </w:p>
    <w:p w:rsidR="00122205" w:rsidRPr="00C005E9" w:rsidRDefault="00122205" w:rsidP="00122205">
      <w:pPr>
        <w:rPr>
          <w:rFonts w:cs="Arial"/>
          <w:lang w:val="fr-FR"/>
        </w:rPr>
      </w:pPr>
    </w:p>
    <w:p w:rsidR="00916BF2" w:rsidRPr="00C005E9" w:rsidRDefault="00C005E9" w:rsidP="00916BF2">
      <w:pPr>
        <w:keepNext/>
        <w:rPr>
          <w:rFonts w:cs="Arial"/>
          <w:u w:val="single"/>
          <w:lang w:val="fr-FR"/>
        </w:rPr>
      </w:pPr>
      <w:r>
        <w:rPr>
          <w:rFonts w:cs="Arial"/>
          <w:lang w:val="fr-FR"/>
        </w:rPr>
        <w:tab/>
      </w:r>
      <w:r>
        <w:rPr>
          <w:rFonts w:cs="Arial"/>
          <w:u w:val="single"/>
          <w:lang w:val="fr-FR"/>
        </w:rPr>
        <w:t>Décisions du Comité permanent</w:t>
      </w:r>
    </w:p>
    <w:p w:rsidR="00916BF2" w:rsidRPr="00C005E9" w:rsidRDefault="00916BF2" w:rsidP="00916BF2">
      <w:pPr>
        <w:keepNext/>
        <w:rPr>
          <w:rFonts w:cs="Arial"/>
          <w:lang w:val="fr-FR"/>
        </w:rPr>
      </w:pPr>
    </w:p>
    <w:p w:rsidR="00886AEB" w:rsidRPr="00C005E9" w:rsidRDefault="00C005E9" w:rsidP="00705D3F">
      <w:pPr>
        <w:rPr>
          <w:rFonts w:cs="Arial"/>
          <w:lang w:val="fr-FR"/>
        </w:rPr>
      </w:pPr>
      <w:r>
        <w:rPr>
          <w:rFonts w:cs="Arial"/>
          <w:lang w:val="fr-FR"/>
        </w:rPr>
        <w:t>16.</w:t>
      </w:r>
      <w:r>
        <w:rPr>
          <w:rFonts w:cs="Arial"/>
          <w:lang w:val="fr-FR"/>
        </w:rPr>
        <w:tab/>
        <w:t xml:space="preserve">Concernant les </w:t>
      </w:r>
      <w:r w:rsidR="00196387">
        <w:rPr>
          <w:rFonts w:cs="Arial"/>
          <w:lang w:val="fr-FR"/>
        </w:rPr>
        <w:t>décisions</w:t>
      </w:r>
      <w:r>
        <w:rPr>
          <w:rFonts w:cs="Arial"/>
          <w:lang w:val="fr-FR"/>
        </w:rPr>
        <w:t xml:space="preserve"> du Comité permanent, comme indiqué au paragraphe</w:t>
      </w:r>
      <w:r w:rsidR="00196387">
        <w:rPr>
          <w:rFonts w:cs="Arial"/>
          <w:lang w:val="fr-FR"/>
        </w:rPr>
        <w:t> </w:t>
      </w:r>
      <w:r>
        <w:rPr>
          <w:rFonts w:cs="Arial"/>
          <w:lang w:val="fr-FR"/>
        </w:rPr>
        <w:t>12 ci</w:t>
      </w:r>
      <w:r w:rsidR="00196387">
        <w:rPr>
          <w:rFonts w:cs="Arial"/>
          <w:lang w:val="fr-FR"/>
        </w:rPr>
        <w:t>-</w:t>
      </w:r>
      <w:r>
        <w:rPr>
          <w:rFonts w:cs="Arial"/>
          <w:lang w:val="fr-FR"/>
        </w:rPr>
        <w:t>dessus, le Secrétariat suggère d</w:t>
      </w:r>
      <w:r w:rsidR="00E37382">
        <w:rPr>
          <w:rFonts w:cs="Arial"/>
          <w:lang w:val="fr-FR"/>
        </w:rPr>
        <w:t>’</w:t>
      </w:r>
      <w:r>
        <w:rPr>
          <w:rFonts w:cs="Arial"/>
          <w:lang w:val="fr-FR"/>
        </w:rPr>
        <w:t>ajouter un point permanent à l</w:t>
      </w:r>
      <w:r w:rsidR="00E37382">
        <w:rPr>
          <w:rFonts w:cs="Arial"/>
          <w:lang w:val="fr-FR"/>
        </w:rPr>
        <w:t>’</w:t>
      </w:r>
      <w:r>
        <w:rPr>
          <w:rFonts w:cs="Arial"/>
          <w:lang w:val="fr-FR"/>
        </w:rPr>
        <w:t>ordre du jour des réunions du Comité afin de recevoir un rapport sur l</w:t>
      </w:r>
      <w:r w:rsidR="00E37382">
        <w:rPr>
          <w:rFonts w:cs="Arial"/>
          <w:lang w:val="fr-FR"/>
        </w:rPr>
        <w:t>’</w:t>
      </w:r>
      <w:r>
        <w:rPr>
          <w:rFonts w:cs="Arial"/>
          <w:lang w:val="fr-FR"/>
        </w:rPr>
        <w:t xml:space="preserve">application des </w:t>
      </w:r>
      <w:r w:rsidR="00196387">
        <w:rPr>
          <w:rFonts w:cs="Arial"/>
          <w:lang w:val="fr-FR"/>
        </w:rPr>
        <w:t>décisions</w:t>
      </w:r>
      <w:r>
        <w:rPr>
          <w:rFonts w:cs="Arial"/>
          <w:lang w:val="fr-FR"/>
        </w:rPr>
        <w:t xml:space="preserve"> adoptées lors de précédentes réunions, à moins que cela ne soit couvert par d</w:t>
      </w:r>
      <w:r w:rsidR="00E37382">
        <w:rPr>
          <w:rFonts w:cs="Arial"/>
          <w:lang w:val="fr-FR"/>
        </w:rPr>
        <w:t>’</w:t>
      </w:r>
      <w:r>
        <w:rPr>
          <w:rFonts w:cs="Arial"/>
          <w:lang w:val="fr-FR"/>
        </w:rPr>
        <w:t>autres points de l</w:t>
      </w:r>
      <w:r w:rsidR="00E37382">
        <w:rPr>
          <w:rFonts w:cs="Arial"/>
          <w:lang w:val="fr-FR"/>
        </w:rPr>
        <w:t>’</w:t>
      </w:r>
      <w:r>
        <w:rPr>
          <w:rFonts w:cs="Arial"/>
          <w:lang w:val="fr-FR"/>
        </w:rPr>
        <w:t xml:space="preserve">ordre du jour. Toutes les </w:t>
      </w:r>
      <w:r w:rsidR="00196387">
        <w:rPr>
          <w:rFonts w:cs="Arial"/>
          <w:lang w:val="fr-FR"/>
        </w:rPr>
        <w:t>décisions</w:t>
      </w:r>
      <w:r>
        <w:rPr>
          <w:rFonts w:cs="Arial"/>
          <w:lang w:val="fr-FR"/>
        </w:rPr>
        <w:t xml:space="preserve"> pourraient être considérées comme obsolètes et non valides à moins d</w:t>
      </w:r>
      <w:r w:rsidR="00E37382">
        <w:rPr>
          <w:rFonts w:cs="Arial"/>
          <w:lang w:val="fr-FR"/>
        </w:rPr>
        <w:t>’</w:t>
      </w:r>
      <w:r>
        <w:rPr>
          <w:rFonts w:cs="Arial"/>
          <w:lang w:val="fr-FR"/>
        </w:rPr>
        <w:t xml:space="preserve">être renouvelées par le Comité.  </w:t>
      </w:r>
    </w:p>
    <w:p w:rsidR="00886AEB" w:rsidRPr="00C005E9" w:rsidRDefault="00886AEB" w:rsidP="00705D3F">
      <w:pPr>
        <w:rPr>
          <w:rFonts w:cs="Arial"/>
          <w:lang w:val="fr-FR"/>
        </w:rPr>
      </w:pPr>
    </w:p>
    <w:p w:rsidR="00916BF2" w:rsidRPr="00C005E9" w:rsidRDefault="00C005E9" w:rsidP="00801634">
      <w:pPr>
        <w:keepNext/>
        <w:ind w:left="0" w:firstLine="0"/>
        <w:rPr>
          <w:rFonts w:cs="Arial"/>
          <w:i/>
          <w:lang w:val="fr-FR"/>
        </w:rPr>
      </w:pPr>
      <w:r>
        <w:rPr>
          <w:rFonts w:cs="Arial"/>
          <w:b/>
          <w:bCs/>
          <w:lang w:val="fr-FR"/>
        </w:rPr>
        <w:t>Préparation d</w:t>
      </w:r>
      <w:r w:rsidR="00E37382">
        <w:rPr>
          <w:rFonts w:cs="Arial"/>
          <w:b/>
          <w:bCs/>
          <w:lang w:val="fr-FR"/>
        </w:rPr>
        <w:t>’</w:t>
      </w:r>
      <w:r>
        <w:rPr>
          <w:rFonts w:cs="Arial"/>
          <w:b/>
          <w:bCs/>
          <w:lang w:val="fr-FR"/>
        </w:rPr>
        <w:t>une liste regroupée de résolutions de la Conférence des Parties et de décisions du Comité permanent à mettre à jour après chaque session et réunion</w:t>
      </w:r>
    </w:p>
    <w:p w:rsidR="00916BF2" w:rsidRPr="00C005E9" w:rsidRDefault="00916BF2" w:rsidP="00801634">
      <w:pPr>
        <w:keepNext/>
        <w:rPr>
          <w:rFonts w:cs="Arial"/>
          <w:lang w:val="fr-FR"/>
        </w:rPr>
      </w:pPr>
    </w:p>
    <w:p w:rsidR="00072EEA" w:rsidRPr="00C005E9" w:rsidRDefault="00C005E9" w:rsidP="00801634">
      <w:pPr>
        <w:keepNext/>
        <w:rPr>
          <w:rFonts w:cs="Arial"/>
          <w:u w:val="single"/>
          <w:lang w:val="fr-FR"/>
        </w:rPr>
      </w:pPr>
      <w:r>
        <w:rPr>
          <w:rFonts w:cs="Arial"/>
          <w:lang w:val="fr-FR"/>
        </w:rPr>
        <w:tab/>
      </w:r>
      <w:r>
        <w:rPr>
          <w:rFonts w:cs="Arial"/>
          <w:u w:val="single"/>
          <w:lang w:val="fr-FR"/>
        </w:rPr>
        <w:t>Résolutions de la Conférence des Parties </w:t>
      </w:r>
    </w:p>
    <w:p w:rsidR="00072EEA" w:rsidRPr="00C005E9" w:rsidRDefault="00072EEA" w:rsidP="00801634">
      <w:pPr>
        <w:keepNext/>
        <w:rPr>
          <w:rFonts w:cs="Arial"/>
          <w:lang w:val="fr-FR"/>
        </w:rPr>
      </w:pPr>
    </w:p>
    <w:p w:rsidR="005864A5" w:rsidRPr="00C005E9" w:rsidRDefault="00C005E9" w:rsidP="00705D3F">
      <w:pPr>
        <w:rPr>
          <w:rFonts w:cs="Arial"/>
          <w:lang w:val="fr-FR"/>
        </w:rPr>
      </w:pPr>
      <w:r>
        <w:rPr>
          <w:rFonts w:cs="Arial"/>
          <w:lang w:val="fr-FR"/>
        </w:rPr>
        <w:t>17.</w:t>
      </w:r>
      <w:r>
        <w:rPr>
          <w:rFonts w:cs="Arial"/>
          <w:lang w:val="fr-FR"/>
        </w:rPr>
        <w:tab/>
        <w:t>Conformément au paragraphe</w:t>
      </w:r>
      <w:r w:rsidR="00196387">
        <w:rPr>
          <w:rFonts w:cs="Arial"/>
          <w:lang w:val="fr-FR"/>
        </w:rPr>
        <w:t> </w:t>
      </w:r>
      <w:r>
        <w:rPr>
          <w:rFonts w:cs="Arial"/>
          <w:lang w:val="fr-FR"/>
        </w:rPr>
        <w:t>24.b de la Résolution</w:t>
      </w:r>
      <w:r w:rsidR="00196387">
        <w:rPr>
          <w:rFonts w:cs="Arial"/>
          <w:lang w:val="fr-FR"/>
        </w:rPr>
        <w:t> </w:t>
      </w:r>
      <w:r>
        <w:rPr>
          <w:rFonts w:cs="Arial"/>
          <w:lang w:val="fr-FR"/>
        </w:rPr>
        <w:t xml:space="preserve">XIII.4, le Secrétariat a publié une liste regroupée des </w:t>
      </w:r>
      <w:r w:rsidR="00196387">
        <w:rPr>
          <w:rFonts w:cs="Arial"/>
          <w:lang w:val="fr-FR"/>
        </w:rPr>
        <w:t>résolutions</w:t>
      </w:r>
      <w:r>
        <w:rPr>
          <w:rFonts w:cs="Arial"/>
          <w:lang w:val="fr-FR"/>
        </w:rPr>
        <w:t xml:space="preserve"> de la Conférence des Parties sur le site Web de la Convention.</w:t>
      </w:r>
    </w:p>
    <w:p w:rsidR="00C90DA2" w:rsidRPr="00C005E9" w:rsidRDefault="00C90DA2" w:rsidP="00705D3F">
      <w:pPr>
        <w:rPr>
          <w:rFonts w:cs="Arial"/>
          <w:lang w:val="fr-FR"/>
        </w:rPr>
      </w:pPr>
    </w:p>
    <w:p w:rsidR="005864A5" w:rsidRPr="00C005E9" w:rsidRDefault="00C005E9" w:rsidP="00705D3F">
      <w:pPr>
        <w:rPr>
          <w:rFonts w:cs="Arial"/>
          <w:lang w:val="fr-FR"/>
        </w:rPr>
      </w:pPr>
      <w:r>
        <w:rPr>
          <w:rFonts w:cs="Arial"/>
          <w:lang w:val="fr-FR"/>
        </w:rPr>
        <w:t>18.</w:t>
      </w:r>
      <w:r>
        <w:rPr>
          <w:rFonts w:cs="Arial"/>
          <w:lang w:val="fr-FR"/>
        </w:rPr>
        <w:tab/>
        <w:t xml:space="preserve">Une fois que la Conférence des Parties aura accepté une liste des </w:t>
      </w:r>
      <w:r w:rsidR="00196387">
        <w:rPr>
          <w:rFonts w:cs="Arial"/>
          <w:lang w:val="fr-FR"/>
        </w:rPr>
        <w:t>résolutions</w:t>
      </w:r>
      <w:r>
        <w:rPr>
          <w:rFonts w:cs="Arial"/>
          <w:lang w:val="fr-FR"/>
        </w:rPr>
        <w:t xml:space="preserve"> qui ne sont plus valides, celle-ci pourra être publiée sur une page </w:t>
      </w:r>
      <w:r w:rsidR="001C4B4C">
        <w:rPr>
          <w:rFonts w:cs="Arial"/>
          <w:lang w:val="fr-FR"/>
        </w:rPr>
        <w:t>distincte</w:t>
      </w:r>
      <w:r>
        <w:rPr>
          <w:rFonts w:cs="Arial"/>
          <w:lang w:val="fr-FR"/>
        </w:rPr>
        <w:t xml:space="preserve"> du site Web de la Convention. Toute </w:t>
      </w:r>
      <w:r w:rsidR="00196387">
        <w:rPr>
          <w:rFonts w:cs="Arial"/>
          <w:lang w:val="fr-FR"/>
        </w:rPr>
        <w:t>résolution</w:t>
      </w:r>
      <w:r>
        <w:rPr>
          <w:rFonts w:cs="Arial"/>
          <w:lang w:val="fr-FR"/>
        </w:rPr>
        <w:t xml:space="preserve"> abrogée à l</w:t>
      </w:r>
      <w:r w:rsidR="00E37382">
        <w:rPr>
          <w:rFonts w:cs="Arial"/>
          <w:lang w:val="fr-FR"/>
        </w:rPr>
        <w:t>’</w:t>
      </w:r>
      <w:r>
        <w:rPr>
          <w:rFonts w:cs="Arial"/>
          <w:lang w:val="fr-FR"/>
        </w:rPr>
        <w:t xml:space="preserve">avenir serait alors transférée dans la liste des </w:t>
      </w:r>
      <w:r w:rsidR="00196387">
        <w:rPr>
          <w:rFonts w:cs="Arial"/>
          <w:lang w:val="fr-FR"/>
        </w:rPr>
        <w:t>résolutions</w:t>
      </w:r>
      <w:r>
        <w:rPr>
          <w:rFonts w:cs="Arial"/>
          <w:lang w:val="fr-FR"/>
        </w:rPr>
        <w:t xml:space="preserve"> qui ne sont plus valides.</w:t>
      </w:r>
    </w:p>
    <w:p w:rsidR="005864A5" w:rsidRPr="00C005E9" w:rsidRDefault="005864A5" w:rsidP="00705D3F">
      <w:pPr>
        <w:rPr>
          <w:rFonts w:cs="Arial"/>
          <w:lang w:val="fr-FR"/>
        </w:rPr>
      </w:pPr>
    </w:p>
    <w:p w:rsidR="00072EEA" w:rsidRPr="00C005E9" w:rsidRDefault="00C005E9" w:rsidP="00705D3F">
      <w:pPr>
        <w:rPr>
          <w:rFonts w:cs="Arial"/>
          <w:u w:val="single"/>
          <w:lang w:val="fr-FR"/>
        </w:rPr>
      </w:pPr>
      <w:r>
        <w:rPr>
          <w:rFonts w:cs="Arial"/>
          <w:lang w:val="fr-FR"/>
        </w:rPr>
        <w:tab/>
      </w:r>
      <w:r>
        <w:rPr>
          <w:rFonts w:cs="Arial"/>
          <w:u w:val="single"/>
          <w:lang w:val="fr-FR"/>
        </w:rPr>
        <w:t>Décisions du Comité permanent</w:t>
      </w:r>
    </w:p>
    <w:p w:rsidR="00072EEA" w:rsidRPr="00C005E9" w:rsidRDefault="00072EEA" w:rsidP="00705D3F">
      <w:pPr>
        <w:rPr>
          <w:rFonts w:cs="Arial"/>
          <w:lang w:val="fr-FR"/>
        </w:rPr>
      </w:pPr>
    </w:p>
    <w:p w:rsidR="00F95574" w:rsidRPr="00C005E9" w:rsidRDefault="00C005E9" w:rsidP="00705D3F">
      <w:pPr>
        <w:rPr>
          <w:rFonts w:cs="Arial"/>
          <w:lang w:val="fr-FR"/>
        </w:rPr>
      </w:pPr>
      <w:r>
        <w:rPr>
          <w:rFonts w:cs="Arial"/>
          <w:lang w:val="fr-FR"/>
        </w:rPr>
        <w:t>19.</w:t>
      </w:r>
      <w:r>
        <w:rPr>
          <w:rFonts w:cs="Arial"/>
          <w:lang w:val="fr-FR"/>
        </w:rPr>
        <w:tab/>
        <w:t xml:space="preserve">Si le Comité en convient, une approche différente pourrait être adoptée pour les </w:t>
      </w:r>
      <w:r w:rsidR="00196387">
        <w:rPr>
          <w:rFonts w:cs="Arial"/>
          <w:lang w:val="fr-FR"/>
        </w:rPr>
        <w:t>décisions</w:t>
      </w:r>
      <w:r>
        <w:rPr>
          <w:rFonts w:cs="Arial"/>
          <w:lang w:val="fr-FR"/>
        </w:rPr>
        <w:t xml:space="preserve"> du Comité permanent. Comme ces </w:t>
      </w:r>
      <w:r w:rsidR="00196387">
        <w:rPr>
          <w:rFonts w:cs="Arial"/>
          <w:lang w:val="fr-FR"/>
        </w:rPr>
        <w:t>décisions</w:t>
      </w:r>
      <w:r>
        <w:rPr>
          <w:rFonts w:cs="Arial"/>
          <w:lang w:val="fr-FR"/>
        </w:rPr>
        <w:t xml:space="preserve"> sont déjà disponibles sur le site Web de la Convention, avec le compte rendu de chaque réunion, le Comité pourrait considérer que la compilation d</w:t>
      </w:r>
      <w:r w:rsidR="00E37382">
        <w:rPr>
          <w:rFonts w:cs="Arial"/>
          <w:lang w:val="fr-FR"/>
        </w:rPr>
        <w:t>’</w:t>
      </w:r>
      <w:r>
        <w:rPr>
          <w:rFonts w:cs="Arial"/>
          <w:lang w:val="fr-FR"/>
        </w:rPr>
        <w:t xml:space="preserve">une liste de près de 1000 </w:t>
      </w:r>
      <w:r w:rsidR="00196387">
        <w:rPr>
          <w:rFonts w:cs="Arial"/>
          <w:lang w:val="fr-FR"/>
        </w:rPr>
        <w:t>décisions</w:t>
      </w:r>
      <w:r>
        <w:rPr>
          <w:rFonts w:cs="Arial"/>
          <w:lang w:val="fr-FR"/>
        </w:rPr>
        <w:t xml:space="preserve">, en trois langues, ne constitue pas le meilleur usage des ressources.  </w:t>
      </w:r>
    </w:p>
    <w:p w:rsidR="009C3B85" w:rsidRPr="00C005E9" w:rsidRDefault="009C3B85" w:rsidP="00705D3F">
      <w:pPr>
        <w:rPr>
          <w:rFonts w:cs="Arial"/>
          <w:lang w:val="fr-FR"/>
        </w:rPr>
      </w:pPr>
    </w:p>
    <w:p w:rsidR="003C384D" w:rsidRPr="00C005E9" w:rsidRDefault="00C005E9" w:rsidP="00B36934">
      <w:pPr>
        <w:keepNext/>
        <w:ind w:left="0" w:firstLine="0"/>
        <w:rPr>
          <w:rFonts w:cs="Arial"/>
          <w:i/>
          <w:lang w:val="fr-FR"/>
        </w:rPr>
      </w:pPr>
      <w:r>
        <w:rPr>
          <w:rFonts w:cs="Arial"/>
          <w:b/>
          <w:bCs/>
          <w:lang w:val="fr-FR"/>
        </w:rPr>
        <w:t>Autres considérations</w:t>
      </w:r>
    </w:p>
    <w:p w:rsidR="003C384D" w:rsidRPr="00C005E9" w:rsidRDefault="003C384D" w:rsidP="0065435B">
      <w:pPr>
        <w:keepNext/>
        <w:rPr>
          <w:rFonts w:cs="Arial"/>
          <w:lang w:val="fr-FR"/>
        </w:rPr>
      </w:pPr>
    </w:p>
    <w:p w:rsidR="00BA503D" w:rsidRPr="00C005E9" w:rsidRDefault="00C005E9" w:rsidP="0065435B">
      <w:pPr>
        <w:keepNext/>
        <w:rPr>
          <w:rFonts w:cs="Arial"/>
          <w:lang w:val="fr-FR"/>
        </w:rPr>
      </w:pPr>
      <w:r>
        <w:rPr>
          <w:rFonts w:cs="Arial"/>
          <w:lang w:val="fr-FR"/>
        </w:rPr>
        <w:t>20.</w:t>
      </w:r>
      <w:r>
        <w:rPr>
          <w:rFonts w:cs="Arial"/>
          <w:lang w:val="fr-FR"/>
        </w:rPr>
        <w:tab/>
        <w:t>Pour le Secrétariat, l</w:t>
      </w:r>
      <w:r w:rsidR="00E37382">
        <w:rPr>
          <w:rFonts w:cs="Arial"/>
          <w:lang w:val="fr-FR"/>
        </w:rPr>
        <w:t>’</w:t>
      </w:r>
      <w:r>
        <w:rPr>
          <w:rFonts w:cs="Arial"/>
          <w:lang w:val="fr-FR"/>
        </w:rPr>
        <w:t>objectif fondamental de l</w:t>
      </w:r>
      <w:r w:rsidR="00E37382">
        <w:rPr>
          <w:rFonts w:cs="Arial"/>
          <w:lang w:val="fr-FR"/>
        </w:rPr>
        <w:t>’</w:t>
      </w:r>
      <w:r>
        <w:rPr>
          <w:rFonts w:cs="Arial"/>
          <w:lang w:val="fr-FR"/>
        </w:rPr>
        <w:t xml:space="preserve">examen demandé est de rendre les </w:t>
      </w:r>
      <w:r w:rsidR="00196387">
        <w:rPr>
          <w:rFonts w:cs="Arial"/>
          <w:lang w:val="fr-FR"/>
        </w:rPr>
        <w:t>résolutions</w:t>
      </w:r>
      <w:r>
        <w:rPr>
          <w:rFonts w:cs="Arial"/>
          <w:lang w:val="fr-FR"/>
        </w:rPr>
        <w:t xml:space="preserve"> plus faciles à comprendre et à appliquer</w:t>
      </w:r>
      <w:r w:rsidR="001E56F0">
        <w:rPr>
          <w:rFonts w:cs="Arial"/>
          <w:lang w:val="fr-FR"/>
        </w:rPr>
        <w:t>,</w:t>
      </w:r>
      <w:r>
        <w:rPr>
          <w:rFonts w:cs="Arial"/>
          <w:lang w:val="fr-FR"/>
        </w:rPr>
        <w:t xml:space="preserve"> </w:t>
      </w:r>
      <w:r w:rsidR="001E56F0">
        <w:rPr>
          <w:rFonts w:cs="Arial"/>
          <w:lang w:val="fr-FR"/>
        </w:rPr>
        <w:t>et de faire en</w:t>
      </w:r>
      <w:r>
        <w:rPr>
          <w:rFonts w:cs="Arial"/>
          <w:lang w:val="fr-FR"/>
        </w:rPr>
        <w:t xml:space="preserve"> sorte qu</w:t>
      </w:r>
      <w:r w:rsidR="00E37382">
        <w:rPr>
          <w:rFonts w:cs="Arial"/>
          <w:lang w:val="fr-FR"/>
        </w:rPr>
        <w:t>’</w:t>
      </w:r>
      <w:r>
        <w:rPr>
          <w:rFonts w:cs="Arial"/>
          <w:lang w:val="fr-FR"/>
        </w:rPr>
        <w:t xml:space="preserve">elles deviennent un </w:t>
      </w:r>
      <w:r w:rsidR="001E56F0">
        <w:rPr>
          <w:rFonts w:cs="Arial"/>
          <w:lang w:val="fr-FR"/>
        </w:rPr>
        <w:t>outil pratique pour les Parties</w:t>
      </w:r>
      <w:r>
        <w:rPr>
          <w:rFonts w:cs="Arial"/>
          <w:lang w:val="fr-FR"/>
        </w:rPr>
        <w:t xml:space="preserve"> afin de faciliter et d</w:t>
      </w:r>
      <w:r w:rsidR="00E37382">
        <w:rPr>
          <w:rFonts w:cs="Arial"/>
          <w:lang w:val="fr-FR"/>
        </w:rPr>
        <w:t>’</w:t>
      </w:r>
      <w:r>
        <w:rPr>
          <w:rFonts w:cs="Arial"/>
          <w:lang w:val="fr-FR"/>
        </w:rPr>
        <w:t>améliorer l</w:t>
      </w:r>
      <w:r w:rsidR="00E37382">
        <w:rPr>
          <w:rFonts w:cs="Arial"/>
          <w:lang w:val="fr-FR"/>
        </w:rPr>
        <w:t>’</w:t>
      </w:r>
      <w:r>
        <w:rPr>
          <w:rFonts w:cs="Arial"/>
          <w:lang w:val="fr-FR"/>
        </w:rPr>
        <w:t>application de la Convention. Les étapes pour y parvenir sont décrites ci-dessus.</w:t>
      </w:r>
    </w:p>
    <w:p w:rsidR="003C384D" w:rsidRPr="00C005E9" w:rsidRDefault="003C384D" w:rsidP="003C384D">
      <w:pPr>
        <w:rPr>
          <w:rFonts w:cs="Arial"/>
          <w:lang w:val="fr-FR"/>
        </w:rPr>
      </w:pPr>
    </w:p>
    <w:p w:rsidR="006A625B" w:rsidRPr="00C005E9" w:rsidRDefault="00C005E9" w:rsidP="00AB3BE8">
      <w:pPr>
        <w:rPr>
          <w:rFonts w:cstheme="minorHAnsi"/>
          <w:lang w:val="fr-FR"/>
        </w:rPr>
      </w:pPr>
      <w:r>
        <w:rPr>
          <w:rFonts w:cs="Calibri"/>
          <w:lang w:val="fr-FR"/>
        </w:rPr>
        <w:lastRenderedPageBreak/>
        <w:t>21.</w:t>
      </w:r>
      <w:r>
        <w:rPr>
          <w:rFonts w:cs="Calibri"/>
          <w:lang w:val="fr-FR"/>
        </w:rPr>
        <w:tab/>
        <w:t>Le processus de regroupement n</w:t>
      </w:r>
      <w:r w:rsidR="00E37382">
        <w:rPr>
          <w:rFonts w:cs="Calibri"/>
          <w:lang w:val="fr-FR"/>
        </w:rPr>
        <w:t>’</w:t>
      </w:r>
      <w:r>
        <w:rPr>
          <w:rFonts w:cs="Calibri"/>
          <w:lang w:val="fr-FR"/>
        </w:rPr>
        <w:t>ayant pas pour objet de réviser le fond des décisions prises précédemment par la Conférence des Parties, il pourrait être demandé à la Conférence de convenir que la procédure d</w:t>
      </w:r>
      <w:r w:rsidR="00E37382">
        <w:rPr>
          <w:rFonts w:cs="Calibri"/>
          <w:lang w:val="fr-FR"/>
        </w:rPr>
        <w:t>’</w:t>
      </w:r>
      <w:r>
        <w:rPr>
          <w:rFonts w:cs="Calibri"/>
          <w:lang w:val="fr-FR"/>
        </w:rPr>
        <w:t>examen et d</w:t>
      </w:r>
      <w:r w:rsidR="00E37382">
        <w:rPr>
          <w:rFonts w:cs="Calibri"/>
          <w:lang w:val="fr-FR"/>
        </w:rPr>
        <w:t>’</w:t>
      </w:r>
      <w:r>
        <w:rPr>
          <w:rFonts w:cs="Calibri"/>
          <w:lang w:val="fr-FR"/>
        </w:rPr>
        <w:t>adoption des projets de résolutions regroupées est différente de celle qui s</w:t>
      </w:r>
      <w:r w:rsidR="00E37382">
        <w:rPr>
          <w:rFonts w:cs="Calibri"/>
          <w:lang w:val="fr-FR"/>
        </w:rPr>
        <w:t>’</w:t>
      </w:r>
      <w:r>
        <w:rPr>
          <w:rFonts w:cs="Calibri"/>
          <w:lang w:val="fr-FR"/>
        </w:rPr>
        <w:t>applique aux autres projets de résolutions. (C</w:t>
      </w:r>
      <w:r w:rsidR="00E37382">
        <w:rPr>
          <w:rFonts w:cs="Calibri"/>
          <w:lang w:val="fr-FR"/>
        </w:rPr>
        <w:t>’</w:t>
      </w:r>
      <w:r>
        <w:rPr>
          <w:rFonts w:cs="Calibri"/>
          <w:lang w:val="fr-FR"/>
        </w:rPr>
        <w:t xml:space="preserve">est déjà le cas à la CITES, par exemple.) Le Secrétariat suggère que la seule décision à prendre concernant les projets de </w:t>
      </w:r>
      <w:r w:rsidR="00196387">
        <w:rPr>
          <w:rFonts w:cs="Calibri"/>
          <w:lang w:val="fr-FR"/>
        </w:rPr>
        <w:t>résolutions</w:t>
      </w:r>
      <w:r>
        <w:rPr>
          <w:rFonts w:cs="Calibri"/>
          <w:lang w:val="fr-FR"/>
        </w:rPr>
        <w:t xml:space="preserve"> regroupé</w:t>
      </w:r>
      <w:r w:rsidR="00196387">
        <w:rPr>
          <w:rFonts w:cs="Calibri"/>
          <w:lang w:val="fr-FR"/>
        </w:rPr>
        <w:t>e</w:t>
      </w:r>
      <w:r>
        <w:rPr>
          <w:rFonts w:cs="Calibri"/>
          <w:lang w:val="fr-FR"/>
        </w:rPr>
        <w:t>s consiste à savoir si le regroupement a été fait correctement</w:t>
      </w:r>
      <w:r w:rsidR="00196387">
        <w:rPr>
          <w:rFonts w:cs="Calibri"/>
          <w:lang w:val="fr-FR"/>
        </w:rPr>
        <w:t> </w:t>
      </w:r>
      <w:r>
        <w:rPr>
          <w:rFonts w:cs="Calibri"/>
          <w:lang w:val="fr-FR"/>
        </w:rPr>
        <w:t>; le fond lui</w:t>
      </w:r>
      <w:r w:rsidR="00196387">
        <w:rPr>
          <w:rFonts w:cs="Calibri"/>
          <w:lang w:val="fr-FR"/>
        </w:rPr>
        <w:t>-</w:t>
      </w:r>
      <w:r>
        <w:rPr>
          <w:rFonts w:cs="Calibri"/>
          <w:lang w:val="fr-FR"/>
        </w:rPr>
        <w:t>même ne devrait pas être présenté pour discussion</w:t>
      </w:r>
      <w:r w:rsidR="00196387">
        <w:rPr>
          <w:rFonts w:cs="Calibri"/>
          <w:lang w:val="fr-FR"/>
        </w:rPr>
        <w:t>,</w:t>
      </w:r>
      <w:r>
        <w:rPr>
          <w:rFonts w:cs="Calibri"/>
          <w:lang w:val="fr-FR"/>
        </w:rPr>
        <w:t xml:space="preserve"> car</w:t>
      </w:r>
      <w:r w:rsidR="001E56F0">
        <w:rPr>
          <w:rFonts w:cs="Calibri"/>
          <w:lang w:val="fr-FR"/>
        </w:rPr>
        <w:t xml:space="preserve">, en principe, </w:t>
      </w:r>
      <w:r>
        <w:rPr>
          <w:rFonts w:cs="Calibri"/>
          <w:lang w:val="fr-FR"/>
        </w:rPr>
        <w:t>il a déjà</w:t>
      </w:r>
      <w:r w:rsidR="001E56F0">
        <w:rPr>
          <w:rFonts w:cs="Calibri"/>
          <w:lang w:val="fr-FR"/>
        </w:rPr>
        <w:t xml:space="preserve"> </w:t>
      </w:r>
      <w:r>
        <w:rPr>
          <w:rFonts w:cs="Calibri"/>
          <w:lang w:val="fr-FR"/>
        </w:rPr>
        <w:t>été approuvé par les Parties. Cette approche devrait être approuvée par la Conférence des Parties et est présentée dans le projet de résolution figurant en annexe</w:t>
      </w:r>
      <w:r w:rsidR="00196387">
        <w:rPr>
          <w:rFonts w:cs="Calibri"/>
          <w:lang w:val="fr-FR"/>
        </w:rPr>
        <w:t> </w:t>
      </w:r>
      <w:r>
        <w:rPr>
          <w:rFonts w:cs="Calibri"/>
          <w:lang w:val="fr-FR"/>
        </w:rPr>
        <w:t xml:space="preserve">1. </w:t>
      </w:r>
    </w:p>
    <w:p w:rsidR="006A625B" w:rsidRPr="00C005E9" w:rsidRDefault="006A625B" w:rsidP="001E56F0">
      <w:pPr>
        <w:jc w:val="right"/>
        <w:rPr>
          <w:rFonts w:cstheme="minorHAnsi"/>
          <w:lang w:val="fr-FR"/>
        </w:rPr>
      </w:pPr>
    </w:p>
    <w:p w:rsidR="00923947" w:rsidRPr="00C005E9" w:rsidRDefault="00C005E9" w:rsidP="00AB3BE8">
      <w:pPr>
        <w:rPr>
          <w:rFonts w:cstheme="minorHAnsi"/>
          <w:lang w:val="fr-FR"/>
        </w:rPr>
      </w:pPr>
      <w:r>
        <w:rPr>
          <w:rFonts w:cs="Calibri"/>
          <w:lang w:val="fr-FR"/>
        </w:rPr>
        <w:t>22.</w:t>
      </w:r>
      <w:r>
        <w:rPr>
          <w:rFonts w:cs="Calibri"/>
          <w:lang w:val="fr-FR"/>
        </w:rPr>
        <w:tab/>
        <w:t>Il importe que toutes les Parties sachent qu</w:t>
      </w:r>
      <w:r w:rsidR="00E37382">
        <w:rPr>
          <w:rFonts w:cs="Calibri"/>
          <w:lang w:val="fr-FR"/>
        </w:rPr>
        <w:t>’</w:t>
      </w:r>
      <w:r>
        <w:rPr>
          <w:rFonts w:cs="Calibri"/>
          <w:lang w:val="fr-FR"/>
        </w:rPr>
        <w:t>elles gardent le contrôle de l</w:t>
      </w:r>
      <w:r w:rsidR="00E37382">
        <w:rPr>
          <w:rFonts w:cs="Calibri"/>
          <w:lang w:val="fr-FR"/>
        </w:rPr>
        <w:t>’</w:t>
      </w:r>
      <w:r>
        <w:rPr>
          <w:rFonts w:cs="Calibri"/>
          <w:lang w:val="fr-FR"/>
        </w:rPr>
        <w:t xml:space="preserve">examen des </w:t>
      </w:r>
      <w:r w:rsidR="00196387">
        <w:rPr>
          <w:rFonts w:cs="Calibri"/>
          <w:lang w:val="fr-FR"/>
        </w:rPr>
        <w:t>résolutions</w:t>
      </w:r>
      <w:r>
        <w:rPr>
          <w:rFonts w:cs="Calibri"/>
          <w:lang w:val="fr-FR"/>
        </w:rPr>
        <w:t>, en tout temps</w:t>
      </w:r>
      <w:r w:rsidR="00196387">
        <w:rPr>
          <w:rFonts w:cs="Calibri"/>
          <w:lang w:val="fr-FR"/>
        </w:rPr>
        <w:t> </w:t>
      </w:r>
      <w:r>
        <w:rPr>
          <w:rFonts w:cs="Calibri"/>
          <w:lang w:val="fr-FR"/>
        </w:rPr>
        <w:t>; que les textes ne peuvent être abrogés que par la Conférence des Parties</w:t>
      </w:r>
      <w:r w:rsidR="00196387">
        <w:rPr>
          <w:rFonts w:cs="Calibri"/>
          <w:lang w:val="fr-FR"/>
        </w:rPr>
        <w:t> </w:t>
      </w:r>
      <w:r>
        <w:rPr>
          <w:rFonts w:cs="Calibri"/>
          <w:lang w:val="fr-FR"/>
        </w:rPr>
        <w:t>; et que tous les textes précédemment adoptés par les Parties restent accessibles sur le site Web de la Convention. L</w:t>
      </w:r>
      <w:r w:rsidR="00E37382">
        <w:rPr>
          <w:rFonts w:cs="Calibri"/>
          <w:lang w:val="fr-FR"/>
        </w:rPr>
        <w:t>’</w:t>
      </w:r>
      <w:r>
        <w:rPr>
          <w:rFonts w:cs="Calibri"/>
          <w:lang w:val="fr-FR"/>
        </w:rPr>
        <w:t>histoire du développement des instruments non contraignants de la Convention reste intacte.</w:t>
      </w:r>
    </w:p>
    <w:p w:rsidR="001F5FD4" w:rsidRPr="00C005E9" w:rsidRDefault="001F5FD4" w:rsidP="00AB3BE8">
      <w:pPr>
        <w:rPr>
          <w:rFonts w:cstheme="minorHAnsi"/>
          <w:lang w:val="fr-FR"/>
        </w:rPr>
      </w:pPr>
    </w:p>
    <w:p w:rsidR="00AB3BE8" w:rsidRPr="00C005E9" w:rsidRDefault="00C005E9" w:rsidP="001F5FD4">
      <w:pPr>
        <w:rPr>
          <w:rFonts w:cstheme="minorHAnsi"/>
          <w:lang w:val="fr-FR"/>
        </w:rPr>
      </w:pPr>
      <w:r>
        <w:rPr>
          <w:rFonts w:cs="Calibri"/>
          <w:lang w:val="fr-FR"/>
        </w:rPr>
        <w:t>23.</w:t>
      </w:r>
      <w:r>
        <w:rPr>
          <w:rFonts w:cs="Calibri"/>
          <w:lang w:val="fr-FR"/>
        </w:rPr>
        <w:tab/>
        <w:t xml:space="preserve">Afin de faire progresser le processus de regroupement des résolutions, il serait souhaitable de disposer de nouveaux projets de résolutions regroupées pour approbation par le Comité permanent, à transmettre pour examen et adoption à la COP14. Compte tenu du temps disponible, il est possible que deux ou trois projets supplémentaires puissent être préparés à partir du regroupement de </w:t>
      </w:r>
      <w:r w:rsidR="00196387">
        <w:rPr>
          <w:rFonts w:cs="Calibri"/>
          <w:lang w:val="fr-FR"/>
        </w:rPr>
        <w:t>résolutions</w:t>
      </w:r>
      <w:r>
        <w:rPr>
          <w:rFonts w:cs="Calibri"/>
          <w:lang w:val="fr-FR"/>
        </w:rPr>
        <w:t xml:space="preserve"> et de </w:t>
      </w:r>
      <w:r w:rsidR="00196387">
        <w:rPr>
          <w:rFonts w:cs="Calibri"/>
          <w:lang w:val="fr-FR"/>
        </w:rPr>
        <w:t>recommandations</w:t>
      </w:r>
      <w:r>
        <w:rPr>
          <w:rFonts w:cs="Calibri"/>
          <w:lang w:val="fr-FR"/>
        </w:rPr>
        <w:t xml:space="preserve"> présenté à l</w:t>
      </w:r>
      <w:r w:rsidR="00E37382">
        <w:rPr>
          <w:rFonts w:cs="Calibri"/>
          <w:lang w:val="fr-FR"/>
        </w:rPr>
        <w:t>’</w:t>
      </w:r>
      <w:r>
        <w:rPr>
          <w:rFonts w:cs="Calibri"/>
          <w:lang w:val="fr-FR"/>
        </w:rPr>
        <w:t>annexe</w:t>
      </w:r>
      <w:r w:rsidR="00196387">
        <w:rPr>
          <w:rFonts w:cs="Calibri"/>
          <w:lang w:val="fr-FR"/>
        </w:rPr>
        <w:t> </w:t>
      </w:r>
      <w:r>
        <w:rPr>
          <w:rFonts w:cs="Calibri"/>
          <w:lang w:val="fr-FR"/>
        </w:rPr>
        <w:t>2.</w:t>
      </w:r>
    </w:p>
    <w:p w:rsidR="0094644D" w:rsidRPr="00C005E9" w:rsidRDefault="0094644D" w:rsidP="001F5FD4">
      <w:pPr>
        <w:rPr>
          <w:rFonts w:cstheme="minorHAnsi"/>
          <w:lang w:val="fr-FR"/>
        </w:rPr>
      </w:pPr>
    </w:p>
    <w:p w:rsidR="0094644D" w:rsidRPr="00C005E9" w:rsidRDefault="00C005E9" w:rsidP="001F5FD4">
      <w:pPr>
        <w:rPr>
          <w:rFonts w:cstheme="minorHAnsi"/>
          <w:lang w:val="fr-FR"/>
        </w:rPr>
      </w:pPr>
      <w:r>
        <w:rPr>
          <w:rFonts w:cs="Calibri"/>
          <w:lang w:val="fr-FR"/>
        </w:rPr>
        <w:t>24.</w:t>
      </w:r>
      <w:r>
        <w:rPr>
          <w:rFonts w:cs="Calibri"/>
          <w:lang w:val="fr-FR"/>
        </w:rPr>
        <w:tab/>
        <w:t>Les ressources du Secrétariat étant déjà entièrement consacrées à la mise en œuvre de son programme de travail, il serait nécessaire de faire appel à un consultant externe ayant l</w:t>
      </w:r>
      <w:r w:rsidR="00E37382">
        <w:rPr>
          <w:rFonts w:cs="Calibri"/>
          <w:lang w:val="fr-FR"/>
        </w:rPr>
        <w:t>’</w:t>
      </w:r>
      <w:r>
        <w:rPr>
          <w:rFonts w:cs="Calibri"/>
          <w:lang w:val="fr-FR"/>
        </w:rPr>
        <w:t xml:space="preserve">expérience appropriée, </w:t>
      </w:r>
      <w:r w:rsidR="001E56F0">
        <w:rPr>
          <w:rFonts w:cs="Calibri"/>
          <w:lang w:val="fr-FR"/>
        </w:rPr>
        <w:t>pour</w:t>
      </w:r>
      <w:r>
        <w:rPr>
          <w:rFonts w:cs="Calibri"/>
          <w:lang w:val="fr-FR"/>
        </w:rPr>
        <w:t xml:space="preserve"> faire progresser l</w:t>
      </w:r>
      <w:r w:rsidR="00E37382">
        <w:rPr>
          <w:rFonts w:cs="Calibri"/>
          <w:lang w:val="fr-FR"/>
        </w:rPr>
        <w:t>’</w:t>
      </w:r>
      <w:r>
        <w:rPr>
          <w:rFonts w:cs="Calibri"/>
          <w:lang w:val="fr-FR"/>
        </w:rPr>
        <w:t>examen et le regroupement des résolutions, et réaliser les travaux associés à ce processus. Le Secrétariat devra donc demander l</w:t>
      </w:r>
      <w:r w:rsidR="00E37382">
        <w:rPr>
          <w:rFonts w:cs="Calibri"/>
          <w:lang w:val="fr-FR"/>
        </w:rPr>
        <w:t>’</w:t>
      </w:r>
      <w:r>
        <w:rPr>
          <w:rFonts w:cs="Calibri"/>
          <w:lang w:val="fr-FR"/>
        </w:rPr>
        <w:t>autorisation au Comité permanent d</w:t>
      </w:r>
      <w:r w:rsidR="00E37382">
        <w:rPr>
          <w:rFonts w:cs="Calibri"/>
          <w:lang w:val="fr-FR"/>
        </w:rPr>
        <w:t>’</w:t>
      </w:r>
      <w:r>
        <w:rPr>
          <w:rFonts w:cs="Calibri"/>
          <w:lang w:val="fr-FR"/>
        </w:rPr>
        <w:t xml:space="preserve">allouer des fonds à cette fin. </w:t>
      </w:r>
    </w:p>
    <w:p w:rsidR="001F5FD4" w:rsidRPr="00C005E9" w:rsidRDefault="001F5FD4" w:rsidP="001F5FD4">
      <w:pPr>
        <w:rPr>
          <w:rFonts w:cstheme="minorHAnsi"/>
          <w:lang w:val="fr-FR"/>
        </w:rPr>
      </w:pPr>
    </w:p>
    <w:p w:rsidR="00923947" w:rsidRPr="00C005E9" w:rsidRDefault="00C005E9" w:rsidP="00B36934">
      <w:pPr>
        <w:keepNext/>
        <w:ind w:left="0" w:firstLine="0"/>
        <w:rPr>
          <w:rFonts w:cs="Calibri"/>
          <w:b/>
          <w:lang w:val="fr-FR"/>
        </w:rPr>
      </w:pPr>
      <w:r>
        <w:rPr>
          <w:rFonts w:cs="Arial"/>
          <w:b/>
          <w:bCs/>
          <w:lang w:val="fr-FR"/>
        </w:rPr>
        <w:t>Recommandations</w:t>
      </w:r>
    </w:p>
    <w:p w:rsidR="00923947" w:rsidRPr="00C005E9" w:rsidRDefault="00923947" w:rsidP="00923947">
      <w:pPr>
        <w:rPr>
          <w:rFonts w:cs="Calibri"/>
          <w:lang w:val="fr-FR"/>
        </w:rPr>
      </w:pPr>
    </w:p>
    <w:p w:rsidR="00E16518" w:rsidRPr="00C005E9" w:rsidRDefault="00C005E9" w:rsidP="00B858D0">
      <w:pPr>
        <w:rPr>
          <w:rFonts w:cs="Calibri"/>
          <w:lang w:val="fr-FR"/>
        </w:rPr>
      </w:pPr>
      <w:r>
        <w:rPr>
          <w:rFonts w:cs="Calibri"/>
          <w:lang w:val="fr-FR"/>
        </w:rPr>
        <w:t xml:space="preserve">25. </w:t>
      </w:r>
      <w:r>
        <w:rPr>
          <w:rFonts w:cs="Calibri"/>
          <w:lang w:val="fr-FR"/>
        </w:rPr>
        <w:tab/>
        <w:t xml:space="preserve">Le Comité permanent est invité à : </w:t>
      </w:r>
    </w:p>
    <w:p w:rsidR="00514CB2" w:rsidRPr="00C005E9" w:rsidRDefault="00514CB2" w:rsidP="00B858D0">
      <w:pPr>
        <w:rPr>
          <w:rFonts w:cs="Calibri"/>
          <w:lang w:val="fr-FR"/>
        </w:rPr>
      </w:pPr>
    </w:p>
    <w:p w:rsidR="00005D94" w:rsidRPr="00C005E9" w:rsidRDefault="00C005E9" w:rsidP="0035787C">
      <w:pPr>
        <w:ind w:left="851"/>
        <w:rPr>
          <w:rFonts w:cs="Calibri"/>
          <w:lang w:val="fr-FR"/>
        </w:rPr>
      </w:pPr>
      <w:r>
        <w:rPr>
          <w:rFonts w:cs="Calibri"/>
          <w:lang w:val="fr-FR"/>
        </w:rPr>
        <w:t>a)</w:t>
      </w:r>
      <w:r>
        <w:rPr>
          <w:rFonts w:cs="Calibri"/>
          <w:lang w:val="fr-FR"/>
        </w:rPr>
        <w:tab/>
        <w:t>examiner et fournir des commentaires sur le projet de résolution figurant à l</w:t>
      </w:r>
      <w:r w:rsidR="00E37382">
        <w:rPr>
          <w:rFonts w:cs="Calibri"/>
          <w:lang w:val="fr-FR"/>
        </w:rPr>
        <w:t>’</w:t>
      </w:r>
      <w:r>
        <w:rPr>
          <w:rFonts w:cs="Calibri"/>
          <w:lang w:val="fr-FR"/>
        </w:rPr>
        <w:t>annexe</w:t>
      </w:r>
      <w:r w:rsidR="00196387">
        <w:rPr>
          <w:rFonts w:cs="Calibri"/>
          <w:lang w:val="fr-FR"/>
        </w:rPr>
        <w:t> </w:t>
      </w:r>
      <w:r>
        <w:rPr>
          <w:rFonts w:cs="Calibri"/>
          <w:lang w:val="fr-FR"/>
        </w:rPr>
        <w:t>1, concernant un processus d</w:t>
      </w:r>
      <w:r w:rsidR="00E37382">
        <w:rPr>
          <w:rFonts w:cs="Calibri"/>
          <w:lang w:val="fr-FR"/>
        </w:rPr>
        <w:t>’</w:t>
      </w:r>
      <w:r>
        <w:rPr>
          <w:rFonts w:cs="Calibri"/>
          <w:lang w:val="fr-FR"/>
        </w:rPr>
        <w:t>examen et de regroupement des résolutions et recommandations de la Conférence des Parties, et de convenir que ce projet, avec tous les changements nécessaires, devrait être transmis pour examen à la COP14, afin de satisfaire aux exigences du paragraphe</w:t>
      </w:r>
      <w:r w:rsidR="00196387">
        <w:rPr>
          <w:rFonts w:cs="Calibri"/>
          <w:lang w:val="fr-FR"/>
        </w:rPr>
        <w:t> </w:t>
      </w:r>
      <w:r>
        <w:rPr>
          <w:rFonts w:cs="Calibri"/>
          <w:lang w:val="fr-FR"/>
        </w:rPr>
        <w:t>25 de la Résolution</w:t>
      </w:r>
      <w:r w:rsidR="00196387">
        <w:rPr>
          <w:rFonts w:cs="Calibri"/>
          <w:lang w:val="fr-FR"/>
        </w:rPr>
        <w:t> </w:t>
      </w:r>
      <w:r>
        <w:rPr>
          <w:rFonts w:cs="Calibri"/>
          <w:lang w:val="fr-FR"/>
        </w:rPr>
        <w:t>XIII.4</w:t>
      </w:r>
      <w:r w:rsidR="00196387">
        <w:rPr>
          <w:rFonts w:cs="Calibri"/>
          <w:lang w:val="fr-FR"/>
        </w:rPr>
        <w:t> </w:t>
      </w:r>
      <w:r>
        <w:rPr>
          <w:rFonts w:cs="Calibri"/>
          <w:lang w:val="fr-FR"/>
        </w:rPr>
        <w:t>;</w:t>
      </w:r>
    </w:p>
    <w:p w:rsidR="00E16518" w:rsidRPr="00C005E9" w:rsidRDefault="00E16518" w:rsidP="00B858D0">
      <w:pPr>
        <w:rPr>
          <w:rFonts w:cs="Calibri"/>
          <w:lang w:val="fr-FR"/>
        </w:rPr>
      </w:pPr>
    </w:p>
    <w:p w:rsidR="00E41DC3" w:rsidRPr="00C005E9" w:rsidRDefault="00C005E9" w:rsidP="00E16518">
      <w:pPr>
        <w:ind w:left="851"/>
        <w:rPr>
          <w:rFonts w:cs="Calibri"/>
          <w:lang w:val="fr-FR"/>
        </w:rPr>
      </w:pPr>
      <w:r>
        <w:rPr>
          <w:rFonts w:cs="Calibri"/>
          <w:lang w:val="fr-FR"/>
        </w:rPr>
        <w:t>b)</w:t>
      </w:r>
      <w:r>
        <w:rPr>
          <w:rFonts w:cs="Calibri"/>
          <w:lang w:val="fr-FR"/>
        </w:rPr>
        <w:tab/>
        <w:t>examiner le regroupement préliminaire des résolutions et recommandations présenté à l</w:t>
      </w:r>
      <w:r w:rsidR="00E37382">
        <w:rPr>
          <w:rFonts w:cs="Calibri"/>
          <w:lang w:val="fr-FR"/>
        </w:rPr>
        <w:t>’</w:t>
      </w:r>
      <w:r>
        <w:rPr>
          <w:rFonts w:cs="Calibri"/>
          <w:lang w:val="fr-FR"/>
        </w:rPr>
        <w:t>annexe</w:t>
      </w:r>
      <w:r w:rsidR="00196387">
        <w:rPr>
          <w:rFonts w:cs="Calibri"/>
          <w:lang w:val="fr-FR"/>
        </w:rPr>
        <w:t> </w:t>
      </w:r>
      <w:r>
        <w:rPr>
          <w:rFonts w:cs="Calibri"/>
          <w:lang w:val="fr-FR"/>
        </w:rPr>
        <w:t>2, produit comme demandé par le Comité dans la Décision</w:t>
      </w:r>
      <w:r w:rsidR="00196387">
        <w:rPr>
          <w:rFonts w:cs="Calibri"/>
          <w:lang w:val="fr-FR"/>
        </w:rPr>
        <w:t> </w:t>
      </w:r>
      <w:r>
        <w:rPr>
          <w:rFonts w:cs="Calibri"/>
          <w:lang w:val="fr-FR"/>
        </w:rPr>
        <w:t>57-19 en tant que guide pour la préparation des projets ultérieurs de résolutions regroupées</w:t>
      </w:r>
      <w:r w:rsidR="00196387">
        <w:rPr>
          <w:rFonts w:cs="Calibri"/>
          <w:lang w:val="fr-FR"/>
        </w:rPr>
        <w:t> </w:t>
      </w:r>
      <w:r>
        <w:rPr>
          <w:rFonts w:cs="Calibri"/>
          <w:lang w:val="fr-FR"/>
        </w:rPr>
        <w:t>;</w:t>
      </w:r>
    </w:p>
    <w:p w:rsidR="00415709" w:rsidRPr="00C005E9" w:rsidRDefault="00415709" w:rsidP="00E16518">
      <w:pPr>
        <w:ind w:left="851"/>
        <w:rPr>
          <w:rFonts w:cs="Calibri"/>
          <w:lang w:val="fr-FR"/>
        </w:rPr>
      </w:pPr>
    </w:p>
    <w:p w:rsidR="00C628C8" w:rsidRPr="00C005E9" w:rsidRDefault="00C005E9" w:rsidP="00415709">
      <w:pPr>
        <w:ind w:left="851"/>
        <w:rPr>
          <w:rFonts w:cs="Calibri"/>
          <w:lang w:val="fr-FR"/>
        </w:rPr>
      </w:pPr>
      <w:r>
        <w:rPr>
          <w:rFonts w:cs="Calibri"/>
          <w:lang w:val="fr-FR"/>
        </w:rPr>
        <w:t>c)</w:t>
      </w:r>
      <w:r>
        <w:rPr>
          <w:rFonts w:cs="Calibri"/>
          <w:lang w:val="fr-FR"/>
        </w:rPr>
        <w:tab/>
        <w:t>convenir que le Secrétariat devrait préparer au moins deux autres projets de résolutions regroupées pour examen p</w:t>
      </w:r>
      <w:r w:rsidR="00D81CD9">
        <w:rPr>
          <w:rFonts w:cs="Calibri"/>
          <w:lang w:val="fr-FR"/>
        </w:rPr>
        <w:t>ar le Comité permanent à sa 60</w:t>
      </w:r>
      <w:r w:rsidR="00D81CD9" w:rsidRPr="00D81CD9">
        <w:rPr>
          <w:rFonts w:cs="Calibri"/>
          <w:vertAlign w:val="superscript"/>
          <w:lang w:val="fr-FR"/>
        </w:rPr>
        <w:t>e</w:t>
      </w:r>
      <w:r w:rsidR="00D81CD9">
        <w:rPr>
          <w:rFonts w:cs="Calibri"/>
          <w:lang w:val="fr-FR"/>
        </w:rPr>
        <w:t> </w:t>
      </w:r>
      <w:r>
        <w:rPr>
          <w:rFonts w:cs="Calibri"/>
          <w:lang w:val="fr-FR"/>
        </w:rPr>
        <w:t>Réunion (SC60), sur des thèmes choisis dans le regroupement préliminaire de résolutions et recommandations figurant à l</w:t>
      </w:r>
      <w:r w:rsidR="00E37382">
        <w:rPr>
          <w:rFonts w:cs="Calibri"/>
          <w:lang w:val="fr-FR"/>
        </w:rPr>
        <w:t>’</w:t>
      </w:r>
      <w:r>
        <w:rPr>
          <w:rFonts w:cs="Calibri"/>
          <w:lang w:val="fr-FR"/>
        </w:rPr>
        <w:t>annexe</w:t>
      </w:r>
      <w:r w:rsidR="00196387">
        <w:rPr>
          <w:rFonts w:cs="Calibri"/>
          <w:lang w:val="fr-FR"/>
        </w:rPr>
        <w:t> </w:t>
      </w:r>
      <w:r>
        <w:rPr>
          <w:rFonts w:cs="Calibri"/>
          <w:lang w:val="fr-FR"/>
        </w:rPr>
        <w:t>2 du présent document</w:t>
      </w:r>
      <w:r w:rsidR="00196387">
        <w:rPr>
          <w:rFonts w:cs="Calibri"/>
          <w:lang w:val="fr-FR"/>
        </w:rPr>
        <w:t> </w:t>
      </w:r>
      <w:r>
        <w:rPr>
          <w:rFonts w:cs="Calibri"/>
          <w:lang w:val="fr-FR"/>
        </w:rPr>
        <w:t>;</w:t>
      </w:r>
    </w:p>
    <w:p w:rsidR="00415709" w:rsidRPr="00C005E9" w:rsidRDefault="00415709" w:rsidP="00415709">
      <w:pPr>
        <w:rPr>
          <w:rFonts w:cs="Calibri"/>
          <w:lang w:val="fr-FR"/>
        </w:rPr>
      </w:pPr>
    </w:p>
    <w:p w:rsidR="00415709" w:rsidRPr="00C005E9" w:rsidRDefault="00C005E9" w:rsidP="00415709">
      <w:pPr>
        <w:ind w:left="851"/>
        <w:rPr>
          <w:rFonts w:cs="Calibri"/>
          <w:lang w:val="fr-FR"/>
        </w:rPr>
      </w:pPr>
      <w:r>
        <w:rPr>
          <w:rFonts w:cs="Calibri"/>
          <w:lang w:val="fr-FR"/>
        </w:rPr>
        <w:t>d)</w:t>
      </w:r>
      <w:r>
        <w:rPr>
          <w:rFonts w:cs="Calibri"/>
          <w:lang w:val="fr-FR"/>
        </w:rPr>
        <w:tab/>
        <w:t>approuver l</w:t>
      </w:r>
      <w:r w:rsidR="00E37382">
        <w:rPr>
          <w:rFonts w:cs="Calibri"/>
          <w:lang w:val="fr-FR"/>
        </w:rPr>
        <w:t>’</w:t>
      </w:r>
      <w:r>
        <w:rPr>
          <w:rFonts w:cs="Calibri"/>
          <w:lang w:val="fr-FR"/>
        </w:rPr>
        <w:t>allocation de 12</w:t>
      </w:r>
      <w:r w:rsidR="00196387">
        <w:rPr>
          <w:rFonts w:cs="Calibri"/>
          <w:lang w:val="fr-FR"/>
        </w:rPr>
        <w:t> 000 </w:t>
      </w:r>
      <w:r>
        <w:rPr>
          <w:rFonts w:cs="Calibri"/>
          <w:lang w:val="fr-FR"/>
        </w:rPr>
        <w:t>CHF, dont 3000</w:t>
      </w:r>
      <w:r w:rsidR="00196387">
        <w:rPr>
          <w:rFonts w:cs="Calibri"/>
          <w:lang w:val="fr-FR"/>
        </w:rPr>
        <w:t> </w:t>
      </w:r>
      <w:r>
        <w:rPr>
          <w:rFonts w:cs="Calibri"/>
          <w:lang w:val="fr-FR"/>
        </w:rPr>
        <w:t xml:space="preserve">CHF de fonds non dépensés, pour couvrir le coût de la poursuite des travaux de regroupement des </w:t>
      </w:r>
      <w:r w:rsidR="00196387">
        <w:rPr>
          <w:rFonts w:cs="Calibri"/>
          <w:lang w:val="fr-FR"/>
        </w:rPr>
        <w:t>résolutions</w:t>
      </w:r>
      <w:r>
        <w:rPr>
          <w:rFonts w:cs="Calibri"/>
          <w:lang w:val="fr-FR"/>
        </w:rPr>
        <w:t xml:space="preserve"> et </w:t>
      </w:r>
      <w:r w:rsidR="00196387">
        <w:rPr>
          <w:rFonts w:cs="Calibri"/>
          <w:lang w:val="fr-FR"/>
        </w:rPr>
        <w:t>recommandations</w:t>
      </w:r>
      <w:r>
        <w:rPr>
          <w:rFonts w:cs="Calibri"/>
          <w:lang w:val="fr-FR"/>
        </w:rPr>
        <w:t xml:space="preserve"> de la Conférence des Parties, en faisant appel à des services de consultants</w:t>
      </w:r>
      <w:r w:rsidR="00196387">
        <w:rPr>
          <w:rFonts w:cs="Calibri"/>
          <w:lang w:val="fr-FR"/>
        </w:rPr>
        <w:t> </w:t>
      </w:r>
      <w:r>
        <w:rPr>
          <w:rFonts w:cs="Calibri"/>
          <w:lang w:val="fr-FR"/>
        </w:rPr>
        <w:t>;</w:t>
      </w:r>
    </w:p>
    <w:p w:rsidR="00415709" w:rsidRPr="00C005E9" w:rsidRDefault="00415709" w:rsidP="00E16518">
      <w:pPr>
        <w:ind w:left="851"/>
        <w:rPr>
          <w:rFonts w:cs="Calibri"/>
          <w:lang w:val="fr-FR"/>
        </w:rPr>
      </w:pPr>
    </w:p>
    <w:p w:rsidR="00F25DF4" w:rsidRPr="00C005E9" w:rsidRDefault="00C005E9" w:rsidP="00F25DF4">
      <w:pPr>
        <w:ind w:left="851"/>
        <w:rPr>
          <w:rFonts w:cs="Calibri"/>
          <w:lang w:val="fr-FR"/>
        </w:rPr>
      </w:pPr>
      <w:r>
        <w:rPr>
          <w:rFonts w:cs="Calibri"/>
          <w:lang w:val="fr-FR"/>
        </w:rPr>
        <w:lastRenderedPageBreak/>
        <w:t>e)</w:t>
      </w:r>
      <w:r>
        <w:rPr>
          <w:rFonts w:cs="Calibri"/>
          <w:lang w:val="fr-FR"/>
        </w:rPr>
        <w:tab/>
        <w:t xml:space="preserve">convenir que le Secrétariat devrait établir, et tenir à jour, sur le site Web de la Convention une page dédiée </w:t>
      </w:r>
      <w:r w:rsidR="00C4371F">
        <w:rPr>
          <w:rFonts w:cs="Calibri"/>
          <w:lang w:val="fr-FR"/>
        </w:rPr>
        <w:t>présentant une liste de</w:t>
      </w:r>
      <w:r>
        <w:rPr>
          <w:rFonts w:cs="Calibri"/>
          <w:lang w:val="fr-FR"/>
        </w:rPr>
        <w:t xml:space="preserve"> toutes les résolutions et recommandations valides de la Conférence des Parties et une liste </w:t>
      </w:r>
      <w:r w:rsidR="00C4371F">
        <w:rPr>
          <w:rFonts w:cs="Calibri"/>
          <w:lang w:val="fr-FR"/>
        </w:rPr>
        <w:t>distincte</w:t>
      </w:r>
      <w:r>
        <w:rPr>
          <w:rFonts w:cs="Calibri"/>
          <w:lang w:val="fr-FR"/>
        </w:rPr>
        <w:t xml:space="preserve"> de toutes les résolutions et recommandations qui ne sont plus </w:t>
      </w:r>
      <w:r w:rsidR="00C4371F">
        <w:rPr>
          <w:rFonts w:cs="Calibri"/>
          <w:lang w:val="fr-FR"/>
        </w:rPr>
        <w:t>en vigueur </w:t>
      </w:r>
      <w:r>
        <w:rPr>
          <w:rFonts w:cs="Calibri"/>
          <w:lang w:val="fr-FR"/>
        </w:rPr>
        <w:t>; et</w:t>
      </w:r>
    </w:p>
    <w:p w:rsidR="000A3987" w:rsidRPr="00C005E9" w:rsidRDefault="000A3987" w:rsidP="00F25DF4">
      <w:pPr>
        <w:ind w:left="851"/>
        <w:rPr>
          <w:rFonts w:cs="Calibri"/>
          <w:lang w:val="fr-FR"/>
        </w:rPr>
      </w:pPr>
    </w:p>
    <w:p w:rsidR="00E913A3" w:rsidRPr="00C005E9" w:rsidRDefault="00C005E9" w:rsidP="009B62A7">
      <w:pPr>
        <w:ind w:left="851"/>
        <w:rPr>
          <w:rFonts w:cs="Calibri"/>
          <w:lang w:val="fr-FR"/>
        </w:rPr>
      </w:pPr>
      <w:r>
        <w:rPr>
          <w:rFonts w:cs="Calibri"/>
          <w:lang w:val="fr-FR"/>
        </w:rPr>
        <w:t>f)</w:t>
      </w:r>
      <w:r>
        <w:rPr>
          <w:rFonts w:cs="Calibri"/>
          <w:lang w:val="fr-FR"/>
        </w:rPr>
        <w:tab/>
        <w:t xml:space="preserve">convenir </w:t>
      </w:r>
      <w:r>
        <w:rPr>
          <w:rFonts w:cs="Arial"/>
          <w:lang w:val="fr-FR"/>
        </w:rPr>
        <w:t>que les décisions</w:t>
      </w:r>
      <w:r>
        <w:rPr>
          <w:rFonts w:cs="Calibri"/>
          <w:lang w:val="fr-FR"/>
        </w:rPr>
        <w:t xml:space="preserve"> adoptées avant la COP11 (ou une autre date, à préciser par </w:t>
      </w:r>
      <w:r>
        <w:rPr>
          <w:rFonts w:cs="Arial"/>
          <w:lang w:val="fr-FR"/>
        </w:rPr>
        <w:t>le Comité permanent) ne sont plus considérées comme étant en vigueur, et que les organes directeurs assureront le suivi des décisions et de leur application.</w:t>
      </w:r>
      <w:r>
        <w:rPr>
          <w:rFonts w:cs="Arial"/>
          <w:lang w:val="fr-FR"/>
        </w:rPr>
        <w:br w:type="page"/>
      </w:r>
    </w:p>
    <w:p w:rsidR="00F06651" w:rsidRPr="00C005E9" w:rsidRDefault="00C005E9" w:rsidP="009B62A7">
      <w:pPr>
        <w:ind w:left="0" w:firstLine="0"/>
        <w:rPr>
          <w:rFonts w:asciiTheme="minorHAnsi" w:hAnsiTheme="minorHAnsi" w:cstheme="minorHAnsi"/>
          <w:sz w:val="24"/>
          <w:szCs w:val="24"/>
          <w:lang w:val="fr-FR"/>
        </w:rPr>
      </w:pPr>
      <w:r>
        <w:rPr>
          <w:rFonts w:cs="Calibri"/>
          <w:b/>
          <w:bCs/>
          <w:sz w:val="24"/>
          <w:szCs w:val="24"/>
          <w:lang w:val="fr-FR"/>
        </w:rPr>
        <w:lastRenderedPageBreak/>
        <w:t>Annexe</w:t>
      </w:r>
      <w:r w:rsidR="00196387">
        <w:rPr>
          <w:rFonts w:cs="Calibri"/>
          <w:b/>
          <w:bCs/>
          <w:sz w:val="24"/>
          <w:szCs w:val="24"/>
          <w:lang w:val="fr-FR"/>
        </w:rPr>
        <w:t> </w:t>
      </w:r>
      <w:r>
        <w:rPr>
          <w:rFonts w:cs="Calibri"/>
          <w:b/>
          <w:bCs/>
          <w:sz w:val="24"/>
          <w:szCs w:val="24"/>
          <w:lang w:val="fr-FR"/>
        </w:rPr>
        <w:t>1</w:t>
      </w:r>
    </w:p>
    <w:p w:rsidR="00FA003A" w:rsidRPr="00C005E9" w:rsidRDefault="00C005E9" w:rsidP="00F06651">
      <w:pPr>
        <w:ind w:left="0" w:firstLine="0"/>
        <w:rPr>
          <w:rFonts w:cs="Arial"/>
          <w:b/>
          <w:sz w:val="24"/>
          <w:szCs w:val="24"/>
          <w:lang w:val="fr-FR"/>
        </w:rPr>
      </w:pPr>
      <w:r>
        <w:rPr>
          <w:rFonts w:cs="Arial"/>
          <w:b/>
          <w:bCs/>
          <w:sz w:val="24"/>
          <w:szCs w:val="24"/>
          <w:lang w:val="fr-FR"/>
        </w:rPr>
        <w:t>Projet de résolution sur un processus d</w:t>
      </w:r>
      <w:r w:rsidR="00E37382">
        <w:rPr>
          <w:rFonts w:cs="Arial"/>
          <w:b/>
          <w:bCs/>
          <w:sz w:val="24"/>
          <w:szCs w:val="24"/>
          <w:lang w:val="fr-FR"/>
        </w:rPr>
        <w:t>’</w:t>
      </w:r>
      <w:r>
        <w:rPr>
          <w:rFonts w:cs="Arial"/>
          <w:b/>
          <w:bCs/>
          <w:sz w:val="24"/>
          <w:szCs w:val="24"/>
          <w:lang w:val="fr-FR"/>
        </w:rPr>
        <w:t>examen et de regroupement des résolutions et recommandations de la Conférence des Parties</w:t>
      </w:r>
    </w:p>
    <w:p w:rsidR="00170281" w:rsidRPr="00C005E9" w:rsidRDefault="00170281" w:rsidP="00170281">
      <w:pPr>
        <w:ind w:left="0" w:firstLine="0"/>
        <w:rPr>
          <w:rFonts w:cs="Arial"/>
          <w:b/>
          <w:lang w:val="fr-FR"/>
        </w:rPr>
      </w:pPr>
    </w:p>
    <w:p w:rsidR="00170281" w:rsidRPr="00C005E9" w:rsidRDefault="00C005E9" w:rsidP="00170281">
      <w:pPr>
        <w:rPr>
          <w:rFonts w:cstheme="minorHAnsi"/>
          <w:lang w:val="fr-FR"/>
        </w:rPr>
      </w:pPr>
      <w:r>
        <w:rPr>
          <w:rFonts w:cs="Calibri"/>
          <w:lang w:val="fr-FR"/>
        </w:rPr>
        <w:t>1.</w:t>
      </w:r>
      <w:r>
        <w:rPr>
          <w:rFonts w:cs="Calibri"/>
          <w:lang w:val="fr-FR"/>
        </w:rPr>
        <w:tab/>
        <w:t>RAPPELANT la Résolution</w:t>
      </w:r>
      <w:r w:rsidR="00196387">
        <w:rPr>
          <w:rFonts w:cs="Calibri"/>
          <w:lang w:val="fr-FR"/>
        </w:rPr>
        <w:t> </w:t>
      </w:r>
      <w:r>
        <w:rPr>
          <w:rFonts w:cs="Calibri"/>
          <w:lang w:val="fr-FR"/>
        </w:rPr>
        <w:t xml:space="preserve">XIII.4 (2018), </w:t>
      </w:r>
      <w:r>
        <w:rPr>
          <w:rFonts w:cs="Calibri"/>
          <w:i/>
          <w:iCs/>
          <w:lang w:val="fr-FR"/>
        </w:rPr>
        <w:t>Responsabilités, rôle et composition du Comité permanent et répartition régionale des pays dans le cadre de la Convention de Ramsar</w:t>
      </w:r>
      <w:r>
        <w:rPr>
          <w:rFonts w:cs="Calibri"/>
          <w:lang w:val="fr-FR"/>
        </w:rPr>
        <w:t>, et en particulier l</w:t>
      </w:r>
      <w:r w:rsidR="00E37382">
        <w:rPr>
          <w:rFonts w:cs="Calibri"/>
          <w:lang w:val="fr-FR"/>
        </w:rPr>
        <w:t>’</w:t>
      </w:r>
      <w:r>
        <w:rPr>
          <w:rFonts w:cs="Calibri"/>
          <w:lang w:val="fr-FR"/>
        </w:rPr>
        <w:t>exigence, exprimée au paragraphe</w:t>
      </w:r>
      <w:r w:rsidR="00196387">
        <w:rPr>
          <w:rFonts w:cs="Calibri"/>
          <w:lang w:val="fr-FR"/>
        </w:rPr>
        <w:t> </w:t>
      </w:r>
      <w:r>
        <w:rPr>
          <w:rFonts w:cs="Calibri"/>
          <w:lang w:val="fr-FR"/>
        </w:rPr>
        <w:t xml:space="preserve">24 de cette Résolution : </w:t>
      </w:r>
    </w:p>
    <w:p w:rsidR="00170281" w:rsidRPr="00C005E9" w:rsidRDefault="00C005E9" w:rsidP="00170281">
      <w:pPr>
        <w:ind w:left="850"/>
        <w:rPr>
          <w:rFonts w:cstheme="minorHAnsi"/>
          <w:lang w:val="fr-FR"/>
        </w:rPr>
      </w:pPr>
      <w:r>
        <w:rPr>
          <w:rFonts w:cs="Calibri"/>
          <w:lang w:val="fr-FR"/>
        </w:rPr>
        <w:tab/>
      </w:r>
      <w:r>
        <w:rPr>
          <w:i/>
          <w:iCs/>
          <w:lang w:val="fr-FR"/>
        </w:rPr>
        <w:t>envisager un processus pour</w:t>
      </w:r>
      <w:r w:rsidR="00196387">
        <w:rPr>
          <w:i/>
          <w:iCs/>
          <w:lang w:val="fr-FR"/>
        </w:rPr>
        <w:t> </w:t>
      </w:r>
      <w:r>
        <w:rPr>
          <w:i/>
          <w:iCs/>
          <w:lang w:val="fr-FR"/>
        </w:rPr>
        <w:t>: abroger les résolutions et décisions obsolètes</w:t>
      </w:r>
      <w:r w:rsidR="00196387">
        <w:rPr>
          <w:i/>
          <w:iCs/>
          <w:lang w:val="fr-FR"/>
        </w:rPr>
        <w:t> </w:t>
      </w:r>
      <w:r>
        <w:rPr>
          <w:i/>
          <w:iCs/>
          <w:lang w:val="fr-FR"/>
        </w:rPr>
        <w:t>; établir une procédure automatique d</w:t>
      </w:r>
      <w:r w:rsidR="00E37382">
        <w:rPr>
          <w:i/>
          <w:iCs/>
          <w:lang w:val="fr-FR"/>
        </w:rPr>
        <w:t>’</w:t>
      </w:r>
      <w:r>
        <w:rPr>
          <w:i/>
          <w:iCs/>
          <w:lang w:val="fr-FR"/>
        </w:rPr>
        <w:t>abrogation des résolutions et décisions obsolètes ou contradictoires lorsqu</w:t>
      </w:r>
      <w:r w:rsidR="00E37382">
        <w:rPr>
          <w:i/>
          <w:iCs/>
          <w:lang w:val="fr-FR"/>
        </w:rPr>
        <w:t>’</w:t>
      </w:r>
      <w:r>
        <w:rPr>
          <w:i/>
          <w:iCs/>
          <w:lang w:val="fr-FR"/>
        </w:rPr>
        <w:t>elles sont remplacées par de nouveaux textes</w:t>
      </w:r>
      <w:r w:rsidR="00196387">
        <w:rPr>
          <w:i/>
          <w:iCs/>
          <w:lang w:val="fr-FR"/>
        </w:rPr>
        <w:t> </w:t>
      </w:r>
      <w:r>
        <w:rPr>
          <w:i/>
          <w:iCs/>
          <w:lang w:val="fr-FR"/>
        </w:rPr>
        <w:t>; et préparer une liste regroupée de résolutions et décisions à mettre à jour après chaque session de la Conférence des Parties contractantes ainsi que, selon les besoins, après l</w:t>
      </w:r>
      <w:r w:rsidR="00C4371F">
        <w:rPr>
          <w:i/>
          <w:iCs/>
          <w:lang w:val="fr-FR"/>
        </w:rPr>
        <w:t>es réunions du Comité permanent ;</w:t>
      </w:r>
    </w:p>
    <w:p w:rsidR="00170281" w:rsidRPr="00C005E9" w:rsidRDefault="00170281" w:rsidP="00170281">
      <w:pPr>
        <w:keepNext/>
        <w:rPr>
          <w:rFonts w:cstheme="minorHAnsi"/>
          <w:b/>
          <w:lang w:val="fr-FR"/>
        </w:rPr>
      </w:pPr>
    </w:p>
    <w:p w:rsidR="00170281" w:rsidRPr="00C005E9" w:rsidRDefault="00C005E9" w:rsidP="00170281">
      <w:pPr>
        <w:rPr>
          <w:rFonts w:cs="Arial"/>
          <w:lang w:val="fr-FR"/>
        </w:rPr>
      </w:pPr>
      <w:r>
        <w:rPr>
          <w:rFonts w:cs="Arial"/>
          <w:lang w:val="fr-FR"/>
        </w:rPr>
        <w:t>2.</w:t>
      </w:r>
      <w:r>
        <w:rPr>
          <w:rFonts w:cs="Arial"/>
          <w:lang w:val="fr-FR"/>
        </w:rPr>
        <w:tab/>
        <w:t>NOTANT que la référence aux «</w:t>
      </w:r>
      <w:r w:rsidR="00196387">
        <w:rPr>
          <w:rFonts w:cs="Arial"/>
          <w:lang w:val="fr-FR"/>
        </w:rPr>
        <w:t> </w:t>
      </w:r>
      <w:r>
        <w:rPr>
          <w:rFonts w:cs="Arial"/>
          <w:lang w:val="fr-FR"/>
        </w:rPr>
        <w:t>résolutions</w:t>
      </w:r>
      <w:r w:rsidR="00196387">
        <w:rPr>
          <w:rFonts w:cs="Arial"/>
          <w:lang w:val="fr-FR"/>
        </w:rPr>
        <w:t> </w:t>
      </w:r>
      <w:r>
        <w:rPr>
          <w:rFonts w:cs="Arial"/>
          <w:lang w:val="fr-FR"/>
        </w:rPr>
        <w:t>» dans la Résolution</w:t>
      </w:r>
      <w:r w:rsidR="00196387">
        <w:rPr>
          <w:rFonts w:cs="Arial"/>
          <w:lang w:val="fr-FR"/>
        </w:rPr>
        <w:t> </w:t>
      </w:r>
      <w:r>
        <w:rPr>
          <w:rFonts w:cs="Arial"/>
          <w:lang w:val="fr-FR"/>
        </w:rPr>
        <w:t>XIII.4 englobe également les «</w:t>
      </w:r>
      <w:r w:rsidR="00196387">
        <w:rPr>
          <w:rFonts w:cs="Arial"/>
          <w:lang w:val="fr-FR"/>
        </w:rPr>
        <w:t> </w:t>
      </w:r>
      <w:r>
        <w:rPr>
          <w:rFonts w:cs="Arial"/>
          <w:lang w:val="fr-FR"/>
        </w:rPr>
        <w:t>recommandations</w:t>
      </w:r>
      <w:r w:rsidR="00196387">
        <w:rPr>
          <w:rFonts w:cs="Arial"/>
          <w:lang w:val="fr-FR"/>
        </w:rPr>
        <w:t> </w:t>
      </w:r>
      <w:r>
        <w:rPr>
          <w:rFonts w:cs="Arial"/>
          <w:lang w:val="fr-FR"/>
        </w:rPr>
        <w:t>» de la Conférence des Parties et que le terme «</w:t>
      </w:r>
      <w:r w:rsidR="00196387">
        <w:rPr>
          <w:rFonts w:cs="Arial"/>
          <w:lang w:val="fr-FR"/>
        </w:rPr>
        <w:t> </w:t>
      </w:r>
      <w:r>
        <w:rPr>
          <w:rFonts w:cs="Arial"/>
          <w:lang w:val="fr-FR"/>
        </w:rPr>
        <w:t>décisions</w:t>
      </w:r>
      <w:r w:rsidR="00196387">
        <w:rPr>
          <w:rFonts w:cs="Arial"/>
          <w:lang w:val="fr-FR"/>
        </w:rPr>
        <w:t> </w:t>
      </w:r>
      <w:r>
        <w:rPr>
          <w:rFonts w:cs="Arial"/>
          <w:lang w:val="fr-FR"/>
        </w:rPr>
        <w:t>» fait référence aux décisions numérotées du Comité permanent</w:t>
      </w:r>
      <w:r w:rsidR="00196387">
        <w:rPr>
          <w:rFonts w:cs="Arial"/>
          <w:lang w:val="fr-FR"/>
        </w:rPr>
        <w:t> </w:t>
      </w:r>
      <w:r>
        <w:rPr>
          <w:rFonts w:cs="Arial"/>
          <w:lang w:val="fr-FR"/>
        </w:rPr>
        <w:t>;</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3.</w:t>
      </w:r>
      <w:r>
        <w:rPr>
          <w:rFonts w:cs="Arial"/>
          <w:lang w:val="fr-FR"/>
        </w:rPr>
        <w:tab/>
        <w:t>CONVAINCUE de la nécessité de veiller à ce que les résolutions, en tant qu</w:t>
      </w:r>
      <w:r w:rsidR="00E37382">
        <w:rPr>
          <w:rFonts w:cs="Arial"/>
          <w:lang w:val="fr-FR"/>
        </w:rPr>
        <w:t>’</w:t>
      </w:r>
      <w:r>
        <w:rPr>
          <w:rFonts w:cs="Arial"/>
          <w:lang w:val="fr-FR"/>
        </w:rPr>
        <w:t>instruments non contraignants de la Convention, exprimant la politique, les règles et les orientations de la Conférence des Parties, soient claires, concises et facilement accessibles ;</w:t>
      </w:r>
    </w:p>
    <w:p w:rsidR="00170281" w:rsidRPr="00C005E9" w:rsidRDefault="00170281" w:rsidP="00170281">
      <w:pPr>
        <w:rPr>
          <w:rFonts w:cs="Arial"/>
          <w:lang w:val="fr-FR"/>
        </w:rPr>
      </w:pPr>
    </w:p>
    <w:p w:rsidR="00170281" w:rsidRPr="00C005E9" w:rsidRDefault="00C005E9" w:rsidP="00170281">
      <w:pPr>
        <w:jc w:val="center"/>
        <w:rPr>
          <w:rFonts w:cstheme="minorHAnsi"/>
          <w:lang w:val="fr-FR"/>
        </w:rPr>
      </w:pPr>
      <w:r>
        <w:rPr>
          <w:rFonts w:cs="Calibri"/>
          <w:lang w:val="fr-FR"/>
        </w:rPr>
        <w:t>LA CONF</w:t>
      </w:r>
      <w:r w:rsidR="00196387">
        <w:rPr>
          <w:rFonts w:cs="Calibri"/>
          <w:lang w:val="fr-FR"/>
        </w:rPr>
        <w:t>É</w:t>
      </w:r>
      <w:r>
        <w:rPr>
          <w:rFonts w:cs="Calibri"/>
          <w:lang w:val="fr-FR"/>
        </w:rPr>
        <w:t>RENCE DES PARTIES CONTRACTANTES</w:t>
      </w:r>
    </w:p>
    <w:p w:rsidR="00170281" w:rsidRPr="00C005E9" w:rsidRDefault="00170281" w:rsidP="00170281">
      <w:pPr>
        <w:rPr>
          <w:rFonts w:cstheme="minorHAnsi"/>
          <w:lang w:val="fr-FR"/>
        </w:rPr>
      </w:pPr>
    </w:p>
    <w:p w:rsidR="00170281" w:rsidRPr="00C005E9" w:rsidRDefault="00C005E9" w:rsidP="00170281">
      <w:pPr>
        <w:rPr>
          <w:rFonts w:cs="Arial"/>
          <w:u w:val="single"/>
          <w:lang w:val="fr-FR"/>
        </w:rPr>
      </w:pPr>
      <w:r>
        <w:rPr>
          <w:rFonts w:cs="Arial"/>
          <w:u w:val="single"/>
          <w:lang w:val="fr-FR"/>
        </w:rPr>
        <w:t xml:space="preserve">Concernant </w:t>
      </w:r>
      <w:r w:rsidR="00992922">
        <w:rPr>
          <w:rFonts w:cs="Arial"/>
          <w:u w:val="single"/>
          <w:lang w:val="fr-FR"/>
        </w:rPr>
        <w:t>l’abrogation</w:t>
      </w:r>
      <w:r>
        <w:rPr>
          <w:rFonts w:cs="Arial"/>
          <w:u w:val="single"/>
          <w:lang w:val="fr-FR"/>
        </w:rPr>
        <w:t xml:space="preserve"> de</w:t>
      </w:r>
      <w:r w:rsidR="00992922">
        <w:rPr>
          <w:rFonts w:cs="Arial"/>
          <w:u w:val="single"/>
          <w:lang w:val="fr-FR"/>
        </w:rPr>
        <w:t>s</w:t>
      </w:r>
      <w:r>
        <w:rPr>
          <w:rFonts w:cs="Arial"/>
          <w:u w:val="single"/>
          <w:lang w:val="fr-FR"/>
        </w:rPr>
        <w:t xml:space="preserve"> résolutions et parties de résolutions obsolètes</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4.</w:t>
      </w:r>
      <w:r>
        <w:rPr>
          <w:rFonts w:cs="Arial"/>
          <w:lang w:val="fr-FR"/>
        </w:rPr>
        <w:tab/>
        <w:t>CONVIENT que les résolutions et recommandations énumérées à l</w:t>
      </w:r>
      <w:r w:rsidR="00E37382">
        <w:rPr>
          <w:rFonts w:cs="Arial"/>
          <w:lang w:val="fr-FR"/>
        </w:rPr>
        <w:t>’</w:t>
      </w:r>
      <w:r>
        <w:rPr>
          <w:rFonts w:cs="Arial"/>
          <w:lang w:val="fr-FR"/>
        </w:rPr>
        <w:t>annexe</w:t>
      </w:r>
      <w:r w:rsidR="00196387">
        <w:rPr>
          <w:rFonts w:cs="Arial"/>
          <w:lang w:val="fr-FR"/>
        </w:rPr>
        <w:t> </w:t>
      </w:r>
      <w:r>
        <w:rPr>
          <w:rFonts w:cs="Arial"/>
          <w:lang w:val="fr-FR"/>
        </w:rPr>
        <w:t>1 sont effectivement caduques et sont donc abrogées</w:t>
      </w:r>
      <w:r w:rsidR="00196387">
        <w:rPr>
          <w:rFonts w:cs="Arial"/>
          <w:lang w:val="fr-FR"/>
        </w:rPr>
        <w:t> </w:t>
      </w:r>
      <w:r>
        <w:rPr>
          <w:rFonts w:cs="Arial"/>
          <w:lang w:val="fr-FR"/>
        </w:rPr>
        <w:t xml:space="preserve">; </w:t>
      </w:r>
    </w:p>
    <w:p w:rsidR="00170281" w:rsidRPr="00C005E9" w:rsidRDefault="00170281" w:rsidP="00170281">
      <w:pPr>
        <w:rPr>
          <w:rFonts w:cs="Arial"/>
          <w:lang w:val="fr-FR"/>
        </w:rPr>
      </w:pPr>
    </w:p>
    <w:p w:rsidR="00170281" w:rsidRPr="00C005E9" w:rsidRDefault="00C005E9" w:rsidP="00170281">
      <w:pPr>
        <w:ind w:left="0" w:firstLine="0"/>
        <w:rPr>
          <w:rFonts w:cs="Arial"/>
          <w:u w:val="single"/>
          <w:lang w:val="fr-FR"/>
        </w:rPr>
      </w:pPr>
      <w:r>
        <w:rPr>
          <w:rFonts w:cs="Arial"/>
          <w:u w:val="single"/>
          <w:lang w:val="fr-FR"/>
        </w:rPr>
        <w:t>Concernant les listes de</w:t>
      </w:r>
    </w:p>
    <w:p w:rsidR="00170281" w:rsidRPr="00C005E9" w:rsidRDefault="00C005E9" w:rsidP="00170281">
      <w:pPr>
        <w:ind w:left="0" w:firstLine="0"/>
        <w:rPr>
          <w:rFonts w:cs="Arial"/>
          <w:u w:val="single"/>
          <w:lang w:val="fr-FR"/>
        </w:rPr>
      </w:pPr>
      <w:r>
        <w:rPr>
          <w:rFonts w:cs="Arial"/>
          <w:u w:val="single"/>
          <w:lang w:val="fr-FR"/>
        </w:rPr>
        <w:t xml:space="preserve">  </w:t>
      </w:r>
      <w:r w:rsidR="00992922">
        <w:rPr>
          <w:rFonts w:cs="Arial"/>
          <w:u w:val="single"/>
          <w:lang w:val="fr-FR"/>
        </w:rPr>
        <w:t>r</w:t>
      </w:r>
      <w:r>
        <w:rPr>
          <w:rFonts w:cs="Arial"/>
          <w:u w:val="single"/>
          <w:lang w:val="fr-FR"/>
        </w:rPr>
        <w:t>ésolutions actuelles,</w:t>
      </w:r>
    </w:p>
    <w:p w:rsidR="00170281" w:rsidRPr="00C005E9" w:rsidRDefault="00C005E9" w:rsidP="00170281">
      <w:pPr>
        <w:ind w:left="0" w:firstLine="0"/>
        <w:rPr>
          <w:rFonts w:cs="Arial"/>
          <w:u w:val="single"/>
          <w:lang w:val="fr-FR"/>
        </w:rPr>
      </w:pPr>
      <w:r>
        <w:rPr>
          <w:rFonts w:cs="Arial"/>
          <w:u w:val="single"/>
          <w:lang w:val="fr-FR"/>
        </w:rPr>
        <w:t xml:space="preserve">  </w:t>
      </w:r>
      <w:r w:rsidR="00992922">
        <w:rPr>
          <w:rFonts w:cs="Arial"/>
          <w:u w:val="single"/>
          <w:lang w:val="fr-FR"/>
        </w:rPr>
        <w:t>r</w:t>
      </w:r>
      <w:r>
        <w:rPr>
          <w:rFonts w:cs="Arial"/>
          <w:u w:val="single"/>
          <w:lang w:val="fr-FR"/>
        </w:rPr>
        <w:t>ésolutions abrogées ou remplacées et</w:t>
      </w:r>
    </w:p>
    <w:p w:rsidR="00170281" w:rsidRPr="00C005E9" w:rsidRDefault="00C005E9" w:rsidP="00170281">
      <w:pPr>
        <w:ind w:left="0" w:firstLine="0"/>
        <w:rPr>
          <w:rFonts w:cs="Arial"/>
          <w:u w:val="single"/>
          <w:lang w:val="fr-FR"/>
        </w:rPr>
      </w:pPr>
      <w:r>
        <w:rPr>
          <w:rFonts w:cs="Arial"/>
          <w:u w:val="single"/>
          <w:lang w:val="fr-FR"/>
        </w:rPr>
        <w:t xml:space="preserve">  </w:t>
      </w:r>
      <w:r w:rsidR="00992922">
        <w:rPr>
          <w:rFonts w:cs="Arial"/>
          <w:u w:val="single"/>
          <w:lang w:val="fr-FR"/>
        </w:rPr>
        <w:t>a</w:t>
      </w:r>
      <w:r>
        <w:rPr>
          <w:rFonts w:cs="Arial"/>
          <w:u w:val="single"/>
          <w:lang w:val="fr-FR"/>
        </w:rPr>
        <w:t>utres décisions de la Conférence des Parties</w:t>
      </w:r>
    </w:p>
    <w:p w:rsidR="00170281" w:rsidRPr="00C005E9" w:rsidRDefault="00170281" w:rsidP="00170281">
      <w:pPr>
        <w:rPr>
          <w:rFonts w:cs="Arial"/>
          <w:lang w:val="fr-FR"/>
        </w:rPr>
      </w:pPr>
    </w:p>
    <w:p w:rsidR="00170281" w:rsidRPr="00C005E9" w:rsidRDefault="00C005E9" w:rsidP="00170281">
      <w:pPr>
        <w:rPr>
          <w:rFonts w:cstheme="minorHAnsi"/>
          <w:lang w:val="fr-FR"/>
        </w:rPr>
      </w:pPr>
      <w:r>
        <w:rPr>
          <w:rFonts w:cs="Arial"/>
          <w:lang w:val="fr-FR"/>
        </w:rPr>
        <w:t>5.</w:t>
      </w:r>
      <w:r>
        <w:rPr>
          <w:rFonts w:cs="Arial"/>
          <w:lang w:val="fr-FR"/>
        </w:rPr>
        <w:tab/>
        <w:t>CHARGE</w:t>
      </w:r>
      <w:r>
        <w:rPr>
          <w:rFonts w:cs="Calibri"/>
          <w:lang w:val="fr-FR"/>
        </w:rPr>
        <w:t xml:space="preserve"> le Secrétariat de maintenir, sur le site Web de la Convention de Ramsar sur les zones humides : </w:t>
      </w:r>
    </w:p>
    <w:p w:rsidR="00170281" w:rsidRPr="00C005E9" w:rsidRDefault="00C005E9" w:rsidP="001A0DA6">
      <w:pPr>
        <w:ind w:left="851"/>
        <w:rPr>
          <w:rFonts w:cs="Calibri"/>
          <w:lang w:val="fr-FR"/>
        </w:rPr>
      </w:pPr>
      <w:r>
        <w:rPr>
          <w:rFonts w:cs="Calibri"/>
          <w:lang w:val="fr-FR"/>
        </w:rPr>
        <w:t xml:space="preserve">- </w:t>
      </w:r>
      <w:r>
        <w:rPr>
          <w:rFonts w:cs="Calibri"/>
          <w:lang w:val="fr-FR"/>
        </w:rPr>
        <w:tab/>
      </w:r>
      <w:r>
        <w:rPr>
          <w:rFonts w:cs="Arial"/>
          <w:lang w:val="fr-FR"/>
        </w:rPr>
        <w:t>une liste de toutes les résolutions actuelles de la Conférence des Parties contractantes</w:t>
      </w:r>
      <w:r>
        <w:rPr>
          <w:rFonts w:cs="Calibri"/>
          <w:lang w:val="fr-FR"/>
        </w:rPr>
        <w:t>, et</w:t>
      </w:r>
    </w:p>
    <w:p w:rsidR="00170281" w:rsidRPr="00C005E9" w:rsidRDefault="00C005E9" w:rsidP="001A0DA6">
      <w:pPr>
        <w:ind w:left="851"/>
        <w:rPr>
          <w:rFonts w:cstheme="minorHAnsi"/>
          <w:lang w:val="fr-FR"/>
        </w:rPr>
      </w:pPr>
      <w:r>
        <w:rPr>
          <w:rFonts w:cs="Calibri"/>
          <w:lang w:val="fr-FR"/>
        </w:rPr>
        <w:t xml:space="preserve">- </w:t>
      </w:r>
      <w:r>
        <w:rPr>
          <w:rFonts w:cs="Calibri"/>
          <w:lang w:val="fr-FR"/>
        </w:rPr>
        <w:tab/>
        <w:t>une liste séparée des résolutions qui ne sont plus en vigueur, y compris les versions précédentes des résolutions qui ont été révisées</w:t>
      </w:r>
      <w:r w:rsidR="00196387">
        <w:rPr>
          <w:rFonts w:cs="Calibri"/>
          <w:lang w:val="fr-FR"/>
        </w:rPr>
        <w:t> </w:t>
      </w:r>
      <w:r>
        <w:rPr>
          <w:rFonts w:cs="Calibri"/>
          <w:lang w:val="fr-FR"/>
        </w:rPr>
        <w:t xml:space="preserve">; </w:t>
      </w:r>
    </w:p>
    <w:p w:rsidR="00170281" w:rsidRPr="00C005E9" w:rsidRDefault="00170281" w:rsidP="00170281">
      <w:pPr>
        <w:rPr>
          <w:rFonts w:cstheme="minorHAnsi"/>
          <w:lang w:val="fr-FR"/>
        </w:rPr>
      </w:pPr>
    </w:p>
    <w:p w:rsidR="00170281" w:rsidRPr="00C005E9" w:rsidRDefault="00C005E9" w:rsidP="00170281">
      <w:pPr>
        <w:rPr>
          <w:rFonts w:cstheme="minorHAnsi"/>
          <w:lang w:val="fr-FR"/>
        </w:rPr>
      </w:pPr>
      <w:r>
        <w:rPr>
          <w:rFonts w:cs="Calibri"/>
          <w:lang w:val="fr-FR"/>
        </w:rPr>
        <w:t>6.</w:t>
      </w:r>
      <w:r>
        <w:rPr>
          <w:rFonts w:cs="Calibri"/>
          <w:lang w:val="fr-FR"/>
        </w:rPr>
        <w:tab/>
      </w:r>
      <w:r>
        <w:rPr>
          <w:rFonts w:cs="Arial"/>
          <w:lang w:val="fr-FR"/>
        </w:rPr>
        <w:t>CHARGE</w:t>
      </w:r>
      <w:r>
        <w:rPr>
          <w:rFonts w:cs="Calibri"/>
          <w:lang w:val="fr-FR"/>
        </w:rPr>
        <w:t xml:space="preserve"> le Secrétariat de </w:t>
      </w:r>
      <w:r w:rsidR="00C4371F">
        <w:rPr>
          <w:rFonts w:cs="Calibri"/>
          <w:lang w:val="fr-FR"/>
        </w:rPr>
        <w:t>maintenir</w:t>
      </w:r>
      <w:r>
        <w:rPr>
          <w:rFonts w:cs="Calibri"/>
          <w:lang w:val="fr-FR"/>
        </w:rPr>
        <w:t xml:space="preserve">, sur le site Web de la Convention, une liste de toutes les autres </w:t>
      </w:r>
      <w:r w:rsidR="00196387">
        <w:rPr>
          <w:rFonts w:cs="Calibri"/>
          <w:lang w:val="fr-FR"/>
        </w:rPr>
        <w:t>« </w:t>
      </w:r>
      <w:r>
        <w:rPr>
          <w:rFonts w:cs="Calibri"/>
          <w:lang w:val="fr-FR"/>
        </w:rPr>
        <w:t>décisions de la Conférence des Parties</w:t>
      </w:r>
      <w:r w:rsidR="00196387">
        <w:rPr>
          <w:rFonts w:cs="Calibri"/>
          <w:lang w:val="fr-FR"/>
        </w:rPr>
        <w:t> »</w:t>
      </w:r>
      <w:r>
        <w:rPr>
          <w:rFonts w:cs="Calibri"/>
          <w:lang w:val="fr-FR"/>
        </w:rPr>
        <w:t>, qui sont conçues pour avoir un effet à court terme. Celles-ci sont numérotées et comprennent uniquement</w:t>
      </w:r>
      <w:r w:rsidR="00196387">
        <w:rPr>
          <w:rFonts w:cs="Calibri"/>
          <w:lang w:val="fr-FR"/>
        </w:rPr>
        <w:t> </w:t>
      </w:r>
      <w:r>
        <w:rPr>
          <w:rFonts w:cs="Calibri"/>
          <w:lang w:val="fr-FR"/>
        </w:rPr>
        <w:t>: les instructions ou les demandes adressées aux comités, aux groupes d</w:t>
      </w:r>
      <w:r w:rsidR="00E37382">
        <w:rPr>
          <w:rFonts w:cs="Calibri"/>
          <w:lang w:val="fr-FR"/>
        </w:rPr>
        <w:t>’</w:t>
      </w:r>
      <w:r>
        <w:rPr>
          <w:rFonts w:cs="Calibri"/>
          <w:lang w:val="fr-FR"/>
        </w:rPr>
        <w:t>experts, aux groupes de travail, aux autres organes de la Convention ou au Secrétariat, à moins qu</w:t>
      </w:r>
      <w:r w:rsidR="00E37382">
        <w:rPr>
          <w:rFonts w:cs="Calibri"/>
          <w:lang w:val="fr-FR"/>
        </w:rPr>
        <w:t>’</w:t>
      </w:r>
      <w:r>
        <w:rPr>
          <w:rFonts w:cs="Calibri"/>
          <w:lang w:val="fr-FR"/>
        </w:rPr>
        <w:t>elles ne fassent partie d</w:t>
      </w:r>
      <w:r w:rsidR="00E37382">
        <w:rPr>
          <w:rFonts w:cs="Calibri"/>
          <w:lang w:val="fr-FR"/>
        </w:rPr>
        <w:t>’</w:t>
      </w:r>
      <w:r>
        <w:rPr>
          <w:rFonts w:cs="Calibri"/>
          <w:lang w:val="fr-FR"/>
        </w:rPr>
        <w:t>une procédure à long terme</w:t>
      </w:r>
      <w:r w:rsidR="00196387">
        <w:rPr>
          <w:rFonts w:cs="Calibri"/>
          <w:lang w:val="fr-FR"/>
        </w:rPr>
        <w:t> </w:t>
      </w:r>
      <w:r>
        <w:rPr>
          <w:rFonts w:cs="Calibri"/>
          <w:lang w:val="fr-FR"/>
        </w:rPr>
        <w:t>; et les recommandations ou autres formes de décision qui sont limitées dans le temps ou qui doivent être mises en œuvre peu après leur adoption et qui seront ensuite obsolètes. Cette liste sera mise à jour par le Secrétariat après chaque session de la Conférence des Parties</w:t>
      </w:r>
      <w:r w:rsidR="00196387">
        <w:rPr>
          <w:rFonts w:cs="Calibri"/>
          <w:lang w:val="fr-FR"/>
        </w:rPr>
        <w:t> </w:t>
      </w:r>
      <w:r>
        <w:rPr>
          <w:rFonts w:cs="Calibri"/>
          <w:lang w:val="fr-FR"/>
        </w:rPr>
        <w:t>;</w:t>
      </w:r>
    </w:p>
    <w:p w:rsidR="00170281" w:rsidRPr="00C005E9" w:rsidRDefault="00170281" w:rsidP="00170281">
      <w:pPr>
        <w:rPr>
          <w:rFonts w:cs="Arial"/>
          <w:lang w:val="fr-FR"/>
        </w:rPr>
      </w:pPr>
    </w:p>
    <w:p w:rsidR="00170281" w:rsidRPr="00C005E9" w:rsidRDefault="00C005E9" w:rsidP="008B256A">
      <w:pPr>
        <w:keepNext/>
        <w:rPr>
          <w:rFonts w:cs="Calibri"/>
          <w:u w:val="single"/>
          <w:lang w:val="fr-FR"/>
        </w:rPr>
      </w:pPr>
      <w:r>
        <w:rPr>
          <w:rFonts w:cs="Arial"/>
          <w:u w:val="single"/>
          <w:lang w:val="fr-FR"/>
        </w:rPr>
        <w:lastRenderedPageBreak/>
        <w:t xml:space="preserve">Concernant la révision et le regroupement des résolutions actuelles </w:t>
      </w:r>
    </w:p>
    <w:p w:rsidR="00170281" w:rsidRPr="00C005E9" w:rsidRDefault="00170281" w:rsidP="008B256A">
      <w:pPr>
        <w:keepNext/>
        <w:rPr>
          <w:rFonts w:cs="Calibri"/>
          <w:lang w:val="fr-FR"/>
        </w:rPr>
      </w:pPr>
    </w:p>
    <w:p w:rsidR="00170281" w:rsidRPr="00C005E9" w:rsidRDefault="00C005E9" w:rsidP="00170281">
      <w:pPr>
        <w:rPr>
          <w:rFonts w:cs="Calibri"/>
          <w:lang w:val="fr-FR"/>
        </w:rPr>
      </w:pPr>
      <w:r>
        <w:rPr>
          <w:rFonts w:cs="Calibri"/>
          <w:lang w:val="fr-FR"/>
        </w:rPr>
        <w:t>7.</w:t>
      </w:r>
      <w:r>
        <w:rPr>
          <w:rFonts w:cs="Calibri"/>
          <w:lang w:val="fr-FR"/>
        </w:rPr>
        <w:tab/>
        <w:t>DÉCIDE d</w:t>
      </w:r>
      <w:r w:rsidR="00E37382">
        <w:rPr>
          <w:rFonts w:cs="Calibri"/>
          <w:lang w:val="fr-FR"/>
        </w:rPr>
        <w:t>’</w:t>
      </w:r>
      <w:r>
        <w:rPr>
          <w:rFonts w:cs="Calibri"/>
          <w:lang w:val="fr-FR"/>
        </w:rPr>
        <w:t>établir un processus de regroupement des résolutions de la Conférence des Parties, comme suit :</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a)</w:t>
      </w:r>
      <w:r>
        <w:rPr>
          <w:rFonts w:cs="Calibri"/>
          <w:lang w:val="fr-FR"/>
        </w:rPr>
        <w:tab/>
        <w:t>L</w:t>
      </w:r>
      <w:r w:rsidR="00E37382">
        <w:rPr>
          <w:rFonts w:cs="Calibri"/>
          <w:lang w:val="fr-FR"/>
        </w:rPr>
        <w:t>’</w:t>
      </w:r>
      <w:r>
        <w:rPr>
          <w:rFonts w:cs="Calibri"/>
          <w:lang w:val="fr-FR"/>
        </w:rPr>
        <w:t>objectif général du regroupement est de faciliter la compréhension et la mise en œuvre des résolutions en combinant en une seule résolution les textes des résolutions existantes qui traitent du même sujet, en utilisant autant que possible les formulations des résolutions existantes, tout en éliminant les divergences et les incohérences, en clarifiant le sens, en uniformisant les termes utilisés, en corrigeant les erreurs grammaticales, en mettant à jour les parties obsolètes et en éliminant les parties caduques</w:t>
      </w:r>
      <w:r w:rsidR="00196387">
        <w:rPr>
          <w:rFonts w:cs="Calibri"/>
          <w:lang w:val="fr-FR"/>
        </w:rPr>
        <w:t> </w:t>
      </w:r>
      <w:r>
        <w:rPr>
          <w:rFonts w:cs="Calibri"/>
          <w:lang w:val="fr-FR"/>
        </w:rPr>
        <w:t xml:space="preserve">; </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b)</w:t>
      </w:r>
      <w:r>
        <w:rPr>
          <w:rFonts w:cs="Calibri"/>
          <w:lang w:val="fr-FR"/>
        </w:rPr>
        <w:tab/>
        <w:t>Le Secrétariat est chargé de préparer, pour chaque session de la Conférence des Parties, un ou plusieurs projets de résolution</w:t>
      </w:r>
      <w:r w:rsidR="00FA2911">
        <w:rPr>
          <w:rFonts w:cs="Calibri"/>
          <w:lang w:val="fr-FR"/>
        </w:rPr>
        <w:t>s</w:t>
      </w:r>
      <w:r>
        <w:rPr>
          <w:rFonts w:cs="Calibri"/>
          <w:lang w:val="fr-FR"/>
        </w:rPr>
        <w:t xml:space="preserve"> visant à regrouper les résolutions existantes traitant d</w:t>
      </w:r>
      <w:r w:rsidR="00E37382">
        <w:rPr>
          <w:rFonts w:cs="Calibri"/>
          <w:lang w:val="fr-FR"/>
        </w:rPr>
        <w:t>’</w:t>
      </w:r>
      <w:r>
        <w:rPr>
          <w:rFonts w:cs="Calibri"/>
          <w:lang w:val="fr-FR"/>
        </w:rPr>
        <w:t>un même sujet. La sélection des résolutions est guidée par le Comité permanent en se référant au regroupement préliminaire des résolutions et recommandations figurant dans l</w:t>
      </w:r>
      <w:r w:rsidR="00E37382">
        <w:rPr>
          <w:rFonts w:cs="Calibri"/>
          <w:lang w:val="fr-FR"/>
        </w:rPr>
        <w:t>’</w:t>
      </w:r>
      <w:r>
        <w:rPr>
          <w:rFonts w:cs="Calibri"/>
          <w:lang w:val="fr-FR"/>
        </w:rPr>
        <w:t>Annexe</w:t>
      </w:r>
      <w:r w:rsidR="00196387">
        <w:rPr>
          <w:rFonts w:cs="Calibri"/>
          <w:lang w:val="fr-FR"/>
        </w:rPr>
        <w:t> </w:t>
      </w:r>
      <w:r>
        <w:rPr>
          <w:rFonts w:cs="Calibri"/>
          <w:lang w:val="fr-FR"/>
        </w:rPr>
        <w:t>1 du document</w:t>
      </w:r>
      <w:r w:rsidR="00196387">
        <w:rPr>
          <w:rFonts w:cs="Calibri"/>
          <w:lang w:val="fr-FR"/>
        </w:rPr>
        <w:t> </w:t>
      </w:r>
      <w:r>
        <w:rPr>
          <w:rFonts w:cs="Calibri"/>
          <w:lang w:val="fr-FR"/>
        </w:rPr>
        <w:t xml:space="preserve">SC58 Doc.13 ; </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c)</w:t>
      </w:r>
      <w:r>
        <w:rPr>
          <w:rFonts w:cs="Calibri"/>
          <w:lang w:val="fr-FR"/>
        </w:rPr>
        <w:tab/>
        <w:t>Le document de présentation de chaque projet de résolution regroupée indique l</w:t>
      </w:r>
      <w:r w:rsidR="00E37382">
        <w:rPr>
          <w:rFonts w:cs="Calibri"/>
          <w:lang w:val="fr-FR"/>
        </w:rPr>
        <w:t>’</w:t>
      </w:r>
      <w:r>
        <w:rPr>
          <w:rFonts w:cs="Calibri"/>
          <w:lang w:val="fr-FR"/>
        </w:rPr>
        <w:t>origine des textes présentés et explique les différences éventuelles avec les résolutions existantes</w:t>
      </w:r>
      <w:r w:rsidR="00196387">
        <w:rPr>
          <w:rFonts w:cs="Calibri"/>
          <w:lang w:val="fr-FR"/>
        </w:rPr>
        <w:t> </w:t>
      </w:r>
      <w:r>
        <w:rPr>
          <w:rFonts w:cs="Calibri"/>
          <w:lang w:val="fr-FR"/>
        </w:rPr>
        <w:t xml:space="preserve">; </w:t>
      </w:r>
    </w:p>
    <w:p w:rsidR="00170281" w:rsidRPr="00C005E9" w:rsidRDefault="00C005E9" w:rsidP="00170281">
      <w:pPr>
        <w:tabs>
          <w:tab w:val="left" w:pos="425"/>
          <w:tab w:val="left" w:pos="851"/>
          <w:tab w:val="left" w:pos="1276"/>
        </w:tabs>
        <w:ind w:left="851" w:hanging="851"/>
        <w:rPr>
          <w:rFonts w:cs="Calibri"/>
          <w:lang w:val="fr-FR"/>
        </w:rPr>
      </w:pPr>
      <w:r w:rsidRPr="00C005E9">
        <w:rPr>
          <w:rFonts w:cs="Calibri"/>
          <w:lang w:val="fr-FR"/>
        </w:rPr>
        <w:tab/>
      </w: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d)</w:t>
      </w:r>
      <w:r>
        <w:rPr>
          <w:rFonts w:cs="Calibri"/>
          <w:lang w:val="fr-FR"/>
        </w:rPr>
        <w:tab/>
        <w:t xml:space="preserve">Les projets de résolutions regroupées </w:t>
      </w:r>
      <w:r w:rsidR="00C4371F">
        <w:rPr>
          <w:rFonts w:cs="Calibri"/>
          <w:lang w:val="fr-FR"/>
        </w:rPr>
        <w:t>n’incluent pas</w:t>
      </w:r>
      <w:r>
        <w:rPr>
          <w:rFonts w:cs="Calibri"/>
          <w:lang w:val="fr-FR"/>
        </w:rPr>
        <w:t xml:space="preserve"> de nouveaux concepts, politiques, règles ou orientations qui n</w:t>
      </w:r>
      <w:r w:rsidR="00E37382">
        <w:rPr>
          <w:rFonts w:cs="Calibri"/>
          <w:lang w:val="fr-FR"/>
        </w:rPr>
        <w:t>’</w:t>
      </w:r>
      <w:r>
        <w:rPr>
          <w:rFonts w:cs="Calibri"/>
          <w:lang w:val="fr-FR"/>
        </w:rPr>
        <w:t>ont pas été précédemment approuvés par la Conférence des Parties</w:t>
      </w:r>
      <w:r w:rsidR="00196387">
        <w:rPr>
          <w:rFonts w:cs="Calibri"/>
          <w:lang w:val="fr-FR"/>
        </w:rPr>
        <w:t> </w:t>
      </w:r>
      <w:r>
        <w:rPr>
          <w:rFonts w:cs="Calibri"/>
          <w:lang w:val="fr-FR"/>
        </w:rPr>
        <w:t>;</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e)</w:t>
      </w:r>
      <w:r>
        <w:rPr>
          <w:rFonts w:cs="Calibri"/>
          <w:lang w:val="fr-FR"/>
        </w:rPr>
        <w:tab/>
        <w:t>Le texte de chaque projet de résolution regroupée indique qu</w:t>
      </w:r>
      <w:r w:rsidR="00E37382">
        <w:rPr>
          <w:rFonts w:cs="Calibri"/>
          <w:lang w:val="fr-FR"/>
        </w:rPr>
        <w:t>’</w:t>
      </w:r>
      <w:r>
        <w:rPr>
          <w:rFonts w:cs="Calibri"/>
          <w:lang w:val="fr-FR"/>
        </w:rPr>
        <w:t>il abroge les résolutions faisant l</w:t>
      </w:r>
      <w:r w:rsidR="00E37382">
        <w:rPr>
          <w:rFonts w:cs="Calibri"/>
          <w:lang w:val="fr-FR"/>
        </w:rPr>
        <w:t>’</w:t>
      </w:r>
      <w:r>
        <w:rPr>
          <w:rFonts w:cs="Calibri"/>
          <w:lang w:val="fr-FR"/>
        </w:rPr>
        <w:t>objet du regroupement et qu</w:t>
      </w:r>
      <w:r w:rsidR="00E37382">
        <w:rPr>
          <w:rFonts w:cs="Calibri"/>
          <w:lang w:val="fr-FR"/>
        </w:rPr>
        <w:t>’</w:t>
      </w:r>
      <w:r>
        <w:rPr>
          <w:rFonts w:cs="Calibri"/>
          <w:lang w:val="fr-FR"/>
        </w:rPr>
        <w:t>il est destiné à les remplacer</w:t>
      </w:r>
      <w:r w:rsidR="00196387">
        <w:rPr>
          <w:rFonts w:cs="Calibri"/>
          <w:lang w:val="fr-FR"/>
        </w:rPr>
        <w:t> </w:t>
      </w:r>
      <w:r>
        <w:rPr>
          <w:rFonts w:cs="Calibri"/>
          <w:lang w:val="fr-FR"/>
        </w:rPr>
        <w:t>;</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Calibri"/>
          <w:lang w:val="fr-FR"/>
        </w:rPr>
      </w:pPr>
      <w:r>
        <w:rPr>
          <w:rFonts w:cs="Calibri"/>
          <w:lang w:val="fr-FR"/>
        </w:rPr>
        <w:tab/>
        <w:t>f)</w:t>
      </w:r>
      <w:r>
        <w:rPr>
          <w:rFonts w:cs="Calibri"/>
          <w:lang w:val="fr-FR"/>
        </w:rPr>
        <w:tab/>
        <w:t>Chaque projet de résolution regroupée préparé par le Secrétariat est présenté au Comité permanent, qui guide le Secrétariat et approuve le projet à soumettre à l</w:t>
      </w:r>
      <w:r w:rsidR="00E37382">
        <w:rPr>
          <w:rFonts w:cs="Calibri"/>
          <w:lang w:val="fr-FR"/>
        </w:rPr>
        <w:t>’</w:t>
      </w:r>
      <w:r>
        <w:rPr>
          <w:rFonts w:cs="Calibri"/>
          <w:lang w:val="fr-FR"/>
        </w:rPr>
        <w:t>adoption de la Conférence des Parties lorsqu</w:t>
      </w:r>
      <w:r w:rsidR="00E37382">
        <w:rPr>
          <w:rFonts w:cs="Calibri"/>
          <w:lang w:val="fr-FR"/>
        </w:rPr>
        <w:t>’</w:t>
      </w:r>
      <w:r>
        <w:rPr>
          <w:rFonts w:cs="Calibri"/>
          <w:lang w:val="fr-FR"/>
        </w:rPr>
        <w:t>il estime que le projet a été correctement préparé</w:t>
      </w:r>
      <w:r w:rsidR="00196387">
        <w:rPr>
          <w:rFonts w:cs="Calibri"/>
          <w:lang w:val="fr-FR"/>
        </w:rPr>
        <w:t> </w:t>
      </w:r>
      <w:r>
        <w:rPr>
          <w:rFonts w:cs="Calibri"/>
          <w:lang w:val="fr-FR"/>
        </w:rPr>
        <w:t>;</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theme="minorHAnsi"/>
          <w:lang w:val="fr-FR"/>
        </w:rPr>
      </w:pPr>
      <w:r>
        <w:rPr>
          <w:rFonts w:cs="Calibri"/>
          <w:lang w:val="fr-FR"/>
        </w:rPr>
        <w:tab/>
        <w:t>g)</w:t>
      </w:r>
      <w:r>
        <w:rPr>
          <w:rFonts w:cs="Arial"/>
          <w:lang w:val="fr-FR"/>
        </w:rPr>
        <w:tab/>
      </w:r>
      <w:r>
        <w:rPr>
          <w:rFonts w:cs="Calibri"/>
          <w:lang w:val="fr-FR"/>
        </w:rPr>
        <w:t>Le processus de regroupement des résolutions n</w:t>
      </w:r>
      <w:r w:rsidR="00E37382">
        <w:rPr>
          <w:rFonts w:cs="Calibri"/>
          <w:lang w:val="fr-FR"/>
        </w:rPr>
        <w:t>’</w:t>
      </w:r>
      <w:r>
        <w:rPr>
          <w:rFonts w:cs="Calibri"/>
          <w:lang w:val="fr-FR"/>
        </w:rPr>
        <w:t xml:space="preserve">ayant pas pour objet de réviser </w:t>
      </w:r>
      <w:r w:rsidR="00FA2911">
        <w:rPr>
          <w:rFonts w:cs="Calibri"/>
          <w:lang w:val="fr-FR"/>
        </w:rPr>
        <w:t>le fond</w:t>
      </w:r>
      <w:r>
        <w:rPr>
          <w:rFonts w:cs="Calibri"/>
          <w:lang w:val="fr-FR"/>
        </w:rPr>
        <w:t xml:space="preserve"> des décisions prises antérieurement par la Conférence des Parties, le Règlement intérieur pour l</w:t>
      </w:r>
      <w:r w:rsidR="00E37382">
        <w:rPr>
          <w:rFonts w:cs="Calibri"/>
          <w:lang w:val="fr-FR"/>
        </w:rPr>
        <w:t>’</w:t>
      </w:r>
      <w:r>
        <w:rPr>
          <w:rFonts w:cs="Calibri"/>
          <w:lang w:val="fr-FR"/>
        </w:rPr>
        <w:t>examen et l</w:t>
      </w:r>
      <w:r w:rsidR="00E37382">
        <w:rPr>
          <w:rFonts w:cs="Calibri"/>
          <w:lang w:val="fr-FR"/>
        </w:rPr>
        <w:t>’</w:t>
      </w:r>
      <w:r>
        <w:rPr>
          <w:rFonts w:cs="Calibri"/>
          <w:lang w:val="fr-FR"/>
        </w:rPr>
        <w:t>adoption des projets de résolutions regroupées sera différent de celui qui s</w:t>
      </w:r>
      <w:r w:rsidR="00E37382">
        <w:rPr>
          <w:rFonts w:cs="Calibri"/>
          <w:lang w:val="fr-FR"/>
        </w:rPr>
        <w:t>’</w:t>
      </w:r>
      <w:r>
        <w:rPr>
          <w:rFonts w:cs="Calibri"/>
          <w:lang w:val="fr-FR"/>
        </w:rPr>
        <w:t>applique à l</w:t>
      </w:r>
      <w:r w:rsidR="00E37382">
        <w:rPr>
          <w:rFonts w:cs="Calibri"/>
          <w:lang w:val="fr-FR"/>
        </w:rPr>
        <w:t>’</w:t>
      </w:r>
      <w:r>
        <w:rPr>
          <w:rFonts w:cs="Calibri"/>
          <w:lang w:val="fr-FR"/>
        </w:rPr>
        <w:t>examen des autres projets de résolutions en ce sens que, en règle générale, le fond ne devrait pas être présenté pour discussion puisqu</w:t>
      </w:r>
      <w:r w:rsidR="00E37382">
        <w:rPr>
          <w:rFonts w:cs="Calibri"/>
          <w:lang w:val="fr-FR"/>
        </w:rPr>
        <w:t>’</w:t>
      </w:r>
      <w:r>
        <w:rPr>
          <w:rFonts w:cs="Calibri"/>
          <w:lang w:val="fr-FR"/>
        </w:rPr>
        <w:t>il a en principe déjà été approuvé par les Parties. La Conférence doit principalement décider si le regroupement a été fait correctement</w:t>
      </w:r>
      <w:r w:rsidR="00196387">
        <w:rPr>
          <w:rFonts w:cs="Calibri"/>
          <w:lang w:val="fr-FR"/>
        </w:rPr>
        <w:t> </w:t>
      </w:r>
      <w:r>
        <w:rPr>
          <w:rFonts w:cs="Calibri"/>
          <w:lang w:val="fr-FR"/>
        </w:rPr>
        <w:t>; et</w:t>
      </w:r>
    </w:p>
    <w:p w:rsidR="00170281" w:rsidRPr="00C005E9" w:rsidRDefault="00170281" w:rsidP="00170281">
      <w:pPr>
        <w:tabs>
          <w:tab w:val="left" w:pos="425"/>
          <w:tab w:val="left" w:pos="851"/>
          <w:tab w:val="left" w:pos="1276"/>
        </w:tabs>
        <w:ind w:left="851" w:hanging="851"/>
        <w:rPr>
          <w:rFonts w:cs="Calibri"/>
          <w:lang w:val="fr-FR"/>
        </w:rPr>
      </w:pPr>
    </w:p>
    <w:p w:rsidR="00170281" w:rsidRPr="00C005E9" w:rsidRDefault="00C005E9" w:rsidP="00170281">
      <w:pPr>
        <w:tabs>
          <w:tab w:val="left" w:pos="425"/>
          <w:tab w:val="left" w:pos="851"/>
          <w:tab w:val="left" w:pos="1276"/>
        </w:tabs>
        <w:ind w:left="851" w:hanging="851"/>
        <w:rPr>
          <w:rFonts w:cs="Arial"/>
          <w:lang w:val="fr-FR"/>
        </w:rPr>
      </w:pPr>
      <w:r>
        <w:rPr>
          <w:rFonts w:cs="Calibri"/>
          <w:lang w:val="fr-FR"/>
        </w:rPr>
        <w:tab/>
      </w:r>
      <w:r>
        <w:rPr>
          <w:rFonts w:cs="Arial"/>
          <w:lang w:val="fr-FR"/>
        </w:rPr>
        <w:t>h)</w:t>
      </w:r>
      <w:r>
        <w:rPr>
          <w:rFonts w:cs="Arial"/>
          <w:lang w:val="fr-FR"/>
        </w:rPr>
        <w:tab/>
        <w:t>Le processus de regroupement des résolutions est considéré comme achevé lorsqu</w:t>
      </w:r>
      <w:r w:rsidR="00E37382">
        <w:rPr>
          <w:rFonts w:cs="Arial"/>
          <w:lang w:val="fr-FR"/>
        </w:rPr>
        <w:t>’</w:t>
      </w:r>
      <w:r>
        <w:rPr>
          <w:rFonts w:cs="Arial"/>
          <w:lang w:val="fr-FR"/>
        </w:rPr>
        <w:t>il n</w:t>
      </w:r>
      <w:r w:rsidR="00E37382">
        <w:rPr>
          <w:rFonts w:cs="Arial"/>
          <w:lang w:val="fr-FR"/>
        </w:rPr>
        <w:t>’</w:t>
      </w:r>
      <w:r>
        <w:rPr>
          <w:rFonts w:cs="Arial"/>
          <w:lang w:val="fr-FR"/>
        </w:rPr>
        <w:t>y a pas plus d</w:t>
      </w:r>
      <w:r w:rsidR="00E37382">
        <w:rPr>
          <w:rFonts w:cs="Arial"/>
          <w:lang w:val="fr-FR"/>
        </w:rPr>
        <w:t>’</w:t>
      </w:r>
      <w:r>
        <w:rPr>
          <w:rFonts w:cs="Arial"/>
          <w:lang w:val="fr-FR"/>
        </w:rPr>
        <w:t>une résolution traitant d</w:t>
      </w:r>
      <w:r w:rsidR="00E37382">
        <w:rPr>
          <w:rFonts w:cs="Arial"/>
          <w:lang w:val="fr-FR"/>
        </w:rPr>
        <w:t>’</w:t>
      </w:r>
      <w:r>
        <w:rPr>
          <w:rFonts w:cs="Arial"/>
          <w:lang w:val="fr-FR"/>
        </w:rPr>
        <w:t>un thème majeur déterminé par le Comité permanent</w:t>
      </w:r>
      <w:r w:rsidR="00196387">
        <w:rPr>
          <w:rFonts w:cs="Arial"/>
          <w:lang w:val="fr-FR"/>
        </w:rPr>
        <w:t> </w:t>
      </w:r>
      <w:r>
        <w:rPr>
          <w:rFonts w:cs="Arial"/>
          <w:lang w:val="fr-FR"/>
        </w:rPr>
        <w:t>;</w:t>
      </w:r>
    </w:p>
    <w:p w:rsidR="00170281" w:rsidRPr="00C005E9" w:rsidRDefault="00170281" w:rsidP="00170281">
      <w:pPr>
        <w:rPr>
          <w:rFonts w:cs="Calibri"/>
          <w:lang w:val="fr-FR"/>
        </w:rPr>
      </w:pPr>
    </w:p>
    <w:p w:rsidR="00170281" w:rsidRPr="00C005E9" w:rsidRDefault="00C005E9" w:rsidP="00170281">
      <w:pPr>
        <w:rPr>
          <w:rFonts w:cs="Calibri"/>
          <w:u w:val="single"/>
          <w:lang w:val="fr-FR"/>
        </w:rPr>
      </w:pPr>
      <w:r>
        <w:rPr>
          <w:rFonts w:cs="Calibri"/>
          <w:u w:val="single"/>
          <w:lang w:val="fr-FR"/>
        </w:rPr>
        <w:t>Concernant la préparation et l</w:t>
      </w:r>
      <w:r w:rsidR="00E37382">
        <w:rPr>
          <w:rFonts w:cs="Calibri"/>
          <w:u w:val="single"/>
          <w:lang w:val="fr-FR"/>
        </w:rPr>
        <w:t>’</w:t>
      </w:r>
      <w:r>
        <w:rPr>
          <w:rFonts w:cs="Calibri"/>
          <w:u w:val="single"/>
          <w:lang w:val="fr-FR"/>
        </w:rPr>
        <w:t>adoption des projets de résolution</w:t>
      </w:r>
      <w:r w:rsidR="00FA2911">
        <w:rPr>
          <w:rFonts w:cs="Calibri"/>
          <w:u w:val="single"/>
          <w:lang w:val="fr-FR"/>
        </w:rPr>
        <w:t>s</w:t>
      </w:r>
      <w:r>
        <w:rPr>
          <w:rFonts w:cs="Calibri"/>
          <w:u w:val="single"/>
          <w:lang w:val="fr-FR"/>
        </w:rPr>
        <w:t xml:space="preserve"> et des projets de décision</w:t>
      </w:r>
      <w:r w:rsidR="00FA2911">
        <w:rPr>
          <w:rFonts w:cs="Calibri"/>
          <w:u w:val="single"/>
          <w:lang w:val="fr-FR"/>
        </w:rPr>
        <w:t>s</w:t>
      </w:r>
    </w:p>
    <w:p w:rsidR="00170281" w:rsidRPr="00C005E9" w:rsidRDefault="00170281" w:rsidP="00170281">
      <w:pPr>
        <w:rPr>
          <w:rFonts w:cs="Calibri"/>
          <w:lang w:val="fr-FR"/>
        </w:rPr>
      </w:pPr>
    </w:p>
    <w:p w:rsidR="00170281" w:rsidRPr="00C005E9" w:rsidRDefault="00C005E9" w:rsidP="00170281">
      <w:pPr>
        <w:rPr>
          <w:rFonts w:cs="Calibri"/>
          <w:lang w:val="fr-FR"/>
        </w:rPr>
      </w:pPr>
      <w:r>
        <w:rPr>
          <w:rFonts w:cs="Calibri"/>
          <w:lang w:val="fr-FR"/>
        </w:rPr>
        <w:t>8.</w:t>
      </w:r>
      <w:r>
        <w:rPr>
          <w:rFonts w:cs="Calibri"/>
          <w:lang w:val="fr-FR"/>
        </w:rPr>
        <w:tab/>
        <w:t>DEMANDE aux Parties, à la présidence des comités, groupes d</w:t>
      </w:r>
      <w:r w:rsidR="00E37382">
        <w:rPr>
          <w:rFonts w:cs="Calibri"/>
          <w:lang w:val="fr-FR"/>
        </w:rPr>
        <w:t>’</w:t>
      </w:r>
      <w:r>
        <w:rPr>
          <w:rFonts w:cs="Calibri"/>
          <w:lang w:val="fr-FR"/>
        </w:rPr>
        <w:t>experts et autres organes de la Convention, ainsi qu</w:t>
      </w:r>
      <w:r w:rsidR="00E37382">
        <w:rPr>
          <w:rFonts w:cs="Calibri"/>
          <w:lang w:val="fr-FR"/>
        </w:rPr>
        <w:t>’</w:t>
      </w:r>
      <w:r>
        <w:rPr>
          <w:rFonts w:cs="Calibri"/>
          <w:lang w:val="fr-FR"/>
        </w:rPr>
        <w:t>au Secrétariat, de suivre les orientations figurant à l</w:t>
      </w:r>
      <w:r w:rsidR="00E37382">
        <w:rPr>
          <w:rFonts w:cs="Calibri"/>
          <w:lang w:val="fr-FR"/>
        </w:rPr>
        <w:t>’</w:t>
      </w:r>
      <w:r>
        <w:rPr>
          <w:rFonts w:cs="Calibri"/>
          <w:lang w:val="fr-FR"/>
        </w:rPr>
        <w:t>annexe</w:t>
      </w:r>
      <w:r w:rsidR="00196387">
        <w:rPr>
          <w:rFonts w:cs="Calibri"/>
          <w:lang w:val="fr-FR"/>
        </w:rPr>
        <w:t> </w:t>
      </w:r>
      <w:r>
        <w:rPr>
          <w:rFonts w:cs="Calibri"/>
          <w:lang w:val="fr-FR"/>
        </w:rPr>
        <w:t>2</w:t>
      </w:r>
      <w:r w:rsidR="00196387">
        <w:rPr>
          <w:rFonts w:cs="Calibri"/>
          <w:lang w:val="fr-FR"/>
        </w:rPr>
        <w:t> </w:t>
      </w:r>
      <w:r>
        <w:rPr>
          <w:rFonts w:cs="Calibri"/>
          <w:lang w:val="fr-FR"/>
        </w:rPr>
        <w:t>;</w:t>
      </w:r>
    </w:p>
    <w:p w:rsidR="00170281" w:rsidRPr="00C005E9" w:rsidRDefault="00170281" w:rsidP="00170281">
      <w:pPr>
        <w:rPr>
          <w:rFonts w:cs="Calibri"/>
          <w:lang w:val="fr-FR"/>
        </w:rPr>
      </w:pPr>
    </w:p>
    <w:p w:rsidR="00170281" w:rsidRPr="00C005E9" w:rsidRDefault="00C005E9" w:rsidP="00170281">
      <w:pPr>
        <w:keepNext/>
        <w:rPr>
          <w:rFonts w:cs="Calibri"/>
          <w:lang w:val="fr-FR"/>
        </w:rPr>
      </w:pPr>
      <w:r>
        <w:rPr>
          <w:rFonts w:cs="Arial"/>
          <w:u w:val="single"/>
          <w:lang w:val="fr-FR"/>
        </w:rPr>
        <w:lastRenderedPageBreak/>
        <w:t xml:space="preserve">Concernant les décisions </w:t>
      </w:r>
      <w:r>
        <w:rPr>
          <w:rFonts w:cs="Calibri"/>
          <w:u w:val="single"/>
          <w:lang w:val="fr-FR"/>
        </w:rPr>
        <w:t>du Comité permanent</w:t>
      </w:r>
    </w:p>
    <w:p w:rsidR="00170281" w:rsidRPr="00C005E9" w:rsidRDefault="00170281" w:rsidP="00170281">
      <w:pPr>
        <w:keepNext/>
        <w:rPr>
          <w:rFonts w:cstheme="minorHAnsi"/>
          <w:lang w:val="fr-FR"/>
        </w:rPr>
      </w:pPr>
    </w:p>
    <w:p w:rsidR="00170281" w:rsidRPr="00C005E9" w:rsidRDefault="00C005E9" w:rsidP="00170281">
      <w:pPr>
        <w:rPr>
          <w:rFonts w:cs="Calibri"/>
          <w:lang w:val="fr-FR"/>
        </w:rPr>
      </w:pPr>
      <w:r>
        <w:rPr>
          <w:rFonts w:cs="Calibri"/>
          <w:lang w:val="fr-FR"/>
        </w:rPr>
        <w:t>9.</w:t>
      </w:r>
      <w:r>
        <w:rPr>
          <w:rFonts w:cs="Calibri"/>
          <w:lang w:val="fr-FR"/>
        </w:rPr>
        <w:tab/>
        <w:t>DÉCIDE que la procédure d</w:t>
      </w:r>
      <w:r w:rsidR="00E37382">
        <w:rPr>
          <w:rFonts w:cs="Calibri"/>
          <w:lang w:val="fr-FR"/>
        </w:rPr>
        <w:t>’</w:t>
      </w:r>
      <w:r>
        <w:rPr>
          <w:rFonts w:cs="Calibri"/>
          <w:lang w:val="fr-FR"/>
        </w:rPr>
        <w:t xml:space="preserve">enregistrement et de maintien des </w:t>
      </w:r>
      <w:r>
        <w:rPr>
          <w:rFonts w:cs="Arial"/>
          <w:lang w:val="fr-FR"/>
        </w:rPr>
        <w:t>décisions</w:t>
      </w:r>
      <w:r>
        <w:rPr>
          <w:rFonts w:cs="Calibri"/>
          <w:lang w:val="fr-FR"/>
        </w:rPr>
        <w:t xml:space="preserve"> du Comité permanent est décidée par le Comité permanent lui-même, à condition que toutes les décisions actuelles et antérieures soient facilement accessibles sur le site Web de la Convention</w:t>
      </w:r>
      <w:r w:rsidR="00196387">
        <w:rPr>
          <w:rFonts w:cs="Calibri"/>
          <w:lang w:val="fr-FR"/>
        </w:rPr>
        <w:t> </w:t>
      </w:r>
      <w:r>
        <w:rPr>
          <w:rFonts w:cs="Calibri"/>
          <w:lang w:val="fr-FR"/>
        </w:rPr>
        <w:t xml:space="preserve">; et </w:t>
      </w:r>
    </w:p>
    <w:p w:rsidR="00170281" w:rsidRPr="00C005E9" w:rsidRDefault="00170281" w:rsidP="00170281">
      <w:pPr>
        <w:rPr>
          <w:rFonts w:cs="Calibri"/>
          <w:lang w:val="fr-FR"/>
        </w:rPr>
      </w:pPr>
    </w:p>
    <w:p w:rsidR="00170281" w:rsidRPr="00C005E9" w:rsidRDefault="00C005E9" w:rsidP="001A0DA6">
      <w:pPr>
        <w:ind w:left="426" w:hanging="426"/>
        <w:rPr>
          <w:rFonts w:cs="Calibri"/>
          <w:lang w:val="fr-FR"/>
        </w:rPr>
      </w:pPr>
      <w:r>
        <w:rPr>
          <w:rFonts w:cs="Calibri"/>
          <w:lang w:val="fr-FR"/>
        </w:rPr>
        <w:t>10.</w:t>
      </w:r>
      <w:r>
        <w:rPr>
          <w:rFonts w:cs="Calibri"/>
          <w:lang w:val="fr-FR"/>
        </w:rPr>
        <w:tab/>
        <w:t>ABROGE les paragraphes</w:t>
      </w:r>
      <w:r w:rsidR="00196387">
        <w:rPr>
          <w:rFonts w:cs="Calibri"/>
          <w:lang w:val="fr-FR"/>
        </w:rPr>
        <w:t> </w:t>
      </w:r>
      <w:r>
        <w:rPr>
          <w:rFonts w:cs="Calibri"/>
          <w:lang w:val="fr-FR"/>
        </w:rPr>
        <w:t>10, 11, 24 et 25 de la Résolution</w:t>
      </w:r>
      <w:r w:rsidR="00196387">
        <w:rPr>
          <w:rFonts w:cs="Calibri"/>
          <w:lang w:val="fr-FR"/>
        </w:rPr>
        <w:t> </w:t>
      </w:r>
      <w:r>
        <w:rPr>
          <w:rFonts w:cs="Calibri"/>
          <w:lang w:val="fr-FR"/>
        </w:rPr>
        <w:t xml:space="preserve">XII.4 </w:t>
      </w:r>
      <w:r>
        <w:rPr>
          <w:rFonts w:cs="Calibri"/>
          <w:i/>
          <w:iCs/>
          <w:lang w:val="fr-FR"/>
        </w:rPr>
        <w:t>Responsabilités, rôle et composition du Comité permanent et répartition régionale des pays dans le cadre de la Convention de Ramsar</w:t>
      </w:r>
      <w:r>
        <w:rPr>
          <w:rFonts w:cs="Calibri"/>
          <w:lang w:val="fr-FR"/>
        </w:rPr>
        <w:t>.</w:t>
      </w:r>
    </w:p>
    <w:p w:rsidR="00170281" w:rsidRPr="00C005E9" w:rsidRDefault="00170281" w:rsidP="00170281">
      <w:pPr>
        <w:ind w:left="0" w:firstLine="0"/>
        <w:rPr>
          <w:rFonts w:cs="Calibri"/>
          <w:lang w:val="fr-FR"/>
        </w:rPr>
      </w:pPr>
    </w:p>
    <w:p w:rsidR="00170281" w:rsidRPr="00C005E9" w:rsidRDefault="00170281" w:rsidP="00170281">
      <w:pPr>
        <w:ind w:left="0" w:firstLine="0"/>
        <w:rPr>
          <w:rFonts w:cs="Calibri"/>
          <w:lang w:val="fr-FR"/>
        </w:rPr>
      </w:pPr>
    </w:p>
    <w:p w:rsidR="00170281" w:rsidRPr="00C005E9" w:rsidRDefault="00C005E9" w:rsidP="00170281">
      <w:pPr>
        <w:rPr>
          <w:rFonts w:cs="Calibri"/>
          <w:lang w:val="fr-FR"/>
        </w:rPr>
      </w:pPr>
      <w:r w:rsidRPr="00C005E9">
        <w:rPr>
          <w:rFonts w:cs="Calibri"/>
          <w:lang w:val="fr-FR"/>
        </w:rPr>
        <w:br w:type="page"/>
      </w:r>
    </w:p>
    <w:p w:rsidR="00170281" w:rsidRPr="00C005E9" w:rsidRDefault="00C005E9" w:rsidP="008B256A">
      <w:pPr>
        <w:ind w:left="0" w:firstLine="0"/>
        <w:rPr>
          <w:rFonts w:asciiTheme="minorHAnsi" w:hAnsiTheme="minorHAnsi" w:cstheme="minorHAnsi"/>
          <w:i/>
          <w:lang w:val="fr-FR"/>
        </w:rPr>
      </w:pPr>
      <w:r>
        <w:rPr>
          <w:rFonts w:cs="Calibri"/>
          <w:b/>
          <w:bCs/>
          <w:i/>
          <w:iCs/>
          <w:lang w:val="fr-FR"/>
        </w:rPr>
        <w:lastRenderedPageBreak/>
        <w:t>Projet de résolution, annexe</w:t>
      </w:r>
      <w:r w:rsidR="00196387">
        <w:rPr>
          <w:rFonts w:cs="Calibri"/>
          <w:b/>
          <w:bCs/>
          <w:i/>
          <w:iCs/>
          <w:lang w:val="fr-FR"/>
        </w:rPr>
        <w:t> </w:t>
      </w:r>
      <w:r>
        <w:rPr>
          <w:rFonts w:cs="Calibri"/>
          <w:b/>
          <w:bCs/>
          <w:i/>
          <w:iCs/>
          <w:lang w:val="fr-FR"/>
        </w:rPr>
        <w:t>1</w:t>
      </w:r>
    </w:p>
    <w:p w:rsidR="00170281" w:rsidRPr="00C005E9" w:rsidRDefault="00C005E9" w:rsidP="008B256A">
      <w:pPr>
        <w:ind w:left="0" w:firstLine="0"/>
        <w:rPr>
          <w:rFonts w:cs="Arial"/>
          <w:b/>
          <w:sz w:val="24"/>
          <w:szCs w:val="24"/>
          <w:lang w:val="fr-FR"/>
        </w:rPr>
      </w:pPr>
      <w:r>
        <w:rPr>
          <w:rFonts w:cs="Arial"/>
          <w:b/>
          <w:bCs/>
          <w:i/>
          <w:iCs/>
          <w:lang w:val="fr-FR"/>
        </w:rPr>
        <w:t>Résolutions de la Conférence des Parties contractantes considérées comme caduques</w:t>
      </w:r>
      <w:r>
        <w:rPr>
          <w:rFonts w:cs="Arial"/>
          <w:b/>
          <w:bCs/>
          <w:i/>
          <w:iCs/>
          <w:lang w:val="fr-FR"/>
        </w:rPr>
        <w:br/>
      </w:r>
    </w:p>
    <w:p w:rsidR="00170281" w:rsidRPr="00C005E9" w:rsidRDefault="00C005E9" w:rsidP="00170281">
      <w:pPr>
        <w:ind w:left="0" w:firstLine="0"/>
        <w:rPr>
          <w:rFonts w:asciiTheme="minorHAnsi" w:hAnsiTheme="minorHAnsi" w:cstheme="minorHAnsi"/>
          <w:lang w:val="fr-FR"/>
        </w:rPr>
      </w:pPr>
      <w:r>
        <w:rPr>
          <w:rFonts w:cs="Calibri"/>
          <w:lang w:val="fr-FR"/>
        </w:rPr>
        <w:t xml:space="preserve">Liste à insérer de </w:t>
      </w:r>
      <w:r>
        <w:rPr>
          <w:rFonts w:cs="Arial"/>
          <w:lang w:val="fr-FR"/>
        </w:rPr>
        <w:t>l</w:t>
      </w:r>
      <w:r w:rsidR="00E37382">
        <w:rPr>
          <w:rFonts w:cs="Arial"/>
          <w:lang w:val="fr-FR"/>
        </w:rPr>
        <w:t>’</w:t>
      </w:r>
      <w:r>
        <w:rPr>
          <w:rFonts w:cs="Arial"/>
          <w:lang w:val="fr-FR"/>
        </w:rPr>
        <w:t>annexe du document</w:t>
      </w:r>
      <w:r w:rsidR="00196387">
        <w:rPr>
          <w:rFonts w:cs="Arial"/>
          <w:lang w:val="fr-FR"/>
        </w:rPr>
        <w:t> </w:t>
      </w:r>
      <w:r>
        <w:rPr>
          <w:rFonts w:cs="Arial"/>
          <w:lang w:val="fr-FR"/>
        </w:rPr>
        <w:t>SC59 Doc.13.2.</w:t>
      </w:r>
    </w:p>
    <w:p w:rsidR="00170281" w:rsidRPr="00C005E9" w:rsidRDefault="00170281" w:rsidP="00170281">
      <w:pPr>
        <w:rPr>
          <w:rFonts w:asciiTheme="minorHAnsi" w:hAnsiTheme="minorHAnsi" w:cstheme="minorHAnsi"/>
          <w:lang w:val="fr-FR"/>
        </w:rPr>
      </w:pPr>
    </w:p>
    <w:p w:rsidR="008B256A" w:rsidRPr="00C005E9" w:rsidRDefault="00C005E9">
      <w:pPr>
        <w:rPr>
          <w:rFonts w:asciiTheme="minorHAnsi" w:hAnsiTheme="minorHAnsi" w:cstheme="minorHAnsi"/>
          <w:b/>
          <w:bCs/>
          <w:i/>
          <w:lang w:val="fr-FR"/>
        </w:rPr>
      </w:pPr>
      <w:r w:rsidRPr="00C005E9">
        <w:rPr>
          <w:rFonts w:asciiTheme="minorHAnsi" w:hAnsiTheme="minorHAnsi" w:cstheme="minorHAnsi"/>
          <w:b/>
          <w:bCs/>
          <w:i/>
          <w:lang w:val="fr-FR"/>
        </w:rPr>
        <w:br w:type="page"/>
      </w:r>
    </w:p>
    <w:p w:rsidR="00170281" w:rsidRPr="00C005E9" w:rsidRDefault="00C005E9" w:rsidP="008B256A">
      <w:pPr>
        <w:ind w:left="0" w:firstLine="0"/>
        <w:rPr>
          <w:rFonts w:asciiTheme="minorHAnsi" w:hAnsiTheme="minorHAnsi" w:cstheme="minorHAnsi"/>
          <w:b/>
          <w:bCs/>
          <w:i/>
          <w:lang w:val="fr-FR"/>
        </w:rPr>
      </w:pPr>
      <w:r>
        <w:rPr>
          <w:rFonts w:cs="Calibri"/>
          <w:b/>
          <w:bCs/>
          <w:i/>
          <w:iCs/>
          <w:lang w:val="fr-FR"/>
        </w:rPr>
        <w:lastRenderedPageBreak/>
        <w:t>Projet de résolution, annexe</w:t>
      </w:r>
      <w:r w:rsidR="00196387">
        <w:rPr>
          <w:rFonts w:cs="Calibri"/>
          <w:b/>
          <w:bCs/>
          <w:i/>
          <w:iCs/>
          <w:lang w:val="fr-FR"/>
        </w:rPr>
        <w:t> </w:t>
      </w:r>
      <w:r>
        <w:rPr>
          <w:rFonts w:cs="Calibri"/>
          <w:b/>
          <w:bCs/>
          <w:i/>
          <w:iCs/>
          <w:lang w:val="fr-FR"/>
        </w:rPr>
        <w:t>2</w:t>
      </w:r>
    </w:p>
    <w:p w:rsidR="00170281" w:rsidRPr="00C005E9" w:rsidRDefault="00C005E9" w:rsidP="00170281">
      <w:pPr>
        <w:ind w:left="0" w:firstLine="0"/>
        <w:rPr>
          <w:rFonts w:asciiTheme="minorHAnsi" w:hAnsiTheme="minorHAnsi" w:cstheme="minorHAnsi"/>
          <w:b/>
          <w:bCs/>
          <w:i/>
          <w:lang w:val="fr-FR"/>
        </w:rPr>
      </w:pPr>
      <w:r>
        <w:rPr>
          <w:rFonts w:cs="Calibri"/>
          <w:b/>
          <w:bCs/>
          <w:i/>
          <w:iCs/>
          <w:lang w:val="fr-FR"/>
        </w:rPr>
        <w:t>Lignes directrices pour la préparation et l</w:t>
      </w:r>
      <w:r w:rsidR="00E37382">
        <w:rPr>
          <w:rFonts w:cs="Calibri"/>
          <w:b/>
          <w:bCs/>
          <w:i/>
          <w:iCs/>
          <w:lang w:val="fr-FR"/>
        </w:rPr>
        <w:t>’</w:t>
      </w:r>
      <w:r>
        <w:rPr>
          <w:rFonts w:cs="Calibri"/>
          <w:b/>
          <w:bCs/>
          <w:i/>
          <w:iCs/>
          <w:lang w:val="fr-FR"/>
        </w:rPr>
        <w:t>enregistrement des futures résolutions et décisions de la Conférence des Parties contractantes</w:t>
      </w:r>
    </w:p>
    <w:p w:rsidR="00170281" w:rsidRPr="00C005E9" w:rsidRDefault="00170281" w:rsidP="00170281">
      <w:pPr>
        <w:rPr>
          <w:rFonts w:cs="Arial"/>
          <w:lang w:val="fr-FR"/>
        </w:rPr>
      </w:pPr>
    </w:p>
    <w:p w:rsidR="00170281" w:rsidRPr="00C005E9" w:rsidRDefault="00C005E9" w:rsidP="00170281">
      <w:pPr>
        <w:rPr>
          <w:rFonts w:cs="Arial"/>
          <w:u w:val="single"/>
          <w:lang w:val="fr-FR"/>
        </w:rPr>
      </w:pPr>
      <w:r>
        <w:rPr>
          <w:rFonts w:cs="Arial"/>
          <w:u w:val="single"/>
          <w:lang w:val="fr-FR"/>
        </w:rPr>
        <w:t>Orientations à l</w:t>
      </w:r>
      <w:r w:rsidR="00E37382">
        <w:rPr>
          <w:rFonts w:cs="Arial"/>
          <w:u w:val="single"/>
          <w:lang w:val="fr-FR"/>
        </w:rPr>
        <w:t>’</w:t>
      </w:r>
      <w:r>
        <w:rPr>
          <w:rFonts w:cs="Arial"/>
          <w:u w:val="single"/>
          <w:lang w:val="fr-FR"/>
        </w:rPr>
        <w:t>adresse des autorités administratives et de la présidence des organes de la Convention</w:t>
      </w:r>
    </w:p>
    <w:p w:rsidR="00170281" w:rsidRPr="00C005E9" w:rsidRDefault="00170281" w:rsidP="00170281">
      <w:pPr>
        <w:rPr>
          <w:rFonts w:cs="Arial"/>
          <w:lang w:val="fr-FR"/>
        </w:rPr>
      </w:pPr>
    </w:p>
    <w:p w:rsidR="00170281" w:rsidRPr="00C005E9" w:rsidRDefault="00C005E9" w:rsidP="00170281">
      <w:pPr>
        <w:ind w:left="0" w:firstLine="0"/>
        <w:rPr>
          <w:rFonts w:cs="Arial"/>
          <w:lang w:val="fr-FR"/>
        </w:rPr>
      </w:pPr>
      <w:r>
        <w:rPr>
          <w:rFonts w:cs="Arial"/>
          <w:lang w:val="fr-FR"/>
        </w:rPr>
        <w:t>Les Parties sont instamment priées de se conformer aux orientations suivantes lors de la préparation des projets de résolution</w:t>
      </w:r>
      <w:r w:rsidR="00FA2911">
        <w:rPr>
          <w:rFonts w:cs="Arial"/>
          <w:lang w:val="fr-FR"/>
        </w:rPr>
        <w:t>s</w:t>
      </w:r>
      <w:r>
        <w:rPr>
          <w:rFonts w:cs="Arial"/>
          <w:lang w:val="fr-FR"/>
        </w:rPr>
        <w:t xml:space="preserve"> de la Conférence des Parties.</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1.</w:t>
      </w:r>
      <w:r>
        <w:rPr>
          <w:rFonts w:cs="Arial"/>
          <w:lang w:val="fr-FR"/>
        </w:rPr>
        <w:tab/>
        <w:t>Dans la mesure du possible, les futurs projets de résolution</w:t>
      </w:r>
      <w:r w:rsidR="00FA2911">
        <w:rPr>
          <w:rFonts w:cs="Arial"/>
          <w:lang w:val="fr-FR"/>
        </w:rPr>
        <w:t>s</w:t>
      </w:r>
      <w:r>
        <w:rPr>
          <w:rFonts w:cs="Arial"/>
          <w:lang w:val="fr-FR"/>
        </w:rPr>
        <w:t xml:space="preserve"> devraient être préparés de manière à ce que, s</w:t>
      </w:r>
      <w:r w:rsidR="00E37382">
        <w:rPr>
          <w:rFonts w:cs="Arial"/>
          <w:lang w:val="fr-FR"/>
        </w:rPr>
        <w:t>’</w:t>
      </w:r>
      <w:r>
        <w:rPr>
          <w:rFonts w:cs="Arial"/>
          <w:lang w:val="fr-FR"/>
        </w:rPr>
        <w:t xml:space="preserve">ils sont adoptés, ils remplacent et abrogent toutes les résolutions existantes (ou, le cas échéant, les paragraphes pertinents) traitant du même sujet. </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2.</w:t>
      </w:r>
      <w:r>
        <w:rPr>
          <w:rFonts w:cs="Arial"/>
          <w:lang w:val="fr-FR"/>
        </w:rPr>
        <w:tab/>
        <w:t>Lorsque l</w:t>
      </w:r>
      <w:r w:rsidR="00E37382">
        <w:rPr>
          <w:rFonts w:cs="Arial"/>
          <w:lang w:val="fr-FR"/>
        </w:rPr>
        <w:t>’</w:t>
      </w:r>
      <w:r>
        <w:rPr>
          <w:rFonts w:cs="Arial"/>
          <w:lang w:val="fr-FR"/>
        </w:rPr>
        <w:t>intention est d</w:t>
      </w:r>
      <w:r w:rsidR="00E37382">
        <w:rPr>
          <w:rFonts w:cs="Arial"/>
          <w:lang w:val="fr-FR"/>
        </w:rPr>
        <w:t>’</w:t>
      </w:r>
      <w:r>
        <w:rPr>
          <w:rFonts w:cs="Arial"/>
          <w:lang w:val="fr-FR"/>
        </w:rPr>
        <w:t>amender l</w:t>
      </w:r>
      <w:r w:rsidR="00E37382">
        <w:rPr>
          <w:rFonts w:cs="Arial"/>
          <w:lang w:val="fr-FR"/>
        </w:rPr>
        <w:t>’</w:t>
      </w:r>
      <w:r>
        <w:rPr>
          <w:rFonts w:cs="Arial"/>
          <w:lang w:val="fr-FR"/>
        </w:rPr>
        <w:t>approche, les instructions ou la politique contenues dans une résolution existante, une proposition d</w:t>
      </w:r>
      <w:r w:rsidR="00E37382">
        <w:rPr>
          <w:rFonts w:cs="Arial"/>
          <w:lang w:val="fr-FR"/>
        </w:rPr>
        <w:t>’</w:t>
      </w:r>
      <w:r>
        <w:rPr>
          <w:rFonts w:cs="Arial"/>
          <w:lang w:val="fr-FR"/>
        </w:rPr>
        <w:t>amendement de cette résolution peut être soumise à la Conférence des Parties au lieu d</w:t>
      </w:r>
      <w:r w:rsidR="00E37382">
        <w:rPr>
          <w:rFonts w:cs="Arial"/>
          <w:lang w:val="fr-FR"/>
        </w:rPr>
        <w:t>’</w:t>
      </w:r>
      <w:r>
        <w:rPr>
          <w:rFonts w:cs="Arial"/>
          <w:lang w:val="fr-FR"/>
        </w:rPr>
        <w:t xml:space="preserve">un nouveau projet de résolution. </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3.</w:t>
      </w:r>
      <w:r>
        <w:rPr>
          <w:rFonts w:cs="Arial"/>
          <w:lang w:val="fr-FR"/>
        </w:rPr>
        <w:tab/>
        <w:t>Si un projet de résolution traite d</w:t>
      </w:r>
      <w:r w:rsidR="00E37382">
        <w:rPr>
          <w:rFonts w:cs="Arial"/>
          <w:lang w:val="fr-FR"/>
        </w:rPr>
        <w:t>’</w:t>
      </w:r>
      <w:r>
        <w:rPr>
          <w:rFonts w:cs="Arial"/>
          <w:lang w:val="fr-FR"/>
        </w:rPr>
        <w:t xml:space="preserve">un sujet pour lequel une résolution regroupée a déjà été adoptée, le projet doit être présenté de manière à réviser la résolution regroupée.  </w:t>
      </w:r>
    </w:p>
    <w:p w:rsidR="00170281" w:rsidRPr="00C005E9" w:rsidRDefault="00170281" w:rsidP="00170281">
      <w:pPr>
        <w:ind w:firstLine="0"/>
        <w:rPr>
          <w:rFonts w:cs="Arial"/>
          <w:lang w:val="fr-FR"/>
        </w:rPr>
      </w:pPr>
    </w:p>
    <w:p w:rsidR="00170281" w:rsidRPr="00C005E9" w:rsidRDefault="00C005E9" w:rsidP="00170281">
      <w:pPr>
        <w:rPr>
          <w:rFonts w:cs="Arial"/>
          <w:lang w:val="fr-FR"/>
        </w:rPr>
      </w:pPr>
      <w:r>
        <w:rPr>
          <w:rFonts w:cs="Arial"/>
          <w:lang w:val="fr-FR"/>
        </w:rPr>
        <w:t>4.</w:t>
      </w:r>
      <w:r>
        <w:rPr>
          <w:rFonts w:cs="Arial"/>
          <w:lang w:val="fr-FR"/>
        </w:rPr>
        <w:tab/>
        <w:t>Si un projet de résolution traite d</w:t>
      </w:r>
      <w:r w:rsidR="00E37382">
        <w:rPr>
          <w:rFonts w:cs="Arial"/>
          <w:lang w:val="fr-FR"/>
        </w:rPr>
        <w:t>’</w:t>
      </w:r>
      <w:r>
        <w:rPr>
          <w:rFonts w:cs="Arial"/>
          <w:lang w:val="fr-FR"/>
        </w:rPr>
        <w:t>un sujet déjà couvert par une résolution existante ou plus, n</w:t>
      </w:r>
      <w:r w:rsidR="00E37382">
        <w:rPr>
          <w:rFonts w:cs="Arial"/>
          <w:lang w:val="fr-FR"/>
        </w:rPr>
        <w:t>’</w:t>
      </w:r>
      <w:r>
        <w:rPr>
          <w:rFonts w:cs="Arial"/>
          <w:lang w:val="fr-FR"/>
        </w:rPr>
        <w:t>ayant pas fait l</w:t>
      </w:r>
      <w:r w:rsidR="00E37382">
        <w:rPr>
          <w:rFonts w:cs="Arial"/>
          <w:lang w:val="fr-FR"/>
        </w:rPr>
        <w:t>’</w:t>
      </w:r>
      <w:r>
        <w:rPr>
          <w:rFonts w:cs="Arial"/>
          <w:lang w:val="fr-FR"/>
        </w:rPr>
        <w:t>objet d</w:t>
      </w:r>
      <w:r w:rsidR="00E37382">
        <w:rPr>
          <w:rFonts w:cs="Arial"/>
          <w:lang w:val="fr-FR"/>
        </w:rPr>
        <w:t>’</w:t>
      </w:r>
      <w:r>
        <w:rPr>
          <w:rFonts w:cs="Arial"/>
          <w:lang w:val="fr-FR"/>
        </w:rPr>
        <w:t>un regroupement</w:t>
      </w:r>
      <w:r w:rsidR="00196387">
        <w:rPr>
          <w:rFonts w:cs="Arial"/>
          <w:lang w:val="fr-FR"/>
        </w:rPr>
        <w:t> </w:t>
      </w:r>
      <w:r>
        <w:rPr>
          <w:rFonts w:cs="Arial"/>
          <w:lang w:val="fr-FR"/>
        </w:rPr>
        <w:t xml:space="preserve">:  </w:t>
      </w:r>
    </w:p>
    <w:p w:rsidR="00170281" w:rsidRPr="00C005E9" w:rsidRDefault="00C005E9" w:rsidP="00170281">
      <w:pPr>
        <w:tabs>
          <w:tab w:val="left" w:pos="425"/>
          <w:tab w:val="left" w:pos="851"/>
          <w:tab w:val="left" w:pos="1276"/>
        </w:tabs>
        <w:ind w:left="851" w:hanging="851"/>
        <w:rPr>
          <w:rFonts w:cs="Arial"/>
          <w:lang w:val="fr-FR"/>
        </w:rPr>
      </w:pPr>
      <w:r>
        <w:rPr>
          <w:rFonts w:cs="Arial"/>
          <w:lang w:val="fr-FR"/>
        </w:rPr>
        <w:tab/>
        <w:t xml:space="preserve">- </w:t>
      </w:r>
      <w:r>
        <w:rPr>
          <w:rFonts w:cs="Arial"/>
          <w:lang w:val="fr-FR"/>
        </w:rPr>
        <w:tab/>
      </w:r>
      <w:r>
        <w:rPr>
          <w:rFonts w:cs="Calibri"/>
          <w:lang w:val="fr-FR"/>
        </w:rPr>
        <w:t>le</w:t>
      </w:r>
      <w:r>
        <w:rPr>
          <w:rFonts w:cs="Arial"/>
          <w:lang w:val="fr-FR"/>
        </w:rPr>
        <w:t xml:space="preserve"> préambule doit rappeler toutes les résolutions existantes sur le même sujet</w:t>
      </w:r>
      <w:r w:rsidR="00196387">
        <w:rPr>
          <w:rFonts w:cs="Arial"/>
          <w:lang w:val="fr-FR"/>
        </w:rPr>
        <w:t> </w:t>
      </w:r>
      <w:r>
        <w:rPr>
          <w:rFonts w:cs="Arial"/>
          <w:lang w:val="fr-FR"/>
        </w:rPr>
        <w:t>;</w:t>
      </w:r>
    </w:p>
    <w:p w:rsidR="00170281" w:rsidRPr="00C005E9" w:rsidRDefault="00C005E9" w:rsidP="00170281">
      <w:pPr>
        <w:tabs>
          <w:tab w:val="left" w:pos="425"/>
          <w:tab w:val="left" w:pos="851"/>
          <w:tab w:val="left" w:pos="1276"/>
        </w:tabs>
        <w:ind w:left="851" w:hanging="851"/>
        <w:rPr>
          <w:rFonts w:cs="Arial"/>
          <w:lang w:val="fr-FR"/>
        </w:rPr>
      </w:pPr>
      <w:r>
        <w:rPr>
          <w:rFonts w:cs="Arial"/>
          <w:lang w:val="fr-FR"/>
        </w:rPr>
        <w:tab/>
        <w:t xml:space="preserve">- </w:t>
      </w:r>
      <w:r>
        <w:rPr>
          <w:rFonts w:cs="Arial"/>
          <w:lang w:val="fr-FR"/>
        </w:rPr>
        <w:tab/>
      </w:r>
      <w:r>
        <w:rPr>
          <w:rFonts w:cs="Calibri"/>
          <w:lang w:val="fr-FR"/>
        </w:rPr>
        <w:t>les</w:t>
      </w:r>
      <w:r>
        <w:rPr>
          <w:rFonts w:cs="Arial"/>
          <w:lang w:val="fr-FR"/>
        </w:rPr>
        <w:t xml:space="preserve"> recommandations contenues dans le projet ne doivent pas faire double emploi avec une recommandation existante</w:t>
      </w:r>
      <w:r w:rsidR="00196387">
        <w:rPr>
          <w:rFonts w:cs="Arial"/>
          <w:lang w:val="fr-FR"/>
        </w:rPr>
        <w:t> </w:t>
      </w:r>
      <w:r>
        <w:rPr>
          <w:rFonts w:cs="Arial"/>
          <w:lang w:val="fr-FR"/>
        </w:rPr>
        <w:t xml:space="preserve">; et  </w:t>
      </w:r>
    </w:p>
    <w:p w:rsidR="00170281" w:rsidRPr="00C005E9" w:rsidRDefault="00C005E9" w:rsidP="00170281">
      <w:pPr>
        <w:tabs>
          <w:tab w:val="left" w:pos="425"/>
          <w:tab w:val="left" w:pos="851"/>
          <w:tab w:val="left" w:pos="1276"/>
        </w:tabs>
        <w:ind w:left="851" w:hanging="851"/>
        <w:rPr>
          <w:rFonts w:cs="Arial"/>
          <w:lang w:val="fr-FR"/>
        </w:rPr>
      </w:pPr>
      <w:r>
        <w:rPr>
          <w:rFonts w:cs="Arial"/>
          <w:lang w:val="fr-FR"/>
        </w:rPr>
        <w:tab/>
        <w:t xml:space="preserve">- </w:t>
      </w:r>
      <w:r>
        <w:rPr>
          <w:rFonts w:cs="Arial"/>
          <w:lang w:val="fr-FR"/>
        </w:rPr>
        <w:tab/>
        <w:t>si les recommandations du projet sont contradictoires avec une recommandation déjà existante, le projet doit indiquer que l</w:t>
      </w:r>
      <w:r w:rsidR="00E37382">
        <w:rPr>
          <w:rFonts w:cs="Arial"/>
          <w:lang w:val="fr-FR"/>
        </w:rPr>
        <w:t>’</w:t>
      </w:r>
      <w:r>
        <w:rPr>
          <w:rFonts w:cs="Arial"/>
          <w:lang w:val="fr-FR"/>
        </w:rPr>
        <w:t xml:space="preserve">avis contradictoire existant est abrogé.  </w:t>
      </w:r>
    </w:p>
    <w:p w:rsidR="00170281" w:rsidRPr="00C005E9" w:rsidRDefault="00170281" w:rsidP="00170281">
      <w:pPr>
        <w:rPr>
          <w:rFonts w:cs="Arial"/>
          <w:lang w:val="fr-FR"/>
        </w:rPr>
      </w:pPr>
    </w:p>
    <w:p w:rsidR="00170281" w:rsidRPr="00C005E9" w:rsidRDefault="00C005E9" w:rsidP="00170281">
      <w:pPr>
        <w:rPr>
          <w:rFonts w:cs="Arial"/>
          <w:lang w:val="fr-FR"/>
        </w:rPr>
      </w:pPr>
      <w:r>
        <w:rPr>
          <w:rFonts w:cs="Arial"/>
          <w:lang w:val="fr-FR"/>
        </w:rPr>
        <w:t>5.</w:t>
      </w:r>
      <w:r>
        <w:rPr>
          <w:rFonts w:cs="Arial"/>
          <w:lang w:val="fr-FR"/>
        </w:rPr>
        <w:tab/>
        <w:t>À moins que des considérations pratiques n</w:t>
      </w:r>
      <w:r w:rsidR="00E37382">
        <w:rPr>
          <w:rFonts w:cs="Arial"/>
          <w:lang w:val="fr-FR"/>
        </w:rPr>
        <w:t>’</w:t>
      </w:r>
      <w:r>
        <w:rPr>
          <w:rFonts w:cs="Arial"/>
          <w:lang w:val="fr-FR"/>
        </w:rPr>
        <w:t>en décident autrement, les projets de résolution</w:t>
      </w:r>
      <w:r w:rsidR="00FA2911">
        <w:rPr>
          <w:rFonts w:cs="Arial"/>
          <w:lang w:val="fr-FR"/>
        </w:rPr>
        <w:t>s</w:t>
      </w:r>
      <w:r>
        <w:rPr>
          <w:rFonts w:cs="Arial"/>
          <w:lang w:val="fr-FR"/>
        </w:rPr>
        <w:t xml:space="preserve"> ne doivent pas inclure</w:t>
      </w:r>
      <w:r w:rsidR="00196387">
        <w:rPr>
          <w:rFonts w:cs="Arial"/>
          <w:lang w:val="fr-FR"/>
        </w:rPr>
        <w:t> </w:t>
      </w:r>
      <w:r>
        <w:rPr>
          <w:rFonts w:cs="Arial"/>
          <w:lang w:val="fr-FR"/>
        </w:rPr>
        <w:t xml:space="preserve">: </w:t>
      </w:r>
    </w:p>
    <w:p w:rsidR="00170281" w:rsidRPr="00C005E9" w:rsidRDefault="00C005E9" w:rsidP="00170281">
      <w:pPr>
        <w:ind w:left="850"/>
        <w:rPr>
          <w:rFonts w:asciiTheme="minorHAnsi" w:hAnsiTheme="minorHAnsi" w:cstheme="minorHAnsi"/>
          <w:lang w:val="fr-FR"/>
        </w:rPr>
      </w:pPr>
      <w:r>
        <w:rPr>
          <w:rFonts w:cs="Calibri"/>
          <w:lang w:val="fr-FR"/>
        </w:rPr>
        <w:t>a)</w:t>
      </w:r>
      <w:r>
        <w:rPr>
          <w:rFonts w:cs="Calibri"/>
          <w:lang w:val="fr-FR"/>
        </w:rPr>
        <w:tab/>
        <w:t>d</w:t>
      </w:r>
      <w:r w:rsidR="00E37382">
        <w:rPr>
          <w:rFonts w:cs="Calibri"/>
          <w:lang w:val="fr-FR"/>
        </w:rPr>
        <w:t>’</w:t>
      </w:r>
      <w:r>
        <w:rPr>
          <w:rFonts w:cs="Calibri"/>
          <w:lang w:val="fr-FR"/>
        </w:rPr>
        <w:t>instructions ou demandes au Comité permanent, au Groupe d</w:t>
      </w:r>
      <w:r w:rsidR="00E37382">
        <w:rPr>
          <w:rFonts w:cs="Calibri"/>
          <w:lang w:val="fr-FR"/>
        </w:rPr>
        <w:t>’</w:t>
      </w:r>
      <w:r>
        <w:rPr>
          <w:rFonts w:cs="Calibri"/>
          <w:lang w:val="fr-FR"/>
        </w:rPr>
        <w:t>évaluation scientifique et technique, à d</w:t>
      </w:r>
      <w:r w:rsidR="00E37382">
        <w:rPr>
          <w:rFonts w:cs="Calibri"/>
          <w:lang w:val="fr-FR"/>
        </w:rPr>
        <w:t>’</w:t>
      </w:r>
      <w:r>
        <w:rPr>
          <w:rFonts w:cs="Calibri"/>
          <w:lang w:val="fr-FR"/>
        </w:rPr>
        <w:t>autres organes subsidiaires ou au Secrétariat, sauf si elles font partie d</w:t>
      </w:r>
      <w:r w:rsidR="00E37382">
        <w:rPr>
          <w:rFonts w:cs="Calibri"/>
          <w:lang w:val="fr-FR"/>
        </w:rPr>
        <w:t>’</w:t>
      </w:r>
      <w:r>
        <w:rPr>
          <w:rFonts w:cs="Calibri"/>
          <w:lang w:val="fr-FR"/>
        </w:rPr>
        <w:t>une procédure à long terme</w:t>
      </w:r>
      <w:r w:rsidR="00196387">
        <w:rPr>
          <w:rFonts w:cs="Calibri"/>
          <w:lang w:val="fr-FR"/>
        </w:rPr>
        <w:t> </w:t>
      </w:r>
      <w:r>
        <w:rPr>
          <w:rFonts w:cs="Calibri"/>
          <w:lang w:val="fr-FR"/>
        </w:rPr>
        <w:t>; ou</w:t>
      </w:r>
    </w:p>
    <w:p w:rsidR="00170281" w:rsidRPr="00C005E9" w:rsidRDefault="00C005E9" w:rsidP="00170281">
      <w:pPr>
        <w:ind w:left="850"/>
        <w:rPr>
          <w:rFonts w:asciiTheme="minorHAnsi" w:hAnsiTheme="minorHAnsi" w:cstheme="minorHAnsi"/>
          <w:lang w:val="fr-FR"/>
        </w:rPr>
      </w:pPr>
      <w:r>
        <w:rPr>
          <w:rFonts w:cs="Calibri"/>
          <w:lang w:val="fr-FR"/>
        </w:rPr>
        <w:t xml:space="preserve">b) </w:t>
      </w:r>
      <w:r w:rsidR="00FA2911">
        <w:rPr>
          <w:rFonts w:cs="Calibri"/>
          <w:lang w:val="fr-FR"/>
        </w:rPr>
        <w:tab/>
        <w:t xml:space="preserve">de recommandations </w:t>
      </w:r>
      <w:r>
        <w:rPr>
          <w:rFonts w:cs="Calibri"/>
          <w:lang w:val="fr-FR"/>
        </w:rPr>
        <w:t xml:space="preserve">(ou autres formes de décision) qui seront mises en œuvre peu de temps après leur adoption et qui seront ensuite obsolètes. </w:t>
      </w:r>
    </w:p>
    <w:p w:rsidR="00170281" w:rsidRPr="00C005E9" w:rsidRDefault="00C005E9" w:rsidP="00170281">
      <w:pPr>
        <w:ind w:firstLine="0"/>
        <w:rPr>
          <w:rFonts w:cs="Arial"/>
          <w:lang w:val="fr-FR"/>
        </w:rPr>
      </w:pPr>
      <w:r>
        <w:rPr>
          <w:rFonts w:cs="Arial"/>
          <w:lang w:val="fr-FR"/>
        </w:rPr>
        <w:t xml:space="preserve">Ces types de décisions, si elles sont adoptées, seront incluses dans les </w:t>
      </w:r>
      <w:r w:rsidR="00196387">
        <w:rPr>
          <w:rFonts w:cs="Arial"/>
          <w:lang w:val="fr-FR"/>
        </w:rPr>
        <w:t>« </w:t>
      </w:r>
      <w:r>
        <w:rPr>
          <w:rFonts w:cs="Arial"/>
          <w:lang w:val="fr-FR"/>
        </w:rPr>
        <w:t>décisions de la Conférence des Parties</w:t>
      </w:r>
      <w:r w:rsidR="00196387">
        <w:rPr>
          <w:rFonts w:cs="Arial"/>
          <w:lang w:val="fr-FR"/>
        </w:rPr>
        <w:t> »</w:t>
      </w:r>
      <w:r>
        <w:rPr>
          <w:rFonts w:cs="Arial"/>
          <w:lang w:val="fr-FR"/>
        </w:rPr>
        <w:t>. Il peut y avoir quelques exceptions, comme les résolutions sur les quest</w:t>
      </w:r>
      <w:r w:rsidR="00FA2911">
        <w:rPr>
          <w:rFonts w:cs="Arial"/>
          <w:lang w:val="fr-FR"/>
        </w:rPr>
        <w:t>ions financières et budgétaires,</w:t>
      </w:r>
      <w:r>
        <w:rPr>
          <w:rFonts w:cs="Arial"/>
          <w:lang w:val="fr-FR"/>
        </w:rPr>
        <w:t xml:space="preserve"> qui doivent continuer à être adoptées et publiées en tant que résolutions.</w:t>
      </w:r>
    </w:p>
    <w:p w:rsidR="00170281" w:rsidRPr="00C005E9" w:rsidRDefault="00170281" w:rsidP="00170281">
      <w:pPr>
        <w:rPr>
          <w:rFonts w:cs="Arial"/>
          <w:lang w:val="fr-FR"/>
        </w:rPr>
      </w:pPr>
    </w:p>
    <w:p w:rsidR="00170281" w:rsidRPr="00C005E9" w:rsidRDefault="00C005E9" w:rsidP="00170281">
      <w:pPr>
        <w:keepNext/>
        <w:rPr>
          <w:rFonts w:cs="Arial"/>
          <w:u w:val="single"/>
          <w:lang w:val="fr-FR"/>
        </w:rPr>
      </w:pPr>
      <w:r>
        <w:rPr>
          <w:rFonts w:cs="Arial"/>
          <w:u w:val="single"/>
          <w:lang w:val="fr-FR"/>
        </w:rPr>
        <w:t xml:space="preserve">Instructions au Secrétariat </w:t>
      </w:r>
    </w:p>
    <w:p w:rsidR="00170281" w:rsidRPr="00C005E9" w:rsidRDefault="00170281" w:rsidP="00170281">
      <w:pPr>
        <w:keepNext/>
        <w:rPr>
          <w:rFonts w:cs="Arial"/>
          <w:lang w:val="fr-FR"/>
        </w:rPr>
      </w:pPr>
    </w:p>
    <w:p w:rsidR="00170281" w:rsidRPr="00C005E9" w:rsidRDefault="00C005E9" w:rsidP="00170281">
      <w:pPr>
        <w:rPr>
          <w:rFonts w:asciiTheme="minorHAnsi" w:hAnsiTheme="minorHAnsi" w:cstheme="minorHAnsi"/>
          <w:lang w:val="fr-FR"/>
        </w:rPr>
      </w:pPr>
      <w:r>
        <w:rPr>
          <w:rFonts w:cs="Calibri"/>
          <w:lang w:val="fr-FR"/>
        </w:rPr>
        <w:t>6.</w:t>
      </w:r>
      <w:r>
        <w:rPr>
          <w:rFonts w:cs="Calibri"/>
          <w:lang w:val="fr-FR"/>
        </w:rPr>
        <w:tab/>
        <w:t>Lorsque la Conférence des Parties adopte des amendements aux résolutions existantes, une version révisée est publiée avec les changements convenus, et remplace la résolution existante. En règle générale, la version révisée conserve le même numéro, avec l</w:t>
      </w:r>
      <w:r w:rsidR="00E37382">
        <w:rPr>
          <w:rFonts w:cs="Calibri"/>
          <w:lang w:val="fr-FR"/>
        </w:rPr>
        <w:t>’</w:t>
      </w:r>
      <w:r>
        <w:rPr>
          <w:rFonts w:cs="Calibri"/>
          <w:lang w:val="fr-FR"/>
        </w:rPr>
        <w:t xml:space="preserve">ajout du suffixe </w:t>
      </w:r>
      <w:r w:rsidR="00196387">
        <w:rPr>
          <w:rFonts w:cs="Calibri"/>
          <w:lang w:val="fr-FR"/>
        </w:rPr>
        <w:t>« </w:t>
      </w:r>
      <w:r>
        <w:rPr>
          <w:rFonts w:cs="Calibri"/>
          <w:lang w:val="fr-FR"/>
        </w:rPr>
        <w:t>(Rev.COPX)</w:t>
      </w:r>
      <w:r w:rsidR="00196387">
        <w:rPr>
          <w:rFonts w:cs="Calibri"/>
          <w:lang w:val="fr-FR"/>
        </w:rPr>
        <w:t> »</w:t>
      </w:r>
      <w:r>
        <w:rPr>
          <w:rFonts w:cs="Calibri"/>
          <w:lang w:val="fr-FR"/>
        </w:rPr>
        <w:t xml:space="preserve">, où </w:t>
      </w:r>
      <w:r w:rsidR="00196387">
        <w:rPr>
          <w:rFonts w:cs="Calibri"/>
          <w:lang w:val="fr-FR"/>
        </w:rPr>
        <w:t>« </w:t>
      </w:r>
      <w:r>
        <w:rPr>
          <w:rFonts w:cs="Calibri"/>
          <w:lang w:val="fr-FR"/>
        </w:rPr>
        <w:t>X</w:t>
      </w:r>
      <w:r w:rsidR="00196387">
        <w:rPr>
          <w:rFonts w:cs="Calibri"/>
          <w:lang w:val="fr-FR"/>
        </w:rPr>
        <w:t> »</w:t>
      </w:r>
      <w:r>
        <w:rPr>
          <w:rFonts w:cs="Calibri"/>
          <w:lang w:val="fr-FR"/>
        </w:rPr>
        <w:t xml:space="preserve"> représente le numéro de la session de la Conférence des Parties au cours de laquelle les changements ont été adoptés.</w:t>
      </w:r>
    </w:p>
    <w:p w:rsidR="00170281" w:rsidRPr="00C005E9" w:rsidRDefault="00170281" w:rsidP="00170281">
      <w:pPr>
        <w:ind w:left="850"/>
        <w:rPr>
          <w:rFonts w:asciiTheme="minorHAnsi" w:hAnsiTheme="minorHAnsi" w:cstheme="minorHAnsi"/>
          <w:lang w:val="fr-FR"/>
        </w:rPr>
      </w:pPr>
    </w:p>
    <w:p w:rsidR="00170281" w:rsidRPr="00C005E9" w:rsidRDefault="00D81CD9" w:rsidP="00170281">
      <w:pPr>
        <w:rPr>
          <w:rFonts w:asciiTheme="minorHAnsi" w:hAnsiTheme="minorHAnsi" w:cstheme="minorHAnsi"/>
          <w:lang w:val="fr-FR"/>
        </w:rPr>
      </w:pPr>
      <w:r>
        <w:rPr>
          <w:rFonts w:cs="Calibri"/>
          <w:lang w:val="fr-FR"/>
        </w:rPr>
        <w:t xml:space="preserve">7. </w:t>
      </w:r>
      <w:r>
        <w:rPr>
          <w:rFonts w:cs="Calibri"/>
          <w:lang w:val="fr-FR"/>
        </w:rPr>
        <w:tab/>
        <w:t>Après la 14</w:t>
      </w:r>
      <w:r w:rsidRPr="00D81CD9">
        <w:rPr>
          <w:rFonts w:cs="Calibri"/>
          <w:vertAlign w:val="superscript"/>
          <w:lang w:val="fr-FR"/>
        </w:rPr>
        <w:t>e</w:t>
      </w:r>
      <w:r>
        <w:rPr>
          <w:rFonts w:cs="Calibri"/>
          <w:lang w:val="fr-FR"/>
        </w:rPr>
        <w:t> </w:t>
      </w:r>
      <w:r w:rsidR="00C005E9">
        <w:rPr>
          <w:rFonts w:cs="Calibri"/>
          <w:lang w:val="fr-FR"/>
        </w:rPr>
        <w:t xml:space="preserve">Session de la Conférence des Parties, le Secrétariat publiera un document contenant toutes les décisions prises par la Conférence des Parties au cours de la session et qui </w:t>
      </w:r>
      <w:r w:rsidR="00C005E9">
        <w:rPr>
          <w:rFonts w:cs="Calibri"/>
          <w:lang w:val="fr-FR"/>
        </w:rPr>
        <w:lastRenderedPageBreak/>
        <w:t>ont un effet à court terme et ne sont donc pas incluses dans les résolutions. Dans la mesure du possible, la liste des autres décisions doit être classée selon l</w:t>
      </w:r>
      <w:r w:rsidR="00E37382">
        <w:rPr>
          <w:rFonts w:cs="Calibri"/>
          <w:lang w:val="fr-FR"/>
        </w:rPr>
        <w:t>’</w:t>
      </w:r>
      <w:r w:rsidR="00C005E9">
        <w:rPr>
          <w:rFonts w:cs="Calibri"/>
          <w:lang w:val="fr-FR"/>
        </w:rPr>
        <w:t>organe auquel elles sont adressées. Lorsque cela n</w:t>
      </w:r>
      <w:r w:rsidR="00E37382">
        <w:rPr>
          <w:rFonts w:cs="Calibri"/>
          <w:lang w:val="fr-FR"/>
        </w:rPr>
        <w:t>’</w:t>
      </w:r>
      <w:r w:rsidR="00C005E9">
        <w:rPr>
          <w:rFonts w:cs="Calibri"/>
          <w:lang w:val="fr-FR"/>
        </w:rPr>
        <w:t>est pas possible, elles doivent être classées par sujet, en utilisant les sujets des résolutions comme guide.</w:t>
      </w:r>
    </w:p>
    <w:p w:rsidR="00170281" w:rsidRPr="00C005E9" w:rsidRDefault="00170281" w:rsidP="00170281">
      <w:pPr>
        <w:ind w:left="850"/>
        <w:rPr>
          <w:rFonts w:asciiTheme="minorHAnsi" w:hAnsiTheme="minorHAnsi" w:cstheme="minorHAnsi"/>
          <w:lang w:val="fr-FR"/>
        </w:rPr>
      </w:pPr>
    </w:p>
    <w:p w:rsidR="00170281" w:rsidRPr="00C005E9" w:rsidRDefault="00C005E9" w:rsidP="00170281">
      <w:pPr>
        <w:rPr>
          <w:rFonts w:asciiTheme="minorHAnsi" w:hAnsiTheme="minorHAnsi" w:cstheme="minorHAnsi"/>
          <w:lang w:val="fr-FR"/>
        </w:rPr>
      </w:pPr>
      <w:r>
        <w:rPr>
          <w:rFonts w:cs="Calibri"/>
          <w:lang w:val="fr-FR"/>
        </w:rPr>
        <w:t>8.</w:t>
      </w:r>
      <w:r>
        <w:rPr>
          <w:rFonts w:cs="Calibri"/>
          <w:lang w:val="fr-FR"/>
        </w:rPr>
        <w:tab/>
        <w:t>La liste des décisions de la Conférence des Parties est mise à jour après chaque session de la Conférence des Parties, afin de contenir toutes les recommandations (ou autres formes de décision) qui ne sont pas enregistrées dans les résolutions et qui sont toujours valides. Le Secrétariat publie le document mis à jour dans un délai d</w:t>
      </w:r>
      <w:r w:rsidR="00E37382">
        <w:rPr>
          <w:rFonts w:cs="Calibri"/>
          <w:lang w:val="fr-FR"/>
        </w:rPr>
        <w:t>’</w:t>
      </w:r>
      <w:r>
        <w:rPr>
          <w:rFonts w:cs="Calibri"/>
          <w:lang w:val="fr-FR"/>
        </w:rPr>
        <w:t xml:space="preserve">un mois après chaque session de la Conférence. </w:t>
      </w:r>
    </w:p>
    <w:p w:rsidR="00170281" w:rsidRPr="00C005E9" w:rsidRDefault="00170281" w:rsidP="00170281">
      <w:pPr>
        <w:ind w:left="0" w:firstLine="0"/>
        <w:rPr>
          <w:rFonts w:asciiTheme="minorHAnsi" w:hAnsiTheme="minorHAnsi" w:cstheme="minorHAnsi"/>
          <w:lang w:val="fr-FR"/>
        </w:rPr>
      </w:pPr>
    </w:p>
    <w:p w:rsidR="00E913A3" w:rsidRPr="00C005E9" w:rsidRDefault="00E913A3" w:rsidP="002714A5">
      <w:pPr>
        <w:ind w:left="0" w:firstLine="0"/>
        <w:rPr>
          <w:rFonts w:asciiTheme="minorHAnsi" w:hAnsiTheme="minorHAnsi" w:cstheme="minorHAnsi"/>
          <w:lang w:val="fr-FR"/>
        </w:rPr>
      </w:pPr>
    </w:p>
    <w:p w:rsidR="00E913A3" w:rsidRPr="00C005E9" w:rsidRDefault="00E913A3" w:rsidP="002714A5">
      <w:pPr>
        <w:ind w:left="0" w:firstLine="0"/>
        <w:rPr>
          <w:rFonts w:asciiTheme="minorHAnsi" w:hAnsiTheme="minorHAnsi" w:cstheme="minorHAnsi"/>
          <w:lang w:val="fr-FR"/>
        </w:rPr>
      </w:pPr>
    </w:p>
    <w:p w:rsidR="00104BC0" w:rsidRPr="00C005E9" w:rsidRDefault="00104BC0" w:rsidP="002714A5">
      <w:pPr>
        <w:ind w:left="0" w:firstLine="0"/>
        <w:rPr>
          <w:rFonts w:asciiTheme="minorHAnsi" w:hAnsiTheme="minorHAnsi" w:cstheme="minorHAnsi"/>
          <w:lang w:val="fr-FR"/>
        </w:rPr>
      </w:pPr>
    </w:p>
    <w:p w:rsidR="00104BC0" w:rsidRPr="00C005E9" w:rsidRDefault="00104BC0" w:rsidP="002714A5">
      <w:pPr>
        <w:ind w:left="0" w:firstLine="0"/>
        <w:rPr>
          <w:rFonts w:asciiTheme="minorHAnsi" w:hAnsiTheme="minorHAnsi" w:cstheme="minorHAnsi"/>
          <w:lang w:val="fr-FR"/>
        </w:rPr>
      </w:pPr>
    </w:p>
    <w:p w:rsidR="00104BC0" w:rsidRPr="00C005E9" w:rsidRDefault="00104BC0" w:rsidP="002714A5">
      <w:pPr>
        <w:ind w:left="0" w:firstLine="0"/>
        <w:rPr>
          <w:rFonts w:asciiTheme="minorHAnsi" w:hAnsiTheme="minorHAnsi" w:cstheme="minorHAnsi"/>
          <w:lang w:val="fr-FR"/>
        </w:rPr>
      </w:pPr>
    </w:p>
    <w:p w:rsidR="00104BC0" w:rsidRPr="00C005E9" w:rsidRDefault="00104BC0" w:rsidP="002714A5">
      <w:pPr>
        <w:ind w:left="0" w:firstLine="0"/>
        <w:rPr>
          <w:rFonts w:asciiTheme="minorHAnsi" w:hAnsiTheme="minorHAnsi" w:cstheme="minorHAnsi"/>
          <w:lang w:val="fr-FR"/>
        </w:rPr>
      </w:pPr>
    </w:p>
    <w:p w:rsidR="00104BC0" w:rsidRPr="00C005E9" w:rsidRDefault="00104BC0" w:rsidP="002714A5">
      <w:pPr>
        <w:ind w:left="0" w:firstLine="0"/>
        <w:rPr>
          <w:rFonts w:asciiTheme="minorHAnsi" w:hAnsiTheme="minorHAnsi" w:cstheme="minorHAnsi"/>
          <w:lang w:val="fr-FR"/>
        </w:rPr>
      </w:pPr>
    </w:p>
    <w:p w:rsidR="00104BC0" w:rsidRPr="00C005E9" w:rsidRDefault="00C005E9">
      <w:pPr>
        <w:rPr>
          <w:rFonts w:asciiTheme="minorHAnsi" w:hAnsiTheme="minorHAnsi" w:cstheme="minorHAnsi"/>
          <w:lang w:val="fr-FR"/>
        </w:rPr>
      </w:pPr>
      <w:r w:rsidRPr="00C005E9">
        <w:rPr>
          <w:rFonts w:asciiTheme="minorHAnsi" w:hAnsiTheme="minorHAnsi" w:cstheme="minorHAnsi"/>
          <w:lang w:val="fr-FR"/>
        </w:rPr>
        <w:br w:type="page"/>
      </w:r>
    </w:p>
    <w:p w:rsidR="00E913A3" w:rsidRPr="00C005E9" w:rsidRDefault="00C005E9" w:rsidP="001A0DA6">
      <w:pPr>
        <w:ind w:left="0" w:firstLine="0"/>
        <w:rPr>
          <w:rFonts w:asciiTheme="minorHAnsi" w:hAnsiTheme="minorHAnsi" w:cstheme="minorHAnsi"/>
          <w:sz w:val="24"/>
          <w:szCs w:val="24"/>
          <w:lang w:val="fr-FR"/>
        </w:rPr>
      </w:pPr>
      <w:r>
        <w:rPr>
          <w:rFonts w:cs="Calibri"/>
          <w:b/>
          <w:bCs/>
          <w:sz w:val="24"/>
          <w:szCs w:val="24"/>
          <w:lang w:val="fr-FR"/>
        </w:rPr>
        <w:lastRenderedPageBreak/>
        <w:t>Annexe</w:t>
      </w:r>
      <w:r w:rsidR="00196387">
        <w:rPr>
          <w:rFonts w:cs="Calibri"/>
          <w:b/>
          <w:bCs/>
          <w:sz w:val="24"/>
          <w:szCs w:val="24"/>
          <w:lang w:val="fr-FR"/>
        </w:rPr>
        <w:t> </w:t>
      </w:r>
      <w:r>
        <w:rPr>
          <w:rFonts w:cs="Calibri"/>
          <w:b/>
          <w:bCs/>
          <w:sz w:val="24"/>
          <w:szCs w:val="24"/>
          <w:lang w:val="fr-FR"/>
        </w:rPr>
        <w:t>2</w:t>
      </w:r>
    </w:p>
    <w:p w:rsidR="00E913A3" w:rsidRPr="00C005E9" w:rsidRDefault="00C005E9" w:rsidP="00E913A3">
      <w:pPr>
        <w:ind w:left="0" w:firstLine="0"/>
        <w:rPr>
          <w:rFonts w:cs="Arial"/>
          <w:b/>
          <w:sz w:val="24"/>
          <w:szCs w:val="24"/>
          <w:lang w:val="fr-FR"/>
        </w:rPr>
      </w:pPr>
      <w:r>
        <w:rPr>
          <w:rFonts w:cs="Arial"/>
          <w:b/>
          <w:bCs/>
          <w:sz w:val="24"/>
          <w:szCs w:val="24"/>
          <w:lang w:val="fr-FR"/>
        </w:rPr>
        <w:t>Classification préliminaire des résolutions de la Conférence des Parties contractantes à la Convention sur les zones humides</w:t>
      </w:r>
    </w:p>
    <w:p w:rsidR="00E913A3" w:rsidRPr="00C005E9" w:rsidRDefault="00E913A3" w:rsidP="00E913A3">
      <w:pPr>
        <w:ind w:left="0" w:firstLine="0"/>
        <w:rPr>
          <w:rFonts w:asciiTheme="minorHAnsi" w:hAnsiTheme="minorHAnsi" w:cstheme="minorHAnsi"/>
          <w:sz w:val="24"/>
          <w:szCs w:val="24"/>
          <w:lang w:val="fr-FR"/>
        </w:rPr>
      </w:pPr>
    </w:p>
    <w:p w:rsidR="00170281" w:rsidRPr="00C005E9" w:rsidRDefault="00C005E9" w:rsidP="00170281">
      <w:pPr>
        <w:rPr>
          <w:u w:val="single"/>
          <w:lang w:val="fr-FR"/>
        </w:rPr>
      </w:pPr>
      <w:r>
        <w:rPr>
          <w:u w:val="single"/>
          <w:lang w:val="fr-FR"/>
        </w:rPr>
        <w:t>Légende</w:t>
      </w:r>
    </w:p>
    <w:p w:rsidR="00170281" w:rsidRPr="00C005E9" w:rsidRDefault="00170281" w:rsidP="00170281">
      <w:pPr>
        <w:rPr>
          <w:lang w:val="fr-FR"/>
        </w:rPr>
      </w:pPr>
    </w:p>
    <w:p w:rsidR="00170281" w:rsidRPr="00C005E9" w:rsidRDefault="00C005E9" w:rsidP="00170281">
      <w:pPr>
        <w:ind w:left="0" w:firstLine="0"/>
        <w:rPr>
          <w:lang w:val="fr-FR"/>
        </w:rPr>
      </w:pPr>
      <w:r>
        <w:rPr>
          <w:lang w:val="fr-FR"/>
        </w:rPr>
        <w:t xml:space="preserve">Les résolutions sont indiquées par un simple numéro, soit en chiffres arabes (par exemple, </w:t>
      </w:r>
      <w:r w:rsidR="00196387">
        <w:rPr>
          <w:lang w:val="fr-FR"/>
        </w:rPr>
        <w:t>« </w:t>
      </w:r>
      <w:r>
        <w:rPr>
          <w:lang w:val="fr-FR"/>
        </w:rPr>
        <w:t>4</w:t>
      </w:r>
      <w:r w:rsidR="00E37382">
        <w:rPr>
          <w:lang w:val="fr-FR"/>
        </w:rPr>
        <w:t>.</w:t>
      </w:r>
      <w:r>
        <w:rPr>
          <w:lang w:val="fr-FR"/>
        </w:rPr>
        <w:t>5</w:t>
      </w:r>
      <w:r w:rsidR="00196387">
        <w:rPr>
          <w:lang w:val="fr-FR"/>
        </w:rPr>
        <w:t> »</w:t>
      </w:r>
      <w:r>
        <w:rPr>
          <w:lang w:val="fr-FR"/>
        </w:rPr>
        <w:t xml:space="preserve">), soit en chiffres romains (par exemple, </w:t>
      </w:r>
      <w:r w:rsidR="00196387">
        <w:rPr>
          <w:lang w:val="fr-FR"/>
        </w:rPr>
        <w:t>« </w:t>
      </w:r>
      <w:r>
        <w:rPr>
          <w:lang w:val="fr-FR"/>
        </w:rPr>
        <w:t>VI.16</w:t>
      </w:r>
      <w:r w:rsidR="00196387">
        <w:rPr>
          <w:lang w:val="fr-FR"/>
        </w:rPr>
        <w:t> »</w:t>
      </w:r>
      <w:r>
        <w:rPr>
          <w:lang w:val="fr-FR"/>
        </w:rPr>
        <w:t xml:space="preserve">). </w:t>
      </w:r>
    </w:p>
    <w:p w:rsidR="00170281" w:rsidRPr="00C005E9" w:rsidRDefault="00170281" w:rsidP="00170281">
      <w:pPr>
        <w:ind w:left="0" w:firstLine="0"/>
        <w:rPr>
          <w:lang w:val="fr-FR"/>
        </w:rPr>
      </w:pPr>
    </w:p>
    <w:p w:rsidR="00170281" w:rsidRPr="00C005E9" w:rsidRDefault="00C005E9" w:rsidP="00170281">
      <w:pPr>
        <w:ind w:left="0" w:firstLine="0"/>
        <w:rPr>
          <w:lang w:val="fr-FR"/>
        </w:rPr>
      </w:pPr>
      <w:r>
        <w:rPr>
          <w:lang w:val="fr-FR"/>
        </w:rPr>
        <w:t xml:space="preserve">Les recommandations sont indiquées avec le texte </w:t>
      </w:r>
      <w:r w:rsidR="00196387">
        <w:rPr>
          <w:lang w:val="fr-FR"/>
        </w:rPr>
        <w:t>« </w:t>
      </w:r>
      <w:r>
        <w:rPr>
          <w:lang w:val="fr-FR"/>
        </w:rPr>
        <w:t>Recom</w:t>
      </w:r>
      <w:r w:rsidR="00196387">
        <w:rPr>
          <w:lang w:val="fr-FR"/>
        </w:rPr>
        <w:t> »</w:t>
      </w:r>
      <w:r>
        <w:rPr>
          <w:lang w:val="fr-FR"/>
        </w:rPr>
        <w:t xml:space="preserve"> suivi d</w:t>
      </w:r>
      <w:r w:rsidR="00E37382">
        <w:rPr>
          <w:lang w:val="fr-FR"/>
        </w:rPr>
        <w:t>’</w:t>
      </w:r>
      <w:r>
        <w:rPr>
          <w:lang w:val="fr-FR"/>
        </w:rPr>
        <w:t xml:space="preserve">un numéro. </w:t>
      </w:r>
    </w:p>
    <w:p w:rsidR="00170281" w:rsidRPr="00C005E9" w:rsidRDefault="00170281" w:rsidP="00170281">
      <w:pPr>
        <w:ind w:left="0" w:firstLine="0"/>
        <w:rPr>
          <w:lang w:val="fr-FR"/>
        </w:rPr>
      </w:pPr>
    </w:p>
    <w:p w:rsidR="00170281" w:rsidRPr="00C005E9" w:rsidRDefault="00C005E9" w:rsidP="00170281">
      <w:pPr>
        <w:ind w:left="0" w:firstLine="0"/>
        <w:rPr>
          <w:lang w:val="fr-FR"/>
        </w:rPr>
      </w:pPr>
      <w:r>
        <w:rPr>
          <w:lang w:val="fr-FR"/>
        </w:rPr>
        <w:t>Dans certains cas, le Secrétariat n</w:t>
      </w:r>
      <w:r w:rsidR="00E37382">
        <w:rPr>
          <w:lang w:val="fr-FR"/>
        </w:rPr>
        <w:t>’</w:t>
      </w:r>
      <w:r>
        <w:rPr>
          <w:lang w:val="fr-FR"/>
        </w:rPr>
        <w:t>a apparemment pas attribué de numéro à une résolution au moment de son adoption. Ces cas sont indiqués par le numéro du document qui contient le texte adopté (par exemple, «</w:t>
      </w:r>
      <w:r w:rsidR="00196387">
        <w:rPr>
          <w:lang w:val="fr-FR"/>
        </w:rPr>
        <w:t> </w:t>
      </w:r>
      <w:r>
        <w:rPr>
          <w:rFonts w:cs="Arial"/>
          <w:lang w:val="fr-FR"/>
        </w:rPr>
        <w:t>Annexe au document</w:t>
      </w:r>
      <w:r w:rsidR="00196387">
        <w:rPr>
          <w:rFonts w:cs="Arial"/>
          <w:lang w:val="fr-FR"/>
        </w:rPr>
        <w:t> </w:t>
      </w:r>
      <w:r>
        <w:rPr>
          <w:rFonts w:cs="Arial"/>
          <w:lang w:val="fr-FR"/>
        </w:rPr>
        <w:t>DOC.C.4.14</w:t>
      </w:r>
      <w:r w:rsidR="00196387">
        <w:rPr>
          <w:lang w:val="fr-FR"/>
        </w:rPr>
        <w:t> </w:t>
      </w:r>
      <w:r>
        <w:rPr>
          <w:lang w:val="fr-FR"/>
        </w:rPr>
        <w:t>»).</w:t>
      </w:r>
    </w:p>
    <w:p w:rsidR="00170281" w:rsidRPr="00C005E9" w:rsidRDefault="00170281" w:rsidP="00170281">
      <w:pPr>
        <w:rPr>
          <w:lang w:val="fr-FR"/>
        </w:rPr>
      </w:pPr>
    </w:p>
    <w:p w:rsidR="00170281" w:rsidRPr="00C005E9" w:rsidRDefault="00C005E9" w:rsidP="00170281">
      <w:pPr>
        <w:rPr>
          <w:lang w:val="fr-FR"/>
        </w:rPr>
      </w:pPr>
      <w:r>
        <w:rPr>
          <w:lang w:val="fr-FR"/>
        </w:rPr>
        <w:t>* indique un texte qui figure dans plus d</w:t>
      </w:r>
      <w:r w:rsidR="00E37382">
        <w:rPr>
          <w:lang w:val="fr-FR"/>
        </w:rPr>
        <w:t>’</w:t>
      </w:r>
      <w:r>
        <w:rPr>
          <w:lang w:val="fr-FR"/>
        </w:rPr>
        <w:t>un groupe</w:t>
      </w:r>
    </w:p>
    <w:p w:rsidR="00170281" w:rsidRPr="00C005E9" w:rsidRDefault="00170281" w:rsidP="00170281">
      <w:pPr>
        <w:ind w:left="0" w:firstLine="0"/>
        <w:rPr>
          <w:i/>
          <w:lang w:val="fr-FR"/>
        </w:rPr>
      </w:pPr>
    </w:p>
    <w:p w:rsidR="00170281" w:rsidRPr="00C005E9" w:rsidRDefault="00C005E9" w:rsidP="00170281">
      <w:pPr>
        <w:ind w:left="0" w:firstLine="0"/>
        <w:rPr>
          <w:i/>
          <w:lang w:val="fr-FR"/>
        </w:rPr>
      </w:pPr>
      <w:r>
        <w:rPr>
          <w:i/>
          <w:iCs/>
          <w:lang w:val="fr-FR"/>
        </w:rPr>
        <w:t>Au moment du regroupement des résolutions dans chaque groupe, les résolutions seront vérifiées pour déterminer si elles contiennent un texte relatif au sujet de ce groupe. Si, par exemple, une résolution apparaît dans le groupe «</w:t>
      </w:r>
      <w:r w:rsidR="00196387">
        <w:rPr>
          <w:i/>
          <w:iCs/>
          <w:lang w:val="fr-FR"/>
        </w:rPr>
        <w:t> </w:t>
      </w:r>
      <w:r>
        <w:rPr>
          <w:i/>
          <w:iCs/>
          <w:lang w:val="fr-FR"/>
        </w:rPr>
        <w:t>Gouvernance</w:t>
      </w:r>
      <w:r w:rsidR="00196387">
        <w:rPr>
          <w:i/>
          <w:iCs/>
          <w:lang w:val="fr-FR"/>
        </w:rPr>
        <w:t> </w:t>
      </w:r>
      <w:r>
        <w:rPr>
          <w:i/>
          <w:iCs/>
          <w:lang w:val="fr-FR"/>
        </w:rPr>
        <w:t>» et dans le groupe «</w:t>
      </w:r>
      <w:r w:rsidR="00196387">
        <w:rPr>
          <w:i/>
          <w:iCs/>
          <w:lang w:val="fr-FR"/>
        </w:rPr>
        <w:t> </w:t>
      </w:r>
      <w:r>
        <w:rPr>
          <w:i/>
          <w:iCs/>
          <w:lang w:val="fr-FR"/>
        </w:rPr>
        <w:t>Langues</w:t>
      </w:r>
      <w:r w:rsidR="00196387">
        <w:rPr>
          <w:i/>
          <w:iCs/>
          <w:lang w:val="fr-FR"/>
        </w:rPr>
        <w:t> </w:t>
      </w:r>
      <w:r>
        <w:rPr>
          <w:i/>
          <w:iCs/>
          <w:lang w:val="fr-FR"/>
        </w:rPr>
        <w:t>», le texte sur la gouvernance sera déplacé vers une résolution regroupée sur la gouvernance, et le texte sur les langues sera déplacé vers une résolution regroupée sur les langues.</w:t>
      </w:r>
    </w:p>
    <w:p w:rsidR="00E37382" w:rsidRPr="003E2A18" w:rsidRDefault="00E37382" w:rsidP="00E37382">
      <w:pPr>
        <w:ind w:left="0" w:firstLine="0"/>
        <w:rPr>
          <w:i/>
          <w:lang w:val="fr-FR"/>
        </w:rPr>
      </w:pPr>
    </w:p>
    <w:p w:rsidR="00E37382" w:rsidRPr="003E2A18" w:rsidRDefault="00E37382" w:rsidP="00E37382">
      <w:pPr>
        <w:rPr>
          <w:lang w:val="fr-FR"/>
        </w:rPr>
      </w:pPr>
    </w:p>
    <w:tbl>
      <w:tblPr>
        <w:tblStyle w:val="TableGrid"/>
        <w:tblW w:w="9180" w:type="dxa"/>
        <w:tblLayout w:type="fixed"/>
        <w:tblLook w:val="00A0" w:firstRow="1" w:lastRow="0" w:firstColumn="1" w:lastColumn="0" w:noHBand="0" w:noVBand="0"/>
      </w:tblPr>
      <w:tblGrid>
        <w:gridCol w:w="2400"/>
        <w:gridCol w:w="6780"/>
      </w:tblGrid>
      <w:tr w:rsidR="00E37382" w:rsidRPr="003E2A18" w:rsidTr="00E37382">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rsidR="00E37382" w:rsidRPr="003E2A18" w:rsidRDefault="00E37382" w:rsidP="00E37382">
            <w:pPr>
              <w:ind w:left="0" w:firstLine="0"/>
              <w:jc w:val="center"/>
              <w:rPr>
                <w:rFonts w:asciiTheme="minorHAnsi" w:hAnsiTheme="minorHAnsi" w:cstheme="minorHAnsi"/>
                <w:b/>
                <w:lang w:val="fr-FR"/>
              </w:rPr>
            </w:pPr>
            <w:r w:rsidRPr="003E2A18">
              <w:rPr>
                <w:rFonts w:asciiTheme="minorHAnsi" w:hAnsiTheme="minorHAnsi" w:cstheme="minorHAnsi"/>
                <w:b/>
                <w:lang w:val="fr-FR"/>
              </w:rPr>
              <w:t>Regroupement préliminaire</w:t>
            </w:r>
          </w:p>
        </w:tc>
        <w:tc>
          <w:tcPr>
            <w:tcW w:w="6780"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BE5F1" w:themeFill="accent1" w:themeFillTint="33"/>
            <w:vAlign w:val="center"/>
          </w:tcPr>
          <w:p w:rsidR="00E37382" w:rsidRPr="003E2A18" w:rsidRDefault="00E37382" w:rsidP="00E37382">
            <w:pPr>
              <w:ind w:left="0" w:firstLine="0"/>
              <w:jc w:val="center"/>
              <w:rPr>
                <w:rFonts w:asciiTheme="minorHAnsi" w:hAnsiTheme="minorHAnsi" w:cstheme="minorHAnsi"/>
                <w:b/>
                <w:lang w:val="fr-FR"/>
              </w:rPr>
            </w:pPr>
            <w:r w:rsidRPr="003E2A18">
              <w:rPr>
                <w:rFonts w:asciiTheme="minorHAnsi" w:hAnsiTheme="minorHAnsi" w:cstheme="minorHAnsi"/>
                <w:b/>
                <w:lang w:val="fr-FR"/>
              </w:rPr>
              <w:t>Résolutions</w:t>
            </w:r>
          </w:p>
        </w:tc>
      </w:tr>
      <w:tr w:rsidR="00E37382" w:rsidRPr="00E37382" w:rsidTr="00E37382">
        <w:tc>
          <w:tcPr>
            <w:tcW w:w="9180" w:type="dxa"/>
            <w:gridSpan w:val="2"/>
            <w:tcBorders>
              <w:top w:val="single" w:sz="8" w:space="0" w:color="000000" w:themeColor="text1"/>
              <w:bottom w:val="single" w:sz="4" w:space="0" w:color="000000" w:themeColor="text1"/>
            </w:tcBorders>
            <w:shd w:val="clear" w:color="auto" w:fill="E0E0E0"/>
          </w:tcPr>
          <w:p w:rsidR="00E37382" w:rsidRPr="003E2A18" w:rsidRDefault="00E37382" w:rsidP="00E37382">
            <w:pPr>
              <w:ind w:left="0" w:firstLine="0"/>
              <w:jc w:val="center"/>
              <w:rPr>
                <w:rFonts w:asciiTheme="minorHAnsi" w:hAnsiTheme="minorHAnsi" w:cstheme="minorHAnsi"/>
                <w:b/>
                <w:bCs/>
                <w:lang w:val="fr-FR"/>
              </w:rPr>
            </w:pPr>
            <w:r w:rsidRPr="003E2A18">
              <w:rPr>
                <w:rFonts w:asciiTheme="minorHAnsi" w:hAnsiTheme="minorHAnsi" w:cstheme="minorHAnsi"/>
                <w:b/>
                <w:bCs/>
                <w:lang w:val="fr-FR"/>
              </w:rPr>
              <w:t xml:space="preserve">QUESTIONS STRATÉGIQUES, ADMINISTRATIVES ET FINANCIÈRES </w:t>
            </w:r>
          </w:p>
        </w:tc>
      </w:tr>
      <w:tr w:rsidR="00E37382" w:rsidRPr="00E37382" w:rsidTr="00E37382">
        <w:tc>
          <w:tcPr>
            <w:tcW w:w="2400" w:type="dxa"/>
            <w:tcBorders>
              <w:top w:val="single" w:sz="4" w:space="0" w:color="000000" w:themeColor="text1"/>
            </w:tcBorders>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Texte de la Convention et amendements</w:t>
            </w:r>
          </w:p>
        </w:tc>
        <w:tc>
          <w:tcPr>
            <w:tcW w:w="6780" w:type="dxa"/>
            <w:tcBorders>
              <w:top w:val="single" w:sz="4" w:space="0" w:color="000000" w:themeColor="text1"/>
            </w:tcBorders>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1.7</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Élaboration d</w:t>
            </w:r>
            <w:r>
              <w:rPr>
                <w:rFonts w:asciiTheme="minorHAnsi" w:hAnsiTheme="minorHAnsi" w:cstheme="minorHAnsi"/>
                <w:lang w:val="fr-FR"/>
              </w:rPr>
              <w:t>’</w:t>
            </w:r>
            <w:r w:rsidRPr="003E2A18">
              <w:rPr>
                <w:rFonts w:asciiTheme="minorHAnsi" w:hAnsiTheme="minorHAnsi" w:cstheme="minorHAnsi"/>
                <w:lang w:val="fr-FR"/>
              </w:rPr>
              <w:t>un protocole en vue d</w:t>
            </w:r>
            <w:r>
              <w:rPr>
                <w:rFonts w:asciiTheme="minorHAnsi" w:hAnsiTheme="minorHAnsi" w:cstheme="minorHAnsi"/>
                <w:lang w:val="fr-FR"/>
              </w:rPr>
              <w:t>’</w:t>
            </w:r>
            <w:r w:rsidRPr="003E2A18">
              <w:rPr>
                <w:rFonts w:asciiTheme="minorHAnsi" w:hAnsiTheme="minorHAnsi" w:cstheme="minorHAnsi"/>
                <w:lang w:val="fr-FR"/>
              </w:rPr>
              <w:t>instaurer une procédure d</w:t>
            </w:r>
            <w:r>
              <w:rPr>
                <w:rFonts w:asciiTheme="minorHAnsi" w:hAnsiTheme="minorHAnsi" w:cstheme="minorHAnsi"/>
                <w:lang w:val="fr-FR"/>
              </w:rPr>
              <w:t>’</w:t>
            </w:r>
            <w:r w:rsidRPr="003E2A18">
              <w:rPr>
                <w:rFonts w:asciiTheme="minorHAnsi" w:hAnsiTheme="minorHAnsi" w:cstheme="minorHAnsi"/>
                <w:lang w:val="fr-FR"/>
              </w:rPr>
              <w:t>amendement à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keepLines/>
              <w:ind w:left="0" w:firstLine="0"/>
              <w:rPr>
                <w:rFonts w:asciiTheme="minorHAnsi" w:hAnsiTheme="minorHAnsi" w:cstheme="minorHAnsi"/>
                <w:bCs/>
                <w:lang w:val="fr-FR"/>
              </w:rPr>
            </w:pPr>
            <w:r w:rsidRPr="003E2A18">
              <w:rPr>
                <w:rFonts w:asciiTheme="minorHAnsi" w:hAnsiTheme="minorHAnsi" w:cstheme="minorHAnsi"/>
                <w:lang w:val="fr-FR"/>
              </w:rPr>
              <w:t>Recom 1.8</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Élaboration d</w:t>
            </w:r>
            <w:r>
              <w:rPr>
                <w:rFonts w:asciiTheme="minorHAnsi" w:hAnsiTheme="minorHAnsi" w:cstheme="minorHAnsi"/>
                <w:lang w:val="fr-FR"/>
              </w:rPr>
              <w:t>’</w:t>
            </w:r>
            <w:r w:rsidRPr="003E2A18">
              <w:rPr>
                <w:rFonts w:asciiTheme="minorHAnsi" w:hAnsiTheme="minorHAnsi" w:cstheme="minorHAnsi"/>
                <w:lang w:val="fr-FR"/>
              </w:rPr>
              <w:t>un protocole modifiant la Convention en vue de la rendre plus efficace</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2.2</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Amendements à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3.4</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Mise en œuvre à titre provisoire des amendements à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4.1</w:t>
            </w: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Interprétation du paragraphe 6 de l</w:t>
            </w:r>
            <w:r>
              <w:rPr>
                <w:rFonts w:asciiTheme="minorHAnsi" w:hAnsiTheme="minorHAnsi" w:cstheme="minorHAnsi"/>
                <w:lang w:val="fr-FR"/>
              </w:rPr>
              <w:t>’</w:t>
            </w:r>
            <w:r w:rsidRPr="003E2A18">
              <w:rPr>
                <w:rFonts w:asciiTheme="minorHAnsi" w:hAnsiTheme="minorHAnsi" w:cstheme="minorHAnsi"/>
                <w:lang w:val="fr-FR"/>
              </w:rPr>
              <w:t>article 10 bis de la Convention</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Borders>
              <w:top w:val="single" w:sz="8" w:space="0" w:color="000000" w:themeColor="text1"/>
              <w:bottom w:val="single" w:sz="4" w:space="0" w:color="000000" w:themeColor="text1"/>
            </w:tcBorders>
          </w:tcPr>
          <w:p w:rsidR="00E37382" w:rsidRPr="003E2A18" w:rsidRDefault="00E37382" w:rsidP="00E37382">
            <w:pPr>
              <w:ind w:left="0" w:firstLine="0"/>
              <w:rPr>
                <w:rFonts w:asciiTheme="minorHAnsi" w:hAnsiTheme="minorHAnsi" w:cstheme="minorHAnsi"/>
                <w:b/>
                <w:bCs/>
                <w:lang w:val="fr-FR"/>
              </w:rPr>
            </w:pPr>
            <w:r w:rsidRPr="003E2A18">
              <w:rPr>
                <w:rFonts w:asciiTheme="minorHAnsi" w:hAnsiTheme="minorHAnsi" w:cstheme="minorHAnsi"/>
                <w:b/>
                <w:bCs/>
                <w:lang w:val="fr-FR"/>
              </w:rPr>
              <w:t>Adhésion, statut politique</w:t>
            </w:r>
          </w:p>
        </w:tc>
        <w:tc>
          <w:tcPr>
            <w:tcW w:w="6780" w:type="dxa"/>
            <w:tcBorders>
              <w:top w:val="single" w:sz="8" w:space="0" w:color="000000" w:themeColor="text1"/>
              <w:bottom w:val="single" w:sz="4" w:space="0" w:color="000000" w:themeColor="text1"/>
            </w:tcBorders>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1.1</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Recrutement de nouvelles Parties à la Convention</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1.2</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Aider les pays en développement à contribuer à la Convention</w:t>
            </w:r>
          </w:p>
          <w:p w:rsidR="00E37382"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3.6</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lastRenderedPageBreak/>
              <w:t>Nouvelles Parties contractantes en Afrique</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3.7</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Nouvelles Parties contractantes en Amérique centrale, dans les Caraïbes et en Amérique du Sud</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3.10</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Nouvelles Parties contractantes en Asie et dans le Pacifique</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4.5</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Conditions d</w:t>
            </w:r>
            <w:r>
              <w:rPr>
                <w:rFonts w:asciiTheme="minorHAnsi" w:hAnsiTheme="minorHAnsi" w:cstheme="minorHAnsi"/>
                <w:bCs/>
                <w:lang w:val="fr-FR"/>
              </w:rPr>
              <w:t>’</w:t>
            </w:r>
            <w:r w:rsidRPr="003E2A18">
              <w:rPr>
                <w:rFonts w:asciiTheme="minorHAnsi" w:hAnsiTheme="minorHAnsi" w:cstheme="minorHAnsi"/>
                <w:bCs/>
                <w:lang w:val="fr-FR"/>
              </w:rPr>
              <w:t>adhésion à la Convention</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VI.16</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Procédures d</w:t>
            </w:r>
            <w:r>
              <w:rPr>
                <w:rFonts w:asciiTheme="minorHAnsi" w:hAnsiTheme="minorHAnsi" w:cstheme="minorHAnsi"/>
                <w:bCs/>
                <w:lang w:val="fr-FR"/>
              </w:rPr>
              <w:t>’</w:t>
            </w:r>
            <w:r w:rsidRPr="003E2A18">
              <w:rPr>
                <w:rFonts w:asciiTheme="minorHAnsi" w:hAnsiTheme="minorHAnsi" w:cstheme="minorHAnsi"/>
                <w:bCs/>
                <w:lang w:val="fr-FR"/>
              </w:rPr>
              <w:t>adhésion</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VII.30</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Statut de la Yougoslavie à la Convention de Ramsar</w:t>
            </w:r>
          </w:p>
          <w:p w:rsidR="00E37382" w:rsidRPr="003E2A18" w:rsidRDefault="00E37382" w:rsidP="00E37382">
            <w:pPr>
              <w:ind w:left="0" w:firstLine="0"/>
              <w:rPr>
                <w:rFonts w:asciiTheme="minorHAnsi" w:hAnsiTheme="minorHAnsi" w:cstheme="minorHAnsi"/>
                <w:b/>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Sessions de la Conférence des Parties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1.9</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Appel à réunir une session de la Conférence des Parties contractantes immédiatement après l</w:t>
            </w:r>
            <w:r>
              <w:rPr>
                <w:rFonts w:asciiTheme="minorHAnsi" w:hAnsiTheme="minorHAnsi" w:cstheme="minorHAnsi"/>
                <w:lang w:val="fr-FR"/>
              </w:rPr>
              <w:t>’</w:t>
            </w:r>
            <w:r w:rsidRPr="003E2A18">
              <w:rPr>
                <w:rFonts w:asciiTheme="minorHAnsi" w:hAnsiTheme="minorHAnsi" w:cstheme="minorHAnsi"/>
                <w:lang w:val="fr-FR"/>
              </w:rPr>
              <w:t>entrée en vigueur du protocole proposé par la Recommandation 1.7</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VI.15</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Amendement du règlement intérieur à partir de la 7</w:t>
            </w:r>
            <w:r w:rsidRPr="003E2A18">
              <w:rPr>
                <w:rFonts w:asciiTheme="minorHAnsi" w:hAnsiTheme="minorHAnsi" w:cstheme="minorHAnsi"/>
                <w:bCs/>
                <w:vertAlign w:val="superscript"/>
                <w:lang w:val="fr-FR"/>
              </w:rPr>
              <w:t>e</w:t>
            </w:r>
            <w:r w:rsidRPr="003E2A18">
              <w:rPr>
                <w:rFonts w:asciiTheme="minorHAnsi" w:hAnsiTheme="minorHAnsi" w:cstheme="minorHAnsi"/>
                <w:bCs/>
                <w:lang w:val="fr-FR"/>
              </w:rPr>
              <w:t xml:space="preserve"> Session de la Conférence des Parties contractantes</w:t>
            </w:r>
          </w:p>
          <w:p w:rsidR="00E37382" w:rsidRPr="003E2A18" w:rsidRDefault="00E37382" w:rsidP="00E37382">
            <w:pPr>
              <w:ind w:left="0" w:firstLine="0"/>
              <w:rPr>
                <w:rFonts w:asciiTheme="minorHAnsi" w:hAnsiTheme="minorHAnsi" w:cstheme="minorHAnsi"/>
                <w:bCs/>
                <w:lang w:val="fr-FR"/>
              </w:rPr>
            </w:pPr>
          </w:p>
        </w:tc>
      </w:tr>
      <w:tr w:rsidR="00E37382" w:rsidRPr="00193AD6"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Finances, budget &amp; mobilisation des ressources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2.4</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Moyens financiers ou autres nécessaires au secrétariat intérimaire</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3.2</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Questions financières et budgétaires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Annexe au document DOC.C.4.13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Résolution sur les questions financières et budgétaires (en anglais seulement) </w:t>
            </w:r>
          </w:p>
          <w:p w:rsidR="00E37382"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5.2</w:t>
            </w:r>
          </w:p>
          <w:p w:rsidR="00E37382" w:rsidRPr="003E2A18" w:rsidRDefault="00E37382" w:rsidP="00E37382">
            <w:pPr>
              <w:pStyle w:val="Default"/>
              <w:rPr>
                <w:sz w:val="22"/>
                <w:szCs w:val="22"/>
                <w:lang w:val="fr-FR"/>
              </w:rPr>
            </w:pPr>
            <w:r w:rsidRPr="003E2A18">
              <w:rPr>
                <w:sz w:val="22"/>
                <w:szCs w:val="22"/>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lang w:val="fr-FR"/>
              </w:rPr>
            </w:pPr>
            <w:r w:rsidRPr="003E2A18">
              <w:rPr>
                <w:rFonts w:asciiTheme="minorHAnsi" w:hAnsiTheme="minorHAnsi" w:cstheme="minorHAnsi"/>
                <w:bCs/>
                <w:lang w:val="fr-FR"/>
              </w:rPr>
              <w:t>VI.17</w:t>
            </w:r>
            <w:r w:rsidRPr="003E2A18">
              <w:rPr>
                <w:lang w:val="fr-FR"/>
              </w:rPr>
              <w:t xml:space="preserve">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VII.28</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VIII.27</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IX.12</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XI.2</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XII.7</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Cadre de la Convention de Ramsar pour la mobilisation de ressources et les partenariats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XIII.2</w:t>
            </w: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Questions financières et budgétaires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Plan stratégique</w:t>
            </w:r>
          </w:p>
          <w:p w:rsidR="00E37382" w:rsidRPr="003E2A18" w:rsidRDefault="00E37382" w:rsidP="00E37382">
            <w:pPr>
              <w:ind w:left="0" w:firstLine="0"/>
              <w:rPr>
                <w:rFonts w:asciiTheme="minorHAnsi" w:hAnsiTheme="minorHAnsi" w:cstheme="minorHAnsi"/>
                <w:b/>
                <w:lang w:val="fr-FR"/>
              </w:rPr>
            </w:pP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VI.14</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Déclaration du 25</w:t>
            </w:r>
            <w:r w:rsidRPr="003E2A18">
              <w:rPr>
                <w:rFonts w:asciiTheme="minorHAnsi" w:hAnsiTheme="minorHAnsi" w:cstheme="minorHAnsi"/>
                <w:bCs/>
                <w:vertAlign w:val="superscript"/>
                <w:lang w:val="fr-FR"/>
              </w:rPr>
              <w:t>e</w:t>
            </w:r>
            <w:r w:rsidRPr="003E2A18">
              <w:rPr>
                <w:rFonts w:asciiTheme="minorHAnsi" w:hAnsiTheme="minorHAnsi" w:cstheme="minorHAnsi"/>
                <w:bCs/>
                <w:lang w:val="fr-FR"/>
              </w:rPr>
              <w:t xml:space="preserve"> anniversaire de la Convention de Ramsar, Plan stratégique 1997 - 2002, et programme de travail du Bureau 1997-1999</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VIII.25</w:t>
            </w:r>
          </w:p>
          <w:p w:rsidR="00E37382" w:rsidRPr="003E2A18" w:rsidRDefault="00E37382" w:rsidP="00E37382">
            <w:pPr>
              <w:pStyle w:val="Default"/>
              <w:rPr>
                <w:sz w:val="22"/>
                <w:szCs w:val="22"/>
                <w:lang w:val="fr-FR"/>
              </w:rPr>
            </w:pPr>
            <w:r w:rsidRPr="003E2A18">
              <w:rPr>
                <w:sz w:val="22"/>
                <w:szCs w:val="22"/>
                <w:lang w:val="fr-FR"/>
              </w:rPr>
              <w:t xml:space="preserve">Le Plan stratégique Ramsar 2003-2008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VIII.26*</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Mise en œuvre du Plan stratégique 2003-2008 durant la période triennale 2003-2005 et Rapports nationaux à la COP9 de Ramsar</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IX.8</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Rationaliser la mise en œuvre du Plan stratégique de la Convention 2003-2008</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Le Plan stratégique Ramsar 2009-2015</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XI.3</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Ajustements apportés au Plan stratégique 2009-2015 pour la période triennale 2013-2015</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XII.2</w:t>
            </w: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Le Plan stratégique Ramsar 2016-2024</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XIII.5 </w:t>
            </w: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Révision du quatrième Plan stratégique de la Convention de Ramsar</w:t>
            </w:r>
          </w:p>
          <w:p w:rsidR="00E37382" w:rsidRPr="003E2A18" w:rsidRDefault="00E37382" w:rsidP="00E37382">
            <w:pPr>
              <w:ind w:left="0" w:firstLine="0"/>
              <w:rPr>
                <w:rFonts w:asciiTheme="minorHAnsi" w:hAnsiTheme="minorHAnsi" w:cstheme="minorHAnsi"/>
                <w:bCs/>
                <w:lang w:val="fr-FR"/>
              </w:rPr>
            </w:pPr>
          </w:p>
        </w:tc>
      </w:tr>
      <w:tr w:rsidR="00E37382" w:rsidRPr="00193AD6" w:rsidTr="00E37382">
        <w:trPr>
          <w:cantSplit/>
        </w:trPr>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Gouvernance &amp;</w:t>
            </w:r>
          </w:p>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Efficacité</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2.3</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Mesures requises devant bénéficier d</w:t>
            </w:r>
            <w:r>
              <w:rPr>
                <w:rFonts w:asciiTheme="minorHAnsi" w:hAnsiTheme="minorHAnsi" w:cstheme="minorHAnsi"/>
                <w:bCs/>
                <w:lang w:val="fr-FR"/>
              </w:rPr>
              <w:t>’</w:t>
            </w:r>
            <w:r w:rsidRPr="003E2A18">
              <w:rPr>
                <w:rFonts w:asciiTheme="minorHAnsi" w:hAnsiTheme="minorHAnsi" w:cstheme="minorHAnsi"/>
                <w:bCs/>
                <w:lang w:val="fr-FR"/>
              </w:rPr>
              <w:t>une attention prioritaire</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2.3 Annexe</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Cadre d</w:t>
            </w:r>
            <w:r>
              <w:rPr>
                <w:rFonts w:asciiTheme="minorHAnsi" w:hAnsiTheme="minorHAnsi" w:cstheme="minorHAnsi"/>
                <w:bCs/>
                <w:lang w:val="fr-FR"/>
              </w:rPr>
              <w:t>’</w:t>
            </w:r>
            <w:r w:rsidRPr="003E2A18">
              <w:rPr>
                <w:rFonts w:asciiTheme="minorHAnsi" w:hAnsiTheme="minorHAnsi" w:cstheme="minorHAnsi"/>
                <w:bCs/>
                <w:lang w:val="fr-FR"/>
              </w:rPr>
              <w:t>application de la Convention relative aux zones humides</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d</w:t>
            </w:r>
            <w:r>
              <w:rPr>
                <w:rFonts w:asciiTheme="minorHAnsi" w:hAnsiTheme="minorHAnsi" w:cstheme="minorHAnsi"/>
                <w:bCs/>
                <w:lang w:val="fr-FR"/>
              </w:rPr>
              <w:t>’</w:t>
            </w:r>
            <w:r w:rsidRPr="003E2A18">
              <w:rPr>
                <w:rFonts w:asciiTheme="minorHAnsi" w:hAnsiTheme="minorHAnsi" w:cstheme="minorHAnsi"/>
                <w:bCs/>
                <w:lang w:val="fr-FR"/>
              </w:rPr>
              <w:t>importance internationale, particulièrement comme habitats de</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 xml:space="preserve">la sauvagine (Ramsar, 1971)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Annexe au document DOC.C.4.13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rsidR="00E37382" w:rsidRPr="00CC5F3A" w:rsidRDefault="00E37382" w:rsidP="00E37382">
            <w:pPr>
              <w:ind w:left="0" w:firstLine="0"/>
              <w:rPr>
                <w:rFonts w:asciiTheme="minorHAnsi" w:hAnsiTheme="minorHAnsi" w:cstheme="minorHAnsi"/>
                <w:lang w:val="en-CA"/>
              </w:rPr>
            </w:pPr>
            <w:r w:rsidRPr="00CC5F3A">
              <w:rPr>
                <w:rFonts w:asciiTheme="minorHAnsi" w:hAnsiTheme="minorHAnsi" w:cstheme="minorHAnsi"/>
                <w:lang w:val="en-CA"/>
              </w:rPr>
              <w:t xml:space="preserve">Framework for the implementation of the Convention and priorities for attention 1991-1993 (en anglais seulement) </w:t>
            </w:r>
          </w:p>
          <w:p w:rsidR="00E37382" w:rsidRPr="00CC5F3A" w:rsidRDefault="00E37382" w:rsidP="00E37382">
            <w:pPr>
              <w:ind w:left="0" w:firstLine="0"/>
              <w:rPr>
                <w:rFonts w:asciiTheme="minorHAnsi" w:hAnsiTheme="minorHAnsi" w:cstheme="minorHAnsi"/>
                <w:bCs/>
                <w:lang w:val="en-CA"/>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4.7</w:t>
            </w: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Mécanismes permettant d</w:t>
            </w:r>
            <w:r>
              <w:rPr>
                <w:rFonts w:asciiTheme="minorHAnsi" w:hAnsiTheme="minorHAnsi" w:cstheme="minorHAnsi"/>
                <w:bCs/>
                <w:lang w:val="fr-FR"/>
              </w:rPr>
              <w:t>’</w:t>
            </w:r>
            <w:r w:rsidRPr="003E2A18">
              <w:rPr>
                <w:rFonts w:asciiTheme="minorHAnsi" w:hAnsiTheme="minorHAnsi" w:cstheme="minorHAnsi"/>
                <w:bCs/>
                <w:lang w:val="fr-FR"/>
              </w:rPr>
              <w:t>améliorer l</w:t>
            </w:r>
            <w:r>
              <w:rPr>
                <w:rFonts w:asciiTheme="minorHAnsi" w:hAnsiTheme="minorHAnsi" w:cstheme="minorHAnsi"/>
                <w:bCs/>
                <w:lang w:val="fr-FR"/>
              </w:rPr>
              <w:t>’</w:t>
            </w:r>
            <w:r w:rsidRPr="003E2A18">
              <w:rPr>
                <w:rFonts w:asciiTheme="minorHAnsi" w:hAnsiTheme="minorHAnsi" w:cstheme="minorHAnsi"/>
                <w:bCs/>
                <w:lang w:val="fr-FR"/>
              </w:rPr>
              <w:t>application de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5.1</w:t>
            </w:r>
          </w:p>
          <w:p w:rsidR="00E37382" w:rsidRPr="003E2A18" w:rsidRDefault="00E37382" w:rsidP="00E37382">
            <w:pPr>
              <w:pStyle w:val="Default"/>
              <w:rPr>
                <w:sz w:val="22"/>
                <w:szCs w:val="22"/>
                <w:lang w:val="fr-FR"/>
              </w:rPr>
            </w:pPr>
            <w:r w:rsidRPr="003E2A18">
              <w:rPr>
                <w:sz w:val="22"/>
                <w:szCs w:val="22"/>
                <w:lang w:val="fr-FR"/>
              </w:rPr>
              <w:t>Déclaration de Kushiro et le cadre d</w:t>
            </w:r>
            <w:r>
              <w:rPr>
                <w:sz w:val="22"/>
                <w:szCs w:val="22"/>
                <w:lang w:val="fr-FR"/>
              </w:rPr>
              <w:t>’</w:t>
            </w:r>
            <w:r w:rsidRPr="003E2A18">
              <w:rPr>
                <w:sz w:val="22"/>
                <w:szCs w:val="22"/>
                <w:lang w:val="fr-FR"/>
              </w:rPr>
              <w:t xml:space="preserve">application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VI.11</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Recueil des recommandations et résolutions de la Conférence des Parties contractantes</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VII.27</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Le Plan de travail de la Convention 2000-2002</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VIII.45</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Fonctionnement de la Conférence des Parties contractantes et efficacité des résolutions et recommandations de la Convention de Ramsar</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IX.17</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Examen des décisions de la Conférence des Parties contractantes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IX.24</w:t>
            </w:r>
          </w:p>
          <w:p w:rsidR="00E37382" w:rsidRPr="003E2A18" w:rsidRDefault="00E37382" w:rsidP="00E37382">
            <w:pPr>
              <w:pStyle w:val="Default"/>
              <w:rPr>
                <w:sz w:val="22"/>
                <w:szCs w:val="22"/>
                <w:lang w:val="fr-FR"/>
              </w:rPr>
            </w:pPr>
            <w:r w:rsidRPr="003E2A18">
              <w:rPr>
                <w:sz w:val="22"/>
                <w:szCs w:val="22"/>
                <w:lang w:val="fr-FR"/>
              </w:rPr>
              <w:t xml:space="preserve">Améliorer la gestion de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X.4</w:t>
            </w:r>
          </w:p>
          <w:p w:rsidR="00E37382" w:rsidRPr="003E2A18" w:rsidRDefault="00E37382" w:rsidP="00E37382">
            <w:pPr>
              <w:pStyle w:val="Default"/>
              <w:rPr>
                <w:sz w:val="22"/>
                <w:szCs w:val="22"/>
                <w:lang w:val="fr-FR"/>
              </w:rPr>
            </w:pPr>
            <w:r w:rsidRPr="003E2A18">
              <w:rPr>
                <w:sz w:val="22"/>
                <w:szCs w:val="22"/>
                <w:lang w:val="fr-FR"/>
              </w:rPr>
              <w:t>Établissement d</w:t>
            </w:r>
            <w:r>
              <w:rPr>
                <w:sz w:val="22"/>
                <w:szCs w:val="22"/>
                <w:lang w:val="fr-FR"/>
              </w:rPr>
              <w:t>’</w:t>
            </w:r>
            <w:r w:rsidRPr="003E2A18">
              <w:rPr>
                <w:sz w:val="22"/>
                <w:szCs w:val="22"/>
                <w:lang w:val="fr-FR"/>
              </w:rPr>
              <w:t xml:space="preserve">un Comité de transition du Groupe de travail sur la gestion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XII.3*</w:t>
            </w:r>
          </w:p>
          <w:p w:rsidR="00E37382" w:rsidRDefault="00E37382" w:rsidP="00E37382">
            <w:pPr>
              <w:pStyle w:val="Default"/>
              <w:rPr>
                <w:sz w:val="22"/>
                <w:szCs w:val="22"/>
                <w:lang w:val="fr-FR"/>
              </w:rPr>
            </w:pPr>
            <w:r w:rsidRPr="003E2A18">
              <w:rPr>
                <w:sz w:val="22"/>
                <w:szCs w:val="22"/>
                <w:lang w:val="fr-FR"/>
              </w:rPr>
              <w:t>Renforcer la visibilité et la stature de la Convention et améliorer les synergies avec d</w:t>
            </w:r>
            <w:r>
              <w:rPr>
                <w:sz w:val="22"/>
                <w:szCs w:val="22"/>
                <w:lang w:val="fr-FR"/>
              </w:rPr>
              <w:t>’</w:t>
            </w:r>
            <w:r w:rsidRPr="003E2A18">
              <w:rPr>
                <w:sz w:val="22"/>
                <w:szCs w:val="22"/>
                <w:lang w:val="fr-FR"/>
              </w:rPr>
              <w:t>autres accords multilatéraux sur l</w:t>
            </w:r>
            <w:r>
              <w:rPr>
                <w:sz w:val="22"/>
                <w:szCs w:val="22"/>
                <w:lang w:val="fr-FR"/>
              </w:rPr>
              <w:t>’</w:t>
            </w:r>
            <w:r w:rsidRPr="003E2A18">
              <w:rPr>
                <w:sz w:val="22"/>
                <w:szCs w:val="22"/>
                <w:lang w:val="fr-FR"/>
              </w:rPr>
              <w:t xml:space="preserve">environnement et autres institutions internationales </w:t>
            </w:r>
          </w:p>
          <w:p w:rsidR="00E37382" w:rsidRDefault="00E37382" w:rsidP="00E37382">
            <w:pPr>
              <w:pStyle w:val="Default"/>
              <w:rPr>
                <w:sz w:val="22"/>
                <w:szCs w:val="22"/>
                <w:lang w:val="fr-FR"/>
              </w:rPr>
            </w:pPr>
          </w:p>
          <w:p w:rsidR="00E37382" w:rsidRPr="003E2A18" w:rsidRDefault="00E37382" w:rsidP="00E37382">
            <w:pPr>
              <w:autoSpaceDE w:val="0"/>
              <w:autoSpaceDN w:val="0"/>
              <w:adjustRightInd w:val="0"/>
              <w:ind w:left="0" w:firstLine="0"/>
              <w:rPr>
                <w:rFonts w:eastAsiaTheme="minorHAnsi" w:cs="Calibri"/>
                <w:color w:val="000000"/>
                <w:sz w:val="24"/>
                <w:szCs w:val="24"/>
                <w:lang w:val="fr-FR"/>
              </w:rPr>
            </w:pPr>
            <w:r w:rsidRPr="003E2A18">
              <w:rPr>
                <w:rFonts w:asciiTheme="minorHAnsi" w:hAnsiTheme="minorHAnsi" w:cstheme="minorHAnsi"/>
                <w:lang w:val="fr-FR"/>
              </w:rPr>
              <w:t>XIII.3</w:t>
            </w:r>
            <w:r w:rsidRPr="003E2A18">
              <w:rPr>
                <w:lang w:val="fr-FR"/>
              </w:rPr>
              <w:t xml:space="preserve"> </w:t>
            </w:r>
          </w:p>
          <w:p w:rsidR="00E37382" w:rsidRPr="003E2A18" w:rsidRDefault="00E37382" w:rsidP="00E37382">
            <w:pPr>
              <w:pStyle w:val="Default"/>
              <w:rPr>
                <w:sz w:val="22"/>
                <w:szCs w:val="22"/>
                <w:lang w:val="fr-FR"/>
              </w:rPr>
            </w:pPr>
            <w:r w:rsidRPr="003E2A18">
              <w:rPr>
                <w:lang w:val="fr-FR"/>
              </w:rPr>
              <w:t>Gouvernance de la Convention</w:t>
            </w:r>
          </w:p>
          <w:p w:rsidR="00E37382" w:rsidRPr="003E2A18" w:rsidRDefault="00E37382" w:rsidP="00E37382">
            <w:pPr>
              <w:ind w:left="0" w:firstLine="0"/>
              <w:rPr>
                <w:rFonts w:asciiTheme="minorHAnsi" w:hAnsiTheme="minorHAnsi" w:cstheme="minorHAnsi"/>
                <w:lang w:val="fr-FR"/>
              </w:rPr>
            </w:pPr>
          </w:p>
        </w:tc>
      </w:tr>
      <w:tr w:rsidR="00E37382" w:rsidRPr="00E37382" w:rsidTr="00E37382">
        <w:trPr>
          <w:cantSplit/>
        </w:trPr>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Secrétariat</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1.10</w:t>
            </w:r>
          </w:p>
          <w:p w:rsidR="00E37382" w:rsidRPr="003E2A18" w:rsidRDefault="00E37382" w:rsidP="00E37382">
            <w:pPr>
              <w:pStyle w:val="Default"/>
              <w:rPr>
                <w:sz w:val="22"/>
                <w:szCs w:val="22"/>
                <w:lang w:val="fr-FR"/>
              </w:rPr>
            </w:pPr>
            <w:r w:rsidRPr="003E2A18">
              <w:rPr>
                <w:sz w:val="22"/>
                <w:szCs w:val="22"/>
                <w:lang w:val="fr-FR"/>
              </w:rPr>
              <w:t>Établissement d</w:t>
            </w:r>
            <w:r>
              <w:rPr>
                <w:sz w:val="22"/>
                <w:szCs w:val="22"/>
                <w:lang w:val="fr-FR"/>
              </w:rPr>
              <w:t>’</w:t>
            </w:r>
            <w:r w:rsidRPr="003E2A18">
              <w:rPr>
                <w:sz w:val="22"/>
                <w:szCs w:val="22"/>
                <w:lang w:val="fr-FR"/>
              </w:rPr>
              <w:t xml:space="preserve">un secrétariat permanent pour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3.1, Annex</w:t>
            </w:r>
          </w:p>
          <w:p w:rsidR="00E37382" w:rsidRPr="003E2A18" w:rsidRDefault="00E37382" w:rsidP="00E37382">
            <w:pPr>
              <w:ind w:left="0" w:firstLine="0"/>
              <w:rPr>
                <w:lang w:val="fr-FR"/>
              </w:rPr>
            </w:pPr>
            <w:r w:rsidRPr="003E2A18">
              <w:rPr>
                <w:lang w:val="fr-FR"/>
              </w:rPr>
              <w:t>Mémorandum d</w:t>
            </w:r>
            <w:r>
              <w:rPr>
                <w:lang w:val="fr-FR"/>
              </w:rPr>
              <w:t>’</w:t>
            </w:r>
            <w:r w:rsidRPr="003E2A18">
              <w:rPr>
                <w:lang w:val="fr-FR"/>
              </w:rPr>
              <w:t>accord conclu entre l</w:t>
            </w:r>
            <w:r>
              <w:rPr>
                <w:lang w:val="fr-FR"/>
              </w:rPr>
              <w:t>’</w:t>
            </w:r>
            <w:r w:rsidRPr="003E2A18">
              <w:rPr>
                <w:lang w:val="fr-FR"/>
              </w:rPr>
              <w:t>UICN et le BIROE</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3.5</w:t>
            </w:r>
          </w:p>
          <w:p w:rsidR="00E37382" w:rsidRPr="003E2A18" w:rsidRDefault="00E37382" w:rsidP="00E37382">
            <w:pPr>
              <w:pStyle w:val="Default"/>
              <w:rPr>
                <w:sz w:val="22"/>
                <w:szCs w:val="22"/>
                <w:lang w:val="fr-FR"/>
              </w:rPr>
            </w:pPr>
            <w:r w:rsidRPr="003E2A18">
              <w:rPr>
                <w:sz w:val="22"/>
                <w:szCs w:val="22"/>
                <w:lang w:val="fr-FR"/>
              </w:rPr>
              <w:t>Tâches du Bureau vis-à-vis des organismes d</w:t>
            </w:r>
            <w:r>
              <w:rPr>
                <w:sz w:val="22"/>
                <w:szCs w:val="22"/>
                <w:lang w:val="fr-FR"/>
              </w:rPr>
              <w:t>’</w:t>
            </w:r>
            <w:r w:rsidRPr="003E2A18">
              <w:rPr>
                <w:sz w:val="22"/>
                <w:szCs w:val="22"/>
                <w:lang w:val="fr-FR"/>
              </w:rPr>
              <w:t xml:space="preserve">aide au développement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Annexe to DOC.C.4.15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rsidR="00E37382" w:rsidRPr="003E2A18" w:rsidRDefault="00B7739E" w:rsidP="00E37382">
            <w:pPr>
              <w:ind w:left="0" w:firstLine="0"/>
              <w:rPr>
                <w:rFonts w:asciiTheme="minorHAnsi" w:hAnsiTheme="minorHAnsi" w:cstheme="minorHAnsi"/>
                <w:lang w:val="fr-FR"/>
              </w:rPr>
            </w:pPr>
            <w:hyperlink r:id="rId8" w:history="1">
              <w:r w:rsidR="00E37382" w:rsidRPr="003E2A18">
                <w:rPr>
                  <w:rFonts w:asciiTheme="minorHAnsi" w:hAnsiTheme="minorHAnsi" w:cstheme="minorHAnsi"/>
                  <w:lang w:val="fr-FR"/>
                </w:rPr>
                <w:t>Secretariat matters</w:t>
              </w:r>
            </w:hyperlink>
            <w:r w:rsidR="00E37382" w:rsidRPr="003E2A18">
              <w:rPr>
                <w:rFonts w:asciiTheme="minorHAnsi" w:hAnsiTheme="minorHAnsi" w:cstheme="minorHAnsi"/>
                <w:lang w:val="fr-FR"/>
              </w:rPr>
              <w:t xml:space="preserve"> --- en anglais seulement</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5.11</w:t>
            </w:r>
          </w:p>
          <w:p w:rsidR="00E37382" w:rsidRPr="003E2A18" w:rsidRDefault="00E37382" w:rsidP="00E37382">
            <w:pPr>
              <w:pStyle w:val="Default"/>
              <w:rPr>
                <w:sz w:val="22"/>
                <w:szCs w:val="22"/>
                <w:lang w:val="fr-FR"/>
              </w:rPr>
            </w:pPr>
            <w:r w:rsidRPr="003E2A18">
              <w:rPr>
                <w:sz w:val="22"/>
                <w:szCs w:val="22"/>
                <w:lang w:val="fr-FR"/>
              </w:rPr>
              <w:t xml:space="preserve">Le nouveau siège du Bureau en Suisse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6.6</w:t>
            </w:r>
          </w:p>
          <w:p w:rsidR="00E37382" w:rsidRPr="003E2A18" w:rsidRDefault="00E37382" w:rsidP="00E37382">
            <w:pPr>
              <w:pStyle w:val="Default"/>
              <w:rPr>
                <w:sz w:val="22"/>
                <w:szCs w:val="22"/>
                <w:lang w:val="fr-FR"/>
              </w:rPr>
            </w:pPr>
            <w:r w:rsidRPr="003E2A18">
              <w:rPr>
                <w:sz w:val="22"/>
                <w:szCs w:val="22"/>
                <w:lang w:val="fr-FR"/>
              </w:rPr>
              <w:t>Mise en place d</w:t>
            </w:r>
            <w:r>
              <w:rPr>
                <w:sz w:val="22"/>
                <w:szCs w:val="22"/>
                <w:lang w:val="fr-FR"/>
              </w:rPr>
              <w:t>’</w:t>
            </w:r>
            <w:r w:rsidRPr="003E2A18">
              <w:rPr>
                <w:sz w:val="22"/>
                <w:szCs w:val="22"/>
                <w:lang w:val="fr-FR"/>
              </w:rPr>
              <w:t xml:space="preserve">attachés de liaison Ramsar dans les régions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VI.8</w:t>
            </w:r>
          </w:p>
          <w:p w:rsidR="00E37382" w:rsidRPr="003E2A18" w:rsidRDefault="00E37382" w:rsidP="00E37382">
            <w:pPr>
              <w:pStyle w:val="Default"/>
              <w:rPr>
                <w:sz w:val="22"/>
                <w:szCs w:val="22"/>
                <w:lang w:val="fr-FR"/>
              </w:rPr>
            </w:pPr>
            <w:r w:rsidRPr="003E2A18">
              <w:rPr>
                <w:sz w:val="22"/>
                <w:szCs w:val="22"/>
                <w:lang w:val="fr-FR"/>
              </w:rPr>
              <w:t xml:space="preserve">Questions relatives au Secrétaire général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VI.22</w:t>
            </w:r>
          </w:p>
          <w:p w:rsidR="00E37382" w:rsidRPr="003E2A18" w:rsidRDefault="00E37382" w:rsidP="00E37382">
            <w:pPr>
              <w:pStyle w:val="Default"/>
              <w:rPr>
                <w:sz w:val="22"/>
                <w:szCs w:val="22"/>
                <w:lang w:val="fr-FR"/>
              </w:rPr>
            </w:pPr>
            <w:r w:rsidRPr="003E2A18">
              <w:rPr>
                <w:sz w:val="22"/>
                <w:szCs w:val="22"/>
                <w:lang w:val="fr-FR"/>
              </w:rPr>
              <w:t xml:space="preserve">Étude sur une réduction générale des coûts et, en particulier, sur le déplacement éventuel du Bureau Ramsar et de ses opérations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IX.10</w:t>
            </w:r>
            <w:r w:rsidRPr="003E2A18">
              <w:rPr>
                <w:rFonts w:asciiTheme="minorHAnsi" w:hAnsiTheme="minorHAnsi" w:cstheme="minorHAnsi"/>
                <w:lang w:val="fr-FR"/>
              </w:rPr>
              <w:fldChar w:fldCharType="begin"/>
            </w:r>
            <w:r w:rsidRPr="003E2A18">
              <w:rPr>
                <w:rFonts w:asciiTheme="minorHAnsi" w:hAnsiTheme="minorHAnsi" w:cstheme="minorHAnsi"/>
                <w:lang w:val="fr-FR"/>
              </w:rPr>
              <w:instrText xml:space="preserve"> HYPERLINK "http://archive.ramsar.org/cda/en/ramsar-documents-resol-resolution-ix-10-use-of/main/ramsar/1-31-107%5E23494_4000_0__" </w:instrText>
            </w:r>
            <w:r w:rsidRPr="003E2A18">
              <w:rPr>
                <w:rFonts w:asciiTheme="minorHAnsi" w:hAnsiTheme="minorHAnsi" w:cstheme="minorHAnsi"/>
                <w:lang w:val="fr-FR"/>
              </w:rPr>
              <w:fldChar w:fldCharType="separate"/>
            </w:r>
            <w:r w:rsidRPr="003E2A18">
              <w:rPr>
                <w:rFonts w:asciiTheme="minorHAnsi" w:hAnsiTheme="minorHAnsi" w:cstheme="minorHAnsi"/>
                <w:lang w:val="fr-FR"/>
              </w:rPr>
              <w:t xml:space="preserve"> </w:t>
            </w:r>
          </w:p>
          <w:p w:rsidR="00E37382" w:rsidRPr="003E2A18" w:rsidRDefault="00E37382" w:rsidP="00E37382">
            <w:pPr>
              <w:pStyle w:val="Default"/>
              <w:rPr>
                <w:sz w:val="22"/>
                <w:szCs w:val="22"/>
                <w:lang w:val="fr-FR"/>
              </w:rPr>
            </w:pPr>
            <w:r w:rsidRPr="003E2A18">
              <w:rPr>
                <w:sz w:val="22"/>
                <w:szCs w:val="22"/>
                <w:lang w:val="fr-FR"/>
              </w:rPr>
              <w:t>Usage de l</w:t>
            </w:r>
            <w:r>
              <w:rPr>
                <w:sz w:val="22"/>
                <w:szCs w:val="22"/>
                <w:lang w:val="fr-FR"/>
              </w:rPr>
              <w:t>’</w:t>
            </w:r>
            <w:r w:rsidRPr="003E2A18">
              <w:rPr>
                <w:sz w:val="22"/>
                <w:szCs w:val="22"/>
                <w:lang w:val="fr-FR"/>
              </w:rPr>
              <w:t xml:space="preserve">expression « Secrétariat Ramsar » et statut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fldChar w:fldCharType="end"/>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X.5</w:t>
            </w:r>
          </w:p>
          <w:p w:rsidR="00E37382" w:rsidRPr="003E2A18" w:rsidRDefault="00E37382" w:rsidP="00E37382">
            <w:pPr>
              <w:pStyle w:val="Default"/>
              <w:rPr>
                <w:sz w:val="22"/>
                <w:szCs w:val="22"/>
                <w:lang w:val="fr-FR"/>
              </w:rPr>
            </w:pPr>
            <w:r w:rsidRPr="003E2A18">
              <w:rPr>
                <w:sz w:val="22"/>
                <w:szCs w:val="22"/>
                <w:lang w:val="fr-FR"/>
              </w:rPr>
              <w:t xml:space="preserve">Faciliter les travaux de la Convention de Ramsar et de son Secrétariat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w:t>
            </w:r>
          </w:p>
          <w:p w:rsidR="00E37382" w:rsidRPr="003E2A18" w:rsidRDefault="00E37382" w:rsidP="00E37382">
            <w:pPr>
              <w:pStyle w:val="Default"/>
              <w:rPr>
                <w:sz w:val="22"/>
                <w:szCs w:val="22"/>
                <w:lang w:val="fr-FR"/>
              </w:rPr>
            </w:pPr>
            <w:r w:rsidRPr="003E2A18">
              <w:rPr>
                <w:sz w:val="22"/>
                <w:szCs w:val="22"/>
                <w:lang w:val="fr-FR"/>
              </w:rPr>
              <w:t xml:space="preserve">Accueil institutionnel du Secrétariat Ramsar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Comité permanent</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3.3</w:t>
            </w:r>
            <w:r w:rsidRPr="003E2A18">
              <w:rPr>
                <w:rFonts w:asciiTheme="minorHAnsi" w:hAnsiTheme="minorHAnsi" w:cstheme="minorHAnsi"/>
                <w:bCs/>
                <w:lang w:val="fr-FR"/>
              </w:rPr>
              <w:fldChar w:fldCharType="begin"/>
            </w:r>
            <w:r w:rsidRPr="003E2A18">
              <w:rPr>
                <w:rFonts w:asciiTheme="minorHAnsi" w:hAnsiTheme="minorHAnsi" w:cstheme="minorHAnsi"/>
                <w:bCs/>
                <w:lang w:val="fr-FR"/>
              </w:rPr>
              <w:instrText xml:space="preserve"> HYPERLINK "http://archive.ramsar.org/cda/en/ramsar-documents-resol-resolution-3-3/main/ramsar/1-31-107%5E23396_4000_0__" </w:instrText>
            </w:r>
            <w:r w:rsidRPr="003E2A18">
              <w:rPr>
                <w:rFonts w:asciiTheme="minorHAnsi" w:hAnsiTheme="minorHAnsi" w:cstheme="minorHAnsi"/>
                <w:bCs/>
                <w:lang w:val="fr-FR"/>
              </w:rPr>
              <w:fldChar w:fldCharType="separate"/>
            </w:r>
          </w:p>
          <w:p w:rsidR="00E37382" w:rsidRPr="003E2A18" w:rsidRDefault="00E37382" w:rsidP="00E37382">
            <w:pPr>
              <w:pStyle w:val="Default"/>
              <w:rPr>
                <w:sz w:val="22"/>
                <w:szCs w:val="22"/>
                <w:lang w:val="fr-FR"/>
              </w:rPr>
            </w:pPr>
            <w:r w:rsidRPr="003E2A18">
              <w:rPr>
                <w:sz w:val="22"/>
                <w:szCs w:val="22"/>
                <w:lang w:val="fr-FR"/>
              </w:rPr>
              <w:t>Résolution pour l</w:t>
            </w:r>
            <w:r>
              <w:rPr>
                <w:sz w:val="22"/>
                <w:szCs w:val="22"/>
                <w:lang w:val="fr-FR"/>
              </w:rPr>
              <w:t>’</w:t>
            </w:r>
            <w:r w:rsidRPr="003E2A18">
              <w:rPr>
                <w:sz w:val="22"/>
                <w:szCs w:val="22"/>
                <w:lang w:val="fr-FR"/>
              </w:rPr>
              <w:t>institution d</w:t>
            </w:r>
            <w:r>
              <w:rPr>
                <w:sz w:val="22"/>
                <w:szCs w:val="22"/>
                <w:lang w:val="fr-FR"/>
              </w:rPr>
              <w:t>’</w:t>
            </w:r>
            <w:r w:rsidRPr="003E2A18">
              <w:rPr>
                <w:sz w:val="22"/>
                <w:szCs w:val="22"/>
                <w:lang w:val="fr-FR"/>
              </w:rPr>
              <w:t xml:space="preserve">un Comité permanent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fldChar w:fldCharType="end"/>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Annexe au DOC.C.4.14 </w:t>
            </w:r>
            <w:r w:rsidRPr="003E2A18">
              <w:rPr>
                <w:rFonts w:asciiTheme="minorHAnsi" w:hAnsiTheme="minorHAnsi" w:cstheme="minorHAnsi"/>
                <w:lang w:val="fr-FR"/>
              </w:rPr>
              <w:sym w:font="Symbol" w:char="F05B"/>
            </w:r>
            <w:r w:rsidRPr="003E2A18">
              <w:rPr>
                <w:rFonts w:asciiTheme="minorHAnsi" w:hAnsiTheme="minorHAnsi" w:cstheme="minorHAnsi"/>
                <w:i/>
                <w:lang w:val="fr-FR"/>
              </w:rPr>
              <w:t>Résolution sans numéro</w:t>
            </w:r>
            <w:r w:rsidRPr="003E2A18">
              <w:rPr>
                <w:rFonts w:asciiTheme="minorHAnsi" w:hAnsiTheme="minorHAnsi" w:cstheme="minorHAnsi"/>
                <w:lang w:val="fr-FR"/>
              </w:rPr>
              <w:sym w:font="Symbol" w:char="F05D"/>
            </w:r>
          </w:p>
          <w:p w:rsidR="00E37382" w:rsidRPr="003E2A18" w:rsidRDefault="00B7739E" w:rsidP="00E37382">
            <w:pPr>
              <w:ind w:left="0" w:firstLine="0"/>
              <w:rPr>
                <w:rFonts w:asciiTheme="minorHAnsi" w:hAnsiTheme="minorHAnsi" w:cstheme="minorHAnsi"/>
                <w:lang w:val="fr-FR"/>
              </w:rPr>
            </w:pPr>
            <w:hyperlink r:id="rId9" w:history="1">
              <w:r w:rsidR="00E37382" w:rsidRPr="003E2A18">
                <w:rPr>
                  <w:rFonts w:asciiTheme="minorHAnsi" w:hAnsiTheme="minorHAnsi" w:cstheme="minorHAnsi"/>
                  <w:lang w:val="fr-FR"/>
                </w:rPr>
                <w:t xml:space="preserve">Le Comité permanent </w:t>
              </w:r>
            </w:hyperlink>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w:t>
            </w:r>
          </w:p>
          <w:p w:rsidR="00E37382" w:rsidRPr="003E2A18" w:rsidRDefault="00E37382" w:rsidP="00E37382">
            <w:pPr>
              <w:pStyle w:val="Default"/>
              <w:rPr>
                <w:sz w:val="22"/>
                <w:szCs w:val="22"/>
                <w:lang w:val="fr-FR"/>
              </w:rPr>
            </w:pPr>
            <w:r w:rsidRPr="003E2A18">
              <w:rPr>
                <w:sz w:val="22"/>
                <w:szCs w:val="22"/>
                <w:lang w:val="fr-FR"/>
              </w:rPr>
              <w:t xml:space="preserve">Répartition régionale des pays dans le cadre de la Convention, composition, rôle et responsabilités du Comité permanent et, notamment, tâches des membres du Comité permanent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XI.19</w:t>
            </w:r>
          </w:p>
          <w:p w:rsidR="00E37382" w:rsidRPr="003E2A18" w:rsidRDefault="00E37382" w:rsidP="00E37382">
            <w:pPr>
              <w:pStyle w:val="Default"/>
              <w:rPr>
                <w:sz w:val="22"/>
                <w:szCs w:val="22"/>
                <w:lang w:val="fr-FR"/>
              </w:rPr>
            </w:pPr>
            <w:r w:rsidRPr="003E2A18">
              <w:rPr>
                <w:sz w:val="22"/>
                <w:szCs w:val="22"/>
                <w:lang w:val="fr-FR"/>
              </w:rPr>
              <w:t xml:space="preserve">Ajustements des termes de la Résolution 7.1 sur la composition, le rôle et les responsabilités du Comité permanent et la répartition régionale des pays dans le cadre de la Convention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XII.4</w:t>
            </w:r>
          </w:p>
          <w:p w:rsidR="00E37382" w:rsidRDefault="00E37382" w:rsidP="00E37382">
            <w:pPr>
              <w:pStyle w:val="Default"/>
              <w:rPr>
                <w:sz w:val="22"/>
                <w:szCs w:val="22"/>
                <w:lang w:val="fr-FR"/>
              </w:rPr>
            </w:pPr>
            <w:r w:rsidRPr="003E2A18">
              <w:rPr>
                <w:sz w:val="22"/>
                <w:szCs w:val="22"/>
                <w:lang w:val="fr-FR"/>
              </w:rPr>
              <w:t xml:space="preserve">Responsabilités, rôle et composition du Comité permanent et répartition régionale des pays dans le cadre de la Convention de Ramsar </w:t>
            </w:r>
          </w:p>
          <w:p w:rsidR="00E37382" w:rsidRDefault="00E37382" w:rsidP="00E37382">
            <w:pPr>
              <w:pStyle w:val="Default"/>
              <w:rPr>
                <w:sz w:val="22"/>
                <w:szCs w:val="22"/>
                <w:lang w:val="fr-FR"/>
              </w:rPr>
            </w:pPr>
          </w:p>
          <w:p w:rsidR="00E37382" w:rsidRPr="003E2A18" w:rsidRDefault="00E37382" w:rsidP="00E37382">
            <w:pPr>
              <w:pStyle w:val="Default"/>
              <w:rPr>
                <w:sz w:val="22"/>
                <w:szCs w:val="22"/>
                <w:lang w:val="fr-FR"/>
              </w:rPr>
            </w:pPr>
            <w:r w:rsidRPr="003E2A18">
              <w:rPr>
                <w:rFonts w:asciiTheme="minorHAnsi" w:hAnsiTheme="minorHAnsi" w:cstheme="minorHAnsi"/>
                <w:lang w:val="fr-FR"/>
              </w:rPr>
              <w:t>XIII.4</w:t>
            </w:r>
            <w:r w:rsidRPr="003E2A18">
              <w:rPr>
                <w:lang w:val="fr-FR"/>
              </w:rPr>
              <w:t xml:space="preserve">  </w:t>
            </w:r>
          </w:p>
          <w:p w:rsidR="00E37382" w:rsidRPr="003E2A18" w:rsidRDefault="00E37382" w:rsidP="00E37382">
            <w:pPr>
              <w:ind w:left="0" w:firstLine="0"/>
              <w:rPr>
                <w:rFonts w:asciiTheme="minorHAnsi" w:hAnsiTheme="minorHAnsi" w:cstheme="minorHAnsi"/>
                <w:lang w:val="fr-FR"/>
              </w:rPr>
            </w:pPr>
            <w:r w:rsidRPr="003E2A18">
              <w:rPr>
                <w:rFonts w:eastAsiaTheme="minorHAnsi" w:cs="Calibri"/>
                <w:color w:val="000000"/>
                <w:lang w:val="fr-FR"/>
              </w:rPr>
              <w:t>Responsabilités, rôle et composition du Comité permanent et répartition régionale des pays dans le cadre de la Convention de Ramsar</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Groupe d</w:t>
            </w:r>
            <w:r>
              <w:rPr>
                <w:rFonts w:asciiTheme="minorHAnsi" w:hAnsiTheme="minorHAnsi" w:cstheme="minorHAnsi"/>
                <w:b/>
                <w:lang w:val="fr-FR"/>
              </w:rPr>
              <w:t>’</w:t>
            </w:r>
            <w:r w:rsidRPr="003E2A18">
              <w:rPr>
                <w:rFonts w:asciiTheme="minorHAnsi" w:hAnsiTheme="minorHAnsi" w:cstheme="minorHAnsi"/>
                <w:b/>
                <w:lang w:val="fr-FR"/>
              </w:rPr>
              <w:t>évaluation scientifique et technique ; Avis et appui scientifiques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5.5</w:t>
            </w:r>
          </w:p>
          <w:p w:rsidR="00E37382" w:rsidRPr="003E2A18" w:rsidRDefault="00E37382" w:rsidP="00E37382">
            <w:pPr>
              <w:pStyle w:val="Default"/>
              <w:rPr>
                <w:sz w:val="22"/>
                <w:szCs w:val="22"/>
                <w:lang w:val="fr-FR"/>
              </w:rPr>
            </w:pPr>
            <w:r w:rsidRPr="003E2A18">
              <w:rPr>
                <w:sz w:val="22"/>
                <w:szCs w:val="22"/>
                <w:lang w:val="fr-FR"/>
              </w:rPr>
              <w:t>Création d</w:t>
            </w:r>
            <w:r>
              <w:rPr>
                <w:sz w:val="22"/>
                <w:szCs w:val="22"/>
                <w:lang w:val="fr-FR"/>
              </w:rPr>
              <w:t>’</w:t>
            </w:r>
            <w:r w:rsidRPr="003E2A18">
              <w:rPr>
                <w:sz w:val="22"/>
                <w:szCs w:val="22"/>
                <w:lang w:val="fr-FR"/>
              </w:rPr>
              <w:t>un Groupe d</w:t>
            </w:r>
            <w:r>
              <w:rPr>
                <w:sz w:val="22"/>
                <w:szCs w:val="22"/>
                <w:lang w:val="fr-FR"/>
              </w:rPr>
              <w:t>’</w:t>
            </w:r>
            <w:r w:rsidRPr="003E2A18">
              <w:rPr>
                <w:sz w:val="22"/>
                <w:szCs w:val="22"/>
                <w:lang w:val="fr-FR"/>
              </w:rPr>
              <w:t xml:space="preserve">évaluation scientifique et technique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bCs/>
                <w:lang w:val="fr-FR"/>
              </w:rPr>
              <w:t>VI.7</w:t>
            </w:r>
          </w:p>
          <w:p w:rsidR="00E37382" w:rsidRPr="003E2A18" w:rsidRDefault="00E37382" w:rsidP="00E37382">
            <w:pPr>
              <w:pStyle w:val="Default"/>
              <w:rPr>
                <w:sz w:val="22"/>
                <w:szCs w:val="22"/>
                <w:lang w:val="fr-FR"/>
              </w:rPr>
            </w:pPr>
            <w:r w:rsidRPr="003E2A18">
              <w:rPr>
                <w:sz w:val="22"/>
                <w:szCs w:val="22"/>
                <w:lang w:val="fr-FR"/>
              </w:rPr>
              <w:t>Le Groupe d</w:t>
            </w:r>
            <w:r>
              <w:rPr>
                <w:sz w:val="22"/>
                <w:szCs w:val="22"/>
                <w:lang w:val="fr-FR"/>
              </w:rPr>
              <w:t>’</w:t>
            </w:r>
            <w:r w:rsidRPr="003E2A18">
              <w:rPr>
                <w:sz w:val="22"/>
                <w:szCs w:val="22"/>
                <w:lang w:val="fr-FR"/>
              </w:rPr>
              <w:t xml:space="preserve">évaluation scientifique et technique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w:t>
            </w:r>
          </w:p>
          <w:p w:rsidR="00E37382" w:rsidRPr="003E2A18" w:rsidRDefault="00E37382" w:rsidP="00E37382">
            <w:pPr>
              <w:pStyle w:val="Default"/>
              <w:rPr>
                <w:sz w:val="22"/>
                <w:szCs w:val="22"/>
                <w:lang w:val="fr-FR"/>
              </w:rPr>
            </w:pPr>
            <w:r w:rsidRPr="003E2A18">
              <w:rPr>
                <w:sz w:val="22"/>
                <w:szCs w:val="22"/>
                <w:lang w:val="fr-FR"/>
              </w:rPr>
              <w:t xml:space="preserve">Composition et </w:t>
            </w:r>
            <w:r w:rsidRPr="003E2A18">
              <w:rPr>
                <w:i/>
                <w:iCs/>
                <w:sz w:val="22"/>
                <w:szCs w:val="22"/>
                <w:lang w:val="fr-FR"/>
              </w:rPr>
              <w:t>modus operandi</w:t>
            </w:r>
            <w:r w:rsidRPr="003E2A18">
              <w:rPr>
                <w:sz w:val="22"/>
                <w:szCs w:val="22"/>
                <w:lang w:val="fr-FR"/>
              </w:rPr>
              <w:t xml:space="preserve"> du Groupe d</w:t>
            </w:r>
            <w:r>
              <w:rPr>
                <w:sz w:val="22"/>
                <w:szCs w:val="22"/>
                <w:lang w:val="fr-FR"/>
              </w:rPr>
              <w:t>’</w:t>
            </w:r>
            <w:r w:rsidRPr="003E2A18">
              <w:rPr>
                <w:sz w:val="22"/>
                <w:szCs w:val="22"/>
                <w:lang w:val="fr-FR"/>
              </w:rPr>
              <w:t xml:space="preserve">évaluation scientifique et technique (GEST)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VIII.28</w:t>
            </w:r>
          </w:p>
          <w:p w:rsidR="00E37382" w:rsidRPr="003E2A18" w:rsidRDefault="00E37382" w:rsidP="00E37382">
            <w:pPr>
              <w:ind w:left="0" w:firstLine="0"/>
              <w:rPr>
                <w:rFonts w:asciiTheme="minorHAnsi" w:hAnsiTheme="minorHAnsi" w:cstheme="minorHAnsi"/>
                <w:lang w:val="fr-FR"/>
              </w:rPr>
            </w:pPr>
            <w:r w:rsidRPr="003E2A18">
              <w:rPr>
                <w:i/>
                <w:iCs/>
                <w:lang w:val="fr-FR"/>
              </w:rPr>
              <w:t>Modus operandi</w:t>
            </w:r>
            <w:r w:rsidRPr="003E2A18">
              <w:rPr>
                <w:lang w:val="fr-FR"/>
              </w:rPr>
              <w:t xml:space="preserve"> du Groupe d</w:t>
            </w:r>
            <w:r>
              <w:rPr>
                <w:lang w:val="fr-FR"/>
              </w:rPr>
              <w:t>’</w:t>
            </w:r>
            <w:r w:rsidRPr="003E2A18">
              <w:rPr>
                <w:lang w:val="fr-FR"/>
              </w:rPr>
              <w:t xml:space="preserve">évaluation scientifique et technique (GEST)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IX.2</w:t>
            </w:r>
          </w:p>
          <w:p w:rsidR="00E37382" w:rsidRPr="003E2A18" w:rsidRDefault="00E37382" w:rsidP="00E37382">
            <w:pPr>
              <w:ind w:left="0" w:firstLine="0"/>
              <w:rPr>
                <w:rFonts w:asciiTheme="minorHAnsi" w:hAnsiTheme="minorHAnsi" w:cstheme="minorHAnsi"/>
                <w:lang w:val="fr-FR"/>
              </w:rPr>
            </w:pPr>
            <w:r w:rsidRPr="003E2A18">
              <w:rPr>
                <w:lang w:val="fr-FR"/>
              </w:rPr>
              <w:t>Mise en œuvre future des aspects scientifiques et techniques de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IX.11</w:t>
            </w:r>
          </w:p>
          <w:p w:rsidR="00E37382" w:rsidRPr="003E2A18" w:rsidRDefault="00E37382" w:rsidP="00E37382">
            <w:pPr>
              <w:pStyle w:val="Default"/>
              <w:rPr>
                <w:sz w:val="22"/>
                <w:szCs w:val="22"/>
                <w:lang w:val="fr-FR"/>
              </w:rPr>
            </w:pPr>
            <w:r w:rsidRPr="003E2A18">
              <w:rPr>
                <w:i/>
                <w:iCs/>
                <w:sz w:val="22"/>
                <w:szCs w:val="22"/>
                <w:lang w:val="fr-FR"/>
              </w:rPr>
              <w:t>Modus operandi</w:t>
            </w:r>
            <w:r w:rsidRPr="003E2A18">
              <w:rPr>
                <w:sz w:val="22"/>
                <w:szCs w:val="22"/>
                <w:lang w:val="fr-FR"/>
              </w:rPr>
              <w:t xml:space="preserve"> révisé du Groupe d</w:t>
            </w:r>
            <w:r>
              <w:rPr>
                <w:sz w:val="22"/>
                <w:szCs w:val="22"/>
                <w:lang w:val="fr-FR"/>
              </w:rPr>
              <w:t>’</w:t>
            </w:r>
            <w:r w:rsidRPr="003E2A18">
              <w:rPr>
                <w:sz w:val="22"/>
                <w:szCs w:val="22"/>
                <w:lang w:val="fr-FR"/>
              </w:rPr>
              <w:t>évaluation scientifique et technique (GEST)</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X.9</w:t>
            </w:r>
          </w:p>
          <w:p w:rsidR="00E37382" w:rsidRPr="003E2A18" w:rsidRDefault="00E37382" w:rsidP="00E37382">
            <w:pPr>
              <w:pStyle w:val="Default"/>
              <w:rPr>
                <w:sz w:val="22"/>
                <w:szCs w:val="22"/>
                <w:lang w:val="fr-FR"/>
              </w:rPr>
            </w:pPr>
            <w:r w:rsidRPr="003E2A18">
              <w:rPr>
                <w:sz w:val="22"/>
                <w:szCs w:val="22"/>
                <w:lang w:val="fr-FR"/>
              </w:rPr>
              <w:t xml:space="preserve">Améliorations apportées au </w:t>
            </w:r>
            <w:r w:rsidRPr="003E2A18">
              <w:rPr>
                <w:i/>
                <w:iCs/>
                <w:sz w:val="22"/>
                <w:szCs w:val="22"/>
                <w:lang w:val="fr-FR"/>
              </w:rPr>
              <w:t>modus operandi</w:t>
            </w:r>
            <w:r w:rsidRPr="003E2A18">
              <w:rPr>
                <w:sz w:val="22"/>
                <w:szCs w:val="22"/>
                <w:lang w:val="fr-FR"/>
              </w:rPr>
              <w:t xml:space="preserve"> du Groupe d</w:t>
            </w:r>
            <w:r>
              <w:rPr>
                <w:sz w:val="22"/>
                <w:szCs w:val="22"/>
                <w:lang w:val="fr-FR"/>
              </w:rPr>
              <w:t>’</w:t>
            </w:r>
            <w:r w:rsidRPr="003E2A18">
              <w:rPr>
                <w:sz w:val="22"/>
                <w:szCs w:val="22"/>
                <w:lang w:val="fr-FR"/>
              </w:rPr>
              <w:t xml:space="preserve">évaluation scientifique et technique (GEST)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X.10</w:t>
            </w:r>
          </w:p>
          <w:p w:rsidR="00E37382" w:rsidRPr="003E2A18" w:rsidRDefault="00E37382" w:rsidP="00E37382">
            <w:pPr>
              <w:pStyle w:val="Default"/>
              <w:rPr>
                <w:sz w:val="22"/>
                <w:szCs w:val="22"/>
                <w:lang w:val="fr-FR"/>
              </w:rPr>
            </w:pPr>
            <w:r w:rsidRPr="003E2A18">
              <w:rPr>
                <w:sz w:val="22"/>
                <w:szCs w:val="22"/>
                <w:lang w:val="fr-FR"/>
              </w:rPr>
              <w:t xml:space="preserve">Mise en œuvre future des aspects scientifiques et techniques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XI.16</w:t>
            </w:r>
          </w:p>
          <w:p w:rsidR="00E37382" w:rsidRPr="003E2A18" w:rsidRDefault="00E37382" w:rsidP="00E37382">
            <w:pPr>
              <w:pStyle w:val="Default"/>
              <w:rPr>
                <w:sz w:val="22"/>
                <w:szCs w:val="22"/>
                <w:lang w:val="fr-FR"/>
              </w:rPr>
            </w:pPr>
            <w:r w:rsidRPr="003E2A18">
              <w:rPr>
                <w:sz w:val="22"/>
                <w:szCs w:val="22"/>
                <w:lang w:val="fr-FR"/>
              </w:rPr>
              <w:t>Garantir un apport efficace d</w:t>
            </w:r>
            <w:r>
              <w:rPr>
                <w:sz w:val="22"/>
                <w:szCs w:val="22"/>
                <w:lang w:val="fr-FR"/>
              </w:rPr>
              <w:t>’</w:t>
            </w:r>
            <w:r w:rsidRPr="003E2A18">
              <w:rPr>
                <w:sz w:val="22"/>
                <w:szCs w:val="22"/>
                <w:lang w:val="fr-FR"/>
              </w:rPr>
              <w:t>avis et d</w:t>
            </w:r>
            <w:r>
              <w:rPr>
                <w:sz w:val="22"/>
                <w:szCs w:val="22"/>
                <w:lang w:val="fr-FR"/>
              </w:rPr>
              <w:t>’</w:t>
            </w:r>
            <w:r w:rsidRPr="003E2A18">
              <w:rPr>
                <w:sz w:val="22"/>
                <w:szCs w:val="22"/>
                <w:lang w:val="fr-FR"/>
              </w:rPr>
              <w:t xml:space="preserve">appuis scientifiques et techniques à la Convention </w:t>
            </w:r>
          </w:p>
          <w:p w:rsidR="00E37382" w:rsidRPr="003E2A18" w:rsidRDefault="00E37382" w:rsidP="00E37382">
            <w:pPr>
              <w:ind w:left="0" w:firstLine="0"/>
              <w:rPr>
                <w:rFonts w:asciiTheme="minorHAnsi" w:hAnsiTheme="minorHAnsi" w:cstheme="minorHAnsi"/>
                <w:lang w:val="fr-FR"/>
              </w:rPr>
            </w:pPr>
          </w:p>
          <w:p w:rsidR="00E37382"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XI.17</w:t>
            </w:r>
          </w:p>
          <w:p w:rsidR="00E37382" w:rsidRPr="003E2A18" w:rsidRDefault="00E37382" w:rsidP="00E37382">
            <w:pPr>
              <w:pStyle w:val="Default"/>
              <w:rPr>
                <w:sz w:val="22"/>
                <w:szCs w:val="22"/>
                <w:lang w:val="fr-FR"/>
              </w:rPr>
            </w:pPr>
            <w:r w:rsidRPr="003E2A18">
              <w:rPr>
                <w:sz w:val="22"/>
                <w:szCs w:val="22"/>
                <w:lang w:val="fr-FR"/>
              </w:rPr>
              <w:t xml:space="preserve">Mise en œuvre future des aspects scientifiques et techniques de la Convention pour la période 2013-2015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XI.18</w:t>
            </w:r>
          </w:p>
          <w:p w:rsidR="00E37382" w:rsidRPr="003E2A18" w:rsidRDefault="00E37382" w:rsidP="00E37382">
            <w:pPr>
              <w:pStyle w:val="Default"/>
              <w:rPr>
                <w:sz w:val="22"/>
                <w:szCs w:val="22"/>
                <w:lang w:val="fr-FR"/>
              </w:rPr>
            </w:pPr>
            <w:r w:rsidRPr="003E2A18">
              <w:rPr>
                <w:sz w:val="22"/>
                <w:szCs w:val="22"/>
                <w:lang w:val="fr-FR"/>
              </w:rPr>
              <w:t xml:space="preserve">Ajustements au </w:t>
            </w:r>
            <w:r w:rsidRPr="003E2A18">
              <w:rPr>
                <w:i/>
                <w:iCs/>
                <w:sz w:val="22"/>
                <w:szCs w:val="22"/>
                <w:lang w:val="fr-FR"/>
              </w:rPr>
              <w:t>modus operandi</w:t>
            </w:r>
            <w:r w:rsidRPr="003E2A18">
              <w:rPr>
                <w:sz w:val="22"/>
                <w:szCs w:val="22"/>
                <w:lang w:val="fr-FR"/>
              </w:rPr>
              <w:t xml:space="preserve"> du Groupe d</w:t>
            </w:r>
            <w:r>
              <w:rPr>
                <w:sz w:val="22"/>
                <w:szCs w:val="22"/>
                <w:lang w:val="fr-FR"/>
              </w:rPr>
              <w:t>’</w:t>
            </w:r>
            <w:r w:rsidRPr="003E2A18">
              <w:rPr>
                <w:sz w:val="22"/>
                <w:szCs w:val="22"/>
                <w:lang w:val="fr-FR"/>
              </w:rPr>
              <w:t xml:space="preserve">évaluation scientifique et technique (GEST) pour la période triennale 2013-2015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XII.5</w:t>
            </w:r>
          </w:p>
          <w:p w:rsidR="00E37382" w:rsidRPr="003E2A18" w:rsidRDefault="00E37382" w:rsidP="00E37382">
            <w:pPr>
              <w:pStyle w:val="Default"/>
              <w:rPr>
                <w:sz w:val="22"/>
                <w:szCs w:val="22"/>
                <w:lang w:val="fr-FR"/>
              </w:rPr>
            </w:pPr>
            <w:r w:rsidRPr="003E2A18">
              <w:rPr>
                <w:sz w:val="22"/>
                <w:szCs w:val="22"/>
                <w:lang w:val="fr-FR"/>
              </w:rPr>
              <w:t>Nouveau cadre pour la fourniture d</w:t>
            </w:r>
            <w:r>
              <w:rPr>
                <w:sz w:val="22"/>
                <w:szCs w:val="22"/>
                <w:lang w:val="fr-FR"/>
              </w:rPr>
              <w:t>’</w:t>
            </w:r>
            <w:r w:rsidRPr="003E2A18">
              <w:rPr>
                <w:sz w:val="22"/>
                <w:szCs w:val="22"/>
                <w:lang w:val="fr-FR"/>
              </w:rPr>
              <w:t>avis et d</w:t>
            </w:r>
            <w:r>
              <w:rPr>
                <w:sz w:val="22"/>
                <w:szCs w:val="22"/>
                <w:lang w:val="fr-FR"/>
              </w:rPr>
              <w:t>’</w:t>
            </w:r>
            <w:r w:rsidRPr="003E2A18">
              <w:rPr>
                <w:sz w:val="22"/>
                <w:szCs w:val="22"/>
                <w:lang w:val="fr-FR"/>
              </w:rPr>
              <w:t xml:space="preserve">orientations scientifiques et techniques à la Convention </w:t>
            </w:r>
          </w:p>
          <w:p w:rsidR="00E37382" w:rsidRPr="003E2A18" w:rsidRDefault="00E37382" w:rsidP="00E37382">
            <w:pPr>
              <w:rPr>
                <w:rFonts w:asciiTheme="minorHAnsi" w:hAnsiTheme="minorHAnsi" w:cstheme="minorHAnsi"/>
                <w:lang w:val="fr-FR"/>
              </w:rPr>
            </w:pPr>
          </w:p>
          <w:p w:rsidR="00E37382" w:rsidRDefault="00E37382" w:rsidP="00E37382">
            <w:pPr>
              <w:rPr>
                <w:rFonts w:asciiTheme="minorHAnsi" w:hAnsiTheme="minorHAnsi" w:cstheme="minorHAnsi"/>
                <w:lang w:val="fr-FR"/>
              </w:rPr>
            </w:pPr>
            <w:r w:rsidRPr="003E2A18">
              <w:rPr>
                <w:rFonts w:asciiTheme="minorHAnsi" w:hAnsiTheme="minorHAnsi" w:cstheme="minorHAnsi"/>
                <w:lang w:val="fr-FR"/>
              </w:rPr>
              <w:t>XIII.8</w:t>
            </w:r>
          </w:p>
          <w:p w:rsidR="00E37382" w:rsidRPr="003E2A18" w:rsidRDefault="00E37382" w:rsidP="00E37382">
            <w:pPr>
              <w:rPr>
                <w:rFonts w:asciiTheme="minorHAnsi" w:hAnsiTheme="minorHAnsi" w:cstheme="minorHAnsi"/>
                <w:lang w:val="fr-FR"/>
              </w:rPr>
            </w:pPr>
            <w:r w:rsidRPr="003E2A18">
              <w:rPr>
                <w:lang w:val="fr-FR"/>
              </w:rPr>
              <w:t>Application future des aspects scientifiques et techniques de la Convention pour 2019-2021</w:t>
            </w:r>
            <w:r w:rsidRPr="003E2A18">
              <w:rPr>
                <w:rFonts w:asciiTheme="minorHAnsi" w:hAnsiTheme="minorHAnsi" w:cstheme="minorHAnsi"/>
                <w:lang w:val="fr-FR"/>
              </w:rPr>
              <w:t xml:space="preserve">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Langues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4.2</w:t>
            </w:r>
          </w:p>
          <w:p w:rsidR="00E37382" w:rsidRPr="003E2A18" w:rsidRDefault="00E37382" w:rsidP="00E37382">
            <w:pPr>
              <w:pStyle w:val="Default"/>
              <w:rPr>
                <w:sz w:val="22"/>
                <w:szCs w:val="22"/>
                <w:lang w:val="fr-FR"/>
              </w:rPr>
            </w:pPr>
            <w:r w:rsidRPr="003E2A18">
              <w:rPr>
                <w:sz w:val="22"/>
                <w:szCs w:val="22"/>
                <w:lang w:val="fr-FR"/>
              </w:rPr>
              <w:t xml:space="preserve">Les langues de travail de la Conférence des Parties contractantes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5.15</w:t>
            </w:r>
          </w:p>
          <w:p w:rsidR="00E37382" w:rsidRPr="003E2A18" w:rsidRDefault="00E37382" w:rsidP="00E37382">
            <w:pPr>
              <w:pStyle w:val="Default"/>
              <w:rPr>
                <w:sz w:val="22"/>
                <w:szCs w:val="22"/>
                <w:lang w:val="fr-FR"/>
              </w:rPr>
            </w:pPr>
            <w:r w:rsidRPr="003E2A18">
              <w:rPr>
                <w:sz w:val="22"/>
                <w:szCs w:val="22"/>
                <w:lang w:val="fr-FR"/>
              </w:rPr>
              <w:t xml:space="preserve">Les langues de travail de la Conférence des Parties contractantes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XII.3*</w:t>
            </w:r>
          </w:p>
          <w:p w:rsidR="00E37382" w:rsidRPr="003E2A18" w:rsidRDefault="00E37382" w:rsidP="00E37382">
            <w:pPr>
              <w:pStyle w:val="Default"/>
              <w:rPr>
                <w:sz w:val="22"/>
                <w:szCs w:val="22"/>
                <w:lang w:val="fr-FR"/>
              </w:rPr>
            </w:pPr>
            <w:r w:rsidRPr="003E2A18">
              <w:rPr>
                <w:sz w:val="22"/>
                <w:szCs w:val="22"/>
                <w:lang w:val="fr-FR"/>
              </w:rPr>
              <w:t>Renforcer la visibilité et la stature de la Convention et améliorer les synergies avec d</w:t>
            </w:r>
            <w:r>
              <w:rPr>
                <w:sz w:val="22"/>
                <w:szCs w:val="22"/>
                <w:lang w:val="fr-FR"/>
              </w:rPr>
              <w:t>’</w:t>
            </w:r>
            <w:r w:rsidRPr="003E2A18">
              <w:rPr>
                <w:sz w:val="22"/>
                <w:szCs w:val="22"/>
                <w:lang w:val="fr-FR"/>
              </w:rPr>
              <w:t>autres accords multilatéraux sur l</w:t>
            </w:r>
            <w:r>
              <w:rPr>
                <w:sz w:val="22"/>
                <w:szCs w:val="22"/>
                <w:lang w:val="fr-FR"/>
              </w:rPr>
              <w:t>’</w:t>
            </w:r>
            <w:r w:rsidRPr="003E2A18">
              <w:rPr>
                <w:sz w:val="22"/>
                <w:szCs w:val="22"/>
                <w:lang w:val="fr-FR"/>
              </w:rPr>
              <w:t xml:space="preserve">environnement et autres institutions internationales </w:t>
            </w:r>
          </w:p>
          <w:p w:rsidR="00E37382" w:rsidRPr="003E2A18" w:rsidRDefault="00E37382" w:rsidP="00E37382">
            <w:pPr>
              <w:ind w:left="0" w:firstLine="0"/>
              <w:rPr>
                <w:rFonts w:asciiTheme="minorHAnsi" w:hAnsiTheme="minorHAnsi" w:cstheme="minorHAnsi"/>
                <w:lang w:val="fr-FR"/>
              </w:rPr>
            </w:pP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XIII.6 </w:t>
            </w:r>
          </w:p>
          <w:p w:rsidR="00E37382" w:rsidRPr="003E2A18" w:rsidRDefault="00E37382" w:rsidP="00E37382">
            <w:pPr>
              <w:pStyle w:val="Default"/>
              <w:rPr>
                <w:sz w:val="22"/>
                <w:szCs w:val="22"/>
                <w:lang w:val="fr-FR"/>
              </w:rPr>
            </w:pPr>
            <w:r w:rsidRPr="003E2A18">
              <w:rPr>
                <w:sz w:val="22"/>
                <w:szCs w:val="22"/>
                <w:lang w:val="fr-FR"/>
              </w:rPr>
              <w:t xml:space="preserve">La stratégie pour les langues de la Convention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Partenariats et synergies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4.11</w:t>
            </w:r>
          </w:p>
          <w:p w:rsidR="00E37382" w:rsidRPr="003E2A18" w:rsidRDefault="00E37382" w:rsidP="00E37382">
            <w:pPr>
              <w:pStyle w:val="Default"/>
              <w:rPr>
                <w:sz w:val="22"/>
                <w:szCs w:val="22"/>
                <w:lang w:val="fr-FR"/>
              </w:rPr>
            </w:pPr>
            <w:r w:rsidRPr="003E2A18">
              <w:rPr>
                <w:sz w:val="22"/>
                <w:szCs w:val="22"/>
                <w:lang w:val="fr-FR"/>
              </w:rPr>
              <w:t xml:space="preserve">Coopération avec les organisations internationales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5.4</w:t>
            </w:r>
          </w:p>
          <w:p w:rsidR="00E37382" w:rsidRPr="003E2A18" w:rsidRDefault="00E37382" w:rsidP="00E37382">
            <w:pPr>
              <w:pStyle w:val="Default"/>
              <w:rPr>
                <w:sz w:val="22"/>
                <w:szCs w:val="22"/>
                <w:lang w:val="fr-FR"/>
              </w:rPr>
            </w:pPr>
            <w:r w:rsidRPr="003E2A18">
              <w:rPr>
                <w:sz w:val="22"/>
                <w:szCs w:val="22"/>
                <w:lang w:val="fr-FR"/>
              </w:rPr>
              <w:t>Les relations entre la Convention de Ramsar, le Fonds pour l</w:t>
            </w:r>
            <w:r>
              <w:rPr>
                <w:sz w:val="22"/>
                <w:szCs w:val="22"/>
                <w:lang w:val="fr-FR"/>
              </w:rPr>
              <w:t>’</w:t>
            </w:r>
            <w:r w:rsidRPr="003E2A18">
              <w:rPr>
                <w:sz w:val="22"/>
                <w:szCs w:val="22"/>
                <w:lang w:val="fr-FR"/>
              </w:rPr>
              <w:t xml:space="preserve">environnement mondial et la Convention sur la diversité biologique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VI.9*</w:t>
            </w:r>
          </w:p>
          <w:p w:rsidR="00E37382" w:rsidRPr="003E2A18" w:rsidRDefault="00E37382" w:rsidP="00E37382">
            <w:pPr>
              <w:pStyle w:val="Default"/>
              <w:rPr>
                <w:sz w:val="22"/>
                <w:szCs w:val="22"/>
                <w:lang w:val="fr-FR"/>
              </w:rPr>
            </w:pPr>
            <w:r w:rsidRPr="003E2A18">
              <w:rPr>
                <w:sz w:val="22"/>
                <w:szCs w:val="22"/>
                <w:lang w:val="fr-FR"/>
              </w:rPr>
              <w:t xml:space="preserve">Coopération avec la Convention sur la diversité biologique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VI.10</w:t>
            </w:r>
          </w:p>
          <w:p w:rsidR="00E37382" w:rsidRPr="003E2A18" w:rsidRDefault="00E37382" w:rsidP="00E37382">
            <w:pPr>
              <w:pStyle w:val="Default"/>
              <w:rPr>
                <w:sz w:val="22"/>
                <w:szCs w:val="22"/>
                <w:lang w:val="fr-FR"/>
              </w:rPr>
            </w:pPr>
            <w:r w:rsidRPr="003E2A18">
              <w:rPr>
                <w:sz w:val="22"/>
                <w:szCs w:val="22"/>
                <w:lang w:val="fr-FR"/>
              </w:rPr>
              <w:t>Coopération avec le Fonds pour l</w:t>
            </w:r>
            <w:r>
              <w:rPr>
                <w:sz w:val="22"/>
                <w:szCs w:val="22"/>
                <w:lang w:val="fr-FR"/>
              </w:rPr>
              <w:t>’</w:t>
            </w:r>
            <w:r w:rsidRPr="003E2A18">
              <w:rPr>
                <w:sz w:val="22"/>
                <w:szCs w:val="22"/>
                <w:lang w:val="fr-FR"/>
              </w:rPr>
              <w:t xml:space="preserve">environnement mondial (FEM) et les organismes chargés de son exécution : la Banque mondiale, le PNUD et le PNUE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VII.4</w:t>
            </w:r>
          </w:p>
          <w:p w:rsidR="00E37382" w:rsidRPr="003E2A18" w:rsidRDefault="00E37382" w:rsidP="00E37382">
            <w:pPr>
              <w:pStyle w:val="Default"/>
              <w:rPr>
                <w:sz w:val="22"/>
                <w:szCs w:val="22"/>
                <w:lang w:val="fr-FR"/>
              </w:rPr>
            </w:pPr>
            <w:r w:rsidRPr="003E2A18">
              <w:rPr>
                <w:sz w:val="22"/>
                <w:szCs w:val="22"/>
                <w:lang w:val="fr-FR"/>
              </w:rPr>
              <w:t>Partenariat et coopération avec d</w:t>
            </w:r>
            <w:r>
              <w:rPr>
                <w:sz w:val="22"/>
                <w:szCs w:val="22"/>
                <w:lang w:val="fr-FR"/>
              </w:rPr>
              <w:t>’</w:t>
            </w:r>
            <w:r w:rsidRPr="003E2A18">
              <w:rPr>
                <w:sz w:val="22"/>
                <w:szCs w:val="22"/>
                <w:lang w:val="fr-FR"/>
              </w:rPr>
              <w:t>autres Conventions et notamment, harmonisation de l</w:t>
            </w:r>
            <w:r>
              <w:rPr>
                <w:sz w:val="22"/>
                <w:szCs w:val="22"/>
                <w:lang w:val="fr-FR"/>
              </w:rPr>
              <w:t>’</w:t>
            </w:r>
            <w:r w:rsidRPr="003E2A18">
              <w:rPr>
                <w:sz w:val="22"/>
                <w:szCs w:val="22"/>
                <w:lang w:val="fr-FR"/>
              </w:rPr>
              <w:t>infrastructure de gestion de l</w:t>
            </w:r>
            <w:r>
              <w:rPr>
                <w:sz w:val="22"/>
                <w:szCs w:val="22"/>
                <w:lang w:val="fr-FR"/>
              </w:rPr>
              <w:t>’</w:t>
            </w:r>
            <w:r w:rsidRPr="003E2A18">
              <w:rPr>
                <w:sz w:val="22"/>
                <w:szCs w:val="22"/>
                <w:lang w:val="fr-FR"/>
              </w:rPr>
              <w:t xml:space="preserve">information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VII.19</w:t>
            </w:r>
          </w:p>
          <w:p w:rsidR="00E37382" w:rsidRPr="003E2A18" w:rsidRDefault="00E37382" w:rsidP="00E37382">
            <w:pPr>
              <w:pStyle w:val="Default"/>
              <w:rPr>
                <w:sz w:val="22"/>
                <w:szCs w:val="22"/>
                <w:lang w:val="fr-FR"/>
              </w:rPr>
            </w:pPr>
            <w:r w:rsidRPr="003E2A18">
              <w:rPr>
                <w:sz w:val="22"/>
                <w:szCs w:val="22"/>
                <w:lang w:val="fr-FR"/>
              </w:rPr>
              <w:t xml:space="preserve">Lignes directrices pour la coopération internationale dans le cadre de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VIII.5</w:t>
            </w:r>
          </w:p>
          <w:p w:rsidR="00E37382" w:rsidRPr="003E2A18" w:rsidRDefault="00E37382" w:rsidP="00E37382">
            <w:pPr>
              <w:pStyle w:val="Default"/>
              <w:rPr>
                <w:sz w:val="22"/>
                <w:szCs w:val="22"/>
                <w:lang w:val="fr-FR"/>
              </w:rPr>
            </w:pPr>
            <w:r w:rsidRPr="003E2A18">
              <w:rPr>
                <w:sz w:val="22"/>
                <w:szCs w:val="22"/>
                <w:lang w:val="fr-FR"/>
              </w:rPr>
              <w:t>Partenariats et synergies avec les Accords multilatéraux sur l</w:t>
            </w:r>
            <w:r>
              <w:rPr>
                <w:sz w:val="22"/>
                <w:szCs w:val="22"/>
                <w:lang w:val="fr-FR"/>
              </w:rPr>
              <w:t>’</w:t>
            </w:r>
            <w:r w:rsidRPr="003E2A18">
              <w:rPr>
                <w:sz w:val="22"/>
                <w:szCs w:val="22"/>
                <w:lang w:val="fr-FR"/>
              </w:rPr>
              <w:t xml:space="preserve">environnement et autres institutions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VIII.9*</w:t>
            </w:r>
          </w:p>
          <w:p w:rsidR="00E37382" w:rsidRPr="003E2A18" w:rsidRDefault="00E37382" w:rsidP="00E37382">
            <w:pPr>
              <w:pStyle w:val="Default"/>
              <w:rPr>
                <w:sz w:val="22"/>
                <w:szCs w:val="22"/>
                <w:lang w:val="fr-FR"/>
              </w:rPr>
            </w:pPr>
            <w:r w:rsidRPr="003E2A18">
              <w:rPr>
                <w:sz w:val="22"/>
                <w:szCs w:val="22"/>
                <w:lang w:val="fr-FR"/>
              </w:rPr>
              <w:t>Lignes directrices pour l</w:t>
            </w:r>
            <w:r>
              <w:rPr>
                <w:sz w:val="22"/>
                <w:szCs w:val="22"/>
                <w:lang w:val="fr-FR"/>
              </w:rPr>
              <w:t>’</w:t>
            </w:r>
            <w:r w:rsidRPr="003E2A18">
              <w:rPr>
                <w:sz w:val="22"/>
                <w:szCs w:val="22"/>
                <w:lang w:val="fr-FR"/>
              </w:rPr>
              <w:t>intégration des questions relatives à la diversité biologique dans la législation et/ou les processus concernant les études d</w:t>
            </w:r>
            <w:r>
              <w:rPr>
                <w:sz w:val="22"/>
                <w:szCs w:val="22"/>
                <w:lang w:val="fr-FR"/>
              </w:rPr>
              <w:t>’</w:t>
            </w:r>
            <w:r w:rsidRPr="003E2A18">
              <w:rPr>
                <w:sz w:val="22"/>
                <w:szCs w:val="22"/>
                <w:lang w:val="fr-FR"/>
              </w:rPr>
              <w:t>impact sur l</w:t>
            </w:r>
            <w:r>
              <w:rPr>
                <w:sz w:val="22"/>
                <w:szCs w:val="22"/>
                <w:lang w:val="fr-FR"/>
              </w:rPr>
              <w:t>’</w:t>
            </w:r>
            <w:r w:rsidRPr="003E2A18">
              <w:rPr>
                <w:sz w:val="22"/>
                <w:szCs w:val="22"/>
                <w:lang w:val="fr-FR"/>
              </w:rPr>
              <w:t>environnement et dans l</w:t>
            </w:r>
            <w:r>
              <w:rPr>
                <w:sz w:val="22"/>
                <w:szCs w:val="22"/>
                <w:lang w:val="fr-FR"/>
              </w:rPr>
              <w:t>’</w:t>
            </w:r>
            <w:r w:rsidRPr="003E2A18">
              <w:rPr>
                <w:sz w:val="22"/>
                <w:szCs w:val="22"/>
                <w:lang w:val="fr-FR"/>
              </w:rPr>
              <w:t xml:space="preserve">évaluation environnementale stratégique » adoptées par la Convention sur la diversité biologique (CDB), et leur pertinence pour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VIII.24</w:t>
            </w:r>
          </w:p>
          <w:p w:rsidR="00E37382" w:rsidRPr="003E2A18" w:rsidRDefault="00E37382" w:rsidP="00E37382">
            <w:pPr>
              <w:pStyle w:val="Default"/>
              <w:rPr>
                <w:sz w:val="22"/>
                <w:szCs w:val="22"/>
                <w:lang w:val="fr-FR"/>
              </w:rPr>
            </w:pPr>
            <w:r w:rsidRPr="003E2A18">
              <w:rPr>
                <w:sz w:val="22"/>
                <w:szCs w:val="22"/>
                <w:lang w:val="fr-FR"/>
              </w:rPr>
              <w:t>Directives du PNUE pour renforcer le respect des accords multilatéraux sur l</w:t>
            </w:r>
            <w:r>
              <w:rPr>
                <w:sz w:val="22"/>
                <w:szCs w:val="22"/>
                <w:lang w:val="fr-FR"/>
              </w:rPr>
              <w:t>’</w:t>
            </w:r>
            <w:r w:rsidRPr="003E2A18">
              <w:rPr>
                <w:sz w:val="22"/>
                <w:szCs w:val="22"/>
                <w:lang w:val="fr-FR"/>
              </w:rPr>
              <w:t>environnement et Directives pour l</w:t>
            </w:r>
            <w:r>
              <w:rPr>
                <w:sz w:val="22"/>
                <w:szCs w:val="22"/>
                <w:lang w:val="fr-FR"/>
              </w:rPr>
              <w:t>’</w:t>
            </w:r>
            <w:r w:rsidRPr="003E2A18">
              <w:rPr>
                <w:sz w:val="22"/>
                <w:szCs w:val="22"/>
                <w:lang w:val="fr-FR"/>
              </w:rPr>
              <w:t>application effective des législations nationales et la coopération internationale dans la lutte contre les violations des lois d</w:t>
            </w:r>
            <w:r>
              <w:rPr>
                <w:sz w:val="22"/>
                <w:szCs w:val="22"/>
                <w:lang w:val="fr-FR"/>
              </w:rPr>
              <w:t>’</w:t>
            </w:r>
            <w:r w:rsidRPr="003E2A18">
              <w:rPr>
                <w:sz w:val="22"/>
                <w:szCs w:val="22"/>
                <w:lang w:val="fr-FR"/>
              </w:rPr>
              <w:t>application des accords multilatéraux sur l</w:t>
            </w:r>
            <w:r>
              <w:rPr>
                <w:sz w:val="22"/>
                <w:szCs w:val="22"/>
                <w:lang w:val="fr-FR"/>
              </w:rPr>
              <w:t>’</w:t>
            </w:r>
            <w:r w:rsidRPr="003E2A18">
              <w:rPr>
                <w:sz w:val="22"/>
                <w:szCs w:val="22"/>
                <w:lang w:val="fr-FR"/>
              </w:rPr>
              <w:t xml:space="preserve">environnement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IX.3*</w:t>
            </w:r>
          </w:p>
          <w:p w:rsidR="00E37382" w:rsidRPr="003E2A18" w:rsidRDefault="00E37382" w:rsidP="00E37382">
            <w:pPr>
              <w:pStyle w:val="Default"/>
              <w:rPr>
                <w:sz w:val="22"/>
                <w:szCs w:val="22"/>
                <w:lang w:val="fr-FR"/>
              </w:rPr>
            </w:pPr>
            <w:r w:rsidRPr="003E2A18">
              <w:rPr>
                <w:sz w:val="22"/>
                <w:szCs w:val="22"/>
                <w:lang w:val="fr-FR"/>
              </w:rPr>
              <w:t>Engagement de la Convention de Ramsar sur les zones humides dans les mécanismes multilatéraux en cours relatifs à l</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IX.5*</w:t>
            </w:r>
          </w:p>
          <w:p w:rsidR="00E37382" w:rsidRPr="003E2A18" w:rsidRDefault="00E37382" w:rsidP="00E37382">
            <w:pPr>
              <w:pStyle w:val="Default"/>
              <w:rPr>
                <w:sz w:val="22"/>
                <w:szCs w:val="22"/>
                <w:lang w:val="fr-FR"/>
              </w:rPr>
            </w:pPr>
            <w:r w:rsidRPr="003E2A18">
              <w:rPr>
                <w:sz w:val="22"/>
                <w:szCs w:val="22"/>
                <w:lang w:val="fr-FR"/>
              </w:rPr>
              <w:t>Synergies avec d</w:t>
            </w:r>
            <w:r>
              <w:rPr>
                <w:sz w:val="22"/>
                <w:szCs w:val="22"/>
                <w:lang w:val="fr-FR"/>
              </w:rPr>
              <w:t>’</w:t>
            </w:r>
            <w:r w:rsidRPr="003E2A18">
              <w:rPr>
                <w:sz w:val="22"/>
                <w:szCs w:val="22"/>
                <w:lang w:val="fr-FR"/>
              </w:rPr>
              <w:t>autres organisations internationales qui se consacrent à la diversité biologique ; y compris collaboration et harmonisation de l</w:t>
            </w:r>
            <w:r>
              <w:rPr>
                <w:sz w:val="22"/>
                <w:szCs w:val="22"/>
                <w:lang w:val="fr-FR"/>
              </w:rPr>
              <w:t>’</w:t>
            </w:r>
            <w:r w:rsidRPr="003E2A18">
              <w:rPr>
                <w:sz w:val="22"/>
                <w:szCs w:val="22"/>
                <w:lang w:val="fr-FR"/>
              </w:rPr>
              <w:t xml:space="preserve">établissement des rapports nationaux entre les conventions et accords relatifs à la biodiversité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X.11</w:t>
            </w:r>
          </w:p>
          <w:p w:rsidR="00E37382" w:rsidRPr="003E2A18" w:rsidRDefault="00E37382" w:rsidP="00E37382">
            <w:pPr>
              <w:pStyle w:val="Default"/>
              <w:rPr>
                <w:sz w:val="22"/>
                <w:szCs w:val="22"/>
                <w:lang w:val="fr-FR"/>
              </w:rPr>
            </w:pPr>
            <w:r w:rsidRPr="003E2A18">
              <w:rPr>
                <w:sz w:val="22"/>
                <w:szCs w:val="22"/>
                <w:lang w:val="fr-FR"/>
              </w:rPr>
              <w:t>Partenariats et synergies avec les accords multilatéraux sur l</w:t>
            </w:r>
            <w:r>
              <w:rPr>
                <w:sz w:val="22"/>
                <w:szCs w:val="22"/>
                <w:lang w:val="fr-FR"/>
              </w:rPr>
              <w:t>’</w:t>
            </w:r>
            <w:r w:rsidRPr="003E2A18">
              <w:rPr>
                <w:sz w:val="22"/>
                <w:szCs w:val="22"/>
                <w:lang w:val="fr-FR"/>
              </w:rPr>
              <w:t>environnement et d</w:t>
            </w:r>
            <w:r>
              <w:rPr>
                <w:sz w:val="22"/>
                <w:szCs w:val="22"/>
                <w:lang w:val="fr-FR"/>
              </w:rPr>
              <w:t>’</w:t>
            </w:r>
            <w:r w:rsidRPr="003E2A18">
              <w:rPr>
                <w:sz w:val="22"/>
                <w:szCs w:val="22"/>
                <w:lang w:val="fr-FR"/>
              </w:rPr>
              <w:t xml:space="preserve">autres institutions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X.12</w:t>
            </w:r>
          </w:p>
          <w:p w:rsidR="00E37382" w:rsidRPr="003E2A18" w:rsidRDefault="00E37382" w:rsidP="00E37382">
            <w:pPr>
              <w:pStyle w:val="Default"/>
              <w:rPr>
                <w:sz w:val="22"/>
                <w:szCs w:val="22"/>
                <w:lang w:val="fr-FR"/>
              </w:rPr>
            </w:pPr>
            <w:r w:rsidRPr="003E2A18">
              <w:rPr>
                <w:sz w:val="22"/>
                <w:szCs w:val="22"/>
                <w:lang w:val="fr-FR"/>
              </w:rPr>
              <w:t xml:space="preserve">Principes régissant les partenariats entre la Convention de Ramsar et le secteur privé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X.22*</w:t>
            </w:r>
          </w:p>
          <w:p w:rsidR="00E37382" w:rsidRPr="003E2A18" w:rsidRDefault="00E37382" w:rsidP="00E37382">
            <w:pPr>
              <w:pStyle w:val="Default"/>
              <w:rPr>
                <w:sz w:val="22"/>
                <w:szCs w:val="22"/>
                <w:lang w:val="fr-FR"/>
              </w:rPr>
            </w:pPr>
            <w:r w:rsidRPr="003E2A18">
              <w:rPr>
                <w:sz w:val="22"/>
                <w:szCs w:val="22"/>
                <w:lang w:val="fr-FR"/>
              </w:rPr>
              <w:t>Promouvoir la coopération internationale pour la conservation des voies de migration des oiseaux d</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XI.6</w:t>
            </w:r>
          </w:p>
          <w:p w:rsidR="00E37382" w:rsidRPr="003E2A18" w:rsidRDefault="00E37382" w:rsidP="00E37382">
            <w:pPr>
              <w:pStyle w:val="Default"/>
              <w:rPr>
                <w:sz w:val="22"/>
                <w:szCs w:val="22"/>
                <w:lang w:val="fr-FR"/>
              </w:rPr>
            </w:pPr>
            <w:r w:rsidRPr="003E2A18">
              <w:rPr>
                <w:sz w:val="22"/>
                <w:szCs w:val="22"/>
                <w:lang w:val="fr-FR"/>
              </w:rPr>
              <w:t>Partenariats et synergies avec les accords multilatéraux sur l</w:t>
            </w:r>
            <w:r>
              <w:rPr>
                <w:sz w:val="22"/>
                <w:szCs w:val="22"/>
                <w:lang w:val="fr-FR"/>
              </w:rPr>
              <w:t>’</w:t>
            </w:r>
            <w:r w:rsidRPr="003E2A18">
              <w:rPr>
                <w:sz w:val="22"/>
                <w:szCs w:val="22"/>
                <w:lang w:val="fr-FR"/>
              </w:rPr>
              <w:t xml:space="preserve">environnement et autres institutions </w:t>
            </w:r>
          </w:p>
          <w:p w:rsidR="00E37382"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lastRenderedPageBreak/>
              <w:t>XII.3*</w:t>
            </w:r>
          </w:p>
          <w:p w:rsidR="00E37382" w:rsidRPr="003E2A18" w:rsidRDefault="00E37382" w:rsidP="00E37382">
            <w:pPr>
              <w:pStyle w:val="Default"/>
              <w:rPr>
                <w:sz w:val="22"/>
                <w:szCs w:val="22"/>
                <w:lang w:val="fr-FR"/>
              </w:rPr>
            </w:pPr>
            <w:r w:rsidRPr="003E2A18">
              <w:rPr>
                <w:sz w:val="22"/>
                <w:szCs w:val="22"/>
                <w:lang w:val="fr-FR"/>
              </w:rPr>
              <w:t>Renforcer l</w:t>
            </w:r>
            <w:r>
              <w:rPr>
                <w:sz w:val="22"/>
                <w:szCs w:val="22"/>
                <w:lang w:val="fr-FR"/>
              </w:rPr>
              <w:t>’</w:t>
            </w:r>
            <w:r w:rsidRPr="003E2A18">
              <w:rPr>
                <w:sz w:val="22"/>
                <w:szCs w:val="22"/>
                <w:lang w:val="fr-FR"/>
              </w:rPr>
              <w:t>utilisation des langues, la visibilité et la stature de la Convention et améliorer les synergies avec d</w:t>
            </w:r>
            <w:r>
              <w:rPr>
                <w:sz w:val="22"/>
                <w:szCs w:val="22"/>
                <w:lang w:val="fr-FR"/>
              </w:rPr>
              <w:t>’</w:t>
            </w:r>
            <w:r w:rsidRPr="003E2A18">
              <w:rPr>
                <w:sz w:val="22"/>
                <w:szCs w:val="22"/>
                <w:lang w:val="fr-FR"/>
              </w:rPr>
              <w:t>autres accords multilatéraux sur l</w:t>
            </w:r>
            <w:r>
              <w:rPr>
                <w:sz w:val="22"/>
                <w:szCs w:val="22"/>
                <w:lang w:val="fr-FR"/>
              </w:rPr>
              <w:t>’</w:t>
            </w:r>
            <w:r w:rsidRPr="003E2A18">
              <w:rPr>
                <w:sz w:val="22"/>
                <w:szCs w:val="22"/>
                <w:lang w:val="fr-FR"/>
              </w:rPr>
              <w:t xml:space="preserve">environnement et autres institutions internationales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XIII.7</w:t>
            </w:r>
          </w:p>
          <w:p w:rsidR="00E37382" w:rsidRDefault="00E37382" w:rsidP="00E37382">
            <w:pPr>
              <w:ind w:left="0" w:firstLine="0"/>
              <w:rPr>
                <w:rFonts w:eastAsiaTheme="minorHAnsi" w:cs="Calibri"/>
                <w:color w:val="000000"/>
                <w:lang w:val="fr-FR"/>
              </w:rPr>
            </w:pPr>
            <w:r w:rsidRPr="003E2A18">
              <w:rPr>
                <w:rFonts w:eastAsiaTheme="minorHAnsi" w:cs="Calibri"/>
                <w:color w:val="000000"/>
                <w:lang w:val="fr-FR"/>
              </w:rPr>
              <w:t>Renforcer la visibilité de la Convention et les synergies avec d</w:t>
            </w:r>
            <w:r>
              <w:rPr>
                <w:rFonts w:eastAsiaTheme="minorHAnsi" w:cs="Calibri"/>
                <w:color w:val="000000"/>
                <w:lang w:val="fr-FR"/>
              </w:rPr>
              <w:t>’</w:t>
            </w:r>
            <w:r w:rsidRPr="003E2A18">
              <w:rPr>
                <w:rFonts w:eastAsiaTheme="minorHAnsi" w:cs="Calibri"/>
                <w:color w:val="000000"/>
                <w:lang w:val="fr-FR"/>
              </w:rPr>
              <w:t>autres accords multilatéraux sur l</w:t>
            </w:r>
            <w:r>
              <w:rPr>
                <w:rFonts w:eastAsiaTheme="minorHAnsi" w:cs="Calibri"/>
                <w:color w:val="000000"/>
                <w:lang w:val="fr-FR"/>
              </w:rPr>
              <w:t>’</w:t>
            </w:r>
            <w:r w:rsidRPr="003E2A18">
              <w:rPr>
                <w:rFonts w:eastAsiaTheme="minorHAnsi" w:cs="Calibri"/>
                <w:color w:val="000000"/>
                <w:lang w:val="fr-FR"/>
              </w:rPr>
              <w:t>environnement et institutions internationales</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CESP, etc.</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4.5</w:t>
            </w:r>
          </w:p>
          <w:p w:rsidR="00E37382" w:rsidRPr="003E2A18" w:rsidRDefault="00B7739E" w:rsidP="00E37382">
            <w:pPr>
              <w:ind w:left="0" w:firstLine="0"/>
              <w:rPr>
                <w:rFonts w:asciiTheme="minorHAnsi" w:hAnsiTheme="minorHAnsi" w:cstheme="minorHAnsi"/>
                <w:lang w:val="fr-FR"/>
              </w:rPr>
            </w:pPr>
            <w:hyperlink r:id="rId10" w:history="1">
              <w:r w:rsidR="00E37382" w:rsidRPr="003E2A18">
                <w:rPr>
                  <w:rFonts w:asciiTheme="minorHAnsi" w:hAnsiTheme="minorHAnsi" w:cstheme="minorHAnsi"/>
                  <w:bCs/>
                  <w:lang w:val="fr-FR"/>
                </w:rPr>
                <w:t>Éducation et</w:t>
              </w:r>
            </w:hyperlink>
            <w:r w:rsidR="00E37382" w:rsidRPr="003E2A18">
              <w:rPr>
                <w:rFonts w:asciiTheme="minorHAnsi" w:hAnsiTheme="minorHAnsi" w:cstheme="minorHAnsi"/>
                <w:bCs/>
                <w:lang w:val="fr-FR"/>
              </w:rPr>
              <w:t xml:space="preserve"> formation</w:t>
            </w:r>
          </w:p>
          <w:p w:rsidR="00E37382" w:rsidRPr="003E2A18" w:rsidRDefault="00E37382" w:rsidP="00E37382">
            <w:pPr>
              <w:ind w:left="0" w:firstLine="0"/>
              <w:rPr>
                <w:rFonts w:asciiTheme="minorHAnsi" w:hAnsiTheme="minorHAnsi" w:cstheme="minorHAnsi"/>
                <w:lang w:val="fr-FR"/>
              </w:rPr>
            </w:pP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5.8</w:t>
            </w:r>
          </w:p>
          <w:p w:rsidR="00E37382" w:rsidRPr="003E2A18" w:rsidRDefault="00E37382" w:rsidP="00E37382">
            <w:pPr>
              <w:ind w:left="0" w:firstLine="0"/>
              <w:rPr>
                <w:rFonts w:asciiTheme="minorHAnsi" w:hAnsiTheme="minorHAnsi" w:cstheme="minorHAnsi"/>
                <w:lang w:val="fr-FR"/>
              </w:rPr>
            </w:pPr>
            <w:r w:rsidRPr="003E2A18">
              <w:rPr>
                <w:rFonts w:eastAsiaTheme="minorHAnsi" w:cs="Calibri"/>
                <w:color w:val="000000"/>
                <w:lang w:val="fr-FR"/>
              </w:rPr>
              <w:t>Les mesures visant à promouvoir la sensibilisation du public aux valeurs des zones humides</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VI.19</w:t>
            </w:r>
          </w:p>
          <w:p w:rsidR="00E37382" w:rsidRPr="003E2A18" w:rsidRDefault="00E37382" w:rsidP="00E37382">
            <w:pPr>
              <w:pStyle w:val="Default"/>
              <w:rPr>
                <w:sz w:val="22"/>
                <w:szCs w:val="22"/>
                <w:lang w:val="fr-FR"/>
              </w:rPr>
            </w:pPr>
            <w:r w:rsidRPr="003E2A18">
              <w:rPr>
                <w:sz w:val="22"/>
                <w:szCs w:val="22"/>
                <w:lang w:val="fr-FR"/>
              </w:rPr>
              <w:t xml:space="preserve">Éducation et sensibilisation du public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VII.9</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Le Programme d</w:t>
            </w:r>
            <w:r>
              <w:rPr>
                <w:rFonts w:asciiTheme="minorHAnsi" w:hAnsiTheme="minorHAnsi" w:cstheme="minorHAnsi"/>
                <w:lang w:val="fr-FR"/>
              </w:rPr>
              <w:t>’</w:t>
            </w:r>
            <w:r w:rsidRPr="003E2A18">
              <w:rPr>
                <w:rFonts w:asciiTheme="minorHAnsi" w:hAnsiTheme="minorHAnsi" w:cstheme="minorHAnsi"/>
                <w:lang w:val="fr-FR"/>
              </w:rPr>
              <w:t>information de la Convention - 1999-2002</w:t>
            </w:r>
          </w:p>
          <w:p w:rsidR="00E37382" w:rsidRPr="003E2A18" w:rsidRDefault="00E37382" w:rsidP="00E37382">
            <w:pPr>
              <w:keepNext/>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lang w:val="fr-FR"/>
              </w:rPr>
              <w:t>VIII.31</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Le Programme de communication, d</w:t>
            </w:r>
            <w:r>
              <w:rPr>
                <w:rFonts w:asciiTheme="minorHAnsi" w:hAnsiTheme="minorHAnsi" w:cstheme="minorHAnsi"/>
                <w:lang w:val="fr-FR"/>
              </w:rPr>
              <w:t>’</w:t>
            </w:r>
            <w:r w:rsidRPr="003E2A18">
              <w:rPr>
                <w:rFonts w:asciiTheme="minorHAnsi" w:hAnsiTheme="minorHAnsi" w:cstheme="minorHAnsi"/>
                <w:lang w:val="fr-FR"/>
              </w:rPr>
              <w:t>éducation et de sensibilisation du public (CESP) de la Convention (2003-2008)</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IX.18</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Établissement d</w:t>
            </w:r>
            <w:r>
              <w:rPr>
                <w:rFonts w:asciiTheme="minorHAnsi" w:hAnsiTheme="minorHAnsi" w:cstheme="minorHAnsi"/>
                <w:lang w:val="fr-FR"/>
              </w:rPr>
              <w:t>’</w:t>
            </w:r>
            <w:r w:rsidRPr="003E2A18">
              <w:rPr>
                <w:rFonts w:asciiTheme="minorHAnsi" w:hAnsiTheme="minorHAnsi" w:cstheme="minorHAnsi"/>
                <w:lang w:val="fr-FR"/>
              </w:rPr>
              <w:t>un Groupe de surveillance des activités de CESP de la Convention</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X.8</w:t>
            </w:r>
          </w:p>
          <w:p w:rsidR="00E37382" w:rsidRPr="003E2A18" w:rsidRDefault="00E37382" w:rsidP="00E37382">
            <w:pPr>
              <w:ind w:left="36" w:hanging="36"/>
              <w:rPr>
                <w:rFonts w:asciiTheme="minorHAnsi" w:hAnsiTheme="minorHAnsi" w:cstheme="minorHAnsi"/>
                <w:lang w:val="fr-FR"/>
              </w:rPr>
            </w:pPr>
            <w:r w:rsidRPr="003E2A18">
              <w:rPr>
                <w:rFonts w:asciiTheme="minorHAnsi" w:hAnsiTheme="minorHAnsi" w:cstheme="minorHAnsi"/>
                <w:lang w:val="fr-FR"/>
              </w:rPr>
              <w:t>Le Programme de communication, éducation, sensibilisation et participation (CESP) 2009-2015 de la Convention sur les zones humides</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XII.9</w:t>
            </w:r>
          </w:p>
          <w:p w:rsidR="00E37382" w:rsidRPr="003E2A18" w:rsidRDefault="00E37382" w:rsidP="00E37382">
            <w:pPr>
              <w:pStyle w:val="Default"/>
              <w:rPr>
                <w:sz w:val="22"/>
                <w:szCs w:val="22"/>
                <w:lang w:val="fr-FR"/>
              </w:rPr>
            </w:pPr>
            <w:r w:rsidRPr="003E2A18">
              <w:rPr>
                <w:sz w:val="22"/>
                <w:szCs w:val="22"/>
                <w:lang w:val="fr-FR"/>
              </w:rPr>
              <w:t>Le Programme de la Convention de Ramsar relatif à la communication, au renforcement des capacités, à l</w:t>
            </w:r>
            <w:r>
              <w:rPr>
                <w:sz w:val="22"/>
                <w:szCs w:val="22"/>
                <w:lang w:val="fr-FR"/>
              </w:rPr>
              <w:t>’</w:t>
            </w:r>
            <w:r w:rsidRPr="003E2A18">
              <w:rPr>
                <w:sz w:val="22"/>
                <w:szCs w:val="22"/>
                <w:lang w:val="fr-FR"/>
              </w:rPr>
              <w:t xml:space="preserve">éducation, à la sensibilisation et à la participation (CESP) 2016-2024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Déclaration de journées, prix et accréditations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5.10</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La campagne zones humides du 25</w:t>
            </w:r>
            <w:r w:rsidRPr="003E2A18">
              <w:rPr>
                <w:rFonts w:asciiTheme="minorHAnsi" w:hAnsiTheme="minorHAnsi" w:cstheme="minorHAnsi"/>
                <w:vertAlign w:val="superscript"/>
                <w:lang w:val="fr-FR"/>
              </w:rPr>
              <w:t>e</w:t>
            </w:r>
            <w:r w:rsidRPr="003E2A18">
              <w:rPr>
                <w:rFonts w:asciiTheme="minorHAnsi" w:hAnsiTheme="minorHAnsi" w:cstheme="minorHAnsi"/>
                <w:lang w:val="fr-FR"/>
              </w:rPr>
              <w:t xml:space="preserve"> anniversaire, 1996</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VI.18</w:t>
            </w:r>
          </w:p>
          <w:p w:rsidR="00E37382" w:rsidRPr="003E2A18" w:rsidRDefault="00E37382" w:rsidP="00E37382">
            <w:pPr>
              <w:pStyle w:val="Default"/>
              <w:rPr>
                <w:sz w:val="22"/>
                <w:szCs w:val="22"/>
                <w:lang w:val="fr-FR"/>
              </w:rPr>
            </w:pPr>
            <w:r w:rsidRPr="003E2A18">
              <w:rPr>
                <w:sz w:val="22"/>
                <w:szCs w:val="22"/>
                <w:lang w:val="fr-FR"/>
              </w:rPr>
              <w:t xml:space="preserve">Création du prix Ramsar pour la conservation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XII.10</w:t>
            </w:r>
          </w:p>
          <w:p w:rsidR="00E37382" w:rsidRPr="003E2A18" w:rsidRDefault="00E37382" w:rsidP="00E37382">
            <w:pPr>
              <w:pStyle w:val="Default"/>
              <w:rPr>
                <w:sz w:val="22"/>
                <w:szCs w:val="22"/>
                <w:lang w:val="fr-FR"/>
              </w:rPr>
            </w:pPr>
            <w:r w:rsidRPr="003E2A18">
              <w:rPr>
                <w:sz w:val="22"/>
                <w:szCs w:val="22"/>
                <w:lang w:val="fr-FR"/>
              </w:rPr>
              <w:t xml:space="preserve">Label Ville des Zones Humides accréditée par la Convention de Ramsar </w:t>
            </w:r>
          </w:p>
          <w:p w:rsidR="00E37382" w:rsidRPr="003E2A18" w:rsidRDefault="00E37382" w:rsidP="00E37382">
            <w:pPr>
              <w:ind w:left="0" w:firstLine="0"/>
              <w:rPr>
                <w:rFonts w:asciiTheme="minorHAnsi" w:hAnsiTheme="minorHAnsi" w:cstheme="minorHAnsi"/>
                <w:lang w:val="fr-FR"/>
              </w:rPr>
            </w:pPr>
          </w:p>
          <w:p w:rsidR="00E37382" w:rsidRDefault="00E37382" w:rsidP="00E37382">
            <w:pPr>
              <w:pStyle w:val="Default"/>
              <w:rPr>
                <w:rFonts w:asciiTheme="minorHAnsi" w:hAnsiTheme="minorHAnsi" w:cstheme="minorHAnsi"/>
                <w:lang w:val="fr-FR"/>
              </w:rPr>
            </w:pPr>
          </w:p>
          <w:p w:rsidR="00E37382" w:rsidRPr="000C3FE7" w:rsidRDefault="00E37382" w:rsidP="00E37382">
            <w:pPr>
              <w:pStyle w:val="Default"/>
              <w:rPr>
                <w:sz w:val="22"/>
                <w:szCs w:val="22"/>
                <w:lang w:val="fr-FR"/>
              </w:rPr>
            </w:pPr>
            <w:r w:rsidRPr="000C3FE7">
              <w:rPr>
                <w:sz w:val="22"/>
                <w:szCs w:val="22"/>
                <w:lang w:val="fr-FR"/>
              </w:rPr>
              <w:lastRenderedPageBreak/>
              <w:t xml:space="preserve">XIII.1 </w:t>
            </w:r>
          </w:p>
          <w:p w:rsidR="00E37382" w:rsidRPr="000C3FE7" w:rsidRDefault="00E37382" w:rsidP="00E37382">
            <w:pPr>
              <w:pStyle w:val="Default"/>
              <w:rPr>
                <w:sz w:val="22"/>
                <w:szCs w:val="22"/>
                <w:lang w:val="fr-FR"/>
              </w:rPr>
            </w:pPr>
            <w:r w:rsidRPr="000C3FE7">
              <w:rPr>
                <w:sz w:val="22"/>
                <w:szCs w:val="22"/>
                <w:lang w:val="fr-FR"/>
              </w:rPr>
              <w:t>Journée mondiale des zones humides</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Organismes d</w:t>
            </w:r>
            <w:r>
              <w:rPr>
                <w:rFonts w:asciiTheme="minorHAnsi" w:hAnsiTheme="minorHAnsi" w:cstheme="minorHAnsi"/>
                <w:b/>
                <w:lang w:val="fr-FR"/>
              </w:rPr>
              <w:t>’</w:t>
            </w:r>
            <w:r w:rsidRPr="003E2A18">
              <w:rPr>
                <w:rFonts w:asciiTheme="minorHAnsi" w:hAnsiTheme="minorHAnsi" w:cstheme="minorHAnsi"/>
                <w:b/>
                <w:lang w:val="fr-FR"/>
              </w:rPr>
              <w:t>aide au développement et banques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3.4</w:t>
            </w:r>
          </w:p>
          <w:p w:rsidR="00E37382" w:rsidRPr="003E2A18" w:rsidRDefault="00E37382" w:rsidP="00E37382">
            <w:pPr>
              <w:pStyle w:val="Default"/>
              <w:rPr>
                <w:sz w:val="22"/>
                <w:szCs w:val="22"/>
                <w:lang w:val="fr-FR"/>
              </w:rPr>
            </w:pPr>
            <w:r w:rsidRPr="003E2A18">
              <w:rPr>
                <w:sz w:val="22"/>
                <w:szCs w:val="22"/>
                <w:lang w:val="fr-FR"/>
              </w:rPr>
              <w:t>Responsabilité des organismes d</w:t>
            </w:r>
            <w:r>
              <w:rPr>
                <w:sz w:val="22"/>
                <w:szCs w:val="22"/>
                <w:lang w:val="fr-FR"/>
              </w:rPr>
              <w:t>’</w:t>
            </w:r>
            <w:r w:rsidRPr="003E2A18">
              <w:rPr>
                <w:sz w:val="22"/>
                <w:szCs w:val="22"/>
                <w:lang w:val="fr-FR"/>
              </w:rPr>
              <w:t xml:space="preserve">aide au développement vis-à-vis des zones humides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4.13</w:t>
            </w:r>
          </w:p>
          <w:p w:rsidR="00E37382" w:rsidRPr="003E2A18" w:rsidRDefault="00E37382" w:rsidP="00E37382">
            <w:pPr>
              <w:pStyle w:val="Default"/>
              <w:rPr>
                <w:sz w:val="22"/>
                <w:szCs w:val="22"/>
                <w:lang w:val="fr-FR"/>
              </w:rPr>
            </w:pPr>
            <w:r w:rsidRPr="003E2A18">
              <w:rPr>
                <w:sz w:val="22"/>
                <w:szCs w:val="22"/>
                <w:lang w:val="fr-FR"/>
              </w:rPr>
              <w:t>Responsabilités des organismes d</w:t>
            </w:r>
            <w:r>
              <w:rPr>
                <w:sz w:val="22"/>
                <w:szCs w:val="22"/>
                <w:lang w:val="fr-FR"/>
              </w:rPr>
              <w:t>’</w:t>
            </w:r>
            <w:r w:rsidRPr="003E2A18">
              <w:rPr>
                <w:sz w:val="22"/>
                <w:szCs w:val="22"/>
                <w:lang w:val="fr-FR"/>
              </w:rPr>
              <w:t xml:space="preserve">aide au développement (OAD) vis-à-vis des zones humides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 xml:space="preserve">Fonds sur les zones humides </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4.3</w:t>
            </w:r>
          </w:p>
          <w:p w:rsidR="00E37382" w:rsidRPr="003E2A18" w:rsidRDefault="00E37382" w:rsidP="00E37382">
            <w:pPr>
              <w:pStyle w:val="Default"/>
              <w:rPr>
                <w:sz w:val="22"/>
                <w:szCs w:val="22"/>
                <w:lang w:val="fr-FR"/>
              </w:rPr>
            </w:pPr>
            <w:r w:rsidRPr="003E2A18">
              <w:rPr>
                <w:sz w:val="22"/>
                <w:szCs w:val="22"/>
                <w:lang w:val="fr-FR"/>
              </w:rPr>
              <w:t xml:space="preserve">Résolution sur un Fonds de conservation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5.8</w:t>
            </w:r>
          </w:p>
          <w:p w:rsidR="00E37382" w:rsidRPr="003E2A18" w:rsidRDefault="00E37382" w:rsidP="00E37382">
            <w:pPr>
              <w:pStyle w:val="Default"/>
              <w:rPr>
                <w:sz w:val="22"/>
                <w:szCs w:val="22"/>
                <w:lang w:val="fr-FR"/>
              </w:rPr>
            </w:pPr>
            <w:r w:rsidRPr="003E2A18">
              <w:rPr>
                <w:sz w:val="22"/>
                <w:szCs w:val="22"/>
                <w:lang w:val="fr-FR"/>
              </w:rPr>
              <w:t xml:space="preserve">Résolution sur le financement et fonctionnement futurs du Fonds Ramsar de conservation des zones humides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VI.6</w:t>
            </w:r>
          </w:p>
          <w:p w:rsidR="00E37382" w:rsidRPr="003E2A18" w:rsidRDefault="00E37382" w:rsidP="00E37382">
            <w:pPr>
              <w:pStyle w:val="Default"/>
              <w:rPr>
                <w:sz w:val="22"/>
                <w:szCs w:val="22"/>
                <w:lang w:val="fr-FR"/>
              </w:rPr>
            </w:pPr>
            <w:r w:rsidRPr="003E2A18">
              <w:rPr>
                <w:sz w:val="22"/>
                <w:szCs w:val="22"/>
                <w:lang w:val="fr-FR"/>
              </w:rPr>
              <w:t xml:space="preserve">Le Fonds de conservation des zones humides </w:t>
            </w:r>
          </w:p>
          <w:p w:rsidR="00E37382" w:rsidRPr="003E2A18" w:rsidRDefault="00E37382" w:rsidP="00E37382">
            <w:pPr>
              <w:ind w:left="0" w:firstLine="0"/>
              <w:rPr>
                <w:rFonts w:asciiTheme="minorHAnsi" w:hAnsiTheme="minorHAnsi" w:cstheme="minorHAnsi"/>
                <w:lang w:val="fr-FR"/>
              </w:rPr>
            </w:pPr>
          </w:p>
          <w:p w:rsidR="00E37382" w:rsidRPr="00CC5F3A" w:rsidRDefault="00E37382" w:rsidP="00E37382">
            <w:pPr>
              <w:ind w:left="0" w:firstLine="0"/>
              <w:rPr>
                <w:rFonts w:asciiTheme="minorHAnsi" w:hAnsiTheme="minorHAnsi" w:cstheme="minorHAnsi"/>
                <w:lang w:val="en-CA"/>
              </w:rPr>
            </w:pPr>
            <w:r w:rsidRPr="00CC5F3A">
              <w:rPr>
                <w:rFonts w:asciiTheme="minorHAnsi" w:hAnsiTheme="minorHAnsi" w:cstheme="minorHAnsi"/>
                <w:lang w:val="en-CA"/>
              </w:rPr>
              <w:t>Recom 7.4</w:t>
            </w:r>
          </w:p>
          <w:p w:rsidR="00E37382" w:rsidRPr="00CC5F3A" w:rsidRDefault="00E37382" w:rsidP="00E37382">
            <w:pPr>
              <w:pStyle w:val="Default"/>
              <w:rPr>
                <w:sz w:val="22"/>
                <w:szCs w:val="22"/>
                <w:lang w:val="en-CA"/>
              </w:rPr>
            </w:pPr>
            <w:r w:rsidRPr="00CC5F3A">
              <w:rPr>
                <w:sz w:val="22"/>
                <w:szCs w:val="22"/>
                <w:lang w:val="en-CA"/>
              </w:rPr>
              <w:t>L</w:t>
            </w:r>
            <w:r>
              <w:rPr>
                <w:sz w:val="22"/>
                <w:szCs w:val="22"/>
                <w:lang w:val="en-CA"/>
              </w:rPr>
              <w:t>’</w:t>
            </w:r>
            <w:r w:rsidRPr="00CC5F3A">
              <w:rPr>
                <w:sz w:val="22"/>
                <w:szCs w:val="22"/>
                <w:lang w:val="en-CA"/>
              </w:rPr>
              <w:t xml:space="preserve">Initiative Wetlands for the Future </w:t>
            </w:r>
          </w:p>
          <w:p w:rsidR="00E37382" w:rsidRPr="00CC5F3A" w:rsidRDefault="00E37382" w:rsidP="00E37382">
            <w:pPr>
              <w:ind w:left="0" w:firstLine="0"/>
              <w:rPr>
                <w:rFonts w:asciiTheme="minorHAnsi" w:hAnsiTheme="minorHAnsi" w:cstheme="minorHAnsi"/>
                <w:lang w:val="en-CA"/>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VII.5</w:t>
            </w:r>
          </w:p>
          <w:p w:rsidR="00E37382" w:rsidRPr="003E2A18" w:rsidRDefault="00E37382" w:rsidP="00E37382">
            <w:pPr>
              <w:pStyle w:val="Default"/>
              <w:rPr>
                <w:sz w:val="22"/>
                <w:szCs w:val="22"/>
                <w:lang w:val="fr-FR"/>
              </w:rPr>
            </w:pPr>
            <w:r w:rsidRPr="003E2A18">
              <w:rPr>
                <w:sz w:val="22"/>
                <w:szCs w:val="22"/>
                <w:lang w:val="fr-FR"/>
              </w:rPr>
              <w:t>Évaluation critique du Fonds Ramsar de petites subventions pour la conservation et l</w:t>
            </w:r>
            <w:r>
              <w:rPr>
                <w:sz w:val="22"/>
                <w:szCs w:val="22"/>
                <w:lang w:val="fr-FR"/>
              </w:rPr>
              <w:t>’</w:t>
            </w:r>
            <w:r w:rsidRPr="003E2A18">
              <w:rPr>
                <w:sz w:val="22"/>
                <w:szCs w:val="22"/>
                <w:lang w:val="fr-FR"/>
              </w:rPr>
              <w:t xml:space="preserve">utilisation rationnelle des zones humides (FPS) et exploitation future du Fonds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lang w:val="fr-FR"/>
              </w:rPr>
              <w:t>VIII.29</w:t>
            </w:r>
          </w:p>
          <w:p w:rsidR="00E37382" w:rsidRPr="003E2A18" w:rsidRDefault="00E37382" w:rsidP="00E37382">
            <w:pPr>
              <w:ind w:left="0" w:firstLine="0"/>
              <w:rPr>
                <w:rFonts w:eastAsiaTheme="minorHAnsi" w:cs="Calibri"/>
                <w:color w:val="000000"/>
                <w:lang w:val="fr-FR"/>
              </w:rPr>
            </w:pPr>
            <w:r w:rsidRPr="003E2A18">
              <w:rPr>
                <w:rFonts w:eastAsiaTheme="minorHAnsi" w:cs="Calibri"/>
                <w:color w:val="000000"/>
                <w:lang w:val="fr-FR"/>
              </w:rPr>
              <w:t>Préciser les fonctions des organismes et organes connexes chargés de l</w:t>
            </w:r>
            <w:r>
              <w:rPr>
                <w:rFonts w:eastAsiaTheme="minorHAnsi" w:cs="Calibri"/>
                <w:color w:val="000000"/>
                <w:lang w:val="fr-FR"/>
              </w:rPr>
              <w:t>’</w:t>
            </w:r>
            <w:r w:rsidRPr="003E2A18">
              <w:rPr>
                <w:rFonts w:eastAsiaTheme="minorHAnsi" w:cs="Calibri"/>
                <w:color w:val="000000"/>
                <w:lang w:val="fr-FR"/>
              </w:rPr>
              <w:t>application de la Convention au niveau national</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IX.13</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Évaluation du Fonds de dotation Ramsar comme mécanisme de financement du Fonds de petites subventions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X.7</w:t>
            </w: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Optimiser le Fonds Ramsar de petites subventions durant la période 2009-2012</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Autorités nationales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X.29</w:t>
            </w:r>
          </w:p>
          <w:p w:rsidR="00E37382" w:rsidRPr="003E2A18" w:rsidRDefault="00E37382" w:rsidP="00E37382">
            <w:pPr>
              <w:pStyle w:val="Default"/>
              <w:rPr>
                <w:sz w:val="22"/>
                <w:szCs w:val="22"/>
                <w:lang w:val="fr-FR"/>
              </w:rPr>
            </w:pPr>
            <w:r w:rsidRPr="003E2A18">
              <w:rPr>
                <w:sz w:val="22"/>
                <w:szCs w:val="22"/>
                <w:lang w:val="fr-FR"/>
              </w:rPr>
              <w:t>Préciser les fonctions des organismes et organes connexes chargés de l</w:t>
            </w:r>
            <w:r>
              <w:rPr>
                <w:sz w:val="22"/>
                <w:szCs w:val="22"/>
                <w:lang w:val="fr-FR"/>
              </w:rPr>
              <w:t>’</w:t>
            </w:r>
            <w:r w:rsidRPr="003E2A18">
              <w:rPr>
                <w:sz w:val="22"/>
                <w:szCs w:val="22"/>
                <w:lang w:val="fr-FR"/>
              </w:rPr>
              <w:t xml:space="preserve">application de la Convention au niveau national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 xml:space="preserve">Législations et politiques nationales </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6.9</w:t>
            </w:r>
          </w:p>
          <w:p w:rsidR="00E37382" w:rsidRPr="003E2A18" w:rsidRDefault="00E37382" w:rsidP="00E37382">
            <w:pPr>
              <w:pStyle w:val="Default"/>
              <w:rPr>
                <w:sz w:val="22"/>
                <w:szCs w:val="22"/>
                <w:lang w:val="fr-FR"/>
              </w:rPr>
            </w:pPr>
            <w:r w:rsidRPr="003E2A18">
              <w:rPr>
                <w:sz w:val="22"/>
                <w:szCs w:val="22"/>
                <w:lang w:val="fr-FR"/>
              </w:rPr>
              <w:t>Cadre d</w:t>
            </w:r>
            <w:r>
              <w:rPr>
                <w:sz w:val="22"/>
                <w:szCs w:val="22"/>
                <w:lang w:val="fr-FR"/>
              </w:rPr>
              <w:t>’</w:t>
            </w:r>
            <w:r w:rsidRPr="003E2A18">
              <w:rPr>
                <w:sz w:val="22"/>
                <w:szCs w:val="22"/>
                <w:lang w:val="fr-FR"/>
              </w:rPr>
              <w:t>élaboration et d</w:t>
            </w:r>
            <w:r>
              <w:rPr>
                <w:sz w:val="22"/>
                <w:szCs w:val="22"/>
                <w:lang w:val="fr-FR"/>
              </w:rPr>
              <w:t>’</w:t>
            </w:r>
            <w:r w:rsidRPr="003E2A18">
              <w:rPr>
                <w:sz w:val="22"/>
                <w:szCs w:val="22"/>
                <w:lang w:val="fr-FR"/>
              </w:rPr>
              <w:t xml:space="preserve">application de politiques nationales pour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VII.6</w:t>
            </w:r>
          </w:p>
          <w:p w:rsidR="00E37382" w:rsidRPr="003E2A18" w:rsidRDefault="00E37382" w:rsidP="00E37382">
            <w:pPr>
              <w:pStyle w:val="Default"/>
              <w:rPr>
                <w:sz w:val="22"/>
                <w:szCs w:val="22"/>
                <w:lang w:val="fr-FR"/>
              </w:rPr>
            </w:pPr>
            <w:r w:rsidRPr="003E2A18">
              <w:rPr>
                <w:sz w:val="22"/>
                <w:szCs w:val="22"/>
                <w:lang w:val="fr-FR"/>
              </w:rPr>
              <w:t>Lignes directrices pour l</w:t>
            </w:r>
            <w:r>
              <w:rPr>
                <w:sz w:val="22"/>
                <w:szCs w:val="22"/>
                <w:lang w:val="fr-FR"/>
              </w:rPr>
              <w:t>’</w:t>
            </w:r>
            <w:r w:rsidRPr="003E2A18">
              <w:rPr>
                <w:sz w:val="22"/>
                <w:szCs w:val="22"/>
                <w:lang w:val="fr-FR"/>
              </w:rPr>
              <w:t>élaboration et l</w:t>
            </w:r>
            <w:r>
              <w:rPr>
                <w:sz w:val="22"/>
                <w:szCs w:val="22"/>
                <w:lang w:val="fr-FR"/>
              </w:rPr>
              <w:t>’</w:t>
            </w:r>
            <w:r w:rsidRPr="003E2A18">
              <w:rPr>
                <w:sz w:val="22"/>
                <w:szCs w:val="22"/>
                <w:lang w:val="fr-FR"/>
              </w:rPr>
              <w:t xml:space="preserve">application de politiques nationales pour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VII.7*</w:t>
            </w:r>
          </w:p>
          <w:p w:rsidR="00E37382" w:rsidRPr="003E2A18" w:rsidRDefault="00E37382" w:rsidP="00E37382">
            <w:pPr>
              <w:pStyle w:val="Default"/>
              <w:rPr>
                <w:sz w:val="22"/>
                <w:szCs w:val="22"/>
                <w:lang w:val="fr-FR"/>
              </w:rPr>
            </w:pPr>
            <w:r w:rsidRPr="003E2A18">
              <w:rPr>
                <w:sz w:val="22"/>
                <w:szCs w:val="22"/>
                <w:lang w:val="fr-FR"/>
              </w:rPr>
              <w:t>Lignes directrices pour l</w:t>
            </w:r>
            <w:r>
              <w:rPr>
                <w:sz w:val="22"/>
                <w:szCs w:val="22"/>
                <w:lang w:val="fr-FR"/>
              </w:rPr>
              <w:t>’</w:t>
            </w:r>
            <w:r w:rsidRPr="003E2A18">
              <w:rPr>
                <w:sz w:val="22"/>
                <w:szCs w:val="22"/>
                <w:lang w:val="fr-FR"/>
              </w:rPr>
              <w:t>étude des lois et des institutions en vue de promouvoir la conservation et l</w:t>
            </w:r>
            <w:r>
              <w:rPr>
                <w:sz w:val="22"/>
                <w:szCs w:val="22"/>
                <w:lang w:val="fr-FR"/>
              </w:rPr>
              <w:t>’</w:t>
            </w: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ONG et Organisations internationales partenaires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5.6</w:t>
            </w:r>
          </w:p>
          <w:p w:rsidR="00E37382" w:rsidRPr="003E2A18" w:rsidRDefault="00E37382" w:rsidP="00E37382">
            <w:pPr>
              <w:pStyle w:val="Default"/>
              <w:rPr>
                <w:sz w:val="22"/>
                <w:szCs w:val="22"/>
                <w:lang w:val="fr-FR"/>
              </w:rPr>
            </w:pPr>
            <w:r w:rsidRPr="003E2A18">
              <w:rPr>
                <w:sz w:val="22"/>
                <w:szCs w:val="22"/>
                <w:lang w:val="fr-FR"/>
              </w:rPr>
              <w:t xml:space="preserve">Le rôle des organisations non gouvernementales (ONG) en relation avec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5.7</w:t>
            </w:r>
          </w:p>
          <w:p w:rsidR="00E37382" w:rsidRPr="003E2A18" w:rsidRDefault="00E37382" w:rsidP="00E37382">
            <w:pPr>
              <w:pStyle w:val="Default"/>
              <w:rPr>
                <w:sz w:val="22"/>
                <w:szCs w:val="22"/>
                <w:lang w:val="fr-FR"/>
              </w:rPr>
            </w:pPr>
            <w:r w:rsidRPr="003E2A18">
              <w:rPr>
                <w:sz w:val="22"/>
                <w:szCs w:val="22"/>
                <w:lang w:val="fr-FR"/>
              </w:rPr>
              <w:t xml:space="preserve">Recommandation sur les comités nationaux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VII.3</w:t>
            </w:r>
          </w:p>
          <w:p w:rsidR="00E37382" w:rsidRPr="003E2A18" w:rsidRDefault="00E37382" w:rsidP="00E37382">
            <w:pPr>
              <w:pStyle w:val="Default"/>
              <w:rPr>
                <w:sz w:val="22"/>
                <w:szCs w:val="22"/>
                <w:lang w:val="fr-FR"/>
              </w:rPr>
            </w:pPr>
            <w:r w:rsidRPr="003E2A18">
              <w:rPr>
                <w:sz w:val="22"/>
                <w:szCs w:val="22"/>
                <w:lang w:val="fr-FR"/>
              </w:rPr>
              <w:t xml:space="preserve">Partenariat avec des organisations internationales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IX.16</w:t>
            </w:r>
          </w:p>
          <w:p w:rsidR="00E37382" w:rsidRPr="003E2A18" w:rsidRDefault="00E37382" w:rsidP="00E37382">
            <w:pPr>
              <w:pStyle w:val="Default"/>
              <w:rPr>
                <w:sz w:val="22"/>
                <w:szCs w:val="22"/>
                <w:lang w:val="fr-FR"/>
              </w:rPr>
            </w:pPr>
            <w:r w:rsidRPr="003E2A18">
              <w:rPr>
                <w:sz w:val="22"/>
                <w:szCs w:val="22"/>
                <w:lang w:val="fr-FR"/>
              </w:rPr>
              <w:t xml:space="preserve">Les Organisations internationales partenaires (OIP) de la Convention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Perspective régionale</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5.13</w:t>
            </w:r>
          </w:p>
          <w:p w:rsidR="00E37382" w:rsidRPr="003E2A18" w:rsidRDefault="00E37382" w:rsidP="00E37382">
            <w:pPr>
              <w:pStyle w:val="Default"/>
              <w:rPr>
                <w:sz w:val="22"/>
                <w:szCs w:val="22"/>
                <w:lang w:val="fr-FR"/>
              </w:rPr>
            </w:pPr>
            <w:r w:rsidRPr="003E2A18">
              <w:rPr>
                <w:sz w:val="22"/>
                <w:szCs w:val="22"/>
                <w:lang w:val="fr-FR"/>
              </w:rPr>
              <w:t xml:space="preserve">La promotion et le renforcement de la Région néotropicale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5.14</w:t>
            </w:r>
          </w:p>
          <w:p w:rsidR="00E37382" w:rsidRPr="003E2A18" w:rsidRDefault="00E37382" w:rsidP="00E37382">
            <w:pPr>
              <w:pStyle w:val="Default"/>
              <w:rPr>
                <w:sz w:val="22"/>
                <w:szCs w:val="22"/>
                <w:lang w:val="fr-FR"/>
              </w:rPr>
            </w:pPr>
            <w:r w:rsidRPr="003E2A18">
              <w:rPr>
                <w:sz w:val="22"/>
                <w:szCs w:val="22"/>
                <w:lang w:val="fr-FR"/>
              </w:rPr>
              <w:t xml:space="preserve">Collaboration pour les zones humides méditerranéennes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6.4*</w:t>
            </w:r>
          </w:p>
          <w:p w:rsidR="00E37382" w:rsidRPr="003E2A18" w:rsidRDefault="00E37382" w:rsidP="00E37382">
            <w:pPr>
              <w:pStyle w:val="Default"/>
              <w:rPr>
                <w:sz w:val="22"/>
                <w:szCs w:val="22"/>
                <w:lang w:val="fr-FR"/>
              </w:rPr>
            </w:pPr>
            <w:r w:rsidRPr="003E2A18">
              <w:rPr>
                <w:sz w:val="22"/>
                <w:szCs w:val="22"/>
                <w:lang w:val="fr-FR"/>
              </w:rPr>
              <w:t>Initiative de Brisbane sur l</w:t>
            </w:r>
            <w:r>
              <w:rPr>
                <w:sz w:val="22"/>
                <w:szCs w:val="22"/>
                <w:lang w:val="fr-FR"/>
              </w:rPr>
              <w:t>’</w:t>
            </w:r>
            <w:r w:rsidRPr="003E2A18">
              <w:rPr>
                <w:sz w:val="22"/>
                <w:szCs w:val="22"/>
                <w:lang w:val="fr-FR"/>
              </w:rPr>
              <w:t>établissement d</w:t>
            </w:r>
            <w:r>
              <w:rPr>
                <w:sz w:val="22"/>
                <w:szCs w:val="22"/>
                <w:lang w:val="fr-FR"/>
              </w:rPr>
              <w:t>’</w:t>
            </w:r>
            <w:r w:rsidRPr="003E2A18">
              <w:rPr>
                <w:sz w:val="22"/>
                <w:szCs w:val="22"/>
                <w:lang w:val="fr-FR"/>
              </w:rPr>
              <w:t>un réseau de sites Ramsar le long de la voie de migration Asie de l</w:t>
            </w:r>
            <w:r>
              <w:rPr>
                <w:sz w:val="22"/>
                <w:szCs w:val="22"/>
                <w:lang w:val="fr-FR"/>
              </w:rPr>
              <w:t>’</w:t>
            </w:r>
            <w:r w:rsidRPr="003E2A18">
              <w:rPr>
                <w:sz w:val="22"/>
                <w:szCs w:val="22"/>
                <w:lang w:val="fr-FR"/>
              </w:rPr>
              <w:t xml:space="preserve">Est-Australasie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6.11</w:t>
            </w:r>
          </w:p>
          <w:p w:rsidR="00E37382" w:rsidRPr="003E2A18" w:rsidRDefault="00E37382" w:rsidP="00E37382">
            <w:pPr>
              <w:pStyle w:val="Default"/>
              <w:rPr>
                <w:sz w:val="22"/>
                <w:szCs w:val="22"/>
                <w:lang w:val="fr-FR"/>
              </w:rPr>
            </w:pPr>
            <w:r w:rsidRPr="003E2A18">
              <w:rPr>
                <w:sz w:val="22"/>
                <w:szCs w:val="22"/>
                <w:lang w:val="fr-FR"/>
              </w:rPr>
              <w:t xml:space="preserve">Poursuite de la collaboration en faveur des zones humides Méditerranéennes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VII.22</w:t>
            </w:r>
          </w:p>
          <w:p w:rsidR="00E37382" w:rsidRPr="003E2A18" w:rsidRDefault="00E37382" w:rsidP="00E37382">
            <w:pPr>
              <w:pStyle w:val="Default"/>
              <w:rPr>
                <w:sz w:val="22"/>
                <w:szCs w:val="22"/>
                <w:lang w:val="fr-FR"/>
              </w:rPr>
            </w:pPr>
            <w:r w:rsidRPr="003E2A18">
              <w:rPr>
                <w:sz w:val="22"/>
                <w:szCs w:val="22"/>
                <w:lang w:val="fr-FR"/>
              </w:rPr>
              <w:t xml:space="preserve">Structure de coopération pour les zones humides méditerranéennes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VII.26</w:t>
            </w:r>
          </w:p>
          <w:p w:rsidR="00E37382" w:rsidRPr="003E2A18" w:rsidRDefault="00E37382" w:rsidP="00E37382">
            <w:pPr>
              <w:pStyle w:val="Default"/>
              <w:rPr>
                <w:sz w:val="22"/>
                <w:szCs w:val="22"/>
                <w:lang w:val="fr-FR"/>
              </w:rPr>
            </w:pPr>
            <w:r w:rsidRPr="003E2A18">
              <w:rPr>
                <w:sz w:val="22"/>
                <w:szCs w:val="22"/>
                <w:lang w:val="fr-FR"/>
              </w:rPr>
              <w:t>Création d</w:t>
            </w:r>
            <w:r>
              <w:rPr>
                <w:sz w:val="22"/>
                <w:szCs w:val="22"/>
                <w:lang w:val="fr-FR"/>
              </w:rPr>
              <w:t>’</w:t>
            </w:r>
            <w:r w:rsidRPr="003E2A18">
              <w:rPr>
                <w:sz w:val="22"/>
                <w:szCs w:val="22"/>
                <w:lang w:val="fr-FR"/>
              </w:rPr>
              <w:t>un Centre régional Ramsar pour la formation et l</w:t>
            </w:r>
            <w:r>
              <w:rPr>
                <w:sz w:val="22"/>
                <w:szCs w:val="22"/>
                <w:lang w:val="fr-FR"/>
              </w:rPr>
              <w:t>’</w:t>
            </w:r>
            <w:r w:rsidRPr="003E2A18">
              <w:rPr>
                <w:sz w:val="22"/>
                <w:szCs w:val="22"/>
                <w:lang w:val="fr-FR"/>
              </w:rPr>
              <w:t>étude relatives aux zones humides dans l</w:t>
            </w:r>
            <w:r>
              <w:rPr>
                <w:sz w:val="22"/>
                <w:szCs w:val="22"/>
                <w:lang w:val="fr-FR"/>
              </w:rPr>
              <w:t>’</w:t>
            </w:r>
            <w:r w:rsidRPr="003E2A18">
              <w:rPr>
                <w:sz w:val="22"/>
                <w:szCs w:val="22"/>
                <w:lang w:val="fr-FR"/>
              </w:rPr>
              <w:t xml:space="preserve">hémisphère occidental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VIII.39</w:t>
            </w:r>
          </w:p>
          <w:p w:rsidR="00E37382" w:rsidRPr="003E2A18" w:rsidRDefault="00E37382" w:rsidP="00E37382">
            <w:pPr>
              <w:pStyle w:val="Default"/>
              <w:rPr>
                <w:sz w:val="22"/>
                <w:szCs w:val="22"/>
                <w:lang w:val="fr-FR"/>
              </w:rPr>
            </w:pPr>
            <w:r w:rsidRPr="003E2A18">
              <w:rPr>
                <w:sz w:val="22"/>
                <w:szCs w:val="22"/>
                <w:lang w:val="fr-FR"/>
              </w:rPr>
              <w:t xml:space="preserve">Les zones humides des hautes Andes : des écosystèmes stratégiques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VIII.41</w:t>
            </w:r>
          </w:p>
          <w:p w:rsidR="00E37382" w:rsidRPr="003E2A18" w:rsidRDefault="00E37382" w:rsidP="00E37382">
            <w:pPr>
              <w:pStyle w:val="Default"/>
              <w:rPr>
                <w:sz w:val="22"/>
                <w:szCs w:val="22"/>
                <w:lang w:val="fr-FR"/>
              </w:rPr>
            </w:pPr>
            <w:r w:rsidRPr="003E2A18">
              <w:rPr>
                <w:sz w:val="22"/>
                <w:szCs w:val="22"/>
                <w:lang w:val="fr-FR"/>
              </w:rPr>
              <w:t>Création d</w:t>
            </w:r>
            <w:r>
              <w:rPr>
                <w:sz w:val="22"/>
                <w:szCs w:val="22"/>
                <w:lang w:val="fr-FR"/>
              </w:rPr>
              <w:t>’</w:t>
            </w:r>
            <w:r w:rsidRPr="003E2A18">
              <w:rPr>
                <w:sz w:val="22"/>
                <w:szCs w:val="22"/>
                <w:lang w:val="fr-FR"/>
              </w:rPr>
              <w:t>un Centre régional Ramsar pour la formation et la recherche relatives aux zones humides d</w:t>
            </w:r>
            <w:r>
              <w:rPr>
                <w:sz w:val="22"/>
                <w:szCs w:val="22"/>
                <w:lang w:val="fr-FR"/>
              </w:rPr>
              <w:t>’</w:t>
            </w:r>
            <w:r w:rsidRPr="003E2A18">
              <w:rPr>
                <w:sz w:val="22"/>
                <w:szCs w:val="22"/>
                <w:lang w:val="fr-FR"/>
              </w:rPr>
              <w:t>Asie de l</w:t>
            </w:r>
            <w:r>
              <w:rPr>
                <w:sz w:val="22"/>
                <w:szCs w:val="22"/>
                <w:lang w:val="fr-FR"/>
              </w:rPr>
              <w:t>’</w:t>
            </w:r>
            <w:r w:rsidRPr="003E2A18">
              <w:rPr>
                <w:sz w:val="22"/>
                <w:szCs w:val="22"/>
                <w:lang w:val="fr-FR"/>
              </w:rPr>
              <w:t>Ouest et d</w:t>
            </w:r>
            <w:r>
              <w:rPr>
                <w:sz w:val="22"/>
                <w:szCs w:val="22"/>
                <w:lang w:val="fr-FR"/>
              </w:rPr>
              <w:t>’</w:t>
            </w:r>
            <w:r w:rsidRPr="003E2A18">
              <w:rPr>
                <w:sz w:val="22"/>
                <w:szCs w:val="22"/>
                <w:lang w:val="fr-FR"/>
              </w:rPr>
              <w:t xml:space="preserve">Asie centrale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VIII.42</w:t>
            </w:r>
          </w:p>
          <w:p w:rsidR="00E37382" w:rsidRPr="003E2A18" w:rsidRDefault="00E37382" w:rsidP="00E37382">
            <w:pPr>
              <w:pStyle w:val="Default"/>
              <w:rPr>
                <w:sz w:val="22"/>
                <w:szCs w:val="22"/>
                <w:lang w:val="fr-FR"/>
              </w:rPr>
            </w:pPr>
            <w:r w:rsidRPr="003E2A18">
              <w:rPr>
                <w:sz w:val="22"/>
                <w:szCs w:val="22"/>
                <w:lang w:val="fr-FR"/>
              </w:rPr>
              <w:t xml:space="preserve">Les petits États insulaires en développement dans la région Océanie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VIII.43</w:t>
            </w:r>
          </w:p>
          <w:p w:rsidR="00E37382" w:rsidRPr="003E2A18" w:rsidRDefault="00E37382" w:rsidP="00E37382">
            <w:pPr>
              <w:pStyle w:val="Default"/>
              <w:rPr>
                <w:sz w:val="22"/>
                <w:szCs w:val="22"/>
                <w:lang w:val="fr-FR"/>
              </w:rPr>
            </w:pPr>
            <w:r w:rsidRPr="003E2A18">
              <w:rPr>
                <w:sz w:val="22"/>
                <w:szCs w:val="22"/>
                <w:lang w:val="fr-FR"/>
              </w:rPr>
              <w:t>Une stratégie sous-régionale de la Convention de Ramsar pour l</w:t>
            </w:r>
            <w:r>
              <w:rPr>
                <w:sz w:val="22"/>
                <w:szCs w:val="22"/>
                <w:lang w:val="fr-FR"/>
              </w:rPr>
              <w:t>’</w:t>
            </w:r>
            <w:r w:rsidRPr="003E2A18">
              <w:rPr>
                <w:sz w:val="22"/>
                <w:szCs w:val="22"/>
                <w:lang w:val="fr-FR"/>
              </w:rPr>
              <w:t xml:space="preserve">Amérique du Sud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VIII.44</w:t>
            </w:r>
          </w:p>
          <w:p w:rsidR="00E37382" w:rsidRPr="003E2A18" w:rsidRDefault="00E37382" w:rsidP="00E37382">
            <w:pPr>
              <w:pStyle w:val="Default"/>
              <w:rPr>
                <w:sz w:val="22"/>
                <w:szCs w:val="22"/>
                <w:lang w:val="fr-FR"/>
              </w:rPr>
            </w:pPr>
            <w:r w:rsidRPr="003E2A18">
              <w:rPr>
                <w:sz w:val="22"/>
                <w:szCs w:val="22"/>
                <w:lang w:val="fr-FR"/>
              </w:rPr>
              <w:t xml:space="preserve">Nouveau partenariat pour le développement en Afrique (NEPAD) et mise en œuvre de la Convention de Ramsar en Afrique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IX.19</w:t>
            </w:r>
          </w:p>
          <w:p w:rsidR="00E37382" w:rsidRPr="003E2A18" w:rsidRDefault="00E37382" w:rsidP="00E37382">
            <w:pPr>
              <w:pStyle w:val="Default"/>
              <w:rPr>
                <w:sz w:val="22"/>
                <w:szCs w:val="22"/>
                <w:lang w:val="fr-FR"/>
              </w:rPr>
            </w:pPr>
            <w:r w:rsidRPr="003E2A18">
              <w:rPr>
                <w:sz w:val="22"/>
                <w:szCs w:val="22"/>
                <w:lang w:val="fr-FR"/>
              </w:rPr>
              <w:t>L</w:t>
            </w:r>
            <w:r>
              <w:rPr>
                <w:sz w:val="22"/>
                <w:szCs w:val="22"/>
                <w:lang w:val="fr-FR"/>
              </w:rPr>
              <w:t>’</w:t>
            </w:r>
            <w:r w:rsidRPr="003E2A18">
              <w:rPr>
                <w:sz w:val="22"/>
                <w:szCs w:val="22"/>
                <w:lang w:val="fr-FR"/>
              </w:rPr>
              <w:t>importance des colloques régionaux sur les zones humides pour l</w:t>
            </w:r>
            <w:r>
              <w:rPr>
                <w:sz w:val="22"/>
                <w:szCs w:val="22"/>
                <w:lang w:val="fr-FR"/>
              </w:rPr>
              <w:t>’</w:t>
            </w:r>
            <w:r w:rsidRPr="003E2A18">
              <w:rPr>
                <w:sz w:val="22"/>
                <w:szCs w:val="22"/>
                <w:lang w:val="fr-FR"/>
              </w:rPr>
              <w:t xml:space="preserve">application efficace de la Convention de Ramsar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XII.14</w:t>
            </w:r>
          </w:p>
          <w:p w:rsidR="00E37382" w:rsidRPr="003E2A18" w:rsidRDefault="00E37382" w:rsidP="00E37382">
            <w:pPr>
              <w:pStyle w:val="Default"/>
              <w:rPr>
                <w:sz w:val="22"/>
                <w:szCs w:val="22"/>
                <w:lang w:val="fr-FR"/>
              </w:rPr>
            </w:pPr>
            <w:r w:rsidRPr="003E2A18">
              <w:rPr>
                <w:sz w:val="22"/>
                <w:szCs w:val="22"/>
                <w:lang w:val="fr-FR"/>
              </w:rPr>
              <w:t xml:space="preserve">Conservation des zones humides des îles du bassin méditerranéen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XIII.22</w:t>
            </w:r>
          </w:p>
          <w:p w:rsidR="00E37382" w:rsidRPr="003E2A18" w:rsidRDefault="00E37382" w:rsidP="00E37382">
            <w:pPr>
              <w:pStyle w:val="Default"/>
              <w:rPr>
                <w:sz w:val="22"/>
                <w:szCs w:val="22"/>
                <w:lang w:val="fr-FR"/>
              </w:rPr>
            </w:pPr>
            <w:r w:rsidRPr="003E2A18">
              <w:rPr>
                <w:sz w:val="22"/>
                <w:szCs w:val="22"/>
                <w:lang w:val="fr-FR"/>
              </w:rPr>
              <w:t>Les zones humides en Asie de l</w:t>
            </w:r>
            <w:r>
              <w:rPr>
                <w:sz w:val="22"/>
                <w:szCs w:val="22"/>
                <w:lang w:val="fr-FR"/>
              </w:rPr>
              <w:t>’</w:t>
            </w:r>
            <w:r w:rsidRPr="003E2A18">
              <w:rPr>
                <w:sz w:val="22"/>
                <w:szCs w:val="22"/>
                <w:lang w:val="fr-FR"/>
              </w:rPr>
              <w:t xml:space="preserve">Ouest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XIII.23</w:t>
            </w:r>
          </w:p>
          <w:p w:rsidR="00E37382" w:rsidRPr="003E2A18" w:rsidRDefault="00E37382" w:rsidP="00E37382">
            <w:pPr>
              <w:pStyle w:val="Default"/>
              <w:rPr>
                <w:sz w:val="22"/>
                <w:szCs w:val="22"/>
                <w:lang w:val="fr-FR"/>
              </w:rPr>
            </w:pPr>
            <w:r w:rsidRPr="003E2A18">
              <w:rPr>
                <w:sz w:val="22"/>
                <w:szCs w:val="22"/>
                <w:lang w:val="fr-FR"/>
              </w:rPr>
              <w:t xml:space="preserve">Les zones humides des régions arctiques et subarctiques </w:t>
            </w:r>
          </w:p>
          <w:p w:rsidR="00E37382" w:rsidRPr="003E2A18"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Initiatives régionales ***</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VIII.30</w:t>
            </w:r>
          </w:p>
          <w:p w:rsidR="00E37382" w:rsidRPr="003E2A18" w:rsidRDefault="00E37382" w:rsidP="00E37382">
            <w:pPr>
              <w:pStyle w:val="Default"/>
              <w:rPr>
                <w:sz w:val="22"/>
                <w:szCs w:val="22"/>
                <w:lang w:val="fr-FR"/>
              </w:rPr>
            </w:pPr>
            <w:r w:rsidRPr="003E2A18">
              <w:rPr>
                <w:sz w:val="22"/>
                <w:szCs w:val="22"/>
                <w:lang w:val="fr-FR"/>
              </w:rPr>
              <w:t xml:space="preserve">Initiatives régionales pour renforcer la mise en œuvre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IX.7</w:t>
            </w:r>
          </w:p>
          <w:p w:rsidR="00E37382" w:rsidRPr="003E2A18" w:rsidRDefault="00E37382" w:rsidP="00E37382">
            <w:pPr>
              <w:pStyle w:val="Default"/>
              <w:rPr>
                <w:sz w:val="22"/>
                <w:szCs w:val="22"/>
                <w:lang w:val="fr-FR"/>
              </w:rPr>
            </w:pPr>
            <w:r w:rsidRPr="003E2A18">
              <w:rPr>
                <w:sz w:val="22"/>
                <w:szCs w:val="22"/>
                <w:lang w:val="fr-FR"/>
              </w:rPr>
              <w:t xml:space="preserve">Initiatives régionales dans le cadre de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X.6</w:t>
            </w:r>
          </w:p>
          <w:p w:rsidR="00E37382" w:rsidRPr="003E2A18" w:rsidRDefault="00E37382" w:rsidP="00E37382">
            <w:pPr>
              <w:pStyle w:val="Default"/>
              <w:rPr>
                <w:sz w:val="22"/>
                <w:szCs w:val="22"/>
                <w:lang w:val="fr-FR"/>
              </w:rPr>
            </w:pPr>
            <w:r w:rsidRPr="003E2A18">
              <w:rPr>
                <w:sz w:val="22"/>
                <w:szCs w:val="22"/>
                <w:lang w:val="fr-FR"/>
              </w:rPr>
              <w:t xml:space="preserve">Initiatives régionales 2009-2012 dans le cadre de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XI.5</w:t>
            </w:r>
          </w:p>
          <w:p w:rsidR="00E37382" w:rsidRPr="003E2A18" w:rsidRDefault="00E37382" w:rsidP="00E37382">
            <w:pPr>
              <w:pStyle w:val="Default"/>
              <w:rPr>
                <w:sz w:val="22"/>
                <w:szCs w:val="22"/>
                <w:lang w:val="fr-FR"/>
              </w:rPr>
            </w:pPr>
            <w:r w:rsidRPr="003E2A18">
              <w:rPr>
                <w:sz w:val="22"/>
                <w:szCs w:val="22"/>
                <w:lang w:val="fr-FR"/>
              </w:rPr>
              <w:t xml:space="preserve">Initiatives régionales 2013-2015 dans le cadre de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XII.8</w:t>
            </w:r>
          </w:p>
          <w:p w:rsidR="00E37382" w:rsidRPr="003E2A18" w:rsidRDefault="00E37382" w:rsidP="00E37382">
            <w:pPr>
              <w:pStyle w:val="Default"/>
              <w:rPr>
                <w:sz w:val="22"/>
                <w:szCs w:val="22"/>
                <w:lang w:val="fr-FR"/>
              </w:rPr>
            </w:pPr>
            <w:r w:rsidRPr="003E2A18">
              <w:rPr>
                <w:sz w:val="22"/>
                <w:szCs w:val="22"/>
                <w:lang w:val="fr-FR"/>
              </w:rPr>
              <w:t xml:space="preserve">Initiatives régionales 2016-2018  dans le cadre de la Convention de Ramsar </w:t>
            </w:r>
          </w:p>
          <w:p w:rsidR="00E37382" w:rsidRPr="003E2A18" w:rsidRDefault="00E37382" w:rsidP="00E37382">
            <w:pPr>
              <w:ind w:left="0" w:firstLine="0"/>
              <w:rPr>
                <w:rFonts w:asciiTheme="minorHAnsi" w:hAnsiTheme="minorHAnsi" w:cstheme="minorHAnsi"/>
                <w:lang w:val="fr-FR"/>
              </w:rPr>
            </w:pPr>
          </w:p>
          <w:p w:rsidR="00E37382"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XIII.9</w:t>
            </w:r>
          </w:p>
          <w:p w:rsidR="00E37382" w:rsidRPr="003E2A18" w:rsidRDefault="00E37382" w:rsidP="00E37382">
            <w:pPr>
              <w:ind w:left="0" w:firstLine="0"/>
              <w:rPr>
                <w:rFonts w:asciiTheme="minorHAnsi" w:hAnsiTheme="minorHAnsi" w:cstheme="minorHAnsi"/>
                <w:lang w:val="fr-FR"/>
              </w:rPr>
            </w:pPr>
            <w:r w:rsidRPr="003E2A18">
              <w:rPr>
                <w:rFonts w:eastAsiaTheme="minorHAnsi" w:cs="Calibri"/>
                <w:color w:val="000000"/>
                <w:lang w:val="fr-FR"/>
              </w:rPr>
              <w:t>Les Initiatives régionales Ramsar 2019-2021</w:t>
            </w:r>
          </w:p>
          <w:p w:rsidR="00E37382" w:rsidRPr="003E2A18" w:rsidRDefault="00E37382" w:rsidP="00E37382">
            <w:pPr>
              <w:ind w:left="0" w:firstLine="0"/>
              <w:rPr>
                <w:rFonts w:asciiTheme="minorHAnsi" w:hAnsiTheme="minorHAnsi" w:cstheme="minorHAnsi"/>
                <w:lang w:val="fr-FR"/>
              </w:rPr>
            </w:pPr>
          </w:p>
        </w:tc>
      </w:tr>
      <w:tr w:rsidR="00E37382" w:rsidRPr="00E37382" w:rsidTr="00E37382">
        <w:trPr>
          <w:cantSplit/>
        </w:trPr>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Rapports, Rapports nationaux</w:t>
            </w:r>
          </w:p>
          <w:p w:rsidR="00E37382" w:rsidRPr="003E2A18" w:rsidRDefault="00E37382" w:rsidP="00E37382">
            <w:pPr>
              <w:ind w:left="0" w:firstLine="0"/>
              <w:rPr>
                <w:rFonts w:asciiTheme="minorHAnsi" w:hAnsiTheme="minorHAnsi" w:cstheme="minorHAnsi"/>
                <w:b/>
                <w:lang w:val="fr-FR"/>
              </w:rPr>
            </w:pP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2.1</w:t>
            </w:r>
          </w:p>
          <w:p w:rsidR="00E37382" w:rsidRPr="003E2A18" w:rsidRDefault="00E37382" w:rsidP="00E37382">
            <w:pPr>
              <w:pStyle w:val="Default"/>
              <w:rPr>
                <w:sz w:val="22"/>
                <w:szCs w:val="22"/>
                <w:lang w:val="fr-FR"/>
              </w:rPr>
            </w:pPr>
            <w:r w:rsidRPr="003E2A18">
              <w:rPr>
                <w:sz w:val="22"/>
                <w:szCs w:val="22"/>
                <w:lang w:val="fr-FR"/>
              </w:rPr>
              <w:t xml:space="preserve">Soumission des Rapports nationaux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4.3</w:t>
            </w:r>
          </w:p>
          <w:p w:rsidR="00E37382" w:rsidRPr="003E2A18" w:rsidRDefault="00E37382" w:rsidP="00E37382">
            <w:pPr>
              <w:pStyle w:val="Default"/>
              <w:rPr>
                <w:sz w:val="22"/>
                <w:szCs w:val="22"/>
                <w:lang w:val="fr-FR"/>
              </w:rPr>
            </w:pPr>
            <w:r w:rsidRPr="003E2A18">
              <w:rPr>
                <w:sz w:val="22"/>
                <w:szCs w:val="22"/>
                <w:lang w:val="fr-FR"/>
              </w:rPr>
              <w:t xml:space="preserve">Rapports nationaux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VIII.26*</w:t>
            </w:r>
          </w:p>
          <w:p w:rsidR="00E37382" w:rsidRPr="003E2A18" w:rsidRDefault="00E37382" w:rsidP="00E37382">
            <w:pPr>
              <w:pStyle w:val="Default"/>
              <w:rPr>
                <w:sz w:val="22"/>
                <w:szCs w:val="22"/>
                <w:lang w:val="fr-FR"/>
              </w:rPr>
            </w:pPr>
            <w:r w:rsidRPr="003E2A18">
              <w:rPr>
                <w:sz w:val="22"/>
                <w:szCs w:val="22"/>
                <w:lang w:val="fr-FR"/>
              </w:rPr>
              <w:t xml:space="preserve">Mise en œuvre du Plan stratégique 2003-2008 durant la période triennale 2003-2005 et Rapports nationaux à la COP9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IX.5*</w:t>
            </w:r>
          </w:p>
          <w:p w:rsidR="00E37382" w:rsidRPr="003E2A18" w:rsidRDefault="00E37382" w:rsidP="00E37382">
            <w:pPr>
              <w:pStyle w:val="Default"/>
              <w:rPr>
                <w:sz w:val="22"/>
                <w:szCs w:val="22"/>
                <w:lang w:val="fr-FR"/>
              </w:rPr>
            </w:pPr>
            <w:r w:rsidRPr="003E2A18">
              <w:rPr>
                <w:sz w:val="22"/>
                <w:szCs w:val="22"/>
                <w:lang w:val="fr-FR"/>
              </w:rPr>
              <w:t>Synergies avec d</w:t>
            </w:r>
            <w:r>
              <w:rPr>
                <w:sz w:val="22"/>
                <w:szCs w:val="22"/>
                <w:lang w:val="fr-FR"/>
              </w:rPr>
              <w:t>’</w:t>
            </w:r>
            <w:r w:rsidRPr="003E2A18">
              <w:rPr>
                <w:sz w:val="22"/>
                <w:szCs w:val="22"/>
                <w:lang w:val="fr-FR"/>
              </w:rPr>
              <w:t>autres organisations internationales qui se consacrent à la diversité biologique ; y compris collaboration et harmonisation de l</w:t>
            </w:r>
            <w:r>
              <w:rPr>
                <w:sz w:val="22"/>
                <w:szCs w:val="22"/>
                <w:lang w:val="fr-FR"/>
              </w:rPr>
              <w:t>’</w:t>
            </w:r>
            <w:r w:rsidRPr="003E2A18">
              <w:rPr>
                <w:sz w:val="22"/>
                <w:szCs w:val="22"/>
                <w:lang w:val="fr-FR"/>
              </w:rPr>
              <w:t xml:space="preserve">établissement des rapports nationaux entre les conventions et accords relatifs à la biodiversité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Petits États insulaires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7.2</w:t>
            </w:r>
          </w:p>
          <w:p w:rsidR="00E37382" w:rsidRPr="003E2A18" w:rsidRDefault="00E37382" w:rsidP="00E37382">
            <w:pPr>
              <w:pStyle w:val="Default"/>
              <w:rPr>
                <w:sz w:val="22"/>
                <w:szCs w:val="22"/>
                <w:lang w:val="fr-FR"/>
              </w:rPr>
            </w:pPr>
            <w:r w:rsidRPr="003E2A18">
              <w:rPr>
                <w:sz w:val="22"/>
                <w:szCs w:val="22"/>
                <w:lang w:val="fr-FR"/>
              </w:rPr>
              <w:t xml:space="preserve">Les petits États insulaires en développement, les écosystèmes de zones humides insulaires et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IX.20</w:t>
            </w:r>
          </w:p>
          <w:p w:rsidR="00E37382" w:rsidRPr="003E2A18" w:rsidRDefault="00E37382" w:rsidP="00E37382">
            <w:pPr>
              <w:pStyle w:val="Default"/>
              <w:rPr>
                <w:sz w:val="22"/>
                <w:szCs w:val="22"/>
                <w:lang w:val="fr-FR"/>
              </w:rPr>
            </w:pPr>
            <w:r w:rsidRPr="003E2A18">
              <w:rPr>
                <w:sz w:val="22"/>
                <w:szCs w:val="22"/>
                <w:lang w:val="fr-FR"/>
              </w:rPr>
              <w:t xml:space="preserve">Planification et gestion intégrée et interbiome des zones humides, en particulier dans les petits États insulaires en développement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X.30</w:t>
            </w:r>
          </w:p>
          <w:p w:rsidR="00E37382" w:rsidRPr="003E2A18" w:rsidRDefault="00E37382" w:rsidP="00E37382">
            <w:pPr>
              <w:pStyle w:val="Default"/>
              <w:rPr>
                <w:sz w:val="22"/>
                <w:szCs w:val="22"/>
                <w:lang w:val="fr-FR"/>
              </w:rPr>
            </w:pPr>
            <w:r w:rsidRPr="003E2A18">
              <w:rPr>
                <w:sz w:val="22"/>
                <w:szCs w:val="22"/>
                <w:lang w:val="fr-FR"/>
              </w:rPr>
              <w:t xml:space="preserve">Les petits États insulaires et la Convention de Ramsar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Remerciements au pays hôte</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1.11</w:t>
            </w:r>
          </w:p>
          <w:p w:rsidR="00E37382" w:rsidRPr="003E2A18" w:rsidRDefault="00E37382" w:rsidP="00E37382">
            <w:pPr>
              <w:pStyle w:val="Default"/>
              <w:rPr>
                <w:sz w:val="22"/>
                <w:szCs w:val="22"/>
                <w:lang w:val="fr-FR"/>
              </w:rPr>
            </w:pPr>
            <w:r w:rsidRPr="003E2A18">
              <w:rPr>
                <w:sz w:val="22"/>
                <w:szCs w:val="22"/>
                <w:lang w:val="fr-FR"/>
              </w:rPr>
              <w:t xml:space="preserve">Remerciements aux hôtes italiens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2.10</w:t>
            </w:r>
          </w:p>
          <w:p w:rsidR="00E37382" w:rsidRPr="003E2A18" w:rsidRDefault="00E37382" w:rsidP="00E37382">
            <w:pPr>
              <w:pStyle w:val="Default"/>
              <w:rPr>
                <w:sz w:val="22"/>
                <w:szCs w:val="22"/>
                <w:lang w:val="fr-FR"/>
              </w:rPr>
            </w:pPr>
            <w:r w:rsidRPr="003E2A18">
              <w:rPr>
                <w:sz w:val="22"/>
                <w:szCs w:val="22"/>
                <w:lang w:val="fr-FR"/>
              </w:rPr>
              <w:t xml:space="preserve">Remerciements au Gouvernement des Pays-Bas et reconnaissance des mesures de conservation des zones humides prises aux Pays-Bas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3.11</w:t>
            </w:r>
          </w:p>
          <w:p w:rsidR="00E37382" w:rsidRPr="003E2A18" w:rsidRDefault="00E37382" w:rsidP="00E37382">
            <w:pPr>
              <w:pStyle w:val="Default"/>
              <w:rPr>
                <w:sz w:val="22"/>
                <w:szCs w:val="22"/>
                <w:lang w:val="fr-FR"/>
              </w:rPr>
            </w:pPr>
            <w:r w:rsidRPr="003E2A18">
              <w:rPr>
                <w:sz w:val="22"/>
                <w:szCs w:val="22"/>
                <w:lang w:val="fr-FR"/>
              </w:rPr>
              <w:t>Recommandation de remerciements (Canada)</w:t>
            </w:r>
          </w:p>
          <w:p w:rsidR="00E37382" w:rsidRPr="003E2A18" w:rsidRDefault="00E37382" w:rsidP="00E37382">
            <w:pPr>
              <w:pStyle w:val="Default"/>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4.14</w:t>
            </w:r>
          </w:p>
          <w:p w:rsidR="00E37382" w:rsidRPr="003E2A18" w:rsidRDefault="00E37382" w:rsidP="00E37382">
            <w:pPr>
              <w:pStyle w:val="Default"/>
              <w:rPr>
                <w:sz w:val="22"/>
                <w:szCs w:val="22"/>
                <w:lang w:val="fr-FR"/>
              </w:rPr>
            </w:pPr>
            <w:r w:rsidRPr="003E2A18">
              <w:rPr>
                <w:sz w:val="22"/>
                <w:szCs w:val="22"/>
                <w:lang w:val="fr-FR"/>
              </w:rPr>
              <w:t xml:space="preserve">Remerciements au pays hôte </w:t>
            </w:r>
          </w:p>
          <w:p w:rsidR="00E37382" w:rsidRPr="003E2A18" w:rsidRDefault="00B7739E" w:rsidP="00E37382">
            <w:pPr>
              <w:ind w:left="0" w:firstLine="0"/>
              <w:rPr>
                <w:rFonts w:asciiTheme="minorHAnsi" w:hAnsiTheme="minorHAnsi" w:cstheme="minorHAnsi"/>
                <w:lang w:val="fr-FR"/>
              </w:rPr>
            </w:pPr>
            <w:hyperlink r:id="rId11" w:history="1">
              <w:r w:rsidR="00E37382" w:rsidRPr="003E2A18">
                <w:rPr>
                  <w:rFonts w:asciiTheme="minorHAnsi" w:hAnsiTheme="minorHAnsi" w:cstheme="minorHAnsi"/>
                  <w:bCs/>
                  <w:lang w:val="fr-FR"/>
                </w:rPr>
                <w:t xml:space="preserve"> [Suisse]</w:t>
              </w:r>
            </w:hyperlink>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5.12</w:t>
            </w:r>
          </w:p>
          <w:p w:rsidR="00E37382" w:rsidRPr="003E2A18" w:rsidRDefault="00E37382" w:rsidP="00E37382">
            <w:pPr>
              <w:ind w:left="0" w:firstLine="0"/>
              <w:rPr>
                <w:lang w:val="fr-FR"/>
              </w:rPr>
            </w:pPr>
            <w:r w:rsidRPr="003E2A18">
              <w:rPr>
                <w:lang w:val="fr-FR"/>
              </w:rPr>
              <w:t xml:space="preserve">Remerciements aux hôtes japonais </w:t>
            </w:r>
          </w:p>
          <w:p w:rsidR="00E37382" w:rsidRPr="003E2A18" w:rsidRDefault="00E37382" w:rsidP="00E37382">
            <w:pPr>
              <w:ind w:left="0" w:firstLine="0"/>
              <w:rPr>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VI.20</w:t>
            </w:r>
          </w:p>
          <w:p w:rsidR="00E37382" w:rsidRPr="003E2A18" w:rsidRDefault="00E37382" w:rsidP="00E37382">
            <w:pPr>
              <w:pStyle w:val="Default"/>
              <w:rPr>
                <w:sz w:val="22"/>
                <w:szCs w:val="22"/>
                <w:lang w:val="fr-FR"/>
              </w:rPr>
            </w:pPr>
            <w:r w:rsidRPr="003E2A18">
              <w:rPr>
                <w:sz w:val="22"/>
                <w:szCs w:val="22"/>
                <w:lang w:val="fr-FR"/>
              </w:rPr>
              <w:t xml:space="preserve">Remerciements au peuple et aux gouvernements Australiens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lang w:val="fr-FR"/>
              </w:rPr>
              <w:t>VII.29</w:t>
            </w:r>
          </w:p>
          <w:p w:rsidR="00E37382" w:rsidRPr="003E2A18" w:rsidRDefault="00E37382" w:rsidP="00E37382">
            <w:pPr>
              <w:pStyle w:val="Default"/>
              <w:rPr>
                <w:sz w:val="22"/>
                <w:szCs w:val="22"/>
                <w:lang w:val="fr-FR"/>
              </w:rPr>
            </w:pPr>
            <w:r w:rsidRPr="003E2A18">
              <w:rPr>
                <w:sz w:val="22"/>
                <w:szCs w:val="22"/>
                <w:lang w:val="fr-FR"/>
              </w:rPr>
              <w:t xml:space="preserve">Remerciements au pays hôte (Costa Rica) </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VIII.46</w:t>
            </w:r>
          </w:p>
          <w:p w:rsidR="00E37382" w:rsidRPr="003E2A18" w:rsidRDefault="00E37382" w:rsidP="00E37382">
            <w:pPr>
              <w:pStyle w:val="Default"/>
              <w:rPr>
                <w:sz w:val="22"/>
                <w:szCs w:val="22"/>
                <w:lang w:val="fr-FR"/>
              </w:rPr>
            </w:pPr>
            <w:r w:rsidRPr="003E2A18">
              <w:rPr>
                <w:sz w:val="22"/>
                <w:szCs w:val="22"/>
                <w:lang w:val="fr-FR"/>
              </w:rPr>
              <w:t xml:space="preserve">Remerciements à la population et aux autorités espagnoles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IX.25</w:t>
            </w:r>
          </w:p>
          <w:p w:rsidR="00E37382" w:rsidRPr="003E2A18" w:rsidRDefault="00E37382" w:rsidP="00E37382">
            <w:pPr>
              <w:pStyle w:val="Default"/>
              <w:rPr>
                <w:sz w:val="22"/>
                <w:szCs w:val="22"/>
                <w:lang w:val="fr-FR"/>
              </w:rPr>
            </w:pPr>
            <w:r w:rsidRPr="003E2A18">
              <w:rPr>
                <w:sz w:val="22"/>
                <w:szCs w:val="22"/>
                <w:lang w:val="fr-FR"/>
              </w:rPr>
              <w:t xml:space="preserve">Remerciements au pays hôte (Ouganda)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X.32</w:t>
            </w:r>
          </w:p>
          <w:p w:rsidR="00E37382" w:rsidRPr="003E2A18" w:rsidRDefault="00E37382" w:rsidP="00E37382">
            <w:pPr>
              <w:pStyle w:val="Default"/>
              <w:rPr>
                <w:sz w:val="22"/>
                <w:szCs w:val="22"/>
                <w:lang w:val="fr-FR"/>
              </w:rPr>
            </w:pPr>
            <w:r w:rsidRPr="003E2A18">
              <w:rPr>
                <w:sz w:val="22"/>
                <w:szCs w:val="22"/>
                <w:lang w:val="fr-FR"/>
              </w:rPr>
              <w:t xml:space="preserve">Remerciements au pays hôte, la République de Corée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XI.22</w:t>
            </w:r>
          </w:p>
          <w:p w:rsidR="00E37382" w:rsidRPr="003E2A18" w:rsidRDefault="00E37382" w:rsidP="00E37382">
            <w:pPr>
              <w:pStyle w:val="Default"/>
              <w:rPr>
                <w:sz w:val="22"/>
                <w:szCs w:val="22"/>
                <w:lang w:val="fr-FR"/>
              </w:rPr>
            </w:pPr>
            <w:r w:rsidRPr="003E2A18">
              <w:rPr>
                <w:sz w:val="22"/>
                <w:szCs w:val="22"/>
                <w:lang w:val="fr-FR"/>
              </w:rPr>
              <w:t xml:space="preserve">Remerciements au pays hôte, la Roumanie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XII.16</w:t>
            </w:r>
          </w:p>
          <w:p w:rsidR="00E37382" w:rsidRPr="003E2A18" w:rsidRDefault="00E37382" w:rsidP="00E37382">
            <w:pPr>
              <w:pStyle w:val="Default"/>
              <w:rPr>
                <w:sz w:val="22"/>
                <w:szCs w:val="22"/>
                <w:lang w:val="fr-FR"/>
              </w:rPr>
            </w:pPr>
            <w:r w:rsidRPr="003E2A18">
              <w:rPr>
                <w:sz w:val="22"/>
                <w:szCs w:val="22"/>
                <w:lang w:val="fr-FR"/>
              </w:rPr>
              <w:t>Remerciements au pays hôte, l</w:t>
            </w:r>
            <w:r>
              <w:rPr>
                <w:sz w:val="22"/>
                <w:szCs w:val="22"/>
                <w:lang w:val="fr-FR"/>
              </w:rPr>
              <w:t>’</w:t>
            </w:r>
            <w:r w:rsidRPr="003E2A18">
              <w:rPr>
                <w:sz w:val="22"/>
                <w:szCs w:val="22"/>
                <w:lang w:val="fr-FR"/>
              </w:rPr>
              <w:t xml:space="preserve">Uruguay, et Déclaration de Punta del Este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XIII.25</w:t>
            </w:r>
          </w:p>
          <w:p w:rsidR="00E37382" w:rsidRPr="003E2A18" w:rsidRDefault="00E37382" w:rsidP="00E37382">
            <w:pPr>
              <w:pStyle w:val="Default"/>
              <w:rPr>
                <w:sz w:val="22"/>
                <w:szCs w:val="22"/>
                <w:lang w:val="fr-FR"/>
              </w:rPr>
            </w:pPr>
            <w:r w:rsidRPr="003E2A18">
              <w:rPr>
                <w:sz w:val="22"/>
                <w:szCs w:val="22"/>
                <w:lang w:val="fr-FR"/>
              </w:rPr>
              <w:t xml:space="preserve">Remerciements au pays hôte, les Émirats arabes unis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9180" w:type="dxa"/>
            <w:gridSpan w:val="2"/>
            <w:shd w:val="clear" w:color="auto" w:fill="D9D9D9" w:themeFill="background1" w:themeFillShade="D9"/>
          </w:tcPr>
          <w:p w:rsidR="00E37382" w:rsidRPr="003E2A18" w:rsidRDefault="00E37382" w:rsidP="00E37382">
            <w:pPr>
              <w:ind w:left="0" w:firstLine="0"/>
              <w:jc w:val="center"/>
              <w:rPr>
                <w:rFonts w:asciiTheme="minorHAnsi" w:hAnsiTheme="minorHAnsi" w:cstheme="minorHAnsi"/>
                <w:lang w:val="fr-FR"/>
              </w:rPr>
            </w:pPr>
            <w:r w:rsidRPr="003E2A18">
              <w:rPr>
                <w:rFonts w:asciiTheme="minorHAnsi" w:hAnsiTheme="minorHAnsi" w:cstheme="minorHAnsi"/>
                <w:b/>
                <w:bCs/>
                <w:lang w:val="fr-FR"/>
              </w:rPr>
              <w:lastRenderedPageBreak/>
              <w:t>SITES  RAMSAR ET AUTRES AIRES PROTÉGÉES</w:t>
            </w: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615726">
              <w:rPr>
                <w:rFonts w:asciiTheme="minorHAnsi" w:hAnsiTheme="minorHAnsi" w:cstheme="minorHAnsi"/>
                <w:b/>
                <w:lang w:val="fr-FR"/>
              </w:rPr>
              <w:t xml:space="preserve">Liste de Ramsar, Inscription de Sites Ramsar </w:t>
            </w:r>
          </w:p>
        </w:tc>
        <w:tc>
          <w:tcPr>
            <w:tcW w:w="6780" w:type="dxa"/>
          </w:tcPr>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1.3</w:t>
            </w:r>
          </w:p>
          <w:p w:rsidR="00E37382" w:rsidRPr="00615726" w:rsidRDefault="00E37382" w:rsidP="00E37382">
            <w:pPr>
              <w:pStyle w:val="Default"/>
              <w:rPr>
                <w:color w:val="auto"/>
                <w:sz w:val="22"/>
                <w:szCs w:val="22"/>
                <w:lang w:val="fr-FR"/>
              </w:rPr>
            </w:pPr>
            <w:r w:rsidRPr="00615726">
              <w:rPr>
                <w:color w:val="auto"/>
                <w:sz w:val="22"/>
                <w:szCs w:val="22"/>
                <w:lang w:val="fr-FR"/>
              </w:rPr>
              <w:t>Augmentation du nombre de sites inscrits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1.4</w:t>
            </w:r>
          </w:p>
          <w:p w:rsidR="00E37382" w:rsidRPr="00615726" w:rsidRDefault="00E37382" w:rsidP="00E37382">
            <w:pPr>
              <w:pStyle w:val="Default"/>
              <w:rPr>
                <w:color w:val="auto"/>
                <w:sz w:val="22"/>
                <w:szCs w:val="22"/>
                <w:lang w:val="fr-FR"/>
              </w:rPr>
            </w:pPr>
            <w:r w:rsidRPr="00615726">
              <w:rPr>
                <w:color w:val="auto"/>
                <w:sz w:val="22"/>
                <w:szCs w:val="22"/>
                <w:lang w:val="fr-FR"/>
              </w:rPr>
              <w:t>Élaboration de lignes directrices pour le choix des sites inscrits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2.5*</w:t>
            </w:r>
          </w:p>
          <w:p w:rsidR="00E37382" w:rsidRPr="00615726" w:rsidRDefault="00E37382" w:rsidP="00E37382">
            <w:pPr>
              <w:pStyle w:val="Default"/>
              <w:rPr>
                <w:color w:val="auto"/>
                <w:sz w:val="22"/>
                <w:szCs w:val="22"/>
                <w:lang w:val="fr-FR"/>
              </w:rPr>
            </w:pPr>
            <w:r w:rsidRPr="00615726">
              <w:rPr>
                <w:color w:val="auto"/>
                <w:sz w:val="22"/>
                <w:szCs w:val="22"/>
                <w:lang w:val="fr-FR"/>
              </w:rPr>
              <w:t>Inscription de la mer des Wadden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3.1</w:t>
            </w:r>
          </w:p>
          <w:p w:rsidR="00E37382" w:rsidRPr="00615726" w:rsidRDefault="00E37382" w:rsidP="00E37382">
            <w:pPr>
              <w:pStyle w:val="Default"/>
              <w:rPr>
                <w:color w:val="auto"/>
                <w:sz w:val="22"/>
                <w:szCs w:val="22"/>
                <w:lang w:val="fr-FR"/>
              </w:rPr>
            </w:pPr>
            <w:r w:rsidRPr="00615726">
              <w:rPr>
                <w:color w:val="auto"/>
                <w:sz w:val="22"/>
                <w:szCs w:val="22"/>
                <w:lang w:val="fr-FR"/>
              </w:rPr>
              <w:t>Critères d</w:t>
            </w:r>
            <w:r>
              <w:rPr>
                <w:color w:val="auto"/>
                <w:sz w:val="22"/>
                <w:szCs w:val="22"/>
                <w:lang w:val="fr-FR"/>
              </w:rPr>
              <w:t>’</w:t>
            </w:r>
            <w:r w:rsidRPr="00615726">
              <w:rPr>
                <w:color w:val="auto"/>
                <w:sz w:val="22"/>
                <w:szCs w:val="22"/>
                <w:lang w:val="fr-FR"/>
              </w:rPr>
              <w:t>identification des zones humides d</w:t>
            </w:r>
            <w:r>
              <w:rPr>
                <w:color w:val="auto"/>
                <w:sz w:val="22"/>
                <w:szCs w:val="22"/>
                <w:lang w:val="fr-FR"/>
              </w:rPr>
              <w:t>’</w:t>
            </w:r>
            <w:r w:rsidRPr="00615726">
              <w:rPr>
                <w:color w:val="auto"/>
                <w:sz w:val="22"/>
                <w:szCs w:val="22"/>
                <w:lang w:val="fr-FR"/>
              </w:rPr>
              <w:t>importance internationale et lignes directrices sur l</w:t>
            </w:r>
            <w:r>
              <w:rPr>
                <w:color w:val="auto"/>
                <w:sz w:val="22"/>
                <w:szCs w:val="22"/>
                <w:lang w:val="fr-FR"/>
              </w:rPr>
              <w:t>’</w:t>
            </w:r>
            <w:r w:rsidRPr="00615726">
              <w:rPr>
                <w:color w:val="auto"/>
                <w:sz w:val="22"/>
                <w:szCs w:val="22"/>
                <w:lang w:val="fr-FR"/>
              </w:rPr>
              <w:t xml:space="preserve">utilisation de ces critères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4.2</w:t>
            </w:r>
          </w:p>
          <w:p w:rsidR="00E37382" w:rsidRPr="00615726" w:rsidRDefault="00E37382" w:rsidP="00E37382">
            <w:pPr>
              <w:ind w:left="0" w:firstLine="0"/>
              <w:rPr>
                <w:rFonts w:asciiTheme="minorHAnsi" w:hAnsiTheme="minorHAnsi" w:cstheme="minorHAnsi"/>
                <w:lang w:val="fr-FR"/>
              </w:rPr>
            </w:pPr>
            <w:r w:rsidRPr="00615726">
              <w:rPr>
                <w:lang w:val="fr-FR"/>
              </w:rPr>
              <w:t>Critères d</w:t>
            </w:r>
            <w:r>
              <w:rPr>
                <w:lang w:val="fr-FR"/>
              </w:rPr>
              <w:t>’</w:t>
            </w:r>
            <w:r w:rsidRPr="00615726">
              <w:rPr>
                <w:lang w:val="fr-FR"/>
              </w:rPr>
              <w:t>identification des zones humides d</w:t>
            </w:r>
            <w:r>
              <w:rPr>
                <w:lang w:val="fr-FR"/>
              </w:rPr>
              <w:t>’</w:t>
            </w:r>
            <w:r w:rsidRPr="00615726">
              <w:rPr>
                <w:lang w:val="fr-FR"/>
              </w:rPr>
              <w:t>importance internationale</w:t>
            </w:r>
            <w:r w:rsidRPr="00615726">
              <w:rPr>
                <w:rFonts w:asciiTheme="minorHAnsi" w:hAnsiTheme="minorHAnsi" w:cstheme="minorHAnsi"/>
                <w:lang w:val="fr-FR"/>
              </w:rPr>
              <w:t xml:space="preserv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4.4</w:t>
            </w:r>
          </w:p>
          <w:p w:rsidR="00E37382" w:rsidRPr="00615726" w:rsidRDefault="00E37382" w:rsidP="00E37382">
            <w:pPr>
              <w:pStyle w:val="Default"/>
              <w:rPr>
                <w:color w:val="auto"/>
                <w:sz w:val="22"/>
                <w:szCs w:val="22"/>
                <w:lang w:val="fr-FR"/>
              </w:rPr>
            </w:pPr>
            <w:r w:rsidRPr="00615726">
              <w:rPr>
                <w:color w:val="auto"/>
                <w:sz w:val="22"/>
                <w:szCs w:val="22"/>
                <w:lang w:val="fr-FR"/>
              </w:rPr>
              <w:t>Application de l</w:t>
            </w:r>
            <w:r>
              <w:rPr>
                <w:color w:val="auto"/>
                <w:sz w:val="22"/>
                <w:szCs w:val="22"/>
                <w:lang w:val="fr-FR"/>
              </w:rPr>
              <w:t>’</w:t>
            </w:r>
            <w:r w:rsidRPr="00615726">
              <w:rPr>
                <w:color w:val="auto"/>
                <w:sz w:val="22"/>
                <w:szCs w:val="22"/>
                <w:lang w:val="fr-FR"/>
              </w:rPr>
              <w:t xml:space="preserve">article 5 de la Convention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keepNext/>
              <w:ind w:left="0" w:firstLine="0"/>
              <w:rPr>
                <w:rFonts w:asciiTheme="minorHAnsi" w:hAnsiTheme="minorHAnsi" w:cstheme="minorHAnsi"/>
                <w:lang w:val="fr-FR"/>
              </w:rPr>
            </w:pPr>
            <w:r w:rsidRPr="00615726">
              <w:rPr>
                <w:rFonts w:asciiTheme="minorHAnsi" w:hAnsiTheme="minorHAnsi" w:cstheme="minorHAnsi"/>
                <w:bCs/>
                <w:lang w:val="fr-FR"/>
              </w:rPr>
              <w:t>Recom 4.6*</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Établissement des inventaires scientifiques nationaux des zones humides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5.3</w:t>
            </w:r>
          </w:p>
          <w:p w:rsidR="00E37382" w:rsidRPr="00615726" w:rsidRDefault="00E37382" w:rsidP="00E37382">
            <w:pPr>
              <w:pStyle w:val="Default"/>
              <w:rPr>
                <w:color w:val="auto"/>
                <w:sz w:val="22"/>
                <w:szCs w:val="22"/>
                <w:lang w:val="fr-FR"/>
              </w:rPr>
            </w:pPr>
            <w:r w:rsidRPr="00615726">
              <w:rPr>
                <w:color w:val="auto"/>
                <w:sz w:val="22"/>
                <w:szCs w:val="22"/>
                <w:lang w:val="fr-FR"/>
              </w:rPr>
              <w:t>Procédure relative à l</w:t>
            </w:r>
            <w:r>
              <w:rPr>
                <w:color w:val="auto"/>
                <w:sz w:val="22"/>
                <w:szCs w:val="22"/>
                <w:lang w:val="fr-FR"/>
              </w:rPr>
              <w:t>’</w:t>
            </w:r>
            <w:r w:rsidRPr="00615726">
              <w:rPr>
                <w:color w:val="auto"/>
                <w:sz w:val="22"/>
                <w:szCs w:val="22"/>
                <w:lang w:val="fr-FR"/>
              </w:rPr>
              <w:t>inscription initiale de sites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lastRenderedPageBreak/>
              <w:t>5.7</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Plans de gestion des Sites Ramsar et autres zones humides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5.9</w:t>
            </w:r>
          </w:p>
          <w:p w:rsidR="00E37382" w:rsidRPr="00615726" w:rsidRDefault="00E37382" w:rsidP="00E37382">
            <w:pPr>
              <w:pStyle w:val="Default"/>
              <w:rPr>
                <w:color w:val="auto"/>
                <w:sz w:val="22"/>
                <w:szCs w:val="22"/>
                <w:lang w:val="fr-FR"/>
              </w:rPr>
            </w:pPr>
            <w:r w:rsidRPr="00615726">
              <w:rPr>
                <w:color w:val="auto"/>
                <w:sz w:val="22"/>
                <w:szCs w:val="22"/>
                <w:lang w:val="fr-FR"/>
              </w:rPr>
              <w:t>L</w:t>
            </w:r>
            <w:r>
              <w:rPr>
                <w:color w:val="auto"/>
                <w:sz w:val="22"/>
                <w:szCs w:val="22"/>
                <w:lang w:val="fr-FR"/>
              </w:rPr>
              <w:t>’</w:t>
            </w:r>
            <w:r w:rsidRPr="00615726">
              <w:rPr>
                <w:color w:val="auto"/>
                <w:sz w:val="22"/>
                <w:szCs w:val="22"/>
                <w:lang w:val="fr-FR"/>
              </w:rPr>
              <w:t>application des critères Ramsar d</w:t>
            </w:r>
            <w:r>
              <w:rPr>
                <w:color w:val="auto"/>
                <w:sz w:val="22"/>
                <w:szCs w:val="22"/>
                <w:lang w:val="fr-FR"/>
              </w:rPr>
              <w:t>’</w:t>
            </w:r>
            <w:r w:rsidRPr="00615726">
              <w:rPr>
                <w:color w:val="auto"/>
                <w:sz w:val="22"/>
                <w:szCs w:val="22"/>
                <w:lang w:val="fr-FR"/>
              </w:rPr>
              <w:t>identification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5.9</w:t>
            </w:r>
          </w:p>
          <w:p w:rsidR="00E37382" w:rsidRPr="00615726" w:rsidRDefault="00E37382" w:rsidP="00E37382">
            <w:pPr>
              <w:pStyle w:val="Default"/>
              <w:rPr>
                <w:color w:val="auto"/>
                <w:sz w:val="22"/>
                <w:szCs w:val="22"/>
                <w:lang w:val="fr-FR"/>
              </w:rPr>
            </w:pPr>
            <w:r w:rsidRPr="00615726">
              <w:rPr>
                <w:color w:val="auto"/>
                <w:sz w:val="22"/>
                <w:szCs w:val="22"/>
                <w:lang w:val="fr-FR"/>
              </w:rPr>
              <w:t>Élaboration de lignes directrices Ramsar relatives aux zones humides d</w:t>
            </w:r>
            <w:r>
              <w:rPr>
                <w:color w:val="auto"/>
                <w:sz w:val="22"/>
                <w:szCs w:val="22"/>
                <w:lang w:val="fr-FR"/>
              </w:rPr>
              <w:t>’</w:t>
            </w:r>
            <w:r w:rsidRPr="00615726">
              <w:rPr>
                <w:color w:val="auto"/>
                <w:sz w:val="22"/>
                <w:szCs w:val="22"/>
                <w:lang w:val="fr-FR"/>
              </w:rPr>
              <w:t xml:space="preserve">importance internationale comme habitats des poissons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VI.2</w:t>
            </w:r>
          </w:p>
          <w:p w:rsidR="00E37382" w:rsidRDefault="00E37382" w:rsidP="00E37382">
            <w:pPr>
              <w:ind w:left="0" w:firstLine="0"/>
              <w:rPr>
                <w:lang w:val="fr-FR"/>
              </w:rPr>
            </w:pPr>
            <w:r w:rsidRPr="00615726">
              <w:rPr>
                <w:lang w:val="fr-FR"/>
              </w:rPr>
              <w:t>Adoption de critères spécifiques d</w:t>
            </w:r>
            <w:r>
              <w:rPr>
                <w:lang w:val="fr-FR"/>
              </w:rPr>
              <w:t>’</w:t>
            </w:r>
            <w:r w:rsidRPr="00615726">
              <w:rPr>
                <w:lang w:val="fr-FR"/>
              </w:rPr>
              <w:t>identification des zones humides d</w:t>
            </w:r>
            <w:r>
              <w:rPr>
                <w:lang w:val="fr-FR"/>
              </w:rPr>
              <w:t>’</w:t>
            </w:r>
            <w:r w:rsidRPr="00615726">
              <w:rPr>
                <w:lang w:val="fr-FR"/>
              </w:rPr>
              <w:t>importance internationale tenant compte des poissons</w:t>
            </w: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 xml:space="preserve"> </w:t>
            </w:r>
          </w:p>
          <w:p w:rsidR="00E37382"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VI.3</w:t>
            </w:r>
          </w:p>
          <w:p w:rsidR="00E37382" w:rsidRPr="00615726" w:rsidRDefault="00E37382" w:rsidP="00E37382">
            <w:pPr>
              <w:ind w:left="0" w:firstLine="0"/>
              <w:rPr>
                <w:rFonts w:asciiTheme="minorHAnsi" w:hAnsiTheme="minorHAnsi" w:cstheme="minorHAnsi"/>
                <w:lang w:val="fr-FR"/>
              </w:rPr>
            </w:pPr>
            <w:r w:rsidRPr="00615726">
              <w:rPr>
                <w:lang w:val="fr-FR"/>
              </w:rPr>
              <w:t>Évaluation des critères Ramsar d</w:t>
            </w:r>
            <w:r>
              <w:rPr>
                <w:lang w:val="fr-FR"/>
              </w:rPr>
              <w:t>’</w:t>
            </w:r>
            <w:r w:rsidRPr="00615726">
              <w:rPr>
                <w:lang w:val="fr-FR"/>
              </w:rPr>
              <w:t>identification des zones humides d</w:t>
            </w:r>
            <w:r>
              <w:rPr>
                <w:lang w:val="fr-FR"/>
              </w:rPr>
              <w:t>’</w:t>
            </w:r>
            <w:r w:rsidRPr="00615726">
              <w:rPr>
                <w:lang w:val="fr-FR"/>
              </w:rPr>
              <w:t>importance internationale et des lignes directrices associées</w:t>
            </w: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 xml:space="preserve"> </w:t>
            </w: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VI.4</w:t>
            </w:r>
          </w:p>
          <w:p w:rsidR="00E37382" w:rsidRPr="00615726" w:rsidRDefault="00E37382" w:rsidP="00E37382">
            <w:pPr>
              <w:pStyle w:val="Default"/>
              <w:rPr>
                <w:color w:val="auto"/>
                <w:sz w:val="22"/>
                <w:szCs w:val="22"/>
                <w:lang w:val="fr-FR"/>
              </w:rPr>
            </w:pPr>
            <w:r w:rsidRPr="00615726">
              <w:rPr>
                <w:color w:val="auto"/>
                <w:sz w:val="22"/>
                <w:szCs w:val="22"/>
                <w:lang w:val="fr-FR"/>
              </w:rPr>
              <w:t>Adoption d</w:t>
            </w:r>
            <w:r>
              <w:rPr>
                <w:color w:val="auto"/>
                <w:sz w:val="22"/>
                <w:szCs w:val="22"/>
                <w:lang w:val="fr-FR"/>
              </w:rPr>
              <w:t>’</w:t>
            </w:r>
            <w:r w:rsidRPr="00615726">
              <w:rPr>
                <w:color w:val="auto"/>
                <w:sz w:val="22"/>
                <w:szCs w:val="22"/>
                <w:lang w:val="fr-FR"/>
              </w:rPr>
              <w:t>estimations des populations pour l</w:t>
            </w:r>
            <w:r>
              <w:rPr>
                <w:color w:val="auto"/>
                <w:sz w:val="22"/>
                <w:szCs w:val="22"/>
                <w:lang w:val="fr-FR"/>
              </w:rPr>
              <w:t>’</w:t>
            </w:r>
            <w:r w:rsidRPr="00615726">
              <w:rPr>
                <w:color w:val="auto"/>
                <w:sz w:val="22"/>
                <w:szCs w:val="22"/>
                <w:lang w:val="fr-FR"/>
              </w:rPr>
              <w:t>application des critères spécifiques tenant compte des oiseaux d</w:t>
            </w:r>
            <w:r>
              <w:rPr>
                <w:color w:val="auto"/>
                <w:sz w:val="22"/>
                <w:szCs w:val="22"/>
                <w:lang w:val="fr-FR"/>
              </w:rPr>
              <w:t>’</w:t>
            </w:r>
            <w:r w:rsidRPr="00615726">
              <w:rPr>
                <w:color w:val="auto"/>
                <w:sz w:val="22"/>
                <w:szCs w:val="22"/>
                <w:lang w:val="fr-FR"/>
              </w:rPr>
              <w:t xml:space="preserve">eau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VI.5</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Intégration des zones humides karstiques souterraines comme type de zone humide, dans le système de classification Ramsar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VI.12*</w:t>
            </w:r>
          </w:p>
          <w:p w:rsidR="00E37382" w:rsidRPr="00615726" w:rsidRDefault="00E37382" w:rsidP="00E37382">
            <w:pPr>
              <w:pStyle w:val="Default"/>
              <w:rPr>
                <w:color w:val="auto"/>
                <w:sz w:val="22"/>
                <w:szCs w:val="22"/>
                <w:lang w:val="fr-FR"/>
              </w:rPr>
            </w:pPr>
            <w:r w:rsidRPr="00615726">
              <w:rPr>
                <w:color w:val="auto"/>
                <w:sz w:val="22"/>
                <w:szCs w:val="22"/>
                <w:lang w:val="fr-FR"/>
              </w:rPr>
              <w:t>Inventaires nationaux des zones humides et sites candidats à l</w:t>
            </w:r>
            <w:r>
              <w:rPr>
                <w:color w:val="auto"/>
                <w:sz w:val="22"/>
                <w:szCs w:val="22"/>
                <w:lang w:val="fr-FR"/>
              </w:rPr>
              <w:t>’</w:t>
            </w:r>
            <w:r w:rsidRPr="00615726">
              <w:rPr>
                <w:color w:val="auto"/>
                <w:sz w:val="22"/>
                <w:szCs w:val="22"/>
                <w:lang w:val="fr-FR"/>
              </w:rPr>
              <w:t xml:space="preserve">inscription sur la Liste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VI.13</w:t>
            </w:r>
          </w:p>
          <w:p w:rsidR="00E37382" w:rsidRPr="00615726" w:rsidRDefault="00E37382" w:rsidP="00E37382">
            <w:pPr>
              <w:pStyle w:val="Default"/>
              <w:rPr>
                <w:color w:val="auto"/>
                <w:sz w:val="22"/>
                <w:szCs w:val="22"/>
                <w:lang w:val="fr-FR"/>
              </w:rPr>
            </w:pPr>
            <w:r w:rsidRPr="00615726">
              <w:rPr>
                <w:color w:val="auto"/>
                <w:sz w:val="22"/>
                <w:szCs w:val="22"/>
                <w:lang w:val="fr-FR"/>
              </w:rPr>
              <w:t>Communication d</w:t>
            </w:r>
            <w:r>
              <w:rPr>
                <w:color w:val="auto"/>
                <w:sz w:val="22"/>
                <w:szCs w:val="22"/>
                <w:lang w:val="fr-FR"/>
              </w:rPr>
              <w:t>’</w:t>
            </w:r>
            <w:r w:rsidRPr="00615726">
              <w:rPr>
                <w:color w:val="auto"/>
                <w:sz w:val="22"/>
                <w:szCs w:val="22"/>
                <w:lang w:val="fr-FR"/>
              </w:rPr>
              <w:t>informations relatives aux sites désignés pour inscription sur la Liste Ramsar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VII.11</w:t>
            </w:r>
          </w:p>
          <w:p w:rsidR="00E37382" w:rsidRPr="00615726" w:rsidRDefault="00E37382" w:rsidP="00E37382">
            <w:pPr>
              <w:pStyle w:val="Default"/>
              <w:rPr>
                <w:color w:val="auto"/>
                <w:sz w:val="22"/>
                <w:szCs w:val="22"/>
                <w:lang w:val="fr-FR"/>
              </w:rPr>
            </w:pPr>
            <w:r w:rsidRPr="00615726">
              <w:rPr>
                <w:color w:val="auto"/>
                <w:sz w:val="22"/>
                <w:szCs w:val="22"/>
                <w:lang w:val="fr-FR"/>
              </w:rPr>
              <w:t>Cadre stratégique et lignes directrices pour orienter l</w:t>
            </w:r>
            <w:r>
              <w:rPr>
                <w:color w:val="auto"/>
                <w:sz w:val="22"/>
                <w:szCs w:val="22"/>
                <w:lang w:val="fr-FR"/>
              </w:rPr>
              <w:t>’</w:t>
            </w:r>
            <w:r w:rsidRPr="00615726">
              <w:rPr>
                <w:color w:val="auto"/>
                <w:sz w:val="22"/>
                <w:szCs w:val="22"/>
                <w:lang w:val="fr-FR"/>
              </w:rPr>
              <w:t>évolution de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keepNext/>
              <w:ind w:left="0" w:firstLine="0"/>
              <w:rPr>
                <w:rFonts w:asciiTheme="minorHAnsi" w:hAnsiTheme="minorHAnsi" w:cstheme="minorHAnsi"/>
                <w:lang w:val="fr-FR"/>
              </w:rPr>
            </w:pPr>
          </w:p>
          <w:p w:rsidR="00E37382" w:rsidRPr="00615726" w:rsidRDefault="00E37382" w:rsidP="00E37382">
            <w:pPr>
              <w:keepNext/>
              <w:ind w:left="0" w:firstLine="0"/>
              <w:rPr>
                <w:rFonts w:asciiTheme="minorHAnsi" w:hAnsiTheme="minorHAnsi" w:cstheme="minorHAnsi"/>
                <w:lang w:val="fr-FR"/>
              </w:rPr>
            </w:pPr>
            <w:r w:rsidRPr="00615726">
              <w:rPr>
                <w:rFonts w:asciiTheme="minorHAnsi" w:hAnsiTheme="minorHAnsi" w:cstheme="minorHAnsi"/>
                <w:lang w:val="fr-FR"/>
              </w:rPr>
              <w:t>VII.12</w:t>
            </w:r>
          </w:p>
          <w:p w:rsidR="00E37382" w:rsidRPr="00615726" w:rsidRDefault="00E37382" w:rsidP="00E37382">
            <w:pPr>
              <w:pStyle w:val="Default"/>
              <w:rPr>
                <w:color w:val="auto"/>
                <w:sz w:val="22"/>
                <w:szCs w:val="22"/>
                <w:lang w:val="fr-FR"/>
              </w:rPr>
            </w:pPr>
            <w:r w:rsidRPr="00615726">
              <w:rPr>
                <w:color w:val="auto"/>
                <w:sz w:val="22"/>
                <w:szCs w:val="22"/>
                <w:lang w:val="fr-FR"/>
              </w:rPr>
              <w:t>Sites de la Liste de Ramsar des zones humides d</w:t>
            </w:r>
            <w:r>
              <w:rPr>
                <w:color w:val="auto"/>
                <w:sz w:val="22"/>
                <w:szCs w:val="22"/>
                <w:lang w:val="fr-FR"/>
              </w:rPr>
              <w:t>’</w:t>
            </w:r>
            <w:r w:rsidRPr="00615726">
              <w:rPr>
                <w:color w:val="auto"/>
                <w:sz w:val="22"/>
                <w:szCs w:val="22"/>
                <w:lang w:val="fr-FR"/>
              </w:rPr>
              <w:t xml:space="preserve">importance internationale : description officielle, état de conservation et plans de gestion, y compris situation de sites particuliers sur le territoire de </w:t>
            </w:r>
            <w:r w:rsidRPr="00615726">
              <w:rPr>
                <w:color w:val="auto"/>
                <w:sz w:val="22"/>
                <w:szCs w:val="22"/>
                <w:lang w:val="fr-FR"/>
              </w:rPr>
              <w:lastRenderedPageBreak/>
              <w:t xml:space="preserve">certaines Parties contractantes </w:t>
            </w:r>
          </w:p>
          <w:p w:rsidR="00E37382" w:rsidRPr="00615726" w:rsidRDefault="00E37382" w:rsidP="00E37382">
            <w:pPr>
              <w:keepNext/>
              <w:ind w:left="0" w:firstLine="0"/>
              <w:rPr>
                <w:rFonts w:asciiTheme="minorHAnsi" w:hAnsiTheme="minorHAnsi" w:cstheme="minorHAnsi"/>
                <w:lang w:val="fr-FR"/>
              </w:rPr>
            </w:pPr>
          </w:p>
          <w:p w:rsidR="00E37382" w:rsidRPr="00615726" w:rsidRDefault="00E37382" w:rsidP="00E37382">
            <w:pPr>
              <w:keepNext/>
              <w:ind w:left="0" w:firstLine="0"/>
              <w:rPr>
                <w:rFonts w:asciiTheme="minorHAnsi" w:hAnsiTheme="minorHAnsi" w:cstheme="minorHAnsi"/>
                <w:lang w:val="fr-FR"/>
              </w:rPr>
            </w:pPr>
            <w:r w:rsidRPr="00615726">
              <w:rPr>
                <w:rFonts w:asciiTheme="minorHAnsi" w:hAnsiTheme="minorHAnsi" w:cstheme="minorHAnsi"/>
                <w:lang w:val="fr-FR"/>
              </w:rPr>
              <w:t>VII.13</w:t>
            </w:r>
          </w:p>
          <w:p w:rsidR="00E37382" w:rsidRPr="00615726" w:rsidRDefault="00E37382" w:rsidP="00E37382">
            <w:pPr>
              <w:pStyle w:val="Default"/>
              <w:rPr>
                <w:color w:val="auto"/>
                <w:sz w:val="22"/>
                <w:szCs w:val="22"/>
                <w:lang w:val="fr-FR"/>
              </w:rPr>
            </w:pPr>
            <w:r w:rsidRPr="00615726">
              <w:rPr>
                <w:color w:val="auto"/>
                <w:sz w:val="22"/>
                <w:szCs w:val="22"/>
                <w:lang w:val="fr-FR"/>
              </w:rPr>
              <w:t>Lignes directrices pour l</w:t>
            </w:r>
            <w:r>
              <w:rPr>
                <w:color w:val="auto"/>
                <w:sz w:val="22"/>
                <w:szCs w:val="22"/>
                <w:lang w:val="fr-FR"/>
              </w:rPr>
              <w:t>’</w:t>
            </w:r>
            <w:r w:rsidRPr="00615726">
              <w:rPr>
                <w:color w:val="auto"/>
                <w:sz w:val="22"/>
                <w:szCs w:val="22"/>
                <w:lang w:val="fr-FR"/>
              </w:rPr>
              <w:t>identification et l</w:t>
            </w:r>
            <w:r>
              <w:rPr>
                <w:color w:val="auto"/>
                <w:sz w:val="22"/>
                <w:szCs w:val="22"/>
                <w:lang w:val="fr-FR"/>
              </w:rPr>
              <w:t>’</w:t>
            </w:r>
            <w:r w:rsidRPr="00615726">
              <w:rPr>
                <w:color w:val="auto"/>
                <w:sz w:val="22"/>
                <w:szCs w:val="22"/>
                <w:lang w:val="fr-FR"/>
              </w:rPr>
              <w:t>inscription de systèmes karstiques et autres systèmes hydrologiques souterrains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VII.23</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Questions relatives à la définition des limites des Sites Ramsar et à la compensation pour la perte de biotopes dans les zones humides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VIII.8*</w:t>
            </w:r>
          </w:p>
          <w:p w:rsidR="00E37382" w:rsidRPr="00615726" w:rsidRDefault="00E37382" w:rsidP="00E37382">
            <w:pPr>
              <w:pStyle w:val="Default"/>
              <w:rPr>
                <w:color w:val="auto"/>
                <w:sz w:val="22"/>
                <w:szCs w:val="22"/>
                <w:lang w:val="fr-FR"/>
              </w:rPr>
            </w:pPr>
            <w:r w:rsidRPr="00615726">
              <w:rPr>
                <w:color w:val="auto"/>
                <w:sz w:val="22"/>
                <w:szCs w:val="22"/>
                <w:lang w:val="fr-FR"/>
              </w:rPr>
              <w:t>Évaluation et rapport sur l</w:t>
            </w:r>
            <w:r>
              <w:rPr>
                <w:color w:val="auto"/>
                <w:sz w:val="22"/>
                <w:szCs w:val="22"/>
                <w:lang w:val="fr-FR"/>
              </w:rPr>
              <w:t>’</w:t>
            </w:r>
            <w:r w:rsidRPr="00615726">
              <w:rPr>
                <w:color w:val="auto"/>
                <w:sz w:val="22"/>
                <w:szCs w:val="22"/>
                <w:lang w:val="fr-FR"/>
              </w:rPr>
              <w:t>état et les tendances des zones humides, et mise en œuvre de l</w:t>
            </w:r>
            <w:r>
              <w:rPr>
                <w:color w:val="auto"/>
                <w:sz w:val="22"/>
                <w:szCs w:val="22"/>
                <w:lang w:val="fr-FR"/>
              </w:rPr>
              <w:t>’</w:t>
            </w:r>
            <w:r w:rsidRPr="00615726">
              <w:rPr>
                <w:color w:val="auto"/>
                <w:sz w:val="22"/>
                <w:szCs w:val="22"/>
                <w:lang w:val="fr-FR"/>
              </w:rPr>
              <w:t xml:space="preserve">article 3.2 de la Convention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VIII.10</w:t>
            </w:r>
          </w:p>
          <w:p w:rsidR="00E37382" w:rsidRPr="00615726" w:rsidRDefault="00E37382" w:rsidP="00E37382">
            <w:pPr>
              <w:pStyle w:val="Default"/>
              <w:rPr>
                <w:color w:val="auto"/>
                <w:sz w:val="22"/>
                <w:szCs w:val="22"/>
                <w:lang w:val="fr-FR"/>
              </w:rPr>
            </w:pPr>
            <w:r w:rsidRPr="00615726">
              <w:rPr>
                <w:color w:val="auto"/>
                <w:sz w:val="22"/>
                <w:szCs w:val="22"/>
                <w:lang w:val="fr-FR"/>
              </w:rPr>
              <w:t>Améliorer la mise en œuvre du Cadre stratégique et Vision pour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VIII.11</w:t>
            </w:r>
          </w:p>
          <w:p w:rsidR="00E37382" w:rsidRPr="00615726" w:rsidRDefault="00E37382" w:rsidP="00E37382">
            <w:pPr>
              <w:pStyle w:val="Default"/>
              <w:rPr>
                <w:color w:val="auto"/>
                <w:sz w:val="22"/>
                <w:szCs w:val="22"/>
                <w:lang w:val="fr-FR"/>
              </w:rPr>
            </w:pPr>
            <w:r w:rsidRPr="00615726">
              <w:rPr>
                <w:color w:val="auto"/>
                <w:sz w:val="22"/>
                <w:szCs w:val="22"/>
                <w:lang w:val="fr-FR"/>
              </w:rPr>
              <w:t>Orientations complémentaires pour identifier et inscrire des zones humides d</w:t>
            </w:r>
            <w:r>
              <w:rPr>
                <w:color w:val="auto"/>
                <w:sz w:val="22"/>
                <w:szCs w:val="22"/>
                <w:lang w:val="fr-FR"/>
              </w:rPr>
              <w:t>’</w:t>
            </w:r>
            <w:r w:rsidRPr="00615726">
              <w:rPr>
                <w:color w:val="auto"/>
                <w:sz w:val="22"/>
                <w:szCs w:val="22"/>
                <w:lang w:val="fr-FR"/>
              </w:rPr>
              <w:t xml:space="preserve">importance internationale appartenant à des types de zones humides sous-représentés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VIII.13</w:t>
            </w:r>
          </w:p>
          <w:p w:rsidR="00E37382" w:rsidRPr="00615726" w:rsidRDefault="00E37382" w:rsidP="00E37382">
            <w:pPr>
              <w:pStyle w:val="Default"/>
              <w:rPr>
                <w:color w:val="auto"/>
                <w:sz w:val="22"/>
                <w:szCs w:val="22"/>
                <w:lang w:val="fr-FR"/>
              </w:rPr>
            </w:pPr>
            <w:r w:rsidRPr="00615726">
              <w:rPr>
                <w:color w:val="auto"/>
                <w:sz w:val="22"/>
                <w:szCs w:val="22"/>
                <w:lang w:val="fr-FR"/>
              </w:rPr>
              <w:t>Améliorer l</w:t>
            </w:r>
            <w:r>
              <w:rPr>
                <w:color w:val="auto"/>
                <w:sz w:val="22"/>
                <w:szCs w:val="22"/>
                <w:lang w:val="fr-FR"/>
              </w:rPr>
              <w:t>’</w:t>
            </w:r>
            <w:r w:rsidRPr="00615726">
              <w:rPr>
                <w:color w:val="auto"/>
                <w:sz w:val="22"/>
                <w:szCs w:val="22"/>
                <w:lang w:val="fr-FR"/>
              </w:rPr>
              <w:t>information sur les zones humides d</w:t>
            </w:r>
            <w:r>
              <w:rPr>
                <w:color w:val="auto"/>
                <w:sz w:val="22"/>
                <w:szCs w:val="22"/>
                <w:lang w:val="fr-FR"/>
              </w:rPr>
              <w:t>’</w:t>
            </w:r>
            <w:r w:rsidRPr="00615726">
              <w:rPr>
                <w:color w:val="auto"/>
                <w:sz w:val="22"/>
                <w:szCs w:val="22"/>
                <w:lang w:val="fr-FR"/>
              </w:rPr>
              <w:t xml:space="preserve">importance internationale (Sites Ramsar)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VIII.20</w:t>
            </w:r>
          </w:p>
          <w:p w:rsidR="00E37382" w:rsidRPr="00615726" w:rsidRDefault="00E37382" w:rsidP="00E37382">
            <w:pPr>
              <w:pStyle w:val="Default"/>
              <w:rPr>
                <w:color w:val="auto"/>
                <w:sz w:val="22"/>
                <w:szCs w:val="22"/>
                <w:lang w:val="fr-FR"/>
              </w:rPr>
            </w:pPr>
            <w:r w:rsidRPr="00615726">
              <w:rPr>
                <w:color w:val="auto"/>
                <w:sz w:val="22"/>
                <w:szCs w:val="22"/>
                <w:lang w:val="fr-FR"/>
              </w:rPr>
              <w:t>Orientations générales pour interpréter « les raisons pressantes d</w:t>
            </w:r>
            <w:r>
              <w:rPr>
                <w:color w:val="auto"/>
                <w:sz w:val="22"/>
                <w:szCs w:val="22"/>
                <w:lang w:val="fr-FR"/>
              </w:rPr>
              <w:t>’</w:t>
            </w:r>
            <w:r w:rsidRPr="00615726">
              <w:rPr>
                <w:color w:val="auto"/>
                <w:sz w:val="22"/>
                <w:szCs w:val="22"/>
                <w:lang w:val="fr-FR"/>
              </w:rPr>
              <w:t>intérêt national » dans le contexte de l</w:t>
            </w:r>
            <w:r>
              <w:rPr>
                <w:color w:val="auto"/>
                <w:sz w:val="22"/>
                <w:szCs w:val="22"/>
                <w:lang w:val="fr-FR"/>
              </w:rPr>
              <w:t>’</w:t>
            </w:r>
            <w:r w:rsidRPr="00615726">
              <w:rPr>
                <w:color w:val="auto"/>
                <w:sz w:val="22"/>
                <w:szCs w:val="22"/>
                <w:lang w:val="fr-FR"/>
              </w:rPr>
              <w:t>article 2.5 de la Convention et envisager une compensation dans le contexte de l</w:t>
            </w:r>
            <w:r>
              <w:rPr>
                <w:color w:val="auto"/>
                <w:sz w:val="22"/>
                <w:szCs w:val="22"/>
                <w:lang w:val="fr-FR"/>
              </w:rPr>
              <w:t>’</w:t>
            </w:r>
            <w:r w:rsidRPr="00615726">
              <w:rPr>
                <w:color w:val="auto"/>
                <w:sz w:val="22"/>
                <w:szCs w:val="22"/>
                <w:lang w:val="fr-FR"/>
              </w:rPr>
              <w:t xml:space="preserve">article 4.2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VIII.21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Définir plus précisément les limites des Sites Ramsar dans les Fiches descriptives Ramsar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VIII.22</w:t>
            </w:r>
          </w:p>
          <w:p w:rsidR="00E37382" w:rsidRPr="00615726" w:rsidRDefault="00E37382" w:rsidP="00E37382">
            <w:pPr>
              <w:pStyle w:val="Default"/>
              <w:rPr>
                <w:color w:val="auto"/>
                <w:sz w:val="22"/>
                <w:szCs w:val="22"/>
                <w:lang w:val="fr-FR"/>
              </w:rPr>
            </w:pPr>
            <w:r w:rsidRPr="00615726">
              <w:rPr>
                <w:color w:val="auto"/>
                <w:sz w:val="22"/>
                <w:szCs w:val="22"/>
                <w:lang w:val="fr-FR"/>
              </w:rPr>
              <w:t>Questions relatives aux Sites Ramsar qui ne remplissent plus ou qui n</w:t>
            </w:r>
            <w:r>
              <w:rPr>
                <w:color w:val="auto"/>
                <w:sz w:val="22"/>
                <w:szCs w:val="22"/>
                <w:lang w:val="fr-FR"/>
              </w:rPr>
              <w:t>’</w:t>
            </w:r>
            <w:r w:rsidRPr="00615726">
              <w:rPr>
                <w:color w:val="auto"/>
                <w:sz w:val="22"/>
                <w:szCs w:val="22"/>
                <w:lang w:val="fr-FR"/>
              </w:rPr>
              <w:t>ont jamais rempli les Critères d</w:t>
            </w:r>
            <w:r>
              <w:rPr>
                <w:color w:val="auto"/>
                <w:sz w:val="22"/>
                <w:szCs w:val="22"/>
                <w:lang w:val="fr-FR"/>
              </w:rPr>
              <w:t>’</w:t>
            </w:r>
            <w:r w:rsidRPr="00615726">
              <w:rPr>
                <w:color w:val="auto"/>
                <w:sz w:val="22"/>
                <w:szCs w:val="22"/>
                <w:lang w:val="fr-FR"/>
              </w:rPr>
              <w:t>identification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VIII.33*</w:t>
            </w:r>
          </w:p>
          <w:p w:rsidR="00E37382" w:rsidRPr="00615726" w:rsidRDefault="00E37382" w:rsidP="00E37382">
            <w:pPr>
              <w:pStyle w:val="Default"/>
              <w:rPr>
                <w:color w:val="auto"/>
                <w:sz w:val="22"/>
                <w:szCs w:val="22"/>
                <w:lang w:val="fr-FR"/>
              </w:rPr>
            </w:pPr>
            <w:r w:rsidRPr="00615726">
              <w:rPr>
                <w:color w:val="auto"/>
                <w:sz w:val="22"/>
                <w:szCs w:val="22"/>
                <w:lang w:val="fr-FR"/>
              </w:rPr>
              <w:t>Orientations pour l</w:t>
            </w:r>
            <w:r>
              <w:rPr>
                <w:color w:val="auto"/>
                <w:sz w:val="22"/>
                <w:szCs w:val="22"/>
                <w:lang w:val="fr-FR"/>
              </w:rPr>
              <w:t>’</w:t>
            </w:r>
            <w:r w:rsidRPr="00615726">
              <w:rPr>
                <w:color w:val="auto"/>
                <w:sz w:val="22"/>
                <w:szCs w:val="22"/>
                <w:lang w:val="fr-FR"/>
              </w:rPr>
              <w:t>identification, la gestion durable et la désignation de mares temporaires comme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VIII.38</w:t>
            </w:r>
          </w:p>
          <w:p w:rsidR="00E37382" w:rsidRPr="00615726" w:rsidRDefault="00E37382" w:rsidP="00E37382">
            <w:pPr>
              <w:pStyle w:val="Default"/>
              <w:rPr>
                <w:color w:val="auto"/>
                <w:sz w:val="22"/>
                <w:szCs w:val="22"/>
                <w:lang w:val="fr-FR"/>
              </w:rPr>
            </w:pPr>
            <w:r w:rsidRPr="00615726">
              <w:rPr>
                <w:color w:val="auto"/>
                <w:sz w:val="22"/>
                <w:szCs w:val="22"/>
                <w:lang w:val="fr-FR"/>
              </w:rPr>
              <w:t>Estimations des populations d</w:t>
            </w:r>
            <w:r>
              <w:rPr>
                <w:color w:val="auto"/>
                <w:sz w:val="22"/>
                <w:szCs w:val="22"/>
                <w:lang w:val="fr-FR"/>
              </w:rPr>
              <w:t>’</w:t>
            </w:r>
            <w:r w:rsidRPr="00615726">
              <w:rPr>
                <w:color w:val="auto"/>
                <w:sz w:val="22"/>
                <w:szCs w:val="22"/>
                <w:lang w:val="fr-FR"/>
              </w:rPr>
              <w:t>oiseaux d</w:t>
            </w:r>
            <w:r>
              <w:rPr>
                <w:color w:val="auto"/>
                <w:sz w:val="22"/>
                <w:szCs w:val="22"/>
                <w:lang w:val="fr-FR"/>
              </w:rPr>
              <w:t>’</w:t>
            </w:r>
            <w:r w:rsidRPr="00615726">
              <w:rPr>
                <w:color w:val="auto"/>
                <w:sz w:val="22"/>
                <w:szCs w:val="22"/>
                <w:lang w:val="fr-FR"/>
              </w:rPr>
              <w:t>eau et identification et inscription de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lastRenderedPageBreak/>
              <w:t>IX.6</w:t>
            </w:r>
          </w:p>
          <w:p w:rsidR="00E37382" w:rsidRPr="00615726" w:rsidRDefault="00E37382" w:rsidP="00E37382">
            <w:pPr>
              <w:pStyle w:val="Default"/>
              <w:rPr>
                <w:color w:val="auto"/>
                <w:sz w:val="22"/>
                <w:szCs w:val="22"/>
                <w:lang w:val="fr-FR"/>
              </w:rPr>
            </w:pPr>
            <w:r w:rsidRPr="00615726">
              <w:rPr>
                <w:color w:val="auto"/>
                <w:sz w:val="22"/>
                <w:szCs w:val="22"/>
                <w:lang w:val="fr-FR"/>
              </w:rPr>
              <w:t>Orientations relatives aux Sites Ramsar ou parties de sites qui ne remplissent plus les critères d</w:t>
            </w:r>
            <w:r>
              <w:rPr>
                <w:color w:val="auto"/>
                <w:sz w:val="22"/>
                <w:szCs w:val="22"/>
                <w:lang w:val="fr-FR"/>
              </w:rPr>
              <w:t>’</w:t>
            </w:r>
            <w:r w:rsidRPr="00615726">
              <w:rPr>
                <w:color w:val="auto"/>
                <w:sz w:val="22"/>
                <w:szCs w:val="22"/>
                <w:lang w:val="fr-FR"/>
              </w:rPr>
              <w:t xml:space="preserve">inscription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IX.15</w:t>
            </w:r>
          </w:p>
          <w:p w:rsidR="00E37382" w:rsidRPr="00615726" w:rsidRDefault="00E37382" w:rsidP="00E37382">
            <w:pPr>
              <w:pStyle w:val="Default"/>
              <w:rPr>
                <w:color w:val="auto"/>
                <w:sz w:val="22"/>
                <w:szCs w:val="22"/>
                <w:lang w:val="fr-FR"/>
              </w:rPr>
            </w:pPr>
            <w:r w:rsidRPr="00615726">
              <w:rPr>
                <w:color w:val="auto"/>
                <w:sz w:val="22"/>
                <w:szCs w:val="22"/>
                <w:lang w:val="fr-FR"/>
              </w:rPr>
              <w:t>État des sites de la Liste de Ramsar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IX.22</w:t>
            </w:r>
          </w:p>
          <w:p w:rsidR="00E37382" w:rsidRPr="00615726" w:rsidRDefault="00E37382" w:rsidP="00E37382">
            <w:pPr>
              <w:pStyle w:val="Default"/>
              <w:rPr>
                <w:color w:val="auto"/>
                <w:sz w:val="22"/>
                <w:szCs w:val="22"/>
                <w:lang w:val="fr-FR"/>
              </w:rPr>
            </w:pPr>
            <w:r w:rsidRPr="00615726">
              <w:rPr>
                <w:color w:val="auto"/>
                <w:sz w:val="22"/>
                <w:szCs w:val="22"/>
                <w:lang w:val="fr-FR"/>
              </w:rPr>
              <w:t>Sites Ramsar et réseaux d</w:t>
            </w:r>
            <w:r>
              <w:rPr>
                <w:color w:val="auto"/>
                <w:sz w:val="22"/>
                <w:szCs w:val="22"/>
                <w:lang w:val="fr-FR"/>
              </w:rPr>
              <w:t>’</w:t>
            </w:r>
            <w:r w:rsidRPr="00615726">
              <w:rPr>
                <w:color w:val="auto"/>
                <w:sz w:val="22"/>
                <w:szCs w:val="22"/>
                <w:lang w:val="fr-FR"/>
              </w:rPr>
              <w:t xml:space="preserve">aires protégées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X.13</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Évaluation du Fonds de dotation Ramsar comme mécanisme de financement du Fonds de petites subventions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X.15*</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Description des caractéristiques écologiques des zones humides, et besoins et présentation des données pour un inventaire de base : orientations scientifiques et techniques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X.20</w:t>
            </w:r>
          </w:p>
          <w:p w:rsidR="00E37382" w:rsidRPr="00615726" w:rsidRDefault="00E37382" w:rsidP="00E37382">
            <w:pPr>
              <w:pStyle w:val="Default"/>
              <w:rPr>
                <w:color w:val="auto"/>
                <w:sz w:val="22"/>
                <w:szCs w:val="22"/>
                <w:lang w:val="fr-FR"/>
              </w:rPr>
            </w:pPr>
            <w:r w:rsidRPr="00615726">
              <w:rPr>
                <w:color w:val="auto"/>
                <w:sz w:val="22"/>
                <w:szCs w:val="22"/>
                <w:lang w:val="fr-FR"/>
              </w:rPr>
              <w:t>Régionalisation biogéographique pour l</w:t>
            </w:r>
            <w:r>
              <w:rPr>
                <w:color w:val="auto"/>
                <w:sz w:val="22"/>
                <w:szCs w:val="22"/>
                <w:lang w:val="fr-FR"/>
              </w:rPr>
              <w:t>’</w:t>
            </w:r>
            <w:r w:rsidRPr="00615726">
              <w:rPr>
                <w:color w:val="auto"/>
                <w:sz w:val="22"/>
                <w:szCs w:val="22"/>
                <w:lang w:val="fr-FR"/>
              </w:rPr>
              <w:t>application du Cadre stratégique pour la Liste des zones humides d</w:t>
            </w:r>
            <w:r>
              <w:rPr>
                <w:color w:val="auto"/>
                <w:sz w:val="22"/>
                <w:szCs w:val="22"/>
                <w:lang w:val="fr-FR"/>
              </w:rPr>
              <w:t>’</w:t>
            </w:r>
            <w:r w:rsidRPr="00615726">
              <w:rPr>
                <w:color w:val="auto"/>
                <w:sz w:val="22"/>
                <w:szCs w:val="22"/>
                <w:lang w:val="fr-FR"/>
              </w:rPr>
              <w:t xml:space="preserve">importance internationale : orientations scientifiques et techniques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XI.4</w:t>
            </w:r>
          </w:p>
          <w:p w:rsidR="00E37382" w:rsidRPr="00615726" w:rsidRDefault="00E37382" w:rsidP="00E37382">
            <w:pPr>
              <w:pStyle w:val="Default"/>
              <w:rPr>
                <w:color w:val="auto"/>
                <w:sz w:val="22"/>
                <w:szCs w:val="22"/>
                <w:lang w:val="fr-FR"/>
              </w:rPr>
            </w:pPr>
            <w:r w:rsidRPr="00615726">
              <w:rPr>
                <w:color w:val="auto"/>
                <w:sz w:val="22"/>
                <w:szCs w:val="22"/>
                <w:lang w:val="fr-FR"/>
              </w:rPr>
              <w:t>État des sites de la Liste de Ramsar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XI.8</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Simplifier les procédures de description des Sites Ramsar au moment de leur inscription et lors de mises à jour ultérieures </w:t>
            </w:r>
          </w:p>
          <w:p w:rsidR="00E37382" w:rsidRPr="00615726" w:rsidRDefault="00E37382" w:rsidP="00E37382">
            <w:pPr>
              <w:rPr>
                <w:rFonts w:asciiTheme="minorHAnsi" w:hAnsiTheme="minorHAnsi" w:cstheme="minorHAnsi"/>
                <w:lang w:val="fr-FR"/>
              </w:rPr>
            </w:pPr>
          </w:p>
          <w:p w:rsidR="00E37382" w:rsidRPr="00615726" w:rsidRDefault="00E37382" w:rsidP="00E37382">
            <w:pPr>
              <w:rPr>
                <w:rFonts w:asciiTheme="minorHAnsi" w:hAnsiTheme="minorHAnsi" w:cstheme="minorHAnsi"/>
                <w:lang w:val="fr-FR"/>
              </w:rPr>
            </w:pPr>
            <w:r w:rsidRPr="00615726">
              <w:rPr>
                <w:rFonts w:asciiTheme="minorHAnsi" w:hAnsiTheme="minorHAnsi" w:cstheme="minorHAnsi"/>
                <w:lang w:val="fr-FR"/>
              </w:rPr>
              <w:t>XII.6</w:t>
            </w:r>
          </w:p>
          <w:p w:rsidR="00E37382" w:rsidRPr="00615726" w:rsidRDefault="00E37382" w:rsidP="00E37382">
            <w:pPr>
              <w:pStyle w:val="Default"/>
              <w:rPr>
                <w:color w:val="auto"/>
                <w:sz w:val="22"/>
                <w:szCs w:val="22"/>
                <w:lang w:val="fr-FR"/>
              </w:rPr>
            </w:pPr>
            <w:r w:rsidRPr="00615726">
              <w:rPr>
                <w:color w:val="auto"/>
                <w:sz w:val="22"/>
                <w:szCs w:val="22"/>
                <w:lang w:val="fr-FR"/>
              </w:rPr>
              <w:t>État des sites inscrits sur la Liste de Ramsar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rPr>
                <w:rFonts w:asciiTheme="minorHAnsi" w:hAnsiTheme="minorHAnsi" w:cstheme="minorHAnsi"/>
                <w:lang w:val="fr-FR"/>
              </w:rPr>
            </w:pPr>
          </w:p>
          <w:p w:rsidR="00E37382" w:rsidRPr="00615726" w:rsidRDefault="00E37382" w:rsidP="00E37382">
            <w:pPr>
              <w:rPr>
                <w:rFonts w:asciiTheme="minorHAnsi" w:hAnsiTheme="minorHAnsi" w:cstheme="minorHAnsi"/>
                <w:lang w:val="fr-FR"/>
              </w:rPr>
            </w:pPr>
            <w:r w:rsidRPr="00615726">
              <w:rPr>
                <w:rFonts w:asciiTheme="minorHAnsi" w:hAnsiTheme="minorHAnsi" w:cstheme="minorHAnsi"/>
                <w:lang w:val="fr-FR"/>
              </w:rPr>
              <w:t>XIII.10</w:t>
            </w:r>
          </w:p>
          <w:p w:rsidR="00E37382" w:rsidRPr="00615726" w:rsidRDefault="00E37382" w:rsidP="00E37382">
            <w:pPr>
              <w:rPr>
                <w:rFonts w:asciiTheme="minorHAnsi" w:hAnsiTheme="minorHAnsi" w:cstheme="minorHAnsi"/>
                <w:lang w:val="fr-FR"/>
              </w:rPr>
            </w:pPr>
            <w:r w:rsidRPr="00615726">
              <w:rPr>
                <w:rFonts w:asciiTheme="minorHAnsi" w:hAnsiTheme="minorHAnsi" w:cstheme="minorHAnsi"/>
                <w:lang w:val="fr-FR"/>
              </w:rPr>
              <w:t>État des sites inscrits sur la Liste des zones humides d</w:t>
            </w:r>
            <w:r>
              <w:rPr>
                <w:rFonts w:asciiTheme="minorHAnsi" w:hAnsiTheme="minorHAnsi" w:cstheme="minorHAnsi"/>
                <w:lang w:val="fr-FR"/>
              </w:rPr>
              <w:t>’</w:t>
            </w:r>
            <w:r w:rsidRPr="00615726">
              <w:rPr>
                <w:rFonts w:asciiTheme="minorHAnsi" w:hAnsiTheme="minorHAnsi" w:cstheme="minorHAnsi"/>
                <w:lang w:val="fr-FR"/>
              </w:rPr>
              <w:t>importance internationale</w:t>
            </w:r>
          </w:p>
          <w:p w:rsidR="00E37382" w:rsidRPr="00615726" w:rsidRDefault="00E37382" w:rsidP="00E37382">
            <w:pPr>
              <w:rPr>
                <w:rFonts w:eastAsiaTheme="minorHAnsi" w:cs="Calibri"/>
                <w:sz w:val="24"/>
                <w:szCs w:val="24"/>
                <w:lang w:val="fr-FR"/>
              </w:rPr>
            </w:pPr>
            <w:r w:rsidRPr="00615726">
              <w:rPr>
                <w:rFonts w:asciiTheme="minorHAnsi" w:hAnsiTheme="minorHAnsi" w:cstheme="minorHAnsi"/>
                <w:lang w:val="fr-FR"/>
              </w:rPr>
              <w:t>XIII.12</w:t>
            </w:r>
          </w:p>
          <w:p w:rsidR="00E37382" w:rsidRDefault="00E37382" w:rsidP="00E37382">
            <w:pPr>
              <w:ind w:left="0" w:firstLine="0"/>
              <w:rPr>
                <w:rFonts w:eastAsiaTheme="minorHAnsi" w:cs="Calibri"/>
                <w:lang w:val="fr-FR"/>
              </w:rPr>
            </w:pPr>
            <w:r w:rsidRPr="00615726">
              <w:rPr>
                <w:rFonts w:eastAsiaTheme="minorHAnsi" w:cs="Calibri"/>
                <w:lang w:val="fr-FR"/>
              </w:rPr>
              <w:t>Orientations en matière d</w:t>
            </w:r>
            <w:r>
              <w:rPr>
                <w:rFonts w:eastAsiaTheme="minorHAnsi" w:cs="Calibri"/>
                <w:lang w:val="fr-FR"/>
              </w:rPr>
              <w:t>’</w:t>
            </w:r>
            <w:r w:rsidRPr="00615726">
              <w:rPr>
                <w:rFonts w:eastAsiaTheme="minorHAnsi" w:cs="Calibri"/>
                <w:lang w:val="fr-FR"/>
              </w:rPr>
              <w:t>identification de tourbières comme zones humides d</w:t>
            </w:r>
            <w:r>
              <w:rPr>
                <w:rFonts w:eastAsiaTheme="minorHAnsi" w:cs="Calibri"/>
                <w:lang w:val="fr-FR"/>
              </w:rPr>
              <w:t>’</w:t>
            </w:r>
            <w:r w:rsidRPr="00615726">
              <w:rPr>
                <w:rFonts w:eastAsiaTheme="minorHAnsi" w:cs="Calibri"/>
                <w:lang w:val="fr-FR"/>
              </w:rPr>
              <w:t>importance internationale (Sites Ramsar) pour la régulation des changements climatiques mondiaux, comme argument additionnel aux critères Ramsar existants</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rPr>
                <w:rFonts w:asciiTheme="minorHAnsi" w:hAnsiTheme="minorHAnsi" w:cstheme="minorHAnsi"/>
                <w:lang w:val="fr-FR"/>
              </w:rPr>
            </w:pPr>
            <w:r w:rsidRPr="00615726">
              <w:rPr>
                <w:rFonts w:asciiTheme="minorHAnsi" w:hAnsiTheme="minorHAnsi" w:cstheme="minorHAnsi"/>
                <w:lang w:val="fr-FR"/>
              </w:rPr>
              <w:t>XIII.24*</w:t>
            </w:r>
          </w:p>
          <w:p w:rsidR="00E37382" w:rsidRPr="000B1617" w:rsidRDefault="00E37382" w:rsidP="00E37382">
            <w:pPr>
              <w:pStyle w:val="Default"/>
              <w:rPr>
                <w:color w:val="auto"/>
                <w:sz w:val="22"/>
                <w:szCs w:val="22"/>
                <w:lang w:val="fr-FR"/>
              </w:rPr>
            </w:pPr>
            <w:r w:rsidRPr="00615726">
              <w:rPr>
                <w:color w:val="auto"/>
                <w:sz w:val="22"/>
                <w:szCs w:val="22"/>
                <w:lang w:val="fr-FR"/>
              </w:rPr>
              <w:t xml:space="preserve">Renforcement de la conservation des habitats côtiers des tortues marines, et désignation au titre de Ramsar des sites à enjeux majeurs </w:t>
            </w: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615726">
              <w:rPr>
                <w:rFonts w:asciiTheme="minorHAnsi" w:hAnsiTheme="minorHAnsi" w:cstheme="minorHAnsi"/>
                <w:b/>
                <w:lang w:val="fr-FR"/>
              </w:rPr>
              <w:lastRenderedPageBreak/>
              <w:t xml:space="preserve">Registre de Montreux &amp; caractéristiques écologiques des Sites Ramsar </w:t>
            </w:r>
          </w:p>
        </w:tc>
        <w:tc>
          <w:tcPr>
            <w:tcW w:w="6780" w:type="dxa"/>
          </w:tcPr>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3.9</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Changements dans les caractéristiques écologiques des Sites Ramsar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4.8</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Changements dans les caractéristiques écologiques des Sites Ramsar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5.2</w:t>
            </w:r>
          </w:p>
          <w:p w:rsidR="00E37382" w:rsidRPr="00615726" w:rsidRDefault="00E37382" w:rsidP="00E37382">
            <w:pPr>
              <w:pStyle w:val="Default"/>
              <w:rPr>
                <w:color w:val="auto"/>
                <w:sz w:val="22"/>
                <w:szCs w:val="22"/>
                <w:lang w:val="fr-FR"/>
              </w:rPr>
            </w:pPr>
            <w:r w:rsidRPr="00615726">
              <w:rPr>
                <w:color w:val="auto"/>
                <w:sz w:val="22"/>
                <w:szCs w:val="22"/>
                <w:lang w:val="fr-FR"/>
              </w:rPr>
              <w:t>Lignes directrices pour l</w:t>
            </w:r>
            <w:r>
              <w:rPr>
                <w:color w:val="auto"/>
                <w:sz w:val="22"/>
                <w:szCs w:val="22"/>
                <w:lang w:val="fr-FR"/>
              </w:rPr>
              <w:t>’</w:t>
            </w:r>
            <w:r w:rsidRPr="00615726">
              <w:rPr>
                <w:color w:val="auto"/>
                <w:sz w:val="22"/>
                <w:szCs w:val="22"/>
                <w:lang w:val="fr-FR"/>
              </w:rPr>
              <w:t>interprétation de l</w:t>
            </w:r>
            <w:r>
              <w:rPr>
                <w:color w:val="auto"/>
                <w:sz w:val="22"/>
                <w:szCs w:val="22"/>
                <w:lang w:val="fr-FR"/>
              </w:rPr>
              <w:t>’</w:t>
            </w:r>
            <w:r w:rsidRPr="00615726">
              <w:rPr>
                <w:color w:val="auto"/>
                <w:sz w:val="22"/>
                <w:szCs w:val="22"/>
                <w:lang w:val="fr-FR"/>
              </w:rPr>
              <w:t xml:space="preserve">article 3 (« caractéristiques écologiques » et « changements dans les caractéristiques écologiques » )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5.4</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Registre des Sites Ramsar dont les caractéristiques écologiques ont connu, connaissent ou sont susceptibles de connaître des modifications (« Registre de Montreux »)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 xml:space="preserve">VI.1* </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Définitions de travail des caractéristiques écologiques, lignes directrices pour décrire et maintenir les caractéristiques écologiques des sites inscrits et principes opérationnels du Registre de Montreux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VIII.7*</w:t>
            </w:r>
          </w:p>
          <w:p w:rsidR="00E37382" w:rsidRPr="00615726" w:rsidRDefault="00E37382" w:rsidP="00E37382">
            <w:pPr>
              <w:pStyle w:val="Default"/>
              <w:rPr>
                <w:color w:val="auto"/>
                <w:sz w:val="22"/>
                <w:szCs w:val="22"/>
                <w:lang w:val="fr-FR"/>
              </w:rPr>
            </w:pPr>
            <w:r w:rsidRPr="00615726">
              <w:rPr>
                <w:color w:val="auto"/>
                <w:sz w:val="22"/>
                <w:szCs w:val="22"/>
                <w:lang w:val="fr-FR"/>
              </w:rPr>
              <w:t>Lacunes et harmonisation des orientations Ramsar relatives aux caractéristiques écologiques, à l</w:t>
            </w:r>
            <w:r>
              <w:rPr>
                <w:color w:val="auto"/>
                <w:sz w:val="22"/>
                <w:szCs w:val="22"/>
                <w:lang w:val="fr-FR"/>
              </w:rPr>
              <w:t>’</w:t>
            </w:r>
            <w:r w:rsidRPr="00615726">
              <w:rPr>
                <w:color w:val="auto"/>
                <w:sz w:val="22"/>
                <w:szCs w:val="22"/>
                <w:lang w:val="fr-FR"/>
              </w:rPr>
              <w:t>inventaire, à l</w:t>
            </w:r>
            <w:r>
              <w:rPr>
                <w:color w:val="auto"/>
                <w:sz w:val="22"/>
                <w:szCs w:val="22"/>
                <w:lang w:val="fr-FR"/>
              </w:rPr>
              <w:t>’</w:t>
            </w:r>
            <w:r w:rsidRPr="00615726">
              <w:rPr>
                <w:color w:val="auto"/>
                <w:sz w:val="22"/>
                <w:szCs w:val="22"/>
                <w:lang w:val="fr-FR"/>
              </w:rPr>
              <w:t xml:space="preserve">évaluation et à la surveillance continue des zones humides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VIII.8*</w:t>
            </w:r>
          </w:p>
          <w:p w:rsidR="00E37382" w:rsidRPr="00615726" w:rsidRDefault="00E37382" w:rsidP="00E37382">
            <w:pPr>
              <w:pStyle w:val="Default"/>
              <w:rPr>
                <w:color w:val="auto"/>
                <w:sz w:val="22"/>
                <w:szCs w:val="22"/>
                <w:lang w:val="fr-FR"/>
              </w:rPr>
            </w:pPr>
            <w:r w:rsidRPr="00615726">
              <w:rPr>
                <w:color w:val="auto"/>
                <w:sz w:val="22"/>
                <w:szCs w:val="22"/>
                <w:lang w:val="fr-FR"/>
              </w:rPr>
              <w:t>Évaluation et rapport sur l</w:t>
            </w:r>
            <w:r>
              <w:rPr>
                <w:color w:val="auto"/>
                <w:sz w:val="22"/>
                <w:szCs w:val="22"/>
                <w:lang w:val="fr-FR"/>
              </w:rPr>
              <w:t>’</w:t>
            </w:r>
            <w:r w:rsidRPr="00615726">
              <w:rPr>
                <w:color w:val="auto"/>
                <w:sz w:val="22"/>
                <w:szCs w:val="22"/>
                <w:lang w:val="fr-FR"/>
              </w:rPr>
              <w:t>état et les tendances des zones humides, et mise en œuvre de l</w:t>
            </w:r>
            <w:r>
              <w:rPr>
                <w:color w:val="auto"/>
                <w:sz w:val="22"/>
                <w:szCs w:val="22"/>
                <w:lang w:val="fr-FR"/>
              </w:rPr>
              <w:t>’</w:t>
            </w:r>
            <w:r w:rsidRPr="00615726">
              <w:rPr>
                <w:color w:val="auto"/>
                <w:sz w:val="22"/>
                <w:szCs w:val="22"/>
                <w:lang w:val="fr-FR"/>
              </w:rPr>
              <w:t xml:space="preserve">article 3.2 de la Convention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X.15*</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Description des caractéristiques écologiques des zones humides, et besoins et présentation des données pour un inventaire de base : orientations scientifiques et techniques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X.16</w:t>
            </w:r>
          </w:p>
          <w:p w:rsidR="00E37382" w:rsidRPr="00615726" w:rsidRDefault="00E37382" w:rsidP="00E37382">
            <w:pPr>
              <w:pStyle w:val="Default"/>
              <w:rPr>
                <w:color w:val="auto"/>
                <w:sz w:val="22"/>
                <w:szCs w:val="22"/>
                <w:lang w:val="fr-FR"/>
              </w:rPr>
            </w:pPr>
            <w:r w:rsidRPr="00615726">
              <w:rPr>
                <w:color w:val="auto"/>
                <w:sz w:val="22"/>
                <w:szCs w:val="22"/>
                <w:lang w:val="fr-FR"/>
              </w:rPr>
              <w:t>Cadre pour les procédures de détection de changements dans les caractéristiques écologiques des zones humides, d</w:t>
            </w:r>
            <w:r>
              <w:rPr>
                <w:color w:val="auto"/>
                <w:sz w:val="22"/>
                <w:szCs w:val="22"/>
                <w:lang w:val="fr-FR"/>
              </w:rPr>
              <w:t>’</w:t>
            </w:r>
            <w:r w:rsidRPr="00615726">
              <w:rPr>
                <w:color w:val="auto"/>
                <w:sz w:val="22"/>
                <w:szCs w:val="22"/>
                <w:lang w:val="fr-FR"/>
              </w:rPr>
              <w:t xml:space="preserve">établissement de rapports et de réaction </w:t>
            </w:r>
          </w:p>
          <w:p w:rsidR="00E37382" w:rsidRPr="00615726"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615726">
              <w:rPr>
                <w:rFonts w:asciiTheme="minorHAnsi" w:hAnsiTheme="minorHAnsi" w:cstheme="minorHAnsi"/>
                <w:b/>
                <w:lang w:val="fr-FR"/>
              </w:rPr>
              <w:t>Sites Ramsar, pays ou sites particuliers</w:t>
            </w:r>
          </w:p>
        </w:tc>
        <w:tc>
          <w:tcPr>
            <w:tcW w:w="6780" w:type="dxa"/>
          </w:tcPr>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2.5*</w:t>
            </w:r>
          </w:p>
          <w:p w:rsidR="00E37382" w:rsidRPr="00615726" w:rsidRDefault="00E37382" w:rsidP="00E37382">
            <w:pPr>
              <w:pStyle w:val="Default"/>
              <w:rPr>
                <w:color w:val="auto"/>
                <w:sz w:val="22"/>
                <w:szCs w:val="22"/>
                <w:lang w:val="fr-FR"/>
              </w:rPr>
            </w:pPr>
            <w:r w:rsidRPr="00615726">
              <w:rPr>
                <w:color w:val="auto"/>
                <w:sz w:val="22"/>
                <w:szCs w:val="22"/>
                <w:lang w:val="fr-FR"/>
              </w:rPr>
              <w:t>Inscription de la mer des Wadden sur la Liste des zones humides d</w:t>
            </w:r>
            <w:r>
              <w:rPr>
                <w:color w:val="auto"/>
                <w:sz w:val="22"/>
                <w:szCs w:val="22"/>
                <w:lang w:val="fr-FR"/>
              </w:rPr>
              <w:t>’</w:t>
            </w:r>
            <w:r w:rsidRPr="00615726">
              <w:rPr>
                <w:color w:val="auto"/>
                <w:sz w:val="22"/>
                <w:szCs w:val="22"/>
                <w:lang w:val="fr-FR"/>
              </w:rPr>
              <w:t xml:space="preserve">importance internationale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2.6</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Conservation et gestion des zones humides sahéliennes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2.7</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Conservation du Parc national des oiseaux du Djoudj, Sénégal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lastRenderedPageBreak/>
              <w:t>Recom 2.8</w:t>
            </w:r>
          </w:p>
          <w:p w:rsidR="00E37382" w:rsidRPr="00615726" w:rsidRDefault="00E37382" w:rsidP="00E37382">
            <w:pPr>
              <w:pStyle w:val="Default"/>
              <w:rPr>
                <w:color w:val="auto"/>
                <w:sz w:val="22"/>
                <w:szCs w:val="22"/>
                <w:lang w:val="fr-FR"/>
              </w:rPr>
            </w:pPr>
            <w:r w:rsidRPr="00615726">
              <w:rPr>
                <w:color w:val="auto"/>
                <w:sz w:val="22"/>
                <w:szCs w:val="22"/>
                <w:lang w:val="fr-FR"/>
              </w:rPr>
              <w:t>Établissement d</w:t>
            </w:r>
            <w:r>
              <w:rPr>
                <w:color w:val="auto"/>
                <w:sz w:val="22"/>
                <w:szCs w:val="22"/>
                <w:lang w:val="fr-FR"/>
              </w:rPr>
              <w:t>’</w:t>
            </w:r>
            <w:r w:rsidRPr="00615726">
              <w:rPr>
                <w:color w:val="auto"/>
                <w:sz w:val="22"/>
                <w:szCs w:val="22"/>
                <w:lang w:val="fr-FR"/>
              </w:rPr>
              <w:t xml:space="preserve">une aire protégée dans le bassin du fleuve Sénégal, en Mauritanie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bCs/>
                <w:lang w:val="fr-FR"/>
              </w:rPr>
              <w:t>Recom 3.8</w:t>
            </w:r>
          </w:p>
          <w:p w:rsidR="00E37382" w:rsidRPr="00615726" w:rsidRDefault="00E37382" w:rsidP="00E37382">
            <w:pPr>
              <w:pStyle w:val="Default"/>
              <w:rPr>
                <w:color w:val="auto"/>
                <w:sz w:val="22"/>
                <w:szCs w:val="22"/>
                <w:lang w:val="fr-FR"/>
              </w:rPr>
            </w:pPr>
            <w:r w:rsidRPr="00615726">
              <w:rPr>
                <w:color w:val="auto"/>
                <w:sz w:val="22"/>
                <w:szCs w:val="22"/>
                <w:lang w:val="fr-FR"/>
              </w:rPr>
              <w:t>Conservation du site d</w:t>
            </w:r>
            <w:r>
              <w:rPr>
                <w:color w:val="auto"/>
                <w:sz w:val="22"/>
                <w:szCs w:val="22"/>
                <w:lang w:val="fr-FR"/>
              </w:rPr>
              <w:t>’</w:t>
            </w:r>
            <w:r w:rsidRPr="00615726">
              <w:rPr>
                <w:color w:val="auto"/>
                <w:sz w:val="22"/>
                <w:szCs w:val="22"/>
                <w:lang w:val="fr-FR"/>
              </w:rPr>
              <w:t xml:space="preserve">Azraq figurant sur la Liste de Ramsar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Sites Ramsar se trouvant sur le territoire de certaines Parties contractantes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Parc National de Doñana, Espagne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4.9.2</w:t>
            </w:r>
          </w:p>
          <w:p w:rsidR="00E37382" w:rsidRPr="000B1617" w:rsidRDefault="00E37382" w:rsidP="00E37382">
            <w:pPr>
              <w:pStyle w:val="Default"/>
              <w:rPr>
                <w:color w:val="auto"/>
                <w:sz w:val="22"/>
                <w:szCs w:val="22"/>
                <w:lang w:val="fr-FR"/>
              </w:rPr>
            </w:pPr>
            <w:r w:rsidRPr="00615726">
              <w:rPr>
                <w:color w:val="auto"/>
                <w:sz w:val="22"/>
                <w:szCs w:val="22"/>
                <w:lang w:val="fr-FR"/>
              </w:rPr>
              <w:t>Everglades, États-Unis</w:t>
            </w:r>
            <w:r>
              <w:rPr>
                <w:color w:val="auto"/>
                <w:sz w:val="22"/>
                <w:szCs w:val="22"/>
                <w:lang w:val="fr-FR"/>
              </w:rPr>
              <w:t xml:space="preserv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4.9.3</w:t>
            </w:r>
          </w:p>
          <w:p w:rsidR="00E37382" w:rsidRPr="000B1617" w:rsidRDefault="00E37382" w:rsidP="00E37382">
            <w:pPr>
              <w:pStyle w:val="Default"/>
              <w:rPr>
                <w:color w:val="auto"/>
                <w:sz w:val="22"/>
                <w:szCs w:val="22"/>
                <w:lang w:val="fr-FR"/>
              </w:rPr>
            </w:pPr>
            <w:r w:rsidRPr="00615726">
              <w:rPr>
                <w:color w:val="auto"/>
                <w:sz w:val="22"/>
                <w:szCs w:val="22"/>
                <w:lang w:val="fr-FR"/>
              </w:rPr>
              <w:t>Oasis d</w:t>
            </w:r>
            <w:r>
              <w:rPr>
                <w:color w:val="auto"/>
                <w:sz w:val="22"/>
                <w:szCs w:val="22"/>
                <w:lang w:val="fr-FR"/>
              </w:rPr>
              <w:t>’</w:t>
            </w:r>
            <w:r w:rsidRPr="00615726">
              <w:rPr>
                <w:color w:val="auto"/>
                <w:sz w:val="22"/>
                <w:szCs w:val="22"/>
                <w:lang w:val="fr-FR"/>
              </w:rPr>
              <w:t>Azraq, Jordanie</w:t>
            </w:r>
            <w:r>
              <w:rPr>
                <w:color w:val="auto"/>
                <w:sz w:val="22"/>
                <w:szCs w:val="22"/>
                <w:lang w:val="fr-FR"/>
              </w:rPr>
              <w:t xml:space="preserv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4.9.4</w:t>
            </w:r>
          </w:p>
          <w:p w:rsidR="00E37382" w:rsidRPr="00615726" w:rsidRDefault="00E37382" w:rsidP="00E37382">
            <w:pPr>
              <w:pStyle w:val="Default"/>
              <w:rPr>
                <w:color w:val="auto"/>
                <w:sz w:val="22"/>
                <w:szCs w:val="22"/>
                <w:lang w:val="fr-FR"/>
              </w:rPr>
            </w:pPr>
            <w:r w:rsidRPr="00615726">
              <w:rPr>
                <w:color w:val="auto"/>
                <w:sz w:val="22"/>
                <w:szCs w:val="22"/>
                <w:lang w:val="fr-FR"/>
              </w:rPr>
              <w:t>Conservation du Leybucht (République fédérale d</w:t>
            </w:r>
            <w:r>
              <w:rPr>
                <w:color w:val="auto"/>
                <w:sz w:val="22"/>
                <w:szCs w:val="22"/>
                <w:lang w:val="fr-FR"/>
              </w:rPr>
              <w:t>’</w:t>
            </w:r>
            <w:r w:rsidRPr="00615726">
              <w:rPr>
                <w:color w:val="auto"/>
                <w:sz w:val="22"/>
                <w:szCs w:val="22"/>
                <w:lang w:val="fr-FR"/>
              </w:rPr>
              <w:t xml:space="preserve">Allemagne) </w:t>
            </w:r>
          </w:p>
          <w:p w:rsidR="00E37382" w:rsidRPr="00615726" w:rsidRDefault="00E37382" w:rsidP="00E37382">
            <w:pPr>
              <w:ind w:left="0" w:firstLine="0"/>
              <w:rPr>
                <w:rFonts w:asciiTheme="minorHAnsi" w:hAnsiTheme="minorHAnsi" w:cstheme="minorHAnsi"/>
                <w:bCs/>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bCs/>
                <w:lang w:val="fr-FR"/>
              </w:rPr>
              <w:t>Recom 4.9.5</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Les Sites Ramsar de Grèce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Les Sites Ramsar se trouvant sur le territoire de certaines Parties contractantes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5.1.1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Les Sites Ramsar de Grèce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5.1.2</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 site de Cuare, Venezuela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lang w:val="fr-FR"/>
              </w:rPr>
            </w:pPr>
            <w:r w:rsidRPr="00615726">
              <w:rPr>
                <w:rFonts w:asciiTheme="minorHAnsi" w:hAnsiTheme="minorHAnsi" w:cstheme="minorHAnsi"/>
                <w:lang w:val="fr-FR"/>
              </w:rPr>
              <w:t>Recom 5.1.3</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 bassin du Danube inférieur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6.17</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Sites Ramsar se trouvant sur le territoire de certaines Parties contractantes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6.17.1</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Les Sites Ramsar de Grèce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6.17.2</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Réserve Nationale de Paracas et stratégie nationale de conservation des zones humides du Pérou </w:t>
            </w: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lastRenderedPageBreak/>
              <w:t>Recom 6.17.3</w:t>
            </w:r>
          </w:p>
          <w:p w:rsidR="00E37382" w:rsidRPr="00615726" w:rsidRDefault="00E37382" w:rsidP="00E37382">
            <w:pPr>
              <w:pStyle w:val="Default"/>
              <w:rPr>
                <w:color w:val="auto"/>
                <w:sz w:val="22"/>
                <w:szCs w:val="22"/>
                <w:lang w:val="fr-FR"/>
              </w:rPr>
            </w:pPr>
            <w:r w:rsidRPr="00615726">
              <w:rPr>
                <w:color w:val="auto"/>
                <w:sz w:val="22"/>
                <w:szCs w:val="22"/>
                <w:lang w:val="fr-FR"/>
              </w:rPr>
              <w:t>L</w:t>
            </w:r>
            <w:r>
              <w:rPr>
                <w:color w:val="auto"/>
                <w:sz w:val="22"/>
                <w:szCs w:val="22"/>
                <w:lang w:val="fr-FR"/>
              </w:rPr>
              <w:t>’</w:t>
            </w:r>
            <w:r w:rsidRPr="00615726">
              <w:rPr>
                <w:color w:val="auto"/>
                <w:sz w:val="22"/>
                <w:szCs w:val="22"/>
                <w:lang w:val="fr-FR"/>
              </w:rPr>
              <w:t>oasis d</w:t>
            </w:r>
            <w:r>
              <w:rPr>
                <w:color w:val="auto"/>
                <w:sz w:val="22"/>
                <w:szCs w:val="22"/>
                <w:lang w:val="fr-FR"/>
              </w:rPr>
              <w:t>’</w:t>
            </w:r>
            <w:r w:rsidRPr="00615726">
              <w:rPr>
                <w:color w:val="auto"/>
                <w:sz w:val="22"/>
                <w:szCs w:val="22"/>
                <w:lang w:val="fr-FR"/>
              </w:rPr>
              <w:t xml:space="preserve">Azraq, Jordanie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ind w:left="0" w:firstLine="0"/>
              <w:rPr>
                <w:rFonts w:asciiTheme="minorHAnsi" w:hAnsiTheme="minorHAnsi" w:cstheme="minorHAnsi"/>
                <w:bCs/>
                <w:lang w:val="fr-FR"/>
              </w:rPr>
            </w:pPr>
            <w:r w:rsidRPr="00615726">
              <w:rPr>
                <w:rFonts w:asciiTheme="minorHAnsi" w:hAnsiTheme="minorHAnsi" w:cstheme="minorHAnsi"/>
                <w:lang w:val="fr-FR"/>
              </w:rPr>
              <w:t>Recom 6.17.4</w:t>
            </w:r>
          </w:p>
          <w:p w:rsidR="00E37382" w:rsidRPr="00615726" w:rsidRDefault="00E37382" w:rsidP="00E37382">
            <w:pPr>
              <w:pStyle w:val="Default"/>
              <w:rPr>
                <w:color w:val="auto"/>
                <w:sz w:val="22"/>
                <w:szCs w:val="22"/>
                <w:lang w:val="fr-FR"/>
              </w:rPr>
            </w:pPr>
            <w:r w:rsidRPr="00615726">
              <w:rPr>
                <w:color w:val="auto"/>
                <w:sz w:val="22"/>
                <w:szCs w:val="22"/>
                <w:lang w:val="fr-FR"/>
              </w:rPr>
              <w:t>Sites Ramsar d</w:t>
            </w:r>
            <w:r>
              <w:rPr>
                <w:color w:val="auto"/>
                <w:sz w:val="22"/>
                <w:szCs w:val="22"/>
                <w:lang w:val="fr-FR"/>
              </w:rPr>
              <w:t>’</w:t>
            </w:r>
            <w:r w:rsidRPr="00615726">
              <w:rPr>
                <w:color w:val="auto"/>
                <w:sz w:val="22"/>
                <w:szCs w:val="22"/>
                <w:lang w:val="fr-FR"/>
              </w:rPr>
              <w:t xml:space="preserve">Australie </w:t>
            </w:r>
          </w:p>
          <w:p w:rsidR="00E37382" w:rsidRPr="00615726" w:rsidRDefault="00E37382" w:rsidP="00E37382">
            <w:pPr>
              <w:ind w:left="0" w:firstLine="0"/>
              <w:rPr>
                <w:rFonts w:asciiTheme="minorHAnsi" w:hAnsiTheme="minorHAnsi" w:cstheme="minorHAnsi"/>
                <w:lang w:val="fr-FR"/>
              </w:rPr>
            </w:pPr>
          </w:p>
          <w:p w:rsidR="00E37382" w:rsidRPr="00615726" w:rsidRDefault="00E37382" w:rsidP="00E37382">
            <w:pPr>
              <w:keepNext/>
              <w:ind w:left="0" w:firstLine="0"/>
              <w:rPr>
                <w:rFonts w:asciiTheme="minorHAnsi" w:hAnsiTheme="minorHAnsi" w:cstheme="minorHAnsi"/>
                <w:bCs/>
                <w:lang w:val="fr-FR"/>
              </w:rPr>
            </w:pPr>
            <w:r w:rsidRPr="00615726">
              <w:rPr>
                <w:rFonts w:asciiTheme="minorHAnsi" w:hAnsiTheme="minorHAnsi" w:cstheme="minorHAnsi"/>
                <w:lang w:val="fr-FR"/>
              </w:rPr>
              <w:t>Recom 6.17.5</w:t>
            </w:r>
          </w:p>
          <w:p w:rsidR="00E37382" w:rsidRPr="00615726" w:rsidRDefault="00E37382" w:rsidP="00E37382">
            <w:pPr>
              <w:pStyle w:val="Default"/>
              <w:rPr>
                <w:color w:val="auto"/>
                <w:sz w:val="22"/>
                <w:szCs w:val="22"/>
                <w:lang w:val="fr-FR"/>
              </w:rPr>
            </w:pPr>
            <w:r w:rsidRPr="00615726">
              <w:rPr>
                <w:color w:val="auto"/>
                <w:sz w:val="22"/>
                <w:szCs w:val="22"/>
                <w:lang w:val="fr-FR"/>
              </w:rPr>
              <w:t xml:space="preserve">Le Bassin du Danube inférieur </w:t>
            </w:r>
          </w:p>
          <w:p w:rsidR="00E37382" w:rsidRPr="00615726" w:rsidRDefault="00E37382" w:rsidP="00E37382">
            <w:pPr>
              <w:ind w:left="0" w:firstLine="0"/>
              <w:rPr>
                <w:rFonts w:asciiTheme="minorHAnsi" w:hAnsiTheme="minorHAnsi" w:cstheme="minorHAnsi"/>
                <w:lang w:val="fr-FR"/>
              </w:rPr>
            </w:pPr>
          </w:p>
        </w:tc>
      </w:tr>
      <w:tr w:rsidR="00E37382" w:rsidRPr="00E37382" w:rsidTr="00E37382">
        <w:tc>
          <w:tcPr>
            <w:tcW w:w="9180" w:type="dxa"/>
            <w:gridSpan w:val="2"/>
            <w:shd w:val="clear" w:color="auto" w:fill="D9D9D9" w:themeFill="background1" w:themeFillShade="D9"/>
            <w:vAlign w:val="center"/>
          </w:tcPr>
          <w:p w:rsidR="00E37382" w:rsidRPr="003E2A18" w:rsidRDefault="00E37382" w:rsidP="00E37382">
            <w:pPr>
              <w:ind w:left="0" w:firstLine="0"/>
              <w:jc w:val="center"/>
              <w:rPr>
                <w:rFonts w:asciiTheme="minorHAnsi" w:hAnsiTheme="minorHAnsi" w:cstheme="minorHAnsi"/>
                <w:b/>
                <w:bCs/>
                <w:lang w:val="fr-FR"/>
              </w:rPr>
            </w:pPr>
            <w:r w:rsidRPr="003E2A18">
              <w:rPr>
                <w:rFonts w:asciiTheme="minorHAnsi" w:hAnsiTheme="minorHAnsi" w:cstheme="minorHAnsi"/>
                <w:b/>
                <w:bCs/>
                <w:lang w:val="fr-FR"/>
              </w:rPr>
              <w:lastRenderedPageBreak/>
              <w:t>UTILISATION RATIONNELLE DES ZONES HUMIDES</w:t>
            </w: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Évaluation des zones humides et de leurs services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1.6</w:t>
            </w:r>
          </w:p>
          <w:p w:rsidR="00E37382" w:rsidRPr="003E2A18" w:rsidRDefault="00E37382" w:rsidP="00E37382">
            <w:pPr>
              <w:pStyle w:val="Default"/>
              <w:rPr>
                <w:sz w:val="22"/>
                <w:szCs w:val="22"/>
                <w:lang w:val="fr-FR"/>
              </w:rPr>
            </w:pPr>
            <w:r w:rsidRPr="003E2A18">
              <w:rPr>
                <w:sz w:val="22"/>
                <w:szCs w:val="22"/>
                <w:lang w:val="fr-FR"/>
              </w:rPr>
              <w:t xml:space="preserve">Évaluation des valeurs des zones humides dans le cadre du processus de planification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6.10</w:t>
            </w:r>
          </w:p>
          <w:p w:rsidR="00E37382" w:rsidRPr="003E2A18" w:rsidRDefault="00E37382" w:rsidP="00E37382">
            <w:pPr>
              <w:pStyle w:val="Default"/>
              <w:rPr>
                <w:sz w:val="22"/>
                <w:szCs w:val="22"/>
                <w:lang w:val="fr-FR"/>
              </w:rPr>
            </w:pPr>
            <w:r w:rsidRPr="003E2A18">
              <w:rPr>
                <w:sz w:val="22"/>
                <w:szCs w:val="22"/>
                <w:lang w:val="fr-FR"/>
              </w:rPr>
              <w:t>Promotion de la coopération en matière d</w:t>
            </w:r>
            <w:r>
              <w:rPr>
                <w:sz w:val="22"/>
                <w:szCs w:val="22"/>
                <w:lang w:val="fr-FR"/>
              </w:rPr>
              <w:t>’</w:t>
            </w:r>
            <w:r w:rsidRPr="003E2A18">
              <w:rPr>
                <w:sz w:val="22"/>
                <w:szCs w:val="22"/>
                <w:lang w:val="fr-FR"/>
              </w:rPr>
              <w:t xml:space="preserve">évaluation économique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bCs/>
                <w:lang w:val="fr-FR"/>
              </w:rPr>
              <w:t>VI.21</w:t>
            </w:r>
          </w:p>
          <w:p w:rsidR="00E37382" w:rsidRPr="003E2A18" w:rsidRDefault="00E37382" w:rsidP="00E37382">
            <w:pPr>
              <w:pStyle w:val="Default"/>
              <w:rPr>
                <w:sz w:val="22"/>
                <w:szCs w:val="22"/>
                <w:lang w:val="fr-FR"/>
              </w:rPr>
            </w:pPr>
            <w:r w:rsidRPr="003E2A18">
              <w:rPr>
                <w:sz w:val="22"/>
                <w:szCs w:val="22"/>
                <w:lang w:val="fr-FR"/>
              </w:rPr>
              <w:t>Évaluation de l</w:t>
            </w:r>
            <w:r>
              <w:rPr>
                <w:sz w:val="22"/>
                <w:szCs w:val="22"/>
                <w:lang w:val="fr-FR"/>
              </w:rPr>
              <w:t>’</w:t>
            </w:r>
            <w:r w:rsidRPr="003E2A18">
              <w:rPr>
                <w:sz w:val="22"/>
                <w:szCs w:val="22"/>
                <w:lang w:val="fr-FR"/>
              </w:rPr>
              <w:t xml:space="preserve">état des zones humides et établissement de rapports y relatifs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VIII.8*</w:t>
            </w:r>
          </w:p>
          <w:p w:rsidR="00E37382" w:rsidRPr="003E2A18" w:rsidRDefault="00E37382" w:rsidP="00E37382">
            <w:pPr>
              <w:pStyle w:val="Default"/>
              <w:rPr>
                <w:sz w:val="22"/>
                <w:szCs w:val="22"/>
                <w:lang w:val="fr-FR"/>
              </w:rPr>
            </w:pPr>
            <w:r w:rsidRPr="003E2A18">
              <w:rPr>
                <w:sz w:val="22"/>
                <w:szCs w:val="22"/>
                <w:lang w:val="fr-FR"/>
              </w:rPr>
              <w:t>Évaluation et rapport sur l</w:t>
            </w:r>
            <w:r>
              <w:rPr>
                <w:sz w:val="22"/>
                <w:szCs w:val="22"/>
                <w:lang w:val="fr-FR"/>
              </w:rPr>
              <w:t>’</w:t>
            </w:r>
            <w:r w:rsidRPr="003E2A18">
              <w:rPr>
                <w:sz w:val="22"/>
                <w:szCs w:val="22"/>
                <w:lang w:val="fr-FR"/>
              </w:rPr>
              <w:t>état et les tendances des zones humides, et mise en œuvre de l</w:t>
            </w:r>
            <w:r>
              <w:rPr>
                <w:sz w:val="22"/>
                <w:szCs w:val="22"/>
                <w:lang w:val="fr-FR"/>
              </w:rPr>
              <w:t>’</w:t>
            </w:r>
            <w:r w:rsidRPr="003E2A18">
              <w:rPr>
                <w:sz w:val="22"/>
                <w:szCs w:val="22"/>
                <w:lang w:val="fr-FR"/>
              </w:rPr>
              <w:t xml:space="preserve">article 3.2 de la Convention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XIII.17</w:t>
            </w:r>
          </w:p>
          <w:p w:rsidR="00E37382" w:rsidRPr="003E2A18" w:rsidRDefault="00E37382" w:rsidP="00E37382">
            <w:pPr>
              <w:pStyle w:val="Default"/>
              <w:rPr>
                <w:sz w:val="22"/>
                <w:szCs w:val="22"/>
                <w:lang w:val="fr-FR"/>
              </w:rPr>
            </w:pPr>
            <w:r w:rsidRPr="003E2A18">
              <w:rPr>
                <w:sz w:val="22"/>
                <w:szCs w:val="22"/>
                <w:lang w:val="fr-FR"/>
              </w:rPr>
              <w:t xml:space="preserve">Évaluer rapidement les services écosystémiques des zones humides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Changements climatiques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w:t>
            </w:r>
          </w:p>
          <w:p w:rsidR="00E37382" w:rsidRPr="003E2A18" w:rsidRDefault="00E37382" w:rsidP="00E37382">
            <w:pPr>
              <w:pStyle w:val="Default"/>
              <w:rPr>
                <w:sz w:val="22"/>
                <w:szCs w:val="22"/>
                <w:lang w:val="fr-FR"/>
              </w:rPr>
            </w:pPr>
            <w:r w:rsidRPr="003E2A18">
              <w:rPr>
                <w:sz w:val="22"/>
                <w:szCs w:val="22"/>
                <w:lang w:val="fr-FR"/>
              </w:rPr>
              <w:t xml:space="preserve">Les changements climatiques et les zones humides : effets, adaptation et atténuation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X.24</w:t>
            </w:r>
          </w:p>
          <w:p w:rsidR="00E37382" w:rsidRPr="003E2A18" w:rsidRDefault="00E37382" w:rsidP="00E37382">
            <w:pPr>
              <w:pStyle w:val="Default"/>
              <w:rPr>
                <w:sz w:val="22"/>
                <w:szCs w:val="22"/>
                <w:lang w:val="fr-FR"/>
              </w:rPr>
            </w:pPr>
            <w:r w:rsidRPr="003E2A18">
              <w:rPr>
                <w:sz w:val="22"/>
                <w:szCs w:val="22"/>
                <w:lang w:val="fr-FR"/>
              </w:rPr>
              <w:t xml:space="preserve">Les changements climatiques et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XI.14</w:t>
            </w:r>
          </w:p>
          <w:p w:rsidR="00E37382" w:rsidRPr="003E2A18" w:rsidRDefault="00E37382" w:rsidP="00E37382">
            <w:pPr>
              <w:pStyle w:val="Default"/>
              <w:rPr>
                <w:sz w:val="22"/>
                <w:szCs w:val="22"/>
                <w:lang w:val="fr-FR"/>
              </w:rPr>
            </w:pPr>
            <w:r w:rsidRPr="003E2A18">
              <w:rPr>
                <w:sz w:val="22"/>
                <w:szCs w:val="22"/>
                <w:lang w:val="fr-FR"/>
              </w:rPr>
              <w:t xml:space="preserve">Les changements climatiques et les zones humides : implications pour la Convention de Ramsar sur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XII.11*</w:t>
            </w:r>
          </w:p>
          <w:p w:rsidR="00E37382" w:rsidRPr="003E2A18" w:rsidRDefault="00E37382" w:rsidP="00E37382">
            <w:pPr>
              <w:pStyle w:val="Default"/>
              <w:rPr>
                <w:sz w:val="22"/>
                <w:szCs w:val="22"/>
                <w:lang w:val="fr-FR"/>
              </w:rPr>
            </w:pPr>
            <w:r w:rsidRPr="003E2A18">
              <w:rPr>
                <w:sz w:val="22"/>
                <w:szCs w:val="22"/>
                <w:lang w:val="fr-FR"/>
              </w:rPr>
              <w:t>Les tourbières, les changements climatiques et l</w:t>
            </w:r>
            <w:r>
              <w:rPr>
                <w:sz w:val="22"/>
                <w:szCs w:val="22"/>
                <w:lang w:val="fr-FR"/>
              </w:rPr>
              <w:t>’</w:t>
            </w:r>
            <w:r w:rsidRPr="003E2A18">
              <w:rPr>
                <w:sz w:val="22"/>
                <w:szCs w:val="22"/>
                <w:lang w:val="fr-FR"/>
              </w:rPr>
              <w:t xml:space="preserve">utilisation rationnelle : implications pour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eastAsiaTheme="minorHAnsi" w:cs="Calibri"/>
                <w:color w:val="000000"/>
                <w:sz w:val="24"/>
                <w:szCs w:val="24"/>
                <w:lang w:val="fr-FR"/>
              </w:rPr>
            </w:pPr>
            <w:r w:rsidRPr="003E2A18">
              <w:rPr>
                <w:rFonts w:asciiTheme="minorHAnsi" w:hAnsiTheme="minorHAnsi" w:cstheme="minorHAnsi"/>
                <w:lang w:val="fr-FR"/>
              </w:rPr>
              <w:t>XIII.13*</w:t>
            </w:r>
          </w:p>
          <w:p w:rsidR="00E37382" w:rsidRPr="003E2A18" w:rsidRDefault="00E37382" w:rsidP="00E37382">
            <w:pPr>
              <w:ind w:left="0" w:firstLine="0"/>
              <w:rPr>
                <w:rFonts w:asciiTheme="minorHAnsi" w:hAnsiTheme="minorHAnsi" w:cstheme="minorHAnsi"/>
                <w:lang w:val="fr-FR"/>
              </w:rPr>
            </w:pPr>
            <w:r w:rsidRPr="003E2A18">
              <w:rPr>
                <w:rFonts w:eastAsiaTheme="minorHAnsi" w:cs="Calibri"/>
                <w:color w:val="000000"/>
                <w:lang w:val="fr-FR"/>
              </w:rPr>
              <w:t>Restauration de tourbières dégradées pour atténuer les changements climatiques et s</w:t>
            </w:r>
            <w:r>
              <w:rPr>
                <w:rFonts w:eastAsiaTheme="minorHAnsi" w:cs="Calibri"/>
                <w:color w:val="000000"/>
                <w:lang w:val="fr-FR"/>
              </w:rPr>
              <w:t>’</w:t>
            </w:r>
            <w:r w:rsidRPr="003E2A18">
              <w:rPr>
                <w:rFonts w:eastAsiaTheme="minorHAnsi" w:cs="Calibri"/>
                <w:color w:val="000000"/>
                <w:lang w:val="fr-FR"/>
              </w:rPr>
              <w:t>adapter à ces changements, améliorer la biodiversité et réduire les risques de catastrophe</w:t>
            </w:r>
          </w:p>
          <w:p w:rsidR="00E37382" w:rsidRPr="003E2A18" w:rsidRDefault="00E37382" w:rsidP="00E37382">
            <w:pPr>
              <w:ind w:left="0" w:firstLine="0"/>
              <w:rPr>
                <w:rFonts w:eastAsiaTheme="minorHAnsi" w:cs="Calibri"/>
                <w:color w:val="000000"/>
                <w:sz w:val="24"/>
                <w:szCs w:val="24"/>
                <w:lang w:val="fr-FR"/>
              </w:rPr>
            </w:pPr>
            <w:r w:rsidRPr="003E2A18">
              <w:rPr>
                <w:rFonts w:asciiTheme="minorHAnsi" w:hAnsiTheme="minorHAnsi" w:cstheme="minorHAnsi"/>
                <w:lang w:val="fr-FR"/>
              </w:rPr>
              <w:lastRenderedPageBreak/>
              <w:t>XIII.15*</w:t>
            </w:r>
          </w:p>
          <w:p w:rsidR="00E37382" w:rsidRDefault="00E37382" w:rsidP="00E37382">
            <w:pPr>
              <w:ind w:left="0" w:firstLine="0"/>
              <w:rPr>
                <w:rFonts w:eastAsiaTheme="minorHAnsi" w:cs="Calibri"/>
                <w:color w:val="000000"/>
                <w:lang w:val="fr-FR"/>
              </w:rPr>
            </w:pPr>
            <w:r w:rsidRPr="003E2A18">
              <w:rPr>
                <w:rFonts w:eastAsiaTheme="minorHAnsi" w:cs="Calibri"/>
                <w:color w:val="000000"/>
                <w:lang w:val="fr-FR"/>
              </w:rPr>
              <w:t>Valeurs culturelles et pratiques des peuples autochtones et des communautés locales, et leur contribution à l</w:t>
            </w:r>
            <w:r>
              <w:rPr>
                <w:rFonts w:eastAsiaTheme="minorHAnsi" w:cs="Calibri"/>
                <w:color w:val="000000"/>
                <w:lang w:val="fr-FR"/>
              </w:rPr>
              <w:t>’</w:t>
            </w:r>
            <w:r w:rsidRPr="003E2A18">
              <w:rPr>
                <w:rFonts w:eastAsiaTheme="minorHAnsi" w:cs="Calibri"/>
                <w:color w:val="000000"/>
                <w:lang w:val="fr-FR"/>
              </w:rPr>
              <w:t>atténuation des changements climatiques et à l</w:t>
            </w:r>
            <w:r>
              <w:rPr>
                <w:rFonts w:eastAsiaTheme="minorHAnsi" w:cs="Calibri"/>
                <w:color w:val="000000"/>
                <w:lang w:val="fr-FR"/>
              </w:rPr>
              <w:t>’</w:t>
            </w:r>
            <w:r w:rsidRPr="003E2A18">
              <w:rPr>
                <w:rFonts w:eastAsiaTheme="minorHAnsi" w:cs="Calibri"/>
                <w:color w:val="000000"/>
                <w:lang w:val="fr-FR"/>
              </w:rPr>
              <w:t>adaptation à ces changements dans les zones humides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XIII.16*</w:t>
            </w:r>
          </w:p>
          <w:p w:rsidR="00E37382" w:rsidRPr="003E2A18" w:rsidRDefault="00E37382" w:rsidP="00E37382">
            <w:pPr>
              <w:pStyle w:val="Default"/>
              <w:rPr>
                <w:sz w:val="22"/>
                <w:szCs w:val="22"/>
                <w:lang w:val="fr-FR"/>
              </w:rPr>
            </w:pPr>
            <w:r w:rsidRPr="003E2A18">
              <w:rPr>
                <w:sz w:val="22"/>
                <w:szCs w:val="22"/>
                <w:lang w:val="fr-FR"/>
              </w:rPr>
              <w:t xml:space="preserve">Urbanisation durable, changements climatiques et zones humides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Zones côtières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6.8</w:t>
            </w:r>
          </w:p>
          <w:p w:rsidR="00E37382" w:rsidRPr="003E2A18" w:rsidRDefault="00E37382" w:rsidP="00E37382">
            <w:pPr>
              <w:pStyle w:val="Default"/>
              <w:rPr>
                <w:sz w:val="22"/>
                <w:szCs w:val="22"/>
                <w:lang w:val="fr-FR"/>
              </w:rPr>
            </w:pPr>
            <w:r w:rsidRPr="003E2A18">
              <w:rPr>
                <w:sz w:val="22"/>
                <w:szCs w:val="22"/>
                <w:lang w:val="fr-FR"/>
              </w:rPr>
              <w:t xml:space="preserve">Plans stratégiques pour les zones humides côtières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w:t>
            </w:r>
          </w:p>
          <w:p w:rsidR="00E37382" w:rsidRPr="003E2A18" w:rsidRDefault="00E37382" w:rsidP="00E37382">
            <w:pPr>
              <w:pStyle w:val="Default"/>
              <w:rPr>
                <w:sz w:val="22"/>
                <w:szCs w:val="22"/>
                <w:lang w:val="fr-FR"/>
              </w:rPr>
            </w:pPr>
            <w:r w:rsidRPr="003E2A18">
              <w:rPr>
                <w:sz w:val="22"/>
                <w:szCs w:val="22"/>
                <w:lang w:val="fr-FR"/>
              </w:rPr>
              <w:t xml:space="preserve">Questions relatives aux zones humides dans la Gestion intégrée des zones côtières (GIZC)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Énergie et biocarburants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X.25</w:t>
            </w:r>
          </w:p>
          <w:p w:rsidR="00E37382" w:rsidRPr="003E2A18" w:rsidRDefault="00E37382" w:rsidP="00E37382">
            <w:pPr>
              <w:pStyle w:val="Default"/>
              <w:rPr>
                <w:sz w:val="22"/>
                <w:szCs w:val="22"/>
                <w:lang w:val="fr-FR"/>
              </w:rPr>
            </w:pPr>
            <w:r w:rsidRPr="003E2A18">
              <w:rPr>
                <w:sz w:val="22"/>
                <w:szCs w:val="22"/>
                <w:lang w:val="fr-FR"/>
              </w:rPr>
              <w:t xml:space="preserve">Les zones humides et les « biocarburants »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XI.10</w:t>
            </w:r>
          </w:p>
          <w:p w:rsidR="00E37382" w:rsidRPr="003E2A18" w:rsidRDefault="00E37382" w:rsidP="00E37382">
            <w:pPr>
              <w:pStyle w:val="Default"/>
              <w:rPr>
                <w:sz w:val="22"/>
                <w:szCs w:val="22"/>
                <w:lang w:val="fr-FR"/>
              </w:rPr>
            </w:pPr>
            <w:r w:rsidRPr="003E2A18">
              <w:rPr>
                <w:sz w:val="22"/>
                <w:szCs w:val="22"/>
                <w:lang w:val="fr-FR"/>
              </w:rPr>
              <w:t>Les zones humides et les questions relatives à l</w:t>
            </w:r>
            <w:r>
              <w:rPr>
                <w:sz w:val="22"/>
                <w:szCs w:val="22"/>
                <w:lang w:val="fr-FR"/>
              </w:rPr>
              <w:t>’</w:t>
            </w:r>
            <w:r w:rsidRPr="003E2A18">
              <w:rPr>
                <w:sz w:val="22"/>
                <w:szCs w:val="22"/>
                <w:lang w:val="fr-FR"/>
              </w:rPr>
              <w:t xml:space="preserve">énergie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Santé et bien-être</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X.3</w:t>
            </w:r>
          </w:p>
          <w:p w:rsidR="00E37382" w:rsidRPr="003E2A18" w:rsidRDefault="00E37382" w:rsidP="00E37382">
            <w:pPr>
              <w:pStyle w:val="Default"/>
              <w:rPr>
                <w:sz w:val="22"/>
                <w:szCs w:val="22"/>
                <w:lang w:val="fr-FR"/>
              </w:rPr>
            </w:pPr>
            <w:r w:rsidRPr="003E2A18">
              <w:rPr>
                <w:sz w:val="22"/>
                <w:szCs w:val="22"/>
                <w:lang w:val="fr-FR"/>
              </w:rPr>
              <w:t xml:space="preserve">La Déclaration de Changwon sur le bien-être humain et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X.23</w:t>
            </w:r>
          </w:p>
          <w:p w:rsidR="00E37382" w:rsidRPr="003E2A18" w:rsidRDefault="00E37382" w:rsidP="00E37382">
            <w:pPr>
              <w:pStyle w:val="Default"/>
              <w:rPr>
                <w:sz w:val="22"/>
                <w:szCs w:val="22"/>
                <w:lang w:val="fr-FR"/>
              </w:rPr>
            </w:pPr>
            <w:r w:rsidRPr="003E2A18">
              <w:rPr>
                <w:sz w:val="22"/>
                <w:szCs w:val="22"/>
                <w:lang w:val="fr-FR"/>
              </w:rPr>
              <w:t xml:space="preserve">Les zones humides et la santé et le bien-être humains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XI.12</w:t>
            </w:r>
          </w:p>
          <w:p w:rsidR="00E37382" w:rsidRPr="003E2A18" w:rsidRDefault="00E37382" w:rsidP="00E37382">
            <w:pPr>
              <w:pStyle w:val="Default"/>
              <w:rPr>
                <w:sz w:val="22"/>
                <w:szCs w:val="22"/>
                <w:lang w:val="fr-FR"/>
              </w:rPr>
            </w:pPr>
            <w:r w:rsidRPr="003E2A18">
              <w:rPr>
                <w:sz w:val="22"/>
                <w:szCs w:val="22"/>
                <w:lang w:val="fr-FR"/>
              </w:rPr>
              <w:t xml:space="preserve">Les zones humides et la santé : adopter une approche par écosystème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Évaluation d</w:t>
            </w:r>
            <w:r>
              <w:rPr>
                <w:rFonts w:asciiTheme="minorHAnsi" w:hAnsiTheme="minorHAnsi" w:cstheme="minorHAnsi"/>
                <w:b/>
                <w:lang w:val="fr-FR"/>
              </w:rPr>
              <w:t>’</w:t>
            </w:r>
            <w:r w:rsidRPr="003E2A18">
              <w:rPr>
                <w:rFonts w:asciiTheme="minorHAnsi" w:hAnsiTheme="minorHAnsi" w:cstheme="minorHAnsi"/>
                <w:b/>
                <w:lang w:val="fr-FR"/>
              </w:rPr>
              <w:t>impact</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6.2</w:t>
            </w:r>
          </w:p>
          <w:p w:rsidR="00E37382" w:rsidRPr="003E2A18" w:rsidRDefault="00E37382" w:rsidP="00E37382">
            <w:pPr>
              <w:pStyle w:val="Default"/>
              <w:rPr>
                <w:sz w:val="22"/>
                <w:szCs w:val="22"/>
                <w:lang w:val="fr-FR"/>
              </w:rPr>
            </w:pPr>
            <w:r w:rsidRPr="003E2A18">
              <w:rPr>
                <w:sz w:val="22"/>
                <w:szCs w:val="22"/>
                <w:lang w:val="fr-FR"/>
              </w:rPr>
              <w:t>Études d</w:t>
            </w:r>
            <w:r>
              <w:rPr>
                <w:sz w:val="22"/>
                <w:szCs w:val="22"/>
                <w:lang w:val="fr-FR"/>
              </w:rPr>
              <w:t>’</w:t>
            </w:r>
            <w:r w:rsidRPr="003E2A18">
              <w:rPr>
                <w:sz w:val="22"/>
                <w:szCs w:val="22"/>
                <w:lang w:val="fr-FR"/>
              </w:rPr>
              <w:t>impact sur l</w:t>
            </w:r>
            <w:r>
              <w:rPr>
                <w:sz w:val="22"/>
                <w:szCs w:val="22"/>
                <w:lang w:val="fr-FR"/>
              </w:rPr>
              <w:t>’</w:t>
            </w:r>
            <w:r w:rsidRPr="003E2A18">
              <w:rPr>
                <w:sz w:val="22"/>
                <w:szCs w:val="22"/>
                <w:lang w:val="fr-FR"/>
              </w:rPr>
              <w:t xml:space="preserve">environnement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VII.16</w:t>
            </w:r>
          </w:p>
          <w:p w:rsidR="00E37382" w:rsidRPr="003E2A18" w:rsidRDefault="00E37382" w:rsidP="00E37382">
            <w:pPr>
              <w:pStyle w:val="Default"/>
              <w:rPr>
                <w:sz w:val="22"/>
                <w:szCs w:val="22"/>
                <w:lang w:val="fr-FR"/>
              </w:rPr>
            </w:pPr>
            <w:r w:rsidRPr="003E2A18">
              <w:rPr>
                <w:sz w:val="22"/>
                <w:szCs w:val="22"/>
                <w:lang w:val="fr-FR"/>
              </w:rPr>
              <w:t>La Convention de Ramsar et l</w:t>
            </w:r>
            <w:r>
              <w:rPr>
                <w:sz w:val="22"/>
                <w:szCs w:val="22"/>
                <w:lang w:val="fr-FR"/>
              </w:rPr>
              <w:t>’</w:t>
            </w:r>
            <w:r w:rsidRPr="003E2A18">
              <w:rPr>
                <w:sz w:val="22"/>
                <w:szCs w:val="22"/>
                <w:lang w:val="fr-FR"/>
              </w:rPr>
              <w:t>étude d</w:t>
            </w:r>
            <w:r>
              <w:rPr>
                <w:sz w:val="22"/>
                <w:szCs w:val="22"/>
                <w:lang w:val="fr-FR"/>
              </w:rPr>
              <w:t>’</w:t>
            </w:r>
            <w:r w:rsidRPr="003E2A18">
              <w:rPr>
                <w:sz w:val="22"/>
                <w:szCs w:val="22"/>
                <w:lang w:val="fr-FR"/>
              </w:rPr>
              <w:t xml:space="preserve">impact : stratégique, environnemental et social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VIII.35*</w:t>
            </w:r>
          </w:p>
          <w:p w:rsidR="00E37382" w:rsidRPr="003E2A18" w:rsidRDefault="00E37382" w:rsidP="00E37382">
            <w:pPr>
              <w:pStyle w:val="Default"/>
              <w:rPr>
                <w:sz w:val="22"/>
                <w:szCs w:val="22"/>
                <w:lang w:val="fr-FR"/>
              </w:rPr>
            </w:pPr>
            <w:r w:rsidRPr="003E2A18">
              <w:rPr>
                <w:sz w:val="22"/>
                <w:szCs w:val="22"/>
                <w:lang w:val="fr-FR"/>
              </w:rPr>
              <w:t xml:space="preserve">Les effets des catastrophes naturelles, en particulier la sécheresse, sur les écosystèmes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X.17</w:t>
            </w:r>
          </w:p>
          <w:p w:rsidR="00E37382" w:rsidRPr="003E2A18" w:rsidRDefault="00E37382" w:rsidP="00E37382">
            <w:pPr>
              <w:pStyle w:val="Default"/>
              <w:rPr>
                <w:sz w:val="22"/>
                <w:szCs w:val="22"/>
                <w:lang w:val="fr-FR"/>
              </w:rPr>
            </w:pPr>
            <w:r w:rsidRPr="003E2A18">
              <w:rPr>
                <w:sz w:val="22"/>
                <w:szCs w:val="22"/>
                <w:lang w:val="fr-FR"/>
              </w:rPr>
              <w:t>Étude d</w:t>
            </w:r>
            <w:r>
              <w:rPr>
                <w:sz w:val="22"/>
                <w:szCs w:val="22"/>
                <w:lang w:val="fr-FR"/>
              </w:rPr>
              <w:t>’</w:t>
            </w:r>
            <w:r w:rsidRPr="003E2A18">
              <w:rPr>
                <w:sz w:val="22"/>
                <w:szCs w:val="22"/>
                <w:lang w:val="fr-FR"/>
              </w:rPr>
              <w:t>impact sur l</w:t>
            </w:r>
            <w:r>
              <w:rPr>
                <w:sz w:val="22"/>
                <w:szCs w:val="22"/>
                <w:lang w:val="fr-FR"/>
              </w:rPr>
              <w:t>’</w:t>
            </w:r>
            <w:r w:rsidRPr="003E2A18">
              <w:rPr>
                <w:sz w:val="22"/>
                <w:szCs w:val="22"/>
                <w:lang w:val="fr-FR"/>
              </w:rPr>
              <w:t xml:space="preserve">environnement et évaluation environnementale stratégique : orientations scientifiques et techniques actualisées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rPr>
          <w:cantSplit/>
        </w:trPr>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Espèces envahissantes</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VIII.18</w:t>
            </w:r>
          </w:p>
          <w:p w:rsidR="00E37382" w:rsidRPr="003E2A18" w:rsidRDefault="00E37382" w:rsidP="00E37382">
            <w:pPr>
              <w:pStyle w:val="Default"/>
              <w:rPr>
                <w:sz w:val="22"/>
                <w:szCs w:val="22"/>
                <w:lang w:val="fr-FR"/>
              </w:rPr>
            </w:pPr>
            <w:r w:rsidRPr="003E2A18">
              <w:rPr>
                <w:sz w:val="22"/>
                <w:szCs w:val="22"/>
                <w:lang w:val="fr-FR"/>
              </w:rPr>
              <w:t xml:space="preserve">Les espèces envahissantes et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VII.14</w:t>
            </w:r>
          </w:p>
          <w:p w:rsidR="00E37382" w:rsidRPr="003E2A18" w:rsidRDefault="00E37382" w:rsidP="00E37382">
            <w:pPr>
              <w:pStyle w:val="Default"/>
              <w:rPr>
                <w:sz w:val="22"/>
                <w:szCs w:val="22"/>
                <w:lang w:val="fr-FR"/>
              </w:rPr>
            </w:pPr>
            <w:r w:rsidRPr="003E2A18">
              <w:rPr>
                <w:sz w:val="22"/>
                <w:szCs w:val="22"/>
                <w:lang w:val="fr-FR"/>
              </w:rPr>
              <w:t xml:space="preserve">Les espèces envahissantes et les zones humides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615726"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Inventaires des zones humides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1.5</w:t>
            </w:r>
          </w:p>
          <w:p w:rsidR="00E37382" w:rsidRPr="003E2A18" w:rsidRDefault="00E37382" w:rsidP="00E37382">
            <w:pPr>
              <w:pStyle w:val="Default"/>
              <w:rPr>
                <w:sz w:val="22"/>
                <w:szCs w:val="22"/>
                <w:lang w:val="fr-FR"/>
              </w:rPr>
            </w:pPr>
            <w:r w:rsidRPr="003E2A18">
              <w:rPr>
                <w:sz w:val="22"/>
                <w:szCs w:val="22"/>
                <w:lang w:val="fr-FR"/>
              </w:rPr>
              <w:t xml:space="preserve">Inventaires nationaux des zones humides </w:t>
            </w:r>
          </w:p>
          <w:p w:rsidR="00E37382" w:rsidRPr="003E2A18" w:rsidRDefault="00E37382" w:rsidP="00E37382">
            <w:pPr>
              <w:ind w:left="0" w:firstLine="0"/>
              <w:rPr>
                <w:rFonts w:asciiTheme="minorHAnsi" w:hAnsiTheme="minorHAnsi" w:cstheme="minorHAnsi"/>
                <w:bCs/>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4.6*</w:t>
            </w:r>
          </w:p>
          <w:p w:rsidR="00E37382" w:rsidRPr="003E2A18" w:rsidRDefault="00E37382" w:rsidP="00E37382">
            <w:pPr>
              <w:pStyle w:val="Default"/>
              <w:rPr>
                <w:sz w:val="22"/>
                <w:szCs w:val="22"/>
                <w:lang w:val="fr-FR"/>
              </w:rPr>
            </w:pPr>
            <w:r w:rsidRPr="003E2A18">
              <w:rPr>
                <w:sz w:val="22"/>
                <w:szCs w:val="22"/>
                <w:lang w:val="fr-FR"/>
              </w:rPr>
              <w:t xml:space="preserve">Établissement des inventaires scientifiques nationaux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VI.12*</w:t>
            </w:r>
          </w:p>
          <w:p w:rsidR="00E37382" w:rsidRPr="003E2A18" w:rsidRDefault="00E37382" w:rsidP="00E37382">
            <w:pPr>
              <w:pStyle w:val="Default"/>
              <w:rPr>
                <w:sz w:val="22"/>
                <w:szCs w:val="22"/>
                <w:lang w:val="fr-FR"/>
              </w:rPr>
            </w:pPr>
            <w:r w:rsidRPr="003E2A18">
              <w:rPr>
                <w:sz w:val="22"/>
                <w:szCs w:val="22"/>
                <w:lang w:val="fr-FR"/>
              </w:rPr>
              <w:t>Inventaires nationaux des zones humides et sites candidats à l</w:t>
            </w:r>
            <w:r>
              <w:rPr>
                <w:sz w:val="22"/>
                <w:szCs w:val="22"/>
                <w:lang w:val="fr-FR"/>
              </w:rPr>
              <w:t>’</w:t>
            </w:r>
            <w:r w:rsidRPr="003E2A18">
              <w:rPr>
                <w:sz w:val="22"/>
                <w:szCs w:val="22"/>
                <w:lang w:val="fr-FR"/>
              </w:rPr>
              <w:t xml:space="preserve">inscription sur la Liste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VIII.6</w:t>
            </w:r>
          </w:p>
          <w:p w:rsidR="00E37382" w:rsidRPr="003E2A18" w:rsidRDefault="00E37382" w:rsidP="00E37382">
            <w:pPr>
              <w:pStyle w:val="Default"/>
              <w:rPr>
                <w:sz w:val="22"/>
                <w:szCs w:val="22"/>
                <w:lang w:val="fr-FR"/>
              </w:rPr>
            </w:pPr>
            <w:r w:rsidRPr="003E2A18">
              <w:rPr>
                <w:sz w:val="22"/>
                <w:szCs w:val="22"/>
                <w:lang w:val="fr-FR"/>
              </w:rPr>
              <w:t>Cadre Ramsar pour l</w:t>
            </w:r>
            <w:r>
              <w:rPr>
                <w:sz w:val="22"/>
                <w:szCs w:val="22"/>
                <w:lang w:val="fr-FR"/>
              </w:rPr>
              <w:t>’</w:t>
            </w:r>
            <w:r w:rsidRPr="003E2A18">
              <w:rPr>
                <w:sz w:val="22"/>
                <w:szCs w:val="22"/>
                <w:lang w:val="fr-FR"/>
              </w:rPr>
              <w:t xml:space="preserve">inventaire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VIII.7*</w:t>
            </w:r>
          </w:p>
          <w:p w:rsidR="00E37382" w:rsidRPr="003E2A18" w:rsidRDefault="00E37382" w:rsidP="00E37382">
            <w:pPr>
              <w:pStyle w:val="Default"/>
              <w:rPr>
                <w:sz w:val="22"/>
                <w:szCs w:val="22"/>
                <w:lang w:val="fr-FR"/>
              </w:rPr>
            </w:pPr>
            <w:r w:rsidRPr="003E2A18">
              <w:rPr>
                <w:sz w:val="22"/>
                <w:szCs w:val="22"/>
                <w:lang w:val="fr-FR"/>
              </w:rPr>
              <w:t>Lacunes et harmonisation des orientations Ramsar relatives aux caractéristiques écologiques, à l</w:t>
            </w:r>
            <w:r>
              <w:rPr>
                <w:sz w:val="22"/>
                <w:szCs w:val="22"/>
                <w:lang w:val="fr-FR"/>
              </w:rPr>
              <w:t>’</w:t>
            </w:r>
            <w:r w:rsidRPr="003E2A18">
              <w:rPr>
                <w:sz w:val="22"/>
                <w:szCs w:val="22"/>
                <w:lang w:val="fr-FR"/>
              </w:rPr>
              <w:t>inventaire, à l</w:t>
            </w:r>
            <w:r>
              <w:rPr>
                <w:sz w:val="22"/>
                <w:szCs w:val="22"/>
                <w:lang w:val="fr-FR"/>
              </w:rPr>
              <w:t>’</w:t>
            </w:r>
            <w:r w:rsidRPr="003E2A18">
              <w:rPr>
                <w:sz w:val="22"/>
                <w:szCs w:val="22"/>
                <w:lang w:val="fr-FR"/>
              </w:rPr>
              <w:t xml:space="preserve">évaluation et à la surveillance continue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VII.20</w:t>
            </w:r>
          </w:p>
          <w:p w:rsidR="00E37382" w:rsidRPr="003E2A18" w:rsidRDefault="00E37382" w:rsidP="00E37382">
            <w:pPr>
              <w:pStyle w:val="Default"/>
              <w:rPr>
                <w:sz w:val="22"/>
                <w:szCs w:val="22"/>
                <w:lang w:val="fr-FR"/>
              </w:rPr>
            </w:pPr>
            <w:r w:rsidRPr="003E2A18">
              <w:rPr>
                <w:sz w:val="22"/>
                <w:szCs w:val="22"/>
                <w:lang w:val="fr-FR"/>
              </w:rPr>
              <w:t>Priorités en matière d</w:t>
            </w:r>
            <w:r>
              <w:rPr>
                <w:sz w:val="22"/>
                <w:szCs w:val="22"/>
                <w:lang w:val="fr-FR"/>
              </w:rPr>
              <w:t>’</w:t>
            </w:r>
            <w:r w:rsidRPr="003E2A18">
              <w:rPr>
                <w:sz w:val="22"/>
                <w:szCs w:val="22"/>
                <w:lang w:val="fr-FR"/>
              </w:rPr>
              <w:t xml:space="preserve">inventaire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X.15*</w:t>
            </w:r>
          </w:p>
          <w:p w:rsidR="00E37382" w:rsidRPr="003E2A18" w:rsidRDefault="00E37382" w:rsidP="00E37382">
            <w:pPr>
              <w:pStyle w:val="Default"/>
              <w:rPr>
                <w:sz w:val="22"/>
                <w:szCs w:val="22"/>
                <w:lang w:val="fr-FR"/>
              </w:rPr>
            </w:pPr>
            <w:r w:rsidRPr="003E2A18">
              <w:rPr>
                <w:sz w:val="22"/>
                <w:szCs w:val="22"/>
                <w:lang w:val="fr-FR"/>
              </w:rPr>
              <w:t xml:space="preserve">Description des caractéristiques écologiques des zones humides, et besoins et présentation des données pour un inventaire de base : orientations scientifiques et techniques </w:t>
            </w:r>
          </w:p>
          <w:p w:rsidR="00E37382" w:rsidRPr="00615726" w:rsidRDefault="00E37382" w:rsidP="00E37382">
            <w:pPr>
              <w:ind w:left="0" w:firstLine="0"/>
              <w:rPr>
                <w:rFonts w:asciiTheme="minorHAnsi" w:hAnsiTheme="minorHAnsi" w:cstheme="minorHAnsi"/>
                <w:bCs/>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Gestion des zones humides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6.5</w:t>
            </w:r>
          </w:p>
          <w:p w:rsidR="00E37382" w:rsidRPr="003E2A18" w:rsidRDefault="00E37382" w:rsidP="00E37382">
            <w:pPr>
              <w:pStyle w:val="Default"/>
              <w:rPr>
                <w:sz w:val="22"/>
                <w:szCs w:val="22"/>
                <w:lang w:val="fr-FR"/>
              </w:rPr>
            </w:pPr>
            <w:r w:rsidRPr="003E2A18">
              <w:rPr>
                <w:sz w:val="22"/>
                <w:szCs w:val="22"/>
                <w:lang w:val="fr-FR"/>
              </w:rPr>
              <w:t xml:space="preserve">Mise en place de nouveaux programmes de formation pour les administrateurs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6.13</w:t>
            </w:r>
          </w:p>
          <w:p w:rsidR="00E37382" w:rsidRPr="003E2A18" w:rsidRDefault="00E37382" w:rsidP="00E37382">
            <w:pPr>
              <w:pStyle w:val="Default"/>
              <w:rPr>
                <w:sz w:val="22"/>
                <w:szCs w:val="22"/>
                <w:lang w:val="fr-FR"/>
              </w:rPr>
            </w:pPr>
            <w:r w:rsidRPr="003E2A18">
              <w:rPr>
                <w:sz w:val="22"/>
                <w:szCs w:val="22"/>
                <w:lang w:val="fr-FR"/>
              </w:rPr>
              <w:t xml:space="preserve">Lignes directrices relatives aux plans de gestion des Sites Ramsar et autres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7.1*</w:t>
            </w:r>
          </w:p>
          <w:p w:rsidR="00E37382" w:rsidRPr="003E2A18" w:rsidRDefault="00E37382" w:rsidP="00E37382">
            <w:pPr>
              <w:ind w:left="0" w:firstLine="0"/>
              <w:rPr>
                <w:rFonts w:asciiTheme="minorHAnsi" w:hAnsiTheme="minorHAnsi" w:cstheme="minorHAnsi"/>
                <w:lang w:val="fr-FR"/>
              </w:rPr>
            </w:pPr>
            <w:r w:rsidRPr="003E2A18">
              <w:rPr>
                <w:lang w:val="fr-FR"/>
              </w:rPr>
              <w:t>Un Plan d</w:t>
            </w:r>
            <w:r>
              <w:rPr>
                <w:lang w:val="fr-FR"/>
              </w:rPr>
              <w:t>’</w:t>
            </w:r>
            <w:r w:rsidRPr="003E2A18">
              <w:rPr>
                <w:lang w:val="fr-FR"/>
              </w:rPr>
              <w:t>action mondial pour l</w:t>
            </w:r>
            <w:r>
              <w:rPr>
                <w:lang w:val="fr-FR"/>
              </w:rPr>
              <w:t>’</w:t>
            </w:r>
            <w:r w:rsidRPr="003E2A18">
              <w:rPr>
                <w:lang w:val="fr-FR"/>
              </w:rPr>
              <w:t>utilisation rationnelle et la gestion des tourbières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VIII.14</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Nouvelles Lignes directrices relatives aux plans de gestion des Sites Ramsar et autres zones humides</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 xml:space="preserve"> </w:t>
            </w:r>
          </w:p>
          <w:p w:rsidR="00E37382"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VIII.15</w:t>
            </w:r>
          </w:p>
          <w:p w:rsidR="00E37382" w:rsidRPr="003E2A18" w:rsidRDefault="00E37382" w:rsidP="00E37382">
            <w:pPr>
              <w:pStyle w:val="Default"/>
              <w:rPr>
                <w:sz w:val="22"/>
                <w:szCs w:val="22"/>
                <w:lang w:val="fr-FR"/>
              </w:rPr>
            </w:pPr>
            <w:r w:rsidRPr="003E2A18">
              <w:rPr>
                <w:sz w:val="22"/>
                <w:szCs w:val="22"/>
                <w:lang w:val="fr-FR"/>
              </w:rPr>
              <w:t xml:space="preserve">Le «Registre de San José» pour la promotion de la gestion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VIII.32*</w:t>
            </w:r>
          </w:p>
          <w:p w:rsidR="00E37382" w:rsidRPr="003E2A18" w:rsidRDefault="00E37382" w:rsidP="00E37382">
            <w:pPr>
              <w:pStyle w:val="Default"/>
              <w:rPr>
                <w:sz w:val="22"/>
                <w:szCs w:val="22"/>
                <w:lang w:val="fr-FR"/>
              </w:rPr>
            </w:pPr>
            <w:r w:rsidRPr="003E2A18">
              <w:rPr>
                <w:sz w:val="22"/>
                <w:szCs w:val="22"/>
                <w:lang w:val="fr-FR"/>
              </w:rPr>
              <w:t xml:space="preserve">Conservation, gestion intégrée et utilisation durable des écosystèmes de mangroves et de leurs ressources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VIII.33*</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Orientations pour l</w:t>
            </w:r>
            <w:r>
              <w:rPr>
                <w:rFonts w:asciiTheme="minorHAnsi" w:hAnsiTheme="minorHAnsi" w:cstheme="minorHAnsi"/>
                <w:lang w:val="fr-FR"/>
              </w:rPr>
              <w:t>’</w:t>
            </w:r>
            <w:r w:rsidRPr="003E2A18">
              <w:rPr>
                <w:rFonts w:asciiTheme="minorHAnsi" w:hAnsiTheme="minorHAnsi" w:cstheme="minorHAnsi"/>
                <w:lang w:val="fr-FR"/>
              </w:rPr>
              <w:t>identification, la gestion durable et la désignation de mares temporaires comme zones humides d</w:t>
            </w:r>
            <w:r>
              <w:rPr>
                <w:rFonts w:asciiTheme="minorHAnsi" w:hAnsiTheme="minorHAnsi" w:cstheme="minorHAnsi"/>
                <w:lang w:val="fr-FR"/>
              </w:rPr>
              <w:t>’</w:t>
            </w:r>
            <w:r w:rsidRPr="003E2A18">
              <w:rPr>
                <w:rFonts w:asciiTheme="minorHAnsi" w:hAnsiTheme="minorHAnsi" w:cstheme="minorHAnsi"/>
                <w:lang w:val="fr-FR"/>
              </w:rPr>
              <w:t>importance internationale</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VIII.36</w:t>
            </w:r>
          </w:p>
          <w:p w:rsidR="00E37382" w:rsidRPr="003E2A18" w:rsidRDefault="00E37382" w:rsidP="00E37382">
            <w:pPr>
              <w:pStyle w:val="Default"/>
              <w:rPr>
                <w:sz w:val="22"/>
                <w:szCs w:val="22"/>
                <w:lang w:val="fr-FR"/>
              </w:rPr>
            </w:pPr>
            <w:r w:rsidRPr="003E2A18">
              <w:rPr>
                <w:sz w:val="22"/>
                <w:szCs w:val="22"/>
                <w:lang w:val="fr-FR"/>
              </w:rPr>
              <w:t>La gestion environnementale participative (GEP) comme outil de gestion et d</w:t>
            </w:r>
            <w:r>
              <w:rPr>
                <w:sz w:val="22"/>
                <w:szCs w:val="22"/>
                <w:lang w:val="fr-FR"/>
              </w:rPr>
              <w:t>’</w:t>
            </w:r>
            <w:r w:rsidRPr="003E2A18">
              <w:rPr>
                <w:sz w:val="22"/>
                <w:szCs w:val="22"/>
                <w:lang w:val="fr-FR"/>
              </w:rPr>
              <w:t xml:space="preserve">utilisation rationnelle des zones humides </w:t>
            </w:r>
          </w:p>
          <w:p w:rsidR="00E37382" w:rsidRPr="003E2A18" w:rsidRDefault="00E37382" w:rsidP="00E37382">
            <w:pPr>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XI.11</w:t>
            </w: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Principes pour la planification et la gestion des zones humides</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XII.15</w:t>
            </w:r>
          </w:p>
          <w:p w:rsidR="00E37382" w:rsidRPr="003E2A18" w:rsidRDefault="00E37382" w:rsidP="00E37382">
            <w:pPr>
              <w:pStyle w:val="Default"/>
              <w:rPr>
                <w:sz w:val="22"/>
                <w:szCs w:val="22"/>
                <w:lang w:val="fr-FR"/>
              </w:rPr>
            </w:pPr>
            <w:r w:rsidRPr="003E2A18">
              <w:rPr>
                <w:sz w:val="22"/>
                <w:szCs w:val="22"/>
                <w:lang w:val="fr-FR"/>
              </w:rPr>
              <w:t>Évaluation de l</w:t>
            </w:r>
            <w:r>
              <w:rPr>
                <w:sz w:val="22"/>
                <w:szCs w:val="22"/>
                <w:lang w:val="fr-FR"/>
              </w:rPr>
              <w:t>’</w:t>
            </w:r>
            <w:r w:rsidRPr="003E2A18">
              <w:rPr>
                <w:sz w:val="22"/>
                <w:szCs w:val="22"/>
                <w:lang w:val="fr-FR"/>
              </w:rPr>
              <w:t xml:space="preserve">efficacité de la gestion et de la conservation des Sites Ramsar </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Espèces migratrices</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3.2</w:t>
            </w:r>
          </w:p>
          <w:p w:rsidR="00E37382" w:rsidRPr="003E2A18" w:rsidRDefault="00E37382" w:rsidP="00E37382">
            <w:pPr>
              <w:pStyle w:val="Default"/>
              <w:rPr>
                <w:sz w:val="22"/>
                <w:szCs w:val="22"/>
                <w:lang w:val="fr-FR"/>
              </w:rPr>
            </w:pPr>
            <w:r w:rsidRPr="003E2A18">
              <w:rPr>
                <w:sz w:val="22"/>
                <w:szCs w:val="22"/>
                <w:lang w:val="fr-FR"/>
              </w:rPr>
              <w:t xml:space="preserve">Nécessité de conduire de nouvelles études sur les voies de migration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4.12</w:t>
            </w:r>
          </w:p>
          <w:p w:rsidR="00E37382" w:rsidRPr="003E2A18" w:rsidRDefault="00E37382" w:rsidP="00E37382">
            <w:pPr>
              <w:pStyle w:val="Default"/>
              <w:rPr>
                <w:sz w:val="22"/>
                <w:szCs w:val="22"/>
                <w:lang w:val="fr-FR"/>
              </w:rPr>
            </w:pPr>
            <w:r w:rsidRPr="003E2A18">
              <w:rPr>
                <w:sz w:val="22"/>
                <w:szCs w:val="22"/>
                <w:lang w:val="fr-FR"/>
              </w:rPr>
              <w:t xml:space="preserve">Coopération entre Parties contractantes pour la gestion des espèces migratrices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6.4*</w:t>
            </w:r>
          </w:p>
          <w:p w:rsidR="00E37382" w:rsidRPr="003E2A18" w:rsidRDefault="00E37382" w:rsidP="00E37382">
            <w:pPr>
              <w:pStyle w:val="Default"/>
              <w:rPr>
                <w:sz w:val="22"/>
                <w:szCs w:val="22"/>
                <w:lang w:val="fr-FR"/>
              </w:rPr>
            </w:pPr>
            <w:r w:rsidRPr="003E2A18">
              <w:rPr>
                <w:sz w:val="22"/>
                <w:szCs w:val="22"/>
                <w:lang w:val="fr-FR"/>
              </w:rPr>
              <w:t>Initiative de Brisbane sur l</w:t>
            </w:r>
            <w:r>
              <w:rPr>
                <w:sz w:val="22"/>
                <w:szCs w:val="22"/>
                <w:lang w:val="fr-FR"/>
              </w:rPr>
              <w:t>’</w:t>
            </w:r>
            <w:r w:rsidRPr="003E2A18">
              <w:rPr>
                <w:sz w:val="22"/>
                <w:szCs w:val="22"/>
                <w:lang w:val="fr-FR"/>
              </w:rPr>
              <w:t>établissement d</w:t>
            </w:r>
            <w:r>
              <w:rPr>
                <w:sz w:val="22"/>
                <w:szCs w:val="22"/>
                <w:lang w:val="fr-FR"/>
              </w:rPr>
              <w:t>’</w:t>
            </w:r>
            <w:r w:rsidRPr="003E2A18">
              <w:rPr>
                <w:sz w:val="22"/>
                <w:szCs w:val="22"/>
                <w:lang w:val="fr-FR"/>
              </w:rPr>
              <w:t>un réseau de Sites Ramsar le long de la voie de migration Asie de l</w:t>
            </w:r>
            <w:r>
              <w:rPr>
                <w:sz w:val="22"/>
                <w:szCs w:val="22"/>
                <w:lang w:val="fr-FR"/>
              </w:rPr>
              <w:t>’</w:t>
            </w:r>
            <w:r w:rsidRPr="003E2A18">
              <w:rPr>
                <w:sz w:val="22"/>
                <w:szCs w:val="22"/>
                <w:lang w:val="fr-FR"/>
              </w:rPr>
              <w:t xml:space="preserve">Est-Australasie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7.3</w:t>
            </w:r>
          </w:p>
          <w:p w:rsidR="00E37382" w:rsidRPr="003E2A18" w:rsidRDefault="00E37382" w:rsidP="00E37382">
            <w:pPr>
              <w:pStyle w:val="Default"/>
              <w:rPr>
                <w:sz w:val="22"/>
                <w:szCs w:val="22"/>
                <w:lang w:val="fr-FR"/>
              </w:rPr>
            </w:pPr>
            <w:r w:rsidRPr="003E2A18">
              <w:rPr>
                <w:sz w:val="22"/>
                <w:szCs w:val="22"/>
                <w:lang w:val="fr-FR"/>
              </w:rPr>
              <w:t>Coopération multilatérale en matière de conservation des oiseaux d</w:t>
            </w:r>
            <w:r>
              <w:rPr>
                <w:sz w:val="22"/>
                <w:szCs w:val="22"/>
                <w:lang w:val="fr-FR"/>
              </w:rPr>
              <w:t>’</w:t>
            </w:r>
            <w:r w:rsidRPr="003E2A18">
              <w:rPr>
                <w:sz w:val="22"/>
                <w:szCs w:val="22"/>
                <w:lang w:val="fr-FR"/>
              </w:rPr>
              <w:t xml:space="preserve">eau migrateurs dans la région Asie-Pacifique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VIII.37</w:t>
            </w:r>
          </w:p>
          <w:p w:rsidR="00E37382" w:rsidRPr="003E2A18" w:rsidRDefault="00E37382" w:rsidP="00E37382">
            <w:pPr>
              <w:pStyle w:val="Default"/>
              <w:rPr>
                <w:sz w:val="22"/>
                <w:szCs w:val="22"/>
                <w:lang w:val="fr-FR"/>
              </w:rPr>
            </w:pPr>
            <w:r w:rsidRPr="003E2A18">
              <w:rPr>
                <w:sz w:val="22"/>
                <w:szCs w:val="22"/>
                <w:lang w:val="fr-FR"/>
              </w:rPr>
              <w:t>Coopération internationale à la conservation des oiseaux d</w:t>
            </w:r>
            <w:r>
              <w:rPr>
                <w:sz w:val="22"/>
                <w:szCs w:val="22"/>
                <w:lang w:val="fr-FR"/>
              </w:rPr>
              <w:t>’</w:t>
            </w:r>
            <w:r w:rsidRPr="003E2A18">
              <w:rPr>
                <w:sz w:val="22"/>
                <w:szCs w:val="22"/>
                <w:lang w:val="fr-FR"/>
              </w:rPr>
              <w:t xml:space="preserve">eau migrateurs et de leurs habitats dans la région Asie-Pacifique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X.22*</w:t>
            </w:r>
          </w:p>
          <w:p w:rsidR="00E37382" w:rsidRPr="003E2A18" w:rsidRDefault="00E37382" w:rsidP="00E37382">
            <w:pPr>
              <w:pStyle w:val="Default"/>
              <w:rPr>
                <w:sz w:val="22"/>
                <w:szCs w:val="22"/>
                <w:lang w:val="fr-FR"/>
              </w:rPr>
            </w:pPr>
            <w:r w:rsidRPr="003E2A18">
              <w:rPr>
                <w:sz w:val="22"/>
                <w:szCs w:val="22"/>
                <w:lang w:val="fr-FR"/>
              </w:rPr>
              <w:t>Promouvoir la coopération internationale pour la conservation des voies de migration des oiseaux d</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tc>
      </w:tr>
      <w:tr w:rsidR="00E37382" w:rsidRPr="00193AD6"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Missions consultatives Ramsar (MCR)</w:t>
            </w:r>
          </w:p>
        </w:tc>
        <w:tc>
          <w:tcPr>
            <w:tcW w:w="6780" w:type="dxa"/>
          </w:tcPr>
          <w:p w:rsidR="00E37382" w:rsidRPr="003E2A18" w:rsidRDefault="00E37382" w:rsidP="00E37382">
            <w:pPr>
              <w:rPr>
                <w:rFonts w:eastAsiaTheme="minorHAnsi" w:cs="Calibri"/>
                <w:color w:val="000000"/>
                <w:sz w:val="24"/>
                <w:szCs w:val="24"/>
                <w:lang w:val="fr-FR"/>
              </w:rPr>
            </w:pPr>
            <w:r w:rsidRPr="003E2A18">
              <w:rPr>
                <w:rFonts w:asciiTheme="minorHAnsi" w:hAnsiTheme="minorHAnsi" w:cstheme="minorHAnsi"/>
                <w:lang w:val="fr-FR"/>
              </w:rPr>
              <w:t>XIII.11</w:t>
            </w:r>
          </w:p>
          <w:p w:rsidR="00E37382" w:rsidRDefault="00E37382" w:rsidP="00E37382">
            <w:pPr>
              <w:ind w:left="0" w:firstLine="0"/>
              <w:rPr>
                <w:rFonts w:eastAsiaTheme="minorHAnsi" w:cs="Calibri"/>
                <w:color w:val="000000"/>
                <w:lang w:val="fr-FR"/>
              </w:rPr>
            </w:pPr>
            <w:r w:rsidRPr="003E2A18">
              <w:rPr>
                <w:rFonts w:eastAsiaTheme="minorHAnsi" w:cs="Calibri"/>
                <w:color w:val="000000"/>
                <w:lang w:val="fr-FR"/>
              </w:rPr>
              <w:t>La Mission consultative Ramsar</w:t>
            </w:r>
          </w:p>
          <w:p w:rsidR="00E37382" w:rsidRPr="003E2A18" w:rsidRDefault="00E37382" w:rsidP="00E37382">
            <w:pPr>
              <w:ind w:left="0" w:firstLine="0"/>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Développement durable, peuples autochtones et communautés locales, égalité entre les sexes et moyens d</w:t>
            </w:r>
            <w:r>
              <w:rPr>
                <w:rFonts w:asciiTheme="minorHAnsi" w:hAnsiTheme="minorHAnsi" w:cstheme="minorHAnsi"/>
                <w:b/>
                <w:lang w:val="fr-FR"/>
              </w:rPr>
              <w:t>’</w:t>
            </w:r>
            <w:r w:rsidRPr="003E2A18">
              <w:rPr>
                <w:rFonts w:asciiTheme="minorHAnsi" w:hAnsiTheme="minorHAnsi" w:cstheme="minorHAnsi"/>
                <w:b/>
                <w:lang w:val="fr-FR"/>
              </w:rPr>
              <w:t>existence</w:t>
            </w:r>
          </w:p>
          <w:p w:rsidR="00E37382" w:rsidRPr="003E2A18" w:rsidRDefault="00E37382" w:rsidP="00E37382">
            <w:pPr>
              <w:ind w:left="0" w:firstLine="0"/>
              <w:rPr>
                <w:rFonts w:asciiTheme="minorHAnsi" w:hAnsiTheme="minorHAnsi" w:cstheme="minorHAnsi"/>
                <w:b/>
                <w:lang w:val="fr-FR"/>
              </w:rPr>
            </w:pPr>
          </w:p>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i/>
                <w:lang w:val="fr-FR"/>
              </w:rPr>
              <w:t>Note :</w:t>
            </w:r>
            <w:r w:rsidRPr="003E2A18">
              <w:rPr>
                <w:rFonts w:asciiTheme="minorHAnsi" w:hAnsiTheme="minorHAnsi" w:cstheme="minorHAnsi"/>
                <w:b/>
                <w:lang w:val="fr-FR"/>
              </w:rPr>
              <w:t xml:space="preserve"> </w:t>
            </w:r>
            <w:r w:rsidRPr="003E2A18">
              <w:rPr>
                <w:rFonts w:asciiTheme="minorHAnsi" w:hAnsiTheme="minorHAnsi" w:cstheme="minorHAnsi"/>
                <w:bCs/>
                <w:i/>
                <w:iCs/>
                <w:lang w:val="fr-FR"/>
              </w:rPr>
              <w:t>lorsque ce groupe sera examiné pour regroupement, il sera peut-être possible de séparer les moyens d</w:t>
            </w:r>
            <w:r>
              <w:rPr>
                <w:rFonts w:asciiTheme="minorHAnsi" w:hAnsiTheme="minorHAnsi" w:cstheme="minorHAnsi"/>
                <w:bCs/>
                <w:i/>
                <w:iCs/>
                <w:lang w:val="fr-FR"/>
              </w:rPr>
              <w:t>’</w:t>
            </w:r>
            <w:r w:rsidRPr="003E2A18">
              <w:rPr>
                <w:rFonts w:asciiTheme="minorHAnsi" w:hAnsiTheme="minorHAnsi" w:cstheme="minorHAnsi"/>
                <w:bCs/>
                <w:i/>
                <w:iCs/>
                <w:lang w:val="fr-FR"/>
              </w:rPr>
              <w:t>existence et la pauvreté des aspects culturels.</w:t>
            </w:r>
          </w:p>
        </w:tc>
        <w:tc>
          <w:tcPr>
            <w:tcW w:w="6780" w:type="dxa"/>
          </w:tcPr>
          <w:p w:rsidR="00E37382" w:rsidRPr="000B1617" w:rsidRDefault="00E37382" w:rsidP="00E37382">
            <w:pPr>
              <w:pStyle w:val="Default"/>
              <w:rPr>
                <w:sz w:val="22"/>
                <w:szCs w:val="22"/>
                <w:lang w:val="fr-FR"/>
              </w:rPr>
            </w:pPr>
            <w:r w:rsidRPr="000B1617">
              <w:rPr>
                <w:sz w:val="22"/>
                <w:szCs w:val="22"/>
                <w:lang w:val="fr-FR"/>
              </w:rPr>
              <w:t>Recom 6.3</w:t>
            </w:r>
          </w:p>
          <w:p w:rsidR="00E37382" w:rsidRPr="003E2A18" w:rsidRDefault="00E37382" w:rsidP="00E37382">
            <w:pPr>
              <w:pStyle w:val="Default"/>
              <w:rPr>
                <w:sz w:val="22"/>
                <w:szCs w:val="22"/>
                <w:lang w:val="fr-FR"/>
              </w:rPr>
            </w:pPr>
            <w:r w:rsidRPr="003E2A18">
              <w:rPr>
                <w:sz w:val="22"/>
                <w:szCs w:val="22"/>
                <w:lang w:val="fr-FR"/>
              </w:rPr>
              <w:t xml:space="preserve">Participation des populations locales et autochtones à la gestion des zones humides Ramsar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VII.8</w:t>
            </w:r>
          </w:p>
          <w:p w:rsidR="00E37382" w:rsidRPr="003E2A18" w:rsidRDefault="00E37382" w:rsidP="00E37382">
            <w:pPr>
              <w:pStyle w:val="Default"/>
              <w:rPr>
                <w:sz w:val="22"/>
                <w:szCs w:val="22"/>
                <w:lang w:val="fr-FR"/>
              </w:rPr>
            </w:pPr>
            <w:r w:rsidRPr="003E2A18">
              <w:rPr>
                <w:sz w:val="22"/>
                <w:szCs w:val="22"/>
                <w:lang w:val="fr-FR"/>
              </w:rPr>
              <w:t xml:space="preserve">Lignes directrices pour la mise en œuvre et le renforcement de la participation des communautés locales et des populations autochtones à la gestion des zones humides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VIII.19</w:t>
            </w:r>
          </w:p>
          <w:p w:rsidR="00E37382" w:rsidRPr="003E2A18" w:rsidRDefault="00E37382" w:rsidP="00E37382">
            <w:pPr>
              <w:pStyle w:val="Default"/>
              <w:rPr>
                <w:sz w:val="22"/>
                <w:szCs w:val="22"/>
                <w:lang w:val="fr-FR"/>
              </w:rPr>
            </w:pPr>
            <w:r w:rsidRPr="003E2A18">
              <w:rPr>
                <w:sz w:val="22"/>
                <w:szCs w:val="22"/>
                <w:lang w:val="fr-FR"/>
              </w:rPr>
              <w:t xml:space="preserve">Principes directeurs pour la prise en compte des valeurs culturelles des zones humides dans la gestion efficace des sites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IX.14</w:t>
            </w:r>
          </w:p>
          <w:p w:rsidR="00E37382" w:rsidRPr="003E2A18" w:rsidRDefault="00E37382" w:rsidP="00E37382">
            <w:pPr>
              <w:pStyle w:val="Default"/>
              <w:rPr>
                <w:sz w:val="22"/>
                <w:szCs w:val="22"/>
                <w:lang w:val="fr-FR"/>
              </w:rPr>
            </w:pPr>
            <w:r w:rsidRPr="003E2A18">
              <w:rPr>
                <w:sz w:val="22"/>
                <w:szCs w:val="22"/>
                <w:lang w:val="fr-FR"/>
              </w:rPr>
              <w:t xml:space="preserve">Les zones humides et la réduction de la pauvreté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IX.21</w:t>
            </w:r>
          </w:p>
          <w:p w:rsidR="00E37382" w:rsidRPr="003E2A18" w:rsidRDefault="00E37382" w:rsidP="00E37382">
            <w:pPr>
              <w:pStyle w:val="Default"/>
              <w:rPr>
                <w:sz w:val="22"/>
                <w:szCs w:val="22"/>
                <w:lang w:val="fr-FR"/>
              </w:rPr>
            </w:pPr>
            <w:r w:rsidRPr="003E2A18">
              <w:rPr>
                <w:sz w:val="22"/>
                <w:szCs w:val="22"/>
                <w:lang w:val="fr-FR"/>
              </w:rPr>
              <w:t xml:space="preserve">Tenir compte des valeurs culturelles des zones humides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X.28</w:t>
            </w:r>
          </w:p>
          <w:p w:rsidR="00E37382" w:rsidRPr="003E2A18" w:rsidRDefault="00E37382" w:rsidP="00E37382">
            <w:pPr>
              <w:pStyle w:val="Default"/>
              <w:rPr>
                <w:sz w:val="22"/>
                <w:szCs w:val="22"/>
                <w:lang w:val="fr-FR"/>
              </w:rPr>
            </w:pPr>
            <w:r w:rsidRPr="003E2A18">
              <w:rPr>
                <w:sz w:val="22"/>
                <w:szCs w:val="22"/>
                <w:lang w:val="fr-FR"/>
              </w:rPr>
              <w:t>Les zones humides et l</w:t>
            </w:r>
            <w:r>
              <w:rPr>
                <w:sz w:val="22"/>
                <w:szCs w:val="22"/>
                <w:lang w:val="fr-FR"/>
              </w:rPr>
              <w:t>’</w:t>
            </w:r>
            <w:r w:rsidRPr="003E2A18">
              <w:rPr>
                <w:sz w:val="22"/>
                <w:szCs w:val="22"/>
                <w:lang w:val="fr-FR"/>
              </w:rPr>
              <w:t xml:space="preserve">éradication de la pauvreté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XI.20</w:t>
            </w:r>
          </w:p>
          <w:p w:rsidR="00E37382" w:rsidRPr="003E2A18" w:rsidRDefault="00E37382" w:rsidP="00E37382">
            <w:pPr>
              <w:pStyle w:val="Default"/>
              <w:rPr>
                <w:sz w:val="22"/>
                <w:szCs w:val="22"/>
                <w:lang w:val="fr-FR"/>
              </w:rPr>
            </w:pPr>
            <w:r w:rsidRPr="003E2A18">
              <w:rPr>
                <w:sz w:val="22"/>
                <w:szCs w:val="22"/>
                <w:lang w:val="fr-FR"/>
              </w:rPr>
              <w:t>Promouvoir l</w:t>
            </w:r>
            <w:r>
              <w:rPr>
                <w:sz w:val="22"/>
                <w:szCs w:val="22"/>
                <w:lang w:val="fr-FR"/>
              </w:rPr>
              <w:t>’</w:t>
            </w:r>
            <w:r w:rsidRPr="003E2A18">
              <w:rPr>
                <w:sz w:val="22"/>
                <w:szCs w:val="22"/>
                <w:lang w:val="fr-FR"/>
              </w:rPr>
              <w:t>investissement durable par le secteur public et le secteur privé pour garantir le maintien des avantages issus des zones humides pour l</w:t>
            </w:r>
            <w:r>
              <w:rPr>
                <w:sz w:val="22"/>
                <w:szCs w:val="22"/>
                <w:lang w:val="fr-FR"/>
              </w:rPr>
              <w:t>’</w:t>
            </w:r>
            <w:r w:rsidRPr="003E2A18">
              <w:rPr>
                <w:sz w:val="22"/>
                <w:szCs w:val="22"/>
                <w:lang w:val="fr-FR"/>
              </w:rPr>
              <w:t xml:space="preserve">homme et la nature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XI.21</w:t>
            </w:r>
          </w:p>
          <w:p w:rsidR="00E37382" w:rsidRPr="003E2A18" w:rsidRDefault="00E37382" w:rsidP="00E37382">
            <w:pPr>
              <w:pStyle w:val="Default"/>
              <w:rPr>
                <w:sz w:val="22"/>
                <w:szCs w:val="22"/>
                <w:lang w:val="fr-FR"/>
              </w:rPr>
            </w:pPr>
            <w:r w:rsidRPr="003E2A18">
              <w:rPr>
                <w:sz w:val="22"/>
                <w:szCs w:val="22"/>
                <w:lang w:val="fr-FR"/>
              </w:rPr>
              <w:t xml:space="preserve">Les zones humides et le développement durable </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XIII.15*</w:t>
            </w:r>
          </w:p>
          <w:p w:rsidR="00E37382" w:rsidRPr="000B1617" w:rsidRDefault="00E37382" w:rsidP="00E37382">
            <w:pPr>
              <w:pStyle w:val="Default"/>
              <w:rPr>
                <w:sz w:val="22"/>
                <w:szCs w:val="22"/>
                <w:lang w:val="fr-FR"/>
              </w:rPr>
            </w:pPr>
            <w:r w:rsidRPr="000B1617">
              <w:rPr>
                <w:sz w:val="22"/>
                <w:szCs w:val="22"/>
                <w:lang w:val="fr-FR"/>
              </w:rPr>
              <w:t>Valeurs culturelles et pratiques des peuples autochtones et des communautés locales, et leur contribution à l</w:t>
            </w:r>
            <w:r>
              <w:rPr>
                <w:sz w:val="22"/>
                <w:szCs w:val="22"/>
                <w:lang w:val="fr-FR"/>
              </w:rPr>
              <w:t>’</w:t>
            </w:r>
            <w:r w:rsidRPr="000B1617">
              <w:rPr>
                <w:sz w:val="22"/>
                <w:szCs w:val="22"/>
                <w:lang w:val="fr-FR"/>
              </w:rPr>
              <w:t>atténuation des changements climatiques et à l</w:t>
            </w:r>
            <w:r>
              <w:rPr>
                <w:sz w:val="22"/>
                <w:szCs w:val="22"/>
                <w:lang w:val="fr-FR"/>
              </w:rPr>
              <w:t>’</w:t>
            </w:r>
            <w:r w:rsidRPr="000B1617">
              <w:rPr>
                <w:sz w:val="22"/>
                <w:szCs w:val="22"/>
                <w:lang w:val="fr-FR"/>
              </w:rPr>
              <w:t>adaptation à ces changements dans les zones humides</w:t>
            </w:r>
          </w:p>
          <w:p w:rsidR="00E37382" w:rsidRPr="000B1617" w:rsidRDefault="00E37382" w:rsidP="00E37382">
            <w:pPr>
              <w:pStyle w:val="Default"/>
              <w:rPr>
                <w:sz w:val="22"/>
                <w:szCs w:val="22"/>
                <w:lang w:val="fr-FR"/>
              </w:rPr>
            </w:pPr>
          </w:p>
          <w:p w:rsidR="00E37382" w:rsidRPr="000B1617" w:rsidRDefault="00E37382" w:rsidP="00E37382">
            <w:pPr>
              <w:pStyle w:val="Default"/>
              <w:rPr>
                <w:sz w:val="22"/>
                <w:szCs w:val="22"/>
                <w:lang w:val="fr-FR"/>
              </w:rPr>
            </w:pPr>
            <w:r w:rsidRPr="000B1617">
              <w:rPr>
                <w:sz w:val="22"/>
                <w:szCs w:val="22"/>
                <w:lang w:val="fr-FR"/>
              </w:rPr>
              <w:t>XIII.18</w:t>
            </w:r>
          </w:p>
          <w:p w:rsidR="00E37382" w:rsidRPr="003E2A18" w:rsidRDefault="00E37382" w:rsidP="00E37382">
            <w:pPr>
              <w:pStyle w:val="Default"/>
              <w:rPr>
                <w:sz w:val="22"/>
                <w:szCs w:val="22"/>
                <w:lang w:val="fr-FR"/>
              </w:rPr>
            </w:pPr>
            <w:r w:rsidRPr="003E2A18">
              <w:rPr>
                <w:sz w:val="22"/>
                <w:szCs w:val="22"/>
                <w:lang w:val="fr-FR"/>
              </w:rPr>
              <w:t xml:space="preserve">Égalité entre les sexes dans le contexte des zones humides </w:t>
            </w:r>
          </w:p>
          <w:p w:rsidR="00E37382" w:rsidRPr="000B1617" w:rsidRDefault="00E37382" w:rsidP="00E37382">
            <w:pPr>
              <w:pStyle w:val="Default"/>
              <w:rPr>
                <w:sz w:val="22"/>
                <w:szCs w:val="22"/>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t>Eau, aspects liés à l</w:t>
            </w:r>
            <w:r>
              <w:rPr>
                <w:rFonts w:asciiTheme="minorHAnsi" w:hAnsiTheme="minorHAnsi" w:cstheme="minorHAnsi"/>
                <w:b/>
                <w:lang w:val="fr-FR"/>
              </w:rPr>
              <w:t>’</w:t>
            </w:r>
            <w:r w:rsidRPr="003E2A18">
              <w:rPr>
                <w:rFonts w:asciiTheme="minorHAnsi" w:hAnsiTheme="minorHAnsi" w:cstheme="minorHAnsi"/>
                <w:b/>
                <w:lang w:val="fr-FR"/>
              </w:rPr>
              <w:t>eau et à la gestion de l</w:t>
            </w:r>
            <w:r>
              <w:rPr>
                <w:rFonts w:asciiTheme="minorHAnsi" w:hAnsiTheme="minorHAnsi" w:cstheme="minorHAnsi"/>
                <w:b/>
                <w:lang w:val="fr-FR"/>
              </w:rPr>
              <w:t>’</w:t>
            </w:r>
            <w:r w:rsidRPr="003E2A18">
              <w:rPr>
                <w:rFonts w:asciiTheme="minorHAnsi" w:hAnsiTheme="minorHAnsi" w:cstheme="minorHAnsi"/>
                <w:b/>
                <w:lang w:val="fr-FR"/>
              </w:rPr>
              <w:t>eau</w:t>
            </w:r>
          </w:p>
        </w:tc>
        <w:tc>
          <w:tcPr>
            <w:tcW w:w="6780" w:type="dxa"/>
          </w:tcPr>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VI.23</w:t>
            </w:r>
          </w:p>
          <w:p w:rsidR="00E37382" w:rsidRPr="003E2A18" w:rsidRDefault="00E37382" w:rsidP="00E37382">
            <w:pPr>
              <w:pStyle w:val="Default"/>
              <w:rPr>
                <w:sz w:val="22"/>
                <w:szCs w:val="22"/>
                <w:lang w:val="fr-FR"/>
              </w:rPr>
            </w:pPr>
            <w:r w:rsidRPr="003E2A18">
              <w:rPr>
                <w:sz w:val="22"/>
                <w:szCs w:val="22"/>
                <w:lang w:val="fr-FR"/>
              </w:rPr>
              <w:t>Ramsar et l</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VII.18</w:t>
            </w:r>
          </w:p>
          <w:p w:rsidR="00E37382" w:rsidRPr="003E2A18" w:rsidRDefault="00E37382" w:rsidP="00E37382">
            <w:pPr>
              <w:pStyle w:val="Default"/>
              <w:rPr>
                <w:sz w:val="22"/>
                <w:szCs w:val="22"/>
                <w:lang w:val="fr-FR"/>
              </w:rPr>
            </w:pPr>
            <w:r w:rsidRPr="003E2A18">
              <w:rPr>
                <w:sz w:val="22"/>
                <w:szCs w:val="22"/>
                <w:lang w:val="fr-FR"/>
              </w:rPr>
              <w:t>Lignes directrices pour l</w:t>
            </w:r>
            <w:r>
              <w:rPr>
                <w:sz w:val="22"/>
                <w:szCs w:val="22"/>
                <w:lang w:val="fr-FR"/>
              </w:rPr>
              <w:t>’</w:t>
            </w:r>
            <w:r w:rsidRPr="003E2A18">
              <w:rPr>
                <w:sz w:val="22"/>
                <w:szCs w:val="22"/>
                <w:lang w:val="fr-FR"/>
              </w:rPr>
              <w:t>intégration de la conservation et de l</w:t>
            </w:r>
            <w:r>
              <w:rPr>
                <w:sz w:val="22"/>
                <w:szCs w:val="22"/>
                <w:lang w:val="fr-FR"/>
              </w:rPr>
              <w:t>’</w:t>
            </w:r>
            <w:r w:rsidRPr="003E2A18">
              <w:rPr>
                <w:sz w:val="22"/>
                <w:szCs w:val="22"/>
                <w:lang w:val="fr-FR"/>
              </w:rPr>
              <w:t xml:space="preserve">utilisation rationnelle des zones humides dans la gestion des bassins hydrographiques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w:t>
            </w:r>
          </w:p>
          <w:p w:rsidR="00E37382" w:rsidRPr="003E2A18" w:rsidRDefault="00E37382" w:rsidP="00E37382">
            <w:pPr>
              <w:pStyle w:val="Default"/>
              <w:rPr>
                <w:sz w:val="22"/>
                <w:szCs w:val="22"/>
                <w:lang w:val="fr-FR"/>
              </w:rPr>
            </w:pPr>
            <w:r w:rsidRPr="003E2A18">
              <w:rPr>
                <w:sz w:val="22"/>
                <w:szCs w:val="22"/>
                <w:lang w:val="fr-FR"/>
              </w:rPr>
              <w:t>Lignes directrices relatives à l</w:t>
            </w:r>
            <w:r>
              <w:rPr>
                <w:sz w:val="22"/>
                <w:szCs w:val="22"/>
                <w:lang w:val="fr-FR"/>
              </w:rPr>
              <w:t>’</w:t>
            </w:r>
            <w:r w:rsidRPr="003E2A18">
              <w:rPr>
                <w:sz w:val="22"/>
                <w:szCs w:val="22"/>
                <w:lang w:val="fr-FR"/>
              </w:rPr>
              <w:t>attribution et à la gestion de l</w:t>
            </w:r>
            <w:r>
              <w:rPr>
                <w:sz w:val="22"/>
                <w:szCs w:val="22"/>
                <w:lang w:val="fr-FR"/>
              </w:rPr>
              <w:t>’</w:t>
            </w:r>
            <w:r w:rsidRPr="003E2A18">
              <w:rPr>
                <w:sz w:val="22"/>
                <w:szCs w:val="22"/>
                <w:lang w:val="fr-FR"/>
              </w:rPr>
              <w:t xml:space="preserve">eau en vue </w:t>
            </w:r>
            <w:r w:rsidRPr="003E2A18">
              <w:rPr>
                <w:sz w:val="22"/>
                <w:szCs w:val="22"/>
                <w:lang w:val="fr-FR"/>
              </w:rPr>
              <w:lastRenderedPageBreak/>
              <w:t xml:space="preserve">de maintenir les fonctions écologiques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VIII.34*</w:t>
            </w:r>
          </w:p>
          <w:p w:rsidR="00E37382" w:rsidRPr="003E2A18" w:rsidRDefault="00E37382" w:rsidP="00E37382">
            <w:pPr>
              <w:pStyle w:val="Default"/>
              <w:rPr>
                <w:sz w:val="22"/>
                <w:szCs w:val="22"/>
                <w:lang w:val="fr-FR"/>
              </w:rPr>
            </w:pPr>
            <w:r w:rsidRPr="003E2A18">
              <w:rPr>
                <w:sz w:val="22"/>
                <w:szCs w:val="22"/>
                <w:lang w:val="fr-FR"/>
              </w:rPr>
              <w:t>Agriculture, zones humides et gestion des ressources d</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VIII.40*</w:t>
            </w:r>
          </w:p>
          <w:p w:rsidR="00E37382" w:rsidRPr="003E2A18" w:rsidRDefault="00E37382" w:rsidP="00E37382">
            <w:pPr>
              <w:pStyle w:val="Default"/>
              <w:rPr>
                <w:sz w:val="22"/>
                <w:szCs w:val="22"/>
                <w:lang w:val="fr-FR"/>
              </w:rPr>
            </w:pPr>
            <w:r w:rsidRPr="003E2A18">
              <w:rPr>
                <w:sz w:val="22"/>
                <w:szCs w:val="22"/>
                <w:lang w:val="fr-FR"/>
              </w:rPr>
              <w:t xml:space="preserve">Orientations relatives à une utilisation des eaux souterraines compatible avec la conservation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IX.3*</w:t>
            </w:r>
          </w:p>
          <w:p w:rsidR="00E37382" w:rsidRPr="003E2A18" w:rsidRDefault="00E37382" w:rsidP="00E37382">
            <w:pPr>
              <w:pStyle w:val="Default"/>
              <w:rPr>
                <w:sz w:val="22"/>
                <w:szCs w:val="22"/>
                <w:lang w:val="fr-FR"/>
              </w:rPr>
            </w:pPr>
            <w:r w:rsidRPr="003E2A18">
              <w:rPr>
                <w:sz w:val="22"/>
                <w:szCs w:val="22"/>
                <w:lang w:val="fr-FR"/>
              </w:rPr>
              <w:t>Engagement de la Convention de Ramsar sur les zones humides dans les mécanismes multilatéraux en cours relatifs à l</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X.19</w:t>
            </w:r>
          </w:p>
          <w:p w:rsidR="00E37382" w:rsidRPr="003E2A18" w:rsidRDefault="00E37382" w:rsidP="00E37382">
            <w:pPr>
              <w:pStyle w:val="Default"/>
              <w:rPr>
                <w:sz w:val="22"/>
                <w:szCs w:val="22"/>
                <w:lang w:val="fr-FR"/>
              </w:rPr>
            </w:pPr>
            <w:r w:rsidRPr="003E2A18">
              <w:rPr>
                <w:sz w:val="22"/>
                <w:szCs w:val="22"/>
                <w:lang w:val="fr-FR"/>
              </w:rPr>
              <w:t xml:space="preserve">Les zones humides et la gestion des bassins hydrographiques : orientations scientifiques et techniques regroupées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XII.12*</w:t>
            </w:r>
          </w:p>
          <w:p w:rsidR="00E37382" w:rsidRPr="003E2A18" w:rsidRDefault="00E37382" w:rsidP="00E37382">
            <w:pPr>
              <w:pStyle w:val="Default"/>
              <w:rPr>
                <w:sz w:val="22"/>
                <w:szCs w:val="22"/>
                <w:lang w:val="fr-FR"/>
              </w:rPr>
            </w:pPr>
            <w:r w:rsidRPr="003E2A18">
              <w:rPr>
                <w:sz w:val="22"/>
                <w:szCs w:val="22"/>
                <w:lang w:val="fr-FR"/>
              </w:rPr>
              <w:t>Appel à l</w:t>
            </w:r>
            <w:r>
              <w:rPr>
                <w:sz w:val="22"/>
                <w:szCs w:val="22"/>
                <w:lang w:val="fr-FR"/>
              </w:rPr>
              <w:t>’</w:t>
            </w:r>
            <w:r w:rsidRPr="003E2A18">
              <w:rPr>
                <w:sz w:val="22"/>
                <w:szCs w:val="22"/>
                <w:lang w:val="fr-FR"/>
              </w:rPr>
              <w:t xml:space="preserve">action pour garantir et protéger les besoins en eau des zones humides, présents et futurs </w:t>
            </w:r>
          </w:p>
          <w:p w:rsidR="00E37382" w:rsidRPr="003E2A18" w:rsidRDefault="00E37382" w:rsidP="00E37382">
            <w:pPr>
              <w:rPr>
                <w:rFonts w:asciiTheme="minorHAnsi" w:hAnsiTheme="minorHAnsi" w:cstheme="minorHAnsi"/>
                <w:lang w:val="fr-FR"/>
              </w:rPr>
            </w:pPr>
          </w:p>
        </w:tc>
      </w:tr>
      <w:tr w:rsidR="00E37382" w:rsidRPr="00E37382" w:rsidTr="00E37382">
        <w:tc>
          <w:tcPr>
            <w:tcW w:w="2400" w:type="dxa"/>
          </w:tcPr>
          <w:p w:rsidR="00E37382" w:rsidRPr="003E2A18" w:rsidRDefault="00E37382" w:rsidP="00E37382">
            <w:pPr>
              <w:ind w:left="0" w:firstLine="0"/>
              <w:rPr>
                <w:rFonts w:asciiTheme="minorHAnsi" w:hAnsiTheme="minorHAnsi" w:cstheme="minorHAnsi"/>
                <w:b/>
                <w:lang w:val="fr-FR"/>
              </w:rPr>
            </w:pPr>
            <w:r w:rsidRPr="003E2A18">
              <w:rPr>
                <w:rFonts w:asciiTheme="minorHAnsi" w:hAnsiTheme="minorHAnsi" w:cstheme="minorHAnsi"/>
                <w:b/>
                <w:lang w:val="fr-FR"/>
              </w:rPr>
              <w:lastRenderedPageBreak/>
              <w:t>Utilisation rationnelle, conservation, écologie, restauration, etc.</w:t>
            </w:r>
          </w:p>
        </w:tc>
        <w:tc>
          <w:tcPr>
            <w:tcW w:w="6780" w:type="dxa"/>
          </w:tcPr>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2.9</w:t>
            </w:r>
          </w:p>
          <w:p w:rsidR="00E37382" w:rsidRPr="003E2A18" w:rsidRDefault="00E37382" w:rsidP="00E37382">
            <w:pPr>
              <w:pStyle w:val="Default"/>
              <w:rPr>
                <w:sz w:val="22"/>
                <w:szCs w:val="22"/>
                <w:lang w:val="fr-FR"/>
              </w:rPr>
            </w:pPr>
            <w:r w:rsidRPr="003E2A18">
              <w:rPr>
                <w:sz w:val="22"/>
                <w:szCs w:val="22"/>
                <w:lang w:val="fr-FR"/>
              </w:rPr>
              <w:t>Mesures de conservation et de protection des zones humides ne figurant pas sur la Liste des zones humides d</w:t>
            </w:r>
            <w:r>
              <w:rPr>
                <w:sz w:val="22"/>
                <w:szCs w:val="22"/>
                <w:lang w:val="fr-FR"/>
              </w:rPr>
              <w:t>’</w:t>
            </w:r>
            <w:r w:rsidRPr="003E2A18">
              <w:rPr>
                <w:sz w:val="22"/>
                <w:szCs w:val="22"/>
                <w:lang w:val="fr-FR"/>
              </w:rPr>
              <w:t xml:space="preserve">importance internationale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bCs/>
                <w:lang w:val="fr-FR"/>
              </w:rPr>
              <w:t>Recom 3.3</w:t>
            </w:r>
          </w:p>
          <w:p w:rsidR="00E37382" w:rsidRPr="003E2A18" w:rsidRDefault="00E37382" w:rsidP="00E37382">
            <w:pPr>
              <w:pStyle w:val="Default"/>
              <w:rPr>
                <w:sz w:val="22"/>
                <w:szCs w:val="22"/>
                <w:lang w:val="fr-FR"/>
              </w:rPr>
            </w:pP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w:t>
            </w:r>
          </w:p>
          <w:p w:rsidR="00E37382" w:rsidRPr="003E2A18" w:rsidRDefault="00E37382" w:rsidP="00E37382">
            <w:pPr>
              <w:pStyle w:val="Default"/>
              <w:rPr>
                <w:sz w:val="22"/>
                <w:szCs w:val="22"/>
                <w:lang w:val="fr-FR"/>
              </w:rPr>
            </w:pPr>
            <w:r w:rsidRPr="003E2A18">
              <w:rPr>
                <w:sz w:val="22"/>
                <w:szCs w:val="22"/>
                <w:lang w:val="fr-FR"/>
              </w:rPr>
              <w:t xml:space="preserve">Restauration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4.4</w:t>
            </w:r>
          </w:p>
          <w:p w:rsidR="00E37382" w:rsidRPr="003E2A18" w:rsidRDefault="00E37382" w:rsidP="00E37382">
            <w:pPr>
              <w:pStyle w:val="Default"/>
              <w:rPr>
                <w:sz w:val="22"/>
                <w:szCs w:val="22"/>
                <w:lang w:val="fr-FR"/>
              </w:rPr>
            </w:pPr>
            <w:r w:rsidRPr="003E2A18">
              <w:rPr>
                <w:sz w:val="22"/>
                <w:szCs w:val="22"/>
                <w:lang w:val="fr-FR"/>
              </w:rPr>
              <w:t xml:space="preserve">Création de réserves de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bCs/>
                <w:lang w:val="fr-FR"/>
              </w:rPr>
              <w:t>Recom 4.10</w:t>
            </w:r>
          </w:p>
          <w:p w:rsidR="00E37382" w:rsidRPr="003E2A18" w:rsidRDefault="00E37382" w:rsidP="00E37382">
            <w:pPr>
              <w:pStyle w:val="Default"/>
              <w:rPr>
                <w:sz w:val="22"/>
                <w:szCs w:val="22"/>
                <w:lang w:val="fr-FR"/>
              </w:rPr>
            </w:pPr>
            <w:r w:rsidRPr="003E2A18">
              <w:rPr>
                <w:sz w:val="22"/>
                <w:szCs w:val="22"/>
                <w:lang w:val="fr-FR"/>
              </w:rPr>
              <w:t>Lignes directrices sur l</w:t>
            </w:r>
            <w:r>
              <w:rPr>
                <w:sz w:val="22"/>
                <w:szCs w:val="22"/>
                <w:lang w:val="fr-FR"/>
              </w:rPr>
              <w:t>’</w:t>
            </w:r>
            <w:r w:rsidRPr="003E2A18">
              <w:rPr>
                <w:sz w:val="22"/>
                <w:szCs w:val="22"/>
                <w:lang w:val="fr-FR"/>
              </w:rPr>
              <w:t>application du concept d</w:t>
            </w:r>
            <w:r>
              <w:rPr>
                <w:sz w:val="22"/>
                <w:szCs w:val="22"/>
                <w:lang w:val="fr-FR"/>
              </w:rPr>
              <w:t>’</w:t>
            </w:r>
            <w:r w:rsidRPr="003E2A18">
              <w:rPr>
                <w:sz w:val="22"/>
                <w:szCs w:val="22"/>
                <w:lang w:val="fr-FR"/>
              </w:rPr>
              <w:t xml:space="preserve">utilisation rationnelle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5.3</w:t>
            </w:r>
          </w:p>
          <w:p w:rsidR="00E37382" w:rsidRPr="003E2A18" w:rsidRDefault="00E37382" w:rsidP="00E37382">
            <w:pPr>
              <w:pStyle w:val="Default"/>
              <w:rPr>
                <w:sz w:val="22"/>
                <w:szCs w:val="22"/>
                <w:lang w:val="fr-FR"/>
              </w:rPr>
            </w:pPr>
            <w:r w:rsidRPr="003E2A18">
              <w:rPr>
                <w:sz w:val="22"/>
                <w:szCs w:val="22"/>
                <w:lang w:val="fr-FR"/>
              </w:rPr>
              <w:t>Le caractère essentiel des zones humides et nécessité d</w:t>
            </w:r>
            <w:r>
              <w:rPr>
                <w:sz w:val="22"/>
                <w:szCs w:val="22"/>
                <w:lang w:val="fr-FR"/>
              </w:rPr>
              <w:t>’</w:t>
            </w:r>
            <w:r w:rsidRPr="003E2A18">
              <w:rPr>
                <w:sz w:val="22"/>
                <w:szCs w:val="22"/>
                <w:lang w:val="fr-FR"/>
              </w:rPr>
              <w:t xml:space="preserve">un zonage relatif aux réserves établies dans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5.5</w:t>
            </w:r>
          </w:p>
          <w:p w:rsidR="00E37382" w:rsidRPr="003E2A18" w:rsidRDefault="00E37382" w:rsidP="00E37382">
            <w:pPr>
              <w:pStyle w:val="Default"/>
              <w:rPr>
                <w:sz w:val="22"/>
                <w:szCs w:val="22"/>
                <w:lang w:val="fr-FR"/>
              </w:rPr>
            </w:pPr>
            <w:r w:rsidRPr="003E2A18">
              <w:rPr>
                <w:sz w:val="22"/>
                <w:szCs w:val="22"/>
                <w:lang w:val="fr-FR"/>
              </w:rPr>
              <w:t>L</w:t>
            </w:r>
            <w:r>
              <w:rPr>
                <w:sz w:val="22"/>
                <w:szCs w:val="22"/>
                <w:lang w:val="fr-FR"/>
              </w:rPr>
              <w:t>’</w:t>
            </w:r>
            <w:r w:rsidRPr="003E2A18">
              <w:rPr>
                <w:sz w:val="22"/>
                <w:szCs w:val="22"/>
                <w:lang w:val="fr-FR"/>
              </w:rPr>
              <w:t>inclusion de la conservation et de l</w:t>
            </w:r>
            <w:r>
              <w:rPr>
                <w:sz w:val="22"/>
                <w:szCs w:val="22"/>
                <w:lang w:val="fr-FR"/>
              </w:rPr>
              <w:t>’</w:t>
            </w:r>
            <w:r w:rsidRPr="003E2A18">
              <w:rPr>
                <w:sz w:val="22"/>
                <w:szCs w:val="22"/>
                <w:lang w:val="fr-FR"/>
              </w:rPr>
              <w:t xml:space="preserve">utilisation rationnelle des zones humides dans les programmes multilatéraux et bilatéraux de coopération pour le développement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5.6</w:t>
            </w:r>
          </w:p>
          <w:p w:rsidR="00E37382" w:rsidRPr="003E2A18" w:rsidRDefault="00E37382" w:rsidP="00E37382">
            <w:pPr>
              <w:pStyle w:val="Default"/>
              <w:rPr>
                <w:sz w:val="22"/>
                <w:szCs w:val="22"/>
                <w:lang w:val="fr-FR"/>
              </w:rPr>
            </w:pP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lastRenderedPageBreak/>
              <w:t>Recom 6.1</w:t>
            </w:r>
          </w:p>
          <w:p w:rsidR="00E37382" w:rsidRPr="003E2A18" w:rsidRDefault="00E37382" w:rsidP="00E37382">
            <w:pPr>
              <w:pStyle w:val="Default"/>
              <w:rPr>
                <w:sz w:val="22"/>
                <w:szCs w:val="22"/>
                <w:lang w:val="fr-FR"/>
              </w:rPr>
            </w:pPr>
            <w:r w:rsidRPr="003E2A18">
              <w:rPr>
                <w:sz w:val="22"/>
                <w:szCs w:val="22"/>
                <w:lang w:val="fr-FR"/>
              </w:rPr>
              <w:t xml:space="preserve">Conservation des tourbières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6.7</w:t>
            </w:r>
          </w:p>
          <w:p w:rsidR="00E37382" w:rsidRPr="003E2A18" w:rsidRDefault="00E37382" w:rsidP="00E37382">
            <w:pPr>
              <w:pStyle w:val="Default"/>
              <w:rPr>
                <w:sz w:val="22"/>
                <w:szCs w:val="22"/>
                <w:lang w:val="fr-FR"/>
              </w:rPr>
            </w:pPr>
            <w:r w:rsidRPr="003E2A18">
              <w:rPr>
                <w:sz w:val="22"/>
                <w:szCs w:val="22"/>
                <w:lang w:val="fr-FR"/>
              </w:rPr>
              <w:t xml:space="preserve">Conservation et utilisation rationnelle des récifs coralliens et des écosystèmes associés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6.12</w:t>
            </w:r>
          </w:p>
          <w:p w:rsidR="00E37382" w:rsidRPr="003E2A18" w:rsidRDefault="00E37382" w:rsidP="00E37382">
            <w:pPr>
              <w:pStyle w:val="Default"/>
              <w:rPr>
                <w:sz w:val="22"/>
                <w:szCs w:val="22"/>
                <w:lang w:val="fr-FR"/>
              </w:rPr>
            </w:pPr>
            <w:r w:rsidRPr="003E2A18">
              <w:rPr>
                <w:sz w:val="22"/>
                <w:szCs w:val="22"/>
                <w:lang w:val="fr-FR"/>
              </w:rPr>
              <w:t xml:space="preserve">Conservation et utilisation rationnelle dans les activités financées par les secteurs public et privé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6.14</w:t>
            </w:r>
          </w:p>
          <w:p w:rsidR="00E37382" w:rsidRPr="003E2A18" w:rsidRDefault="00E37382" w:rsidP="00E37382">
            <w:pPr>
              <w:pStyle w:val="Default"/>
              <w:rPr>
                <w:sz w:val="22"/>
                <w:szCs w:val="22"/>
                <w:lang w:val="fr-FR"/>
              </w:rPr>
            </w:pPr>
            <w:r w:rsidRPr="003E2A18">
              <w:rPr>
                <w:sz w:val="22"/>
                <w:szCs w:val="22"/>
                <w:lang w:val="fr-FR"/>
              </w:rPr>
              <w:t xml:space="preserve">Substances toxiques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6.15</w:t>
            </w:r>
          </w:p>
          <w:p w:rsidR="00E37382" w:rsidRPr="003E2A18" w:rsidRDefault="00E37382" w:rsidP="00E37382">
            <w:pPr>
              <w:pStyle w:val="Default"/>
              <w:rPr>
                <w:sz w:val="22"/>
                <w:szCs w:val="22"/>
                <w:lang w:val="fr-FR"/>
              </w:rPr>
            </w:pPr>
            <w:r w:rsidRPr="003E2A18">
              <w:rPr>
                <w:sz w:val="22"/>
                <w:szCs w:val="22"/>
                <w:lang w:val="fr-FR"/>
              </w:rPr>
              <w:t xml:space="preserve">Restauration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6.16</w:t>
            </w:r>
          </w:p>
          <w:p w:rsidR="00E37382" w:rsidRPr="003E2A18" w:rsidRDefault="00E37382" w:rsidP="00E37382">
            <w:pPr>
              <w:pStyle w:val="Default"/>
              <w:rPr>
                <w:sz w:val="22"/>
                <w:szCs w:val="22"/>
                <w:lang w:val="fr-FR"/>
              </w:rPr>
            </w:pPr>
            <w:r w:rsidRPr="003E2A18">
              <w:rPr>
                <w:sz w:val="22"/>
                <w:szCs w:val="22"/>
                <w:lang w:val="fr-FR"/>
              </w:rPr>
              <w:t xml:space="preserve">Conservation et utilisation rationnelle des zones humides dans les programmes bilatéraux et multilatéraux de coopération au développement </w:t>
            </w:r>
          </w:p>
          <w:p w:rsidR="00E37382" w:rsidRPr="003E2A18" w:rsidRDefault="00E37382" w:rsidP="00E37382">
            <w:pPr>
              <w:pStyle w:val="Default"/>
              <w:rPr>
                <w:sz w:val="22"/>
                <w:szCs w:val="22"/>
                <w:lang w:val="fr-FR"/>
              </w:rPr>
            </w:pPr>
          </w:p>
          <w:p w:rsidR="00E37382" w:rsidRPr="003E2A18" w:rsidRDefault="00E37382" w:rsidP="00E37382">
            <w:pPr>
              <w:ind w:left="0" w:firstLine="0"/>
              <w:rPr>
                <w:rFonts w:asciiTheme="minorHAnsi" w:hAnsiTheme="minorHAnsi" w:cstheme="minorHAnsi"/>
                <w:bCs/>
                <w:lang w:val="fr-FR"/>
              </w:rPr>
            </w:pPr>
            <w:r w:rsidRPr="003E2A18">
              <w:rPr>
                <w:rFonts w:asciiTheme="minorHAnsi" w:hAnsiTheme="minorHAnsi" w:cstheme="minorHAnsi"/>
                <w:lang w:val="fr-FR"/>
              </w:rPr>
              <w:t>Recom 6.18</w:t>
            </w:r>
          </w:p>
          <w:p w:rsidR="00E37382" w:rsidRPr="003E2A18" w:rsidRDefault="00E37382" w:rsidP="00E37382">
            <w:pPr>
              <w:pStyle w:val="Default"/>
              <w:rPr>
                <w:sz w:val="22"/>
                <w:szCs w:val="22"/>
                <w:lang w:val="fr-FR"/>
              </w:rPr>
            </w:pPr>
            <w:r w:rsidRPr="003E2A18">
              <w:rPr>
                <w:sz w:val="22"/>
                <w:szCs w:val="22"/>
                <w:lang w:val="fr-FR"/>
              </w:rPr>
              <w:t xml:space="preserve">Conservation et utilisation rationnelle des zones humides dans la région des îles du Pacifique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Recom 7.1*</w:t>
            </w:r>
          </w:p>
          <w:p w:rsidR="00E37382" w:rsidRPr="003E2A18" w:rsidRDefault="00E37382" w:rsidP="00E37382">
            <w:pPr>
              <w:pStyle w:val="Default"/>
              <w:rPr>
                <w:sz w:val="22"/>
                <w:szCs w:val="22"/>
                <w:lang w:val="fr-FR"/>
              </w:rPr>
            </w:pPr>
            <w:r w:rsidRPr="003E2A18">
              <w:rPr>
                <w:sz w:val="22"/>
                <w:szCs w:val="22"/>
                <w:lang w:val="fr-FR"/>
              </w:rPr>
              <w:t>Un Plan d</w:t>
            </w:r>
            <w:r>
              <w:rPr>
                <w:sz w:val="22"/>
                <w:szCs w:val="22"/>
                <w:lang w:val="fr-FR"/>
              </w:rPr>
              <w:t>’</w:t>
            </w:r>
            <w:r w:rsidRPr="003E2A18">
              <w:rPr>
                <w:sz w:val="22"/>
                <w:szCs w:val="22"/>
                <w:lang w:val="fr-FR"/>
              </w:rPr>
              <w:t>action mondial pour l</w:t>
            </w:r>
            <w:r>
              <w:rPr>
                <w:sz w:val="22"/>
                <w:szCs w:val="22"/>
                <w:lang w:val="fr-FR"/>
              </w:rPr>
              <w:t>’</w:t>
            </w:r>
            <w:r w:rsidRPr="003E2A18">
              <w:rPr>
                <w:sz w:val="22"/>
                <w:szCs w:val="22"/>
                <w:lang w:val="fr-FR"/>
              </w:rPr>
              <w:t xml:space="preserve">utilisation rationnelle et la gestion des tourbières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lang w:val="fr-FR"/>
              </w:rPr>
              <w:t>VII.7*</w:t>
            </w:r>
          </w:p>
          <w:p w:rsidR="00E37382" w:rsidRPr="003E2A18" w:rsidRDefault="00E37382" w:rsidP="00E37382">
            <w:pPr>
              <w:pStyle w:val="Default"/>
              <w:rPr>
                <w:sz w:val="22"/>
                <w:szCs w:val="22"/>
                <w:lang w:val="fr-FR"/>
              </w:rPr>
            </w:pPr>
            <w:r w:rsidRPr="003E2A18">
              <w:rPr>
                <w:sz w:val="22"/>
                <w:szCs w:val="22"/>
                <w:lang w:val="fr-FR"/>
              </w:rPr>
              <w:t>Lignes directrices pour l</w:t>
            </w:r>
            <w:r>
              <w:rPr>
                <w:sz w:val="22"/>
                <w:szCs w:val="22"/>
                <w:lang w:val="fr-FR"/>
              </w:rPr>
              <w:t>’</w:t>
            </w:r>
            <w:r w:rsidRPr="003E2A18">
              <w:rPr>
                <w:sz w:val="22"/>
                <w:szCs w:val="22"/>
                <w:lang w:val="fr-FR"/>
              </w:rPr>
              <w:t>étude des lois et des institutions en vue de promouvoir la Conservation et l</w:t>
            </w:r>
            <w:r>
              <w:rPr>
                <w:sz w:val="22"/>
                <w:szCs w:val="22"/>
                <w:lang w:val="fr-FR"/>
              </w:rPr>
              <w:t>’</w:t>
            </w: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VII.10</w:t>
            </w:r>
          </w:p>
          <w:p w:rsidR="00E37382" w:rsidRPr="003E2A18" w:rsidRDefault="00E37382" w:rsidP="00E37382">
            <w:pPr>
              <w:pStyle w:val="Default"/>
              <w:rPr>
                <w:sz w:val="22"/>
                <w:szCs w:val="22"/>
                <w:lang w:val="fr-FR"/>
              </w:rPr>
            </w:pPr>
            <w:r w:rsidRPr="003E2A18">
              <w:rPr>
                <w:sz w:val="22"/>
                <w:szCs w:val="22"/>
                <w:lang w:val="fr-FR"/>
              </w:rPr>
              <w:t>Cadre d</w:t>
            </w:r>
            <w:r>
              <w:rPr>
                <w:sz w:val="22"/>
                <w:szCs w:val="22"/>
                <w:lang w:val="fr-FR"/>
              </w:rPr>
              <w:t>’</w:t>
            </w:r>
            <w:r w:rsidRPr="003E2A18">
              <w:rPr>
                <w:sz w:val="22"/>
                <w:szCs w:val="22"/>
                <w:lang w:val="fr-FR"/>
              </w:rPr>
              <w:t xml:space="preserve">évaluation des risques pour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VII.15</w:t>
            </w:r>
          </w:p>
          <w:p w:rsidR="00E37382" w:rsidRPr="003E2A18" w:rsidRDefault="00E37382" w:rsidP="00E37382">
            <w:pPr>
              <w:pStyle w:val="Default"/>
              <w:rPr>
                <w:sz w:val="22"/>
                <w:szCs w:val="22"/>
                <w:lang w:val="fr-FR"/>
              </w:rPr>
            </w:pPr>
            <w:r w:rsidRPr="003E2A18">
              <w:rPr>
                <w:sz w:val="22"/>
                <w:szCs w:val="22"/>
                <w:lang w:val="fr-FR"/>
              </w:rPr>
              <w:t>Mesures d</w:t>
            </w:r>
            <w:r>
              <w:rPr>
                <w:sz w:val="22"/>
                <w:szCs w:val="22"/>
                <w:lang w:val="fr-FR"/>
              </w:rPr>
              <w:t>’</w:t>
            </w:r>
            <w:r w:rsidRPr="003E2A18">
              <w:rPr>
                <w:sz w:val="22"/>
                <w:szCs w:val="22"/>
                <w:lang w:val="fr-FR"/>
              </w:rPr>
              <w:t>incitation en faveur de l</w:t>
            </w:r>
            <w:r>
              <w:rPr>
                <w:sz w:val="22"/>
                <w:szCs w:val="22"/>
                <w:lang w:val="fr-FR"/>
              </w:rPr>
              <w:t>’</w:t>
            </w:r>
            <w:r w:rsidRPr="003E2A18">
              <w:rPr>
                <w:sz w:val="22"/>
                <w:szCs w:val="22"/>
                <w:lang w:val="fr-FR"/>
              </w:rPr>
              <w:t>application des principes d</w:t>
            </w:r>
            <w:r>
              <w:rPr>
                <w:sz w:val="22"/>
                <w:szCs w:val="22"/>
                <w:lang w:val="fr-FR"/>
              </w:rPr>
              <w:t>’</w:t>
            </w:r>
            <w:r w:rsidRPr="003E2A18">
              <w:rPr>
                <w:sz w:val="22"/>
                <w:szCs w:val="22"/>
                <w:lang w:val="fr-FR"/>
              </w:rPr>
              <w:t xml:space="preserve">utilisation rationnelle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VII.17</w:t>
            </w:r>
          </w:p>
          <w:p w:rsidR="00E37382" w:rsidRPr="003E2A18" w:rsidRDefault="00E37382" w:rsidP="00E37382">
            <w:pPr>
              <w:pStyle w:val="Default"/>
              <w:rPr>
                <w:sz w:val="22"/>
                <w:szCs w:val="22"/>
                <w:lang w:val="fr-FR"/>
              </w:rPr>
            </w:pPr>
            <w:r w:rsidRPr="003E2A18">
              <w:rPr>
                <w:sz w:val="22"/>
                <w:szCs w:val="22"/>
                <w:lang w:val="fr-FR"/>
              </w:rPr>
              <w:t>La restauration comme élément des plans nationaux pour la conservation et l</w:t>
            </w:r>
            <w:r>
              <w:rPr>
                <w:sz w:val="22"/>
                <w:szCs w:val="22"/>
                <w:lang w:val="fr-FR"/>
              </w:rPr>
              <w:t>’</w:t>
            </w: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VII.21</w:t>
            </w:r>
          </w:p>
          <w:p w:rsidR="00E37382" w:rsidRPr="003E2A18" w:rsidRDefault="00E37382" w:rsidP="00E37382">
            <w:pPr>
              <w:pStyle w:val="Default"/>
              <w:rPr>
                <w:sz w:val="22"/>
                <w:szCs w:val="22"/>
                <w:lang w:val="fr-FR"/>
              </w:rPr>
            </w:pPr>
            <w:r w:rsidRPr="003E2A18">
              <w:rPr>
                <w:sz w:val="22"/>
                <w:szCs w:val="22"/>
                <w:lang w:val="fr-FR"/>
              </w:rPr>
              <w:t>Renforcer les mesures de conservation et d</w:t>
            </w:r>
            <w:r>
              <w:rPr>
                <w:sz w:val="22"/>
                <w:szCs w:val="22"/>
                <w:lang w:val="fr-FR"/>
              </w:rPr>
              <w:t>’</w:t>
            </w:r>
            <w:r w:rsidRPr="003E2A18">
              <w:rPr>
                <w:sz w:val="22"/>
                <w:szCs w:val="22"/>
                <w:lang w:val="fr-FR"/>
              </w:rPr>
              <w:t xml:space="preserve">utilisation rationnelle des zones humides intertidales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VII.24</w:t>
            </w:r>
          </w:p>
          <w:p w:rsidR="00E37382" w:rsidRPr="003E2A18" w:rsidRDefault="00E37382" w:rsidP="00E37382">
            <w:pPr>
              <w:pStyle w:val="Default"/>
              <w:rPr>
                <w:sz w:val="22"/>
                <w:szCs w:val="22"/>
                <w:lang w:val="fr-FR"/>
              </w:rPr>
            </w:pPr>
            <w:r w:rsidRPr="003E2A18">
              <w:rPr>
                <w:sz w:val="22"/>
                <w:szCs w:val="22"/>
                <w:lang w:val="fr-FR"/>
              </w:rPr>
              <w:t xml:space="preserve">Compensation pour la perte de biotopes et autres fonctions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VII.25</w:t>
            </w:r>
          </w:p>
          <w:p w:rsidR="00E37382" w:rsidRPr="003E2A18" w:rsidRDefault="00E37382" w:rsidP="00E37382">
            <w:pPr>
              <w:pStyle w:val="Default"/>
              <w:rPr>
                <w:sz w:val="22"/>
                <w:szCs w:val="22"/>
                <w:lang w:val="fr-FR"/>
              </w:rPr>
            </w:pPr>
            <w:r w:rsidRPr="003E2A18">
              <w:rPr>
                <w:sz w:val="22"/>
                <w:szCs w:val="22"/>
                <w:lang w:val="fr-FR"/>
              </w:rPr>
              <w:t xml:space="preserve">Mesure de la qualité écologique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w:t>
            </w:r>
          </w:p>
          <w:p w:rsidR="00E37382" w:rsidRPr="003E2A18" w:rsidRDefault="00E37382" w:rsidP="00E37382">
            <w:pPr>
              <w:pStyle w:val="Default"/>
              <w:rPr>
                <w:sz w:val="22"/>
                <w:szCs w:val="22"/>
                <w:lang w:val="fr-FR"/>
              </w:rPr>
            </w:pPr>
            <w:r w:rsidRPr="003E2A18">
              <w:rPr>
                <w:sz w:val="22"/>
                <w:szCs w:val="22"/>
                <w:lang w:val="fr-FR"/>
              </w:rPr>
              <w:t xml:space="preserve">Le Rapport de la Commission mondiale des barrages (CMB) et sa pertinence pour la Convention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VIII.7*</w:t>
            </w:r>
          </w:p>
          <w:p w:rsidR="00E37382" w:rsidRPr="003E2A18" w:rsidRDefault="00E37382" w:rsidP="00E37382">
            <w:pPr>
              <w:pStyle w:val="Default"/>
              <w:rPr>
                <w:sz w:val="22"/>
                <w:szCs w:val="22"/>
                <w:lang w:val="fr-FR"/>
              </w:rPr>
            </w:pPr>
            <w:r w:rsidRPr="003E2A18">
              <w:rPr>
                <w:sz w:val="22"/>
                <w:szCs w:val="22"/>
                <w:lang w:val="fr-FR"/>
              </w:rPr>
              <w:t>Lacunes et harmonisation des orientations Ramsar relatives aux caractéristiques écologiques, à l</w:t>
            </w:r>
            <w:r>
              <w:rPr>
                <w:sz w:val="22"/>
                <w:szCs w:val="22"/>
                <w:lang w:val="fr-FR"/>
              </w:rPr>
              <w:t>’</w:t>
            </w:r>
            <w:r w:rsidRPr="003E2A18">
              <w:rPr>
                <w:sz w:val="22"/>
                <w:szCs w:val="22"/>
                <w:lang w:val="fr-FR"/>
              </w:rPr>
              <w:t>inventaire, à l</w:t>
            </w:r>
            <w:r>
              <w:rPr>
                <w:sz w:val="22"/>
                <w:szCs w:val="22"/>
                <w:lang w:val="fr-FR"/>
              </w:rPr>
              <w:t>’</w:t>
            </w:r>
            <w:r w:rsidRPr="003E2A18">
              <w:rPr>
                <w:sz w:val="22"/>
                <w:szCs w:val="22"/>
                <w:lang w:val="fr-FR"/>
              </w:rPr>
              <w:t xml:space="preserve">évaluation et à la surveillance continue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VIII.12</w:t>
            </w:r>
          </w:p>
          <w:p w:rsidR="00E37382" w:rsidRPr="003E2A18" w:rsidRDefault="00E37382" w:rsidP="00E37382">
            <w:pPr>
              <w:pStyle w:val="Default"/>
              <w:rPr>
                <w:sz w:val="22"/>
                <w:szCs w:val="22"/>
                <w:lang w:val="fr-FR"/>
              </w:rPr>
            </w:pPr>
            <w:r w:rsidRPr="003E2A18">
              <w:rPr>
                <w:sz w:val="22"/>
                <w:szCs w:val="22"/>
                <w:lang w:val="fr-FR"/>
              </w:rPr>
              <w:t>Renforcer l</w:t>
            </w:r>
            <w:r>
              <w:rPr>
                <w:sz w:val="22"/>
                <w:szCs w:val="22"/>
                <w:lang w:val="fr-FR"/>
              </w:rPr>
              <w:t>’</w:t>
            </w:r>
            <w:r w:rsidRPr="003E2A18">
              <w:rPr>
                <w:sz w:val="22"/>
                <w:szCs w:val="22"/>
                <w:lang w:val="fr-FR"/>
              </w:rPr>
              <w:t xml:space="preserve">utilisation rationnelle et la conservation des zones humides de montagne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VIII.16</w:t>
            </w:r>
          </w:p>
          <w:p w:rsidR="00E37382" w:rsidRPr="003E2A18" w:rsidRDefault="00E37382" w:rsidP="00E37382">
            <w:pPr>
              <w:pStyle w:val="Default"/>
              <w:rPr>
                <w:sz w:val="22"/>
                <w:szCs w:val="22"/>
                <w:lang w:val="fr-FR"/>
              </w:rPr>
            </w:pPr>
            <w:r w:rsidRPr="003E2A18">
              <w:rPr>
                <w:sz w:val="22"/>
                <w:szCs w:val="22"/>
                <w:lang w:val="fr-FR"/>
              </w:rPr>
              <w:t xml:space="preserve">Principes et lignes directrices pour la restauration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VIII.17</w:t>
            </w:r>
          </w:p>
          <w:p w:rsidR="00E37382" w:rsidRPr="003E2A18" w:rsidRDefault="00E37382" w:rsidP="00E37382">
            <w:pPr>
              <w:pStyle w:val="Default"/>
              <w:rPr>
                <w:sz w:val="22"/>
                <w:szCs w:val="22"/>
                <w:lang w:val="fr-FR"/>
              </w:rPr>
            </w:pPr>
            <w:r w:rsidRPr="003E2A18">
              <w:rPr>
                <w:sz w:val="22"/>
                <w:szCs w:val="22"/>
                <w:lang w:val="fr-FR"/>
              </w:rPr>
              <w:t xml:space="preserve">Lignes directrices relatives à une action mondiale pour les tourbières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VIII.23</w:t>
            </w:r>
          </w:p>
          <w:p w:rsidR="00E37382" w:rsidRPr="003E2A18" w:rsidRDefault="00E37382" w:rsidP="00E37382">
            <w:pPr>
              <w:pStyle w:val="Default"/>
              <w:rPr>
                <w:sz w:val="22"/>
                <w:szCs w:val="22"/>
                <w:lang w:val="fr-FR"/>
              </w:rPr>
            </w:pPr>
            <w:r w:rsidRPr="003E2A18">
              <w:rPr>
                <w:sz w:val="22"/>
                <w:szCs w:val="22"/>
                <w:lang w:val="fr-FR"/>
              </w:rPr>
              <w:t>Les mesures d</w:t>
            </w:r>
            <w:r>
              <w:rPr>
                <w:sz w:val="22"/>
                <w:szCs w:val="22"/>
                <w:lang w:val="fr-FR"/>
              </w:rPr>
              <w:t>’</w:t>
            </w:r>
            <w:r w:rsidRPr="003E2A18">
              <w:rPr>
                <w:sz w:val="22"/>
                <w:szCs w:val="22"/>
                <w:lang w:val="fr-FR"/>
              </w:rPr>
              <w:t>incitation comme instruments de l</w:t>
            </w:r>
            <w:r>
              <w:rPr>
                <w:sz w:val="22"/>
                <w:szCs w:val="22"/>
                <w:lang w:val="fr-FR"/>
              </w:rPr>
              <w:t>’</w:t>
            </w:r>
            <w:r w:rsidRPr="003E2A18">
              <w:rPr>
                <w:sz w:val="22"/>
                <w:szCs w:val="22"/>
                <w:lang w:val="fr-FR"/>
              </w:rPr>
              <w:t xml:space="preserve">utilisation rationnelle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VIII.32*</w:t>
            </w:r>
          </w:p>
          <w:p w:rsidR="00E37382" w:rsidRPr="003E2A18" w:rsidRDefault="00E37382" w:rsidP="00E37382">
            <w:pPr>
              <w:pStyle w:val="Default"/>
              <w:rPr>
                <w:sz w:val="22"/>
                <w:szCs w:val="22"/>
                <w:lang w:val="fr-FR"/>
              </w:rPr>
            </w:pPr>
            <w:r w:rsidRPr="003E2A18">
              <w:rPr>
                <w:sz w:val="22"/>
                <w:szCs w:val="22"/>
                <w:lang w:val="fr-FR"/>
              </w:rPr>
              <w:t xml:space="preserve">Conservation, gestion intégrée et utilisation durable des écosystèmes de mangroves et de leurs ressources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VIII.34*</w:t>
            </w:r>
          </w:p>
          <w:p w:rsidR="00E37382" w:rsidRPr="003E2A18" w:rsidRDefault="00E37382" w:rsidP="00E37382">
            <w:pPr>
              <w:pStyle w:val="Default"/>
              <w:rPr>
                <w:sz w:val="22"/>
                <w:szCs w:val="22"/>
                <w:lang w:val="fr-FR"/>
              </w:rPr>
            </w:pPr>
            <w:r w:rsidRPr="003E2A18">
              <w:rPr>
                <w:sz w:val="22"/>
                <w:szCs w:val="22"/>
                <w:lang w:val="fr-FR"/>
              </w:rPr>
              <w:t>Agriculture, zones humides et gestion des ressources d</w:t>
            </w:r>
            <w:r>
              <w:rPr>
                <w:sz w:val="22"/>
                <w:szCs w:val="22"/>
                <w:lang w:val="fr-FR"/>
              </w:rPr>
              <w:t>’</w:t>
            </w:r>
            <w:r w:rsidRPr="003E2A18">
              <w:rPr>
                <w:sz w:val="22"/>
                <w:szCs w:val="22"/>
                <w:lang w:val="fr-FR"/>
              </w:rPr>
              <w:t xml:space="preserve">eau </w:t>
            </w:r>
          </w:p>
          <w:p w:rsidR="00E37382" w:rsidRPr="003E2A18" w:rsidRDefault="00E37382" w:rsidP="00E37382">
            <w:pPr>
              <w:keepNext/>
              <w:ind w:left="0" w:firstLine="0"/>
              <w:rPr>
                <w:rFonts w:asciiTheme="minorHAnsi" w:hAnsiTheme="minorHAnsi" w:cstheme="minorHAnsi"/>
                <w:lang w:val="fr-FR"/>
              </w:rPr>
            </w:pPr>
          </w:p>
          <w:p w:rsidR="00E37382" w:rsidRPr="003E2A18" w:rsidRDefault="00E37382" w:rsidP="00E37382">
            <w:pPr>
              <w:keepNext/>
              <w:ind w:left="0" w:firstLine="0"/>
              <w:rPr>
                <w:rFonts w:asciiTheme="minorHAnsi" w:hAnsiTheme="minorHAnsi" w:cstheme="minorHAnsi"/>
                <w:lang w:val="fr-FR"/>
              </w:rPr>
            </w:pPr>
            <w:r w:rsidRPr="003E2A18">
              <w:rPr>
                <w:rFonts w:asciiTheme="minorHAnsi" w:hAnsiTheme="minorHAnsi" w:cstheme="minorHAnsi"/>
                <w:lang w:val="fr-FR"/>
              </w:rPr>
              <w:t>VIII.35*</w:t>
            </w:r>
          </w:p>
          <w:p w:rsidR="00E37382" w:rsidRPr="003E2A18" w:rsidRDefault="00E37382" w:rsidP="00E37382">
            <w:pPr>
              <w:pStyle w:val="Default"/>
              <w:rPr>
                <w:sz w:val="22"/>
                <w:szCs w:val="22"/>
                <w:lang w:val="fr-FR"/>
              </w:rPr>
            </w:pPr>
            <w:r w:rsidRPr="003E2A18">
              <w:rPr>
                <w:sz w:val="22"/>
                <w:szCs w:val="22"/>
                <w:lang w:val="fr-FR"/>
              </w:rPr>
              <w:t xml:space="preserve">Les effets des catastrophes naturelles, en particulier la sécheresse, sur les écosystèmes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VIII.40*</w:t>
            </w:r>
          </w:p>
          <w:p w:rsidR="00E37382" w:rsidRPr="003E2A18" w:rsidRDefault="00E37382" w:rsidP="00E37382">
            <w:pPr>
              <w:pStyle w:val="Default"/>
              <w:rPr>
                <w:sz w:val="22"/>
                <w:szCs w:val="22"/>
                <w:lang w:val="fr-FR"/>
              </w:rPr>
            </w:pPr>
            <w:r w:rsidRPr="003E2A18">
              <w:rPr>
                <w:sz w:val="22"/>
                <w:szCs w:val="22"/>
                <w:lang w:val="fr-FR"/>
              </w:rPr>
              <w:t xml:space="preserve">Orientations relatives à une utilisation des eaux souterraines compatible avec la conservation des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IX.1</w:t>
            </w:r>
          </w:p>
          <w:p w:rsidR="00E37382" w:rsidRPr="003E2A18" w:rsidRDefault="00E37382" w:rsidP="00E37382">
            <w:pPr>
              <w:pStyle w:val="Default"/>
              <w:rPr>
                <w:sz w:val="22"/>
                <w:szCs w:val="22"/>
                <w:lang w:val="fr-FR"/>
              </w:rPr>
            </w:pPr>
            <w:r w:rsidRPr="003E2A18">
              <w:rPr>
                <w:sz w:val="22"/>
                <w:szCs w:val="22"/>
                <w:lang w:val="fr-FR"/>
              </w:rPr>
              <w:t>Orientations scientifiques et techniques additionnelles pour appliquer le concept d</w:t>
            </w:r>
            <w:r>
              <w:rPr>
                <w:sz w:val="22"/>
                <w:szCs w:val="22"/>
                <w:lang w:val="fr-FR"/>
              </w:rPr>
              <w:t>’</w:t>
            </w:r>
            <w:r w:rsidRPr="003E2A18">
              <w:rPr>
                <w:sz w:val="22"/>
                <w:szCs w:val="22"/>
                <w:lang w:val="fr-FR"/>
              </w:rPr>
              <w:t xml:space="preserve">utilisation rationnelle de Ramsar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lastRenderedPageBreak/>
              <w:t>IX.4</w:t>
            </w:r>
          </w:p>
          <w:p w:rsidR="00E37382" w:rsidRPr="003E2A18" w:rsidRDefault="00E37382" w:rsidP="00E37382">
            <w:pPr>
              <w:pStyle w:val="Default"/>
              <w:rPr>
                <w:sz w:val="22"/>
                <w:szCs w:val="22"/>
                <w:lang w:val="fr-FR"/>
              </w:rPr>
            </w:pPr>
            <w:r w:rsidRPr="003E2A18">
              <w:rPr>
                <w:sz w:val="22"/>
                <w:szCs w:val="22"/>
                <w:lang w:val="fr-FR"/>
              </w:rPr>
              <w:t>La Convention de Ramsar et la conservation, la production et l</w:t>
            </w:r>
            <w:r>
              <w:rPr>
                <w:sz w:val="22"/>
                <w:szCs w:val="22"/>
                <w:lang w:val="fr-FR"/>
              </w:rPr>
              <w:t>’</w:t>
            </w:r>
            <w:r w:rsidRPr="003E2A18">
              <w:rPr>
                <w:sz w:val="22"/>
                <w:szCs w:val="22"/>
                <w:lang w:val="fr-FR"/>
              </w:rPr>
              <w:t xml:space="preserve">utilisation durable des ressources halieutiques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IX.9</w:t>
            </w:r>
          </w:p>
          <w:p w:rsidR="00E37382" w:rsidRPr="003E2A18" w:rsidRDefault="00E37382" w:rsidP="00E37382">
            <w:pPr>
              <w:pStyle w:val="Default"/>
              <w:rPr>
                <w:sz w:val="22"/>
                <w:szCs w:val="22"/>
                <w:lang w:val="fr-FR"/>
              </w:rPr>
            </w:pPr>
            <w:r w:rsidRPr="003E2A18">
              <w:rPr>
                <w:sz w:val="22"/>
                <w:szCs w:val="22"/>
                <w:lang w:val="fr-FR"/>
              </w:rPr>
              <w:t>Le rôle de la Convention de Ramsar dans la prévention et l</w:t>
            </w:r>
            <w:r>
              <w:rPr>
                <w:sz w:val="22"/>
                <w:szCs w:val="22"/>
                <w:lang w:val="fr-FR"/>
              </w:rPr>
              <w:t>’</w:t>
            </w:r>
            <w:r w:rsidRPr="003E2A18">
              <w:rPr>
                <w:sz w:val="22"/>
                <w:szCs w:val="22"/>
                <w:lang w:val="fr-FR"/>
              </w:rPr>
              <w:t xml:space="preserve">atténuation des impacts associés aux phénomènes naturels, y compris ceux qui sont induits ou exacerbés par les activités anthropiques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IX.23</w:t>
            </w:r>
          </w:p>
          <w:p w:rsidR="00E37382" w:rsidRPr="003E2A18" w:rsidRDefault="00E37382" w:rsidP="00E37382">
            <w:pPr>
              <w:pStyle w:val="Default"/>
              <w:rPr>
                <w:sz w:val="22"/>
                <w:szCs w:val="22"/>
                <w:lang w:val="fr-FR"/>
              </w:rPr>
            </w:pPr>
            <w:r w:rsidRPr="003E2A18">
              <w:rPr>
                <w:sz w:val="22"/>
                <w:szCs w:val="22"/>
                <w:lang w:val="fr-FR"/>
              </w:rPr>
              <w:t>L</w:t>
            </w:r>
            <w:r>
              <w:rPr>
                <w:sz w:val="22"/>
                <w:szCs w:val="22"/>
                <w:lang w:val="fr-FR"/>
              </w:rPr>
              <w:t>’</w:t>
            </w:r>
            <w:r w:rsidRPr="003E2A18">
              <w:rPr>
                <w:sz w:val="22"/>
                <w:szCs w:val="22"/>
                <w:lang w:val="fr-FR"/>
              </w:rPr>
              <w:t>influenza aviaire hautement pathogène et ses conséquences pour la conservation et l</w:t>
            </w:r>
            <w:r>
              <w:rPr>
                <w:sz w:val="22"/>
                <w:szCs w:val="22"/>
                <w:lang w:val="fr-FR"/>
              </w:rPr>
              <w:t>’</w:t>
            </w:r>
            <w:r w:rsidRPr="003E2A18">
              <w:rPr>
                <w:sz w:val="22"/>
                <w:szCs w:val="22"/>
                <w:lang w:val="fr-FR"/>
              </w:rPr>
              <w:t>utilisation rationnelle des zones humides et des oiseaux d</w:t>
            </w:r>
            <w:r>
              <w:rPr>
                <w:sz w:val="22"/>
                <w:szCs w:val="22"/>
                <w:lang w:val="fr-FR"/>
              </w:rPr>
              <w:t>’</w:t>
            </w:r>
            <w:r w:rsidRPr="003E2A18">
              <w:rPr>
                <w:sz w:val="22"/>
                <w:szCs w:val="22"/>
                <w:lang w:val="fr-FR"/>
              </w:rPr>
              <w:t xml:space="preserve">eau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X.14</w:t>
            </w:r>
          </w:p>
          <w:p w:rsidR="00E37382" w:rsidRPr="003E2A18" w:rsidRDefault="00E37382" w:rsidP="00E37382">
            <w:pPr>
              <w:pStyle w:val="Default"/>
              <w:rPr>
                <w:sz w:val="22"/>
                <w:szCs w:val="22"/>
                <w:lang w:val="fr-FR"/>
              </w:rPr>
            </w:pPr>
            <w:r w:rsidRPr="003E2A18">
              <w:rPr>
                <w:sz w:val="22"/>
                <w:szCs w:val="22"/>
                <w:lang w:val="fr-FR"/>
              </w:rPr>
              <w:t xml:space="preserve">Cadre pour les besoins Ramsar en données et informations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X.18</w:t>
            </w:r>
          </w:p>
          <w:p w:rsidR="00E37382" w:rsidRPr="003E2A18" w:rsidRDefault="00E37382" w:rsidP="00E37382">
            <w:pPr>
              <w:pStyle w:val="Default"/>
              <w:rPr>
                <w:sz w:val="22"/>
                <w:szCs w:val="22"/>
                <w:lang w:val="fr-FR"/>
              </w:rPr>
            </w:pPr>
            <w:r w:rsidRPr="003E2A18">
              <w:rPr>
                <w:sz w:val="22"/>
                <w:szCs w:val="22"/>
                <w:lang w:val="fr-FR"/>
              </w:rPr>
              <w:t>Application des choix de réponses de l</w:t>
            </w:r>
            <w:r>
              <w:rPr>
                <w:sz w:val="22"/>
                <w:szCs w:val="22"/>
                <w:lang w:val="fr-FR"/>
              </w:rPr>
              <w:t>’</w:t>
            </w:r>
            <w:r w:rsidRPr="003E2A18">
              <w:rPr>
                <w:sz w:val="22"/>
                <w:szCs w:val="22"/>
                <w:lang w:val="fr-FR"/>
              </w:rPr>
              <w:t>Évaluation des écosystèmes en début de millénaire (EM) dans la Boîte à outils Ramsar pour l</w:t>
            </w:r>
            <w:r>
              <w:rPr>
                <w:sz w:val="22"/>
                <w:szCs w:val="22"/>
                <w:lang w:val="fr-FR"/>
              </w:rPr>
              <w:t>’</w:t>
            </w:r>
            <w:r w:rsidRPr="003E2A18">
              <w:rPr>
                <w:sz w:val="22"/>
                <w:szCs w:val="22"/>
                <w:lang w:val="fr-FR"/>
              </w:rPr>
              <w:t xml:space="preserve">utilisation rationnelle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X.21</w:t>
            </w:r>
          </w:p>
          <w:p w:rsidR="00E37382" w:rsidRPr="003E2A18" w:rsidRDefault="00E37382" w:rsidP="00E37382">
            <w:pPr>
              <w:pStyle w:val="Default"/>
              <w:rPr>
                <w:sz w:val="22"/>
                <w:szCs w:val="22"/>
                <w:lang w:val="fr-FR"/>
              </w:rPr>
            </w:pPr>
            <w:r w:rsidRPr="003E2A18">
              <w:rPr>
                <w:sz w:val="22"/>
                <w:szCs w:val="22"/>
                <w:lang w:val="fr-FR"/>
              </w:rPr>
              <w:t>Orientations relatives à la lutte contre la propagation continue de l</w:t>
            </w:r>
            <w:r>
              <w:rPr>
                <w:sz w:val="22"/>
                <w:szCs w:val="22"/>
                <w:lang w:val="fr-FR"/>
              </w:rPr>
              <w:t>’</w:t>
            </w:r>
            <w:r w:rsidRPr="003E2A18">
              <w:rPr>
                <w:sz w:val="22"/>
                <w:szCs w:val="22"/>
                <w:lang w:val="fr-FR"/>
              </w:rPr>
              <w:t xml:space="preserve">influenza aviaire hautement pathogène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X.26</w:t>
            </w:r>
          </w:p>
          <w:p w:rsidR="00E37382" w:rsidRPr="003E2A18" w:rsidRDefault="00E37382" w:rsidP="00E37382">
            <w:pPr>
              <w:pStyle w:val="Default"/>
              <w:rPr>
                <w:sz w:val="22"/>
                <w:szCs w:val="22"/>
                <w:lang w:val="fr-FR"/>
              </w:rPr>
            </w:pPr>
            <w:r w:rsidRPr="003E2A18">
              <w:rPr>
                <w:sz w:val="22"/>
                <w:szCs w:val="22"/>
                <w:lang w:val="fr-FR"/>
              </w:rPr>
              <w:t xml:space="preserve">Les zones humides et les industries extractives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X.27</w:t>
            </w:r>
          </w:p>
          <w:p w:rsidR="00E37382" w:rsidRPr="003E2A18" w:rsidRDefault="00E37382" w:rsidP="00E37382">
            <w:pPr>
              <w:pStyle w:val="Default"/>
              <w:rPr>
                <w:sz w:val="22"/>
                <w:szCs w:val="22"/>
                <w:lang w:val="fr-FR"/>
              </w:rPr>
            </w:pPr>
            <w:r w:rsidRPr="003E2A18">
              <w:rPr>
                <w:sz w:val="22"/>
                <w:szCs w:val="22"/>
                <w:lang w:val="fr-FR"/>
              </w:rPr>
              <w:t>Les zones humides et l</w:t>
            </w:r>
            <w:r>
              <w:rPr>
                <w:sz w:val="22"/>
                <w:szCs w:val="22"/>
                <w:lang w:val="fr-FR"/>
              </w:rPr>
              <w:t>’</w:t>
            </w:r>
            <w:r w:rsidRPr="003E2A18">
              <w:rPr>
                <w:sz w:val="22"/>
                <w:szCs w:val="22"/>
                <w:lang w:val="fr-FR"/>
              </w:rPr>
              <w:t xml:space="preserve">urbanisation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X.31</w:t>
            </w:r>
          </w:p>
          <w:p w:rsidR="00E37382" w:rsidRPr="003E2A18" w:rsidRDefault="00E37382" w:rsidP="00E37382">
            <w:pPr>
              <w:pStyle w:val="Default"/>
              <w:rPr>
                <w:sz w:val="22"/>
                <w:szCs w:val="22"/>
                <w:lang w:val="fr-FR"/>
              </w:rPr>
            </w:pPr>
            <w:r w:rsidRPr="003E2A18">
              <w:rPr>
                <w:sz w:val="22"/>
                <w:szCs w:val="22"/>
                <w:lang w:val="fr-FR"/>
              </w:rPr>
              <w:t xml:space="preserve">Améliorer la diversité biologique dans les rizières considérées comme des systèmes de zones humides </w:t>
            </w:r>
          </w:p>
          <w:p w:rsidR="00E37382" w:rsidRPr="003E2A18" w:rsidRDefault="00E37382" w:rsidP="00E37382">
            <w:pPr>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XI.7</w:t>
            </w:r>
          </w:p>
          <w:p w:rsidR="00E37382" w:rsidRPr="003E2A18" w:rsidRDefault="00E37382" w:rsidP="00E37382">
            <w:pPr>
              <w:pStyle w:val="Default"/>
              <w:rPr>
                <w:sz w:val="22"/>
                <w:szCs w:val="22"/>
                <w:lang w:val="fr-FR"/>
              </w:rPr>
            </w:pPr>
            <w:r w:rsidRPr="003E2A18">
              <w:rPr>
                <w:sz w:val="22"/>
                <w:szCs w:val="22"/>
                <w:lang w:val="fr-FR"/>
              </w:rPr>
              <w:t xml:space="preserve">Le tourisme, les loisirs et les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XI.9</w:t>
            </w:r>
          </w:p>
          <w:p w:rsidR="00E37382" w:rsidRPr="003E2A18" w:rsidRDefault="00E37382" w:rsidP="00E37382">
            <w:pPr>
              <w:pStyle w:val="Default"/>
              <w:rPr>
                <w:sz w:val="22"/>
                <w:szCs w:val="22"/>
                <w:lang w:val="fr-FR"/>
              </w:rPr>
            </w:pPr>
            <w:r w:rsidRPr="003E2A18">
              <w:rPr>
                <w:sz w:val="22"/>
                <w:szCs w:val="22"/>
                <w:lang w:val="fr-FR"/>
              </w:rPr>
              <w:t xml:space="preserve">Cadre intégré et lignes directrices pour éviter, atténuer et compenser les pertes en zones humides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XI.13</w:t>
            </w:r>
          </w:p>
          <w:p w:rsidR="00E37382" w:rsidRPr="003E2A18" w:rsidRDefault="00E37382" w:rsidP="00E37382">
            <w:pPr>
              <w:pStyle w:val="Default"/>
              <w:rPr>
                <w:sz w:val="22"/>
                <w:szCs w:val="22"/>
                <w:lang w:val="fr-FR"/>
              </w:rPr>
            </w:pPr>
            <w:r w:rsidRPr="003E2A18">
              <w:rPr>
                <w:sz w:val="22"/>
                <w:szCs w:val="22"/>
                <w:lang w:val="fr-FR"/>
              </w:rPr>
              <w:t>Cadre intégré pour lier la conservation et l</w:t>
            </w:r>
            <w:r>
              <w:rPr>
                <w:sz w:val="22"/>
                <w:szCs w:val="22"/>
                <w:lang w:val="fr-FR"/>
              </w:rPr>
              <w:t>’</w:t>
            </w:r>
            <w:r w:rsidRPr="003E2A18">
              <w:rPr>
                <w:sz w:val="22"/>
                <w:szCs w:val="22"/>
                <w:lang w:val="fr-FR"/>
              </w:rPr>
              <w:t>utilisation rationnelle des zones humides à l</w:t>
            </w:r>
            <w:r>
              <w:rPr>
                <w:sz w:val="22"/>
                <w:szCs w:val="22"/>
                <w:lang w:val="fr-FR"/>
              </w:rPr>
              <w:t>’</w:t>
            </w:r>
            <w:r w:rsidRPr="003E2A18">
              <w:rPr>
                <w:sz w:val="22"/>
                <w:szCs w:val="22"/>
                <w:lang w:val="fr-FR"/>
              </w:rPr>
              <w:t xml:space="preserve">éradication de la pauvreté </w:t>
            </w:r>
          </w:p>
          <w:p w:rsidR="00E37382" w:rsidRPr="003E2A18" w:rsidRDefault="00E37382" w:rsidP="00E37382">
            <w:pPr>
              <w:ind w:left="0" w:firstLine="0"/>
              <w:rPr>
                <w:rFonts w:asciiTheme="minorHAnsi" w:hAnsiTheme="minorHAnsi" w:cstheme="minorHAnsi"/>
                <w:lang w:val="fr-FR"/>
              </w:rPr>
            </w:pPr>
          </w:p>
          <w:p w:rsidR="00E37382" w:rsidRPr="003E2A18" w:rsidRDefault="00E37382" w:rsidP="00E37382">
            <w:pPr>
              <w:ind w:left="0" w:firstLine="0"/>
              <w:rPr>
                <w:rFonts w:asciiTheme="minorHAnsi" w:hAnsiTheme="minorHAnsi" w:cstheme="minorHAnsi"/>
                <w:lang w:val="fr-FR"/>
              </w:rPr>
            </w:pPr>
            <w:r w:rsidRPr="003E2A18">
              <w:rPr>
                <w:rFonts w:asciiTheme="minorHAnsi" w:hAnsiTheme="minorHAnsi" w:cstheme="minorHAnsi"/>
                <w:lang w:val="fr-FR"/>
              </w:rPr>
              <w:t>XI.15</w:t>
            </w:r>
          </w:p>
          <w:p w:rsidR="00E37382" w:rsidRPr="003E2A18" w:rsidRDefault="00E37382" w:rsidP="00E37382">
            <w:pPr>
              <w:pStyle w:val="Default"/>
              <w:rPr>
                <w:sz w:val="22"/>
                <w:szCs w:val="22"/>
                <w:lang w:val="fr-FR"/>
              </w:rPr>
            </w:pPr>
            <w:r w:rsidRPr="003E2A18">
              <w:rPr>
                <w:sz w:val="22"/>
                <w:szCs w:val="22"/>
                <w:lang w:val="fr-FR"/>
              </w:rPr>
              <w:t>Interactions entre l</w:t>
            </w:r>
            <w:r>
              <w:rPr>
                <w:sz w:val="22"/>
                <w:szCs w:val="22"/>
                <w:lang w:val="fr-FR"/>
              </w:rPr>
              <w:t>’</w:t>
            </w:r>
            <w:r w:rsidRPr="003E2A18">
              <w:rPr>
                <w:sz w:val="22"/>
                <w:szCs w:val="22"/>
                <w:lang w:val="fr-FR"/>
              </w:rPr>
              <w:t xml:space="preserve">agriculture et les zones humides : la riziculture et le </w:t>
            </w:r>
            <w:r w:rsidRPr="003E2A18">
              <w:rPr>
                <w:sz w:val="22"/>
                <w:szCs w:val="22"/>
                <w:lang w:val="fr-FR"/>
              </w:rPr>
              <w:lastRenderedPageBreak/>
              <w:t xml:space="preserve">contrôle des ravageurs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XII.12*</w:t>
            </w:r>
          </w:p>
          <w:p w:rsidR="00E37382" w:rsidRPr="003E2A18" w:rsidRDefault="00E37382" w:rsidP="00E37382">
            <w:pPr>
              <w:pStyle w:val="Default"/>
              <w:rPr>
                <w:sz w:val="22"/>
                <w:szCs w:val="22"/>
                <w:lang w:val="fr-FR"/>
              </w:rPr>
            </w:pPr>
            <w:r w:rsidRPr="003E2A18">
              <w:rPr>
                <w:sz w:val="22"/>
                <w:szCs w:val="22"/>
                <w:lang w:val="fr-FR"/>
              </w:rPr>
              <w:t>Appel à l</w:t>
            </w:r>
            <w:r>
              <w:rPr>
                <w:sz w:val="22"/>
                <w:szCs w:val="22"/>
                <w:lang w:val="fr-FR"/>
              </w:rPr>
              <w:t>’</w:t>
            </w:r>
            <w:r w:rsidRPr="003E2A18">
              <w:rPr>
                <w:sz w:val="22"/>
                <w:szCs w:val="22"/>
                <w:lang w:val="fr-FR"/>
              </w:rPr>
              <w:t>action pour garantir et protéger les besoins en eau des zones humides, présents et futurs</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XII.13</w:t>
            </w:r>
          </w:p>
          <w:p w:rsidR="00E37382" w:rsidRPr="003E2A18" w:rsidRDefault="00E37382" w:rsidP="00E37382">
            <w:pPr>
              <w:pStyle w:val="Default"/>
              <w:rPr>
                <w:sz w:val="22"/>
                <w:szCs w:val="22"/>
                <w:lang w:val="fr-FR"/>
              </w:rPr>
            </w:pPr>
            <w:r w:rsidRPr="003E2A18">
              <w:rPr>
                <w:sz w:val="22"/>
                <w:szCs w:val="22"/>
                <w:lang w:val="fr-FR"/>
              </w:rPr>
              <w:t xml:space="preserve">Les zones humides et la prévention des risques de catastrophe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eastAsiaTheme="minorHAnsi" w:cs="Calibri"/>
                <w:color w:val="000000"/>
                <w:sz w:val="24"/>
                <w:szCs w:val="24"/>
                <w:lang w:val="fr-FR"/>
              </w:rPr>
            </w:pPr>
            <w:r w:rsidRPr="003E2A18">
              <w:rPr>
                <w:rFonts w:asciiTheme="minorHAnsi" w:hAnsiTheme="minorHAnsi" w:cstheme="minorHAnsi"/>
                <w:lang w:val="fr-FR"/>
              </w:rPr>
              <w:t>XIII.14</w:t>
            </w:r>
          </w:p>
          <w:p w:rsidR="00E37382" w:rsidRDefault="00E37382" w:rsidP="00E37382">
            <w:pPr>
              <w:ind w:left="0" w:firstLine="0"/>
              <w:rPr>
                <w:rFonts w:eastAsiaTheme="minorHAnsi" w:cs="Calibri"/>
                <w:color w:val="000000"/>
                <w:lang w:val="fr-FR"/>
              </w:rPr>
            </w:pPr>
            <w:r w:rsidRPr="003E2A18">
              <w:rPr>
                <w:rFonts w:eastAsiaTheme="minorHAnsi" w:cs="Calibri"/>
                <w:color w:val="000000"/>
                <w:lang w:val="fr-FR"/>
              </w:rPr>
              <w:t>Promouvoir la conservation, la restauration et la gestion durable des écosystèmes côtiers de carbone bleu</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XIII.19</w:t>
            </w:r>
          </w:p>
          <w:p w:rsidR="00E37382" w:rsidRPr="003E2A18" w:rsidRDefault="00E37382" w:rsidP="00E37382">
            <w:pPr>
              <w:pStyle w:val="Default"/>
              <w:rPr>
                <w:sz w:val="22"/>
                <w:szCs w:val="22"/>
                <w:lang w:val="fr-FR"/>
              </w:rPr>
            </w:pPr>
            <w:r w:rsidRPr="003E2A18">
              <w:rPr>
                <w:sz w:val="22"/>
                <w:szCs w:val="22"/>
                <w:lang w:val="fr-FR"/>
              </w:rPr>
              <w:t>L</w:t>
            </w:r>
            <w:r>
              <w:rPr>
                <w:sz w:val="22"/>
                <w:szCs w:val="22"/>
                <w:lang w:val="fr-FR"/>
              </w:rPr>
              <w:t>’</w:t>
            </w:r>
            <w:r w:rsidRPr="003E2A18">
              <w:rPr>
                <w:sz w:val="22"/>
                <w:szCs w:val="22"/>
                <w:lang w:val="fr-FR"/>
              </w:rPr>
              <w:t xml:space="preserve">agriculture durable dans les zones humides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XIII.20</w:t>
            </w:r>
          </w:p>
          <w:p w:rsidR="00E37382" w:rsidRPr="003E2A18" w:rsidRDefault="00E37382" w:rsidP="00E37382">
            <w:pPr>
              <w:pStyle w:val="Default"/>
              <w:rPr>
                <w:sz w:val="22"/>
                <w:szCs w:val="22"/>
                <w:lang w:val="fr-FR"/>
              </w:rPr>
            </w:pPr>
            <w:r w:rsidRPr="003E2A18">
              <w:rPr>
                <w:sz w:val="22"/>
                <w:szCs w:val="22"/>
                <w:lang w:val="fr-FR"/>
              </w:rPr>
              <w:t>Promouvoir la conservation et l</w:t>
            </w:r>
            <w:r>
              <w:rPr>
                <w:sz w:val="22"/>
                <w:szCs w:val="22"/>
                <w:lang w:val="fr-FR"/>
              </w:rPr>
              <w:t>’</w:t>
            </w:r>
            <w:r w:rsidRPr="003E2A18">
              <w:rPr>
                <w:sz w:val="22"/>
                <w:szCs w:val="22"/>
                <w:lang w:val="fr-FR"/>
              </w:rPr>
              <w:t xml:space="preserve">utilisation rationnelle des zones humides intertidales et des habitats associés sur le plan écologique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XIII.21</w:t>
            </w:r>
          </w:p>
          <w:p w:rsidR="00E37382" w:rsidRPr="003E2A18" w:rsidRDefault="00E37382" w:rsidP="00E37382">
            <w:pPr>
              <w:pStyle w:val="Default"/>
              <w:rPr>
                <w:sz w:val="22"/>
                <w:szCs w:val="22"/>
                <w:lang w:val="fr-FR"/>
              </w:rPr>
            </w:pPr>
            <w:r w:rsidRPr="003E2A18">
              <w:rPr>
                <w:sz w:val="22"/>
                <w:szCs w:val="22"/>
                <w:lang w:val="fr-FR"/>
              </w:rPr>
              <w:t xml:space="preserve">Conservation et gestion des petites zones humides </w:t>
            </w:r>
          </w:p>
          <w:p w:rsidR="00E37382" w:rsidRPr="003E2A18" w:rsidRDefault="00E37382" w:rsidP="00E37382">
            <w:pPr>
              <w:rPr>
                <w:rFonts w:asciiTheme="minorHAnsi" w:hAnsiTheme="minorHAnsi" w:cstheme="minorHAnsi"/>
                <w:lang w:val="fr-FR"/>
              </w:rPr>
            </w:pPr>
          </w:p>
          <w:p w:rsidR="00E37382" w:rsidRPr="003E2A18" w:rsidRDefault="00E37382" w:rsidP="00E37382">
            <w:pPr>
              <w:rPr>
                <w:rFonts w:asciiTheme="minorHAnsi" w:hAnsiTheme="minorHAnsi" w:cstheme="minorHAnsi"/>
                <w:lang w:val="fr-FR"/>
              </w:rPr>
            </w:pPr>
            <w:r w:rsidRPr="003E2A18">
              <w:rPr>
                <w:rFonts w:asciiTheme="minorHAnsi" w:hAnsiTheme="minorHAnsi" w:cstheme="minorHAnsi"/>
                <w:lang w:val="fr-FR"/>
              </w:rPr>
              <w:t>XIII.24*</w:t>
            </w:r>
          </w:p>
          <w:p w:rsidR="00E37382" w:rsidRPr="003E2A18" w:rsidRDefault="00E37382" w:rsidP="00E37382">
            <w:pPr>
              <w:pStyle w:val="Default"/>
              <w:rPr>
                <w:sz w:val="22"/>
                <w:szCs w:val="22"/>
                <w:lang w:val="fr-FR"/>
              </w:rPr>
            </w:pPr>
            <w:r w:rsidRPr="003E2A18">
              <w:rPr>
                <w:sz w:val="22"/>
                <w:szCs w:val="22"/>
                <w:lang w:val="fr-FR"/>
              </w:rPr>
              <w:t xml:space="preserve">Renforcement de la conservation des habitats côtiers des tortues marines, et désignation au titre de Ramsar des sites à enjeux majeurs </w:t>
            </w:r>
          </w:p>
          <w:p w:rsidR="00E37382" w:rsidRPr="003E2A18" w:rsidRDefault="00E37382" w:rsidP="00E37382">
            <w:pPr>
              <w:rPr>
                <w:rFonts w:asciiTheme="minorHAnsi" w:hAnsiTheme="minorHAnsi" w:cstheme="minorHAnsi"/>
                <w:lang w:val="fr-FR"/>
              </w:rPr>
            </w:pPr>
          </w:p>
        </w:tc>
      </w:tr>
    </w:tbl>
    <w:p w:rsidR="00E37382" w:rsidRPr="003E2A18" w:rsidRDefault="00E37382" w:rsidP="00E37382">
      <w:pPr>
        <w:rPr>
          <w:lang w:val="fr-FR"/>
        </w:rPr>
      </w:pPr>
      <w:r w:rsidRPr="003E2A18">
        <w:rPr>
          <w:lang w:val="fr-FR"/>
        </w:rPr>
        <w:lastRenderedPageBreak/>
        <w:br w:type="textWrapping" w:clear="all"/>
      </w:r>
    </w:p>
    <w:p w:rsidR="00E37382" w:rsidRPr="003E2A18" w:rsidRDefault="00E37382" w:rsidP="00E37382">
      <w:pPr>
        <w:rPr>
          <w:lang w:val="fr-FR"/>
        </w:rPr>
      </w:pPr>
    </w:p>
    <w:p w:rsidR="00E37382" w:rsidRPr="003E2A18" w:rsidRDefault="00E37382" w:rsidP="00E37382">
      <w:pPr>
        <w:rPr>
          <w:lang w:val="fr-FR"/>
        </w:rPr>
      </w:pPr>
    </w:p>
    <w:p w:rsidR="00C005E9" w:rsidRPr="003E2A18" w:rsidRDefault="00C005E9" w:rsidP="00C005E9">
      <w:pPr>
        <w:ind w:left="0" w:firstLine="0"/>
        <w:rPr>
          <w:i/>
          <w:lang w:val="fr-FR"/>
        </w:rPr>
      </w:pPr>
    </w:p>
    <w:sectPr w:rsidR="00C005E9" w:rsidRPr="003E2A18"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7B" w:rsidRDefault="0047147B">
      <w:r>
        <w:separator/>
      </w:r>
    </w:p>
  </w:endnote>
  <w:endnote w:type="continuationSeparator" w:id="0">
    <w:p w:rsidR="0047147B" w:rsidRDefault="0047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82" w:rsidRPr="00A9262B" w:rsidRDefault="00E37382" w:rsidP="002137E0">
    <w:pPr>
      <w:pStyle w:val="Header"/>
      <w:rPr>
        <w:noProof/>
        <w:sz w:val="20"/>
        <w:szCs w:val="20"/>
      </w:rPr>
    </w:pPr>
    <w:r>
      <w:rPr>
        <w:sz w:val="20"/>
        <w:szCs w:val="20"/>
        <w:lang w:val="fr-FR"/>
      </w:rPr>
      <w:t>SC59 Doc.13.1</w:t>
    </w:r>
    <w:r>
      <w:rPr>
        <w:sz w:val="20"/>
        <w:szCs w:val="20"/>
        <w:lang w:val="fr-FR"/>
      </w:rPr>
      <w:tab/>
    </w:r>
    <w:r>
      <w:rPr>
        <w:sz w:val="20"/>
        <w:szCs w:val="20"/>
        <w:lang w:val="fr-FR"/>
      </w:rPr>
      <w:tab/>
    </w:r>
    <w:sdt>
      <w:sdtPr>
        <w:rPr>
          <w:sz w:val="20"/>
          <w:szCs w:val="20"/>
        </w:rPr>
        <w:id w:val="-1790969534"/>
        <w:docPartObj>
          <w:docPartGallery w:val="Page Numbers (Top of Page)"/>
          <w:docPartUnique/>
        </w:docPartObj>
      </w:sdtPr>
      <w:sdtEndPr>
        <w:rPr>
          <w:noProof/>
        </w:rPr>
      </w:sdtEndPr>
      <w:sdtContent>
        <w:r w:rsidRPr="00A9262B">
          <w:rPr>
            <w:sz w:val="20"/>
            <w:szCs w:val="20"/>
          </w:rPr>
          <w:fldChar w:fldCharType="begin"/>
        </w:r>
        <w:r w:rsidRPr="00A9262B">
          <w:rPr>
            <w:sz w:val="20"/>
            <w:szCs w:val="20"/>
          </w:rPr>
          <w:instrText xml:space="preserve"> PAGE   \* MERGEFORMAT </w:instrText>
        </w:r>
        <w:r w:rsidRPr="00A9262B">
          <w:rPr>
            <w:sz w:val="20"/>
            <w:szCs w:val="20"/>
          </w:rPr>
          <w:fldChar w:fldCharType="separate"/>
        </w:r>
        <w:r w:rsidR="00B7739E">
          <w:rPr>
            <w:noProof/>
            <w:sz w:val="20"/>
            <w:szCs w:val="20"/>
          </w:rPr>
          <w:t>2</w:t>
        </w:r>
        <w:r w:rsidRPr="00A9262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7B" w:rsidRDefault="0047147B">
      <w:r>
        <w:separator/>
      </w:r>
    </w:p>
  </w:footnote>
  <w:footnote w:type="continuationSeparator" w:id="0">
    <w:p w:rsidR="0047147B" w:rsidRDefault="0047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82" w:rsidRDefault="00E37382">
    <w:pPr>
      <w:pStyle w:val="Header"/>
    </w:pPr>
  </w:p>
  <w:p w:rsidR="00E37382" w:rsidRDefault="00E37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255A33E6">
      <w:start w:val="1"/>
      <w:numFmt w:val="decimal"/>
      <w:lvlText w:val="%1."/>
      <w:lvlJc w:val="left"/>
      <w:pPr>
        <w:ind w:left="720" w:hanging="360"/>
      </w:pPr>
      <w:rPr>
        <w:rFonts w:hint="default"/>
      </w:rPr>
    </w:lvl>
    <w:lvl w:ilvl="1" w:tplc="8934340A">
      <w:start w:val="1"/>
      <w:numFmt w:val="bullet"/>
      <w:lvlText w:val=""/>
      <w:lvlJc w:val="left"/>
      <w:pPr>
        <w:ind w:left="1440" w:hanging="360"/>
      </w:pPr>
      <w:rPr>
        <w:rFonts w:ascii="Symbol" w:hAnsi="Symbol" w:hint="default"/>
      </w:rPr>
    </w:lvl>
    <w:lvl w:ilvl="2" w:tplc="E996B160" w:tentative="1">
      <w:start w:val="1"/>
      <w:numFmt w:val="lowerRoman"/>
      <w:lvlText w:val="%3."/>
      <w:lvlJc w:val="right"/>
      <w:pPr>
        <w:ind w:left="2160" w:hanging="180"/>
      </w:pPr>
    </w:lvl>
    <w:lvl w:ilvl="3" w:tplc="5AF837A8" w:tentative="1">
      <w:start w:val="1"/>
      <w:numFmt w:val="decimal"/>
      <w:lvlText w:val="%4."/>
      <w:lvlJc w:val="left"/>
      <w:pPr>
        <w:ind w:left="2880" w:hanging="360"/>
      </w:pPr>
    </w:lvl>
    <w:lvl w:ilvl="4" w:tplc="AA18FACC" w:tentative="1">
      <w:start w:val="1"/>
      <w:numFmt w:val="lowerLetter"/>
      <w:lvlText w:val="%5."/>
      <w:lvlJc w:val="left"/>
      <w:pPr>
        <w:ind w:left="3600" w:hanging="360"/>
      </w:pPr>
    </w:lvl>
    <w:lvl w:ilvl="5" w:tplc="F09C59E4" w:tentative="1">
      <w:start w:val="1"/>
      <w:numFmt w:val="lowerRoman"/>
      <w:lvlText w:val="%6."/>
      <w:lvlJc w:val="right"/>
      <w:pPr>
        <w:ind w:left="4320" w:hanging="180"/>
      </w:pPr>
    </w:lvl>
    <w:lvl w:ilvl="6" w:tplc="044AF182" w:tentative="1">
      <w:start w:val="1"/>
      <w:numFmt w:val="decimal"/>
      <w:lvlText w:val="%7."/>
      <w:lvlJc w:val="left"/>
      <w:pPr>
        <w:ind w:left="5040" w:hanging="360"/>
      </w:pPr>
    </w:lvl>
    <w:lvl w:ilvl="7" w:tplc="A126CD12" w:tentative="1">
      <w:start w:val="1"/>
      <w:numFmt w:val="lowerLetter"/>
      <w:lvlText w:val="%8."/>
      <w:lvlJc w:val="left"/>
      <w:pPr>
        <w:ind w:left="5760" w:hanging="360"/>
      </w:pPr>
    </w:lvl>
    <w:lvl w:ilvl="8" w:tplc="D44E2AB6"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ED30F16A">
      <w:start w:val="1"/>
      <w:numFmt w:val="lowerLetter"/>
      <w:lvlText w:val="%1."/>
      <w:lvlJc w:val="left"/>
      <w:pPr>
        <w:ind w:left="927" w:hanging="360"/>
      </w:pPr>
    </w:lvl>
    <w:lvl w:ilvl="1" w:tplc="F796D248">
      <w:start w:val="1"/>
      <w:numFmt w:val="lowerLetter"/>
      <w:lvlText w:val="%2."/>
      <w:lvlJc w:val="left"/>
      <w:pPr>
        <w:ind w:left="1647" w:hanging="360"/>
      </w:pPr>
    </w:lvl>
    <w:lvl w:ilvl="2" w:tplc="CB76EEB2">
      <w:start w:val="1"/>
      <w:numFmt w:val="lowerRoman"/>
      <w:lvlText w:val="%3."/>
      <w:lvlJc w:val="right"/>
      <w:pPr>
        <w:ind w:left="2367" w:hanging="180"/>
      </w:pPr>
    </w:lvl>
    <w:lvl w:ilvl="3" w:tplc="D8F84818">
      <w:start w:val="1"/>
      <w:numFmt w:val="decimal"/>
      <w:lvlText w:val="%4."/>
      <w:lvlJc w:val="left"/>
      <w:pPr>
        <w:ind w:left="3087" w:hanging="360"/>
      </w:pPr>
    </w:lvl>
    <w:lvl w:ilvl="4" w:tplc="1E2857CC">
      <w:start w:val="1"/>
      <w:numFmt w:val="lowerLetter"/>
      <w:lvlText w:val="%5."/>
      <w:lvlJc w:val="left"/>
      <w:pPr>
        <w:ind w:left="3807" w:hanging="360"/>
      </w:pPr>
    </w:lvl>
    <w:lvl w:ilvl="5" w:tplc="A4747556">
      <w:start w:val="1"/>
      <w:numFmt w:val="lowerRoman"/>
      <w:lvlText w:val="%6."/>
      <w:lvlJc w:val="right"/>
      <w:pPr>
        <w:ind w:left="4527" w:hanging="180"/>
      </w:pPr>
    </w:lvl>
    <w:lvl w:ilvl="6" w:tplc="E1D068EA">
      <w:start w:val="1"/>
      <w:numFmt w:val="decimal"/>
      <w:lvlText w:val="%7."/>
      <w:lvlJc w:val="left"/>
      <w:pPr>
        <w:ind w:left="5247" w:hanging="360"/>
      </w:pPr>
    </w:lvl>
    <w:lvl w:ilvl="7" w:tplc="5EB00F90">
      <w:start w:val="1"/>
      <w:numFmt w:val="lowerLetter"/>
      <w:lvlText w:val="%8."/>
      <w:lvlJc w:val="left"/>
      <w:pPr>
        <w:ind w:left="5967" w:hanging="360"/>
      </w:pPr>
    </w:lvl>
    <w:lvl w:ilvl="8" w:tplc="769CDB34">
      <w:start w:val="1"/>
      <w:numFmt w:val="lowerRoman"/>
      <w:lvlText w:val="%9."/>
      <w:lvlJc w:val="right"/>
      <w:pPr>
        <w:ind w:left="6687" w:hanging="180"/>
      </w:pPr>
    </w:lvl>
  </w:abstractNum>
  <w:abstractNum w:abstractNumId="2" w15:restartNumberingAfterBreak="0">
    <w:nsid w:val="06687700"/>
    <w:multiLevelType w:val="hybridMultilevel"/>
    <w:tmpl w:val="F50EDC3A"/>
    <w:lvl w:ilvl="0" w:tplc="E654E704">
      <w:start w:val="1"/>
      <w:numFmt w:val="lowerRoman"/>
      <w:lvlText w:val="%1)"/>
      <w:lvlJc w:val="left"/>
      <w:pPr>
        <w:ind w:left="1440" w:hanging="720"/>
      </w:pPr>
      <w:rPr>
        <w:rFonts w:hint="default"/>
      </w:rPr>
    </w:lvl>
    <w:lvl w:ilvl="1" w:tplc="4418BEDA" w:tentative="1">
      <w:start w:val="1"/>
      <w:numFmt w:val="lowerLetter"/>
      <w:lvlText w:val="%2."/>
      <w:lvlJc w:val="left"/>
      <w:pPr>
        <w:ind w:left="1800" w:hanging="360"/>
      </w:pPr>
    </w:lvl>
    <w:lvl w:ilvl="2" w:tplc="3CD891B2" w:tentative="1">
      <w:start w:val="1"/>
      <w:numFmt w:val="lowerRoman"/>
      <w:lvlText w:val="%3."/>
      <w:lvlJc w:val="right"/>
      <w:pPr>
        <w:ind w:left="2520" w:hanging="180"/>
      </w:pPr>
    </w:lvl>
    <w:lvl w:ilvl="3" w:tplc="DB40B136" w:tentative="1">
      <w:start w:val="1"/>
      <w:numFmt w:val="decimal"/>
      <w:lvlText w:val="%4."/>
      <w:lvlJc w:val="left"/>
      <w:pPr>
        <w:ind w:left="3240" w:hanging="360"/>
      </w:pPr>
    </w:lvl>
    <w:lvl w:ilvl="4" w:tplc="E85C9C52" w:tentative="1">
      <w:start w:val="1"/>
      <w:numFmt w:val="lowerLetter"/>
      <w:lvlText w:val="%5."/>
      <w:lvlJc w:val="left"/>
      <w:pPr>
        <w:ind w:left="3960" w:hanging="360"/>
      </w:pPr>
    </w:lvl>
    <w:lvl w:ilvl="5" w:tplc="8CD89EEC" w:tentative="1">
      <w:start w:val="1"/>
      <w:numFmt w:val="lowerRoman"/>
      <w:lvlText w:val="%6."/>
      <w:lvlJc w:val="right"/>
      <w:pPr>
        <w:ind w:left="4680" w:hanging="180"/>
      </w:pPr>
    </w:lvl>
    <w:lvl w:ilvl="6" w:tplc="441C7B26" w:tentative="1">
      <w:start w:val="1"/>
      <w:numFmt w:val="decimal"/>
      <w:lvlText w:val="%7."/>
      <w:lvlJc w:val="left"/>
      <w:pPr>
        <w:ind w:left="5400" w:hanging="360"/>
      </w:pPr>
    </w:lvl>
    <w:lvl w:ilvl="7" w:tplc="F2460C6A" w:tentative="1">
      <w:start w:val="1"/>
      <w:numFmt w:val="lowerLetter"/>
      <w:lvlText w:val="%8."/>
      <w:lvlJc w:val="left"/>
      <w:pPr>
        <w:ind w:left="6120" w:hanging="360"/>
      </w:pPr>
    </w:lvl>
    <w:lvl w:ilvl="8" w:tplc="7C88CA86" w:tentative="1">
      <w:start w:val="1"/>
      <w:numFmt w:val="lowerRoman"/>
      <w:lvlText w:val="%9."/>
      <w:lvlJc w:val="right"/>
      <w:pPr>
        <w:ind w:left="6840" w:hanging="180"/>
      </w:pPr>
    </w:lvl>
  </w:abstractNum>
  <w:abstractNum w:abstractNumId="3" w15:restartNumberingAfterBreak="0">
    <w:nsid w:val="07D64322"/>
    <w:multiLevelType w:val="hybridMultilevel"/>
    <w:tmpl w:val="868AD494"/>
    <w:lvl w:ilvl="0" w:tplc="7CB48A0C">
      <w:start w:val="1"/>
      <w:numFmt w:val="decimal"/>
      <w:lvlText w:val="%1."/>
      <w:lvlJc w:val="left"/>
      <w:pPr>
        <w:ind w:left="360" w:hanging="360"/>
      </w:pPr>
    </w:lvl>
    <w:lvl w:ilvl="1" w:tplc="5BE83800" w:tentative="1">
      <w:start w:val="1"/>
      <w:numFmt w:val="lowerLetter"/>
      <w:lvlText w:val="%2."/>
      <w:lvlJc w:val="left"/>
      <w:pPr>
        <w:ind w:left="1080" w:hanging="360"/>
      </w:pPr>
    </w:lvl>
    <w:lvl w:ilvl="2" w:tplc="AEBCD124" w:tentative="1">
      <w:start w:val="1"/>
      <w:numFmt w:val="lowerRoman"/>
      <w:lvlText w:val="%3."/>
      <w:lvlJc w:val="right"/>
      <w:pPr>
        <w:ind w:left="1800" w:hanging="180"/>
      </w:pPr>
    </w:lvl>
    <w:lvl w:ilvl="3" w:tplc="C9B0DD06" w:tentative="1">
      <w:start w:val="1"/>
      <w:numFmt w:val="decimal"/>
      <w:lvlText w:val="%4."/>
      <w:lvlJc w:val="left"/>
      <w:pPr>
        <w:ind w:left="2520" w:hanging="360"/>
      </w:pPr>
    </w:lvl>
    <w:lvl w:ilvl="4" w:tplc="D144DE0E" w:tentative="1">
      <w:start w:val="1"/>
      <w:numFmt w:val="lowerLetter"/>
      <w:lvlText w:val="%5."/>
      <w:lvlJc w:val="left"/>
      <w:pPr>
        <w:ind w:left="3240" w:hanging="360"/>
      </w:pPr>
    </w:lvl>
    <w:lvl w:ilvl="5" w:tplc="58984E94" w:tentative="1">
      <w:start w:val="1"/>
      <w:numFmt w:val="lowerRoman"/>
      <w:lvlText w:val="%6."/>
      <w:lvlJc w:val="right"/>
      <w:pPr>
        <w:ind w:left="3960" w:hanging="180"/>
      </w:pPr>
    </w:lvl>
    <w:lvl w:ilvl="6" w:tplc="ECF64000" w:tentative="1">
      <w:start w:val="1"/>
      <w:numFmt w:val="decimal"/>
      <w:lvlText w:val="%7."/>
      <w:lvlJc w:val="left"/>
      <w:pPr>
        <w:ind w:left="4680" w:hanging="360"/>
      </w:pPr>
    </w:lvl>
    <w:lvl w:ilvl="7" w:tplc="D1ECF896" w:tentative="1">
      <w:start w:val="1"/>
      <w:numFmt w:val="lowerLetter"/>
      <w:lvlText w:val="%8."/>
      <w:lvlJc w:val="left"/>
      <w:pPr>
        <w:ind w:left="5400" w:hanging="360"/>
      </w:pPr>
    </w:lvl>
    <w:lvl w:ilvl="8" w:tplc="18D85644"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65B8C326">
      <w:start w:val="1"/>
      <w:numFmt w:val="decimal"/>
      <w:lvlText w:val="%1."/>
      <w:lvlJc w:val="left"/>
      <w:pPr>
        <w:ind w:left="720" w:hanging="360"/>
      </w:pPr>
    </w:lvl>
    <w:lvl w:ilvl="1" w:tplc="18DAC0AC" w:tentative="1">
      <w:start w:val="1"/>
      <w:numFmt w:val="lowerLetter"/>
      <w:lvlText w:val="%2."/>
      <w:lvlJc w:val="left"/>
      <w:pPr>
        <w:ind w:left="1440" w:hanging="360"/>
      </w:pPr>
    </w:lvl>
    <w:lvl w:ilvl="2" w:tplc="2D347202" w:tentative="1">
      <w:start w:val="1"/>
      <w:numFmt w:val="lowerRoman"/>
      <w:lvlText w:val="%3."/>
      <w:lvlJc w:val="right"/>
      <w:pPr>
        <w:ind w:left="2160" w:hanging="180"/>
      </w:pPr>
    </w:lvl>
    <w:lvl w:ilvl="3" w:tplc="2474DE40" w:tentative="1">
      <w:start w:val="1"/>
      <w:numFmt w:val="decimal"/>
      <w:lvlText w:val="%4."/>
      <w:lvlJc w:val="left"/>
      <w:pPr>
        <w:ind w:left="2880" w:hanging="360"/>
      </w:pPr>
    </w:lvl>
    <w:lvl w:ilvl="4" w:tplc="C212D566" w:tentative="1">
      <w:start w:val="1"/>
      <w:numFmt w:val="lowerLetter"/>
      <w:lvlText w:val="%5."/>
      <w:lvlJc w:val="left"/>
      <w:pPr>
        <w:ind w:left="3600" w:hanging="360"/>
      </w:pPr>
    </w:lvl>
    <w:lvl w:ilvl="5" w:tplc="4228692C" w:tentative="1">
      <w:start w:val="1"/>
      <w:numFmt w:val="lowerRoman"/>
      <w:lvlText w:val="%6."/>
      <w:lvlJc w:val="right"/>
      <w:pPr>
        <w:ind w:left="4320" w:hanging="180"/>
      </w:pPr>
    </w:lvl>
    <w:lvl w:ilvl="6" w:tplc="1C2E97C8" w:tentative="1">
      <w:start w:val="1"/>
      <w:numFmt w:val="decimal"/>
      <w:lvlText w:val="%7."/>
      <w:lvlJc w:val="left"/>
      <w:pPr>
        <w:ind w:left="5040" w:hanging="360"/>
      </w:pPr>
    </w:lvl>
    <w:lvl w:ilvl="7" w:tplc="512EC478" w:tentative="1">
      <w:start w:val="1"/>
      <w:numFmt w:val="lowerLetter"/>
      <w:lvlText w:val="%8."/>
      <w:lvlJc w:val="left"/>
      <w:pPr>
        <w:ind w:left="5760" w:hanging="360"/>
      </w:pPr>
    </w:lvl>
    <w:lvl w:ilvl="8" w:tplc="A4EA3FD6" w:tentative="1">
      <w:start w:val="1"/>
      <w:numFmt w:val="lowerRoman"/>
      <w:lvlText w:val="%9."/>
      <w:lvlJc w:val="right"/>
      <w:pPr>
        <w:ind w:left="6480" w:hanging="180"/>
      </w:pPr>
    </w:lvl>
  </w:abstractNum>
  <w:abstractNum w:abstractNumId="5" w15:restartNumberingAfterBreak="0">
    <w:nsid w:val="108D1A2F"/>
    <w:multiLevelType w:val="hybridMultilevel"/>
    <w:tmpl w:val="6B1EFEF4"/>
    <w:lvl w:ilvl="0" w:tplc="D3B8E248">
      <w:start w:val="1"/>
      <w:numFmt w:val="bullet"/>
      <w:lvlText w:val=""/>
      <w:lvlJc w:val="left"/>
      <w:pPr>
        <w:ind w:left="785" w:hanging="360"/>
      </w:pPr>
      <w:rPr>
        <w:rFonts w:ascii="Symbol" w:hAnsi="Symbol" w:hint="default"/>
      </w:rPr>
    </w:lvl>
    <w:lvl w:ilvl="1" w:tplc="766EBDEE" w:tentative="1">
      <w:start w:val="1"/>
      <w:numFmt w:val="bullet"/>
      <w:lvlText w:val="o"/>
      <w:lvlJc w:val="left"/>
      <w:pPr>
        <w:ind w:left="1505" w:hanging="360"/>
      </w:pPr>
      <w:rPr>
        <w:rFonts w:ascii="Courier New" w:hAnsi="Courier New" w:cs="Courier New" w:hint="default"/>
      </w:rPr>
    </w:lvl>
    <w:lvl w:ilvl="2" w:tplc="CFAA4040" w:tentative="1">
      <w:start w:val="1"/>
      <w:numFmt w:val="bullet"/>
      <w:lvlText w:val=""/>
      <w:lvlJc w:val="left"/>
      <w:pPr>
        <w:ind w:left="2225" w:hanging="360"/>
      </w:pPr>
      <w:rPr>
        <w:rFonts w:ascii="Wingdings" w:hAnsi="Wingdings" w:hint="default"/>
      </w:rPr>
    </w:lvl>
    <w:lvl w:ilvl="3" w:tplc="22E8940C" w:tentative="1">
      <w:start w:val="1"/>
      <w:numFmt w:val="bullet"/>
      <w:lvlText w:val=""/>
      <w:lvlJc w:val="left"/>
      <w:pPr>
        <w:ind w:left="2945" w:hanging="360"/>
      </w:pPr>
      <w:rPr>
        <w:rFonts w:ascii="Symbol" w:hAnsi="Symbol" w:hint="default"/>
      </w:rPr>
    </w:lvl>
    <w:lvl w:ilvl="4" w:tplc="15D4D12A" w:tentative="1">
      <w:start w:val="1"/>
      <w:numFmt w:val="bullet"/>
      <w:lvlText w:val="o"/>
      <w:lvlJc w:val="left"/>
      <w:pPr>
        <w:ind w:left="3665" w:hanging="360"/>
      </w:pPr>
      <w:rPr>
        <w:rFonts w:ascii="Courier New" w:hAnsi="Courier New" w:cs="Courier New" w:hint="default"/>
      </w:rPr>
    </w:lvl>
    <w:lvl w:ilvl="5" w:tplc="ED8EE2E2" w:tentative="1">
      <w:start w:val="1"/>
      <w:numFmt w:val="bullet"/>
      <w:lvlText w:val=""/>
      <w:lvlJc w:val="left"/>
      <w:pPr>
        <w:ind w:left="4385" w:hanging="360"/>
      </w:pPr>
      <w:rPr>
        <w:rFonts w:ascii="Wingdings" w:hAnsi="Wingdings" w:hint="default"/>
      </w:rPr>
    </w:lvl>
    <w:lvl w:ilvl="6" w:tplc="954E608A" w:tentative="1">
      <w:start w:val="1"/>
      <w:numFmt w:val="bullet"/>
      <w:lvlText w:val=""/>
      <w:lvlJc w:val="left"/>
      <w:pPr>
        <w:ind w:left="5105" w:hanging="360"/>
      </w:pPr>
      <w:rPr>
        <w:rFonts w:ascii="Symbol" w:hAnsi="Symbol" w:hint="default"/>
      </w:rPr>
    </w:lvl>
    <w:lvl w:ilvl="7" w:tplc="F5FC48AC" w:tentative="1">
      <w:start w:val="1"/>
      <w:numFmt w:val="bullet"/>
      <w:lvlText w:val="o"/>
      <w:lvlJc w:val="left"/>
      <w:pPr>
        <w:ind w:left="5825" w:hanging="360"/>
      </w:pPr>
      <w:rPr>
        <w:rFonts w:ascii="Courier New" w:hAnsi="Courier New" w:cs="Courier New" w:hint="default"/>
      </w:rPr>
    </w:lvl>
    <w:lvl w:ilvl="8" w:tplc="655E4192" w:tentative="1">
      <w:start w:val="1"/>
      <w:numFmt w:val="bullet"/>
      <w:lvlText w:val=""/>
      <w:lvlJc w:val="left"/>
      <w:pPr>
        <w:ind w:left="6545" w:hanging="360"/>
      </w:pPr>
      <w:rPr>
        <w:rFonts w:ascii="Wingdings" w:hAnsi="Wingdings" w:hint="default"/>
      </w:rPr>
    </w:lvl>
  </w:abstractNum>
  <w:abstractNum w:abstractNumId="6" w15:restartNumberingAfterBreak="0">
    <w:nsid w:val="10E1280B"/>
    <w:multiLevelType w:val="hybridMultilevel"/>
    <w:tmpl w:val="7CA64C3A"/>
    <w:lvl w:ilvl="0" w:tplc="5FC8D668">
      <w:start w:val="1"/>
      <w:numFmt w:val="lowerLetter"/>
      <w:lvlText w:val="%1)"/>
      <w:lvlJc w:val="left"/>
      <w:pPr>
        <w:ind w:left="1080" w:hanging="360"/>
      </w:pPr>
      <w:rPr>
        <w:rFonts w:hint="default"/>
      </w:rPr>
    </w:lvl>
    <w:lvl w:ilvl="1" w:tplc="0FAA4FB0" w:tentative="1">
      <w:start w:val="1"/>
      <w:numFmt w:val="lowerLetter"/>
      <w:lvlText w:val="%2."/>
      <w:lvlJc w:val="left"/>
      <w:pPr>
        <w:ind w:left="1800" w:hanging="360"/>
      </w:pPr>
    </w:lvl>
    <w:lvl w:ilvl="2" w:tplc="688EB086" w:tentative="1">
      <w:start w:val="1"/>
      <w:numFmt w:val="lowerRoman"/>
      <w:lvlText w:val="%3."/>
      <w:lvlJc w:val="right"/>
      <w:pPr>
        <w:ind w:left="2520" w:hanging="180"/>
      </w:pPr>
    </w:lvl>
    <w:lvl w:ilvl="3" w:tplc="A7AAB530" w:tentative="1">
      <w:start w:val="1"/>
      <w:numFmt w:val="decimal"/>
      <w:lvlText w:val="%4."/>
      <w:lvlJc w:val="left"/>
      <w:pPr>
        <w:ind w:left="3240" w:hanging="360"/>
      </w:pPr>
    </w:lvl>
    <w:lvl w:ilvl="4" w:tplc="75F47AA4" w:tentative="1">
      <w:start w:val="1"/>
      <w:numFmt w:val="lowerLetter"/>
      <w:lvlText w:val="%5."/>
      <w:lvlJc w:val="left"/>
      <w:pPr>
        <w:ind w:left="3960" w:hanging="360"/>
      </w:pPr>
    </w:lvl>
    <w:lvl w:ilvl="5" w:tplc="64F695DE" w:tentative="1">
      <w:start w:val="1"/>
      <w:numFmt w:val="lowerRoman"/>
      <w:lvlText w:val="%6."/>
      <w:lvlJc w:val="right"/>
      <w:pPr>
        <w:ind w:left="4680" w:hanging="180"/>
      </w:pPr>
    </w:lvl>
    <w:lvl w:ilvl="6" w:tplc="DD909588" w:tentative="1">
      <w:start w:val="1"/>
      <w:numFmt w:val="decimal"/>
      <w:lvlText w:val="%7."/>
      <w:lvlJc w:val="left"/>
      <w:pPr>
        <w:ind w:left="5400" w:hanging="360"/>
      </w:pPr>
    </w:lvl>
    <w:lvl w:ilvl="7" w:tplc="F40C3236" w:tentative="1">
      <w:start w:val="1"/>
      <w:numFmt w:val="lowerLetter"/>
      <w:lvlText w:val="%8."/>
      <w:lvlJc w:val="left"/>
      <w:pPr>
        <w:ind w:left="6120" w:hanging="360"/>
      </w:pPr>
    </w:lvl>
    <w:lvl w:ilvl="8" w:tplc="D09C7DCE" w:tentative="1">
      <w:start w:val="1"/>
      <w:numFmt w:val="lowerRoman"/>
      <w:lvlText w:val="%9."/>
      <w:lvlJc w:val="right"/>
      <w:pPr>
        <w:ind w:left="6840" w:hanging="180"/>
      </w:pPr>
    </w:lvl>
  </w:abstractNum>
  <w:abstractNum w:abstractNumId="7" w15:restartNumberingAfterBreak="0">
    <w:nsid w:val="11047E6E"/>
    <w:multiLevelType w:val="hybridMultilevel"/>
    <w:tmpl w:val="0A70DED0"/>
    <w:lvl w:ilvl="0" w:tplc="EDEE78EC">
      <w:start w:val="1"/>
      <w:numFmt w:val="bullet"/>
      <w:lvlText w:val=""/>
      <w:lvlJc w:val="left"/>
      <w:pPr>
        <w:ind w:left="1125" w:hanging="360"/>
      </w:pPr>
      <w:rPr>
        <w:rFonts w:ascii="Symbol" w:hAnsi="Symbol" w:hint="default"/>
      </w:rPr>
    </w:lvl>
    <w:lvl w:ilvl="1" w:tplc="66BA82A4">
      <w:start w:val="1"/>
      <w:numFmt w:val="bullet"/>
      <w:lvlText w:val="o"/>
      <w:lvlJc w:val="left"/>
      <w:pPr>
        <w:ind w:left="1845" w:hanging="360"/>
      </w:pPr>
      <w:rPr>
        <w:rFonts w:ascii="Courier New" w:hAnsi="Courier New" w:cs="Courier New" w:hint="default"/>
      </w:rPr>
    </w:lvl>
    <w:lvl w:ilvl="2" w:tplc="4A8C3510">
      <w:start w:val="1"/>
      <w:numFmt w:val="bullet"/>
      <w:lvlText w:val=""/>
      <w:lvlJc w:val="left"/>
      <w:pPr>
        <w:ind w:left="2565" w:hanging="360"/>
      </w:pPr>
      <w:rPr>
        <w:rFonts w:ascii="Wingdings" w:hAnsi="Wingdings" w:hint="default"/>
      </w:rPr>
    </w:lvl>
    <w:lvl w:ilvl="3" w:tplc="30B2A9B8">
      <w:start w:val="1"/>
      <w:numFmt w:val="bullet"/>
      <w:lvlText w:val=""/>
      <w:lvlJc w:val="left"/>
      <w:pPr>
        <w:ind w:left="3285" w:hanging="360"/>
      </w:pPr>
      <w:rPr>
        <w:rFonts w:ascii="Symbol" w:hAnsi="Symbol" w:hint="default"/>
      </w:rPr>
    </w:lvl>
    <w:lvl w:ilvl="4" w:tplc="A762C4BA">
      <w:start w:val="1"/>
      <w:numFmt w:val="bullet"/>
      <w:lvlText w:val="o"/>
      <w:lvlJc w:val="left"/>
      <w:pPr>
        <w:ind w:left="4005" w:hanging="360"/>
      </w:pPr>
      <w:rPr>
        <w:rFonts w:ascii="Courier New" w:hAnsi="Courier New" w:cs="Courier New" w:hint="default"/>
      </w:rPr>
    </w:lvl>
    <w:lvl w:ilvl="5" w:tplc="88AEE486">
      <w:start w:val="1"/>
      <w:numFmt w:val="bullet"/>
      <w:lvlText w:val=""/>
      <w:lvlJc w:val="left"/>
      <w:pPr>
        <w:ind w:left="4725" w:hanging="360"/>
      </w:pPr>
      <w:rPr>
        <w:rFonts w:ascii="Wingdings" w:hAnsi="Wingdings" w:hint="default"/>
      </w:rPr>
    </w:lvl>
    <w:lvl w:ilvl="6" w:tplc="832A6B3C">
      <w:start w:val="1"/>
      <w:numFmt w:val="bullet"/>
      <w:lvlText w:val=""/>
      <w:lvlJc w:val="left"/>
      <w:pPr>
        <w:ind w:left="5445" w:hanging="360"/>
      </w:pPr>
      <w:rPr>
        <w:rFonts w:ascii="Symbol" w:hAnsi="Symbol" w:hint="default"/>
      </w:rPr>
    </w:lvl>
    <w:lvl w:ilvl="7" w:tplc="6DCED130">
      <w:start w:val="1"/>
      <w:numFmt w:val="bullet"/>
      <w:lvlText w:val="o"/>
      <w:lvlJc w:val="left"/>
      <w:pPr>
        <w:ind w:left="6165" w:hanging="360"/>
      </w:pPr>
      <w:rPr>
        <w:rFonts w:ascii="Courier New" w:hAnsi="Courier New" w:cs="Courier New" w:hint="default"/>
      </w:rPr>
    </w:lvl>
    <w:lvl w:ilvl="8" w:tplc="A246E788">
      <w:start w:val="1"/>
      <w:numFmt w:val="bullet"/>
      <w:lvlText w:val=""/>
      <w:lvlJc w:val="left"/>
      <w:pPr>
        <w:ind w:left="6885" w:hanging="360"/>
      </w:pPr>
      <w:rPr>
        <w:rFonts w:ascii="Wingdings" w:hAnsi="Wingdings" w:hint="default"/>
      </w:rPr>
    </w:lvl>
  </w:abstractNum>
  <w:abstractNum w:abstractNumId="8" w15:restartNumberingAfterBreak="0">
    <w:nsid w:val="116D4276"/>
    <w:multiLevelType w:val="hybridMultilevel"/>
    <w:tmpl w:val="3032587C"/>
    <w:lvl w:ilvl="0" w:tplc="D332C988">
      <w:start w:val="1"/>
      <w:numFmt w:val="decimal"/>
      <w:lvlText w:val="%1."/>
      <w:lvlJc w:val="left"/>
      <w:pPr>
        <w:ind w:left="720" w:hanging="360"/>
      </w:pPr>
    </w:lvl>
    <w:lvl w:ilvl="1" w:tplc="FFF280FA">
      <w:start w:val="1"/>
      <w:numFmt w:val="lowerLetter"/>
      <w:lvlText w:val="%2."/>
      <w:lvlJc w:val="left"/>
      <w:pPr>
        <w:ind w:left="1440" w:hanging="360"/>
      </w:pPr>
    </w:lvl>
    <w:lvl w:ilvl="2" w:tplc="5E764586">
      <w:start w:val="1"/>
      <w:numFmt w:val="lowerRoman"/>
      <w:lvlText w:val="%3."/>
      <w:lvlJc w:val="right"/>
      <w:pPr>
        <w:ind w:left="2160" w:hanging="180"/>
      </w:pPr>
    </w:lvl>
    <w:lvl w:ilvl="3" w:tplc="BC62900C">
      <w:start w:val="1"/>
      <w:numFmt w:val="decimal"/>
      <w:lvlText w:val="%4."/>
      <w:lvlJc w:val="left"/>
      <w:pPr>
        <w:ind w:left="2880" w:hanging="360"/>
      </w:pPr>
    </w:lvl>
    <w:lvl w:ilvl="4" w:tplc="907A1916">
      <w:start w:val="1"/>
      <w:numFmt w:val="lowerLetter"/>
      <w:lvlText w:val="%5."/>
      <w:lvlJc w:val="left"/>
      <w:pPr>
        <w:ind w:left="3600" w:hanging="360"/>
      </w:pPr>
    </w:lvl>
    <w:lvl w:ilvl="5" w:tplc="E2740EB6">
      <w:start w:val="1"/>
      <w:numFmt w:val="lowerRoman"/>
      <w:lvlText w:val="%6."/>
      <w:lvlJc w:val="right"/>
      <w:pPr>
        <w:ind w:left="4320" w:hanging="180"/>
      </w:pPr>
    </w:lvl>
    <w:lvl w:ilvl="6" w:tplc="ABAC9150">
      <w:start w:val="1"/>
      <w:numFmt w:val="decimal"/>
      <w:lvlText w:val="%7."/>
      <w:lvlJc w:val="left"/>
      <w:pPr>
        <w:ind w:left="5040" w:hanging="360"/>
      </w:pPr>
    </w:lvl>
    <w:lvl w:ilvl="7" w:tplc="3A0E964A">
      <w:start w:val="1"/>
      <w:numFmt w:val="lowerLetter"/>
      <w:lvlText w:val="%8."/>
      <w:lvlJc w:val="left"/>
      <w:pPr>
        <w:ind w:left="5760" w:hanging="360"/>
      </w:pPr>
    </w:lvl>
    <w:lvl w:ilvl="8" w:tplc="33CA2BEA">
      <w:start w:val="1"/>
      <w:numFmt w:val="lowerRoman"/>
      <w:lvlText w:val="%9."/>
      <w:lvlJc w:val="right"/>
      <w:pPr>
        <w:ind w:left="6480" w:hanging="180"/>
      </w:pPr>
    </w:lvl>
  </w:abstractNum>
  <w:abstractNum w:abstractNumId="9"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F01EF"/>
    <w:multiLevelType w:val="hybridMultilevel"/>
    <w:tmpl w:val="D85A6C84"/>
    <w:lvl w:ilvl="0" w:tplc="1AC20D94">
      <w:start w:val="1"/>
      <w:numFmt w:val="lowerLetter"/>
      <w:lvlText w:val="%1."/>
      <w:lvlJc w:val="left"/>
      <w:pPr>
        <w:ind w:left="927" w:hanging="360"/>
      </w:pPr>
    </w:lvl>
    <w:lvl w:ilvl="1" w:tplc="235E1F6E">
      <w:start w:val="1"/>
      <w:numFmt w:val="lowerLetter"/>
      <w:lvlText w:val="%2."/>
      <w:lvlJc w:val="left"/>
      <w:pPr>
        <w:ind w:left="1647" w:hanging="360"/>
      </w:pPr>
    </w:lvl>
    <w:lvl w:ilvl="2" w:tplc="3E000398">
      <w:start w:val="1"/>
      <w:numFmt w:val="lowerRoman"/>
      <w:lvlText w:val="%3."/>
      <w:lvlJc w:val="right"/>
      <w:pPr>
        <w:ind w:left="2367" w:hanging="180"/>
      </w:pPr>
    </w:lvl>
    <w:lvl w:ilvl="3" w:tplc="5678B602">
      <w:start w:val="1"/>
      <w:numFmt w:val="decimal"/>
      <w:lvlText w:val="%4."/>
      <w:lvlJc w:val="left"/>
      <w:pPr>
        <w:ind w:left="3087" w:hanging="360"/>
      </w:pPr>
    </w:lvl>
    <w:lvl w:ilvl="4" w:tplc="161C7808">
      <w:start w:val="1"/>
      <w:numFmt w:val="lowerLetter"/>
      <w:lvlText w:val="%5."/>
      <w:lvlJc w:val="left"/>
      <w:pPr>
        <w:ind w:left="3807" w:hanging="360"/>
      </w:pPr>
    </w:lvl>
    <w:lvl w:ilvl="5" w:tplc="6FFC93EA">
      <w:start w:val="1"/>
      <w:numFmt w:val="lowerRoman"/>
      <w:lvlText w:val="%6."/>
      <w:lvlJc w:val="right"/>
      <w:pPr>
        <w:ind w:left="4527" w:hanging="180"/>
      </w:pPr>
    </w:lvl>
    <w:lvl w:ilvl="6" w:tplc="F0F0C354">
      <w:start w:val="1"/>
      <w:numFmt w:val="decimal"/>
      <w:lvlText w:val="%7."/>
      <w:lvlJc w:val="left"/>
      <w:pPr>
        <w:ind w:left="5247" w:hanging="360"/>
      </w:pPr>
    </w:lvl>
    <w:lvl w:ilvl="7" w:tplc="18E092B2">
      <w:start w:val="1"/>
      <w:numFmt w:val="lowerLetter"/>
      <w:lvlText w:val="%8."/>
      <w:lvlJc w:val="left"/>
      <w:pPr>
        <w:ind w:left="5967" w:hanging="360"/>
      </w:pPr>
    </w:lvl>
    <w:lvl w:ilvl="8" w:tplc="23C00396">
      <w:start w:val="1"/>
      <w:numFmt w:val="lowerRoman"/>
      <w:lvlText w:val="%9."/>
      <w:lvlJc w:val="right"/>
      <w:pPr>
        <w:ind w:left="6687" w:hanging="180"/>
      </w:pPr>
    </w:lvl>
  </w:abstractNum>
  <w:abstractNum w:abstractNumId="11" w15:restartNumberingAfterBreak="0">
    <w:nsid w:val="18FC2EE8"/>
    <w:multiLevelType w:val="hybridMultilevel"/>
    <w:tmpl w:val="80803138"/>
    <w:lvl w:ilvl="0" w:tplc="E57684D4">
      <w:start w:val="1"/>
      <w:numFmt w:val="lowerLetter"/>
      <w:lvlText w:val="%1."/>
      <w:lvlJc w:val="left"/>
      <w:pPr>
        <w:ind w:left="927" w:hanging="360"/>
      </w:pPr>
      <w:rPr>
        <w:b w:val="0"/>
        <w:i w:val="0"/>
      </w:rPr>
    </w:lvl>
    <w:lvl w:ilvl="1" w:tplc="49B2B0CA">
      <w:start w:val="1"/>
      <w:numFmt w:val="lowerLetter"/>
      <w:lvlText w:val="%2."/>
      <w:lvlJc w:val="left"/>
      <w:pPr>
        <w:ind w:left="1647" w:hanging="360"/>
      </w:pPr>
    </w:lvl>
    <w:lvl w:ilvl="2" w:tplc="E0E2E4DE">
      <w:start w:val="1"/>
      <w:numFmt w:val="lowerRoman"/>
      <w:lvlText w:val="%3."/>
      <w:lvlJc w:val="right"/>
      <w:pPr>
        <w:ind w:left="2367" w:hanging="180"/>
      </w:pPr>
    </w:lvl>
    <w:lvl w:ilvl="3" w:tplc="9F0C2D4E">
      <w:start w:val="1"/>
      <w:numFmt w:val="decimal"/>
      <w:lvlText w:val="%4."/>
      <w:lvlJc w:val="left"/>
      <w:pPr>
        <w:ind w:left="3087" w:hanging="360"/>
      </w:pPr>
    </w:lvl>
    <w:lvl w:ilvl="4" w:tplc="65947A84">
      <w:start w:val="1"/>
      <w:numFmt w:val="lowerLetter"/>
      <w:lvlText w:val="%5."/>
      <w:lvlJc w:val="left"/>
      <w:pPr>
        <w:ind w:left="3807" w:hanging="360"/>
      </w:pPr>
    </w:lvl>
    <w:lvl w:ilvl="5" w:tplc="A7AAA508">
      <w:start w:val="1"/>
      <w:numFmt w:val="lowerRoman"/>
      <w:lvlText w:val="%6."/>
      <w:lvlJc w:val="right"/>
      <w:pPr>
        <w:ind w:left="4527" w:hanging="180"/>
      </w:pPr>
    </w:lvl>
    <w:lvl w:ilvl="6" w:tplc="CDACE1DA">
      <w:start w:val="1"/>
      <w:numFmt w:val="decimal"/>
      <w:lvlText w:val="%7."/>
      <w:lvlJc w:val="left"/>
      <w:pPr>
        <w:ind w:left="5247" w:hanging="360"/>
      </w:pPr>
    </w:lvl>
    <w:lvl w:ilvl="7" w:tplc="0CE40C16">
      <w:start w:val="1"/>
      <w:numFmt w:val="lowerLetter"/>
      <w:lvlText w:val="%8."/>
      <w:lvlJc w:val="left"/>
      <w:pPr>
        <w:ind w:left="5967" w:hanging="360"/>
      </w:pPr>
    </w:lvl>
    <w:lvl w:ilvl="8" w:tplc="2C260FD2">
      <w:start w:val="1"/>
      <w:numFmt w:val="lowerRoman"/>
      <w:lvlText w:val="%9."/>
      <w:lvlJc w:val="right"/>
      <w:pPr>
        <w:ind w:left="6687" w:hanging="180"/>
      </w:pPr>
    </w:lvl>
  </w:abstractNum>
  <w:abstractNum w:abstractNumId="12" w15:restartNumberingAfterBreak="0">
    <w:nsid w:val="1F582CB7"/>
    <w:multiLevelType w:val="hybridMultilevel"/>
    <w:tmpl w:val="6DBC2620"/>
    <w:lvl w:ilvl="0" w:tplc="D452EADC">
      <w:start w:val="15"/>
      <w:numFmt w:val="decimal"/>
      <w:lvlText w:val="%1."/>
      <w:lvlJc w:val="left"/>
      <w:pPr>
        <w:ind w:left="360" w:hanging="360"/>
      </w:pPr>
      <w:rPr>
        <w:b w:val="0"/>
        <w:bCs w:val="0"/>
      </w:rPr>
    </w:lvl>
    <w:lvl w:ilvl="1" w:tplc="A28C6496">
      <w:start w:val="1"/>
      <w:numFmt w:val="lowerLetter"/>
      <w:lvlText w:val="%2."/>
      <w:lvlJc w:val="left"/>
      <w:pPr>
        <w:ind w:left="1440" w:hanging="360"/>
      </w:pPr>
    </w:lvl>
    <w:lvl w:ilvl="2" w:tplc="331C11A8">
      <w:start w:val="1"/>
      <w:numFmt w:val="lowerRoman"/>
      <w:lvlText w:val="%3."/>
      <w:lvlJc w:val="right"/>
      <w:pPr>
        <w:ind w:left="2160" w:hanging="180"/>
      </w:pPr>
    </w:lvl>
    <w:lvl w:ilvl="3" w:tplc="ADEA7388">
      <w:start w:val="1"/>
      <w:numFmt w:val="decimal"/>
      <w:lvlText w:val="%4."/>
      <w:lvlJc w:val="left"/>
      <w:pPr>
        <w:ind w:left="2880" w:hanging="360"/>
      </w:pPr>
    </w:lvl>
    <w:lvl w:ilvl="4" w:tplc="B4328BE4">
      <w:start w:val="1"/>
      <w:numFmt w:val="lowerLetter"/>
      <w:lvlText w:val="%5."/>
      <w:lvlJc w:val="left"/>
      <w:pPr>
        <w:ind w:left="3600" w:hanging="360"/>
      </w:pPr>
    </w:lvl>
    <w:lvl w:ilvl="5" w:tplc="26841C2A">
      <w:start w:val="1"/>
      <w:numFmt w:val="lowerRoman"/>
      <w:lvlText w:val="%6."/>
      <w:lvlJc w:val="right"/>
      <w:pPr>
        <w:ind w:left="4320" w:hanging="180"/>
      </w:pPr>
    </w:lvl>
    <w:lvl w:ilvl="6" w:tplc="EC1C8B78">
      <w:start w:val="1"/>
      <w:numFmt w:val="decimal"/>
      <w:lvlText w:val="%7."/>
      <w:lvlJc w:val="left"/>
      <w:pPr>
        <w:ind w:left="5040" w:hanging="360"/>
      </w:pPr>
    </w:lvl>
    <w:lvl w:ilvl="7" w:tplc="0E7267CE">
      <w:start w:val="1"/>
      <w:numFmt w:val="lowerLetter"/>
      <w:lvlText w:val="%8."/>
      <w:lvlJc w:val="left"/>
      <w:pPr>
        <w:ind w:left="5760" w:hanging="360"/>
      </w:pPr>
    </w:lvl>
    <w:lvl w:ilvl="8" w:tplc="E1F05264">
      <w:start w:val="1"/>
      <w:numFmt w:val="lowerRoman"/>
      <w:lvlText w:val="%9."/>
      <w:lvlJc w:val="right"/>
      <w:pPr>
        <w:ind w:left="6480" w:hanging="180"/>
      </w:pPr>
    </w:lvl>
  </w:abstractNum>
  <w:abstractNum w:abstractNumId="13" w15:restartNumberingAfterBreak="0">
    <w:nsid w:val="20894F20"/>
    <w:multiLevelType w:val="hybridMultilevel"/>
    <w:tmpl w:val="7D7C98A2"/>
    <w:lvl w:ilvl="0" w:tplc="062642D2">
      <w:start w:val="15"/>
      <w:numFmt w:val="decimal"/>
      <w:lvlText w:val="%1."/>
      <w:lvlJc w:val="left"/>
      <w:pPr>
        <w:ind w:left="360" w:hanging="360"/>
      </w:pPr>
      <w:rPr>
        <w:b w:val="0"/>
        <w:bCs w:val="0"/>
      </w:rPr>
    </w:lvl>
    <w:lvl w:ilvl="1" w:tplc="E0E40B54">
      <w:start w:val="1"/>
      <w:numFmt w:val="lowerLetter"/>
      <w:lvlText w:val="%2."/>
      <w:lvlJc w:val="left"/>
      <w:pPr>
        <w:ind w:left="1440" w:hanging="360"/>
      </w:pPr>
    </w:lvl>
    <w:lvl w:ilvl="2" w:tplc="D5A835F8">
      <w:start w:val="1"/>
      <w:numFmt w:val="lowerRoman"/>
      <w:lvlText w:val="%3."/>
      <w:lvlJc w:val="right"/>
      <w:pPr>
        <w:ind w:left="2160" w:hanging="180"/>
      </w:pPr>
    </w:lvl>
    <w:lvl w:ilvl="3" w:tplc="BFBADE2E">
      <w:start w:val="1"/>
      <w:numFmt w:val="decimal"/>
      <w:lvlText w:val="%4."/>
      <w:lvlJc w:val="left"/>
      <w:pPr>
        <w:ind w:left="2880" w:hanging="360"/>
      </w:pPr>
    </w:lvl>
    <w:lvl w:ilvl="4" w:tplc="183E5860">
      <w:start w:val="1"/>
      <w:numFmt w:val="lowerLetter"/>
      <w:lvlText w:val="%5."/>
      <w:lvlJc w:val="left"/>
      <w:pPr>
        <w:ind w:left="3600" w:hanging="360"/>
      </w:pPr>
    </w:lvl>
    <w:lvl w:ilvl="5" w:tplc="E0640F94">
      <w:start w:val="1"/>
      <w:numFmt w:val="lowerRoman"/>
      <w:lvlText w:val="%6."/>
      <w:lvlJc w:val="right"/>
      <w:pPr>
        <w:ind w:left="4320" w:hanging="180"/>
      </w:pPr>
    </w:lvl>
    <w:lvl w:ilvl="6" w:tplc="1E3AE354">
      <w:start w:val="1"/>
      <w:numFmt w:val="decimal"/>
      <w:lvlText w:val="%7."/>
      <w:lvlJc w:val="left"/>
      <w:pPr>
        <w:ind w:left="5040" w:hanging="360"/>
      </w:pPr>
    </w:lvl>
    <w:lvl w:ilvl="7" w:tplc="ACF4B1A2">
      <w:start w:val="1"/>
      <w:numFmt w:val="lowerLetter"/>
      <w:lvlText w:val="%8."/>
      <w:lvlJc w:val="left"/>
      <w:pPr>
        <w:ind w:left="5760" w:hanging="360"/>
      </w:pPr>
    </w:lvl>
    <w:lvl w:ilvl="8" w:tplc="05501758">
      <w:start w:val="1"/>
      <w:numFmt w:val="lowerRoman"/>
      <w:lvlText w:val="%9."/>
      <w:lvlJc w:val="right"/>
      <w:pPr>
        <w:ind w:left="6480" w:hanging="180"/>
      </w:pPr>
    </w:lvl>
  </w:abstractNum>
  <w:abstractNum w:abstractNumId="14" w15:restartNumberingAfterBreak="0">
    <w:nsid w:val="21144496"/>
    <w:multiLevelType w:val="hybridMultilevel"/>
    <w:tmpl w:val="19AC41B4"/>
    <w:lvl w:ilvl="0" w:tplc="037E7B42">
      <w:start w:val="1"/>
      <w:numFmt w:val="decimal"/>
      <w:lvlText w:val="%1."/>
      <w:lvlJc w:val="left"/>
      <w:pPr>
        <w:ind w:left="720" w:hanging="360"/>
      </w:pPr>
      <w:rPr>
        <w:rFonts w:hint="default"/>
      </w:rPr>
    </w:lvl>
    <w:lvl w:ilvl="1" w:tplc="02860F7A">
      <w:start w:val="1"/>
      <w:numFmt w:val="lowerLetter"/>
      <w:lvlText w:val="%2."/>
      <w:lvlJc w:val="left"/>
      <w:pPr>
        <w:ind w:left="1440" w:hanging="360"/>
      </w:pPr>
    </w:lvl>
    <w:lvl w:ilvl="2" w:tplc="02304F6C" w:tentative="1">
      <w:start w:val="1"/>
      <w:numFmt w:val="lowerRoman"/>
      <w:lvlText w:val="%3."/>
      <w:lvlJc w:val="right"/>
      <w:pPr>
        <w:ind w:left="2160" w:hanging="180"/>
      </w:pPr>
    </w:lvl>
    <w:lvl w:ilvl="3" w:tplc="3FD2A5D8" w:tentative="1">
      <w:start w:val="1"/>
      <w:numFmt w:val="decimal"/>
      <w:lvlText w:val="%4."/>
      <w:lvlJc w:val="left"/>
      <w:pPr>
        <w:ind w:left="2880" w:hanging="360"/>
      </w:pPr>
    </w:lvl>
    <w:lvl w:ilvl="4" w:tplc="BBA2E7EA" w:tentative="1">
      <w:start w:val="1"/>
      <w:numFmt w:val="lowerLetter"/>
      <w:lvlText w:val="%5."/>
      <w:lvlJc w:val="left"/>
      <w:pPr>
        <w:ind w:left="3600" w:hanging="360"/>
      </w:pPr>
    </w:lvl>
    <w:lvl w:ilvl="5" w:tplc="79F668A6" w:tentative="1">
      <w:start w:val="1"/>
      <w:numFmt w:val="lowerRoman"/>
      <w:lvlText w:val="%6."/>
      <w:lvlJc w:val="right"/>
      <w:pPr>
        <w:ind w:left="4320" w:hanging="180"/>
      </w:pPr>
    </w:lvl>
    <w:lvl w:ilvl="6" w:tplc="3C0AD09A" w:tentative="1">
      <w:start w:val="1"/>
      <w:numFmt w:val="decimal"/>
      <w:lvlText w:val="%7."/>
      <w:lvlJc w:val="left"/>
      <w:pPr>
        <w:ind w:left="5040" w:hanging="360"/>
      </w:pPr>
    </w:lvl>
    <w:lvl w:ilvl="7" w:tplc="59602D54" w:tentative="1">
      <w:start w:val="1"/>
      <w:numFmt w:val="lowerLetter"/>
      <w:lvlText w:val="%8."/>
      <w:lvlJc w:val="left"/>
      <w:pPr>
        <w:ind w:left="5760" w:hanging="360"/>
      </w:pPr>
    </w:lvl>
    <w:lvl w:ilvl="8" w:tplc="4F20CE46"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C4E28FE6">
      <w:start w:val="1"/>
      <w:numFmt w:val="lowerLetter"/>
      <w:lvlText w:val="%1."/>
      <w:lvlJc w:val="left"/>
      <w:pPr>
        <w:ind w:left="927" w:hanging="360"/>
      </w:pPr>
    </w:lvl>
    <w:lvl w:ilvl="1" w:tplc="D4706B6C">
      <w:start w:val="1"/>
      <w:numFmt w:val="lowerLetter"/>
      <w:lvlText w:val="%2."/>
      <w:lvlJc w:val="left"/>
      <w:pPr>
        <w:ind w:left="1647" w:hanging="360"/>
      </w:pPr>
    </w:lvl>
    <w:lvl w:ilvl="2" w:tplc="86782C04">
      <w:start w:val="1"/>
      <w:numFmt w:val="lowerRoman"/>
      <w:lvlText w:val="%3."/>
      <w:lvlJc w:val="right"/>
      <w:pPr>
        <w:ind w:left="2367" w:hanging="180"/>
      </w:pPr>
    </w:lvl>
    <w:lvl w:ilvl="3" w:tplc="F93E5296">
      <w:start w:val="1"/>
      <w:numFmt w:val="decimal"/>
      <w:lvlText w:val="%4."/>
      <w:lvlJc w:val="left"/>
      <w:pPr>
        <w:ind w:left="3087" w:hanging="360"/>
      </w:pPr>
    </w:lvl>
    <w:lvl w:ilvl="4" w:tplc="BFB630F2">
      <w:start w:val="1"/>
      <w:numFmt w:val="lowerLetter"/>
      <w:lvlText w:val="%5."/>
      <w:lvlJc w:val="left"/>
      <w:pPr>
        <w:ind w:left="3807" w:hanging="360"/>
      </w:pPr>
    </w:lvl>
    <w:lvl w:ilvl="5" w:tplc="083AEF7A">
      <w:start w:val="1"/>
      <w:numFmt w:val="lowerRoman"/>
      <w:lvlText w:val="%6."/>
      <w:lvlJc w:val="right"/>
      <w:pPr>
        <w:ind w:left="4527" w:hanging="180"/>
      </w:pPr>
    </w:lvl>
    <w:lvl w:ilvl="6" w:tplc="D4C40FA4">
      <w:start w:val="1"/>
      <w:numFmt w:val="decimal"/>
      <w:lvlText w:val="%7."/>
      <w:lvlJc w:val="left"/>
      <w:pPr>
        <w:ind w:left="5247" w:hanging="360"/>
      </w:pPr>
    </w:lvl>
    <w:lvl w:ilvl="7" w:tplc="64684B76">
      <w:start w:val="1"/>
      <w:numFmt w:val="lowerLetter"/>
      <w:lvlText w:val="%8."/>
      <w:lvlJc w:val="left"/>
      <w:pPr>
        <w:ind w:left="5967" w:hanging="360"/>
      </w:pPr>
    </w:lvl>
    <w:lvl w:ilvl="8" w:tplc="76263240">
      <w:start w:val="1"/>
      <w:numFmt w:val="lowerRoman"/>
      <w:lvlText w:val="%9."/>
      <w:lvlJc w:val="right"/>
      <w:pPr>
        <w:ind w:left="6687" w:hanging="180"/>
      </w:pPr>
    </w:lvl>
  </w:abstractNum>
  <w:abstractNum w:abstractNumId="16" w15:restartNumberingAfterBreak="0">
    <w:nsid w:val="23C15F13"/>
    <w:multiLevelType w:val="hybridMultilevel"/>
    <w:tmpl w:val="27BE296E"/>
    <w:lvl w:ilvl="0" w:tplc="2A30F150">
      <w:start w:val="1"/>
      <w:numFmt w:val="bullet"/>
      <w:lvlText w:val=""/>
      <w:lvlJc w:val="left"/>
      <w:pPr>
        <w:ind w:left="785" w:hanging="360"/>
      </w:pPr>
      <w:rPr>
        <w:rFonts w:ascii="Symbol" w:hAnsi="Symbol" w:hint="default"/>
      </w:rPr>
    </w:lvl>
    <w:lvl w:ilvl="1" w:tplc="32AC6556">
      <w:start w:val="1"/>
      <w:numFmt w:val="bullet"/>
      <w:lvlText w:val="o"/>
      <w:lvlJc w:val="left"/>
      <w:pPr>
        <w:ind w:left="1505" w:hanging="360"/>
      </w:pPr>
      <w:rPr>
        <w:rFonts w:ascii="Courier New" w:hAnsi="Courier New" w:cs="Courier New" w:hint="default"/>
      </w:rPr>
    </w:lvl>
    <w:lvl w:ilvl="2" w:tplc="EA0ED3FC">
      <w:start w:val="1"/>
      <w:numFmt w:val="bullet"/>
      <w:lvlText w:val=""/>
      <w:lvlJc w:val="left"/>
      <w:pPr>
        <w:ind w:left="2225" w:hanging="360"/>
      </w:pPr>
      <w:rPr>
        <w:rFonts w:ascii="Wingdings" w:hAnsi="Wingdings" w:hint="default"/>
      </w:rPr>
    </w:lvl>
    <w:lvl w:ilvl="3" w:tplc="123A8018">
      <w:start w:val="1"/>
      <w:numFmt w:val="bullet"/>
      <w:lvlText w:val=""/>
      <w:lvlJc w:val="left"/>
      <w:pPr>
        <w:ind w:left="2945" w:hanging="360"/>
      </w:pPr>
      <w:rPr>
        <w:rFonts w:ascii="Symbol" w:hAnsi="Symbol" w:hint="default"/>
      </w:rPr>
    </w:lvl>
    <w:lvl w:ilvl="4" w:tplc="9C168260">
      <w:start w:val="1"/>
      <w:numFmt w:val="bullet"/>
      <w:lvlText w:val="o"/>
      <w:lvlJc w:val="left"/>
      <w:pPr>
        <w:ind w:left="3665" w:hanging="360"/>
      </w:pPr>
      <w:rPr>
        <w:rFonts w:ascii="Courier New" w:hAnsi="Courier New" w:cs="Courier New" w:hint="default"/>
      </w:rPr>
    </w:lvl>
    <w:lvl w:ilvl="5" w:tplc="02CA3F0E">
      <w:start w:val="1"/>
      <w:numFmt w:val="bullet"/>
      <w:lvlText w:val=""/>
      <w:lvlJc w:val="left"/>
      <w:pPr>
        <w:ind w:left="4385" w:hanging="360"/>
      </w:pPr>
      <w:rPr>
        <w:rFonts w:ascii="Wingdings" w:hAnsi="Wingdings" w:hint="default"/>
      </w:rPr>
    </w:lvl>
    <w:lvl w:ilvl="6" w:tplc="833623B2">
      <w:start w:val="1"/>
      <w:numFmt w:val="bullet"/>
      <w:lvlText w:val=""/>
      <w:lvlJc w:val="left"/>
      <w:pPr>
        <w:ind w:left="5105" w:hanging="360"/>
      </w:pPr>
      <w:rPr>
        <w:rFonts w:ascii="Symbol" w:hAnsi="Symbol" w:hint="default"/>
      </w:rPr>
    </w:lvl>
    <w:lvl w:ilvl="7" w:tplc="BBCC06B8">
      <w:start w:val="1"/>
      <w:numFmt w:val="bullet"/>
      <w:lvlText w:val="o"/>
      <w:lvlJc w:val="left"/>
      <w:pPr>
        <w:ind w:left="5825" w:hanging="360"/>
      </w:pPr>
      <w:rPr>
        <w:rFonts w:ascii="Courier New" w:hAnsi="Courier New" w:cs="Courier New" w:hint="default"/>
      </w:rPr>
    </w:lvl>
    <w:lvl w:ilvl="8" w:tplc="0B2C030E">
      <w:start w:val="1"/>
      <w:numFmt w:val="bullet"/>
      <w:lvlText w:val=""/>
      <w:lvlJc w:val="left"/>
      <w:pPr>
        <w:ind w:left="6545" w:hanging="360"/>
      </w:pPr>
      <w:rPr>
        <w:rFonts w:ascii="Wingdings" w:hAnsi="Wingdings" w:hint="default"/>
      </w:rPr>
    </w:lvl>
  </w:abstractNum>
  <w:abstractNum w:abstractNumId="17" w15:restartNumberingAfterBreak="0">
    <w:nsid w:val="24A62A50"/>
    <w:multiLevelType w:val="hybridMultilevel"/>
    <w:tmpl w:val="068ECD34"/>
    <w:lvl w:ilvl="0" w:tplc="6ED67272">
      <w:start w:val="1"/>
      <w:numFmt w:val="decimal"/>
      <w:lvlText w:val="%1)"/>
      <w:lvlJc w:val="left"/>
      <w:pPr>
        <w:ind w:left="720" w:hanging="360"/>
      </w:pPr>
      <w:rPr>
        <w:rFonts w:hint="default"/>
      </w:rPr>
    </w:lvl>
    <w:lvl w:ilvl="1" w:tplc="DBDAD01A" w:tentative="1">
      <w:start w:val="1"/>
      <w:numFmt w:val="lowerLetter"/>
      <w:lvlText w:val="%2."/>
      <w:lvlJc w:val="left"/>
      <w:pPr>
        <w:ind w:left="1440" w:hanging="360"/>
      </w:pPr>
    </w:lvl>
    <w:lvl w:ilvl="2" w:tplc="31B0B6A2" w:tentative="1">
      <w:start w:val="1"/>
      <w:numFmt w:val="lowerRoman"/>
      <w:lvlText w:val="%3."/>
      <w:lvlJc w:val="right"/>
      <w:pPr>
        <w:ind w:left="2160" w:hanging="180"/>
      </w:pPr>
    </w:lvl>
    <w:lvl w:ilvl="3" w:tplc="DF705222" w:tentative="1">
      <w:start w:val="1"/>
      <w:numFmt w:val="decimal"/>
      <w:lvlText w:val="%4."/>
      <w:lvlJc w:val="left"/>
      <w:pPr>
        <w:ind w:left="2880" w:hanging="360"/>
      </w:pPr>
    </w:lvl>
    <w:lvl w:ilvl="4" w:tplc="63AC2636" w:tentative="1">
      <w:start w:val="1"/>
      <w:numFmt w:val="lowerLetter"/>
      <w:lvlText w:val="%5."/>
      <w:lvlJc w:val="left"/>
      <w:pPr>
        <w:ind w:left="3600" w:hanging="360"/>
      </w:pPr>
    </w:lvl>
    <w:lvl w:ilvl="5" w:tplc="49105BD8" w:tentative="1">
      <w:start w:val="1"/>
      <w:numFmt w:val="lowerRoman"/>
      <w:lvlText w:val="%6."/>
      <w:lvlJc w:val="right"/>
      <w:pPr>
        <w:ind w:left="4320" w:hanging="180"/>
      </w:pPr>
    </w:lvl>
    <w:lvl w:ilvl="6" w:tplc="BF360B80" w:tentative="1">
      <w:start w:val="1"/>
      <w:numFmt w:val="decimal"/>
      <w:lvlText w:val="%7."/>
      <w:lvlJc w:val="left"/>
      <w:pPr>
        <w:ind w:left="5040" w:hanging="360"/>
      </w:pPr>
    </w:lvl>
    <w:lvl w:ilvl="7" w:tplc="89E6B0D8" w:tentative="1">
      <w:start w:val="1"/>
      <w:numFmt w:val="lowerLetter"/>
      <w:lvlText w:val="%8."/>
      <w:lvlJc w:val="left"/>
      <w:pPr>
        <w:ind w:left="5760" w:hanging="360"/>
      </w:pPr>
    </w:lvl>
    <w:lvl w:ilvl="8" w:tplc="01FC8FB6" w:tentative="1">
      <w:start w:val="1"/>
      <w:numFmt w:val="lowerRoman"/>
      <w:lvlText w:val="%9."/>
      <w:lvlJc w:val="right"/>
      <w:pPr>
        <w:ind w:left="6480" w:hanging="180"/>
      </w:pPr>
    </w:lvl>
  </w:abstractNum>
  <w:abstractNum w:abstractNumId="18" w15:restartNumberingAfterBreak="0">
    <w:nsid w:val="277A2812"/>
    <w:multiLevelType w:val="hybridMultilevel"/>
    <w:tmpl w:val="0374D9BA"/>
    <w:lvl w:ilvl="0" w:tplc="4B2C6CCA">
      <w:start w:val="1"/>
      <w:numFmt w:val="lowerRoman"/>
      <w:lvlText w:val="%1."/>
      <w:lvlJc w:val="left"/>
      <w:pPr>
        <w:ind w:left="765" w:hanging="360"/>
      </w:pPr>
      <w:rPr>
        <w:rFonts w:hint="default"/>
        <w:sz w:val="22"/>
      </w:rPr>
    </w:lvl>
    <w:lvl w:ilvl="1" w:tplc="D9703FAE">
      <w:start w:val="1"/>
      <w:numFmt w:val="bullet"/>
      <w:lvlText w:val="o"/>
      <w:lvlJc w:val="left"/>
      <w:pPr>
        <w:ind w:left="1485" w:hanging="360"/>
      </w:pPr>
      <w:rPr>
        <w:rFonts w:ascii="Courier New" w:hAnsi="Courier New" w:cs="Courier New" w:hint="default"/>
      </w:rPr>
    </w:lvl>
    <w:lvl w:ilvl="2" w:tplc="5D089392">
      <w:start w:val="1"/>
      <w:numFmt w:val="bullet"/>
      <w:lvlText w:val=""/>
      <w:lvlJc w:val="left"/>
      <w:pPr>
        <w:ind w:left="2205" w:hanging="360"/>
      </w:pPr>
      <w:rPr>
        <w:rFonts w:ascii="Wingdings" w:hAnsi="Wingdings" w:hint="default"/>
      </w:rPr>
    </w:lvl>
    <w:lvl w:ilvl="3" w:tplc="E692EAE0">
      <w:start w:val="1"/>
      <w:numFmt w:val="bullet"/>
      <w:lvlText w:val=""/>
      <w:lvlJc w:val="left"/>
      <w:pPr>
        <w:ind w:left="2925" w:hanging="360"/>
      </w:pPr>
      <w:rPr>
        <w:rFonts w:ascii="Symbol" w:hAnsi="Symbol" w:hint="default"/>
      </w:rPr>
    </w:lvl>
    <w:lvl w:ilvl="4" w:tplc="492EF69C">
      <w:start w:val="1"/>
      <w:numFmt w:val="bullet"/>
      <w:lvlText w:val="o"/>
      <w:lvlJc w:val="left"/>
      <w:pPr>
        <w:ind w:left="3645" w:hanging="360"/>
      </w:pPr>
      <w:rPr>
        <w:rFonts w:ascii="Courier New" w:hAnsi="Courier New" w:cs="Courier New" w:hint="default"/>
      </w:rPr>
    </w:lvl>
    <w:lvl w:ilvl="5" w:tplc="44A4CB04">
      <w:start w:val="1"/>
      <w:numFmt w:val="bullet"/>
      <w:lvlText w:val=""/>
      <w:lvlJc w:val="left"/>
      <w:pPr>
        <w:ind w:left="4365" w:hanging="360"/>
      </w:pPr>
      <w:rPr>
        <w:rFonts w:ascii="Wingdings" w:hAnsi="Wingdings" w:hint="default"/>
      </w:rPr>
    </w:lvl>
    <w:lvl w:ilvl="6" w:tplc="0D060666">
      <w:start w:val="1"/>
      <w:numFmt w:val="bullet"/>
      <w:lvlText w:val=""/>
      <w:lvlJc w:val="left"/>
      <w:pPr>
        <w:ind w:left="5085" w:hanging="360"/>
      </w:pPr>
      <w:rPr>
        <w:rFonts w:ascii="Symbol" w:hAnsi="Symbol" w:hint="default"/>
      </w:rPr>
    </w:lvl>
    <w:lvl w:ilvl="7" w:tplc="BE16E044">
      <w:start w:val="1"/>
      <w:numFmt w:val="bullet"/>
      <w:lvlText w:val="o"/>
      <w:lvlJc w:val="left"/>
      <w:pPr>
        <w:ind w:left="5805" w:hanging="360"/>
      </w:pPr>
      <w:rPr>
        <w:rFonts w:ascii="Courier New" w:hAnsi="Courier New" w:cs="Courier New" w:hint="default"/>
      </w:rPr>
    </w:lvl>
    <w:lvl w:ilvl="8" w:tplc="286C3430">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9552F226">
      <w:start w:val="1"/>
      <w:numFmt w:val="decimal"/>
      <w:lvlText w:val="%1."/>
      <w:lvlJc w:val="left"/>
      <w:pPr>
        <w:ind w:left="360" w:hanging="360"/>
      </w:pPr>
    </w:lvl>
    <w:lvl w:ilvl="1" w:tplc="1AC4128C" w:tentative="1">
      <w:start w:val="1"/>
      <w:numFmt w:val="lowerLetter"/>
      <w:lvlText w:val="%2."/>
      <w:lvlJc w:val="left"/>
      <w:pPr>
        <w:ind w:left="1080" w:hanging="360"/>
      </w:pPr>
    </w:lvl>
    <w:lvl w:ilvl="2" w:tplc="E92E4EF2" w:tentative="1">
      <w:start w:val="1"/>
      <w:numFmt w:val="lowerRoman"/>
      <w:lvlText w:val="%3."/>
      <w:lvlJc w:val="right"/>
      <w:pPr>
        <w:ind w:left="1800" w:hanging="180"/>
      </w:pPr>
    </w:lvl>
    <w:lvl w:ilvl="3" w:tplc="1F02F5D8" w:tentative="1">
      <w:start w:val="1"/>
      <w:numFmt w:val="decimal"/>
      <w:lvlText w:val="%4."/>
      <w:lvlJc w:val="left"/>
      <w:pPr>
        <w:ind w:left="2520" w:hanging="360"/>
      </w:pPr>
    </w:lvl>
    <w:lvl w:ilvl="4" w:tplc="F500A07E" w:tentative="1">
      <w:start w:val="1"/>
      <w:numFmt w:val="lowerLetter"/>
      <w:lvlText w:val="%5."/>
      <w:lvlJc w:val="left"/>
      <w:pPr>
        <w:ind w:left="3240" w:hanging="360"/>
      </w:pPr>
    </w:lvl>
    <w:lvl w:ilvl="5" w:tplc="94A88EA0" w:tentative="1">
      <w:start w:val="1"/>
      <w:numFmt w:val="lowerRoman"/>
      <w:lvlText w:val="%6."/>
      <w:lvlJc w:val="right"/>
      <w:pPr>
        <w:ind w:left="3960" w:hanging="180"/>
      </w:pPr>
    </w:lvl>
    <w:lvl w:ilvl="6" w:tplc="2EE446C0" w:tentative="1">
      <w:start w:val="1"/>
      <w:numFmt w:val="decimal"/>
      <w:lvlText w:val="%7."/>
      <w:lvlJc w:val="left"/>
      <w:pPr>
        <w:ind w:left="4680" w:hanging="360"/>
      </w:pPr>
    </w:lvl>
    <w:lvl w:ilvl="7" w:tplc="C05E6A2A" w:tentative="1">
      <w:start w:val="1"/>
      <w:numFmt w:val="lowerLetter"/>
      <w:lvlText w:val="%8."/>
      <w:lvlJc w:val="left"/>
      <w:pPr>
        <w:ind w:left="5400" w:hanging="360"/>
      </w:pPr>
    </w:lvl>
    <w:lvl w:ilvl="8" w:tplc="693CB946"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4A82CD64">
      <w:start w:val="15"/>
      <w:numFmt w:val="decimal"/>
      <w:lvlText w:val="%1."/>
      <w:lvlJc w:val="left"/>
      <w:pPr>
        <w:ind w:left="360" w:hanging="360"/>
      </w:pPr>
      <w:rPr>
        <w:b w:val="0"/>
        <w:bCs w:val="0"/>
      </w:rPr>
    </w:lvl>
    <w:lvl w:ilvl="1" w:tplc="143A70D6">
      <w:start w:val="1"/>
      <w:numFmt w:val="lowerLetter"/>
      <w:lvlText w:val="%2."/>
      <w:lvlJc w:val="left"/>
      <w:pPr>
        <w:ind w:left="1080" w:hanging="360"/>
      </w:pPr>
    </w:lvl>
    <w:lvl w:ilvl="2" w:tplc="64BE26A2">
      <w:start w:val="1"/>
      <w:numFmt w:val="lowerRoman"/>
      <w:lvlText w:val="%3."/>
      <w:lvlJc w:val="right"/>
      <w:pPr>
        <w:ind w:left="1800" w:hanging="180"/>
      </w:pPr>
    </w:lvl>
    <w:lvl w:ilvl="3" w:tplc="8794D674">
      <w:start w:val="1"/>
      <w:numFmt w:val="decimal"/>
      <w:lvlText w:val="%4."/>
      <w:lvlJc w:val="left"/>
      <w:pPr>
        <w:ind w:left="2520" w:hanging="360"/>
      </w:pPr>
    </w:lvl>
    <w:lvl w:ilvl="4" w:tplc="9DE29286">
      <w:start w:val="1"/>
      <w:numFmt w:val="lowerLetter"/>
      <w:lvlText w:val="%5."/>
      <w:lvlJc w:val="left"/>
      <w:pPr>
        <w:ind w:left="3240" w:hanging="360"/>
      </w:pPr>
    </w:lvl>
    <w:lvl w:ilvl="5" w:tplc="8C2E4AD0">
      <w:start w:val="1"/>
      <w:numFmt w:val="lowerRoman"/>
      <w:lvlText w:val="%6."/>
      <w:lvlJc w:val="right"/>
      <w:pPr>
        <w:ind w:left="3960" w:hanging="180"/>
      </w:pPr>
    </w:lvl>
    <w:lvl w:ilvl="6" w:tplc="5BDC835C">
      <w:start w:val="1"/>
      <w:numFmt w:val="decimal"/>
      <w:lvlText w:val="%7."/>
      <w:lvlJc w:val="left"/>
      <w:pPr>
        <w:ind w:left="4680" w:hanging="360"/>
      </w:pPr>
    </w:lvl>
    <w:lvl w:ilvl="7" w:tplc="E3165958">
      <w:start w:val="1"/>
      <w:numFmt w:val="lowerLetter"/>
      <w:lvlText w:val="%8."/>
      <w:lvlJc w:val="left"/>
      <w:pPr>
        <w:ind w:left="5400" w:hanging="360"/>
      </w:pPr>
    </w:lvl>
    <w:lvl w:ilvl="8" w:tplc="F9DCFE2E">
      <w:start w:val="1"/>
      <w:numFmt w:val="lowerRoman"/>
      <w:lvlText w:val="%9."/>
      <w:lvlJc w:val="right"/>
      <w:pPr>
        <w:ind w:left="6120" w:hanging="180"/>
      </w:pPr>
    </w:lvl>
  </w:abstractNum>
  <w:abstractNum w:abstractNumId="21" w15:restartNumberingAfterBreak="0">
    <w:nsid w:val="3469699D"/>
    <w:multiLevelType w:val="hybridMultilevel"/>
    <w:tmpl w:val="E1E6C8C8"/>
    <w:lvl w:ilvl="0" w:tplc="4D82D582">
      <w:start w:val="1"/>
      <w:numFmt w:val="decimal"/>
      <w:lvlText w:val="%1."/>
      <w:lvlJc w:val="left"/>
      <w:pPr>
        <w:ind w:left="720" w:hanging="360"/>
      </w:pPr>
    </w:lvl>
    <w:lvl w:ilvl="1" w:tplc="8CFE712E" w:tentative="1">
      <w:start w:val="1"/>
      <w:numFmt w:val="lowerLetter"/>
      <w:lvlText w:val="%2."/>
      <w:lvlJc w:val="left"/>
      <w:pPr>
        <w:ind w:left="1440" w:hanging="360"/>
      </w:pPr>
    </w:lvl>
    <w:lvl w:ilvl="2" w:tplc="9058E7AA" w:tentative="1">
      <w:start w:val="1"/>
      <w:numFmt w:val="lowerRoman"/>
      <w:lvlText w:val="%3."/>
      <w:lvlJc w:val="right"/>
      <w:pPr>
        <w:ind w:left="2160" w:hanging="180"/>
      </w:pPr>
    </w:lvl>
    <w:lvl w:ilvl="3" w:tplc="2550FAD8" w:tentative="1">
      <w:start w:val="1"/>
      <w:numFmt w:val="decimal"/>
      <w:lvlText w:val="%4."/>
      <w:lvlJc w:val="left"/>
      <w:pPr>
        <w:ind w:left="2880" w:hanging="360"/>
      </w:pPr>
    </w:lvl>
    <w:lvl w:ilvl="4" w:tplc="D5B88592" w:tentative="1">
      <w:start w:val="1"/>
      <w:numFmt w:val="lowerLetter"/>
      <w:lvlText w:val="%5."/>
      <w:lvlJc w:val="left"/>
      <w:pPr>
        <w:ind w:left="3600" w:hanging="360"/>
      </w:pPr>
    </w:lvl>
    <w:lvl w:ilvl="5" w:tplc="D6C01236" w:tentative="1">
      <w:start w:val="1"/>
      <w:numFmt w:val="lowerRoman"/>
      <w:lvlText w:val="%6."/>
      <w:lvlJc w:val="right"/>
      <w:pPr>
        <w:ind w:left="4320" w:hanging="180"/>
      </w:pPr>
    </w:lvl>
    <w:lvl w:ilvl="6" w:tplc="232A6156" w:tentative="1">
      <w:start w:val="1"/>
      <w:numFmt w:val="decimal"/>
      <w:lvlText w:val="%7."/>
      <w:lvlJc w:val="left"/>
      <w:pPr>
        <w:ind w:left="5040" w:hanging="360"/>
      </w:pPr>
    </w:lvl>
    <w:lvl w:ilvl="7" w:tplc="B6902042" w:tentative="1">
      <w:start w:val="1"/>
      <w:numFmt w:val="lowerLetter"/>
      <w:lvlText w:val="%8."/>
      <w:lvlJc w:val="left"/>
      <w:pPr>
        <w:ind w:left="5760" w:hanging="360"/>
      </w:pPr>
    </w:lvl>
    <w:lvl w:ilvl="8" w:tplc="CD1EAC30"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99B436EC">
      <w:numFmt w:val="bullet"/>
      <w:lvlText w:val="-"/>
      <w:lvlJc w:val="left"/>
      <w:pPr>
        <w:ind w:left="1287" w:hanging="360"/>
      </w:pPr>
      <w:rPr>
        <w:rFonts w:ascii="Calibri" w:eastAsia="Calibri" w:hAnsi="Calibri" w:cs="Times New Roman" w:hint="default"/>
      </w:rPr>
    </w:lvl>
    <w:lvl w:ilvl="1" w:tplc="53CA07CC" w:tentative="1">
      <w:start w:val="1"/>
      <w:numFmt w:val="bullet"/>
      <w:lvlText w:val="o"/>
      <w:lvlJc w:val="left"/>
      <w:pPr>
        <w:ind w:left="2007" w:hanging="360"/>
      </w:pPr>
      <w:rPr>
        <w:rFonts w:ascii="Courier New" w:hAnsi="Courier New" w:cs="Courier New" w:hint="default"/>
      </w:rPr>
    </w:lvl>
    <w:lvl w:ilvl="2" w:tplc="7284BA9E" w:tentative="1">
      <w:start w:val="1"/>
      <w:numFmt w:val="bullet"/>
      <w:lvlText w:val=""/>
      <w:lvlJc w:val="left"/>
      <w:pPr>
        <w:ind w:left="2727" w:hanging="360"/>
      </w:pPr>
      <w:rPr>
        <w:rFonts w:ascii="Wingdings" w:hAnsi="Wingdings" w:hint="default"/>
      </w:rPr>
    </w:lvl>
    <w:lvl w:ilvl="3" w:tplc="F7528786" w:tentative="1">
      <w:start w:val="1"/>
      <w:numFmt w:val="bullet"/>
      <w:lvlText w:val=""/>
      <w:lvlJc w:val="left"/>
      <w:pPr>
        <w:ind w:left="3447" w:hanging="360"/>
      </w:pPr>
      <w:rPr>
        <w:rFonts w:ascii="Symbol" w:hAnsi="Symbol" w:hint="default"/>
      </w:rPr>
    </w:lvl>
    <w:lvl w:ilvl="4" w:tplc="91366344" w:tentative="1">
      <w:start w:val="1"/>
      <w:numFmt w:val="bullet"/>
      <w:lvlText w:val="o"/>
      <w:lvlJc w:val="left"/>
      <w:pPr>
        <w:ind w:left="4167" w:hanging="360"/>
      </w:pPr>
      <w:rPr>
        <w:rFonts w:ascii="Courier New" w:hAnsi="Courier New" w:cs="Courier New" w:hint="default"/>
      </w:rPr>
    </w:lvl>
    <w:lvl w:ilvl="5" w:tplc="B34E63F8" w:tentative="1">
      <w:start w:val="1"/>
      <w:numFmt w:val="bullet"/>
      <w:lvlText w:val=""/>
      <w:lvlJc w:val="left"/>
      <w:pPr>
        <w:ind w:left="4887" w:hanging="360"/>
      </w:pPr>
      <w:rPr>
        <w:rFonts w:ascii="Wingdings" w:hAnsi="Wingdings" w:hint="default"/>
      </w:rPr>
    </w:lvl>
    <w:lvl w:ilvl="6" w:tplc="9C84008C" w:tentative="1">
      <w:start w:val="1"/>
      <w:numFmt w:val="bullet"/>
      <w:lvlText w:val=""/>
      <w:lvlJc w:val="left"/>
      <w:pPr>
        <w:ind w:left="5607" w:hanging="360"/>
      </w:pPr>
      <w:rPr>
        <w:rFonts w:ascii="Symbol" w:hAnsi="Symbol" w:hint="default"/>
      </w:rPr>
    </w:lvl>
    <w:lvl w:ilvl="7" w:tplc="76D2E64E" w:tentative="1">
      <w:start w:val="1"/>
      <w:numFmt w:val="bullet"/>
      <w:lvlText w:val="o"/>
      <w:lvlJc w:val="left"/>
      <w:pPr>
        <w:ind w:left="6327" w:hanging="360"/>
      </w:pPr>
      <w:rPr>
        <w:rFonts w:ascii="Courier New" w:hAnsi="Courier New" w:cs="Courier New" w:hint="default"/>
      </w:rPr>
    </w:lvl>
    <w:lvl w:ilvl="8" w:tplc="E6BE8944"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21A639CA">
      <w:start w:val="1"/>
      <w:numFmt w:val="decimal"/>
      <w:lvlText w:val="%1."/>
      <w:lvlJc w:val="left"/>
      <w:pPr>
        <w:ind w:left="360" w:hanging="360"/>
      </w:pPr>
      <w:rPr>
        <w:b w:val="0"/>
        <w:bCs w:val="0"/>
      </w:rPr>
    </w:lvl>
    <w:lvl w:ilvl="1" w:tplc="84B2127C">
      <w:start w:val="1"/>
      <w:numFmt w:val="lowerLetter"/>
      <w:lvlText w:val="%2."/>
      <w:lvlJc w:val="left"/>
      <w:pPr>
        <w:ind w:left="1080" w:hanging="360"/>
      </w:pPr>
    </w:lvl>
    <w:lvl w:ilvl="2" w:tplc="8FE60CAC">
      <w:start w:val="1"/>
      <w:numFmt w:val="lowerRoman"/>
      <w:lvlText w:val="%3."/>
      <w:lvlJc w:val="right"/>
      <w:pPr>
        <w:ind w:left="1800" w:hanging="180"/>
      </w:pPr>
    </w:lvl>
    <w:lvl w:ilvl="3" w:tplc="7AF8E076">
      <w:start w:val="1"/>
      <w:numFmt w:val="decimal"/>
      <w:lvlText w:val="%4."/>
      <w:lvlJc w:val="left"/>
      <w:pPr>
        <w:ind w:left="2520" w:hanging="360"/>
      </w:pPr>
    </w:lvl>
    <w:lvl w:ilvl="4" w:tplc="8F202C60">
      <w:start w:val="1"/>
      <w:numFmt w:val="lowerLetter"/>
      <w:lvlText w:val="%5."/>
      <w:lvlJc w:val="left"/>
      <w:pPr>
        <w:ind w:left="3240" w:hanging="360"/>
      </w:pPr>
    </w:lvl>
    <w:lvl w:ilvl="5" w:tplc="B88C6C88">
      <w:start w:val="1"/>
      <w:numFmt w:val="lowerRoman"/>
      <w:lvlText w:val="%6."/>
      <w:lvlJc w:val="right"/>
      <w:pPr>
        <w:ind w:left="3960" w:hanging="180"/>
      </w:pPr>
    </w:lvl>
    <w:lvl w:ilvl="6" w:tplc="3690BAD2">
      <w:start w:val="1"/>
      <w:numFmt w:val="decimal"/>
      <w:lvlText w:val="%7."/>
      <w:lvlJc w:val="left"/>
      <w:pPr>
        <w:ind w:left="4680" w:hanging="360"/>
      </w:pPr>
    </w:lvl>
    <w:lvl w:ilvl="7" w:tplc="8C4A9112">
      <w:start w:val="1"/>
      <w:numFmt w:val="lowerLetter"/>
      <w:lvlText w:val="%8."/>
      <w:lvlJc w:val="left"/>
      <w:pPr>
        <w:ind w:left="5400" w:hanging="360"/>
      </w:pPr>
    </w:lvl>
    <w:lvl w:ilvl="8" w:tplc="EA2AE53A">
      <w:start w:val="1"/>
      <w:numFmt w:val="lowerRoman"/>
      <w:lvlText w:val="%9."/>
      <w:lvlJc w:val="right"/>
      <w:pPr>
        <w:ind w:left="6120" w:hanging="180"/>
      </w:pPr>
    </w:lvl>
  </w:abstractNum>
  <w:abstractNum w:abstractNumId="24" w15:restartNumberingAfterBreak="0">
    <w:nsid w:val="37F3304A"/>
    <w:multiLevelType w:val="hybridMultilevel"/>
    <w:tmpl w:val="963E6748"/>
    <w:lvl w:ilvl="0" w:tplc="F056C62A">
      <w:start w:val="1"/>
      <w:numFmt w:val="decimal"/>
      <w:lvlText w:val="%1."/>
      <w:lvlJc w:val="left"/>
      <w:pPr>
        <w:ind w:left="720" w:hanging="360"/>
      </w:pPr>
    </w:lvl>
    <w:lvl w:ilvl="1" w:tplc="D478B150" w:tentative="1">
      <w:start w:val="1"/>
      <w:numFmt w:val="lowerLetter"/>
      <w:lvlText w:val="%2."/>
      <w:lvlJc w:val="left"/>
      <w:pPr>
        <w:ind w:left="1440" w:hanging="360"/>
      </w:pPr>
    </w:lvl>
    <w:lvl w:ilvl="2" w:tplc="CCEC033E" w:tentative="1">
      <w:start w:val="1"/>
      <w:numFmt w:val="lowerRoman"/>
      <w:lvlText w:val="%3."/>
      <w:lvlJc w:val="right"/>
      <w:pPr>
        <w:ind w:left="2160" w:hanging="180"/>
      </w:pPr>
    </w:lvl>
    <w:lvl w:ilvl="3" w:tplc="C450C78E" w:tentative="1">
      <w:start w:val="1"/>
      <w:numFmt w:val="decimal"/>
      <w:lvlText w:val="%4."/>
      <w:lvlJc w:val="left"/>
      <w:pPr>
        <w:ind w:left="2880" w:hanging="360"/>
      </w:pPr>
    </w:lvl>
    <w:lvl w:ilvl="4" w:tplc="28AEE7CA" w:tentative="1">
      <w:start w:val="1"/>
      <w:numFmt w:val="lowerLetter"/>
      <w:lvlText w:val="%5."/>
      <w:lvlJc w:val="left"/>
      <w:pPr>
        <w:ind w:left="3600" w:hanging="360"/>
      </w:pPr>
    </w:lvl>
    <w:lvl w:ilvl="5" w:tplc="ADA6681C" w:tentative="1">
      <w:start w:val="1"/>
      <w:numFmt w:val="lowerRoman"/>
      <w:lvlText w:val="%6."/>
      <w:lvlJc w:val="right"/>
      <w:pPr>
        <w:ind w:left="4320" w:hanging="180"/>
      </w:pPr>
    </w:lvl>
    <w:lvl w:ilvl="6" w:tplc="6488299E" w:tentative="1">
      <w:start w:val="1"/>
      <w:numFmt w:val="decimal"/>
      <w:lvlText w:val="%7."/>
      <w:lvlJc w:val="left"/>
      <w:pPr>
        <w:ind w:left="5040" w:hanging="360"/>
      </w:pPr>
    </w:lvl>
    <w:lvl w:ilvl="7" w:tplc="FAF8AA3A" w:tentative="1">
      <w:start w:val="1"/>
      <w:numFmt w:val="lowerLetter"/>
      <w:lvlText w:val="%8."/>
      <w:lvlJc w:val="left"/>
      <w:pPr>
        <w:ind w:left="5760" w:hanging="360"/>
      </w:pPr>
    </w:lvl>
    <w:lvl w:ilvl="8" w:tplc="1158BF62"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A90B308">
      <w:start w:val="14"/>
      <w:numFmt w:val="bullet"/>
      <w:lvlText w:val="-"/>
      <w:lvlJc w:val="left"/>
      <w:pPr>
        <w:ind w:left="1800" w:hanging="360"/>
      </w:pPr>
      <w:rPr>
        <w:rFonts w:ascii="Calibri" w:eastAsia="Calibri" w:hAnsi="Calibri" w:cs="Times New Roman" w:hint="default"/>
      </w:rPr>
    </w:lvl>
    <w:lvl w:ilvl="1" w:tplc="F21813D2" w:tentative="1">
      <w:start w:val="1"/>
      <w:numFmt w:val="bullet"/>
      <w:lvlText w:val="o"/>
      <w:lvlJc w:val="left"/>
      <w:pPr>
        <w:ind w:left="2520" w:hanging="360"/>
      </w:pPr>
      <w:rPr>
        <w:rFonts w:ascii="Courier New" w:hAnsi="Courier New" w:cs="Courier New" w:hint="default"/>
      </w:rPr>
    </w:lvl>
    <w:lvl w:ilvl="2" w:tplc="A9EC7612" w:tentative="1">
      <w:start w:val="1"/>
      <w:numFmt w:val="bullet"/>
      <w:lvlText w:val=""/>
      <w:lvlJc w:val="left"/>
      <w:pPr>
        <w:ind w:left="3240" w:hanging="360"/>
      </w:pPr>
      <w:rPr>
        <w:rFonts w:ascii="Wingdings" w:hAnsi="Wingdings" w:hint="default"/>
      </w:rPr>
    </w:lvl>
    <w:lvl w:ilvl="3" w:tplc="0A248B00" w:tentative="1">
      <w:start w:val="1"/>
      <w:numFmt w:val="bullet"/>
      <w:lvlText w:val=""/>
      <w:lvlJc w:val="left"/>
      <w:pPr>
        <w:ind w:left="3960" w:hanging="360"/>
      </w:pPr>
      <w:rPr>
        <w:rFonts w:ascii="Symbol" w:hAnsi="Symbol" w:hint="default"/>
      </w:rPr>
    </w:lvl>
    <w:lvl w:ilvl="4" w:tplc="02CA6394" w:tentative="1">
      <w:start w:val="1"/>
      <w:numFmt w:val="bullet"/>
      <w:lvlText w:val="o"/>
      <w:lvlJc w:val="left"/>
      <w:pPr>
        <w:ind w:left="4680" w:hanging="360"/>
      </w:pPr>
      <w:rPr>
        <w:rFonts w:ascii="Courier New" w:hAnsi="Courier New" w:cs="Courier New" w:hint="default"/>
      </w:rPr>
    </w:lvl>
    <w:lvl w:ilvl="5" w:tplc="96967D00" w:tentative="1">
      <w:start w:val="1"/>
      <w:numFmt w:val="bullet"/>
      <w:lvlText w:val=""/>
      <w:lvlJc w:val="left"/>
      <w:pPr>
        <w:ind w:left="5400" w:hanging="360"/>
      </w:pPr>
      <w:rPr>
        <w:rFonts w:ascii="Wingdings" w:hAnsi="Wingdings" w:hint="default"/>
      </w:rPr>
    </w:lvl>
    <w:lvl w:ilvl="6" w:tplc="CFDE2994" w:tentative="1">
      <w:start w:val="1"/>
      <w:numFmt w:val="bullet"/>
      <w:lvlText w:val=""/>
      <w:lvlJc w:val="left"/>
      <w:pPr>
        <w:ind w:left="6120" w:hanging="360"/>
      </w:pPr>
      <w:rPr>
        <w:rFonts w:ascii="Symbol" w:hAnsi="Symbol" w:hint="default"/>
      </w:rPr>
    </w:lvl>
    <w:lvl w:ilvl="7" w:tplc="856E4DD6" w:tentative="1">
      <w:start w:val="1"/>
      <w:numFmt w:val="bullet"/>
      <w:lvlText w:val="o"/>
      <w:lvlJc w:val="left"/>
      <w:pPr>
        <w:ind w:left="6840" w:hanging="360"/>
      </w:pPr>
      <w:rPr>
        <w:rFonts w:ascii="Courier New" w:hAnsi="Courier New" w:cs="Courier New" w:hint="default"/>
      </w:rPr>
    </w:lvl>
    <w:lvl w:ilvl="8" w:tplc="5EC4034E" w:tentative="1">
      <w:start w:val="1"/>
      <w:numFmt w:val="bullet"/>
      <w:lvlText w:val=""/>
      <w:lvlJc w:val="left"/>
      <w:pPr>
        <w:ind w:left="7560" w:hanging="360"/>
      </w:pPr>
      <w:rPr>
        <w:rFonts w:ascii="Wingdings" w:hAnsi="Wingdings" w:hint="default"/>
      </w:rPr>
    </w:lvl>
  </w:abstractNum>
  <w:abstractNum w:abstractNumId="26" w15:restartNumberingAfterBreak="0">
    <w:nsid w:val="4CC019EB"/>
    <w:multiLevelType w:val="hybridMultilevel"/>
    <w:tmpl w:val="BB3222F0"/>
    <w:lvl w:ilvl="0" w:tplc="EB76960A">
      <w:numFmt w:val="bullet"/>
      <w:lvlText w:val="-"/>
      <w:lvlJc w:val="left"/>
      <w:pPr>
        <w:ind w:left="720" w:hanging="360"/>
      </w:pPr>
      <w:rPr>
        <w:rFonts w:ascii="Calibri" w:eastAsia="Calibri" w:hAnsi="Calibri" w:cs="Times New Roman" w:hint="default"/>
      </w:rPr>
    </w:lvl>
    <w:lvl w:ilvl="1" w:tplc="7FA8BBC2" w:tentative="1">
      <w:start w:val="1"/>
      <w:numFmt w:val="bullet"/>
      <w:lvlText w:val="o"/>
      <w:lvlJc w:val="left"/>
      <w:pPr>
        <w:ind w:left="1440" w:hanging="360"/>
      </w:pPr>
      <w:rPr>
        <w:rFonts w:ascii="Courier New" w:hAnsi="Courier New" w:cs="Courier New" w:hint="default"/>
      </w:rPr>
    </w:lvl>
    <w:lvl w:ilvl="2" w:tplc="B8C29B52" w:tentative="1">
      <w:start w:val="1"/>
      <w:numFmt w:val="bullet"/>
      <w:lvlText w:val=""/>
      <w:lvlJc w:val="left"/>
      <w:pPr>
        <w:ind w:left="2160" w:hanging="360"/>
      </w:pPr>
      <w:rPr>
        <w:rFonts w:ascii="Wingdings" w:hAnsi="Wingdings" w:hint="default"/>
      </w:rPr>
    </w:lvl>
    <w:lvl w:ilvl="3" w:tplc="09E6F656" w:tentative="1">
      <w:start w:val="1"/>
      <w:numFmt w:val="bullet"/>
      <w:lvlText w:val=""/>
      <w:lvlJc w:val="left"/>
      <w:pPr>
        <w:ind w:left="2880" w:hanging="360"/>
      </w:pPr>
      <w:rPr>
        <w:rFonts w:ascii="Symbol" w:hAnsi="Symbol" w:hint="default"/>
      </w:rPr>
    </w:lvl>
    <w:lvl w:ilvl="4" w:tplc="CAC21754" w:tentative="1">
      <w:start w:val="1"/>
      <w:numFmt w:val="bullet"/>
      <w:lvlText w:val="o"/>
      <w:lvlJc w:val="left"/>
      <w:pPr>
        <w:ind w:left="3600" w:hanging="360"/>
      </w:pPr>
      <w:rPr>
        <w:rFonts w:ascii="Courier New" w:hAnsi="Courier New" w:cs="Courier New" w:hint="default"/>
      </w:rPr>
    </w:lvl>
    <w:lvl w:ilvl="5" w:tplc="4B440254" w:tentative="1">
      <w:start w:val="1"/>
      <w:numFmt w:val="bullet"/>
      <w:lvlText w:val=""/>
      <w:lvlJc w:val="left"/>
      <w:pPr>
        <w:ind w:left="4320" w:hanging="360"/>
      </w:pPr>
      <w:rPr>
        <w:rFonts w:ascii="Wingdings" w:hAnsi="Wingdings" w:hint="default"/>
      </w:rPr>
    </w:lvl>
    <w:lvl w:ilvl="6" w:tplc="BB88F680" w:tentative="1">
      <w:start w:val="1"/>
      <w:numFmt w:val="bullet"/>
      <w:lvlText w:val=""/>
      <w:lvlJc w:val="left"/>
      <w:pPr>
        <w:ind w:left="5040" w:hanging="360"/>
      </w:pPr>
      <w:rPr>
        <w:rFonts w:ascii="Symbol" w:hAnsi="Symbol" w:hint="default"/>
      </w:rPr>
    </w:lvl>
    <w:lvl w:ilvl="7" w:tplc="39AE2B46" w:tentative="1">
      <w:start w:val="1"/>
      <w:numFmt w:val="bullet"/>
      <w:lvlText w:val="o"/>
      <w:lvlJc w:val="left"/>
      <w:pPr>
        <w:ind w:left="5760" w:hanging="360"/>
      </w:pPr>
      <w:rPr>
        <w:rFonts w:ascii="Courier New" w:hAnsi="Courier New" w:cs="Courier New" w:hint="default"/>
      </w:rPr>
    </w:lvl>
    <w:lvl w:ilvl="8" w:tplc="6442B020" w:tentative="1">
      <w:start w:val="1"/>
      <w:numFmt w:val="bullet"/>
      <w:lvlText w:val=""/>
      <w:lvlJc w:val="left"/>
      <w:pPr>
        <w:ind w:left="6480" w:hanging="360"/>
      </w:pPr>
      <w:rPr>
        <w:rFonts w:ascii="Wingdings" w:hAnsi="Wingdings" w:hint="default"/>
      </w:rPr>
    </w:lvl>
  </w:abstractNum>
  <w:abstractNum w:abstractNumId="27"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31A11"/>
    <w:multiLevelType w:val="hybridMultilevel"/>
    <w:tmpl w:val="7EFE6B52"/>
    <w:lvl w:ilvl="0" w:tplc="5746A5FC">
      <w:start w:val="1"/>
      <w:numFmt w:val="bullet"/>
      <w:lvlText w:val=""/>
      <w:lvlJc w:val="left"/>
      <w:pPr>
        <w:ind w:left="720" w:hanging="360"/>
      </w:pPr>
      <w:rPr>
        <w:rFonts w:ascii="Symbol" w:hAnsi="Symbol" w:hint="default"/>
      </w:rPr>
    </w:lvl>
    <w:lvl w:ilvl="1" w:tplc="24869036" w:tentative="1">
      <w:start w:val="1"/>
      <w:numFmt w:val="bullet"/>
      <w:lvlText w:val="o"/>
      <w:lvlJc w:val="left"/>
      <w:pPr>
        <w:ind w:left="1440" w:hanging="360"/>
      </w:pPr>
      <w:rPr>
        <w:rFonts w:ascii="Courier New" w:hAnsi="Courier New" w:cs="Courier New" w:hint="default"/>
      </w:rPr>
    </w:lvl>
    <w:lvl w:ilvl="2" w:tplc="CA06D41A" w:tentative="1">
      <w:start w:val="1"/>
      <w:numFmt w:val="bullet"/>
      <w:lvlText w:val=""/>
      <w:lvlJc w:val="left"/>
      <w:pPr>
        <w:ind w:left="2160" w:hanging="360"/>
      </w:pPr>
      <w:rPr>
        <w:rFonts w:ascii="Wingdings" w:hAnsi="Wingdings" w:hint="default"/>
      </w:rPr>
    </w:lvl>
    <w:lvl w:ilvl="3" w:tplc="976EFEC8" w:tentative="1">
      <w:start w:val="1"/>
      <w:numFmt w:val="bullet"/>
      <w:lvlText w:val=""/>
      <w:lvlJc w:val="left"/>
      <w:pPr>
        <w:ind w:left="2880" w:hanging="360"/>
      </w:pPr>
      <w:rPr>
        <w:rFonts w:ascii="Symbol" w:hAnsi="Symbol" w:hint="default"/>
      </w:rPr>
    </w:lvl>
    <w:lvl w:ilvl="4" w:tplc="E0A80DC2" w:tentative="1">
      <w:start w:val="1"/>
      <w:numFmt w:val="bullet"/>
      <w:lvlText w:val="o"/>
      <w:lvlJc w:val="left"/>
      <w:pPr>
        <w:ind w:left="3600" w:hanging="360"/>
      </w:pPr>
      <w:rPr>
        <w:rFonts w:ascii="Courier New" w:hAnsi="Courier New" w:cs="Courier New" w:hint="default"/>
      </w:rPr>
    </w:lvl>
    <w:lvl w:ilvl="5" w:tplc="38488C0E" w:tentative="1">
      <w:start w:val="1"/>
      <w:numFmt w:val="bullet"/>
      <w:lvlText w:val=""/>
      <w:lvlJc w:val="left"/>
      <w:pPr>
        <w:ind w:left="4320" w:hanging="360"/>
      </w:pPr>
      <w:rPr>
        <w:rFonts w:ascii="Wingdings" w:hAnsi="Wingdings" w:hint="default"/>
      </w:rPr>
    </w:lvl>
    <w:lvl w:ilvl="6" w:tplc="A070586C" w:tentative="1">
      <w:start w:val="1"/>
      <w:numFmt w:val="bullet"/>
      <w:lvlText w:val=""/>
      <w:lvlJc w:val="left"/>
      <w:pPr>
        <w:ind w:left="5040" w:hanging="360"/>
      </w:pPr>
      <w:rPr>
        <w:rFonts w:ascii="Symbol" w:hAnsi="Symbol" w:hint="default"/>
      </w:rPr>
    </w:lvl>
    <w:lvl w:ilvl="7" w:tplc="9CE6C452" w:tentative="1">
      <w:start w:val="1"/>
      <w:numFmt w:val="bullet"/>
      <w:lvlText w:val="o"/>
      <w:lvlJc w:val="left"/>
      <w:pPr>
        <w:ind w:left="5760" w:hanging="360"/>
      </w:pPr>
      <w:rPr>
        <w:rFonts w:ascii="Courier New" w:hAnsi="Courier New" w:cs="Courier New" w:hint="default"/>
      </w:rPr>
    </w:lvl>
    <w:lvl w:ilvl="8" w:tplc="28269E96"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A504F6F2">
      <w:start w:val="14"/>
      <w:numFmt w:val="bullet"/>
      <w:lvlText w:val="-"/>
      <w:lvlJc w:val="left"/>
      <w:pPr>
        <w:ind w:left="3960" w:hanging="360"/>
      </w:pPr>
      <w:rPr>
        <w:rFonts w:ascii="Calibri" w:eastAsia="Calibri" w:hAnsi="Calibri" w:cs="Times New Roman" w:hint="default"/>
      </w:rPr>
    </w:lvl>
    <w:lvl w:ilvl="1" w:tplc="6E064A96" w:tentative="1">
      <w:start w:val="1"/>
      <w:numFmt w:val="bullet"/>
      <w:lvlText w:val="o"/>
      <w:lvlJc w:val="left"/>
      <w:pPr>
        <w:ind w:left="4680" w:hanging="360"/>
      </w:pPr>
      <w:rPr>
        <w:rFonts w:ascii="Courier New" w:hAnsi="Courier New" w:cs="Courier New" w:hint="default"/>
      </w:rPr>
    </w:lvl>
    <w:lvl w:ilvl="2" w:tplc="B9C07C50" w:tentative="1">
      <w:start w:val="1"/>
      <w:numFmt w:val="bullet"/>
      <w:lvlText w:val=""/>
      <w:lvlJc w:val="left"/>
      <w:pPr>
        <w:ind w:left="5400" w:hanging="360"/>
      </w:pPr>
      <w:rPr>
        <w:rFonts w:ascii="Wingdings" w:hAnsi="Wingdings" w:hint="default"/>
      </w:rPr>
    </w:lvl>
    <w:lvl w:ilvl="3" w:tplc="A6DCD394" w:tentative="1">
      <w:start w:val="1"/>
      <w:numFmt w:val="bullet"/>
      <w:lvlText w:val=""/>
      <w:lvlJc w:val="left"/>
      <w:pPr>
        <w:ind w:left="6120" w:hanging="360"/>
      </w:pPr>
      <w:rPr>
        <w:rFonts w:ascii="Symbol" w:hAnsi="Symbol" w:hint="default"/>
      </w:rPr>
    </w:lvl>
    <w:lvl w:ilvl="4" w:tplc="74EAB7A6" w:tentative="1">
      <w:start w:val="1"/>
      <w:numFmt w:val="bullet"/>
      <w:lvlText w:val="o"/>
      <w:lvlJc w:val="left"/>
      <w:pPr>
        <w:ind w:left="6840" w:hanging="360"/>
      </w:pPr>
      <w:rPr>
        <w:rFonts w:ascii="Courier New" w:hAnsi="Courier New" w:cs="Courier New" w:hint="default"/>
      </w:rPr>
    </w:lvl>
    <w:lvl w:ilvl="5" w:tplc="D30AC13E" w:tentative="1">
      <w:start w:val="1"/>
      <w:numFmt w:val="bullet"/>
      <w:lvlText w:val=""/>
      <w:lvlJc w:val="left"/>
      <w:pPr>
        <w:ind w:left="7560" w:hanging="360"/>
      </w:pPr>
      <w:rPr>
        <w:rFonts w:ascii="Wingdings" w:hAnsi="Wingdings" w:hint="default"/>
      </w:rPr>
    </w:lvl>
    <w:lvl w:ilvl="6" w:tplc="1B748248" w:tentative="1">
      <w:start w:val="1"/>
      <w:numFmt w:val="bullet"/>
      <w:lvlText w:val=""/>
      <w:lvlJc w:val="left"/>
      <w:pPr>
        <w:ind w:left="8280" w:hanging="360"/>
      </w:pPr>
      <w:rPr>
        <w:rFonts w:ascii="Symbol" w:hAnsi="Symbol" w:hint="default"/>
      </w:rPr>
    </w:lvl>
    <w:lvl w:ilvl="7" w:tplc="9A122A3E" w:tentative="1">
      <w:start w:val="1"/>
      <w:numFmt w:val="bullet"/>
      <w:lvlText w:val="o"/>
      <w:lvlJc w:val="left"/>
      <w:pPr>
        <w:ind w:left="9000" w:hanging="360"/>
      </w:pPr>
      <w:rPr>
        <w:rFonts w:ascii="Courier New" w:hAnsi="Courier New" w:cs="Courier New" w:hint="default"/>
      </w:rPr>
    </w:lvl>
    <w:lvl w:ilvl="8" w:tplc="164A764A"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C766253C">
      <w:start w:val="15"/>
      <w:numFmt w:val="decimal"/>
      <w:lvlText w:val="%1."/>
      <w:lvlJc w:val="left"/>
      <w:pPr>
        <w:ind w:left="360" w:hanging="360"/>
      </w:pPr>
      <w:rPr>
        <w:b w:val="0"/>
        <w:bCs w:val="0"/>
      </w:rPr>
    </w:lvl>
    <w:lvl w:ilvl="1" w:tplc="FCA4EE00">
      <w:start w:val="1"/>
      <w:numFmt w:val="lowerLetter"/>
      <w:lvlText w:val="%2."/>
      <w:lvlJc w:val="left"/>
      <w:pPr>
        <w:ind w:left="1080" w:hanging="360"/>
      </w:pPr>
    </w:lvl>
    <w:lvl w:ilvl="2" w:tplc="04EE8536">
      <w:start w:val="1"/>
      <w:numFmt w:val="lowerRoman"/>
      <w:lvlText w:val="%3."/>
      <w:lvlJc w:val="right"/>
      <w:pPr>
        <w:ind w:left="1800" w:hanging="180"/>
      </w:pPr>
    </w:lvl>
    <w:lvl w:ilvl="3" w:tplc="FAECDA1E">
      <w:start w:val="1"/>
      <w:numFmt w:val="decimal"/>
      <w:lvlText w:val="%4."/>
      <w:lvlJc w:val="left"/>
      <w:pPr>
        <w:ind w:left="2520" w:hanging="360"/>
      </w:pPr>
    </w:lvl>
    <w:lvl w:ilvl="4" w:tplc="480EB7B0">
      <w:start w:val="1"/>
      <w:numFmt w:val="lowerLetter"/>
      <w:lvlText w:val="%5."/>
      <w:lvlJc w:val="left"/>
      <w:pPr>
        <w:ind w:left="3240" w:hanging="360"/>
      </w:pPr>
    </w:lvl>
    <w:lvl w:ilvl="5" w:tplc="672221B0">
      <w:start w:val="1"/>
      <w:numFmt w:val="lowerRoman"/>
      <w:lvlText w:val="%6."/>
      <w:lvlJc w:val="right"/>
      <w:pPr>
        <w:ind w:left="3960" w:hanging="180"/>
      </w:pPr>
    </w:lvl>
    <w:lvl w:ilvl="6" w:tplc="D9F884CC">
      <w:start w:val="1"/>
      <w:numFmt w:val="decimal"/>
      <w:lvlText w:val="%7."/>
      <w:lvlJc w:val="left"/>
      <w:pPr>
        <w:ind w:left="4680" w:hanging="360"/>
      </w:pPr>
    </w:lvl>
    <w:lvl w:ilvl="7" w:tplc="2682D04E">
      <w:start w:val="1"/>
      <w:numFmt w:val="lowerLetter"/>
      <w:lvlText w:val="%8."/>
      <w:lvlJc w:val="left"/>
      <w:pPr>
        <w:ind w:left="5400" w:hanging="360"/>
      </w:pPr>
    </w:lvl>
    <w:lvl w:ilvl="8" w:tplc="E1C022E6">
      <w:start w:val="1"/>
      <w:numFmt w:val="lowerRoman"/>
      <w:lvlText w:val="%9."/>
      <w:lvlJc w:val="right"/>
      <w:pPr>
        <w:ind w:left="6120" w:hanging="180"/>
      </w:pPr>
    </w:lvl>
  </w:abstractNum>
  <w:abstractNum w:abstractNumId="31" w15:restartNumberingAfterBreak="0">
    <w:nsid w:val="5C8B7D3B"/>
    <w:multiLevelType w:val="hybridMultilevel"/>
    <w:tmpl w:val="F86AA15E"/>
    <w:lvl w:ilvl="0" w:tplc="4DDC69E6">
      <w:start w:val="14"/>
      <w:numFmt w:val="bullet"/>
      <w:lvlText w:val="-"/>
      <w:lvlJc w:val="left"/>
      <w:pPr>
        <w:ind w:left="3960" w:hanging="360"/>
      </w:pPr>
      <w:rPr>
        <w:rFonts w:ascii="Calibri" w:eastAsia="Calibri" w:hAnsi="Calibri" w:cs="Times New Roman" w:hint="default"/>
      </w:rPr>
    </w:lvl>
    <w:lvl w:ilvl="1" w:tplc="12B65500" w:tentative="1">
      <w:start w:val="1"/>
      <w:numFmt w:val="bullet"/>
      <w:lvlText w:val="o"/>
      <w:lvlJc w:val="left"/>
      <w:pPr>
        <w:ind w:left="4680" w:hanging="360"/>
      </w:pPr>
      <w:rPr>
        <w:rFonts w:ascii="Courier New" w:hAnsi="Courier New" w:cs="Courier New" w:hint="default"/>
      </w:rPr>
    </w:lvl>
    <w:lvl w:ilvl="2" w:tplc="5C8615DC" w:tentative="1">
      <w:start w:val="1"/>
      <w:numFmt w:val="bullet"/>
      <w:lvlText w:val=""/>
      <w:lvlJc w:val="left"/>
      <w:pPr>
        <w:ind w:left="5400" w:hanging="360"/>
      </w:pPr>
      <w:rPr>
        <w:rFonts w:ascii="Wingdings" w:hAnsi="Wingdings" w:hint="default"/>
      </w:rPr>
    </w:lvl>
    <w:lvl w:ilvl="3" w:tplc="F7A62E4E" w:tentative="1">
      <w:start w:val="1"/>
      <w:numFmt w:val="bullet"/>
      <w:lvlText w:val=""/>
      <w:lvlJc w:val="left"/>
      <w:pPr>
        <w:ind w:left="6120" w:hanging="360"/>
      </w:pPr>
      <w:rPr>
        <w:rFonts w:ascii="Symbol" w:hAnsi="Symbol" w:hint="default"/>
      </w:rPr>
    </w:lvl>
    <w:lvl w:ilvl="4" w:tplc="B7163CAA" w:tentative="1">
      <w:start w:val="1"/>
      <w:numFmt w:val="bullet"/>
      <w:lvlText w:val="o"/>
      <w:lvlJc w:val="left"/>
      <w:pPr>
        <w:ind w:left="6840" w:hanging="360"/>
      </w:pPr>
      <w:rPr>
        <w:rFonts w:ascii="Courier New" w:hAnsi="Courier New" w:cs="Courier New" w:hint="default"/>
      </w:rPr>
    </w:lvl>
    <w:lvl w:ilvl="5" w:tplc="93DA83B0" w:tentative="1">
      <w:start w:val="1"/>
      <w:numFmt w:val="bullet"/>
      <w:lvlText w:val=""/>
      <w:lvlJc w:val="left"/>
      <w:pPr>
        <w:ind w:left="7560" w:hanging="360"/>
      </w:pPr>
      <w:rPr>
        <w:rFonts w:ascii="Wingdings" w:hAnsi="Wingdings" w:hint="default"/>
      </w:rPr>
    </w:lvl>
    <w:lvl w:ilvl="6" w:tplc="7962148C" w:tentative="1">
      <w:start w:val="1"/>
      <w:numFmt w:val="bullet"/>
      <w:lvlText w:val=""/>
      <w:lvlJc w:val="left"/>
      <w:pPr>
        <w:ind w:left="8280" w:hanging="360"/>
      </w:pPr>
      <w:rPr>
        <w:rFonts w:ascii="Symbol" w:hAnsi="Symbol" w:hint="default"/>
      </w:rPr>
    </w:lvl>
    <w:lvl w:ilvl="7" w:tplc="B8E00E00" w:tentative="1">
      <w:start w:val="1"/>
      <w:numFmt w:val="bullet"/>
      <w:lvlText w:val="o"/>
      <w:lvlJc w:val="left"/>
      <w:pPr>
        <w:ind w:left="9000" w:hanging="360"/>
      </w:pPr>
      <w:rPr>
        <w:rFonts w:ascii="Courier New" w:hAnsi="Courier New" w:cs="Courier New" w:hint="default"/>
      </w:rPr>
    </w:lvl>
    <w:lvl w:ilvl="8" w:tplc="896A26B4" w:tentative="1">
      <w:start w:val="1"/>
      <w:numFmt w:val="bullet"/>
      <w:lvlText w:val=""/>
      <w:lvlJc w:val="left"/>
      <w:pPr>
        <w:ind w:left="9720" w:hanging="360"/>
      </w:pPr>
      <w:rPr>
        <w:rFonts w:ascii="Wingdings" w:hAnsi="Wingdings" w:hint="default"/>
      </w:rPr>
    </w:lvl>
  </w:abstractNum>
  <w:abstractNum w:abstractNumId="32" w15:restartNumberingAfterBreak="0">
    <w:nsid w:val="644F0567"/>
    <w:multiLevelType w:val="hybridMultilevel"/>
    <w:tmpl w:val="BB9000B2"/>
    <w:lvl w:ilvl="0" w:tplc="BA168816">
      <w:start w:val="1"/>
      <w:numFmt w:val="decimal"/>
      <w:lvlText w:val="%1)"/>
      <w:lvlJc w:val="left"/>
      <w:pPr>
        <w:ind w:left="786" w:hanging="360"/>
      </w:pPr>
      <w:rPr>
        <w:rFonts w:hint="default"/>
      </w:rPr>
    </w:lvl>
    <w:lvl w:ilvl="1" w:tplc="4E9C4304" w:tentative="1">
      <w:start w:val="1"/>
      <w:numFmt w:val="lowerLetter"/>
      <w:lvlText w:val="%2."/>
      <w:lvlJc w:val="left"/>
      <w:pPr>
        <w:ind w:left="1506" w:hanging="360"/>
      </w:pPr>
    </w:lvl>
    <w:lvl w:ilvl="2" w:tplc="6166DAFA" w:tentative="1">
      <w:start w:val="1"/>
      <w:numFmt w:val="lowerRoman"/>
      <w:lvlText w:val="%3."/>
      <w:lvlJc w:val="right"/>
      <w:pPr>
        <w:ind w:left="2226" w:hanging="180"/>
      </w:pPr>
    </w:lvl>
    <w:lvl w:ilvl="3" w:tplc="3CBA0DDE" w:tentative="1">
      <w:start w:val="1"/>
      <w:numFmt w:val="decimal"/>
      <w:lvlText w:val="%4."/>
      <w:lvlJc w:val="left"/>
      <w:pPr>
        <w:ind w:left="2946" w:hanging="360"/>
      </w:pPr>
    </w:lvl>
    <w:lvl w:ilvl="4" w:tplc="746E1F1E" w:tentative="1">
      <w:start w:val="1"/>
      <w:numFmt w:val="lowerLetter"/>
      <w:lvlText w:val="%5."/>
      <w:lvlJc w:val="left"/>
      <w:pPr>
        <w:ind w:left="3666" w:hanging="360"/>
      </w:pPr>
    </w:lvl>
    <w:lvl w:ilvl="5" w:tplc="379CD6CA" w:tentative="1">
      <w:start w:val="1"/>
      <w:numFmt w:val="lowerRoman"/>
      <w:lvlText w:val="%6."/>
      <w:lvlJc w:val="right"/>
      <w:pPr>
        <w:ind w:left="4386" w:hanging="180"/>
      </w:pPr>
    </w:lvl>
    <w:lvl w:ilvl="6" w:tplc="90467422" w:tentative="1">
      <w:start w:val="1"/>
      <w:numFmt w:val="decimal"/>
      <w:lvlText w:val="%7."/>
      <w:lvlJc w:val="left"/>
      <w:pPr>
        <w:ind w:left="5106" w:hanging="360"/>
      </w:pPr>
    </w:lvl>
    <w:lvl w:ilvl="7" w:tplc="B568F362" w:tentative="1">
      <w:start w:val="1"/>
      <w:numFmt w:val="lowerLetter"/>
      <w:lvlText w:val="%8."/>
      <w:lvlJc w:val="left"/>
      <w:pPr>
        <w:ind w:left="5826" w:hanging="360"/>
      </w:pPr>
    </w:lvl>
    <w:lvl w:ilvl="8" w:tplc="8516380E" w:tentative="1">
      <w:start w:val="1"/>
      <w:numFmt w:val="lowerRoman"/>
      <w:lvlText w:val="%9."/>
      <w:lvlJc w:val="right"/>
      <w:pPr>
        <w:ind w:left="6546" w:hanging="180"/>
      </w:pPr>
    </w:lvl>
  </w:abstractNum>
  <w:abstractNum w:abstractNumId="33" w15:restartNumberingAfterBreak="0">
    <w:nsid w:val="69594227"/>
    <w:multiLevelType w:val="hybridMultilevel"/>
    <w:tmpl w:val="2C16D5BE"/>
    <w:lvl w:ilvl="0" w:tplc="286046E6">
      <w:start w:val="1"/>
      <w:numFmt w:val="bullet"/>
      <w:lvlText w:val=""/>
      <w:lvlJc w:val="left"/>
      <w:pPr>
        <w:ind w:left="720" w:hanging="360"/>
      </w:pPr>
      <w:rPr>
        <w:rFonts w:ascii="Symbol" w:hAnsi="Symbol" w:hint="default"/>
      </w:rPr>
    </w:lvl>
    <w:lvl w:ilvl="1" w:tplc="53B80C5C">
      <w:start w:val="1"/>
      <w:numFmt w:val="bullet"/>
      <w:lvlText w:val="o"/>
      <w:lvlJc w:val="left"/>
      <w:pPr>
        <w:ind w:left="1440" w:hanging="360"/>
      </w:pPr>
      <w:rPr>
        <w:rFonts w:ascii="Courier New" w:hAnsi="Courier New" w:cs="Courier New" w:hint="default"/>
      </w:rPr>
    </w:lvl>
    <w:lvl w:ilvl="2" w:tplc="9D34787C">
      <w:start w:val="1"/>
      <w:numFmt w:val="bullet"/>
      <w:lvlText w:val=""/>
      <w:lvlJc w:val="left"/>
      <w:pPr>
        <w:ind w:left="2160" w:hanging="360"/>
      </w:pPr>
      <w:rPr>
        <w:rFonts w:ascii="Wingdings" w:hAnsi="Wingdings" w:hint="default"/>
      </w:rPr>
    </w:lvl>
    <w:lvl w:ilvl="3" w:tplc="B46E8BA2">
      <w:start w:val="1"/>
      <w:numFmt w:val="bullet"/>
      <w:lvlText w:val=""/>
      <w:lvlJc w:val="left"/>
      <w:pPr>
        <w:ind w:left="2880" w:hanging="360"/>
      </w:pPr>
      <w:rPr>
        <w:rFonts w:ascii="Symbol" w:hAnsi="Symbol" w:hint="default"/>
      </w:rPr>
    </w:lvl>
    <w:lvl w:ilvl="4" w:tplc="3C38AC88">
      <w:start w:val="1"/>
      <w:numFmt w:val="bullet"/>
      <w:lvlText w:val="o"/>
      <w:lvlJc w:val="left"/>
      <w:pPr>
        <w:ind w:left="3600" w:hanging="360"/>
      </w:pPr>
      <w:rPr>
        <w:rFonts w:ascii="Courier New" w:hAnsi="Courier New" w:cs="Courier New" w:hint="default"/>
      </w:rPr>
    </w:lvl>
    <w:lvl w:ilvl="5" w:tplc="568831A6">
      <w:start w:val="1"/>
      <w:numFmt w:val="bullet"/>
      <w:lvlText w:val=""/>
      <w:lvlJc w:val="left"/>
      <w:pPr>
        <w:ind w:left="4320" w:hanging="360"/>
      </w:pPr>
      <w:rPr>
        <w:rFonts w:ascii="Wingdings" w:hAnsi="Wingdings" w:hint="default"/>
      </w:rPr>
    </w:lvl>
    <w:lvl w:ilvl="6" w:tplc="24B6B6F4">
      <w:start w:val="1"/>
      <w:numFmt w:val="bullet"/>
      <w:lvlText w:val=""/>
      <w:lvlJc w:val="left"/>
      <w:pPr>
        <w:ind w:left="5040" w:hanging="360"/>
      </w:pPr>
      <w:rPr>
        <w:rFonts w:ascii="Symbol" w:hAnsi="Symbol" w:hint="default"/>
      </w:rPr>
    </w:lvl>
    <w:lvl w:ilvl="7" w:tplc="5978D394">
      <w:start w:val="1"/>
      <w:numFmt w:val="bullet"/>
      <w:lvlText w:val="o"/>
      <w:lvlJc w:val="left"/>
      <w:pPr>
        <w:ind w:left="5760" w:hanging="360"/>
      </w:pPr>
      <w:rPr>
        <w:rFonts w:ascii="Courier New" w:hAnsi="Courier New" w:cs="Courier New" w:hint="default"/>
      </w:rPr>
    </w:lvl>
    <w:lvl w:ilvl="8" w:tplc="50DA2C42">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CC1835F4">
      <w:start w:val="1"/>
      <w:numFmt w:val="bullet"/>
      <w:lvlText w:val=""/>
      <w:lvlJc w:val="left"/>
      <w:pPr>
        <w:ind w:left="765" w:hanging="360"/>
      </w:pPr>
      <w:rPr>
        <w:rFonts w:ascii="Symbol" w:hAnsi="Symbol" w:hint="default"/>
      </w:rPr>
    </w:lvl>
    <w:lvl w:ilvl="1" w:tplc="4D785C5A">
      <w:start w:val="1"/>
      <w:numFmt w:val="bullet"/>
      <w:lvlText w:val="o"/>
      <w:lvlJc w:val="left"/>
      <w:pPr>
        <w:ind w:left="1485" w:hanging="360"/>
      </w:pPr>
      <w:rPr>
        <w:rFonts w:ascii="Courier New" w:hAnsi="Courier New" w:cs="Courier New" w:hint="default"/>
      </w:rPr>
    </w:lvl>
    <w:lvl w:ilvl="2" w:tplc="74263388">
      <w:start w:val="1"/>
      <w:numFmt w:val="bullet"/>
      <w:lvlText w:val=""/>
      <w:lvlJc w:val="left"/>
      <w:pPr>
        <w:ind w:left="2205" w:hanging="360"/>
      </w:pPr>
      <w:rPr>
        <w:rFonts w:ascii="Wingdings" w:hAnsi="Wingdings" w:hint="default"/>
      </w:rPr>
    </w:lvl>
    <w:lvl w:ilvl="3" w:tplc="72B60A4E">
      <w:start w:val="1"/>
      <w:numFmt w:val="bullet"/>
      <w:lvlText w:val=""/>
      <w:lvlJc w:val="left"/>
      <w:pPr>
        <w:ind w:left="2925" w:hanging="360"/>
      </w:pPr>
      <w:rPr>
        <w:rFonts w:ascii="Symbol" w:hAnsi="Symbol" w:hint="default"/>
      </w:rPr>
    </w:lvl>
    <w:lvl w:ilvl="4" w:tplc="BA303C62">
      <w:start w:val="1"/>
      <w:numFmt w:val="bullet"/>
      <w:lvlText w:val="o"/>
      <w:lvlJc w:val="left"/>
      <w:pPr>
        <w:ind w:left="3645" w:hanging="360"/>
      </w:pPr>
      <w:rPr>
        <w:rFonts w:ascii="Courier New" w:hAnsi="Courier New" w:cs="Courier New" w:hint="default"/>
      </w:rPr>
    </w:lvl>
    <w:lvl w:ilvl="5" w:tplc="CC3EE1A8">
      <w:start w:val="1"/>
      <w:numFmt w:val="bullet"/>
      <w:lvlText w:val=""/>
      <w:lvlJc w:val="left"/>
      <w:pPr>
        <w:ind w:left="4365" w:hanging="360"/>
      </w:pPr>
      <w:rPr>
        <w:rFonts w:ascii="Wingdings" w:hAnsi="Wingdings" w:hint="default"/>
      </w:rPr>
    </w:lvl>
    <w:lvl w:ilvl="6" w:tplc="6B38DB90">
      <w:start w:val="1"/>
      <w:numFmt w:val="bullet"/>
      <w:lvlText w:val=""/>
      <w:lvlJc w:val="left"/>
      <w:pPr>
        <w:ind w:left="5085" w:hanging="360"/>
      </w:pPr>
      <w:rPr>
        <w:rFonts w:ascii="Symbol" w:hAnsi="Symbol" w:hint="default"/>
      </w:rPr>
    </w:lvl>
    <w:lvl w:ilvl="7" w:tplc="DEDC60D8">
      <w:start w:val="1"/>
      <w:numFmt w:val="bullet"/>
      <w:lvlText w:val="o"/>
      <w:lvlJc w:val="left"/>
      <w:pPr>
        <w:ind w:left="5805" w:hanging="360"/>
      </w:pPr>
      <w:rPr>
        <w:rFonts w:ascii="Courier New" w:hAnsi="Courier New" w:cs="Courier New" w:hint="default"/>
      </w:rPr>
    </w:lvl>
    <w:lvl w:ilvl="8" w:tplc="DBB68FBA">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139A46B6">
      <w:start w:val="14"/>
      <w:numFmt w:val="bullet"/>
      <w:lvlText w:val="-"/>
      <w:lvlJc w:val="left"/>
      <w:pPr>
        <w:ind w:left="720" w:hanging="360"/>
      </w:pPr>
      <w:rPr>
        <w:rFonts w:ascii="Calibri" w:eastAsia="Calibri" w:hAnsi="Calibri" w:cs="Times New Roman" w:hint="default"/>
      </w:rPr>
    </w:lvl>
    <w:lvl w:ilvl="1" w:tplc="1E34F138" w:tentative="1">
      <w:start w:val="1"/>
      <w:numFmt w:val="bullet"/>
      <w:lvlText w:val="o"/>
      <w:lvlJc w:val="left"/>
      <w:pPr>
        <w:ind w:left="1440" w:hanging="360"/>
      </w:pPr>
      <w:rPr>
        <w:rFonts w:ascii="Courier New" w:hAnsi="Courier New" w:cs="Courier New" w:hint="default"/>
      </w:rPr>
    </w:lvl>
    <w:lvl w:ilvl="2" w:tplc="A2F2AAD6" w:tentative="1">
      <w:start w:val="1"/>
      <w:numFmt w:val="bullet"/>
      <w:lvlText w:val=""/>
      <w:lvlJc w:val="left"/>
      <w:pPr>
        <w:ind w:left="2160" w:hanging="360"/>
      </w:pPr>
      <w:rPr>
        <w:rFonts w:ascii="Wingdings" w:hAnsi="Wingdings" w:hint="default"/>
      </w:rPr>
    </w:lvl>
    <w:lvl w:ilvl="3" w:tplc="4D0E642E" w:tentative="1">
      <w:start w:val="1"/>
      <w:numFmt w:val="bullet"/>
      <w:lvlText w:val=""/>
      <w:lvlJc w:val="left"/>
      <w:pPr>
        <w:ind w:left="2880" w:hanging="360"/>
      </w:pPr>
      <w:rPr>
        <w:rFonts w:ascii="Symbol" w:hAnsi="Symbol" w:hint="default"/>
      </w:rPr>
    </w:lvl>
    <w:lvl w:ilvl="4" w:tplc="C4C2EAE8" w:tentative="1">
      <w:start w:val="1"/>
      <w:numFmt w:val="bullet"/>
      <w:lvlText w:val="o"/>
      <w:lvlJc w:val="left"/>
      <w:pPr>
        <w:ind w:left="3600" w:hanging="360"/>
      </w:pPr>
      <w:rPr>
        <w:rFonts w:ascii="Courier New" w:hAnsi="Courier New" w:cs="Courier New" w:hint="default"/>
      </w:rPr>
    </w:lvl>
    <w:lvl w:ilvl="5" w:tplc="4F586512" w:tentative="1">
      <w:start w:val="1"/>
      <w:numFmt w:val="bullet"/>
      <w:lvlText w:val=""/>
      <w:lvlJc w:val="left"/>
      <w:pPr>
        <w:ind w:left="4320" w:hanging="360"/>
      </w:pPr>
      <w:rPr>
        <w:rFonts w:ascii="Wingdings" w:hAnsi="Wingdings" w:hint="default"/>
      </w:rPr>
    </w:lvl>
    <w:lvl w:ilvl="6" w:tplc="E1480B6A" w:tentative="1">
      <w:start w:val="1"/>
      <w:numFmt w:val="bullet"/>
      <w:lvlText w:val=""/>
      <w:lvlJc w:val="left"/>
      <w:pPr>
        <w:ind w:left="5040" w:hanging="360"/>
      </w:pPr>
      <w:rPr>
        <w:rFonts w:ascii="Symbol" w:hAnsi="Symbol" w:hint="default"/>
      </w:rPr>
    </w:lvl>
    <w:lvl w:ilvl="7" w:tplc="45D6A2F4" w:tentative="1">
      <w:start w:val="1"/>
      <w:numFmt w:val="bullet"/>
      <w:lvlText w:val="o"/>
      <w:lvlJc w:val="left"/>
      <w:pPr>
        <w:ind w:left="5760" w:hanging="360"/>
      </w:pPr>
      <w:rPr>
        <w:rFonts w:ascii="Courier New" w:hAnsi="Courier New" w:cs="Courier New" w:hint="default"/>
      </w:rPr>
    </w:lvl>
    <w:lvl w:ilvl="8" w:tplc="EC064B90" w:tentative="1">
      <w:start w:val="1"/>
      <w:numFmt w:val="bullet"/>
      <w:lvlText w:val=""/>
      <w:lvlJc w:val="left"/>
      <w:pPr>
        <w:ind w:left="6480" w:hanging="360"/>
      </w:pPr>
      <w:rPr>
        <w:rFonts w:ascii="Wingdings" w:hAnsi="Wingdings" w:hint="default"/>
      </w:rPr>
    </w:lvl>
  </w:abstractNum>
  <w:abstractNum w:abstractNumId="36" w15:restartNumberingAfterBreak="0">
    <w:nsid w:val="765D2E21"/>
    <w:multiLevelType w:val="hybridMultilevel"/>
    <w:tmpl w:val="AB543F90"/>
    <w:lvl w:ilvl="0" w:tplc="FE4A2612">
      <w:start w:val="1"/>
      <w:numFmt w:val="bullet"/>
      <w:lvlText w:val=""/>
      <w:lvlJc w:val="left"/>
      <w:pPr>
        <w:ind w:left="1080" w:hanging="360"/>
      </w:pPr>
      <w:rPr>
        <w:rFonts w:ascii="Symbol" w:hAnsi="Symbol" w:hint="default"/>
      </w:rPr>
    </w:lvl>
    <w:lvl w:ilvl="1" w:tplc="0D6EA26C">
      <w:start w:val="1"/>
      <w:numFmt w:val="bullet"/>
      <w:lvlText w:val="­"/>
      <w:lvlJc w:val="left"/>
      <w:pPr>
        <w:ind w:left="1800" w:hanging="360"/>
      </w:pPr>
      <w:rPr>
        <w:rFonts w:ascii="Courier New" w:hAnsi="Courier New" w:cs="Times New Roman" w:hint="default"/>
      </w:rPr>
    </w:lvl>
    <w:lvl w:ilvl="2" w:tplc="7B98F774">
      <w:start w:val="1"/>
      <w:numFmt w:val="bullet"/>
      <w:lvlText w:val=""/>
      <w:lvlJc w:val="left"/>
      <w:pPr>
        <w:ind w:left="2520" w:hanging="360"/>
      </w:pPr>
      <w:rPr>
        <w:rFonts w:ascii="Wingdings" w:hAnsi="Wingdings" w:hint="default"/>
      </w:rPr>
    </w:lvl>
    <w:lvl w:ilvl="3" w:tplc="CBBEB1A4">
      <w:start w:val="1"/>
      <w:numFmt w:val="bullet"/>
      <w:lvlText w:val=""/>
      <w:lvlJc w:val="left"/>
      <w:pPr>
        <w:ind w:left="3240" w:hanging="360"/>
      </w:pPr>
      <w:rPr>
        <w:rFonts w:ascii="Symbol" w:hAnsi="Symbol" w:hint="default"/>
      </w:rPr>
    </w:lvl>
    <w:lvl w:ilvl="4" w:tplc="7DAC9EB2">
      <w:start w:val="1"/>
      <w:numFmt w:val="bullet"/>
      <w:lvlText w:val="o"/>
      <w:lvlJc w:val="left"/>
      <w:pPr>
        <w:ind w:left="3960" w:hanging="360"/>
      </w:pPr>
      <w:rPr>
        <w:rFonts w:ascii="Courier New" w:hAnsi="Courier New" w:cs="Courier New" w:hint="default"/>
      </w:rPr>
    </w:lvl>
    <w:lvl w:ilvl="5" w:tplc="7B28199A">
      <w:start w:val="1"/>
      <w:numFmt w:val="bullet"/>
      <w:lvlText w:val=""/>
      <w:lvlJc w:val="left"/>
      <w:pPr>
        <w:ind w:left="4680" w:hanging="360"/>
      </w:pPr>
      <w:rPr>
        <w:rFonts w:ascii="Wingdings" w:hAnsi="Wingdings" w:hint="default"/>
      </w:rPr>
    </w:lvl>
    <w:lvl w:ilvl="6" w:tplc="8D603CFE">
      <w:start w:val="1"/>
      <w:numFmt w:val="bullet"/>
      <w:lvlText w:val=""/>
      <w:lvlJc w:val="left"/>
      <w:pPr>
        <w:ind w:left="5400" w:hanging="360"/>
      </w:pPr>
      <w:rPr>
        <w:rFonts w:ascii="Symbol" w:hAnsi="Symbol" w:hint="default"/>
      </w:rPr>
    </w:lvl>
    <w:lvl w:ilvl="7" w:tplc="466860E4">
      <w:start w:val="1"/>
      <w:numFmt w:val="bullet"/>
      <w:lvlText w:val="o"/>
      <w:lvlJc w:val="left"/>
      <w:pPr>
        <w:ind w:left="6120" w:hanging="360"/>
      </w:pPr>
      <w:rPr>
        <w:rFonts w:ascii="Courier New" w:hAnsi="Courier New" w:cs="Courier New" w:hint="default"/>
      </w:rPr>
    </w:lvl>
    <w:lvl w:ilvl="8" w:tplc="8C38EB64">
      <w:start w:val="1"/>
      <w:numFmt w:val="bullet"/>
      <w:lvlText w:val=""/>
      <w:lvlJc w:val="left"/>
      <w:pPr>
        <w:ind w:left="6840" w:hanging="360"/>
      </w:pPr>
      <w:rPr>
        <w:rFonts w:ascii="Wingdings" w:hAnsi="Wingdings" w:hint="default"/>
      </w:rPr>
    </w:lvl>
  </w:abstractNum>
  <w:abstractNum w:abstractNumId="37" w15:restartNumberingAfterBreak="0">
    <w:nsid w:val="775A161C"/>
    <w:multiLevelType w:val="hybridMultilevel"/>
    <w:tmpl w:val="67CA23FC"/>
    <w:lvl w:ilvl="0" w:tplc="23143A56">
      <w:start w:val="1"/>
      <w:numFmt w:val="lowerLetter"/>
      <w:lvlText w:val="%1)"/>
      <w:lvlJc w:val="left"/>
      <w:pPr>
        <w:ind w:left="786" w:hanging="360"/>
      </w:pPr>
      <w:rPr>
        <w:rFonts w:hint="default"/>
      </w:rPr>
    </w:lvl>
    <w:lvl w:ilvl="1" w:tplc="6F965B62" w:tentative="1">
      <w:start w:val="1"/>
      <w:numFmt w:val="lowerLetter"/>
      <w:lvlText w:val="%2."/>
      <w:lvlJc w:val="left"/>
      <w:pPr>
        <w:ind w:left="1506" w:hanging="360"/>
      </w:pPr>
    </w:lvl>
    <w:lvl w:ilvl="2" w:tplc="504A99D4" w:tentative="1">
      <w:start w:val="1"/>
      <w:numFmt w:val="lowerRoman"/>
      <w:lvlText w:val="%3."/>
      <w:lvlJc w:val="right"/>
      <w:pPr>
        <w:ind w:left="2226" w:hanging="180"/>
      </w:pPr>
    </w:lvl>
    <w:lvl w:ilvl="3" w:tplc="F2008862" w:tentative="1">
      <w:start w:val="1"/>
      <w:numFmt w:val="decimal"/>
      <w:lvlText w:val="%4."/>
      <w:lvlJc w:val="left"/>
      <w:pPr>
        <w:ind w:left="2946" w:hanging="360"/>
      </w:pPr>
    </w:lvl>
    <w:lvl w:ilvl="4" w:tplc="927C3388" w:tentative="1">
      <w:start w:val="1"/>
      <w:numFmt w:val="lowerLetter"/>
      <w:lvlText w:val="%5."/>
      <w:lvlJc w:val="left"/>
      <w:pPr>
        <w:ind w:left="3666" w:hanging="360"/>
      </w:pPr>
    </w:lvl>
    <w:lvl w:ilvl="5" w:tplc="711E0584" w:tentative="1">
      <w:start w:val="1"/>
      <w:numFmt w:val="lowerRoman"/>
      <w:lvlText w:val="%6."/>
      <w:lvlJc w:val="right"/>
      <w:pPr>
        <w:ind w:left="4386" w:hanging="180"/>
      </w:pPr>
    </w:lvl>
    <w:lvl w:ilvl="6" w:tplc="EF3C7714" w:tentative="1">
      <w:start w:val="1"/>
      <w:numFmt w:val="decimal"/>
      <w:lvlText w:val="%7."/>
      <w:lvlJc w:val="left"/>
      <w:pPr>
        <w:ind w:left="5106" w:hanging="360"/>
      </w:pPr>
    </w:lvl>
    <w:lvl w:ilvl="7" w:tplc="E0B8746A" w:tentative="1">
      <w:start w:val="1"/>
      <w:numFmt w:val="lowerLetter"/>
      <w:lvlText w:val="%8."/>
      <w:lvlJc w:val="left"/>
      <w:pPr>
        <w:ind w:left="5826" w:hanging="360"/>
      </w:pPr>
    </w:lvl>
    <w:lvl w:ilvl="8" w:tplc="A6348864" w:tentative="1">
      <w:start w:val="1"/>
      <w:numFmt w:val="lowerRoman"/>
      <w:lvlText w:val="%9."/>
      <w:lvlJc w:val="right"/>
      <w:pPr>
        <w:ind w:left="6546" w:hanging="180"/>
      </w:pPr>
    </w:lvl>
  </w:abstractNum>
  <w:abstractNum w:abstractNumId="38" w15:restartNumberingAfterBreak="0">
    <w:nsid w:val="7DE22DAF"/>
    <w:multiLevelType w:val="hybridMultilevel"/>
    <w:tmpl w:val="A3883308"/>
    <w:lvl w:ilvl="0" w:tplc="78C812C0">
      <w:start w:val="1"/>
      <w:numFmt w:val="lowerLetter"/>
      <w:lvlText w:val="%1)"/>
      <w:lvlJc w:val="left"/>
      <w:pPr>
        <w:ind w:left="1080" w:hanging="360"/>
      </w:pPr>
      <w:rPr>
        <w:rFonts w:hint="default"/>
      </w:rPr>
    </w:lvl>
    <w:lvl w:ilvl="1" w:tplc="D47C5284" w:tentative="1">
      <w:start w:val="1"/>
      <w:numFmt w:val="lowerLetter"/>
      <w:lvlText w:val="%2."/>
      <w:lvlJc w:val="left"/>
      <w:pPr>
        <w:ind w:left="1800" w:hanging="360"/>
      </w:pPr>
    </w:lvl>
    <w:lvl w:ilvl="2" w:tplc="291675F6" w:tentative="1">
      <w:start w:val="1"/>
      <w:numFmt w:val="lowerRoman"/>
      <w:lvlText w:val="%3."/>
      <w:lvlJc w:val="right"/>
      <w:pPr>
        <w:ind w:left="2520" w:hanging="180"/>
      </w:pPr>
    </w:lvl>
    <w:lvl w:ilvl="3" w:tplc="DAC68DCA" w:tentative="1">
      <w:start w:val="1"/>
      <w:numFmt w:val="decimal"/>
      <w:lvlText w:val="%4."/>
      <w:lvlJc w:val="left"/>
      <w:pPr>
        <w:ind w:left="3240" w:hanging="360"/>
      </w:pPr>
    </w:lvl>
    <w:lvl w:ilvl="4" w:tplc="F8E87700" w:tentative="1">
      <w:start w:val="1"/>
      <w:numFmt w:val="lowerLetter"/>
      <w:lvlText w:val="%5."/>
      <w:lvlJc w:val="left"/>
      <w:pPr>
        <w:ind w:left="3960" w:hanging="360"/>
      </w:pPr>
    </w:lvl>
    <w:lvl w:ilvl="5" w:tplc="C422E468" w:tentative="1">
      <w:start w:val="1"/>
      <w:numFmt w:val="lowerRoman"/>
      <w:lvlText w:val="%6."/>
      <w:lvlJc w:val="right"/>
      <w:pPr>
        <w:ind w:left="4680" w:hanging="180"/>
      </w:pPr>
    </w:lvl>
    <w:lvl w:ilvl="6" w:tplc="EEFA9090" w:tentative="1">
      <w:start w:val="1"/>
      <w:numFmt w:val="decimal"/>
      <w:lvlText w:val="%7."/>
      <w:lvlJc w:val="left"/>
      <w:pPr>
        <w:ind w:left="5400" w:hanging="360"/>
      </w:pPr>
    </w:lvl>
    <w:lvl w:ilvl="7" w:tplc="875A2116" w:tentative="1">
      <w:start w:val="1"/>
      <w:numFmt w:val="lowerLetter"/>
      <w:lvlText w:val="%8."/>
      <w:lvlJc w:val="left"/>
      <w:pPr>
        <w:ind w:left="6120" w:hanging="360"/>
      </w:pPr>
    </w:lvl>
    <w:lvl w:ilvl="8" w:tplc="99FCEB58" w:tentative="1">
      <w:start w:val="1"/>
      <w:numFmt w:val="lowerRoman"/>
      <w:lvlText w:val="%9."/>
      <w:lvlJc w:val="right"/>
      <w:pPr>
        <w:ind w:left="6840" w:hanging="180"/>
      </w:pPr>
    </w:lvl>
  </w:abstractNum>
  <w:abstractNum w:abstractNumId="39" w15:restartNumberingAfterBreak="0">
    <w:nsid w:val="7F1E778C"/>
    <w:multiLevelType w:val="hybridMultilevel"/>
    <w:tmpl w:val="8CC83936"/>
    <w:lvl w:ilvl="0" w:tplc="EC367C1A">
      <w:start w:val="14"/>
      <w:numFmt w:val="bullet"/>
      <w:lvlText w:val="-"/>
      <w:lvlJc w:val="left"/>
      <w:pPr>
        <w:ind w:left="3960" w:hanging="360"/>
      </w:pPr>
      <w:rPr>
        <w:rFonts w:ascii="Calibri" w:eastAsia="Calibri" w:hAnsi="Calibri" w:cs="Times New Roman" w:hint="default"/>
      </w:rPr>
    </w:lvl>
    <w:lvl w:ilvl="1" w:tplc="4E765CBE" w:tentative="1">
      <w:start w:val="1"/>
      <w:numFmt w:val="bullet"/>
      <w:lvlText w:val="o"/>
      <w:lvlJc w:val="left"/>
      <w:pPr>
        <w:ind w:left="4680" w:hanging="360"/>
      </w:pPr>
      <w:rPr>
        <w:rFonts w:ascii="Courier New" w:hAnsi="Courier New" w:cs="Courier New" w:hint="default"/>
      </w:rPr>
    </w:lvl>
    <w:lvl w:ilvl="2" w:tplc="74E87D8A" w:tentative="1">
      <w:start w:val="1"/>
      <w:numFmt w:val="bullet"/>
      <w:lvlText w:val=""/>
      <w:lvlJc w:val="left"/>
      <w:pPr>
        <w:ind w:left="5400" w:hanging="360"/>
      </w:pPr>
      <w:rPr>
        <w:rFonts w:ascii="Wingdings" w:hAnsi="Wingdings" w:hint="default"/>
      </w:rPr>
    </w:lvl>
    <w:lvl w:ilvl="3" w:tplc="7A0A497A" w:tentative="1">
      <w:start w:val="1"/>
      <w:numFmt w:val="bullet"/>
      <w:lvlText w:val=""/>
      <w:lvlJc w:val="left"/>
      <w:pPr>
        <w:ind w:left="6120" w:hanging="360"/>
      </w:pPr>
      <w:rPr>
        <w:rFonts w:ascii="Symbol" w:hAnsi="Symbol" w:hint="default"/>
      </w:rPr>
    </w:lvl>
    <w:lvl w:ilvl="4" w:tplc="2DACA51E" w:tentative="1">
      <w:start w:val="1"/>
      <w:numFmt w:val="bullet"/>
      <w:lvlText w:val="o"/>
      <w:lvlJc w:val="left"/>
      <w:pPr>
        <w:ind w:left="6840" w:hanging="360"/>
      </w:pPr>
      <w:rPr>
        <w:rFonts w:ascii="Courier New" w:hAnsi="Courier New" w:cs="Courier New" w:hint="default"/>
      </w:rPr>
    </w:lvl>
    <w:lvl w:ilvl="5" w:tplc="10B6957A" w:tentative="1">
      <w:start w:val="1"/>
      <w:numFmt w:val="bullet"/>
      <w:lvlText w:val=""/>
      <w:lvlJc w:val="left"/>
      <w:pPr>
        <w:ind w:left="7560" w:hanging="360"/>
      </w:pPr>
      <w:rPr>
        <w:rFonts w:ascii="Wingdings" w:hAnsi="Wingdings" w:hint="default"/>
      </w:rPr>
    </w:lvl>
    <w:lvl w:ilvl="6" w:tplc="F3686E34" w:tentative="1">
      <w:start w:val="1"/>
      <w:numFmt w:val="bullet"/>
      <w:lvlText w:val=""/>
      <w:lvlJc w:val="left"/>
      <w:pPr>
        <w:ind w:left="8280" w:hanging="360"/>
      </w:pPr>
      <w:rPr>
        <w:rFonts w:ascii="Symbol" w:hAnsi="Symbol" w:hint="default"/>
      </w:rPr>
    </w:lvl>
    <w:lvl w:ilvl="7" w:tplc="5F3C025A" w:tentative="1">
      <w:start w:val="1"/>
      <w:numFmt w:val="bullet"/>
      <w:lvlText w:val="o"/>
      <w:lvlJc w:val="left"/>
      <w:pPr>
        <w:ind w:left="9000" w:hanging="360"/>
      </w:pPr>
      <w:rPr>
        <w:rFonts w:ascii="Courier New" w:hAnsi="Courier New" w:cs="Courier New" w:hint="default"/>
      </w:rPr>
    </w:lvl>
    <w:lvl w:ilvl="8" w:tplc="B6706340"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0"/>
  </w:num>
  <w:num w:numId="13">
    <w:abstractNumId w:val="24"/>
  </w:num>
  <w:num w:numId="14">
    <w:abstractNumId w:val="19"/>
  </w:num>
  <w:num w:numId="15">
    <w:abstractNumId w:val="3"/>
  </w:num>
  <w:num w:numId="16">
    <w:abstractNumId w:val="21"/>
  </w:num>
  <w:num w:numId="17">
    <w:abstractNumId w:val="26"/>
  </w:num>
  <w:num w:numId="18">
    <w:abstractNumId w:val="39"/>
  </w:num>
  <w:num w:numId="19">
    <w:abstractNumId w:val="35"/>
  </w:num>
  <w:num w:numId="20">
    <w:abstractNumId w:val="29"/>
  </w:num>
  <w:num w:numId="21">
    <w:abstractNumId w:val="31"/>
  </w:num>
  <w:num w:numId="22">
    <w:abstractNumId w:val="22"/>
  </w:num>
  <w:num w:numId="23">
    <w:abstractNumId w:val="28"/>
  </w:num>
  <w:num w:numId="24">
    <w:abstractNumId w:val="25"/>
  </w:num>
  <w:num w:numId="25">
    <w:abstractNumId w:val="34"/>
  </w:num>
  <w:num w:numId="26">
    <w:abstractNumId w:val="14"/>
  </w:num>
  <w:num w:numId="27">
    <w:abstractNumId w:val="0"/>
  </w:num>
  <w:num w:numId="28">
    <w:abstractNumId w:val="18"/>
  </w:num>
  <w:num w:numId="29">
    <w:abstractNumId w:val="4"/>
  </w:num>
  <w:num w:numId="30">
    <w:abstractNumId w:val="16"/>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5"/>
  </w:num>
  <w:num w:numId="36">
    <w:abstractNumId w:val="9"/>
  </w:num>
  <w:num w:numId="37">
    <w:abstractNumId w:val="27"/>
  </w:num>
  <w:num w:numId="38">
    <w:abstractNumId w:val="32"/>
  </w:num>
  <w:num w:numId="39">
    <w:abstractNumId w:val="2"/>
  </w:num>
  <w:num w:numId="40">
    <w:abstractNumId w:val="37"/>
  </w:num>
  <w:num w:numId="41">
    <w:abstractNumId w:val="6"/>
  </w:num>
  <w:num w:numId="42">
    <w:abstractNumId w:val="3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AF2"/>
    <w:rsid w:val="0000179E"/>
    <w:rsid w:val="00005D94"/>
    <w:rsid w:val="00006AD4"/>
    <w:rsid w:val="00007294"/>
    <w:rsid w:val="00010FD2"/>
    <w:rsid w:val="000131A9"/>
    <w:rsid w:val="000138C9"/>
    <w:rsid w:val="00014168"/>
    <w:rsid w:val="000152D3"/>
    <w:rsid w:val="00015D7B"/>
    <w:rsid w:val="00017A16"/>
    <w:rsid w:val="0002490F"/>
    <w:rsid w:val="00025D01"/>
    <w:rsid w:val="00026E09"/>
    <w:rsid w:val="00026E8B"/>
    <w:rsid w:val="000279B7"/>
    <w:rsid w:val="00034F86"/>
    <w:rsid w:val="00037CE0"/>
    <w:rsid w:val="00037F4D"/>
    <w:rsid w:val="00040218"/>
    <w:rsid w:val="000407D4"/>
    <w:rsid w:val="00045263"/>
    <w:rsid w:val="00051FDD"/>
    <w:rsid w:val="000534E3"/>
    <w:rsid w:val="00053929"/>
    <w:rsid w:val="00054E8F"/>
    <w:rsid w:val="0005515A"/>
    <w:rsid w:val="000568BA"/>
    <w:rsid w:val="00057AA1"/>
    <w:rsid w:val="00057B25"/>
    <w:rsid w:val="000610CF"/>
    <w:rsid w:val="00062031"/>
    <w:rsid w:val="00062809"/>
    <w:rsid w:val="0006506B"/>
    <w:rsid w:val="00065C9E"/>
    <w:rsid w:val="00065DEF"/>
    <w:rsid w:val="000660C8"/>
    <w:rsid w:val="00066A3B"/>
    <w:rsid w:val="00072EEA"/>
    <w:rsid w:val="00074DE8"/>
    <w:rsid w:val="00074F28"/>
    <w:rsid w:val="00080BE6"/>
    <w:rsid w:val="00083F9D"/>
    <w:rsid w:val="000840F0"/>
    <w:rsid w:val="0009059F"/>
    <w:rsid w:val="00092F3B"/>
    <w:rsid w:val="00092F4E"/>
    <w:rsid w:val="00096E5F"/>
    <w:rsid w:val="000979C0"/>
    <w:rsid w:val="000A0F35"/>
    <w:rsid w:val="000A339A"/>
    <w:rsid w:val="000A3437"/>
    <w:rsid w:val="000A3987"/>
    <w:rsid w:val="000A3E3E"/>
    <w:rsid w:val="000A4D3D"/>
    <w:rsid w:val="000A54CA"/>
    <w:rsid w:val="000A63C7"/>
    <w:rsid w:val="000A63FF"/>
    <w:rsid w:val="000A6BFA"/>
    <w:rsid w:val="000B0FB5"/>
    <w:rsid w:val="000B17BB"/>
    <w:rsid w:val="000B3A1B"/>
    <w:rsid w:val="000B5978"/>
    <w:rsid w:val="000C0A55"/>
    <w:rsid w:val="000C2489"/>
    <w:rsid w:val="000C70D9"/>
    <w:rsid w:val="000D068C"/>
    <w:rsid w:val="000D1705"/>
    <w:rsid w:val="000D171B"/>
    <w:rsid w:val="000D1884"/>
    <w:rsid w:val="000D4E44"/>
    <w:rsid w:val="000D5C76"/>
    <w:rsid w:val="000D6287"/>
    <w:rsid w:val="000E2412"/>
    <w:rsid w:val="000E285E"/>
    <w:rsid w:val="000E2FA0"/>
    <w:rsid w:val="000E3B08"/>
    <w:rsid w:val="000E4161"/>
    <w:rsid w:val="000E47E9"/>
    <w:rsid w:val="000E5C86"/>
    <w:rsid w:val="000F13B9"/>
    <w:rsid w:val="000F247D"/>
    <w:rsid w:val="000F2995"/>
    <w:rsid w:val="000F31AE"/>
    <w:rsid w:val="000F380A"/>
    <w:rsid w:val="000F65D8"/>
    <w:rsid w:val="000F6601"/>
    <w:rsid w:val="000F726B"/>
    <w:rsid w:val="000F7A27"/>
    <w:rsid w:val="000F7DC3"/>
    <w:rsid w:val="000F7DE2"/>
    <w:rsid w:val="0010028F"/>
    <w:rsid w:val="00100A9B"/>
    <w:rsid w:val="00103ACB"/>
    <w:rsid w:val="001040F2"/>
    <w:rsid w:val="00104BC0"/>
    <w:rsid w:val="001053AF"/>
    <w:rsid w:val="00106655"/>
    <w:rsid w:val="00107865"/>
    <w:rsid w:val="00110895"/>
    <w:rsid w:val="0011120D"/>
    <w:rsid w:val="001113FC"/>
    <w:rsid w:val="00111B4D"/>
    <w:rsid w:val="00111C7E"/>
    <w:rsid w:val="00116F86"/>
    <w:rsid w:val="00116FD2"/>
    <w:rsid w:val="00117BAC"/>
    <w:rsid w:val="0012096C"/>
    <w:rsid w:val="00121674"/>
    <w:rsid w:val="001217B7"/>
    <w:rsid w:val="00122205"/>
    <w:rsid w:val="00122B39"/>
    <w:rsid w:val="00123272"/>
    <w:rsid w:val="00125BD5"/>
    <w:rsid w:val="00126D1D"/>
    <w:rsid w:val="00127828"/>
    <w:rsid w:val="0013295E"/>
    <w:rsid w:val="0013545E"/>
    <w:rsid w:val="001359D3"/>
    <w:rsid w:val="0013614E"/>
    <w:rsid w:val="00137183"/>
    <w:rsid w:val="0013762C"/>
    <w:rsid w:val="00137AC7"/>
    <w:rsid w:val="00141787"/>
    <w:rsid w:val="0014453D"/>
    <w:rsid w:val="0014575C"/>
    <w:rsid w:val="00146B9E"/>
    <w:rsid w:val="00152700"/>
    <w:rsid w:val="00157656"/>
    <w:rsid w:val="00160381"/>
    <w:rsid w:val="00160BFA"/>
    <w:rsid w:val="00161880"/>
    <w:rsid w:val="00161BDA"/>
    <w:rsid w:val="0016277B"/>
    <w:rsid w:val="001645BB"/>
    <w:rsid w:val="00165524"/>
    <w:rsid w:val="001655D3"/>
    <w:rsid w:val="001663DB"/>
    <w:rsid w:val="00166DE6"/>
    <w:rsid w:val="00167055"/>
    <w:rsid w:val="0016773F"/>
    <w:rsid w:val="00170281"/>
    <w:rsid w:val="00170872"/>
    <w:rsid w:val="00171618"/>
    <w:rsid w:val="00172D2D"/>
    <w:rsid w:val="00176E7A"/>
    <w:rsid w:val="0017758A"/>
    <w:rsid w:val="001819B1"/>
    <w:rsid w:val="001825B2"/>
    <w:rsid w:val="0018565B"/>
    <w:rsid w:val="001876AE"/>
    <w:rsid w:val="001912E7"/>
    <w:rsid w:val="00194EAB"/>
    <w:rsid w:val="00195A26"/>
    <w:rsid w:val="00196387"/>
    <w:rsid w:val="00196F71"/>
    <w:rsid w:val="00197764"/>
    <w:rsid w:val="001A0DA6"/>
    <w:rsid w:val="001A2071"/>
    <w:rsid w:val="001A2D10"/>
    <w:rsid w:val="001A5F7E"/>
    <w:rsid w:val="001A6850"/>
    <w:rsid w:val="001A7B4D"/>
    <w:rsid w:val="001A7DA5"/>
    <w:rsid w:val="001B1609"/>
    <w:rsid w:val="001B1F9E"/>
    <w:rsid w:val="001B2BC5"/>
    <w:rsid w:val="001B30C4"/>
    <w:rsid w:val="001B375B"/>
    <w:rsid w:val="001B66FF"/>
    <w:rsid w:val="001B6E0D"/>
    <w:rsid w:val="001B772D"/>
    <w:rsid w:val="001C0D1A"/>
    <w:rsid w:val="001C150B"/>
    <w:rsid w:val="001C263A"/>
    <w:rsid w:val="001C379B"/>
    <w:rsid w:val="001C442C"/>
    <w:rsid w:val="001C4B4C"/>
    <w:rsid w:val="001C5E41"/>
    <w:rsid w:val="001C5E50"/>
    <w:rsid w:val="001C73CB"/>
    <w:rsid w:val="001C77BC"/>
    <w:rsid w:val="001D2F00"/>
    <w:rsid w:val="001D48BB"/>
    <w:rsid w:val="001D55F2"/>
    <w:rsid w:val="001D6B24"/>
    <w:rsid w:val="001D716E"/>
    <w:rsid w:val="001D78C2"/>
    <w:rsid w:val="001E00E3"/>
    <w:rsid w:val="001E0580"/>
    <w:rsid w:val="001E0658"/>
    <w:rsid w:val="001E1B8E"/>
    <w:rsid w:val="001E23D7"/>
    <w:rsid w:val="001E3FF9"/>
    <w:rsid w:val="001E56F0"/>
    <w:rsid w:val="001E7AB3"/>
    <w:rsid w:val="001F0C66"/>
    <w:rsid w:val="001F2349"/>
    <w:rsid w:val="001F2708"/>
    <w:rsid w:val="001F3C45"/>
    <w:rsid w:val="001F57E8"/>
    <w:rsid w:val="001F5FD4"/>
    <w:rsid w:val="002005D2"/>
    <w:rsid w:val="0020298B"/>
    <w:rsid w:val="002031A9"/>
    <w:rsid w:val="00204843"/>
    <w:rsid w:val="002052CF"/>
    <w:rsid w:val="00206111"/>
    <w:rsid w:val="00206C65"/>
    <w:rsid w:val="00207362"/>
    <w:rsid w:val="00210D9D"/>
    <w:rsid w:val="00211984"/>
    <w:rsid w:val="002128BA"/>
    <w:rsid w:val="002137E0"/>
    <w:rsid w:val="00213F5E"/>
    <w:rsid w:val="00214348"/>
    <w:rsid w:val="00215667"/>
    <w:rsid w:val="00217576"/>
    <w:rsid w:val="002178D0"/>
    <w:rsid w:val="0022111D"/>
    <w:rsid w:val="00221142"/>
    <w:rsid w:val="002218A8"/>
    <w:rsid w:val="00231F6E"/>
    <w:rsid w:val="00232634"/>
    <w:rsid w:val="002333E8"/>
    <w:rsid w:val="00233CED"/>
    <w:rsid w:val="00237830"/>
    <w:rsid w:val="00242E59"/>
    <w:rsid w:val="0024387A"/>
    <w:rsid w:val="00247427"/>
    <w:rsid w:val="0025098C"/>
    <w:rsid w:val="00252C88"/>
    <w:rsid w:val="0025471D"/>
    <w:rsid w:val="0025610B"/>
    <w:rsid w:val="00263542"/>
    <w:rsid w:val="002663AA"/>
    <w:rsid w:val="002714A5"/>
    <w:rsid w:val="002741AC"/>
    <w:rsid w:val="00274727"/>
    <w:rsid w:val="00275F13"/>
    <w:rsid w:val="00276F09"/>
    <w:rsid w:val="00281542"/>
    <w:rsid w:val="002819C0"/>
    <w:rsid w:val="0028548C"/>
    <w:rsid w:val="0029209D"/>
    <w:rsid w:val="00292FC9"/>
    <w:rsid w:val="002941D9"/>
    <w:rsid w:val="002947EA"/>
    <w:rsid w:val="00295298"/>
    <w:rsid w:val="00295556"/>
    <w:rsid w:val="00295BB5"/>
    <w:rsid w:val="00295C91"/>
    <w:rsid w:val="002A10A6"/>
    <w:rsid w:val="002A2748"/>
    <w:rsid w:val="002A4A06"/>
    <w:rsid w:val="002A4C1F"/>
    <w:rsid w:val="002A5A4D"/>
    <w:rsid w:val="002A6A9D"/>
    <w:rsid w:val="002A7C53"/>
    <w:rsid w:val="002B0BD1"/>
    <w:rsid w:val="002B0F2D"/>
    <w:rsid w:val="002B4262"/>
    <w:rsid w:val="002B4D97"/>
    <w:rsid w:val="002B4F80"/>
    <w:rsid w:val="002C01DA"/>
    <w:rsid w:val="002C1FF0"/>
    <w:rsid w:val="002C27B6"/>
    <w:rsid w:val="002C338F"/>
    <w:rsid w:val="002C367B"/>
    <w:rsid w:val="002C3A95"/>
    <w:rsid w:val="002C496E"/>
    <w:rsid w:val="002C739E"/>
    <w:rsid w:val="002D2700"/>
    <w:rsid w:val="002D4876"/>
    <w:rsid w:val="002D5A4D"/>
    <w:rsid w:val="002D7731"/>
    <w:rsid w:val="002E0574"/>
    <w:rsid w:val="002E1B83"/>
    <w:rsid w:val="002E22AF"/>
    <w:rsid w:val="002E2BCA"/>
    <w:rsid w:val="002E3528"/>
    <w:rsid w:val="002E68C1"/>
    <w:rsid w:val="002E75BD"/>
    <w:rsid w:val="002F2A7B"/>
    <w:rsid w:val="002F3C29"/>
    <w:rsid w:val="002F5271"/>
    <w:rsid w:val="002F5F21"/>
    <w:rsid w:val="002F6155"/>
    <w:rsid w:val="002F77D7"/>
    <w:rsid w:val="00302603"/>
    <w:rsid w:val="00306962"/>
    <w:rsid w:val="00306BA4"/>
    <w:rsid w:val="00306BED"/>
    <w:rsid w:val="00306FE2"/>
    <w:rsid w:val="0030773C"/>
    <w:rsid w:val="00310796"/>
    <w:rsid w:val="00321739"/>
    <w:rsid w:val="00323B38"/>
    <w:rsid w:val="00324398"/>
    <w:rsid w:val="0032622C"/>
    <w:rsid w:val="003264CE"/>
    <w:rsid w:val="003270A6"/>
    <w:rsid w:val="00327C35"/>
    <w:rsid w:val="00327E80"/>
    <w:rsid w:val="003337AE"/>
    <w:rsid w:val="00337B4E"/>
    <w:rsid w:val="00337B60"/>
    <w:rsid w:val="00340329"/>
    <w:rsid w:val="00340BA1"/>
    <w:rsid w:val="0034176B"/>
    <w:rsid w:val="0034376B"/>
    <w:rsid w:val="00345611"/>
    <w:rsid w:val="00346AD5"/>
    <w:rsid w:val="00346BE0"/>
    <w:rsid w:val="00346FE5"/>
    <w:rsid w:val="00347426"/>
    <w:rsid w:val="00355D2B"/>
    <w:rsid w:val="00356943"/>
    <w:rsid w:val="0035787C"/>
    <w:rsid w:val="003612A3"/>
    <w:rsid w:val="00361740"/>
    <w:rsid w:val="00362634"/>
    <w:rsid w:val="0036283B"/>
    <w:rsid w:val="00364794"/>
    <w:rsid w:val="00364ADE"/>
    <w:rsid w:val="0036781A"/>
    <w:rsid w:val="00370BAB"/>
    <w:rsid w:val="00372250"/>
    <w:rsid w:val="00377B9A"/>
    <w:rsid w:val="00381003"/>
    <w:rsid w:val="003818CC"/>
    <w:rsid w:val="00384FC3"/>
    <w:rsid w:val="00390C4B"/>
    <w:rsid w:val="00392BDB"/>
    <w:rsid w:val="00394567"/>
    <w:rsid w:val="00394CB0"/>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C501F"/>
    <w:rsid w:val="003C7F0A"/>
    <w:rsid w:val="003D0D54"/>
    <w:rsid w:val="003D2579"/>
    <w:rsid w:val="003D2DBE"/>
    <w:rsid w:val="003D31C4"/>
    <w:rsid w:val="003D352B"/>
    <w:rsid w:val="003D4203"/>
    <w:rsid w:val="003D4CD6"/>
    <w:rsid w:val="003D6921"/>
    <w:rsid w:val="003E05A8"/>
    <w:rsid w:val="003E0F9C"/>
    <w:rsid w:val="003E2B56"/>
    <w:rsid w:val="003E38C2"/>
    <w:rsid w:val="003E3AD3"/>
    <w:rsid w:val="003F0BA8"/>
    <w:rsid w:val="003F1FA8"/>
    <w:rsid w:val="003F28D7"/>
    <w:rsid w:val="003F2F7F"/>
    <w:rsid w:val="003F3992"/>
    <w:rsid w:val="003F62C4"/>
    <w:rsid w:val="003F697F"/>
    <w:rsid w:val="00400AFA"/>
    <w:rsid w:val="00402432"/>
    <w:rsid w:val="004045B5"/>
    <w:rsid w:val="00405AD8"/>
    <w:rsid w:val="00406306"/>
    <w:rsid w:val="00412E7F"/>
    <w:rsid w:val="0041506F"/>
    <w:rsid w:val="0041513F"/>
    <w:rsid w:val="0041555D"/>
    <w:rsid w:val="00415709"/>
    <w:rsid w:val="00416DCF"/>
    <w:rsid w:val="004228C7"/>
    <w:rsid w:val="00423718"/>
    <w:rsid w:val="00424D51"/>
    <w:rsid w:val="00425BE5"/>
    <w:rsid w:val="00425EF4"/>
    <w:rsid w:val="0042798B"/>
    <w:rsid w:val="00431734"/>
    <w:rsid w:val="00431B87"/>
    <w:rsid w:val="004327FB"/>
    <w:rsid w:val="00432B12"/>
    <w:rsid w:val="0043309D"/>
    <w:rsid w:val="00433113"/>
    <w:rsid w:val="0043396A"/>
    <w:rsid w:val="00434865"/>
    <w:rsid w:val="00434913"/>
    <w:rsid w:val="004357B2"/>
    <w:rsid w:val="00441A35"/>
    <w:rsid w:val="00444163"/>
    <w:rsid w:val="00445A22"/>
    <w:rsid w:val="0044606D"/>
    <w:rsid w:val="00446220"/>
    <w:rsid w:val="004474F8"/>
    <w:rsid w:val="00451172"/>
    <w:rsid w:val="00451390"/>
    <w:rsid w:val="004523D4"/>
    <w:rsid w:val="0046206C"/>
    <w:rsid w:val="004622DE"/>
    <w:rsid w:val="00464174"/>
    <w:rsid w:val="00464266"/>
    <w:rsid w:val="0047033E"/>
    <w:rsid w:val="0047147B"/>
    <w:rsid w:val="00472E0D"/>
    <w:rsid w:val="00473E96"/>
    <w:rsid w:val="00477550"/>
    <w:rsid w:val="004810CA"/>
    <w:rsid w:val="00482E23"/>
    <w:rsid w:val="004844A8"/>
    <w:rsid w:val="00495853"/>
    <w:rsid w:val="00496803"/>
    <w:rsid w:val="004971E0"/>
    <w:rsid w:val="004A1A5D"/>
    <w:rsid w:val="004A25B5"/>
    <w:rsid w:val="004A55A7"/>
    <w:rsid w:val="004A73C3"/>
    <w:rsid w:val="004B187B"/>
    <w:rsid w:val="004B515A"/>
    <w:rsid w:val="004B6688"/>
    <w:rsid w:val="004B6D9F"/>
    <w:rsid w:val="004B7282"/>
    <w:rsid w:val="004C0107"/>
    <w:rsid w:val="004C5041"/>
    <w:rsid w:val="004C6332"/>
    <w:rsid w:val="004C64F4"/>
    <w:rsid w:val="004D199C"/>
    <w:rsid w:val="004D2E8F"/>
    <w:rsid w:val="004D458A"/>
    <w:rsid w:val="004D7BDD"/>
    <w:rsid w:val="004D7DCC"/>
    <w:rsid w:val="004E0240"/>
    <w:rsid w:val="004E16E3"/>
    <w:rsid w:val="004E18D2"/>
    <w:rsid w:val="004E2714"/>
    <w:rsid w:val="004E32AB"/>
    <w:rsid w:val="004E4505"/>
    <w:rsid w:val="004E6DB0"/>
    <w:rsid w:val="004F3317"/>
    <w:rsid w:val="004F5FB5"/>
    <w:rsid w:val="004F69D1"/>
    <w:rsid w:val="004F73D2"/>
    <w:rsid w:val="004F7A94"/>
    <w:rsid w:val="00501CDD"/>
    <w:rsid w:val="00502F64"/>
    <w:rsid w:val="0050450F"/>
    <w:rsid w:val="0050555F"/>
    <w:rsid w:val="005065DB"/>
    <w:rsid w:val="00506A9B"/>
    <w:rsid w:val="00510D29"/>
    <w:rsid w:val="005118D7"/>
    <w:rsid w:val="00513C19"/>
    <w:rsid w:val="00514CB2"/>
    <w:rsid w:val="00516D07"/>
    <w:rsid w:val="005170F7"/>
    <w:rsid w:val="00517B4B"/>
    <w:rsid w:val="00517DFC"/>
    <w:rsid w:val="005244A4"/>
    <w:rsid w:val="00525D05"/>
    <w:rsid w:val="00526481"/>
    <w:rsid w:val="00526950"/>
    <w:rsid w:val="00527783"/>
    <w:rsid w:val="005301E9"/>
    <w:rsid w:val="005331C2"/>
    <w:rsid w:val="00533C62"/>
    <w:rsid w:val="0053671A"/>
    <w:rsid w:val="00540583"/>
    <w:rsid w:val="0054130C"/>
    <w:rsid w:val="00541C1A"/>
    <w:rsid w:val="0054432F"/>
    <w:rsid w:val="00544B31"/>
    <w:rsid w:val="00545A6B"/>
    <w:rsid w:val="00550BD4"/>
    <w:rsid w:val="00554A1F"/>
    <w:rsid w:val="00555518"/>
    <w:rsid w:val="00556284"/>
    <w:rsid w:val="0055659C"/>
    <w:rsid w:val="005600F2"/>
    <w:rsid w:val="005645A2"/>
    <w:rsid w:val="00564642"/>
    <w:rsid w:val="0056466A"/>
    <w:rsid w:val="005672E5"/>
    <w:rsid w:val="005676E7"/>
    <w:rsid w:val="00567EDC"/>
    <w:rsid w:val="00571A5B"/>
    <w:rsid w:val="00571B72"/>
    <w:rsid w:val="00571D1A"/>
    <w:rsid w:val="00572CFB"/>
    <w:rsid w:val="0057488C"/>
    <w:rsid w:val="00574A54"/>
    <w:rsid w:val="00574AFA"/>
    <w:rsid w:val="00574C6F"/>
    <w:rsid w:val="005756E9"/>
    <w:rsid w:val="005814B5"/>
    <w:rsid w:val="005821F4"/>
    <w:rsid w:val="00582B28"/>
    <w:rsid w:val="005863BF"/>
    <w:rsid w:val="005864A5"/>
    <w:rsid w:val="00587004"/>
    <w:rsid w:val="00591E85"/>
    <w:rsid w:val="00593817"/>
    <w:rsid w:val="00593CB5"/>
    <w:rsid w:val="005A02E5"/>
    <w:rsid w:val="005A0AE2"/>
    <w:rsid w:val="005B1C7A"/>
    <w:rsid w:val="005B31C1"/>
    <w:rsid w:val="005B3304"/>
    <w:rsid w:val="005B65D4"/>
    <w:rsid w:val="005B6CA6"/>
    <w:rsid w:val="005B738A"/>
    <w:rsid w:val="005B7719"/>
    <w:rsid w:val="005C3D23"/>
    <w:rsid w:val="005C3E0A"/>
    <w:rsid w:val="005C4A21"/>
    <w:rsid w:val="005C585C"/>
    <w:rsid w:val="005C6BDB"/>
    <w:rsid w:val="005D1E18"/>
    <w:rsid w:val="005D3422"/>
    <w:rsid w:val="005D3DEF"/>
    <w:rsid w:val="005D3E9D"/>
    <w:rsid w:val="005D57B0"/>
    <w:rsid w:val="005D6C72"/>
    <w:rsid w:val="005D793E"/>
    <w:rsid w:val="005E0D87"/>
    <w:rsid w:val="005E20E4"/>
    <w:rsid w:val="005E3207"/>
    <w:rsid w:val="005E798B"/>
    <w:rsid w:val="005F1960"/>
    <w:rsid w:val="005F1A22"/>
    <w:rsid w:val="005F23AF"/>
    <w:rsid w:val="005F41F0"/>
    <w:rsid w:val="005F640D"/>
    <w:rsid w:val="005F75B9"/>
    <w:rsid w:val="00600BD7"/>
    <w:rsid w:val="00601DEE"/>
    <w:rsid w:val="00603AA3"/>
    <w:rsid w:val="00605662"/>
    <w:rsid w:val="00606044"/>
    <w:rsid w:val="006107A3"/>
    <w:rsid w:val="00611386"/>
    <w:rsid w:val="00611753"/>
    <w:rsid w:val="00613FD2"/>
    <w:rsid w:val="00614307"/>
    <w:rsid w:val="00615407"/>
    <w:rsid w:val="00615BB6"/>
    <w:rsid w:val="00621D31"/>
    <w:rsid w:val="0062295A"/>
    <w:rsid w:val="00624345"/>
    <w:rsid w:val="0062474B"/>
    <w:rsid w:val="00624BCF"/>
    <w:rsid w:val="006252CE"/>
    <w:rsid w:val="006256D3"/>
    <w:rsid w:val="00625F8D"/>
    <w:rsid w:val="00626844"/>
    <w:rsid w:val="00627BB7"/>
    <w:rsid w:val="006311BF"/>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35B"/>
    <w:rsid w:val="00656CBF"/>
    <w:rsid w:val="00657FD9"/>
    <w:rsid w:val="00660C45"/>
    <w:rsid w:val="00662ADB"/>
    <w:rsid w:val="00664E59"/>
    <w:rsid w:val="00670D71"/>
    <w:rsid w:val="00671192"/>
    <w:rsid w:val="006730AD"/>
    <w:rsid w:val="00681776"/>
    <w:rsid w:val="00682E1C"/>
    <w:rsid w:val="00685573"/>
    <w:rsid w:val="00693EEC"/>
    <w:rsid w:val="00693FFD"/>
    <w:rsid w:val="006A0BDA"/>
    <w:rsid w:val="006A4718"/>
    <w:rsid w:val="006A625B"/>
    <w:rsid w:val="006A6B2D"/>
    <w:rsid w:val="006B0F63"/>
    <w:rsid w:val="006B19ED"/>
    <w:rsid w:val="006B64EC"/>
    <w:rsid w:val="006B6AE1"/>
    <w:rsid w:val="006B7C5D"/>
    <w:rsid w:val="006C03C5"/>
    <w:rsid w:val="006C199C"/>
    <w:rsid w:val="006C2058"/>
    <w:rsid w:val="006C4B67"/>
    <w:rsid w:val="006C5204"/>
    <w:rsid w:val="006C744E"/>
    <w:rsid w:val="006D54D5"/>
    <w:rsid w:val="006D78B1"/>
    <w:rsid w:val="006E4037"/>
    <w:rsid w:val="006E4080"/>
    <w:rsid w:val="006E4D77"/>
    <w:rsid w:val="006E51BC"/>
    <w:rsid w:val="006E7DCE"/>
    <w:rsid w:val="006F7513"/>
    <w:rsid w:val="0070383E"/>
    <w:rsid w:val="007050FF"/>
    <w:rsid w:val="00705C0C"/>
    <w:rsid w:val="00705D3F"/>
    <w:rsid w:val="007141A9"/>
    <w:rsid w:val="00715F37"/>
    <w:rsid w:val="00716971"/>
    <w:rsid w:val="00722F57"/>
    <w:rsid w:val="007255EB"/>
    <w:rsid w:val="00725937"/>
    <w:rsid w:val="00726DB1"/>
    <w:rsid w:val="00730E92"/>
    <w:rsid w:val="00731382"/>
    <w:rsid w:val="00731914"/>
    <w:rsid w:val="00731E79"/>
    <w:rsid w:val="00733AE6"/>
    <w:rsid w:val="007364AD"/>
    <w:rsid w:val="00737177"/>
    <w:rsid w:val="007378F3"/>
    <w:rsid w:val="00737E38"/>
    <w:rsid w:val="007403E4"/>
    <w:rsid w:val="007418A3"/>
    <w:rsid w:val="00743A0D"/>
    <w:rsid w:val="00744255"/>
    <w:rsid w:val="0074477B"/>
    <w:rsid w:val="007524C3"/>
    <w:rsid w:val="00752764"/>
    <w:rsid w:val="0075286D"/>
    <w:rsid w:val="00754124"/>
    <w:rsid w:val="00755700"/>
    <w:rsid w:val="0075622E"/>
    <w:rsid w:val="00757029"/>
    <w:rsid w:val="0076433A"/>
    <w:rsid w:val="00765F32"/>
    <w:rsid w:val="00766962"/>
    <w:rsid w:val="00770469"/>
    <w:rsid w:val="00770A52"/>
    <w:rsid w:val="007715C8"/>
    <w:rsid w:val="00771AF8"/>
    <w:rsid w:val="00771B25"/>
    <w:rsid w:val="00775287"/>
    <w:rsid w:val="00775924"/>
    <w:rsid w:val="007768E2"/>
    <w:rsid w:val="00777BAB"/>
    <w:rsid w:val="00781464"/>
    <w:rsid w:val="00781862"/>
    <w:rsid w:val="0078213C"/>
    <w:rsid w:val="00782ED0"/>
    <w:rsid w:val="00785102"/>
    <w:rsid w:val="00785FCB"/>
    <w:rsid w:val="00786D99"/>
    <w:rsid w:val="00797071"/>
    <w:rsid w:val="007A13A3"/>
    <w:rsid w:val="007A1C2C"/>
    <w:rsid w:val="007A2577"/>
    <w:rsid w:val="007A2CB9"/>
    <w:rsid w:val="007A2D92"/>
    <w:rsid w:val="007B0AFE"/>
    <w:rsid w:val="007B0B0D"/>
    <w:rsid w:val="007B1F16"/>
    <w:rsid w:val="007B1FA5"/>
    <w:rsid w:val="007B32F6"/>
    <w:rsid w:val="007B4B56"/>
    <w:rsid w:val="007B5AAC"/>
    <w:rsid w:val="007B5D29"/>
    <w:rsid w:val="007B748D"/>
    <w:rsid w:val="007C0893"/>
    <w:rsid w:val="007C774A"/>
    <w:rsid w:val="007D041E"/>
    <w:rsid w:val="007D2746"/>
    <w:rsid w:val="007D33F4"/>
    <w:rsid w:val="007D391D"/>
    <w:rsid w:val="007D3ED8"/>
    <w:rsid w:val="007E1ABE"/>
    <w:rsid w:val="007E26D3"/>
    <w:rsid w:val="007E437A"/>
    <w:rsid w:val="007E6527"/>
    <w:rsid w:val="007E725D"/>
    <w:rsid w:val="007F0A11"/>
    <w:rsid w:val="007F1189"/>
    <w:rsid w:val="007F1857"/>
    <w:rsid w:val="007F2AD0"/>
    <w:rsid w:val="007F2DF7"/>
    <w:rsid w:val="007F341A"/>
    <w:rsid w:val="007F3ABE"/>
    <w:rsid w:val="007F3F91"/>
    <w:rsid w:val="007F44BD"/>
    <w:rsid w:val="00801634"/>
    <w:rsid w:val="008030AE"/>
    <w:rsid w:val="008031DE"/>
    <w:rsid w:val="00804540"/>
    <w:rsid w:val="00804F8F"/>
    <w:rsid w:val="008068B6"/>
    <w:rsid w:val="00806E3A"/>
    <w:rsid w:val="0081031E"/>
    <w:rsid w:val="00811D2C"/>
    <w:rsid w:val="00811DAA"/>
    <w:rsid w:val="00814FEC"/>
    <w:rsid w:val="0081636C"/>
    <w:rsid w:val="00816A1B"/>
    <w:rsid w:val="008178C7"/>
    <w:rsid w:val="0082063A"/>
    <w:rsid w:val="008212CA"/>
    <w:rsid w:val="008217D7"/>
    <w:rsid w:val="00822221"/>
    <w:rsid w:val="00824DD9"/>
    <w:rsid w:val="00826FE8"/>
    <w:rsid w:val="008328E9"/>
    <w:rsid w:val="00835BCB"/>
    <w:rsid w:val="00835CDC"/>
    <w:rsid w:val="008360EC"/>
    <w:rsid w:val="00836446"/>
    <w:rsid w:val="0083661D"/>
    <w:rsid w:val="00836B95"/>
    <w:rsid w:val="00836C60"/>
    <w:rsid w:val="0084049D"/>
    <w:rsid w:val="00842129"/>
    <w:rsid w:val="00843622"/>
    <w:rsid w:val="008443E6"/>
    <w:rsid w:val="00845EF9"/>
    <w:rsid w:val="00850B09"/>
    <w:rsid w:val="008526B2"/>
    <w:rsid w:val="008527F0"/>
    <w:rsid w:val="00852D89"/>
    <w:rsid w:val="0085444B"/>
    <w:rsid w:val="008561D2"/>
    <w:rsid w:val="00856D6E"/>
    <w:rsid w:val="0086144B"/>
    <w:rsid w:val="00861775"/>
    <w:rsid w:val="00861AE9"/>
    <w:rsid w:val="00862C6D"/>
    <w:rsid w:val="00862CB1"/>
    <w:rsid w:val="00863B7C"/>
    <w:rsid w:val="00863B9D"/>
    <w:rsid w:val="00863BE6"/>
    <w:rsid w:val="00863F2D"/>
    <w:rsid w:val="008665B6"/>
    <w:rsid w:val="00866DF2"/>
    <w:rsid w:val="00867C51"/>
    <w:rsid w:val="00871056"/>
    <w:rsid w:val="0087197C"/>
    <w:rsid w:val="008724AF"/>
    <w:rsid w:val="008733BF"/>
    <w:rsid w:val="00874211"/>
    <w:rsid w:val="00875172"/>
    <w:rsid w:val="008760C2"/>
    <w:rsid w:val="008775BC"/>
    <w:rsid w:val="0088059B"/>
    <w:rsid w:val="00881E05"/>
    <w:rsid w:val="00882F1B"/>
    <w:rsid w:val="00883ECA"/>
    <w:rsid w:val="008842D7"/>
    <w:rsid w:val="008849A6"/>
    <w:rsid w:val="00886AEB"/>
    <w:rsid w:val="008905BC"/>
    <w:rsid w:val="00891991"/>
    <w:rsid w:val="00894456"/>
    <w:rsid w:val="00895A61"/>
    <w:rsid w:val="00895E0F"/>
    <w:rsid w:val="008A1544"/>
    <w:rsid w:val="008A191E"/>
    <w:rsid w:val="008A2696"/>
    <w:rsid w:val="008A5D38"/>
    <w:rsid w:val="008A70CE"/>
    <w:rsid w:val="008A79BD"/>
    <w:rsid w:val="008B256A"/>
    <w:rsid w:val="008B68F3"/>
    <w:rsid w:val="008B6D14"/>
    <w:rsid w:val="008C231C"/>
    <w:rsid w:val="008C25E4"/>
    <w:rsid w:val="008C2DAE"/>
    <w:rsid w:val="008C421A"/>
    <w:rsid w:val="008C5314"/>
    <w:rsid w:val="008C6890"/>
    <w:rsid w:val="008D2056"/>
    <w:rsid w:val="008D417A"/>
    <w:rsid w:val="008E0732"/>
    <w:rsid w:val="008E09B1"/>
    <w:rsid w:val="008E2215"/>
    <w:rsid w:val="008E4FA6"/>
    <w:rsid w:val="008E5BB0"/>
    <w:rsid w:val="008E69E8"/>
    <w:rsid w:val="008E7135"/>
    <w:rsid w:val="008E7CA5"/>
    <w:rsid w:val="008F1271"/>
    <w:rsid w:val="008F2877"/>
    <w:rsid w:val="008F3F66"/>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61B"/>
    <w:rsid w:val="00923947"/>
    <w:rsid w:val="00923DC5"/>
    <w:rsid w:val="00924348"/>
    <w:rsid w:val="0092515E"/>
    <w:rsid w:val="009274E7"/>
    <w:rsid w:val="00930409"/>
    <w:rsid w:val="00930A5A"/>
    <w:rsid w:val="00930C93"/>
    <w:rsid w:val="0093199F"/>
    <w:rsid w:val="00932132"/>
    <w:rsid w:val="00933403"/>
    <w:rsid w:val="00936D9E"/>
    <w:rsid w:val="00936F43"/>
    <w:rsid w:val="00937AA5"/>
    <w:rsid w:val="009405DE"/>
    <w:rsid w:val="009422B2"/>
    <w:rsid w:val="00942A6D"/>
    <w:rsid w:val="00942F8A"/>
    <w:rsid w:val="00942FB5"/>
    <w:rsid w:val="00942FBD"/>
    <w:rsid w:val="00944A2C"/>
    <w:rsid w:val="0094644D"/>
    <w:rsid w:val="00946892"/>
    <w:rsid w:val="0094770B"/>
    <w:rsid w:val="009507BA"/>
    <w:rsid w:val="00950B0E"/>
    <w:rsid w:val="00951187"/>
    <w:rsid w:val="009514E6"/>
    <w:rsid w:val="00952BBC"/>
    <w:rsid w:val="00952D61"/>
    <w:rsid w:val="00961BE6"/>
    <w:rsid w:val="009666CE"/>
    <w:rsid w:val="00970AD0"/>
    <w:rsid w:val="00971E10"/>
    <w:rsid w:val="00972E40"/>
    <w:rsid w:val="00973FE9"/>
    <w:rsid w:val="00974CC3"/>
    <w:rsid w:val="009763AC"/>
    <w:rsid w:val="00976CAD"/>
    <w:rsid w:val="00977811"/>
    <w:rsid w:val="00981A0F"/>
    <w:rsid w:val="00984157"/>
    <w:rsid w:val="00990E69"/>
    <w:rsid w:val="00991E80"/>
    <w:rsid w:val="00992922"/>
    <w:rsid w:val="00995683"/>
    <w:rsid w:val="00995E2D"/>
    <w:rsid w:val="009A0A7B"/>
    <w:rsid w:val="009A122E"/>
    <w:rsid w:val="009A2754"/>
    <w:rsid w:val="009A32ED"/>
    <w:rsid w:val="009A47C3"/>
    <w:rsid w:val="009A701E"/>
    <w:rsid w:val="009A7D30"/>
    <w:rsid w:val="009B18DC"/>
    <w:rsid w:val="009B2267"/>
    <w:rsid w:val="009B527F"/>
    <w:rsid w:val="009B62A7"/>
    <w:rsid w:val="009B6F5E"/>
    <w:rsid w:val="009B782F"/>
    <w:rsid w:val="009C2C5F"/>
    <w:rsid w:val="009C2DA3"/>
    <w:rsid w:val="009C3B85"/>
    <w:rsid w:val="009C5EF7"/>
    <w:rsid w:val="009C7F10"/>
    <w:rsid w:val="009D022E"/>
    <w:rsid w:val="009D0970"/>
    <w:rsid w:val="009D0F03"/>
    <w:rsid w:val="009D1339"/>
    <w:rsid w:val="009D281A"/>
    <w:rsid w:val="009D2DC0"/>
    <w:rsid w:val="009D63CF"/>
    <w:rsid w:val="009D78F7"/>
    <w:rsid w:val="009D7DF6"/>
    <w:rsid w:val="009D7E98"/>
    <w:rsid w:val="009E050C"/>
    <w:rsid w:val="009E0AE8"/>
    <w:rsid w:val="009E1E76"/>
    <w:rsid w:val="009E4024"/>
    <w:rsid w:val="009E5374"/>
    <w:rsid w:val="009E64C7"/>
    <w:rsid w:val="009F1371"/>
    <w:rsid w:val="009F16AC"/>
    <w:rsid w:val="009F1E2A"/>
    <w:rsid w:val="009F25D7"/>
    <w:rsid w:val="009F28E3"/>
    <w:rsid w:val="009F345D"/>
    <w:rsid w:val="009F3E0A"/>
    <w:rsid w:val="009F716A"/>
    <w:rsid w:val="00A01DF0"/>
    <w:rsid w:val="00A03AC3"/>
    <w:rsid w:val="00A03D79"/>
    <w:rsid w:val="00A042C5"/>
    <w:rsid w:val="00A04C64"/>
    <w:rsid w:val="00A076A3"/>
    <w:rsid w:val="00A10928"/>
    <w:rsid w:val="00A1185E"/>
    <w:rsid w:val="00A13218"/>
    <w:rsid w:val="00A13541"/>
    <w:rsid w:val="00A13753"/>
    <w:rsid w:val="00A21438"/>
    <w:rsid w:val="00A227A3"/>
    <w:rsid w:val="00A27F14"/>
    <w:rsid w:val="00A36447"/>
    <w:rsid w:val="00A4023B"/>
    <w:rsid w:val="00A42A3F"/>
    <w:rsid w:val="00A42F0C"/>
    <w:rsid w:val="00A45196"/>
    <w:rsid w:val="00A45845"/>
    <w:rsid w:val="00A45B94"/>
    <w:rsid w:val="00A470F3"/>
    <w:rsid w:val="00A47CF0"/>
    <w:rsid w:val="00A51A5B"/>
    <w:rsid w:val="00A53B2A"/>
    <w:rsid w:val="00A541D2"/>
    <w:rsid w:val="00A60B73"/>
    <w:rsid w:val="00A6107D"/>
    <w:rsid w:val="00A6528A"/>
    <w:rsid w:val="00A665D6"/>
    <w:rsid w:val="00A668B5"/>
    <w:rsid w:val="00A6715F"/>
    <w:rsid w:val="00A744DD"/>
    <w:rsid w:val="00A76E6B"/>
    <w:rsid w:val="00A80080"/>
    <w:rsid w:val="00A82AB0"/>
    <w:rsid w:val="00A86C22"/>
    <w:rsid w:val="00A872C8"/>
    <w:rsid w:val="00A903E7"/>
    <w:rsid w:val="00A9262B"/>
    <w:rsid w:val="00A93AE9"/>
    <w:rsid w:val="00A94410"/>
    <w:rsid w:val="00A96F10"/>
    <w:rsid w:val="00AA0FE5"/>
    <w:rsid w:val="00AA2C9C"/>
    <w:rsid w:val="00AA3171"/>
    <w:rsid w:val="00AA3386"/>
    <w:rsid w:val="00AA4442"/>
    <w:rsid w:val="00AA5069"/>
    <w:rsid w:val="00AB19A7"/>
    <w:rsid w:val="00AB235E"/>
    <w:rsid w:val="00AB25A1"/>
    <w:rsid w:val="00AB2918"/>
    <w:rsid w:val="00AB3044"/>
    <w:rsid w:val="00AB3BC5"/>
    <w:rsid w:val="00AB3BE8"/>
    <w:rsid w:val="00AB3CC1"/>
    <w:rsid w:val="00AB4706"/>
    <w:rsid w:val="00AB4951"/>
    <w:rsid w:val="00AB5C29"/>
    <w:rsid w:val="00AB64EB"/>
    <w:rsid w:val="00AC07C6"/>
    <w:rsid w:val="00AC198A"/>
    <w:rsid w:val="00AC1A50"/>
    <w:rsid w:val="00AC5775"/>
    <w:rsid w:val="00AC5858"/>
    <w:rsid w:val="00AD08E1"/>
    <w:rsid w:val="00AD1B08"/>
    <w:rsid w:val="00AD4A65"/>
    <w:rsid w:val="00AD5525"/>
    <w:rsid w:val="00AD66C8"/>
    <w:rsid w:val="00AD6B8D"/>
    <w:rsid w:val="00AE0DB4"/>
    <w:rsid w:val="00AE1ED3"/>
    <w:rsid w:val="00AE4290"/>
    <w:rsid w:val="00AE68DB"/>
    <w:rsid w:val="00AF1364"/>
    <w:rsid w:val="00AF13C7"/>
    <w:rsid w:val="00AF1F3E"/>
    <w:rsid w:val="00AF5E3F"/>
    <w:rsid w:val="00AF740B"/>
    <w:rsid w:val="00B012D1"/>
    <w:rsid w:val="00B036CE"/>
    <w:rsid w:val="00B03EBC"/>
    <w:rsid w:val="00B112A8"/>
    <w:rsid w:val="00B1285F"/>
    <w:rsid w:val="00B12DD7"/>
    <w:rsid w:val="00B144D9"/>
    <w:rsid w:val="00B147EE"/>
    <w:rsid w:val="00B14939"/>
    <w:rsid w:val="00B1587A"/>
    <w:rsid w:val="00B200C9"/>
    <w:rsid w:val="00B20F6B"/>
    <w:rsid w:val="00B2124D"/>
    <w:rsid w:val="00B2229B"/>
    <w:rsid w:val="00B22303"/>
    <w:rsid w:val="00B229AB"/>
    <w:rsid w:val="00B22A18"/>
    <w:rsid w:val="00B315A0"/>
    <w:rsid w:val="00B31D82"/>
    <w:rsid w:val="00B323B0"/>
    <w:rsid w:val="00B34067"/>
    <w:rsid w:val="00B34A18"/>
    <w:rsid w:val="00B35D12"/>
    <w:rsid w:val="00B36934"/>
    <w:rsid w:val="00B40B2C"/>
    <w:rsid w:val="00B40D48"/>
    <w:rsid w:val="00B4490E"/>
    <w:rsid w:val="00B44DDB"/>
    <w:rsid w:val="00B44E5E"/>
    <w:rsid w:val="00B44F86"/>
    <w:rsid w:val="00B45552"/>
    <w:rsid w:val="00B465F1"/>
    <w:rsid w:val="00B468CE"/>
    <w:rsid w:val="00B46EF7"/>
    <w:rsid w:val="00B563DF"/>
    <w:rsid w:val="00B56936"/>
    <w:rsid w:val="00B57192"/>
    <w:rsid w:val="00B579CB"/>
    <w:rsid w:val="00B619EC"/>
    <w:rsid w:val="00B626CD"/>
    <w:rsid w:val="00B635D7"/>
    <w:rsid w:val="00B65503"/>
    <w:rsid w:val="00B67A6C"/>
    <w:rsid w:val="00B67ACD"/>
    <w:rsid w:val="00B70083"/>
    <w:rsid w:val="00B703F1"/>
    <w:rsid w:val="00B7278E"/>
    <w:rsid w:val="00B72AD3"/>
    <w:rsid w:val="00B743CA"/>
    <w:rsid w:val="00B74440"/>
    <w:rsid w:val="00B74592"/>
    <w:rsid w:val="00B76CC5"/>
    <w:rsid w:val="00B7739E"/>
    <w:rsid w:val="00B83D6F"/>
    <w:rsid w:val="00B84548"/>
    <w:rsid w:val="00B84783"/>
    <w:rsid w:val="00B858D0"/>
    <w:rsid w:val="00B87D52"/>
    <w:rsid w:val="00B87DEC"/>
    <w:rsid w:val="00B87E7A"/>
    <w:rsid w:val="00B919C3"/>
    <w:rsid w:val="00B91BEC"/>
    <w:rsid w:val="00B92BF4"/>
    <w:rsid w:val="00B93082"/>
    <w:rsid w:val="00B93724"/>
    <w:rsid w:val="00B94492"/>
    <w:rsid w:val="00B97526"/>
    <w:rsid w:val="00BA2B66"/>
    <w:rsid w:val="00BA503D"/>
    <w:rsid w:val="00BA50A6"/>
    <w:rsid w:val="00BA582E"/>
    <w:rsid w:val="00BA66F6"/>
    <w:rsid w:val="00BB04BD"/>
    <w:rsid w:val="00BB1F29"/>
    <w:rsid w:val="00BB28F6"/>
    <w:rsid w:val="00BB30CC"/>
    <w:rsid w:val="00BB3413"/>
    <w:rsid w:val="00BB36F9"/>
    <w:rsid w:val="00BB3D72"/>
    <w:rsid w:val="00BB5D44"/>
    <w:rsid w:val="00BC2556"/>
    <w:rsid w:val="00BC2609"/>
    <w:rsid w:val="00BC2C67"/>
    <w:rsid w:val="00BD02F4"/>
    <w:rsid w:val="00BD088E"/>
    <w:rsid w:val="00BD191E"/>
    <w:rsid w:val="00BD417E"/>
    <w:rsid w:val="00BE04A1"/>
    <w:rsid w:val="00BE0C68"/>
    <w:rsid w:val="00BE1B62"/>
    <w:rsid w:val="00BE2AEE"/>
    <w:rsid w:val="00BE322A"/>
    <w:rsid w:val="00BE3FC2"/>
    <w:rsid w:val="00BE496D"/>
    <w:rsid w:val="00BF196B"/>
    <w:rsid w:val="00BF487F"/>
    <w:rsid w:val="00C005E9"/>
    <w:rsid w:val="00C01D1C"/>
    <w:rsid w:val="00C0450E"/>
    <w:rsid w:val="00C04E08"/>
    <w:rsid w:val="00C04F5F"/>
    <w:rsid w:val="00C0528F"/>
    <w:rsid w:val="00C05E66"/>
    <w:rsid w:val="00C10EFB"/>
    <w:rsid w:val="00C11D4E"/>
    <w:rsid w:val="00C120C7"/>
    <w:rsid w:val="00C128F0"/>
    <w:rsid w:val="00C13145"/>
    <w:rsid w:val="00C140CF"/>
    <w:rsid w:val="00C1578F"/>
    <w:rsid w:val="00C15C10"/>
    <w:rsid w:val="00C2084A"/>
    <w:rsid w:val="00C2108A"/>
    <w:rsid w:val="00C25182"/>
    <w:rsid w:val="00C260FF"/>
    <w:rsid w:val="00C3098C"/>
    <w:rsid w:val="00C31505"/>
    <w:rsid w:val="00C357D6"/>
    <w:rsid w:val="00C37230"/>
    <w:rsid w:val="00C3797E"/>
    <w:rsid w:val="00C4371F"/>
    <w:rsid w:val="00C45321"/>
    <w:rsid w:val="00C453B5"/>
    <w:rsid w:val="00C456B3"/>
    <w:rsid w:val="00C4707A"/>
    <w:rsid w:val="00C5132C"/>
    <w:rsid w:val="00C53717"/>
    <w:rsid w:val="00C545DB"/>
    <w:rsid w:val="00C55C92"/>
    <w:rsid w:val="00C56339"/>
    <w:rsid w:val="00C569A8"/>
    <w:rsid w:val="00C56B81"/>
    <w:rsid w:val="00C5757F"/>
    <w:rsid w:val="00C628C8"/>
    <w:rsid w:val="00C63109"/>
    <w:rsid w:val="00C63D50"/>
    <w:rsid w:val="00C654F1"/>
    <w:rsid w:val="00C6759E"/>
    <w:rsid w:val="00C67E70"/>
    <w:rsid w:val="00C70E90"/>
    <w:rsid w:val="00C75154"/>
    <w:rsid w:val="00C7568D"/>
    <w:rsid w:val="00C80304"/>
    <w:rsid w:val="00C8139B"/>
    <w:rsid w:val="00C83904"/>
    <w:rsid w:val="00C90DA2"/>
    <w:rsid w:val="00C91DF1"/>
    <w:rsid w:val="00C93A0C"/>
    <w:rsid w:val="00C9400A"/>
    <w:rsid w:val="00C9708F"/>
    <w:rsid w:val="00CA081C"/>
    <w:rsid w:val="00CA0CDE"/>
    <w:rsid w:val="00CA0EFF"/>
    <w:rsid w:val="00CA1124"/>
    <w:rsid w:val="00CA45FA"/>
    <w:rsid w:val="00CA62CB"/>
    <w:rsid w:val="00CA70B0"/>
    <w:rsid w:val="00CB0F15"/>
    <w:rsid w:val="00CB1B85"/>
    <w:rsid w:val="00CB6687"/>
    <w:rsid w:val="00CB7541"/>
    <w:rsid w:val="00CC1D10"/>
    <w:rsid w:val="00CC48BF"/>
    <w:rsid w:val="00CC7A56"/>
    <w:rsid w:val="00CD0572"/>
    <w:rsid w:val="00CD24F4"/>
    <w:rsid w:val="00CD422B"/>
    <w:rsid w:val="00CE0358"/>
    <w:rsid w:val="00CE0C72"/>
    <w:rsid w:val="00CE33C1"/>
    <w:rsid w:val="00CE38C8"/>
    <w:rsid w:val="00CE4A12"/>
    <w:rsid w:val="00CE5145"/>
    <w:rsid w:val="00CE7131"/>
    <w:rsid w:val="00CE750F"/>
    <w:rsid w:val="00CE7DE7"/>
    <w:rsid w:val="00CF2550"/>
    <w:rsid w:val="00CF2913"/>
    <w:rsid w:val="00CF497C"/>
    <w:rsid w:val="00CF5650"/>
    <w:rsid w:val="00CF5D10"/>
    <w:rsid w:val="00D006EE"/>
    <w:rsid w:val="00D01CEE"/>
    <w:rsid w:val="00D0420D"/>
    <w:rsid w:val="00D05C0F"/>
    <w:rsid w:val="00D063A8"/>
    <w:rsid w:val="00D07F19"/>
    <w:rsid w:val="00D11385"/>
    <w:rsid w:val="00D12487"/>
    <w:rsid w:val="00D1323B"/>
    <w:rsid w:val="00D14A7E"/>
    <w:rsid w:val="00D14CE0"/>
    <w:rsid w:val="00D15B3A"/>
    <w:rsid w:val="00D160CB"/>
    <w:rsid w:val="00D2037F"/>
    <w:rsid w:val="00D21444"/>
    <w:rsid w:val="00D236BD"/>
    <w:rsid w:val="00D238CA"/>
    <w:rsid w:val="00D245A1"/>
    <w:rsid w:val="00D2504A"/>
    <w:rsid w:val="00D25A59"/>
    <w:rsid w:val="00D278F0"/>
    <w:rsid w:val="00D31510"/>
    <w:rsid w:val="00D32D7E"/>
    <w:rsid w:val="00D32DC6"/>
    <w:rsid w:val="00D369FB"/>
    <w:rsid w:val="00D415E2"/>
    <w:rsid w:val="00D4187E"/>
    <w:rsid w:val="00D41C3F"/>
    <w:rsid w:val="00D42055"/>
    <w:rsid w:val="00D4247A"/>
    <w:rsid w:val="00D43E54"/>
    <w:rsid w:val="00D44A86"/>
    <w:rsid w:val="00D459DF"/>
    <w:rsid w:val="00D50AC2"/>
    <w:rsid w:val="00D50C30"/>
    <w:rsid w:val="00D52626"/>
    <w:rsid w:val="00D531A4"/>
    <w:rsid w:val="00D54BD0"/>
    <w:rsid w:val="00D55B41"/>
    <w:rsid w:val="00D56948"/>
    <w:rsid w:val="00D57127"/>
    <w:rsid w:val="00D578C2"/>
    <w:rsid w:val="00D603E7"/>
    <w:rsid w:val="00D60C85"/>
    <w:rsid w:val="00D647C3"/>
    <w:rsid w:val="00D65205"/>
    <w:rsid w:val="00D70F75"/>
    <w:rsid w:val="00D71F0B"/>
    <w:rsid w:val="00D74512"/>
    <w:rsid w:val="00D74B0D"/>
    <w:rsid w:val="00D751D0"/>
    <w:rsid w:val="00D75FF5"/>
    <w:rsid w:val="00D807F0"/>
    <w:rsid w:val="00D816C0"/>
    <w:rsid w:val="00D81CD9"/>
    <w:rsid w:val="00D82DE4"/>
    <w:rsid w:val="00D861DD"/>
    <w:rsid w:val="00D90347"/>
    <w:rsid w:val="00D91655"/>
    <w:rsid w:val="00D94361"/>
    <w:rsid w:val="00D94AB5"/>
    <w:rsid w:val="00D9633A"/>
    <w:rsid w:val="00D96415"/>
    <w:rsid w:val="00D978C6"/>
    <w:rsid w:val="00DA2040"/>
    <w:rsid w:val="00DA3EDF"/>
    <w:rsid w:val="00DA4DE8"/>
    <w:rsid w:val="00DB0D1F"/>
    <w:rsid w:val="00DB133C"/>
    <w:rsid w:val="00DB2276"/>
    <w:rsid w:val="00DB5C19"/>
    <w:rsid w:val="00DB6327"/>
    <w:rsid w:val="00DB70BA"/>
    <w:rsid w:val="00DB76DD"/>
    <w:rsid w:val="00DC2D2B"/>
    <w:rsid w:val="00DC56CC"/>
    <w:rsid w:val="00DC5DCC"/>
    <w:rsid w:val="00DC66DC"/>
    <w:rsid w:val="00DC6DB3"/>
    <w:rsid w:val="00DD0A59"/>
    <w:rsid w:val="00DD6BF0"/>
    <w:rsid w:val="00DE1305"/>
    <w:rsid w:val="00DE2349"/>
    <w:rsid w:val="00DE3C51"/>
    <w:rsid w:val="00DE538E"/>
    <w:rsid w:val="00DE570F"/>
    <w:rsid w:val="00DE7ABD"/>
    <w:rsid w:val="00DF0587"/>
    <w:rsid w:val="00DF1886"/>
    <w:rsid w:val="00DF2386"/>
    <w:rsid w:val="00DF3E50"/>
    <w:rsid w:val="00DF41C0"/>
    <w:rsid w:val="00DF56F5"/>
    <w:rsid w:val="00DF6C5A"/>
    <w:rsid w:val="00DF7FE7"/>
    <w:rsid w:val="00E01BE5"/>
    <w:rsid w:val="00E02B15"/>
    <w:rsid w:val="00E04608"/>
    <w:rsid w:val="00E07244"/>
    <w:rsid w:val="00E12A11"/>
    <w:rsid w:val="00E146BF"/>
    <w:rsid w:val="00E14BA7"/>
    <w:rsid w:val="00E15B18"/>
    <w:rsid w:val="00E16518"/>
    <w:rsid w:val="00E1777E"/>
    <w:rsid w:val="00E209BA"/>
    <w:rsid w:val="00E21CCA"/>
    <w:rsid w:val="00E224CE"/>
    <w:rsid w:val="00E235D0"/>
    <w:rsid w:val="00E23B69"/>
    <w:rsid w:val="00E23C44"/>
    <w:rsid w:val="00E33921"/>
    <w:rsid w:val="00E34284"/>
    <w:rsid w:val="00E37382"/>
    <w:rsid w:val="00E4184D"/>
    <w:rsid w:val="00E41C6E"/>
    <w:rsid w:val="00E41DC3"/>
    <w:rsid w:val="00E42856"/>
    <w:rsid w:val="00E4319A"/>
    <w:rsid w:val="00E45830"/>
    <w:rsid w:val="00E46344"/>
    <w:rsid w:val="00E46367"/>
    <w:rsid w:val="00E469B9"/>
    <w:rsid w:val="00E50B83"/>
    <w:rsid w:val="00E513A9"/>
    <w:rsid w:val="00E5251D"/>
    <w:rsid w:val="00E537F6"/>
    <w:rsid w:val="00E55642"/>
    <w:rsid w:val="00E558E9"/>
    <w:rsid w:val="00E55A5E"/>
    <w:rsid w:val="00E57322"/>
    <w:rsid w:val="00E57904"/>
    <w:rsid w:val="00E57C65"/>
    <w:rsid w:val="00E600B1"/>
    <w:rsid w:val="00E61050"/>
    <w:rsid w:val="00E626CD"/>
    <w:rsid w:val="00E62BE4"/>
    <w:rsid w:val="00E63F0B"/>
    <w:rsid w:val="00E64E9B"/>
    <w:rsid w:val="00E715FC"/>
    <w:rsid w:val="00E71A2B"/>
    <w:rsid w:val="00E72D1A"/>
    <w:rsid w:val="00E75B41"/>
    <w:rsid w:val="00E77BD0"/>
    <w:rsid w:val="00E80F36"/>
    <w:rsid w:val="00E810F8"/>
    <w:rsid w:val="00E815B8"/>
    <w:rsid w:val="00E82AB9"/>
    <w:rsid w:val="00E82CCD"/>
    <w:rsid w:val="00E842D7"/>
    <w:rsid w:val="00E85A47"/>
    <w:rsid w:val="00E87628"/>
    <w:rsid w:val="00E90337"/>
    <w:rsid w:val="00E913A3"/>
    <w:rsid w:val="00E92962"/>
    <w:rsid w:val="00E93B42"/>
    <w:rsid w:val="00E94012"/>
    <w:rsid w:val="00E9485D"/>
    <w:rsid w:val="00E95E5D"/>
    <w:rsid w:val="00E95F64"/>
    <w:rsid w:val="00E96958"/>
    <w:rsid w:val="00E96EFF"/>
    <w:rsid w:val="00EA0897"/>
    <w:rsid w:val="00EA393A"/>
    <w:rsid w:val="00EA3A7F"/>
    <w:rsid w:val="00EA4032"/>
    <w:rsid w:val="00EB032F"/>
    <w:rsid w:val="00EB3AF9"/>
    <w:rsid w:val="00EB5B22"/>
    <w:rsid w:val="00EC0EEB"/>
    <w:rsid w:val="00EC0FFA"/>
    <w:rsid w:val="00EC2BE2"/>
    <w:rsid w:val="00EC2E0D"/>
    <w:rsid w:val="00EC4D11"/>
    <w:rsid w:val="00EC7276"/>
    <w:rsid w:val="00ED16B3"/>
    <w:rsid w:val="00ED2380"/>
    <w:rsid w:val="00ED2D66"/>
    <w:rsid w:val="00ED4D97"/>
    <w:rsid w:val="00EE06FA"/>
    <w:rsid w:val="00EE0CD3"/>
    <w:rsid w:val="00EE20EF"/>
    <w:rsid w:val="00EE2138"/>
    <w:rsid w:val="00EE3F47"/>
    <w:rsid w:val="00EE6952"/>
    <w:rsid w:val="00EF0BBF"/>
    <w:rsid w:val="00EF2ACE"/>
    <w:rsid w:val="00F00497"/>
    <w:rsid w:val="00F00DCE"/>
    <w:rsid w:val="00F01657"/>
    <w:rsid w:val="00F0219C"/>
    <w:rsid w:val="00F0459C"/>
    <w:rsid w:val="00F06493"/>
    <w:rsid w:val="00F06651"/>
    <w:rsid w:val="00F06C80"/>
    <w:rsid w:val="00F072EF"/>
    <w:rsid w:val="00F078F1"/>
    <w:rsid w:val="00F0791D"/>
    <w:rsid w:val="00F07DF1"/>
    <w:rsid w:val="00F07EB4"/>
    <w:rsid w:val="00F1338E"/>
    <w:rsid w:val="00F13758"/>
    <w:rsid w:val="00F17256"/>
    <w:rsid w:val="00F20558"/>
    <w:rsid w:val="00F227F6"/>
    <w:rsid w:val="00F24477"/>
    <w:rsid w:val="00F248A8"/>
    <w:rsid w:val="00F24F52"/>
    <w:rsid w:val="00F25941"/>
    <w:rsid w:val="00F25D3D"/>
    <w:rsid w:val="00F25DF4"/>
    <w:rsid w:val="00F266C6"/>
    <w:rsid w:val="00F31EC3"/>
    <w:rsid w:val="00F32D03"/>
    <w:rsid w:val="00F32E2F"/>
    <w:rsid w:val="00F34089"/>
    <w:rsid w:val="00F344DE"/>
    <w:rsid w:val="00F35DDE"/>
    <w:rsid w:val="00F402D0"/>
    <w:rsid w:val="00F407B5"/>
    <w:rsid w:val="00F43279"/>
    <w:rsid w:val="00F45B4A"/>
    <w:rsid w:val="00F45FC0"/>
    <w:rsid w:val="00F46317"/>
    <w:rsid w:val="00F47B42"/>
    <w:rsid w:val="00F47FAB"/>
    <w:rsid w:val="00F50F9E"/>
    <w:rsid w:val="00F53C6F"/>
    <w:rsid w:val="00F546A4"/>
    <w:rsid w:val="00F63AED"/>
    <w:rsid w:val="00F67FD0"/>
    <w:rsid w:val="00F716C3"/>
    <w:rsid w:val="00F73E71"/>
    <w:rsid w:val="00F75642"/>
    <w:rsid w:val="00F75931"/>
    <w:rsid w:val="00F82167"/>
    <w:rsid w:val="00F864C3"/>
    <w:rsid w:val="00F91A4D"/>
    <w:rsid w:val="00F9363E"/>
    <w:rsid w:val="00F95574"/>
    <w:rsid w:val="00FA003A"/>
    <w:rsid w:val="00FA0E42"/>
    <w:rsid w:val="00FA21A7"/>
    <w:rsid w:val="00FA2724"/>
    <w:rsid w:val="00FA2911"/>
    <w:rsid w:val="00FA721F"/>
    <w:rsid w:val="00FB0194"/>
    <w:rsid w:val="00FB0F4C"/>
    <w:rsid w:val="00FB5740"/>
    <w:rsid w:val="00FB5CBB"/>
    <w:rsid w:val="00FB639A"/>
    <w:rsid w:val="00FB66DC"/>
    <w:rsid w:val="00FC0CC4"/>
    <w:rsid w:val="00FC5ABE"/>
    <w:rsid w:val="00FC7FD9"/>
    <w:rsid w:val="00FD03C9"/>
    <w:rsid w:val="00FD3F65"/>
    <w:rsid w:val="00FD5BFB"/>
    <w:rsid w:val="00FD5D1C"/>
    <w:rsid w:val="00FD6A25"/>
    <w:rsid w:val="00FE10F3"/>
    <w:rsid w:val="00FE33EB"/>
    <w:rsid w:val="00FE3503"/>
    <w:rsid w:val="00FE48D3"/>
    <w:rsid w:val="00FE4E86"/>
    <w:rsid w:val="00FE5F7C"/>
    <w:rsid w:val="00FF1CBF"/>
    <w:rsid w:val="00FF3444"/>
    <w:rsid w:val="00FF4464"/>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F1E58-C76E-40D5-B65D-6480239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nhideWhenUsed/>
    <w:rsid w:val="00D245A1"/>
    <w:pPr>
      <w:tabs>
        <w:tab w:val="center" w:pos="4513"/>
        <w:tab w:val="right" w:pos="9026"/>
      </w:tabs>
    </w:pPr>
  </w:style>
  <w:style w:type="character" w:customStyle="1" w:styleId="FooterChar">
    <w:name w:val="Footer Char"/>
    <w:basedOn w:val="DefaultParagraphFont"/>
    <w:link w:val="Footer"/>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ramsar.org/cda/en/ramsar-documents-resol-resolution-on/main/ramsar/1-31-107%5E23383_4000_0__"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ramsar.org/cda/en/ramsar-documents-resol-recommendation-4-14/main/ramsar/1-31-107%5E23136_4000_0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ramsar.org/cda/en/ramsar-documents-resol-recommendation-4-5/main/ramsar/1-31-107%5E23117_4000_0__" TargetMode="External"/><Relationship Id="rId4" Type="http://schemas.openxmlformats.org/officeDocument/2006/relationships/settings" Target="settings.xml"/><Relationship Id="rId9" Type="http://schemas.openxmlformats.org/officeDocument/2006/relationships/hyperlink" Target="http://archive.ramsar.org/cda/en/ramsar-documents-resol-resolution-on-the/main/ramsar/1-31-107%5E23384_4000_0__"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D431-0067-4623-922B-3FA8B87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10157</Words>
  <Characters>57895</Characters>
  <Application>Microsoft Office Word</Application>
  <DocSecurity>4</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2021-05-26T13:28:00Z</cp:lastPrinted>
  <dcterms:created xsi:type="dcterms:W3CDTF">2021-06-02T12:08:00Z</dcterms:created>
  <dcterms:modified xsi:type="dcterms:W3CDTF">2021-06-02T12:08:00Z</dcterms:modified>
</cp:coreProperties>
</file>