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12D8" w14:textId="3F44A0B3" w:rsidR="00150BA0" w:rsidRDefault="00B36A8C"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rPr>
      </w:pPr>
      <w:r>
        <w:rPr>
          <w:bCs/>
          <w:sz w:val="24"/>
          <w:szCs w:val="24"/>
        </w:rPr>
        <w:t>THE</w:t>
      </w:r>
      <w:r w:rsidRPr="00910546">
        <w:rPr>
          <w:bCs/>
          <w:sz w:val="24"/>
          <w:szCs w:val="24"/>
        </w:rPr>
        <w:t xml:space="preserve"> </w:t>
      </w:r>
      <w:r w:rsidR="00150BA0">
        <w:rPr>
          <w:bCs/>
          <w:sz w:val="24"/>
          <w:szCs w:val="24"/>
        </w:rPr>
        <w:t xml:space="preserve">CONVENTION ON WETLANDS </w:t>
      </w:r>
    </w:p>
    <w:p w14:paraId="35B2DCAF" w14:textId="77777777" w:rsidR="00150BA0" w:rsidRDefault="00150BA0"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rPr>
      </w:pPr>
      <w:r>
        <w:rPr>
          <w:bCs/>
          <w:sz w:val="24"/>
          <w:szCs w:val="24"/>
        </w:rPr>
        <w:t>59th Meeting of the Standing Committee</w:t>
      </w:r>
    </w:p>
    <w:p w14:paraId="29C8F4ED" w14:textId="77777777" w:rsidR="00150BA0" w:rsidRPr="00DA7E51" w:rsidRDefault="00150BA0"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rPr>
      </w:pPr>
      <w:r w:rsidRPr="00DA7E51">
        <w:rPr>
          <w:bCs/>
          <w:sz w:val="24"/>
          <w:szCs w:val="24"/>
        </w:rPr>
        <w:t>Gland, Switzerland, 2</w:t>
      </w:r>
      <w:r>
        <w:rPr>
          <w:bCs/>
          <w:sz w:val="24"/>
          <w:szCs w:val="24"/>
        </w:rPr>
        <w:t>1</w:t>
      </w:r>
      <w:r w:rsidRPr="00DA7E51">
        <w:rPr>
          <w:bCs/>
          <w:sz w:val="24"/>
          <w:szCs w:val="24"/>
        </w:rPr>
        <w:t xml:space="preserve"> – 2</w:t>
      </w:r>
      <w:r>
        <w:rPr>
          <w:bCs/>
          <w:sz w:val="24"/>
          <w:szCs w:val="24"/>
        </w:rPr>
        <w:t>5</w:t>
      </w:r>
      <w:r w:rsidRPr="00DA7E51">
        <w:rPr>
          <w:bCs/>
          <w:sz w:val="24"/>
          <w:szCs w:val="24"/>
        </w:rPr>
        <w:t xml:space="preserve"> June 202</w:t>
      </w:r>
      <w:r>
        <w:rPr>
          <w:bCs/>
          <w:sz w:val="24"/>
          <w:szCs w:val="24"/>
        </w:rPr>
        <w:t>1</w:t>
      </w:r>
    </w:p>
    <w:p w14:paraId="2D92D9EB" w14:textId="77777777" w:rsidR="007279BF" w:rsidRDefault="007279BF" w:rsidP="00150BA0">
      <w:pPr>
        <w:jc w:val="right"/>
        <w:rPr>
          <w:rFonts w:cs="Arial"/>
          <w:b/>
          <w:sz w:val="28"/>
          <w:szCs w:val="28"/>
        </w:rPr>
      </w:pPr>
    </w:p>
    <w:p w14:paraId="5CCA7068" w14:textId="46D5CC91" w:rsidR="00150BA0" w:rsidRPr="00DA7E51" w:rsidRDefault="00150BA0" w:rsidP="00965133">
      <w:pPr>
        <w:spacing w:after="0" w:line="240" w:lineRule="auto"/>
        <w:jc w:val="right"/>
        <w:rPr>
          <w:rFonts w:cs="Arial"/>
          <w:sz w:val="28"/>
          <w:szCs w:val="28"/>
        </w:rPr>
      </w:pPr>
      <w:r w:rsidRPr="00DA7E51">
        <w:rPr>
          <w:rFonts w:cs="Arial"/>
          <w:b/>
          <w:sz w:val="28"/>
          <w:szCs w:val="28"/>
        </w:rPr>
        <w:t>SC5</w:t>
      </w:r>
      <w:r>
        <w:rPr>
          <w:rFonts w:cs="Arial"/>
          <w:b/>
          <w:sz w:val="28"/>
          <w:szCs w:val="28"/>
        </w:rPr>
        <w:t>9</w:t>
      </w:r>
      <w:r w:rsidR="007279BF" w:rsidRPr="007279BF">
        <w:rPr>
          <w:rFonts w:cs="Arial"/>
          <w:b/>
          <w:sz w:val="28"/>
          <w:szCs w:val="28"/>
          <w:lang w:val="en-US"/>
        </w:rPr>
        <w:t xml:space="preserve"> </w:t>
      </w:r>
      <w:r w:rsidR="007279BF" w:rsidRPr="002D2445">
        <w:rPr>
          <w:rFonts w:cs="Arial"/>
          <w:b/>
          <w:sz w:val="28"/>
          <w:szCs w:val="28"/>
          <w:lang w:val="en-US"/>
        </w:rPr>
        <w:t>Doc.</w:t>
      </w:r>
      <w:r w:rsidR="007279BF">
        <w:rPr>
          <w:rFonts w:cs="Arial"/>
          <w:b/>
          <w:sz w:val="28"/>
          <w:szCs w:val="28"/>
          <w:lang w:val="en-US"/>
        </w:rPr>
        <w:t>10</w:t>
      </w:r>
    </w:p>
    <w:p w14:paraId="0B794F20" w14:textId="77777777" w:rsidR="007279BF" w:rsidRDefault="007279BF" w:rsidP="00DE7BFA">
      <w:pPr>
        <w:spacing w:after="0" w:line="240" w:lineRule="auto"/>
        <w:jc w:val="center"/>
        <w:rPr>
          <w:rFonts w:cs="Arial"/>
          <w:b/>
          <w:sz w:val="28"/>
          <w:szCs w:val="28"/>
        </w:rPr>
      </w:pPr>
    </w:p>
    <w:p w14:paraId="0E7AB295" w14:textId="73C9456D" w:rsidR="00150BA0" w:rsidRPr="009A1374" w:rsidRDefault="00150BA0" w:rsidP="00965133">
      <w:pPr>
        <w:spacing w:after="0" w:line="240" w:lineRule="auto"/>
        <w:jc w:val="center"/>
        <w:rPr>
          <w:rFonts w:cs="Arial"/>
          <w:b/>
          <w:sz w:val="28"/>
          <w:szCs w:val="28"/>
        </w:rPr>
      </w:pPr>
      <w:r>
        <w:rPr>
          <w:rFonts w:cs="Arial"/>
          <w:b/>
          <w:sz w:val="28"/>
          <w:szCs w:val="28"/>
        </w:rPr>
        <w:t>R</w:t>
      </w:r>
      <w:r w:rsidRPr="009A1374">
        <w:rPr>
          <w:rFonts w:cs="Arial"/>
          <w:b/>
          <w:sz w:val="28"/>
          <w:szCs w:val="28"/>
        </w:rPr>
        <w:t>epo</w:t>
      </w:r>
      <w:r>
        <w:rPr>
          <w:rFonts w:cs="Arial"/>
          <w:b/>
          <w:sz w:val="28"/>
          <w:szCs w:val="28"/>
        </w:rPr>
        <w:t>rt of the Working Group on the r</w:t>
      </w:r>
      <w:r w:rsidRPr="009A1374">
        <w:rPr>
          <w:rFonts w:cs="Arial"/>
          <w:b/>
          <w:sz w:val="28"/>
          <w:szCs w:val="28"/>
        </w:rPr>
        <w:t>eview of the Strategic Plan</w:t>
      </w:r>
    </w:p>
    <w:p w14:paraId="1421AB3D" w14:textId="77777777" w:rsidR="00150BA0" w:rsidRPr="009A1374" w:rsidRDefault="00150BA0" w:rsidP="00965133">
      <w:pPr>
        <w:spacing w:after="0" w:line="240" w:lineRule="auto"/>
        <w:rPr>
          <w:rFonts w:ascii="Garamond" w:hAnsi="Garamond" w:cs="Arial"/>
        </w:rPr>
      </w:pPr>
    </w:p>
    <w:p w14:paraId="64C21A3B" w14:textId="58B76CF5" w:rsidR="006C170E" w:rsidRPr="00965133" w:rsidRDefault="00150BA0" w:rsidP="00965133">
      <w:pPr>
        <w:spacing w:after="0" w:line="240" w:lineRule="auto"/>
      </w:pPr>
      <w:r>
        <w:rPr>
          <w:noProof/>
          <w:lang w:val="en-GB" w:eastAsia="en-GB"/>
        </w:rPr>
        <mc:AlternateContent>
          <mc:Choice Requires="wps">
            <w:drawing>
              <wp:inline distT="0" distB="0" distL="0" distR="0" wp14:anchorId="49033CFD" wp14:editId="1C4785DC">
                <wp:extent cx="5772150" cy="50768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076825"/>
                        </a:xfrm>
                        <a:prstGeom prst="rect">
                          <a:avLst/>
                        </a:prstGeom>
                        <a:solidFill>
                          <a:srgbClr val="FFFFFF"/>
                        </a:solidFill>
                        <a:ln w="9525">
                          <a:solidFill>
                            <a:srgbClr val="000000"/>
                          </a:solidFill>
                          <a:miter lim="800000"/>
                          <a:headEnd/>
                          <a:tailEnd/>
                        </a:ln>
                      </wps:spPr>
                      <wps:txbx>
                        <w:txbxContent>
                          <w:p w14:paraId="018F2CA7" w14:textId="77777777" w:rsidR="00EB5BF3" w:rsidRDefault="00EB5BF3" w:rsidP="00150BA0">
                            <w:pPr>
                              <w:rPr>
                                <w:b/>
                                <w:bCs/>
                              </w:rPr>
                            </w:pPr>
                            <w:r>
                              <w:rPr>
                                <w:b/>
                                <w:bCs/>
                              </w:rPr>
                              <w:t xml:space="preserve">Actions requested: </w:t>
                            </w:r>
                          </w:p>
                          <w:p w14:paraId="6CB0A67B" w14:textId="77777777" w:rsidR="00EB5BF3" w:rsidRDefault="00EB5BF3" w:rsidP="00150BA0">
                            <w:pPr>
                              <w:pStyle w:val="ColorfulList-Accent11"/>
                              <w:ind w:left="0"/>
                            </w:pPr>
                          </w:p>
                          <w:p w14:paraId="4FEFB625" w14:textId="77777777" w:rsidR="00EB5BF3" w:rsidRDefault="00EB5BF3" w:rsidP="00150BA0">
                            <w:pPr>
                              <w:pStyle w:val="ColorfulList-Accent11"/>
                              <w:ind w:left="0" w:firstLine="0"/>
                              <w:rPr>
                                <w:rFonts w:cs="Calibri"/>
                              </w:rPr>
                            </w:pPr>
                            <w:r>
                              <w:t xml:space="preserve">Standing Committee is </w:t>
                            </w:r>
                            <w:r>
                              <w:rPr>
                                <w:rFonts w:cs="Calibri"/>
                              </w:rPr>
                              <w:t>invited to:</w:t>
                            </w:r>
                          </w:p>
                          <w:p w14:paraId="3A2B7964" w14:textId="77777777" w:rsidR="00EB5BF3" w:rsidRDefault="00EB5BF3" w:rsidP="00150BA0">
                            <w:pPr>
                              <w:pStyle w:val="ColorfulList-Accent11"/>
                              <w:ind w:left="0"/>
                              <w:rPr>
                                <w:rFonts w:cs="Calibri"/>
                              </w:rPr>
                            </w:pPr>
                          </w:p>
                          <w:p w14:paraId="30DCC3E6" w14:textId="77777777" w:rsidR="00EB5BF3" w:rsidRPr="00F32D03" w:rsidRDefault="00EB5BF3" w:rsidP="00150BA0">
                            <w:pPr>
                              <w:pStyle w:val="ColorfulList-Accent11"/>
                              <w:ind w:left="709" w:hanging="283"/>
                            </w:pPr>
                            <w:r>
                              <w:rPr>
                                <w:rFonts w:cs="Calibri"/>
                              </w:rPr>
                              <w:t>i.</w:t>
                            </w:r>
                            <w:r>
                              <w:rPr>
                                <w:rFonts w:cs="Calibri"/>
                              </w:rPr>
                              <w:tab/>
                              <w:t>take note of the work of the Strategic Plan Working Group, and:</w:t>
                            </w:r>
                            <w:r w:rsidRPr="00F32D03">
                              <w:rPr>
                                <w:rFonts w:cs="Calibri"/>
                              </w:rPr>
                              <w:t xml:space="preserve"> </w:t>
                            </w:r>
                          </w:p>
                          <w:p w14:paraId="20542ED7" w14:textId="77777777" w:rsidR="00EB5BF3" w:rsidRPr="00F32D03" w:rsidRDefault="00EB5BF3" w:rsidP="00150BA0">
                            <w:pPr>
                              <w:pStyle w:val="ColorfulList-Accent11"/>
                              <w:ind w:left="709" w:hanging="283"/>
                            </w:pPr>
                          </w:p>
                          <w:p w14:paraId="5895B13D" w14:textId="77777777" w:rsidR="00EB5BF3" w:rsidRDefault="00EB5BF3" w:rsidP="00150BA0">
                            <w:pPr>
                              <w:pStyle w:val="ColorfulList-Accent11"/>
                              <w:ind w:left="709" w:hanging="283"/>
                              <w:rPr>
                                <w:rFonts w:cs="Calibri"/>
                              </w:rPr>
                            </w:pPr>
                            <w:r>
                              <w:rPr>
                                <w:rFonts w:cs="Calibri"/>
                              </w:rPr>
                              <w:t>ii.</w:t>
                            </w:r>
                            <w:r>
                              <w:rPr>
                                <w:rFonts w:cs="Calibri"/>
                              </w:rPr>
                              <w:tab/>
                              <w:t>amend the 4</w:t>
                            </w:r>
                            <w:r w:rsidRPr="00B17C09">
                              <w:rPr>
                                <w:rFonts w:cs="Calibri"/>
                                <w:vertAlign w:val="superscript"/>
                              </w:rPr>
                              <w:t>th</w:t>
                            </w:r>
                            <w:r>
                              <w:rPr>
                                <w:rFonts w:cs="Calibri"/>
                              </w:rPr>
                              <w:t xml:space="preserve"> Strategic Plan(SP4) by adding thematic </w:t>
                            </w:r>
                            <w:r w:rsidRPr="00F729D9">
                              <w:rPr>
                                <w:rFonts w:cs="Calibri"/>
                              </w:rPr>
                              <w:t xml:space="preserve">Annexes </w:t>
                            </w:r>
                            <w:r>
                              <w:rPr>
                                <w:rFonts w:cs="Calibri"/>
                              </w:rPr>
                              <w:t>that address emerging and other issues</w:t>
                            </w:r>
                            <w:r>
                              <w:t xml:space="preserve">, and request the Secretariat share these Annexes with Contracting Parties to assist implementation of SP4 </w:t>
                            </w:r>
                            <w:r>
                              <w:rPr>
                                <w:rFonts w:cs="Calibri"/>
                              </w:rPr>
                              <w:t xml:space="preserve">in the gap year to COP14; </w:t>
                            </w:r>
                          </w:p>
                          <w:p w14:paraId="01BD67C7" w14:textId="77777777" w:rsidR="00EB5BF3" w:rsidRDefault="00EB5BF3" w:rsidP="00B66B6F">
                            <w:pPr>
                              <w:pStyle w:val="ColorfulList-Accent11"/>
                              <w:rPr>
                                <w:rFonts w:cs="Calibri"/>
                              </w:rPr>
                            </w:pPr>
                          </w:p>
                          <w:p w14:paraId="5A42DF02" w14:textId="77777777" w:rsidR="00EB5BF3" w:rsidRDefault="00EB5BF3" w:rsidP="00992516">
                            <w:pPr>
                              <w:pStyle w:val="ColorfulList-Accent11"/>
                              <w:ind w:left="709" w:hanging="283"/>
                              <w:rPr>
                                <w:rFonts w:cs="Calibri"/>
                              </w:rPr>
                            </w:pPr>
                            <w:r>
                              <w:rPr>
                                <w:rFonts w:cs="Calibri"/>
                              </w:rPr>
                              <w:t xml:space="preserve">iii. </w:t>
                            </w:r>
                            <w:r>
                              <w:rPr>
                                <w:rFonts w:cs="Calibri"/>
                              </w:rPr>
                              <w:tab/>
                              <w:t xml:space="preserve">agree that existing guidance/tools be communicated to Contracting Parties to support the implementation of SP4 in the gap year to COP14, subject to available capacity within the Secretariat; </w:t>
                            </w:r>
                          </w:p>
                          <w:p w14:paraId="527245E4" w14:textId="77777777" w:rsidR="00EB5BF3" w:rsidRDefault="00EB5BF3" w:rsidP="00150BA0">
                            <w:pPr>
                              <w:pStyle w:val="ColorfulList-Accent11"/>
                              <w:ind w:left="709" w:hanging="283"/>
                              <w:rPr>
                                <w:rFonts w:cs="Calibri"/>
                              </w:rPr>
                            </w:pPr>
                          </w:p>
                          <w:p w14:paraId="04F01778" w14:textId="72278A69" w:rsidR="00EB5BF3" w:rsidRDefault="00EB5BF3" w:rsidP="00FE4F87">
                            <w:pPr>
                              <w:pStyle w:val="ColorfulList-Accent11"/>
                              <w:ind w:left="709" w:hanging="283"/>
                              <w:rPr>
                                <w:rFonts w:cs="Calibri"/>
                              </w:rPr>
                            </w:pPr>
                            <w:r>
                              <w:rPr>
                                <w:rFonts w:cs="Calibri"/>
                              </w:rPr>
                              <w:t>i</w:t>
                            </w:r>
                            <w:r w:rsidR="002C2818">
                              <w:rPr>
                                <w:rFonts w:cs="Calibri"/>
                              </w:rPr>
                              <w:t>v</w:t>
                            </w:r>
                            <w:r>
                              <w:rPr>
                                <w:rFonts w:cs="Calibri"/>
                              </w:rPr>
                              <w:t>.  agree to the proposed process and key elements to develop</w:t>
                            </w:r>
                            <w:r w:rsidRPr="00B17C09">
                              <w:rPr>
                                <w:rFonts w:cs="Calibri"/>
                                <w:lang w:val="en-US"/>
                              </w:rPr>
                              <w:t xml:space="preserve"> </w:t>
                            </w:r>
                            <w:r w:rsidRPr="00FE4F87">
                              <w:rPr>
                                <w:rFonts w:cs="Calibri"/>
                                <w:lang w:val="en-US"/>
                              </w:rPr>
                              <w:t>the 5</w:t>
                            </w:r>
                            <w:r w:rsidRPr="00B17C09">
                              <w:rPr>
                                <w:rFonts w:cs="Calibri"/>
                                <w:vertAlign w:val="superscript"/>
                                <w:lang w:val="en-US"/>
                              </w:rPr>
                              <w:t>th</w:t>
                            </w:r>
                            <w:r w:rsidRPr="00B17C09">
                              <w:rPr>
                                <w:rFonts w:cs="Calibri"/>
                                <w:lang w:val="en-US"/>
                              </w:rPr>
                              <w:t xml:space="preserve"> </w:t>
                            </w:r>
                            <w:r w:rsidRPr="00FE4F87">
                              <w:rPr>
                                <w:rFonts w:cs="Calibri"/>
                                <w:lang w:val="en-US"/>
                              </w:rPr>
                              <w:t>Strategic Plan</w:t>
                            </w:r>
                            <w:r>
                              <w:rPr>
                                <w:rFonts w:cs="Calibri"/>
                              </w:rPr>
                              <w:t xml:space="preserve"> (SP5), identifying any additional priority elements to be included; </w:t>
                            </w:r>
                          </w:p>
                          <w:p w14:paraId="09C10FB1" w14:textId="77777777" w:rsidR="00EB5BF3" w:rsidRDefault="00EB5BF3" w:rsidP="00FE4F87">
                            <w:pPr>
                              <w:pStyle w:val="ColorfulList-Accent11"/>
                              <w:ind w:left="709" w:hanging="283"/>
                              <w:rPr>
                                <w:rFonts w:cs="Calibri"/>
                              </w:rPr>
                            </w:pPr>
                          </w:p>
                          <w:p w14:paraId="4E83BC83" w14:textId="148C2F61" w:rsidR="00EB5BF3" w:rsidRDefault="00EB5BF3" w:rsidP="00FE4F87">
                            <w:pPr>
                              <w:spacing w:after="0" w:line="240" w:lineRule="auto"/>
                              <w:ind w:left="709" w:hanging="283"/>
                              <w:rPr>
                                <w:rFonts w:ascii="Calibri" w:hAnsi="Calibri" w:cs="Calibri"/>
                                <w:lang w:val="en-US"/>
                              </w:rPr>
                            </w:pPr>
                            <w:r w:rsidRPr="00FE4F87">
                              <w:rPr>
                                <w:rFonts w:cs="Calibri"/>
                              </w:rPr>
                              <w:t xml:space="preserve"> v.</w:t>
                            </w:r>
                            <w:r w:rsidRPr="00FE4F87">
                              <w:rPr>
                                <w:rFonts w:cs="Calibri"/>
                                <w:i/>
                                <w:iCs/>
                              </w:rPr>
                              <w:t xml:space="preserve"> </w:t>
                            </w:r>
                            <w:r w:rsidRPr="00FE4F87">
                              <w:rPr>
                                <w:rFonts w:cs="Calibri"/>
                              </w:rPr>
                              <w:t xml:space="preserve">establish a new Working Group </w:t>
                            </w:r>
                            <w:r>
                              <w:rPr>
                                <w:rFonts w:cs="Calibri"/>
                              </w:rPr>
                              <w:t xml:space="preserve">with </w:t>
                            </w:r>
                            <w:r>
                              <w:rPr>
                                <w:rFonts w:ascii="Calibri" w:hAnsi="Calibri" w:cs="Calibri"/>
                                <w:lang w:val="en-US"/>
                              </w:rPr>
                              <w:t>membership from</w:t>
                            </w:r>
                            <w:r w:rsidRPr="00FE4F87">
                              <w:rPr>
                                <w:rFonts w:ascii="Calibri" w:hAnsi="Calibri" w:cs="Calibri"/>
                                <w:lang w:val="en-US"/>
                              </w:rPr>
                              <w:t xml:space="preserve"> Contracting Parties</w:t>
                            </w:r>
                            <w:r>
                              <w:rPr>
                                <w:rFonts w:ascii="Calibri" w:hAnsi="Calibri" w:cs="Calibri"/>
                                <w:lang w:val="en-US"/>
                              </w:rPr>
                              <w:t>, the STRP and</w:t>
                            </w:r>
                            <w:r w:rsidRPr="00FE4F87">
                              <w:rPr>
                                <w:rFonts w:ascii="Calibri" w:hAnsi="Calibri" w:cs="Calibri"/>
                                <w:lang w:val="en-US"/>
                              </w:rPr>
                              <w:t xml:space="preserve"> International Organization Partners</w:t>
                            </w:r>
                            <w:r>
                              <w:rPr>
                                <w:rFonts w:ascii="Calibri" w:hAnsi="Calibri" w:cs="Calibri"/>
                                <w:lang w:val="en-US"/>
                              </w:rPr>
                              <w:t>,</w:t>
                            </w:r>
                            <w:r w:rsidRPr="00FE4F87">
                              <w:rPr>
                                <w:rFonts w:ascii="Calibri" w:hAnsi="Calibri" w:cs="Calibri"/>
                                <w:lang w:val="en-US"/>
                              </w:rPr>
                              <w:t xml:space="preserve"> to </w:t>
                            </w:r>
                            <w:r>
                              <w:rPr>
                                <w:rFonts w:ascii="Calibri" w:hAnsi="Calibri" w:cs="Calibri"/>
                                <w:lang w:val="en-US"/>
                              </w:rPr>
                              <w:t xml:space="preserve">commence </w:t>
                            </w:r>
                            <w:r w:rsidRPr="00FE4F87">
                              <w:rPr>
                                <w:rFonts w:ascii="Calibri" w:hAnsi="Calibri" w:cs="Calibri"/>
                                <w:lang w:val="en-US"/>
                              </w:rPr>
                              <w:t xml:space="preserve">preparation of </w:t>
                            </w:r>
                            <w:r>
                              <w:rPr>
                                <w:rFonts w:ascii="Calibri" w:hAnsi="Calibri" w:cs="Calibri"/>
                                <w:lang w:val="en-US"/>
                              </w:rPr>
                              <w:t xml:space="preserve">SP5, </w:t>
                            </w:r>
                            <w:r w:rsidRPr="00FE4F87">
                              <w:rPr>
                                <w:rFonts w:cs="Calibri"/>
                              </w:rPr>
                              <w:t xml:space="preserve">with </w:t>
                            </w:r>
                            <w:r>
                              <w:rPr>
                                <w:rFonts w:cs="Calibri"/>
                              </w:rPr>
                              <w:t xml:space="preserve">the </w:t>
                            </w:r>
                            <w:r w:rsidRPr="00FE4F87">
                              <w:rPr>
                                <w:rFonts w:cs="Calibri"/>
                              </w:rPr>
                              <w:t>terms of reference and work plan to be agreed intersessionally</w:t>
                            </w:r>
                            <w:r>
                              <w:rPr>
                                <w:rFonts w:cs="Calibri"/>
                              </w:rPr>
                              <w:t>;</w:t>
                            </w:r>
                          </w:p>
                          <w:p w14:paraId="2EE3C4CF" w14:textId="77777777" w:rsidR="00EB5BF3" w:rsidRPr="00FE4F87" w:rsidRDefault="00EB5BF3" w:rsidP="00FE4F87">
                            <w:pPr>
                              <w:spacing w:after="0" w:line="240" w:lineRule="auto"/>
                              <w:ind w:left="709" w:hanging="283"/>
                              <w:rPr>
                                <w:rFonts w:cs="Calibri"/>
                              </w:rPr>
                            </w:pPr>
                          </w:p>
                          <w:p w14:paraId="7301FD28" w14:textId="1E37A66A" w:rsidR="00EB5BF3" w:rsidRDefault="00EB5BF3" w:rsidP="009D5FEC">
                            <w:pPr>
                              <w:ind w:left="709" w:hanging="283"/>
                              <w:rPr>
                                <w:rFonts w:cs="Calibri"/>
                              </w:rPr>
                            </w:pPr>
                            <w:r w:rsidRPr="00FE4F87">
                              <w:rPr>
                                <w:rFonts w:cs="Calibri"/>
                              </w:rPr>
                              <w:t>v</w:t>
                            </w:r>
                            <w:r w:rsidR="002C2818">
                              <w:rPr>
                                <w:rFonts w:cs="Calibri"/>
                              </w:rPr>
                              <w:t>i</w:t>
                            </w:r>
                            <w:r w:rsidRPr="00FE4F87">
                              <w:rPr>
                                <w:rFonts w:cs="Calibri"/>
                              </w:rPr>
                              <w:t>.   allocate unspent funds of 18</w:t>
                            </w:r>
                            <w:r>
                              <w:rPr>
                                <w:rFonts w:cs="Calibri"/>
                              </w:rPr>
                              <w:t>K</w:t>
                            </w:r>
                            <w:r w:rsidRPr="00FE4F87">
                              <w:rPr>
                                <w:rFonts w:cs="Calibri"/>
                              </w:rPr>
                              <w:t xml:space="preserve">CHF from SP4 to </w:t>
                            </w:r>
                            <w:r>
                              <w:rPr>
                                <w:rFonts w:cs="Calibri"/>
                              </w:rPr>
                              <w:t xml:space="preserve">the development of </w:t>
                            </w:r>
                            <w:r w:rsidRPr="00FE4F87">
                              <w:rPr>
                                <w:rFonts w:cs="Calibri"/>
                              </w:rPr>
                              <w:t>SP5 and funds of 90</w:t>
                            </w:r>
                            <w:r>
                              <w:rPr>
                                <w:rFonts w:cs="Calibri"/>
                              </w:rPr>
                              <w:t>K</w:t>
                            </w:r>
                            <w:r w:rsidRPr="00FE4F87">
                              <w:rPr>
                                <w:rFonts w:cs="Calibri"/>
                              </w:rPr>
                              <w:t xml:space="preserve">CHF </w:t>
                            </w:r>
                            <w:r>
                              <w:rPr>
                                <w:rFonts w:cs="Calibri"/>
                              </w:rPr>
                              <w:t xml:space="preserve">for a consultancy, WG meetings and consultation, </w:t>
                            </w:r>
                            <w:r w:rsidRPr="00FE4F87">
                              <w:rPr>
                                <w:rFonts w:cs="Calibri"/>
                              </w:rPr>
                              <w:t>when the workplan</w:t>
                            </w:r>
                            <w:r>
                              <w:rPr>
                                <w:rFonts w:cs="Calibri"/>
                              </w:rPr>
                              <w:t xml:space="preserve"> is</w:t>
                            </w:r>
                            <w:r w:rsidRPr="00FE4F87">
                              <w:rPr>
                                <w:rFonts w:cs="Calibri"/>
                              </w:rPr>
                              <w:t xml:space="preserve"> agreed</w:t>
                            </w:r>
                            <w:r>
                              <w:rPr>
                                <w:rFonts w:cs="Calibri"/>
                              </w:rPr>
                              <w:t xml:space="preserve">; and </w:t>
                            </w:r>
                          </w:p>
                          <w:p w14:paraId="2E59DE12" w14:textId="5EE68D67" w:rsidR="00EB5BF3" w:rsidRPr="00F32D03" w:rsidRDefault="00EB5BF3" w:rsidP="009D5FEC">
                            <w:pPr>
                              <w:ind w:left="709" w:hanging="283"/>
                            </w:pPr>
                            <w:r>
                              <w:t>v</w:t>
                            </w:r>
                            <w:r w:rsidR="002C2818">
                              <w:t>i</w:t>
                            </w:r>
                            <w:r>
                              <w:t xml:space="preserve">i.  note that the Working Group will prepare a draft Resolution about the </w:t>
                            </w:r>
                            <w:r w:rsidRPr="007D7DE3">
                              <w:t xml:space="preserve">Review of the </w:t>
                            </w:r>
                            <w:r>
                              <w:t>4</w:t>
                            </w:r>
                            <w:r w:rsidRPr="00B17C09">
                              <w:rPr>
                                <w:vertAlign w:val="superscript"/>
                              </w:rPr>
                              <w:t>th</w:t>
                            </w:r>
                            <w:r>
                              <w:t xml:space="preserve"> </w:t>
                            </w:r>
                            <w:r w:rsidRPr="007D7DE3">
                              <w:t>Strategic Plan</w:t>
                            </w:r>
                            <w:r>
                              <w:t xml:space="preserve">, </w:t>
                            </w:r>
                            <w:r w:rsidRPr="007D7DE3">
                              <w:t xml:space="preserve">proposed </w:t>
                            </w:r>
                            <w:r>
                              <w:t>thematic Annexes</w:t>
                            </w:r>
                            <w:r w:rsidRPr="00FE4F87">
                              <w:t xml:space="preserve">, </w:t>
                            </w:r>
                            <w:r>
                              <w:t>and areas</w:t>
                            </w:r>
                            <w:r w:rsidRPr="00FE4F87">
                              <w:t xml:space="preserve"> </w:t>
                            </w:r>
                            <w:r>
                              <w:t xml:space="preserve">where new guidance could be progressed in the next triennium, </w:t>
                            </w:r>
                            <w:r w:rsidRPr="00FE4F87">
                              <w:t>for</w:t>
                            </w:r>
                            <w:r>
                              <w:t xml:space="preserve"> the SC meeting in 2022 ahead of COP14. </w:t>
                            </w:r>
                            <w:r w:rsidRPr="007D7DE3">
                              <w:t xml:space="preserve"> </w:t>
                            </w:r>
                          </w:p>
                        </w:txbxContent>
                      </wps:txbx>
                      <wps:bodyPr rot="0" vert="horz" wrap="square" lIns="91440" tIns="45720" rIns="91440" bIns="45720" anchor="t" anchorCtr="0" upright="1">
                        <a:noAutofit/>
                      </wps:bodyPr>
                    </wps:wsp>
                  </a:graphicData>
                </a:graphic>
              </wp:inline>
            </w:drawing>
          </mc:Choice>
          <mc:Fallback>
            <w:pict>
              <v:shapetype w14:anchorId="49033CFD" id="_x0000_t202" coordsize="21600,21600" o:spt="202" path="m,l,21600r21600,l21600,xe">
                <v:stroke joinstyle="miter"/>
                <v:path gradientshapeok="t" o:connecttype="rect"/>
              </v:shapetype>
              <v:shape id="Text Box 3" o:spid="_x0000_s1026" type="#_x0000_t202" style="width:454.5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">
                <v:textbox>
                  <w:txbxContent>
                    <w:p w14:paraId="018F2CA7" w14:textId="77777777" w:rsidR="00EB5BF3" w:rsidRDefault="00EB5BF3" w:rsidP="00150BA0">
                      <w:pPr>
                        <w:rPr>
                          <w:b/>
                          <w:bCs/>
                        </w:rPr>
                      </w:pPr>
                      <w:r>
                        <w:rPr>
                          <w:b/>
                          <w:bCs/>
                        </w:rPr>
                        <w:t xml:space="preserve">Actions requested: </w:t>
                      </w:r>
                    </w:p>
                    <w:p w14:paraId="6CB0A67B" w14:textId="77777777" w:rsidR="00EB5BF3" w:rsidRDefault="00EB5BF3" w:rsidP="00150BA0">
                      <w:pPr>
                        <w:pStyle w:val="ColorfulList-Accent11"/>
                        <w:ind w:left="0"/>
                      </w:pPr>
                    </w:p>
                    <w:p w14:paraId="4FEFB625" w14:textId="77777777" w:rsidR="00EB5BF3" w:rsidRDefault="00EB5BF3" w:rsidP="00150BA0">
                      <w:pPr>
                        <w:pStyle w:val="ColorfulList-Accent11"/>
                        <w:ind w:left="0" w:firstLine="0"/>
                        <w:rPr>
                          <w:rFonts w:cs="Calibri"/>
                        </w:rPr>
                      </w:pPr>
                      <w:r>
                        <w:t xml:space="preserve">Standing Committee is </w:t>
                      </w:r>
                      <w:r>
                        <w:rPr>
                          <w:rFonts w:cs="Calibri"/>
                        </w:rPr>
                        <w:t>invited to:</w:t>
                      </w:r>
                    </w:p>
                    <w:p w14:paraId="3A2B7964" w14:textId="77777777" w:rsidR="00EB5BF3" w:rsidRDefault="00EB5BF3" w:rsidP="00150BA0">
                      <w:pPr>
                        <w:pStyle w:val="ColorfulList-Accent11"/>
                        <w:ind w:left="0"/>
                        <w:rPr>
                          <w:rFonts w:cs="Calibri"/>
                        </w:rPr>
                      </w:pPr>
                    </w:p>
                    <w:p w14:paraId="30DCC3E6" w14:textId="77777777" w:rsidR="00EB5BF3" w:rsidRPr="00F32D03" w:rsidRDefault="00EB5BF3" w:rsidP="00150BA0">
                      <w:pPr>
                        <w:pStyle w:val="ColorfulList-Accent11"/>
                        <w:ind w:left="709" w:hanging="283"/>
                      </w:pPr>
                      <w:r>
                        <w:rPr>
                          <w:rFonts w:cs="Calibri"/>
                        </w:rPr>
                        <w:t>i.</w:t>
                      </w:r>
                      <w:r>
                        <w:rPr>
                          <w:rFonts w:cs="Calibri"/>
                        </w:rPr>
                        <w:tab/>
                        <w:t>take note of the work of the Strategic Plan Working Group, and:</w:t>
                      </w:r>
                      <w:r w:rsidRPr="00F32D03">
                        <w:rPr>
                          <w:rFonts w:cs="Calibri"/>
                        </w:rPr>
                        <w:t xml:space="preserve"> </w:t>
                      </w:r>
                    </w:p>
                    <w:p w14:paraId="20542ED7" w14:textId="77777777" w:rsidR="00EB5BF3" w:rsidRPr="00F32D03" w:rsidRDefault="00EB5BF3" w:rsidP="00150BA0">
                      <w:pPr>
                        <w:pStyle w:val="ColorfulList-Accent11"/>
                        <w:ind w:left="709" w:hanging="283"/>
                      </w:pPr>
                    </w:p>
                    <w:p w14:paraId="5895B13D" w14:textId="77777777" w:rsidR="00EB5BF3" w:rsidRDefault="00EB5BF3" w:rsidP="00150BA0">
                      <w:pPr>
                        <w:pStyle w:val="ColorfulList-Accent11"/>
                        <w:ind w:left="709" w:hanging="283"/>
                        <w:rPr>
                          <w:rFonts w:cs="Calibri"/>
                        </w:rPr>
                      </w:pPr>
                      <w:r>
                        <w:rPr>
                          <w:rFonts w:cs="Calibri"/>
                        </w:rPr>
                        <w:t>ii.</w:t>
                      </w:r>
                      <w:r>
                        <w:rPr>
                          <w:rFonts w:cs="Calibri"/>
                        </w:rPr>
                        <w:tab/>
                        <w:t>amend the 4</w:t>
                      </w:r>
                      <w:r w:rsidRPr="00B17C09">
                        <w:rPr>
                          <w:rFonts w:cs="Calibri"/>
                          <w:vertAlign w:val="superscript"/>
                        </w:rPr>
                        <w:t>th</w:t>
                      </w:r>
                      <w:r>
                        <w:rPr>
                          <w:rFonts w:cs="Calibri"/>
                        </w:rPr>
                        <w:t xml:space="preserve"> Strategic Plan(SP4) by adding thematic </w:t>
                      </w:r>
                      <w:r w:rsidRPr="00F729D9">
                        <w:rPr>
                          <w:rFonts w:cs="Calibri"/>
                        </w:rPr>
                        <w:t xml:space="preserve">Annexes </w:t>
                      </w:r>
                      <w:r>
                        <w:rPr>
                          <w:rFonts w:cs="Calibri"/>
                        </w:rPr>
                        <w:t>that address emerging and other issues</w:t>
                      </w:r>
                      <w:r>
                        <w:t xml:space="preserve">, and request the Secretariat share these Annexes with Contracting Parties to assist implementation of SP4 </w:t>
                      </w:r>
                      <w:r>
                        <w:rPr>
                          <w:rFonts w:cs="Calibri"/>
                        </w:rPr>
                        <w:t xml:space="preserve">in the gap year to COP14; </w:t>
                      </w:r>
                    </w:p>
                    <w:p w14:paraId="01BD67C7" w14:textId="77777777" w:rsidR="00EB5BF3" w:rsidRDefault="00EB5BF3" w:rsidP="00B66B6F">
                      <w:pPr>
                        <w:pStyle w:val="ColorfulList-Accent11"/>
                        <w:rPr>
                          <w:rFonts w:cs="Calibri"/>
                        </w:rPr>
                      </w:pPr>
                    </w:p>
                    <w:p w14:paraId="5A42DF02" w14:textId="77777777" w:rsidR="00EB5BF3" w:rsidRDefault="00EB5BF3" w:rsidP="00992516">
                      <w:pPr>
                        <w:pStyle w:val="ColorfulList-Accent11"/>
                        <w:ind w:left="709" w:hanging="283"/>
                        <w:rPr>
                          <w:rFonts w:cs="Calibri"/>
                        </w:rPr>
                      </w:pPr>
                      <w:r>
                        <w:rPr>
                          <w:rFonts w:cs="Calibri"/>
                        </w:rPr>
                        <w:t xml:space="preserve">iii. </w:t>
                      </w:r>
                      <w:r>
                        <w:rPr>
                          <w:rFonts w:cs="Calibri"/>
                        </w:rPr>
                        <w:tab/>
                        <w:t xml:space="preserve">agree that existing guidance/tools be communicated to Contracting Parties to support the implementation of SP4 in the gap year to COP14, subject to available capacity within the Secretariat; </w:t>
                      </w:r>
                    </w:p>
                    <w:p w14:paraId="527245E4" w14:textId="77777777" w:rsidR="00EB5BF3" w:rsidRDefault="00EB5BF3" w:rsidP="00150BA0">
                      <w:pPr>
                        <w:pStyle w:val="ColorfulList-Accent11"/>
                        <w:ind w:left="709" w:hanging="283"/>
                        <w:rPr>
                          <w:rFonts w:cs="Calibri"/>
                        </w:rPr>
                      </w:pPr>
                    </w:p>
                    <w:p w14:paraId="04F01778" w14:textId="72278A69" w:rsidR="00EB5BF3" w:rsidRDefault="00EB5BF3" w:rsidP="00FE4F87">
                      <w:pPr>
                        <w:pStyle w:val="ColorfulList-Accent11"/>
                        <w:ind w:left="709" w:hanging="283"/>
                        <w:rPr>
                          <w:rFonts w:cs="Calibri"/>
                        </w:rPr>
                      </w:pPr>
                      <w:r>
                        <w:rPr>
                          <w:rFonts w:cs="Calibri"/>
                        </w:rPr>
                        <w:t>i</w:t>
                      </w:r>
                      <w:r w:rsidR="002C2818">
                        <w:rPr>
                          <w:rFonts w:cs="Calibri"/>
                        </w:rPr>
                        <w:t>v</w:t>
                      </w:r>
                      <w:r>
                        <w:rPr>
                          <w:rFonts w:cs="Calibri"/>
                        </w:rPr>
                        <w:t>.  agree to the proposed process and key elements to develop</w:t>
                      </w:r>
                      <w:r w:rsidRPr="00B17C09">
                        <w:rPr>
                          <w:rFonts w:cs="Calibri"/>
                          <w:lang w:val="en-US"/>
                        </w:rPr>
                        <w:t xml:space="preserve"> </w:t>
                      </w:r>
                      <w:r w:rsidRPr="00FE4F87">
                        <w:rPr>
                          <w:rFonts w:cs="Calibri"/>
                          <w:lang w:val="en-US"/>
                        </w:rPr>
                        <w:t>the 5</w:t>
                      </w:r>
                      <w:r w:rsidRPr="00B17C09">
                        <w:rPr>
                          <w:rFonts w:cs="Calibri"/>
                          <w:vertAlign w:val="superscript"/>
                          <w:lang w:val="en-US"/>
                        </w:rPr>
                        <w:t>th</w:t>
                      </w:r>
                      <w:r w:rsidRPr="00B17C09">
                        <w:rPr>
                          <w:rFonts w:cs="Calibri"/>
                          <w:lang w:val="en-US"/>
                        </w:rPr>
                        <w:t xml:space="preserve"> </w:t>
                      </w:r>
                      <w:r w:rsidRPr="00FE4F87">
                        <w:rPr>
                          <w:rFonts w:cs="Calibri"/>
                          <w:lang w:val="en-US"/>
                        </w:rPr>
                        <w:t>Strategic Plan</w:t>
                      </w:r>
                      <w:r>
                        <w:rPr>
                          <w:rFonts w:cs="Calibri"/>
                        </w:rPr>
                        <w:t xml:space="preserve"> (SP5), identifying any additional priority elements to be included; </w:t>
                      </w:r>
                    </w:p>
                    <w:p w14:paraId="09C10FB1" w14:textId="77777777" w:rsidR="00EB5BF3" w:rsidRDefault="00EB5BF3" w:rsidP="00FE4F87">
                      <w:pPr>
                        <w:pStyle w:val="ColorfulList-Accent11"/>
                        <w:ind w:left="709" w:hanging="283"/>
                        <w:rPr>
                          <w:rFonts w:cs="Calibri"/>
                        </w:rPr>
                      </w:pPr>
                    </w:p>
                    <w:p w14:paraId="4E83BC83" w14:textId="148C2F61" w:rsidR="00EB5BF3" w:rsidRDefault="00EB5BF3" w:rsidP="00FE4F87">
                      <w:pPr>
                        <w:spacing w:after="0" w:line="240" w:lineRule="auto"/>
                        <w:ind w:left="709" w:hanging="283"/>
                        <w:rPr>
                          <w:rFonts w:ascii="Calibri" w:hAnsi="Calibri" w:cs="Calibri"/>
                          <w:lang w:val="en-US"/>
                        </w:rPr>
                      </w:pPr>
                      <w:r w:rsidRPr="00FE4F87">
                        <w:rPr>
                          <w:rFonts w:cs="Calibri"/>
                        </w:rPr>
                        <w:t xml:space="preserve"> v.</w:t>
                      </w:r>
                      <w:r w:rsidRPr="00FE4F87">
                        <w:rPr>
                          <w:rFonts w:cs="Calibri"/>
                          <w:i/>
                          <w:iCs/>
                        </w:rPr>
                        <w:t xml:space="preserve"> </w:t>
                      </w:r>
                      <w:r w:rsidRPr="00FE4F87">
                        <w:rPr>
                          <w:rFonts w:cs="Calibri"/>
                        </w:rPr>
                        <w:t xml:space="preserve">establish a new Working Group </w:t>
                      </w:r>
                      <w:r>
                        <w:rPr>
                          <w:rFonts w:cs="Calibri"/>
                        </w:rPr>
                        <w:t xml:space="preserve">with </w:t>
                      </w:r>
                      <w:r>
                        <w:rPr>
                          <w:rFonts w:ascii="Calibri" w:hAnsi="Calibri" w:cs="Calibri"/>
                          <w:lang w:val="en-US"/>
                        </w:rPr>
                        <w:t>membership from</w:t>
                      </w:r>
                      <w:r w:rsidRPr="00FE4F87">
                        <w:rPr>
                          <w:rFonts w:ascii="Calibri" w:hAnsi="Calibri" w:cs="Calibri"/>
                          <w:lang w:val="en-US"/>
                        </w:rPr>
                        <w:t xml:space="preserve"> Contracting Parties</w:t>
                      </w:r>
                      <w:r>
                        <w:rPr>
                          <w:rFonts w:ascii="Calibri" w:hAnsi="Calibri" w:cs="Calibri"/>
                          <w:lang w:val="en-US"/>
                        </w:rPr>
                        <w:t>, the STRP and</w:t>
                      </w:r>
                      <w:r w:rsidRPr="00FE4F87">
                        <w:rPr>
                          <w:rFonts w:ascii="Calibri" w:hAnsi="Calibri" w:cs="Calibri"/>
                          <w:lang w:val="en-US"/>
                        </w:rPr>
                        <w:t xml:space="preserve"> International Organization Partners</w:t>
                      </w:r>
                      <w:r>
                        <w:rPr>
                          <w:rFonts w:ascii="Calibri" w:hAnsi="Calibri" w:cs="Calibri"/>
                          <w:lang w:val="en-US"/>
                        </w:rPr>
                        <w:t>,</w:t>
                      </w:r>
                      <w:r w:rsidRPr="00FE4F87">
                        <w:rPr>
                          <w:rFonts w:ascii="Calibri" w:hAnsi="Calibri" w:cs="Calibri"/>
                          <w:lang w:val="en-US"/>
                        </w:rPr>
                        <w:t xml:space="preserve"> to </w:t>
                      </w:r>
                      <w:r>
                        <w:rPr>
                          <w:rFonts w:ascii="Calibri" w:hAnsi="Calibri" w:cs="Calibri"/>
                          <w:lang w:val="en-US"/>
                        </w:rPr>
                        <w:t xml:space="preserve">commence </w:t>
                      </w:r>
                      <w:r w:rsidRPr="00FE4F87">
                        <w:rPr>
                          <w:rFonts w:ascii="Calibri" w:hAnsi="Calibri" w:cs="Calibri"/>
                          <w:lang w:val="en-US"/>
                        </w:rPr>
                        <w:t xml:space="preserve">preparation of </w:t>
                      </w:r>
                      <w:r>
                        <w:rPr>
                          <w:rFonts w:ascii="Calibri" w:hAnsi="Calibri" w:cs="Calibri"/>
                          <w:lang w:val="en-US"/>
                        </w:rPr>
                        <w:t xml:space="preserve">SP5, </w:t>
                      </w:r>
                      <w:r w:rsidRPr="00FE4F87">
                        <w:rPr>
                          <w:rFonts w:cs="Calibri"/>
                        </w:rPr>
                        <w:t xml:space="preserve">with </w:t>
                      </w:r>
                      <w:r>
                        <w:rPr>
                          <w:rFonts w:cs="Calibri"/>
                        </w:rPr>
                        <w:t xml:space="preserve">the </w:t>
                      </w:r>
                      <w:r w:rsidRPr="00FE4F87">
                        <w:rPr>
                          <w:rFonts w:cs="Calibri"/>
                        </w:rPr>
                        <w:t>terms of reference and work plan to be agreed intersessionally</w:t>
                      </w:r>
                      <w:r>
                        <w:rPr>
                          <w:rFonts w:cs="Calibri"/>
                        </w:rPr>
                        <w:t>;</w:t>
                      </w:r>
                    </w:p>
                    <w:p w14:paraId="2EE3C4CF" w14:textId="77777777" w:rsidR="00EB5BF3" w:rsidRPr="00FE4F87" w:rsidRDefault="00EB5BF3" w:rsidP="00FE4F87">
                      <w:pPr>
                        <w:spacing w:after="0" w:line="240" w:lineRule="auto"/>
                        <w:ind w:left="709" w:hanging="283"/>
                        <w:rPr>
                          <w:rFonts w:cs="Calibri"/>
                        </w:rPr>
                      </w:pPr>
                    </w:p>
                    <w:p w14:paraId="7301FD28" w14:textId="1E37A66A" w:rsidR="00EB5BF3" w:rsidRDefault="00EB5BF3" w:rsidP="009D5FEC">
                      <w:pPr>
                        <w:ind w:left="709" w:hanging="283"/>
                        <w:rPr>
                          <w:rFonts w:cs="Calibri"/>
                        </w:rPr>
                      </w:pPr>
                      <w:r w:rsidRPr="00FE4F87">
                        <w:rPr>
                          <w:rFonts w:cs="Calibri"/>
                        </w:rPr>
                        <w:t>v</w:t>
                      </w:r>
                      <w:r w:rsidR="002C2818">
                        <w:rPr>
                          <w:rFonts w:cs="Calibri"/>
                        </w:rPr>
                        <w:t>i</w:t>
                      </w:r>
                      <w:r w:rsidRPr="00FE4F87">
                        <w:rPr>
                          <w:rFonts w:cs="Calibri"/>
                        </w:rPr>
                        <w:t>.   allocate unspent funds of 18</w:t>
                      </w:r>
                      <w:r>
                        <w:rPr>
                          <w:rFonts w:cs="Calibri"/>
                        </w:rPr>
                        <w:t>K</w:t>
                      </w:r>
                      <w:r w:rsidRPr="00FE4F87">
                        <w:rPr>
                          <w:rFonts w:cs="Calibri"/>
                        </w:rPr>
                        <w:t xml:space="preserve">CHF from SP4 to </w:t>
                      </w:r>
                      <w:r>
                        <w:rPr>
                          <w:rFonts w:cs="Calibri"/>
                        </w:rPr>
                        <w:t xml:space="preserve">the development of </w:t>
                      </w:r>
                      <w:r w:rsidRPr="00FE4F87">
                        <w:rPr>
                          <w:rFonts w:cs="Calibri"/>
                        </w:rPr>
                        <w:t>SP5 and funds of 90</w:t>
                      </w:r>
                      <w:r>
                        <w:rPr>
                          <w:rFonts w:cs="Calibri"/>
                        </w:rPr>
                        <w:t>K</w:t>
                      </w:r>
                      <w:r w:rsidRPr="00FE4F87">
                        <w:rPr>
                          <w:rFonts w:cs="Calibri"/>
                        </w:rPr>
                        <w:t xml:space="preserve">CHF </w:t>
                      </w:r>
                      <w:r>
                        <w:rPr>
                          <w:rFonts w:cs="Calibri"/>
                        </w:rPr>
                        <w:t xml:space="preserve">for a consultancy, WG meetings and consultation, </w:t>
                      </w:r>
                      <w:r w:rsidRPr="00FE4F87">
                        <w:rPr>
                          <w:rFonts w:cs="Calibri"/>
                        </w:rPr>
                        <w:t>when the workplan</w:t>
                      </w:r>
                      <w:r>
                        <w:rPr>
                          <w:rFonts w:cs="Calibri"/>
                        </w:rPr>
                        <w:t xml:space="preserve"> is</w:t>
                      </w:r>
                      <w:r w:rsidRPr="00FE4F87">
                        <w:rPr>
                          <w:rFonts w:cs="Calibri"/>
                        </w:rPr>
                        <w:t xml:space="preserve"> agreed</w:t>
                      </w:r>
                      <w:r>
                        <w:rPr>
                          <w:rFonts w:cs="Calibri"/>
                        </w:rPr>
                        <w:t xml:space="preserve">; and </w:t>
                      </w:r>
                    </w:p>
                    <w:p w14:paraId="2E59DE12" w14:textId="5EE68D67" w:rsidR="00EB5BF3" w:rsidRPr="00F32D03" w:rsidRDefault="00EB5BF3" w:rsidP="009D5FEC">
                      <w:pPr>
                        <w:ind w:left="709" w:hanging="283"/>
                      </w:pPr>
                      <w:r>
                        <w:t>v</w:t>
                      </w:r>
                      <w:r w:rsidR="002C2818">
                        <w:t>i</w:t>
                      </w:r>
                      <w:r>
                        <w:t xml:space="preserve">i.  note that the Working Group will prepare a draft Resolution about the </w:t>
                      </w:r>
                      <w:r w:rsidRPr="007D7DE3">
                        <w:t xml:space="preserve">Review of the </w:t>
                      </w:r>
                      <w:r>
                        <w:t>4</w:t>
                      </w:r>
                      <w:r w:rsidRPr="00B17C09">
                        <w:rPr>
                          <w:vertAlign w:val="superscript"/>
                        </w:rPr>
                        <w:t>th</w:t>
                      </w:r>
                      <w:r>
                        <w:t xml:space="preserve"> </w:t>
                      </w:r>
                      <w:r w:rsidRPr="007D7DE3">
                        <w:t>Strategic Plan</w:t>
                      </w:r>
                      <w:r>
                        <w:t xml:space="preserve">, </w:t>
                      </w:r>
                      <w:r w:rsidRPr="007D7DE3">
                        <w:t xml:space="preserve">proposed </w:t>
                      </w:r>
                      <w:r>
                        <w:t>thematic Annexes</w:t>
                      </w:r>
                      <w:r w:rsidRPr="00FE4F87">
                        <w:t xml:space="preserve">, </w:t>
                      </w:r>
                      <w:r>
                        <w:t>and areas</w:t>
                      </w:r>
                      <w:r w:rsidRPr="00FE4F87">
                        <w:t xml:space="preserve"> </w:t>
                      </w:r>
                      <w:r>
                        <w:t xml:space="preserve">where new guidance could be progressed in the next triennium, </w:t>
                      </w:r>
                      <w:r w:rsidRPr="00FE4F87">
                        <w:t>for</w:t>
                      </w:r>
                      <w:r>
                        <w:t xml:space="preserve"> the SC meeting in 2022 ahead of COP14. </w:t>
                      </w:r>
                      <w:r w:rsidRPr="007D7DE3">
                        <w:t xml:space="preserve"> </w:t>
                      </w:r>
                    </w:p>
                  </w:txbxContent>
                </v:textbox>
                <w10:anchorlock/>
              </v:shape>
            </w:pict>
          </mc:Fallback>
        </mc:AlternateContent>
      </w:r>
    </w:p>
    <w:p w14:paraId="5F87D888" w14:textId="24A26DA2" w:rsidR="007279BF" w:rsidRDefault="007279BF" w:rsidP="00965133">
      <w:pPr>
        <w:spacing w:after="0" w:line="240" w:lineRule="auto"/>
        <w:rPr>
          <w:b/>
        </w:rPr>
      </w:pPr>
    </w:p>
    <w:p w14:paraId="065499B3" w14:textId="77777777" w:rsidR="008329CC" w:rsidRPr="00965133" w:rsidRDefault="008329CC" w:rsidP="00965133">
      <w:pPr>
        <w:spacing w:after="0" w:line="240" w:lineRule="auto"/>
        <w:rPr>
          <w:b/>
        </w:rPr>
      </w:pPr>
    </w:p>
    <w:p w14:paraId="646EC716" w14:textId="427AA59E" w:rsidR="004510AC" w:rsidRPr="00D25A5D" w:rsidRDefault="004510AC" w:rsidP="00965133">
      <w:pPr>
        <w:spacing w:after="0" w:line="240" w:lineRule="auto"/>
        <w:rPr>
          <w:b/>
          <w:bCs/>
          <w:lang w:val="en-US"/>
        </w:rPr>
      </w:pPr>
      <w:r w:rsidRPr="0052041E">
        <w:rPr>
          <w:b/>
          <w:bCs/>
        </w:rPr>
        <w:t xml:space="preserve">Report on </w:t>
      </w:r>
      <w:r w:rsidR="0052041E">
        <w:rPr>
          <w:b/>
          <w:bCs/>
        </w:rPr>
        <w:t>the Working Group</w:t>
      </w:r>
      <w:r w:rsidR="00EC3D6B">
        <w:rPr>
          <w:b/>
          <w:bCs/>
        </w:rPr>
        <w:t xml:space="preserve"> and Review process</w:t>
      </w:r>
    </w:p>
    <w:p w14:paraId="68F58325" w14:textId="77777777" w:rsidR="00681C17" w:rsidRDefault="00681C17" w:rsidP="00DE7BFA">
      <w:pPr>
        <w:spacing w:after="0" w:line="240" w:lineRule="auto"/>
        <w:ind w:left="426" w:hanging="426"/>
      </w:pPr>
    </w:p>
    <w:p w14:paraId="7735F5F4" w14:textId="76306B1F" w:rsidR="004510AC" w:rsidRDefault="00681C17" w:rsidP="00965133">
      <w:pPr>
        <w:spacing w:after="0" w:line="240" w:lineRule="auto"/>
        <w:ind w:left="426" w:hanging="426"/>
      </w:pPr>
      <w:r>
        <w:t>1.</w:t>
      </w:r>
      <w:r>
        <w:tab/>
      </w:r>
      <w:r w:rsidR="004510AC">
        <w:t xml:space="preserve">Resolution XIII.5 Review of the fourth Strategic Plan of the Ramsar Convention adopted a process to review the fourth Strategic Plan of the Ramsar Convention 2016-2024 (SP4) and requested “the Standing Committee, at its 56th meeting (SC56), to establish a Strategic Plan Working Group to conduct the review of the fourth Strategic Plan” (paragraph 20). The review process, its scope and modalities are outlined in Annex 1 of the Resolution. </w:t>
      </w:r>
    </w:p>
    <w:p w14:paraId="02FCBD8E" w14:textId="77777777" w:rsidR="00681C17" w:rsidRDefault="00681C17" w:rsidP="00681C17">
      <w:pPr>
        <w:spacing w:after="0" w:line="240" w:lineRule="auto"/>
        <w:ind w:left="426" w:hanging="426"/>
      </w:pPr>
    </w:p>
    <w:p w14:paraId="131A4E37" w14:textId="3A8A8477" w:rsidR="004510AC" w:rsidRDefault="00681C17" w:rsidP="00965133">
      <w:pPr>
        <w:spacing w:after="0" w:line="240" w:lineRule="auto"/>
        <w:ind w:left="426" w:hanging="426"/>
      </w:pPr>
      <w:r>
        <w:lastRenderedPageBreak/>
        <w:t>2.</w:t>
      </w:r>
      <w:r>
        <w:tab/>
      </w:r>
      <w:r w:rsidR="004510AC">
        <w:t xml:space="preserve">Standing Committee at its 56th meeting (SC56, October 2018) established the Strategic Plan Working Group (WG). Its members are: Algeria, Armenia, Australia, Benin, Bhutan, the Dominican Republic, Oman, Senegal, South Africa, Switzerland, </w:t>
      </w:r>
      <w:r w:rsidR="008F4CDE">
        <w:t>Uganda,</w:t>
      </w:r>
      <w:r w:rsidR="004510AC">
        <w:t xml:space="preserve"> and the United States of America. </w:t>
      </w:r>
    </w:p>
    <w:p w14:paraId="761B5A8B" w14:textId="77777777" w:rsidR="00681C17" w:rsidRDefault="00681C17" w:rsidP="00681C17">
      <w:pPr>
        <w:spacing w:after="0" w:line="240" w:lineRule="auto"/>
        <w:ind w:left="426" w:hanging="426"/>
      </w:pPr>
    </w:p>
    <w:p w14:paraId="580BD26F" w14:textId="6F089AFA" w:rsidR="004510AC" w:rsidRDefault="00681C17" w:rsidP="00DE7BFA">
      <w:pPr>
        <w:spacing w:after="0" w:line="240" w:lineRule="auto"/>
        <w:ind w:left="426" w:hanging="426"/>
      </w:pPr>
      <w:r>
        <w:t>3.</w:t>
      </w:r>
      <w:r>
        <w:tab/>
      </w:r>
      <w:r w:rsidR="004510AC">
        <w:t xml:space="preserve">The WG provided an update on its progress to SC57 in document SC57 Doc.9, describing notably: </w:t>
      </w:r>
    </w:p>
    <w:p w14:paraId="18EBC049" w14:textId="77777777" w:rsidR="00681C17" w:rsidRDefault="00681C17" w:rsidP="00965133">
      <w:pPr>
        <w:spacing w:after="0" w:line="240" w:lineRule="auto"/>
        <w:ind w:left="426" w:hanging="426"/>
      </w:pPr>
    </w:p>
    <w:p w14:paraId="0731D41A" w14:textId="273C6CEA" w:rsidR="004510AC" w:rsidRDefault="004510AC" w:rsidP="00965133">
      <w:pPr>
        <w:pStyle w:val="ListParagraph"/>
        <w:numPr>
          <w:ilvl w:val="0"/>
          <w:numId w:val="2"/>
        </w:numPr>
        <w:spacing w:after="0" w:line="240" w:lineRule="auto"/>
        <w:ind w:left="851" w:hanging="425"/>
      </w:pPr>
      <w:r>
        <w:t xml:space="preserve">The development of a template for the Contracting Parties “to evaluate their efforts in relation to the implementation of the fourth Strategic Plan 2016-2024” (paragraph 8, Annex 1 of Res. XIII.5). The template was sent to all Parties on 11 April 2019. Responses from 26 Parties were received in time for SC57. </w:t>
      </w:r>
    </w:p>
    <w:p w14:paraId="542B0FEB" w14:textId="77777777" w:rsidR="00681C17" w:rsidRDefault="00681C17" w:rsidP="00681C17">
      <w:pPr>
        <w:spacing w:after="0" w:line="240" w:lineRule="auto"/>
      </w:pPr>
    </w:p>
    <w:p w14:paraId="2ED3761A" w14:textId="6F8C540B" w:rsidR="004510AC" w:rsidRDefault="004510AC" w:rsidP="00965133">
      <w:pPr>
        <w:pStyle w:val="ListParagraph"/>
        <w:numPr>
          <w:ilvl w:val="0"/>
          <w:numId w:val="2"/>
        </w:numPr>
        <w:spacing w:after="0" w:line="240" w:lineRule="auto"/>
        <w:ind w:left="851" w:hanging="425"/>
      </w:pPr>
      <w:r>
        <w:t xml:space="preserve">The development of terms of reference for a consultant to be contracted by the Secretariat to assist with the review process (paragraph 11, Annex 1 of Resolution XIII.5). </w:t>
      </w:r>
    </w:p>
    <w:p w14:paraId="75810BA0" w14:textId="77777777" w:rsidR="00681C17" w:rsidRDefault="00681C17" w:rsidP="00681C17">
      <w:pPr>
        <w:spacing w:after="0" w:line="240" w:lineRule="auto"/>
      </w:pPr>
    </w:p>
    <w:p w14:paraId="62175B2C" w14:textId="382E492E" w:rsidR="004510AC" w:rsidRDefault="004510AC" w:rsidP="00965133">
      <w:pPr>
        <w:spacing w:after="0" w:line="240" w:lineRule="auto"/>
        <w:ind w:left="426" w:hanging="426"/>
      </w:pPr>
      <w:r>
        <w:t>4</w:t>
      </w:r>
      <w:r w:rsidR="00681C17">
        <w:t>.</w:t>
      </w:r>
      <w:r w:rsidR="00681C17">
        <w:tab/>
      </w:r>
      <w:r>
        <w:t xml:space="preserve">The WG met on 24 June 2019 prior to the opening of SC57 and provided an additional report to the Standing Committee on the outcomes of this meeting (SC57 Com.4), noting the election of Uganda as Chair of the WG and making a number of recommendations. </w:t>
      </w:r>
    </w:p>
    <w:p w14:paraId="472EA265" w14:textId="77777777" w:rsidR="00681C17" w:rsidRDefault="00681C17" w:rsidP="00681C17">
      <w:pPr>
        <w:spacing w:after="0" w:line="240" w:lineRule="auto"/>
        <w:ind w:left="426" w:hanging="426"/>
      </w:pPr>
    </w:p>
    <w:p w14:paraId="194B687A" w14:textId="62BA33F7" w:rsidR="0052041E" w:rsidRDefault="00681C17" w:rsidP="00DE7BFA">
      <w:pPr>
        <w:spacing w:after="0" w:line="240" w:lineRule="auto"/>
        <w:ind w:left="426" w:hanging="426"/>
      </w:pPr>
      <w:r>
        <w:t>5.</w:t>
      </w:r>
      <w:r>
        <w:tab/>
      </w:r>
      <w:r w:rsidR="004510AC">
        <w:t xml:space="preserve">Based on the recommendations of the WG, the Standing Committee took the following decisions: </w:t>
      </w:r>
    </w:p>
    <w:p w14:paraId="1F187B7C" w14:textId="77777777" w:rsidR="00681C17" w:rsidRDefault="00681C17" w:rsidP="00965133">
      <w:pPr>
        <w:spacing w:after="0" w:line="240" w:lineRule="auto"/>
        <w:ind w:left="426" w:hanging="426"/>
      </w:pPr>
    </w:p>
    <w:p w14:paraId="00F4B9CB" w14:textId="09460204" w:rsidR="004510AC" w:rsidRDefault="004510AC" w:rsidP="00965133">
      <w:pPr>
        <w:pStyle w:val="ListParagraph"/>
        <w:numPr>
          <w:ilvl w:val="0"/>
          <w:numId w:val="1"/>
        </w:numPr>
        <w:spacing w:after="0" w:line="240" w:lineRule="auto"/>
        <w:ind w:left="851" w:hanging="425"/>
      </w:pPr>
      <w:r>
        <w:t xml:space="preserve">Decision SC57-06: The Standing Committee instructed the Secretariat to share the shortlisting assessment of the candidates with the members of the </w:t>
      </w:r>
      <w:r w:rsidR="008F4CDE">
        <w:t>Group and</w:t>
      </w:r>
      <w:r>
        <w:t xml:space="preserve"> include the Chair of the Working Group in panel interviews of the shortlisted candidates for the consultancy. </w:t>
      </w:r>
    </w:p>
    <w:p w14:paraId="5DC80F3F" w14:textId="77777777" w:rsidR="00681C17" w:rsidRDefault="00681C17" w:rsidP="00681C17">
      <w:pPr>
        <w:spacing w:after="0" w:line="240" w:lineRule="auto"/>
        <w:ind w:hanging="425"/>
      </w:pPr>
    </w:p>
    <w:p w14:paraId="54F9D608" w14:textId="79A266A1" w:rsidR="004510AC" w:rsidRDefault="004510AC" w:rsidP="00965133">
      <w:pPr>
        <w:pStyle w:val="ListParagraph"/>
        <w:numPr>
          <w:ilvl w:val="0"/>
          <w:numId w:val="1"/>
        </w:numPr>
        <w:spacing w:after="0" w:line="240" w:lineRule="auto"/>
        <w:ind w:left="851" w:hanging="425"/>
      </w:pPr>
      <w:r>
        <w:t xml:space="preserve">Decision SC57-07: The Standing Committee instructed the Secretariat to proceed expeditiously with the appointment of the consultant and inception of the project work plan, in order that it might be well advanced before the end of 2019, to enable the submission of an advanced draft report to SC58 in 2020. </w:t>
      </w:r>
    </w:p>
    <w:p w14:paraId="66482B64" w14:textId="77777777" w:rsidR="00681C17" w:rsidRDefault="00681C17" w:rsidP="00681C17">
      <w:pPr>
        <w:spacing w:after="0" w:line="240" w:lineRule="auto"/>
        <w:ind w:hanging="425"/>
      </w:pPr>
    </w:p>
    <w:p w14:paraId="5E2F4525" w14:textId="1C6864CC" w:rsidR="004510AC" w:rsidRDefault="004510AC" w:rsidP="00DE7BFA">
      <w:pPr>
        <w:pStyle w:val="ListParagraph"/>
        <w:numPr>
          <w:ilvl w:val="0"/>
          <w:numId w:val="1"/>
        </w:numPr>
        <w:spacing w:after="0" w:line="240" w:lineRule="auto"/>
        <w:ind w:left="851" w:hanging="425"/>
      </w:pPr>
      <w:r>
        <w:t xml:space="preserve">Decision SC57-08: The Standing Committee instructed the Secretariat to organize an inception meeting with the selected consultant on their appointment, to define detailed timelines and outputs, in light of existing processes such as the Conference of the Parties to the Convention on Biological Diversity (CBD COP15) in October 2020 and the post-2020 </w:t>
      </w:r>
      <w:r w:rsidR="00440846">
        <w:t>Global Biodiversity Framework</w:t>
      </w:r>
      <w:r>
        <w:t xml:space="preserve">. </w:t>
      </w:r>
    </w:p>
    <w:p w14:paraId="57695733" w14:textId="77777777" w:rsidR="00681C17" w:rsidRDefault="00681C17" w:rsidP="00965133">
      <w:pPr>
        <w:spacing w:after="0" w:line="240" w:lineRule="auto"/>
        <w:ind w:hanging="425"/>
      </w:pPr>
    </w:p>
    <w:p w14:paraId="41A0B39E" w14:textId="16F39154" w:rsidR="004510AC" w:rsidRDefault="004510AC" w:rsidP="00965133">
      <w:pPr>
        <w:pStyle w:val="ListParagraph"/>
        <w:numPr>
          <w:ilvl w:val="0"/>
          <w:numId w:val="1"/>
        </w:numPr>
        <w:spacing w:after="0" w:line="240" w:lineRule="auto"/>
        <w:ind w:left="851" w:hanging="425"/>
      </w:pPr>
      <w:r>
        <w:t xml:space="preserve">Decision SC57-09: The Standing Committee instructed the Secretariat to seek further responses from Contracting Parties to the survey on implementation of the current Strategic </w:t>
      </w:r>
      <w:r w:rsidR="00EC104A">
        <w:t>Plan and</w:t>
      </w:r>
      <w:r>
        <w:t xml:space="preserve"> invited regional representatives of the Standing Committee to encourage Parties in their respective regions to respond. </w:t>
      </w:r>
    </w:p>
    <w:p w14:paraId="191B02E8" w14:textId="77777777" w:rsidR="00681C17" w:rsidRDefault="00681C17" w:rsidP="00681C17">
      <w:pPr>
        <w:spacing w:after="0" w:line="240" w:lineRule="auto"/>
      </w:pPr>
    </w:p>
    <w:p w14:paraId="18F28BC7" w14:textId="63CC8B2D" w:rsidR="004510AC" w:rsidRDefault="004510AC" w:rsidP="00965133">
      <w:pPr>
        <w:spacing w:after="0" w:line="240" w:lineRule="auto"/>
        <w:ind w:left="426" w:hanging="426"/>
      </w:pPr>
      <w:r>
        <w:t>6.</w:t>
      </w:r>
      <w:r w:rsidR="00681C17">
        <w:tab/>
      </w:r>
      <w:r>
        <w:t xml:space="preserve">The WG finalized its work plan </w:t>
      </w:r>
      <w:r w:rsidR="00B90CD4">
        <w:t xml:space="preserve">in </w:t>
      </w:r>
      <w:r w:rsidR="00EC104A">
        <w:t>July 2019 and</w:t>
      </w:r>
      <w:r>
        <w:t xml:space="preserve"> appointed a consultant (the Wolf Group) </w:t>
      </w:r>
      <w:r w:rsidR="00B90CD4">
        <w:t xml:space="preserve">in </w:t>
      </w:r>
      <w:r>
        <w:t xml:space="preserve">August 2019 to assist with the review. </w:t>
      </w:r>
    </w:p>
    <w:p w14:paraId="63A80CCB" w14:textId="77777777" w:rsidR="00681C17" w:rsidRDefault="00681C17" w:rsidP="00681C17">
      <w:pPr>
        <w:spacing w:after="0" w:line="240" w:lineRule="auto"/>
        <w:ind w:left="426" w:hanging="426"/>
      </w:pPr>
    </w:p>
    <w:p w14:paraId="286848B6" w14:textId="39043310" w:rsidR="004510AC" w:rsidRDefault="004510AC" w:rsidP="00965133">
      <w:pPr>
        <w:spacing w:after="0" w:line="240" w:lineRule="auto"/>
        <w:ind w:left="426" w:hanging="426"/>
      </w:pPr>
      <w:r>
        <w:t>7.</w:t>
      </w:r>
      <w:r w:rsidR="00681C17">
        <w:tab/>
      </w:r>
      <w:r>
        <w:t xml:space="preserve">After further responses were sought from Contracting Parties, ultimately 44 Parties responded to the survey. In addition, the survey was sent to members and experts of the Scientific and Technical Review Panel (STRP), International Organization Partners (IOPs) and partner organizations that had been invited to participate in the preparation of the fourth Strategic </w:t>
      </w:r>
      <w:r>
        <w:lastRenderedPageBreak/>
        <w:t xml:space="preserve">Plan. There were no responses from these groups. The consultant was able to conduct initial phone consultations with the Chair of the STRP, the lead authors of the Global Wetland Outlook and two of the six IOPs. </w:t>
      </w:r>
    </w:p>
    <w:p w14:paraId="17095BC1" w14:textId="77777777" w:rsidR="00681C17" w:rsidRDefault="00681C17" w:rsidP="00681C17">
      <w:pPr>
        <w:spacing w:after="0" w:line="240" w:lineRule="auto"/>
        <w:ind w:left="426" w:hanging="426"/>
      </w:pPr>
    </w:p>
    <w:p w14:paraId="586AE196" w14:textId="1A4B10E4" w:rsidR="004510AC" w:rsidRDefault="00681C17" w:rsidP="00965133">
      <w:pPr>
        <w:spacing w:after="0" w:line="240" w:lineRule="auto"/>
        <w:ind w:left="426" w:hanging="426"/>
      </w:pPr>
      <w:r>
        <w:t>8.</w:t>
      </w:r>
      <w:r>
        <w:tab/>
      </w:r>
      <w:r w:rsidR="004510AC">
        <w:t>The WG worked through email exchanges and held two teleconferences: 9 December 2019 and 16 March 2020. Th</w:t>
      </w:r>
      <w:r w:rsidR="00B90CD4">
        <w:t>e</w:t>
      </w:r>
      <w:r w:rsidR="004510AC">
        <w:t xml:space="preserve"> consultant </w:t>
      </w:r>
      <w:r w:rsidR="00B90CD4">
        <w:t xml:space="preserve">was instructed </w:t>
      </w:r>
      <w:r w:rsidR="004510AC">
        <w:t>to prepare a combined overview of the responses to the survey and the information submitted by the Contracting Parties in their National Reports to COP13, also taking account of the elements listed in paragraph 9 a) of Annex 1 of Resolution XIII.5.</w:t>
      </w:r>
      <w:r w:rsidR="009B63BE">
        <w:t xml:space="preserve"> </w:t>
      </w:r>
    </w:p>
    <w:p w14:paraId="5C9F2B8B" w14:textId="77777777" w:rsidR="00681C17" w:rsidRDefault="00681C17" w:rsidP="00681C17">
      <w:pPr>
        <w:spacing w:after="0" w:line="240" w:lineRule="auto"/>
        <w:ind w:left="426" w:hanging="426"/>
      </w:pPr>
    </w:p>
    <w:p w14:paraId="711163F1" w14:textId="111E4519" w:rsidR="004510AC" w:rsidRDefault="00681C17" w:rsidP="00965133">
      <w:pPr>
        <w:spacing w:after="0" w:line="240" w:lineRule="auto"/>
        <w:ind w:left="426" w:hanging="426"/>
      </w:pPr>
      <w:r>
        <w:t>9.</w:t>
      </w:r>
      <w:r>
        <w:tab/>
      </w:r>
      <w:r w:rsidR="004510AC">
        <w:t xml:space="preserve">The consultant prepared, with further guidance by the WG, a combined analytical overview using the 44 survey results and the National Reports submitted by Parties prior to COP13 to </w:t>
      </w:r>
      <w:r w:rsidR="00387D1B">
        <w:t>obtain</w:t>
      </w:r>
      <w:r w:rsidR="004510AC">
        <w:t xml:space="preserve"> a more granular understanding of </w:t>
      </w:r>
      <w:r w:rsidR="002C6ADF">
        <w:t xml:space="preserve">progress with </w:t>
      </w:r>
      <w:r w:rsidR="004510AC">
        <w:t xml:space="preserve">implementation </w:t>
      </w:r>
      <w:r w:rsidR="002C6ADF">
        <w:t xml:space="preserve">of </w:t>
      </w:r>
      <w:r w:rsidR="004510AC">
        <w:t xml:space="preserve">the Strategic Plan. This has </w:t>
      </w:r>
      <w:r w:rsidR="002C6ADF">
        <w:t xml:space="preserve">shown </w:t>
      </w:r>
      <w:r w:rsidR="004510AC">
        <w:t>whe</w:t>
      </w:r>
      <w:r w:rsidR="002C6ADF">
        <w:t xml:space="preserve">re </w:t>
      </w:r>
      <w:r w:rsidR="004510AC">
        <w:t>there are similarities in responses and issues between regions, levels of economic development, country capacities, etc. The consultant also reviewed and updat</w:t>
      </w:r>
      <w:r w:rsidR="002C3BEA">
        <w:t>ed</w:t>
      </w:r>
      <w:r w:rsidR="004510AC">
        <w:t xml:space="preserve"> his analysis of any gaps between the Strategic Plan and the </w:t>
      </w:r>
      <w:r w:rsidR="00387D1B">
        <w:t xml:space="preserve">2018 </w:t>
      </w:r>
      <w:r w:rsidR="004510AC">
        <w:t xml:space="preserve">Global Wetland Outlook, and relevant reports and assessments of the Intergovernmental Science-Policy Platform on Biodiversity and Ecosystem Services (IPBES). </w:t>
      </w:r>
    </w:p>
    <w:p w14:paraId="2BD9B14F" w14:textId="77777777" w:rsidR="00E954F8" w:rsidRDefault="00E954F8" w:rsidP="00E954F8">
      <w:pPr>
        <w:spacing w:after="0" w:line="240" w:lineRule="auto"/>
        <w:ind w:left="426" w:hanging="426"/>
      </w:pPr>
    </w:p>
    <w:p w14:paraId="51FB58DD" w14:textId="71BB6205" w:rsidR="004510AC" w:rsidRDefault="002B7490" w:rsidP="00965133">
      <w:pPr>
        <w:spacing w:after="0" w:line="240" w:lineRule="auto"/>
        <w:ind w:left="426" w:hanging="426"/>
      </w:pPr>
      <w:r>
        <w:t>10.</w:t>
      </w:r>
      <w:r>
        <w:tab/>
      </w:r>
      <w:r w:rsidR="004510AC">
        <w:t>Resolution XIII.5 also addresses the need to develop a new approach for advising and supporting CEPA in the Convention, inter alia to complement the work of the Strategic Plan Working Group (paragraph 26). The Convention’s CEPA Oversight Panel has published the results of a survey among Parties</w:t>
      </w:r>
      <w:r w:rsidR="00682A3D">
        <w:t xml:space="preserve"> and produced </w:t>
      </w:r>
      <w:r w:rsidR="004510AC">
        <w:t xml:space="preserve">recommendations </w:t>
      </w:r>
      <w:r w:rsidR="0052041E">
        <w:t>about</w:t>
      </w:r>
      <w:r w:rsidR="004510AC">
        <w:t xml:space="preserve"> a new approach </w:t>
      </w:r>
      <w:r w:rsidR="00682A3D">
        <w:t>for Standing Committee</w:t>
      </w:r>
      <w:r w:rsidR="002C6ADF">
        <w:t>.</w:t>
      </w:r>
      <w:r w:rsidR="00682A3D">
        <w:t xml:space="preserve"> </w:t>
      </w:r>
      <w:r w:rsidR="00682A3D" w:rsidRPr="00CF2C36">
        <w:t xml:space="preserve">The </w:t>
      </w:r>
      <w:r w:rsidR="004510AC" w:rsidRPr="00CF2C36">
        <w:t xml:space="preserve">Chair of the WG has liaised with the Chair of CEPA Oversight Panel </w:t>
      </w:r>
      <w:r w:rsidR="00682A3D" w:rsidRPr="00CF2C36">
        <w:t>about the</w:t>
      </w:r>
      <w:r w:rsidR="00A7336E" w:rsidRPr="00CF2C36">
        <w:t xml:space="preserve"> status of thei</w:t>
      </w:r>
      <w:r w:rsidR="00F729D9" w:rsidRPr="00CF2C36">
        <w:t>r wor</w:t>
      </w:r>
      <w:r w:rsidR="002C6ADF" w:rsidRPr="00CF2C36">
        <w:t>k</w:t>
      </w:r>
      <w:r w:rsidR="00232AE6" w:rsidRPr="00CF2C36">
        <w:t xml:space="preserve"> on the new approach</w:t>
      </w:r>
      <w:r w:rsidR="00DA7887" w:rsidRPr="00CF2C36">
        <w:t xml:space="preserve"> for CEPA</w:t>
      </w:r>
      <w:r w:rsidR="00141F0B">
        <w:t xml:space="preserve"> for the SP4 review.</w:t>
      </w:r>
      <w:r w:rsidR="002C6ADF" w:rsidRPr="00CF2C36">
        <w:t xml:space="preserve"> </w:t>
      </w:r>
    </w:p>
    <w:p w14:paraId="520EC617" w14:textId="77777777" w:rsidR="00E954F8" w:rsidRPr="00CF2C36" w:rsidRDefault="00E954F8" w:rsidP="00E954F8">
      <w:pPr>
        <w:spacing w:after="0" w:line="240" w:lineRule="auto"/>
        <w:ind w:left="426" w:hanging="426"/>
      </w:pPr>
    </w:p>
    <w:p w14:paraId="0CA40E4A" w14:textId="2BD8E2FB" w:rsidR="004510AC" w:rsidRDefault="00E954F8" w:rsidP="00965133">
      <w:pPr>
        <w:spacing w:after="0" w:line="240" w:lineRule="auto"/>
        <w:ind w:left="426" w:hanging="426"/>
      </w:pPr>
      <w:r>
        <w:t>11.</w:t>
      </w:r>
      <w:r>
        <w:tab/>
      </w:r>
      <w:r w:rsidR="004510AC">
        <w:t xml:space="preserve">Progress </w:t>
      </w:r>
      <w:r w:rsidR="00C26D66">
        <w:t xml:space="preserve">on the </w:t>
      </w:r>
      <w:r w:rsidR="00A7336E">
        <w:t xml:space="preserve">SP4 </w:t>
      </w:r>
      <w:r w:rsidR="00C26D66">
        <w:t xml:space="preserve">review during 2020 </w:t>
      </w:r>
      <w:r w:rsidR="004510AC">
        <w:t xml:space="preserve">has been significantly disrupted by COVID 19, </w:t>
      </w:r>
      <w:r w:rsidR="00C26D66">
        <w:t xml:space="preserve">with cancellation of SC58 and </w:t>
      </w:r>
      <w:r w:rsidR="004510AC">
        <w:t xml:space="preserve">the </w:t>
      </w:r>
      <w:r w:rsidR="00C26D66">
        <w:t xml:space="preserve">sad </w:t>
      </w:r>
      <w:r w:rsidR="004510AC">
        <w:t xml:space="preserve">passing of </w:t>
      </w:r>
      <w:r w:rsidR="00C26D66">
        <w:t xml:space="preserve">our WG </w:t>
      </w:r>
      <w:r w:rsidR="004510AC">
        <w:t>Chair, Paul Mafab</w:t>
      </w:r>
      <w:r w:rsidR="00F84817">
        <w:t>i</w:t>
      </w:r>
      <w:r w:rsidR="00150BA0">
        <w:t>.</w:t>
      </w:r>
      <w:r w:rsidR="00A7336E">
        <w:t xml:space="preserve"> </w:t>
      </w:r>
      <w:r w:rsidR="00150BA0">
        <w:t>In December 2020, Australia agreed to chair the Working Group on a transitional basi</w:t>
      </w:r>
      <w:r w:rsidR="00682A3D">
        <w:t>s</w:t>
      </w:r>
      <w:r w:rsidR="00150BA0">
        <w:t xml:space="preserve"> </w:t>
      </w:r>
      <w:r w:rsidR="0052041E">
        <w:t xml:space="preserve">to </w:t>
      </w:r>
      <w:r w:rsidR="00C26D66">
        <w:t xml:space="preserve">enable </w:t>
      </w:r>
      <w:r w:rsidR="0052041E">
        <w:t xml:space="preserve">the </w:t>
      </w:r>
      <w:r w:rsidR="002C6ADF">
        <w:t>WG</w:t>
      </w:r>
      <w:r w:rsidR="00C26D66">
        <w:t xml:space="preserve"> to finalise the </w:t>
      </w:r>
      <w:r w:rsidR="002C1F40">
        <w:t>review</w:t>
      </w:r>
      <w:r w:rsidR="0052041E">
        <w:t xml:space="preserve">. </w:t>
      </w:r>
      <w:r w:rsidR="00150BA0">
        <w:t xml:space="preserve">Virtual meetings have been held on </w:t>
      </w:r>
      <w:r w:rsidR="00F84817">
        <w:t xml:space="preserve">20 </w:t>
      </w:r>
      <w:r w:rsidR="00150BA0">
        <w:t>January</w:t>
      </w:r>
      <w:r w:rsidR="00141F0B">
        <w:t>,</w:t>
      </w:r>
      <w:r w:rsidR="00150BA0">
        <w:t xml:space="preserve"> 23 </w:t>
      </w:r>
      <w:r w:rsidR="00EC104A">
        <w:t>February,</w:t>
      </w:r>
      <w:r w:rsidR="00150BA0">
        <w:t xml:space="preserve"> </w:t>
      </w:r>
      <w:r w:rsidR="00141F0B">
        <w:t xml:space="preserve">and 21 April </w:t>
      </w:r>
      <w:r w:rsidR="00F84817">
        <w:t xml:space="preserve">2021 </w:t>
      </w:r>
      <w:r w:rsidR="0052041E">
        <w:t xml:space="preserve">to agree an approach to finalise the review </w:t>
      </w:r>
      <w:r w:rsidR="00EC3D6B">
        <w:t xml:space="preserve">tasks </w:t>
      </w:r>
      <w:r w:rsidR="0052041E">
        <w:t>and</w:t>
      </w:r>
      <w:r w:rsidR="00EC3D6B">
        <w:t xml:space="preserve"> make</w:t>
      </w:r>
      <w:r w:rsidR="0052041E">
        <w:t xml:space="preserve"> recommendations about </w:t>
      </w:r>
      <w:r w:rsidR="004510AC">
        <w:t xml:space="preserve">proposed refinements to SP4, and a proposed framework and key elements </w:t>
      </w:r>
      <w:r w:rsidR="00F729D9">
        <w:t xml:space="preserve">to develop </w:t>
      </w:r>
      <w:r w:rsidR="004510AC">
        <w:t>SP5</w:t>
      </w:r>
      <w:r w:rsidR="00F729D9">
        <w:t>.</w:t>
      </w:r>
      <w:r w:rsidR="004510AC">
        <w:t xml:space="preserve"> </w:t>
      </w:r>
    </w:p>
    <w:p w14:paraId="6985938D" w14:textId="77777777" w:rsidR="00E954F8" w:rsidRDefault="00E954F8" w:rsidP="00E954F8">
      <w:pPr>
        <w:spacing w:after="0" w:line="240" w:lineRule="auto"/>
        <w:ind w:left="426" w:hanging="426"/>
      </w:pPr>
    </w:p>
    <w:p w14:paraId="60713384" w14:textId="447A7D1C" w:rsidR="00EC3D6B" w:rsidRPr="00965133" w:rsidRDefault="00C26D66" w:rsidP="00965133">
      <w:pPr>
        <w:spacing w:after="0" w:line="240" w:lineRule="auto"/>
        <w:rPr>
          <w:b/>
        </w:rPr>
      </w:pPr>
      <w:r w:rsidRPr="00965133">
        <w:rPr>
          <w:b/>
        </w:rPr>
        <w:t>Review o</w:t>
      </w:r>
      <w:r w:rsidR="00EC3D6B" w:rsidRPr="00965133">
        <w:rPr>
          <w:b/>
        </w:rPr>
        <w:t>f SP4</w:t>
      </w:r>
      <w:r w:rsidR="00016D3B" w:rsidRPr="00965133">
        <w:rPr>
          <w:b/>
        </w:rPr>
        <w:t xml:space="preserve"> and </w:t>
      </w:r>
      <w:r w:rsidR="00232AE6" w:rsidRPr="00965133">
        <w:rPr>
          <w:b/>
        </w:rPr>
        <w:t xml:space="preserve">identification of Contracting Parties </w:t>
      </w:r>
      <w:r w:rsidR="00A7336E" w:rsidRPr="00965133">
        <w:rPr>
          <w:b/>
        </w:rPr>
        <w:t xml:space="preserve">challenges with </w:t>
      </w:r>
      <w:r w:rsidR="00016D3B" w:rsidRPr="00965133">
        <w:rPr>
          <w:b/>
        </w:rPr>
        <w:t xml:space="preserve">implementation </w:t>
      </w:r>
    </w:p>
    <w:p w14:paraId="2A1E82CD" w14:textId="77777777" w:rsidR="00E954F8" w:rsidRPr="00F729D9" w:rsidRDefault="00E954F8" w:rsidP="00E954F8">
      <w:pPr>
        <w:spacing w:after="0" w:line="240" w:lineRule="auto"/>
        <w:ind w:left="426" w:hanging="284"/>
      </w:pPr>
    </w:p>
    <w:p w14:paraId="3C4B1F9B" w14:textId="3A887334" w:rsidR="00016D3B" w:rsidRDefault="00E954F8" w:rsidP="00965133">
      <w:pPr>
        <w:spacing w:after="0" w:line="240" w:lineRule="auto"/>
        <w:ind w:left="426" w:hanging="426"/>
      </w:pPr>
      <w:r>
        <w:t>12.</w:t>
      </w:r>
      <w:r>
        <w:tab/>
      </w:r>
      <w:r w:rsidR="00A30461">
        <w:t>Th</w:t>
      </w:r>
      <w:r w:rsidR="00C26D66">
        <w:t xml:space="preserve">e </w:t>
      </w:r>
      <w:r w:rsidR="00A30461">
        <w:t>review is effectively a mid</w:t>
      </w:r>
      <w:r w:rsidR="00F91897">
        <w:t>-</w:t>
      </w:r>
      <w:r w:rsidR="00A30461">
        <w:t xml:space="preserve">term </w:t>
      </w:r>
      <w:r w:rsidR="00F729D9">
        <w:t xml:space="preserve">assessment </w:t>
      </w:r>
      <w:r w:rsidR="00DA7887">
        <w:t xml:space="preserve">tracking </w:t>
      </w:r>
      <w:r w:rsidR="00C26D66">
        <w:t xml:space="preserve">how Contracting </w:t>
      </w:r>
      <w:r w:rsidR="00A7336E">
        <w:t>P</w:t>
      </w:r>
      <w:r w:rsidR="00C26D66">
        <w:t xml:space="preserve">arties are </w:t>
      </w:r>
      <w:r w:rsidR="00DA7887">
        <w:t xml:space="preserve">progressing </w:t>
      </w:r>
      <w:r w:rsidR="00A7336E">
        <w:t xml:space="preserve">with </w:t>
      </w:r>
      <w:r w:rsidR="00F729D9">
        <w:t xml:space="preserve">implementation of </w:t>
      </w:r>
      <w:r w:rsidR="00B90CD4">
        <w:t>SP</w:t>
      </w:r>
      <w:r w:rsidR="00BA2AF7">
        <w:t>4</w:t>
      </w:r>
      <w:r w:rsidR="00B90CD4">
        <w:t xml:space="preserve">. </w:t>
      </w:r>
      <w:r w:rsidR="00C26D66">
        <w:t>Th</w:t>
      </w:r>
      <w:r w:rsidR="00A30461">
        <w:t xml:space="preserve">e analysis </w:t>
      </w:r>
      <w:r w:rsidR="00C26D66">
        <w:t>(described above)</w:t>
      </w:r>
      <w:r w:rsidR="00A7336E">
        <w:t xml:space="preserve"> has</w:t>
      </w:r>
      <w:r w:rsidR="00C26D66">
        <w:t xml:space="preserve"> enabled </w:t>
      </w:r>
      <w:r w:rsidR="000064CE" w:rsidRPr="00DE7BFA">
        <w:t xml:space="preserve">the </w:t>
      </w:r>
      <w:r w:rsidR="005C2C6E" w:rsidRPr="00DE7BFA">
        <w:t>SP</w:t>
      </w:r>
      <w:r w:rsidR="00DA7887" w:rsidRPr="00DE7BFA">
        <w:t xml:space="preserve">WG to </w:t>
      </w:r>
      <w:r w:rsidR="000064CE" w:rsidRPr="00DE7BFA">
        <w:t>identif</w:t>
      </w:r>
      <w:r w:rsidR="00DA7887" w:rsidRPr="00DE7BFA">
        <w:t>y</w:t>
      </w:r>
      <w:r w:rsidR="000064CE" w:rsidRPr="00DE7BFA">
        <w:t xml:space="preserve"> a number</w:t>
      </w:r>
      <w:r w:rsidR="00BA2AF7" w:rsidRPr="00DE7BFA">
        <w:t xml:space="preserve"> </w:t>
      </w:r>
      <w:r w:rsidR="000064CE" w:rsidRPr="00DE7BFA">
        <w:t xml:space="preserve">of targets </w:t>
      </w:r>
      <w:r w:rsidR="00232AE6" w:rsidRPr="00DE7BFA">
        <w:t xml:space="preserve">where </w:t>
      </w:r>
      <w:r w:rsidR="000064CE" w:rsidRPr="00DE7BFA">
        <w:t xml:space="preserve">Parties are </w:t>
      </w:r>
      <w:r w:rsidR="00A7336E" w:rsidRPr="00DE7BFA">
        <w:t>experiencing challenges w</w:t>
      </w:r>
      <w:r w:rsidR="00BA2AF7" w:rsidRPr="00DE7BFA">
        <w:t>ith implementation</w:t>
      </w:r>
      <w:r w:rsidR="000064CE" w:rsidRPr="00DE7BFA">
        <w:t xml:space="preserve">, </w:t>
      </w:r>
      <w:r w:rsidR="0097202E" w:rsidRPr="00DE7BFA">
        <w:t xml:space="preserve">namely: </w:t>
      </w:r>
    </w:p>
    <w:p w14:paraId="02FABF1E" w14:textId="77777777" w:rsidR="00E954F8" w:rsidRDefault="00E954F8" w:rsidP="00E954F8">
      <w:pPr>
        <w:spacing w:after="0" w:line="240" w:lineRule="auto"/>
        <w:ind w:left="426"/>
        <w:rPr>
          <w:rFonts w:ascii="Calibri" w:hAnsi="Calibri" w:cstheme="minorHAnsi"/>
          <w:b/>
          <w:bCs/>
        </w:rPr>
      </w:pPr>
    </w:p>
    <w:p w14:paraId="4B7CB916" w14:textId="6F8CADF7" w:rsidR="00796D4B" w:rsidRDefault="00796D4B" w:rsidP="00965133">
      <w:pPr>
        <w:spacing w:after="0" w:line="240" w:lineRule="auto"/>
        <w:ind w:left="426"/>
        <w:rPr>
          <w:rFonts w:ascii="Calibri" w:hAnsi="Calibri" w:cstheme="minorHAnsi"/>
        </w:rPr>
      </w:pPr>
      <w:r w:rsidRPr="00BA2AF7">
        <w:rPr>
          <w:rFonts w:ascii="Calibri" w:hAnsi="Calibri" w:cstheme="minorHAnsi"/>
          <w:b/>
          <w:bCs/>
        </w:rPr>
        <w:t>Goal 1</w:t>
      </w:r>
      <w:r>
        <w:rPr>
          <w:rFonts w:ascii="Calibri" w:hAnsi="Calibri" w:cstheme="minorHAnsi"/>
        </w:rPr>
        <w:tab/>
        <w:t>Target 3 – private sector</w:t>
      </w:r>
    </w:p>
    <w:p w14:paraId="38ADF0A9" w14:textId="77777777" w:rsidR="00796D4B" w:rsidRDefault="00796D4B" w:rsidP="00965133">
      <w:pPr>
        <w:spacing w:after="0" w:line="240" w:lineRule="auto"/>
        <w:ind w:left="426"/>
        <w:rPr>
          <w:rFonts w:ascii="Calibri" w:hAnsi="Calibri" w:cstheme="minorHAnsi"/>
        </w:rPr>
      </w:pPr>
      <w:r w:rsidRPr="00BA2AF7">
        <w:rPr>
          <w:rFonts w:ascii="Calibri" w:hAnsi="Calibri" w:cstheme="minorHAnsi"/>
          <w:b/>
          <w:bCs/>
        </w:rPr>
        <w:t>Goal 2</w:t>
      </w:r>
      <w:r>
        <w:rPr>
          <w:rFonts w:ascii="Calibri" w:hAnsi="Calibri" w:cstheme="minorHAnsi"/>
        </w:rPr>
        <w:tab/>
        <w:t xml:space="preserve">Target 5 – transboundary sites </w:t>
      </w:r>
    </w:p>
    <w:p w14:paraId="03F6536C" w14:textId="7E213819"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 xml:space="preserve">Target 5 – </w:t>
      </w:r>
      <w:r w:rsidR="0091346B">
        <w:rPr>
          <w:rFonts w:ascii="Calibri" w:hAnsi="Calibri" w:cstheme="minorHAnsi"/>
        </w:rPr>
        <w:t xml:space="preserve">Important Bird Area </w:t>
      </w:r>
      <w:r>
        <w:rPr>
          <w:rFonts w:ascii="Calibri" w:hAnsi="Calibri" w:cstheme="minorHAnsi"/>
        </w:rPr>
        <w:t>sites</w:t>
      </w:r>
      <w:r w:rsidR="00160863">
        <w:rPr>
          <w:rFonts w:ascii="Calibri" w:hAnsi="Calibri" w:cstheme="minorHAnsi"/>
        </w:rPr>
        <w:t xml:space="preserve"> (</w:t>
      </w:r>
      <w:r w:rsidR="0091346B">
        <w:rPr>
          <w:rFonts w:ascii="Calibri" w:hAnsi="Calibri" w:cstheme="minorHAnsi"/>
        </w:rPr>
        <w:t xml:space="preserve">now </w:t>
      </w:r>
      <w:r w:rsidR="00160863">
        <w:rPr>
          <w:rFonts w:ascii="Calibri" w:hAnsi="Calibri" w:cstheme="minorHAnsi"/>
        </w:rPr>
        <w:t>Key Biodiversity Areas)</w:t>
      </w:r>
      <w:r w:rsidR="009B63BE">
        <w:rPr>
          <w:rFonts w:ascii="Calibri" w:hAnsi="Calibri" w:cstheme="minorHAnsi"/>
        </w:rPr>
        <w:t xml:space="preserve"> </w:t>
      </w:r>
      <w:r w:rsidR="00160863">
        <w:rPr>
          <w:rFonts w:ascii="Calibri" w:hAnsi="Calibri" w:cstheme="minorHAnsi"/>
        </w:rPr>
        <w:t xml:space="preserve"> </w:t>
      </w:r>
    </w:p>
    <w:p w14:paraId="22D4DD4F" w14:textId="77777777" w:rsidR="00796D4B" w:rsidRDefault="00796D4B" w:rsidP="00965133">
      <w:pPr>
        <w:spacing w:after="0" w:line="240" w:lineRule="auto"/>
        <w:ind w:left="426"/>
        <w:rPr>
          <w:rFonts w:ascii="Calibri" w:hAnsi="Calibri" w:cstheme="minorHAnsi"/>
        </w:rPr>
      </w:pPr>
      <w:r w:rsidRPr="00BA2AF7">
        <w:rPr>
          <w:rFonts w:ascii="Calibri" w:hAnsi="Calibri" w:cstheme="minorHAnsi"/>
          <w:b/>
          <w:bCs/>
        </w:rPr>
        <w:t>Goal 3</w:t>
      </w:r>
      <w:r>
        <w:rPr>
          <w:rFonts w:ascii="Calibri" w:hAnsi="Calibri" w:cstheme="minorHAnsi"/>
        </w:rPr>
        <w:tab/>
        <w:t>Target 8 – national wetland inventories</w:t>
      </w:r>
    </w:p>
    <w:p w14:paraId="5B3AE335" w14:textId="5B721004"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Target 11 – poverty alleviation</w:t>
      </w:r>
    </w:p>
    <w:p w14:paraId="7D2B5B57" w14:textId="41DD49E3"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Target 11 – socio-economic benefits of wetlands</w:t>
      </w:r>
    </w:p>
    <w:p w14:paraId="035C18D0" w14:textId="61685A89"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Target 12 – prioritization of sites for restoration</w:t>
      </w:r>
    </w:p>
    <w:p w14:paraId="04E8BA47" w14:textId="77777777" w:rsidR="00796D4B" w:rsidRDefault="00796D4B" w:rsidP="00965133">
      <w:pPr>
        <w:spacing w:after="0" w:line="240" w:lineRule="auto"/>
        <w:ind w:left="426"/>
        <w:rPr>
          <w:rFonts w:ascii="Calibri" w:hAnsi="Calibri" w:cstheme="minorHAnsi"/>
        </w:rPr>
      </w:pPr>
      <w:r w:rsidRPr="00BA2AF7">
        <w:rPr>
          <w:rFonts w:ascii="Calibri" w:hAnsi="Calibri" w:cstheme="minorHAnsi"/>
          <w:b/>
          <w:bCs/>
        </w:rPr>
        <w:t>Goal 4</w:t>
      </w:r>
      <w:r w:rsidRPr="00BA2AF7">
        <w:rPr>
          <w:rFonts w:ascii="Calibri" w:hAnsi="Calibri" w:cstheme="minorHAnsi"/>
          <w:b/>
          <w:bCs/>
        </w:rPr>
        <w:tab/>
      </w:r>
      <w:r>
        <w:rPr>
          <w:rFonts w:ascii="Calibri" w:hAnsi="Calibri" w:cstheme="minorHAnsi"/>
        </w:rPr>
        <w:t>Target 16 – national CEPA plans</w:t>
      </w:r>
    </w:p>
    <w:p w14:paraId="6F3ED9AE" w14:textId="7B662823"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Target 16 – national Ramsar committees</w:t>
      </w:r>
    </w:p>
    <w:p w14:paraId="5931E8A3" w14:textId="191EB5E9" w:rsidR="00796D4B" w:rsidRDefault="00796D4B" w:rsidP="00965133">
      <w:pPr>
        <w:spacing w:after="0" w:line="240" w:lineRule="auto"/>
        <w:ind w:left="426"/>
        <w:rPr>
          <w:rFonts w:ascii="Calibri" w:hAnsi="Calibri" w:cstheme="minorHAnsi"/>
        </w:rPr>
      </w:pPr>
      <w:r>
        <w:rPr>
          <w:rFonts w:ascii="Calibri" w:hAnsi="Calibri" w:cstheme="minorHAnsi"/>
        </w:rPr>
        <w:tab/>
      </w:r>
      <w:r>
        <w:rPr>
          <w:rFonts w:ascii="Calibri" w:hAnsi="Calibri" w:cstheme="minorHAnsi"/>
        </w:rPr>
        <w:tab/>
        <w:t>Target 18 – securing assistance from GEF and other donors</w:t>
      </w:r>
    </w:p>
    <w:p w14:paraId="6967911F" w14:textId="77777777" w:rsidR="00E954F8" w:rsidRDefault="00E954F8" w:rsidP="00E954F8">
      <w:pPr>
        <w:spacing w:after="0" w:line="240" w:lineRule="auto"/>
        <w:ind w:left="426" w:hanging="426"/>
      </w:pPr>
    </w:p>
    <w:p w14:paraId="6C9EE84A" w14:textId="7FBF5534" w:rsidR="00016D3B" w:rsidRPr="00DE7BFA" w:rsidRDefault="00E661E4" w:rsidP="00965133">
      <w:pPr>
        <w:spacing w:after="0" w:line="240" w:lineRule="auto"/>
        <w:ind w:left="426" w:hanging="426"/>
      </w:pPr>
      <w:r w:rsidRPr="00DE7BFA">
        <w:lastRenderedPageBreak/>
        <w:t>13.</w:t>
      </w:r>
      <w:r w:rsidR="00E954F8">
        <w:tab/>
      </w:r>
      <w:r w:rsidR="00BA2AF7" w:rsidRPr="00DE7BFA">
        <w:t xml:space="preserve">For a number of these targets, </w:t>
      </w:r>
      <w:r w:rsidR="000064CE" w:rsidRPr="00DE7BFA">
        <w:t xml:space="preserve">there is existing </w:t>
      </w:r>
      <w:r w:rsidR="00C9469F" w:rsidRPr="00DE7BFA">
        <w:t xml:space="preserve">Ramsar </w:t>
      </w:r>
      <w:r w:rsidR="000064CE" w:rsidRPr="00DE7BFA">
        <w:t xml:space="preserve">guidance/tools that could </w:t>
      </w:r>
      <w:r w:rsidR="00C26D66" w:rsidRPr="00DE7BFA">
        <w:t xml:space="preserve">be used to </w:t>
      </w:r>
      <w:r w:rsidR="00BA2AF7" w:rsidRPr="00DE7BFA">
        <w:t xml:space="preserve">support </w:t>
      </w:r>
      <w:r w:rsidR="000064CE" w:rsidRPr="00DE7BFA">
        <w:t>implementation</w:t>
      </w:r>
      <w:r w:rsidR="00A7336E" w:rsidRPr="00DE7BFA">
        <w:t xml:space="preserve"> </w:t>
      </w:r>
      <w:r w:rsidR="00BA2AF7" w:rsidRPr="00DE7BFA">
        <w:t xml:space="preserve">and a number of modes </w:t>
      </w:r>
      <w:r w:rsidR="00C26D66" w:rsidRPr="00DE7BFA">
        <w:t>by which t</w:t>
      </w:r>
      <w:r w:rsidR="00BA2AF7" w:rsidRPr="00DE7BFA">
        <w:t>his support could be provided</w:t>
      </w:r>
      <w:r w:rsidR="00C9469F" w:rsidRPr="00DE7BFA">
        <w:t xml:space="preserve"> to Contracting Parties</w:t>
      </w:r>
      <w:r w:rsidR="00A7336E" w:rsidRPr="00DE7BFA">
        <w:t xml:space="preserve"> (for e.g. </w:t>
      </w:r>
      <w:r w:rsidR="000064CE" w:rsidRPr="00DE7BFA">
        <w:t xml:space="preserve">the Secretariat </w:t>
      </w:r>
      <w:r w:rsidR="00A7336E" w:rsidRPr="00DE7BFA">
        <w:t>could</w:t>
      </w:r>
      <w:r w:rsidR="000064CE" w:rsidRPr="00DE7BFA">
        <w:t xml:space="preserve"> re-publicize the availability of such tools, </w:t>
      </w:r>
      <w:r w:rsidR="00A7336E" w:rsidRPr="00DE7BFA">
        <w:t xml:space="preserve">and target </w:t>
      </w:r>
      <w:r w:rsidR="000064CE" w:rsidRPr="00DE7BFA">
        <w:t>thi</w:t>
      </w:r>
      <w:r w:rsidR="00A7336E" w:rsidRPr="00DE7BFA">
        <w:t>s</w:t>
      </w:r>
      <w:r w:rsidR="000064CE" w:rsidRPr="00DE7BFA">
        <w:t xml:space="preserve"> outreach to Parties that reported difficulties</w:t>
      </w:r>
      <w:r w:rsidR="00A7336E" w:rsidRPr="00DE7BFA">
        <w:t>)</w:t>
      </w:r>
      <w:r w:rsidR="009B63BE">
        <w:t>;</w:t>
      </w:r>
      <w:r w:rsidR="00141F0B" w:rsidRPr="00DE7BFA">
        <w:t xml:space="preserve"> s</w:t>
      </w:r>
      <w:r w:rsidR="00141F0B" w:rsidRPr="00965133">
        <w:t>ee Annex A</w:t>
      </w:r>
      <w:r w:rsidR="000064CE" w:rsidRPr="00DE7BFA">
        <w:t xml:space="preserve">. </w:t>
      </w:r>
      <w:r w:rsidR="00A7336E" w:rsidRPr="00DE7BFA">
        <w:t>W</w:t>
      </w:r>
      <w:r w:rsidR="00A7336E" w:rsidRPr="00965133">
        <w:t xml:space="preserve">ith the support of its consultant, the </w:t>
      </w:r>
      <w:r w:rsidR="00016D3B" w:rsidRPr="00965133">
        <w:t xml:space="preserve">WG </w:t>
      </w:r>
      <w:r w:rsidR="00A7336E" w:rsidRPr="00965133">
        <w:t xml:space="preserve">identified </w:t>
      </w:r>
      <w:r w:rsidR="00016D3B" w:rsidRPr="00965133">
        <w:t xml:space="preserve">against each </w:t>
      </w:r>
      <w:r w:rsidR="00A7336E" w:rsidRPr="00965133">
        <w:t>target/</w:t>
      </w:r>
      <w:r w:rsidR="00016D3B" w:rsidRPr="00965133">
        <w:t>indicator where the</w:t>
      </w:r>
      <w:r w:rsidR="00DA7887" w:rsidRPr="00965133">
        <w:t>re are existing</w:t>
      </w:r>
      <w:r w:rsidR="00016D3B" w:rsidRPr="00965133">
        <w:t xml:space="preserve"> tools: </w:t>
      </w:r>
    </w:p>
    <w:p w14:paraId="2742465C" w14:textId="6A349829" w:rsidR="00016D3B" w:rsidRDefault="00016D3B" w:rsidP="00965133">
      <w:pPr>
        <w:spacing w:after="0" w:line="240" w:lineRule="auto"/>
        <w:ind w:left="851" w:hanging="425"/>
        <w:rPr>
          <w:rFonts w:ascii="Calibri" w:hAnsi="Calibri" w:cstheme="minorHAnsi"/>
        </w:rPr>
      </w:pPr>
      <w:r w:rsidRPr="00E64488">
        <w:rPr>
          <w:rFonts w:ascii="Calibri" w:hAnsi="Calibri" w:cstheme="minorHAnsi"/>
          <w:i/>
        </w:rPr>
        <w:t>a)</w:t>
      </w:r>
      <w:r w:rsidR="00DE7BFA">
        <w:rPr>
          <w:rFonts w:ascii="Calibri" w:hAnsi="Calibri" w:cstheme="minorHAnsi"/>
        </w:rPr>
        <w:tab/>
      </w:r>
      <w:r>
        <w:rPr>
          <w:rFonts w:ascii="Calibri" w:hAnsi="Calibri" w:cstheme="minorHAnsi"/>
        </w:rPr>
        <w:t xml:space="preserve">a recent Resolution on the topic providing specific guidance, </w:t>
      </w:r>
    </w:p>
    <w:p w14:paraId="34920B6B" w14:textId="7EBE48DD" w:rsidR="00016D3B" w:rsidRDefault="00016D3B" w:rsidP="00965133">
      <w:pPr>
        <w:spacing w:after="0" w:line="240" w:lineRule="auto"/>
        <w:ind w:left="851" w:hanging="425"/>
        <w:rPr>
          <w:rFonts w:ascii="Calibri" w:hAnsi="Calibri" w:cstheme="minorHAnsi"/>
          <w:i/>
        </w:rPr>
      </w:pPr>
      <w:r w:rsidRPr="00E64488">
        <w:rPr>
          <w:rFonts w:ascii="Calibri" w:hAnsi="Calibri" w:cstheme="minorHAnsi"/>
          <w:i/>
        </w:rPr>
        <w:t>b)</w:t>
      </w:r>
      <w:r w:rsidR="00DE7BFA">
        <w:rPr>
          <w:rFonts w:ascii="Calibri" w:hAnsi="Calibri" w:cstheme="minorHAnsi"/>
        </w:rPr>
        <w:tab/>
      </w:r>
      <w:r>
        <w:rPr>
          <w:rFonts w:ascii="Calibri" w:hAnsi="Calibri" w:cstheme="minorHAnsi"/>
        </w:rPr>
        <w:t>recent STRP guidance</w:t>
      </w:r>
      <w:r w:rsidRPr="00E64488">
        <w:rPr>
          <w:rFonts w:ascii="Calibri" w:hAnsi="Calibri" w:cstheme="minorHAnsi"/>
          <w:i/>
        </w:rPr>
        <w:t xml:space="preserve">, </w:t>
      </w:r>
    </w:p>
    <w:p w14:paraId="61CCD319" w14:textId="64FE3CAC" w:rsidR="00016D3B" w:rsidRDefault="00016D3B" w:rsidP="00965133">
      <w:pPr>
        <w:spacing w:after="0" w:line="240" w:lineRule="auto"/>
        <w:ind w:left="851" w:hanging="425"/>
        <w:rPr>
          <w:rFonts w:ascii="Calibri" w:hAnsi="Calibri" w:cstheme="minorHAnsi"/>
        </w:rPr>
      </w:pPr>
      <w:r w:rsidRPr="00E64488">
        <w:rPr>
          <w:rFonts w:ascii="Calibri" w:hAnsi="Calibri" w:cstheme="minorHAnsi"/>
          <w:i/>
        </w:rPr>
        <w:t>c)</w:t>
      </w:r>
      <w:r w:rsidR="00DE7BFA">
        <w:rPr>
          <w:rFonts w:ascii="Calibri" w:hAnsi="Calibri" w:cstheme="minorHAnsi"/>
        </w:rPr>
        <w:tab/>
      </w:r>
      <w:r>
        <w:rPr>
          <w:rFonts w:ascii="Calibri" w:hAnsi="Calibri" w:cstheme="minorHAnsi"/>
        </w:rPr>
        <w:t xml:space="preserve">training/capacity building tools available from the Secretariat, or </w:t>
      </w:r>
    </w:p>
    <w:p w14:paraId="09CB4E03" w14:textId="086A6C07" w:rsidR="00016D3B" w:rsidRDefault="00016D3B" w:rsidP="00DE7BFA">
      <w:pPr>
        <w:spacing w:after="0" w:line="240" w:lineRule="auto"/>
        <w:ind w:left="851" w:hanging="425"/>
        <w:rPr>
          <w:rFonts w:ascii="Calibri" w:hAnsi="Calibri" w:cstheme="minorHAnsi"/>
        </w:rPr>
      </w:pPr>
      <w:r w:rsidRPr="00E64488">
        <w:rPr>
          <w:rFonts w:ascii="Calibri" w:hAnsi="Calibri" w:cstheme="minorHAnsi"/>
          <w:i/>
        </w:rPr>
        <w:t>d)</w:t>
      </w:r>
      <w:r w:rsidR="00DE7BFA">
        <w:rPr>
          <w:rFonts w:ascii="Calibri" w:hAnsi="Calibri" w:cstheme="minorHAnsi"/>
        </w:rPr>
        <w:tab/>
      </w:r>
      <w:r>
        <w:rPr>
          <w:rFonts w:ascii="Calibri" w:hAnsi="Calibri" w:cstheme="minorHAnsi"/>
        </w:rPr>
        <w:t xml:space="preserve">existing best practice guidance. </w:t>
      </w:r>
    </w:p>
    <w:p w14:paraId="64269EB3" w14:textId="77777777" w:rsidR="00DE7BFA" w:rsidRPr="00965133" w:rsidRDefault="00DE7BFA" w:rsidP="00965133">
      <w:pPr>
        <w:spacing w:after="0" w:line="240" w:lineRule="auto"/>
        <w:ind w:left="426" w:hanging="1"/>
      </w:pPr>
    </w:p>
    <w:p w14:paraId="5DC22B26" w14:textId="56A3C76E" w:rsidR="000064CE" w:rsidRDefault="000064CE" w:rsidP="00965133">
      <w:pPr>
        <w:spacing w:after="0" w:line="240" w:lineRule="auto"/>
        <w:ind w:left="426" w:hanging="1"/>
        <w:rPr>
          <w:rFonts w:cstheme="minorHAnsi"/>
        </w:rPr>
      </w:pPr>
      <w:r>
        <w:rPr>
          <w:rFonts w:cstheme="minorHAnsi"/>
        </w:rPr>
        <w:t xml:space="preserve">Where such guidance/tools do </w:t>
      </w:r>
      <w:r>
        <w:rPr>
          <w:rFonts w:cstheme="minorHAnsi"/>
          <w:i/>
        </w:rPr>
        <w:t>not</w:t>
      </w:r>
      <w:r>
        <w:rPr>
          <w:rFonts w:cstheme="minorHAnsi"/>
        </w:rPr>
        <w:t xml:space="preserve"> already exist, the WG </w:t>
      </w:r>
      <w:r w:rsidR="002C1F40">
        <w:rPr>
          <w:rFonts w:cstheme="minorHAnsi"/>
        </w:rPr>
        <w:t xml:space="preserve">has </w:t>
      </w:r>
      <w:r w:rsidR="00A7336E">
        <w:rPr>
          <w:rFonts w:cstheme="minorHAnsi"/>
        </w:rPr>
        <w:t xml:space="preserve">identified where guidance </w:t>
      </w:r>
      <w:r>
        <w:rPr>
          <w:rFonts w:cstheme="minorHAnsi"/>
        </w:rPr>
        <w:t>could be</w:t>
      </w:r>
      <w:r w:rsidR="00A7336E">
        <w:rPr>
          <w:rFonts w:cstheme="minorHAnsi"/>
        </w:rPr>
        <w:t xml:space="preserve"> progressed during </w:t>
      </w:r>
      <w:r>
        <w:rPr>
          <w:rFonts w:cstheme="minorHAnsi"/>
        </w:rPr>
        <w:t>the next triennium (between COP14 and COP15) for consideration as:</w:t>
      </w:r>
    </w:p>
    <w:p w14:paraId="7CFE3E46" w14:textId="77777777" w:rsidR="000064CE" w:rsidRDefault="000064CE" w:rsidP="00965133">
      <w:pPr>
        <w:spacing w:after="0" w:line="240" w:lineRule="auto"/>
        <w:ind w:left="851" w:hanging="425"/>
        <w:rPr>
          <w:rFonts w:cstheme="minorHAnsi"/>
        </w:rPr>
      </w:pPr>
      <w:r>
        <w:rPr>
          <w:rFonts w:cstheme="minorHAnsi"/>
          <w:i/>
        </w:rPr>
        <w:t xml:space="preserve">- </w:t>
      </w:r>
      <w:r>
        <w:rPr>
          <w:rFonts w:cstheme="minorHAnsi"/>
          <w:i/>
        </w:rPr>
        <w:tab/>
      </w:r>
      <w:r>
        <w:rPr>
          <w:rFonts w:cstheme="minorHAnsi"/>
        </w:rPr>
        <w:t xml:space="preserve">STRP priority tasks, </w:t>
      </w:r>
    </w:p>
    <w:p w14:paraId="40A7EBBB" w14:textId="77777777" w:rsidR="000064CE" w:rsidRDefault="000064CE" w:rsidP="00965133">
      <w:pPr>
        <w:spacing w:after="0" w:line="240" w:lineRule="auto"/>
        <w:ind w:left="851" w:hanging="425"/>
        <w:rPr>
          <w:rFonts w:cstheme="minorHAnsi"/>
        </w:rPr>
      </w:pPr>
      <w:r>
        <w:rPr>
          <w:rFonts w:cstheme="minorHAnsi"/>
          <w:i/>
        </w:rPr>
        <w:t xml:space="preserve">- </w:t>
      </w:r>
      <w:r>
        <w:rPr>
          <w:rFonts w:cstheme="minorHAnsi"/>
          <w:i/>
        </w:rPr>
        <w:tab/>
      </w:r>
      <w:r>
        <w:rPr>
          <w:rFonts w:cstheme="minorHAnsi"/>
        </w:rPr>
        <w:t xml:space="preserve">strategic priorities/urgent challenges designated to receive more attention by the Standing Committee (per Resolution XIII.4), or </w:t>
      </w:r>
    </w:p>
    <w:p w14:paraId="050B38C8" w14:textId="75BEFE57" w:rsidR="000064CE" w:rsidRDefault="000064CE" w:rsidP="00965133">
      <w:pPr>
        <w:spacing w:after="0" w:line="240" w:lineRule="auto"/>
        <w:ind w:left="851" w:hanging="425"/>
        <w:rPr>
          <w:rFonts w:cstheme="minorHAnsi"/>
        </w:rPr>
      </w:pPr>
      <w:r>
        <w:rPr>
          <w:rFonts w:cstheme="minorHAnsi"/>
          <w:i/>
        </w:rPr>
        <w:t xml:space="preserve">- </w:t>
      </w:r>
      <w:r>
        <w:rPr>
          <w:rFonts w:cstheme="minorHAnsi"/>
          <w:i/>
        </w:rPr>
        <w:tab/>
      </w:r>
      <w:r>
        <w:rPr>
          <w:rFonts w:cstheme="minorHAnsi"/>
        </w:rPr>
        <w:t>priority development of specific capacity building/training materials (e.g. webinars) or best practice information to be built into the Secretariat’s work plan.</w:t>
      </w:r>
      <w:r w:rsidR="009B63BE">
        <w:rPr>
          <w:rFonts w:cstheme="minorHAnsi"/>
        </w:rPr>
        <w:t xml:space="preserve"> </w:t>
      </w:r>
    </w:p>
    <w:p w14:paraId="0843EA90" w14:textId="77777777" w:rsidR="00E954F8" w:rsidRDefault="00E954F8" w:rsidP="00E954F8">
      <w:pPr>
        <w:spacing w:after="0" w:line="240" w:lineRule="auto"/>
        <w:ind w:left="426" w:hanging="284"/>
        <w:rPr>
          <w:rFonts w:ascii="Calibri" w:hAnsi="Calibri" w:cs="Calibri"/>
          <w:b/>
          <w:bCs/>
          <w:lang w:val="en-GB"/>
        </w:rPr>
      </w:pPr>
    </w:p>
    <w:p w14:paraId="3C73E86C" w14:textId="4419F07C" w:rsidR="00992516" w:rsidRPr="00965133" w:rsidRDefault="00992516" w:rsidP="00965133">
      <w:pPr>
        <w:spacing w:after="0" w:line="240" w:lineRule="auto"/>
        <w:rPr>
          <w:b/>
        </w:rPr>
      </w:pPr>
      <w:r w:rsidRPr="00965133">
        <w:rPr>
          <w:b/>
        </w:rPr>
        <w:t xml:space="preserve">Options for progressing </w:t>
      </w:r>
      <w:r w:rsidR="009B63BE">
        <w:rPr>
          <w:b/>
          <w:bCs/>
        </w:rPr>
        <w:t>g</w:t>
      </w:r>
      <w:r w:rsidRPr="00DE7BFA">
        <w:rPr>
          <w:b/>
          <w:bCs/>
        </w:rPr>
        <w:t>uidance</w:t>
      </w:r>
      <w:r w:rsidR="00141F0B" w:rsidRPr="00965133">
        <w:rPr>
          <w:b/>
        </w:rPr>
        <w:t xml:space="preserve"> </w:t>
      </w:r>
      <w:r w:rsidR="00160863" w:rsidRPr="00965133">
        <w:rPr>
          <w:b/>
        </w:rPr>
        <w:t xml:space="preserve">and tools </w:t>
      </w:r>
      <w:r w:rsidRPr="00965133">
        <w:rPr>
          <w:b/>
        </w:rPr>
        <w:t xml:space="preserve">in light of the postponement of </w:t>
      </w:r>
      <w:r w:rsidRPr="00DE7BFA">
        <w:rPr>
          <w:b/>
          <w:bCs/>
        </w:rPr>
        <w:t>C</w:t>
      </w:r>
      <w:r w:rsidR="009B63BE">
        <w:rPr>
          <w:b/>
          <w:bCs/>
        </w:rPr>
        <w:t>O</w:t>
      </w:r>
      <w:r w:rsidRPr="00DE7BFA">
        <w:rPr>
          <w:b/>
          <w:bCs/>
        </w:rPr>
        <w:t>P14</w:t>
      </w:r>
      <w:r w:rsidRPr="00965133">
        <w:rPr>
          <w:b/>
        </w:rPr>
        <w:t xml:space="preserve"> </w:t>
      </w:r>
    </w:p>
    <w:p w14:paraId="45D8A990" w14:textId="77777777" w:rsidR="00E954F8" w:rsidRDefault="00E954F8" w:rsidP="00E954F8">
      <w:pPr>
        <w:spacing w:after="0" w:line="240" w:lineRule="auto"/>
        <w:ind w:left="426" w:hanging="426"/>
      </w:pPr>
    </w:p>
    <w:p w14:paraId="2D09D785" w14:textId="4F86901C" w:rsidR="001C7586" w:rsidRPr="00BB243C" w:rsidRDefault="009D5FEC" w:rsidP="00965133">
      <w:pPr>
        <w:spacing w:after="0" w:line="240" w:lineRule="auto"/>
        <w:ind w:left="426" w:hanging="426"/>
      </w:pPr>
      <w:r w:rsidRPr="00965133">
        <w:t>14.</w:t>
      </w:r>
      <w:r w:rsidR="00E954F8">
        <w:tab/>
      </w:r>
      <w:r w:rsidR="00646E93" w:rsidRPr="00BB243C">
        <w:t>With the postponement of C</w:t>
      </w:r>
      <w:r w:rsidR="00387D1B">
        <w:t>O</w:t>
      </w:r>
      <w:r w:rsidR="00646E93" w:rsidRPr="00BB243C">
        <w:t>P</w:t>
      </w:r>
      <w:r w:rsidR="00387D1B">
        <w:t>14</w:t>
      </w:r>
      <w:r w:rsidR="00646E93" w:rsidRPr="00BB243C">
        <w:t xml:space="preserve">, the </w:t>
      </w:r>
      <w:r w:rsidR="002914FE">
        <w:t>SP</w:t>
      </w:r>
      <w:r w:rsidR="00646E93" w:rsidRPr="00BB243C">
        <w:t>WG</w:t>
      </w:r>
      <w:r w:rsidR="0069447A" w:rsidRPr="00BB243C">
        <w:t xml:space="preserve"> proposes</w:t>
      </w:r>
      <w:r w:rsidR="00646E93" w:rsidRPr="00BB243C">
        <w:t xml:space="preserve"> that</w:t>
      </w:r>
      <w:r w:rsidR="00CF2C36" w:rsidRPr="00BB243C">
        <w:t xml:space="preserve"> aspects of this </w:t>
      </w:r>
      <w:r w:rsidR="00646E93" w:rsidRPr="00BB243C">
        <w:t>work</w:t>
      </w:r>
      <w:r w:rsidR="0069447A" w:rsidRPr="00BB243C">
        <w:t xml:space="preserve"> that do not require new resources</w:t>
      </w:r>
      <w:r w:rsidR="00387D1B">
        <w:t xml:space="preserve"> (</w:t>
      </w:r>
      <w:r w:rsidR="004F136B" w:rsidRPr="00BB243C">
        <w:t>for</w:t>
      </w:r>
      <w:r w:rsidR="00646E93" w:rsidRPr="00BB243C">
        <w:t xml:space="preserve"> </w:t>
      </w:r>
      <w:r w:rsidR="004F136B" w:rsidRPr="00BB243C">
        <w:t xml:space="preserve">example </w:t>
      </w:r>
      <w:r w:rsidR="0069447A" w:rsidRPr="00BB243C">
        <w:t xml:space="preserve">communicating the availability of </w:t>
      </w:r>
      <w:r w:rsidR="004F136B" w:rsidRPr="00BB243C">
        <w:t xml:space="preserve">existing guidance </w:t>
      </w:r>
      <w:r w:rsidRPr="00BB243C">
        <w:t xml:space="preserve">to </w:t>
      </w:r>
      <w:r w:rsidR="004F136B" w:rsidRPr="00BB243C">
        <w:t>Contracting Parties</w:t>
      </w:r>
      <w:r w:rsidR="00387D1B">
        <w:t>)</w:t>
      </w:r>
      <w:r w:rsidRPr="00BB243C">
        <w:t xml:space="preserve">, </w:t>
      </w:r>
      <w:r w:rsidR="00646E93" w:rsidRPr="00BB243C">
        <w:t>could commence</w:t>
      </w:r>
      <w:r w:rsidR="00CF2C36" w:rsidRPr="00BB243C">
        <w:t xml:space="preserve"> </w:t>
      </w:r>
      <w:r w:rsidRPr="00BB243C">
        <w:t xml:space="preserve">in </w:t>
      </w:r>
      <w:r w:rsidR="001C7586" w:rsidRPr="00BB243C">
        <w:t>lead up to the COP</w:t>
      </w:r>
      <w:r w:rsidR="00141F0B" w:rsidRPr="00BB243C">
        <w:t xml:space="preserve"> subject to the Secretariat having capacity to undertake additional tasks</w:t>
      </w:r>
      <w:r w:rsidR="00160863" w:rsidRPr="00BB243C">
        <w:t xml:space="preserve"> </w:t>
      </w:r>
      <w:r w:rsidR="00387D1B">
        <w:t>dur</w:t>
      </w:r>
      <w:r w:rsidR="009B63BE">
        <w:t>ing</w:t>
      </w:r>
      <w:r w:rsidR="00160863" w:rsidRPr="00BB243C">
        <w:t xml:space="preserve"> this time</w:t>
      </w:r>
      <w:r w:rsidR="00CF2C36" w:rsidRPr="00BB243C">
        <w:t xml:space="preserve">. This </w:t>
      </w:r>
      <w:r w:rsidR="002914FE">
        <w:t xml:space="preserve">existing </w:t>
      </w:r>
      <w:r w:rsidR="00CF2C36" w:rsidRPr="00BB243C">
        <w:t>guidance has been identified in Annex</w:t>
      </w:r>
      <w:r w:rsidR="00CC13B9" w:rsidRPr="00BB243C">
        <w:t xml:space="preserve"> </w:t>
      </w:r>
      <w:r w:rsidR="001C7586" w:rsidRPr="00BB243C">
        <w:t>A</w:t>
      </w:r>
      <w:r w:rsidR="00BB243C">
        <w:t>,</w:t>
      </w:r>
      <w:r w:rsidR="00B661DE" w:rsidRPr="00BB243C">
        <w:t xml:space="preserve"> with this caveat around </w:t>
      </w:r>
      <w:r w:rsidR="0073353F" w:rsidRPr="00BB243C">
        <w:t xml:space="preserve">available </w:t>
      </w:r>
      <w:r w:rsidR="00BB243C">
        <w:t xml:space="preserve">Secretariat </w:t>
      </w:r>
      <w:r w:rsidR="00B661DE" w:rsidRPr="00BB243C">
        <w:t>capacity</w:t>
      </w:r>
      <w:r w:rsidR="007B3F4B" w:rsidRPr="00BB243C">
        <w:t xml:space="preserve">. </w:t>
      </w:r>
    </w:p>
    <w:p w14:paraId="53D772CD" w14:textId="77777777" w:rsidR="00E954F8" w:rsidRDefault="00E954F8" w:rsidP="00E954F8">
      <w:pPr>
        <w:spacing w:after="0" w:line="240" w:lineRule="auto"/>
        <w:ind w:left="426" w:hanging="426"/>
      </w:pPr>
    </w:p>
    <w:p w14:paraId="71228BFA" w14:textId="17ED34AC" w:rsidR="00E661E4" w:rsidRDefault="00E954F8" w:rsidP="00965133">
      <w:pPr>
        <w:spacing w:after="0" w:line="240" w:lineRule="auto"/>
        <w:ind w:left="426" w:hanging="426"/>
      </w:pPr>
      <w:r>
        <w:t>15.</w:t>
      </w:r>
      <w:r>
        <w:tab/>
      </w:r>
      <w:r w:rsidR="00837D4D" w:rsidRPr="00BB243C">
        <w:t>The development of</w:t>
      </w:r>
      <w:r w:rsidR="007B3F4B" w:rsidRPr="00BB243C">
        <w:t xml:space="preserve"> new</w:t>
      </w:r>
      <w:r w:rsidR="00837D4D" w:rsidRPr="00BB243C">
        <w:t xml:space="preserve"> guidance has implications for</w:t>
      </w:r>
      <w:r w:rsidR="00160863" w:rsidRPr="00BB243C">
        <w:t xml:space="preserve"> </w:t>
      </w:r>
      <w:r w:rsidR="00B661DE" w:rsidRPr="00BB243C">
        <w:t xml:space="preserve">both </w:t>
      </w:r>
      <w:r w:rsidR="00837D4D" w:rsidRPr="00BB243C">
        <w:t xml:space="preserve">the </w:t>
      </w:r>
      <w:r w:rsidR="00B661DE" w:rsidRPr="00BB243C">
        <w:t xml:space="preserve">Secretariat and </w:t>
      </w:r>
      <w:r w:rsidR="00837D4D" w:rsidRPr="00BB243C">
        <w:t xml:space="preserve">STRP’s </w:t>
      </w:r>
      <w:r w:rsidR="00E661E4" w:rsidRPr="00BB243C">
        <w:t>work plan in the next triennium</w:t>
      </w:r>
      <w:r w:rsidR="00BB243C">
        <w:t xml:space="preserve"> as well as </w:t>
      </w:r>
      <w:r w:rsidR="00E661E4" w:rsidRPr="00BB243C">
        <w:t>budgetary implications</w:t>
      </w:r>
      <w:r w:rsidR="00DA7887" w:rsidRPr="00BB243C">
        <w:t xml:space="preserve"> </w:t>
      </w:r>
      <w:r w:rsidR="00837D4D" w:rsidRPr="00BB243C">
        <w:t>where consultancies</w:t>
      </w:r>
      <w:r w:rsidR="002914FE">
        <w:t xml:space="preserve"> may be</w:t>
      </w:r>
      <w:r w:rsidR="009B63BE">
        <w:t xml:space="preserve"> </w:t>
      </w:r>
      <w:r w:rsidR="00837D4D" w:rsidRPr="00BB243C">
        <w:t xml:space="preserve">required to </w:t>
      </w:r>
      <w:r w:rsidR="00B661DE" w:rsidRPr="00BB243C">
        <w:t xml:space="preserve">help </w:t>
      </w:r>
      <w:r w:rsidR="00837D4D" w:rsidRPr="00BB243C">
        <w:t>develop guidance</w:t>
      </w:r>
      <w:r w:rsidR="009B63BE">
        <w:t>;</w:t>
      </w:r>
      <w:r w:rsidR="00837D4D" w:rsidRPr="00BB243C">
        <w:t xml:space="preserve"> </w:t>
      </w:r>
      <w:r w:rsidR="002914FE" w:rsidRPr="00DE7BFA">
        <w:rPr>
          <w:b/>
        </w:rPr>
        <w:t>s</w:t>
      </w:r>
      <w:r w:rsidR="00BB243C" w:rsidRPr="00DE7BFA">
        <w:rPr>
          <w:b/>
        </w:rPr>
        <w:t xml:space="preserve">ee </w:t>
      </w:r>
      <w:r w:rsidR="00B661DE" w:rsidRPr="00DE7BFA">
        <w:rPr>
          <w:b/>
        </w:rPr>
        <w:t>Annex A</w:t>
      </w:r>
      <w:r w:rsidR="00B661DE">
        <w:t>. Where a technical role and</w:t>
      </w:r>
      <w:r w:rsidR="00BB243C">
        <w:t>/or</w:t>
      </w:r>
      <w:r w:rsidR="00B661DE">
        <w:t xml:space="preserve"> development of guidance has been identified for the STRP, these projects would need to be </w:t>
      </w:r>
      <w:r w:rsidR="00B928CE">
        <w:t xml:space="preserve">considered and </w:t>
      </w:r>
      <w:r w:rsidR="00BB243C">
        <w:t>accepted a</w:t>
      </w:r>
      <w:r w:rsidR="00387D1B">
        <w:t>s</w:t>
      </w:r>
      <w:r w:rsidR="00BB243C">
        <w:t xml:space="preserve"> </w:t>
      </w:r>
      <w:r w:rsidR="00B661DE">
        <w:t>priority project</w:t>
      </w:r>
      <w:r w:rsidR="00BB243C">
        <w:t>s</w:t>
      </w:r>
      <w:r w:rsidR="00B661DE">
        <w:t xml:space="preserve"> in the STRP</w:t>
      </w:r>
      <w:r w:rsidR="00BB243C">
        <w:t>’s</w:t>
      </w:r>
      <w:r w:rsidR="00B661DE">
        <w:t xml:space="preserve"> Work Plan</w:t>
      </w:r>
      <w:r w:rsidR="00BB243C">
        <w:t xml:space="preserve"> for</w:t>
      </w:r>
      <w:r w:rsidR="006C0143">
        <w:t xml:space="preserve"> the next triennium</w:t>
      </w:r>
      <w:r w:rsidR="00B928CE">
        <w:t>, and approved by Standing Committee</w:t>
      </w:r>
      <w:r w:rsidR="00DF0B3E">
        <w:t>.</w:t>
      </w:r>
      <w:r w:rsidR="009B63BE">
        <w:t xml:space="preserve"> </w:t>
      </w:r>
      <w:r w:rsidR="006C0143">
        <w:t xml:space="preserve">New guidance requiring </w:t>
      </w:r>
      <w:r w:rsidR="00BB243C">
        <w:t xml:space="preserve">consultancy </w:t>
      </w:r>
      <w:r w:rsidR="006C0143">
        <w:t>funding</w:t>
      </w:r>
      <w:r w:rsidR="00BB243C">
        <w:t xml:space="preserve"> similarly </w:t>
      </w:r>
      <w:r w:rsidR="006C0143">
        <w:t>w</w:t>
      </w:r>
      <w:r w:rsidR="003B41D2">
        <w:t xml:space="preserve">ould need to </w:t>
      </w:r>
      <w:r w:rsidR="006C0143">
        <w:t xml:space="preserve">have a budget </w:t>
      </w:r>
      <w:r w:rsidR="003B41D2">
        <w:t>approved</w:t>
      </w:r>
      <w:r w:rsidR="006C0143">
        <w:t xml:space="preserve"> a</w:t>
      </w:r>
      <w:r w:rsidR="00BB243C">
        <w:t>s well</w:t>
      </w:r>
      <w:r w:rsidR="002914FE">
        <w:t xml:space="preserve"> as</w:t>
      </w:r>
      <w:r w:rsidR="00BB243C">
        <w:t xml:space="preserve"> </w:t>
      </w:r>
      <w:r w:rsidR="003B41D2">
        <w:t>identif</w:t>
      </w:r>
      <w:r w:rsidR="002914FE">
        <w:t>ying</w:t>
      </w:r>
      <w:r w:rsidR="003B41D2">
        <w:t xml:space="preserve"> </w:t>
      </w:r>
      <w:r w:rsidR="00BB243C">
        <w:t xml:space="preserve">the financial implications for the </w:t>
      </w:r>
      <w:r w:rsidR="006C0143">
        <w:t xml:space="preserve">Secretariat’s Work Plan </w:t>
      </w:r>
      <w:r w:rsidR="00BB243C">
        <w:t xml:space="preserve">over </w:t>
      </w:r>
      <w:r w:rsidR="006C0143">
        <w:t xml:space="preserve">the next triennium. This </w:t>
      </w:r>
      <w:r w:rsidR="00BB243C">
        <w:t xml:space="preserve">will be captured </w:t>
      </w:r>
      <w:r w:rsidR="007B3F4B" w:rsidRPr="00160863">
        <w:t xml:space="preserve">in </w:t>
      </w:r>
      <w:r w:rsidR="00BB243C">
        <w:t xml:space="preserve">the </w:t>
      </w:r>
      <w:r w:rsidR="00387D1B">
        <w:t xml:space="preserve">proposed </w:t>
      </w:r>
      <w:r w:rsidR="007B3F4B" w:rsidRPr="00B661DE">
        <w:t>Draft Resolution</w:t>
      </w:r>
      <w:r w:rsidR="00BB243C">
        <w:t xml:space="preserve"> for COP14</w:t>
      </w:r>
      <w:r w:rsidR="00B661DE">
        <w:t>.</w:t>
      </w:r>
      <w:r w:rsidR="009B63BE">
        <w:t xml:space="preserve"> </w:t>
      </w:r>
    </w:p>
    <w:p w14:paraId="42B68839" w14:textId="77777777" w:rsidR="00E954F8" w:rsidRDefault="00E954F8" w:rsidP="00E954F8">
      <w:pPr>
        <w:spacing w:after="0" w:line="240" w:lineRule="auto"/>
        <w:ind w:left="426" w:hanging="284"/>
        <w:rPr>
          <w:b/>
          <w:bCs/>
        </w:rPr>
      </w:pPr>
    </w:p>
    <w:p w14:paraId="331657E5" w14:textId="35D18A61" w:rsidR="0052041E" w:rsidRPr="00F729D9" w:rsidRDefault="0052041E" w:rsidP="00965133">
      <w:pPr>
        <w:spacing w:after="0" w:line="240" w:lineRule="auto"/>
        <w:rPr>
          <w:b/>
          <w:bCs/>
        </w:rPr>
      </w:pPr>
      <w:r w:rsidRPr="00F729D9">
        <w:rPr>
          <w:b/>
          <w:bCs/>
        </w:rPr>
        <w:t xml:space="preserve">Proposed refinements to Strategic Plan 4 (SP4) </w:t>
      </w:r>
      <w:r w:rsidR="00232AE6">
        <w:rPr>
          <w:b/>
          <w:bCs/>
        </w:rPr>
        <w:t xml:space="preserve">to support implementation to 2024 </w:t>
      </w:r>
    </w:p>
    <w:p w14:paraId="3CDC2CFC" w14:textId="63D48BC0" w:rsidR="00E954F8" w:rsidRDefault="00E954F8" w:rsidP="00E954F8">
      <w:pPr>
        <w:spacing w:after="0" w:line="240" w:lineRule="auto"/>
        <w:ind w:left="426" w:hanging="426"/>
      </w:pPr>
    </w:p>
    <w:p w14:paraId="536E016B" w14:textId="7964D6A4" w:rsidR="00646E93" w:rsidRPr="00965133" w:rsidRDefault="00440846" w:rsidP="00965133">
      <w:pPr>
        <w:spacing w:after="0" w:line="240" w:lineRule="auto"/>
        <w:ind w:left="426" w:hanging="426"/>
      </w:pPr>
      <w:r>
        <w:t>16</w:t>
      </w:r>
      <w:r w:rsidR="008C0F2D" w:rsidRPr="00DE7BFA">
        <w:t>.</w:t>
      </w:r>
      <w:r w:rsidR="00E954F8">
        <w:tab/>
      </w:r>
      <w:r w:rsidR="008C0F2D" w:rsidRPr="00965133">
        <w:t xml:space="preserve">The </w:t>
      </w:r>
      <w:r w:rsidR="003B41D2" w:rsidRPr="00965133">
        <w:t>SP</w:t>
      </w:r>
      <w:r w:rsidR="008C0F2D" w:rsidRPr="00965133">
        <w:t xml:space="preserve">WG recommends minimal refinement </w:t>
      </w:r>
      <w:r w:rsidR="00C43E57" w:rsidRPr="00965133">
        <w:t xml:space="preserve">of the </w:t>
      </w:r>
      <w:r w:rsidR="00A30461" w:rsidRPr="00965133">
        <w:t>Strategic Plan</w:t>
      </w:r>
      <w:r w:rsidR="006D60B8" w:rsidRPr="00965133">
        <w:t xml:space="preserve"> </w:t>
      </w:r>
      <w:r w:rsidR="00C07C71" w:rsidRPr="00965133">
        <w:t xml:space="preserve">itself </w:t>
      </w:r>
      <w:r w:rsidR="006D60B8" w:rsidRPr="00965133">
        <w:t>and</w:t>
      </w:r>
      <w:r w:rsidR="00CF2C36" w:rsidRPr="00965133">
        <w:t xml:space="preserve"> i</w:t>
      </w:r>
      <w:r w:rsidR="00646E93" w:rsidRPr="00965133">
        <w:t xml:space="preserve">s proposing </w:t>
      </w:r>
      <w:r w:rsidR="00C07C71" w:rsidRPr="00965133">
        <w:t xml:space="preserve">instead to append </w:t>
      </w:r>
      <w:r w:rsidR="00F9430E" w:rsidRPr="00965133">
        <w:t xml:space="preserve">a series of </w:t>
      </w:r>
      <w:r w:rsidR="00B201F6" w:rsidRPr="00965133">
        <w:t xml:space="preserve">thematic </w:t>
      </w:r>
      <w:r w:rsidR="00F9430E" w:rsidRPr="00965133">
        <w:t xml:space="preserve">Annexes </w:t>
      </w:r>
      <w:r w:rsidR="00487F9D" w:rsidRPr="00965133">
        <w:t xml:space="preserve">that address emerging </w:t>
      </w:r>
      <w:r w:rsidR="00683B64" w:rsidRPr="00965133">
        <w:t xml:space="preserve">and other </w:t>
      </w:r>
      <w:r w:rsidR="00487F9D" w:rsidRPr="00965133">
        <w:t xml:space="preserve">issues </w:t>
      </w:r>
      <w:r w:rsidR="00F9430E" w:rsidRPr="00965133">
        <w:t xml:space="preserve">to assist Contracting Parties </w:t>
      </w:r>
      <w:r w:rsidR="00CD5947" w:rsidRPr="00965133">
        <w:t xml:space="preserve">in fostering improved </w:t>
      </w:r>
      <w:r w:rsidR="00F9430E" w:rsidRPr="00965133">
        <w:t>implement</w:t>
      </w:r>
      <w:r w:rsidR="00CD5947" w:rsidRPr="00965133">
        <w:t>ation of</w:t>
      </w:r>
      <w:r w:rsidR="00F9430E" w:rsidRPr="00965133">
        <w:t xml:space="preserve"> </w:t>
      </w:r>
      <w:r w:rsidR="006D60B8" w:rsidRPr="00965133">
        <w:t xml:space="preserve">the plan </w:t>
      </w:r>
      <w:r w:rsidR="00B201F6" w:rsidRPr="00965133">
        <w:t>over the next triennium</w:t>
      </w:r>
      <w:r w:rsidR="00F9430E" w:rsidRPr="00965133">
        <w:t xml:space="preserve"> to 202</w:t>
      </w:r>
      <w:r w:rsidR="00B201F6" w:rsidRPr="00965133">
        <w:t>4</w:t>
      </w:r>
      <w:r w:rsidR="00487F9D" w:rsidRPr="00965133">
        <w:t xml:space="preserve">. These </w:t>
      </w:r>
      <w:r w:rsidR="00CD5947" w:rsidRPr="00965133">
        <w:t xml:space="preserve">annexes address </w:t>
      </w:r>
      <w:r w:rsidR="00487F9D" w:rsidRPr="00965133">
        <w:t xml:space="preserve">the </w:t>
      </w:r>
      <w:r w:rsidR="008C0F2D" w:rsidRPr="00965133">
        <w:t>S</w:t>
      </w:r>
      <w:r w:rsidR="006D60B8" w:rsidRPr="00965133">
        <w:t xml:space="preserve">ustainable </w:t>
      </w:r>
      <w:r w:rsidR="008C0F2D" w:rsidRPr="00965133">
        <w:t>D</w:t>
      </w:r>
      <w:r w:rsidR="006D60B8" w:rsidRPr="00965133">
        <w:t xml:space="preserve">evelopment </w:t>
      </w:r>
      <w:r w:rsidR="008C0F2D" w:rsidRPr="00965133">
        <w:t>G</w:t>
      </w:r>
      <w:r w:rsidR="006D60B8" w:rsidRPr="00965133">
        <w:t>oals</w:t>
      </w:r>
      <w:r w:rsidR="00487F9D" w:rsidRPr="00965133">
        <w:t xml:space="preserve"> and </w:t>
      </w:r>
      <w:r w:rsidR="006D60B8" w:rsidRPr="00965133">
        <w:t xml:space="preserve">the </w:t>
      </w:r>
      <w:r w:rsidR="008C0F2D" w:rsidRPr="00965133">
        <w:t>post-2020 Global Biodiversity Framework</w:t>
      </w:r>
      <w:r w:rsidR="00487F9D" w:rsidRPr="00965133">
        <w:t xml:space="preserve">, </w:t>
      </w:r>
      <w:r w:rsidR="0081474F" w:rsidRPr="00965133">
        <w:t>the n</w:t>
      </w:r>
      <w:r w:rsidR="00F87529" w:rsidRPr="00965133">
        <w:t xml:space="preserve">ew approach </w:t>
      </w:r>
      <w:r w:rsidR="006D60B8" w:rsidRPr="00965133">
        <w:t xml:space="preserve">to CEPA </w:t>
      </w:r>
      <w:r w:rsidR="008C0F2D" w:rsidRPr="00965133">
        <w:t>and</w:t>
      </w:r>
      <w:r w:rsidR="00487F9D" w:rsidRPr="00965133">
        <w:t>,</w:t>
      </w:r>
      <w:r w:rsidR="008C0F2D" w:rsidRPr="00965133">
        <w:t xml:space="preserve"> </w:t>
      </w:r>
      <w:r w:rsidR="0081474F" w:rsidRPr="00965133">
        <w:t>responding to</w:t>
      </w:r>
      <w:r w:rsidR="006D60B8" w:rsidRPr="00965133">
        <w:t xml:space="preserve"> </w:t>
      </w:r>
      <w:r w:rsidR="008C0F2D" w:rsidRPr="00965133">
        <w:t xml:space="preserve">gender issues. </w:t>
      </w:r>
    </w:p>
    <w:p w14:paraId="29C83565" w14:textId="6C023CA3" w:rsidR="00E954F8" w:rsidRDefault="00E954F8" w:rsidP="00E954F8">
      <w:pPr>
        <w:spacing w:after="0" w:line="240" w:lineRule="auto"/>
        <w:ind w:left="426" w:hanging="426"/>
      </w:pPr>
    </w:p>
    <w:p w14:paraId="389A6313" w14:textId="61D9FCD3" w:rsidR="008C0F2D" w:rsidRPr="00965133" w:rsidRDefault="00440846" w:rsidP="00965133">
      <w:pPr>
        <w:spacing w:after="0" w:line="240" w:lineRule="auto"/>
        <w:ind w:left="426" w:hanging="426"/>
      </w:pPr>
      <w:r>
        <w:t>17</w:t>
      </w:r>
      <w:r w:rsidR="00E954F8">
        <w:t>.</w:t>
      </w:r>
      <w:r w:rsidR="00E954F8">
        <w:tab/>
      </w:r>
      <w:r w:rsidR="006D60B8" w:rsidRPr="00965133">
        <w:t xml:space="preserve">A brief overview of the proposed </w:t>
      </w:r>
      <w:r w:rsidR="00E661E4" w:rsidRPr="00965133">
        <w:t xml:space="preserve">Annexes </w:t>
      </w:r>
      <w:r w:rsidR="00B201F6" w:rsidRPr="00965133">
        <w:t>follows</w:t>
      </w:r>
      <w:r w:rsidR="006D60B8" w:rsidRPr="00965133">
        <w:t xml:space="preserve">, and </w:t>
      </w:r>
      <w:r w:rsidR="00487F9D" w:rsidRPr="00965133">
        <w:t xml:space="preserve">a </w:t>
      </w:r>
      <w:r w:rsidR="006D60B8" w:rsidRPr="00965133">
        <w:t>draft</w:t>
      </w:r>
      <w:r w:rsidR="00E661E4" w:rsidRPr="00965133">
        <w:t xml:space="preserve"> </w:t>
      </w:r>
      <w:r w:rsidR="006D60B8" w:rsidRPr="00965133">
        <w:t>Annex</w:t>
      </w:r>
      <w:r w:rsidR="00E661E4" w:rsidRPr="00965133">
        <w:t xml:space="preserve"> </w:t>
      </w:r>
      <w:r w:rsidR="00487F9D" w:rsidRPr="00965133">
        <w:t xml:space="preserve">for each </w:t>
      </w:r>
      <w:r w:rsidR="00E661E4" w:rsidRPr="00965133">
        <w:t xml:space="preserve">is </w:t>
      </w:r>
      <w:r w:rsidR="006D60B8" w:rsidRPr="00965133">
        <w:t>attached to this paper (See Annex</w:t>
      </w:r>
      <w:r w:rsidR="00E661E4" w:rsidRPr="00965133">
        <w:t xml:space="preserve"> B</w:t>
      </w:r>
      <w:r w:rsidR="006D60B8" w:rsidRPr="00965133">
        <w:t>-</w:t>
      </w:r>
      <w:r w:rsidR="00E661E4" w:rsidRPr="00965133">
        <w:t>E</w:t>
      </w:r>
      <w:r w:rsidR="006D60B8" w:rsidRPr="00965133">
        <w:t xml:space="preserve">) </w:t>
      </w:r>
    </w:p>
    <w:p w14:paraId="6E8EC8F8" w14:textId="2CDD1BAC" w:rsidR="00682A3D" w:rsidRPr="00F00A39" w:rsidRDefault="00682A3D" w:rsidP="00965133">
      <w:pPr>
        <w:pStyle w:val="ListParagraph"/>
        <w:numPr>
          <w:ilvl w:val="0"/>
          <w:numId w:val="4"/>
        </w:numPr>
        <w:spacing w:after="0" w:line="240" w:lineRule="auto"/>
        <w:ind w:left="993" w:hanging="284"/>
        <w:rPr>
          <w:rFonts w:ascii="Calibri" w:hAnsi="Calibri" w:cs="Calibri"/>
          <w:lang w:val="en-GB"/>
        </w:rPr>
      </w:pPr>
      <w:r w:rsidRPr="00F00A39">
        <w:rPr>
          <w:rFonts w:ascii="Calibri" w:hAnsi="Calibri" w:cs="Calibri"/>
          <w:lang w:val="en-GB"/>
        </w:rPr>
        <w:t>S</w:t>
      </w:r>
      <w:r w:rsidR="00387D1B">
        <w:rPr>
          <w:rFonts w:ascii="Calibri" w:hAnsi="Calibri" w:cs="Calibri"/>
          <w:lang w:val="en-GB"/>
        </w:rPr>
        <w:t xml:space="preserve">ustainable </w:t>
      </w:r>
      <w:r w:rsidRPr="00F00A39">
        <w:rPr>
          <w:rFonts w:ascii="Calibri" w:hAnsi="Calibri" w:cs="Calibri"/>
          <w:lang w:val="en-GB"/>
        </w:rPr>
        <w:t>D</w:t>
      </w:r>
      <w:r w:rsidR="00387D1B">
        <w:rPr>
          <w:rFonts w:ascii="Calibri" w:hAnsi="Calibri" w:cs="Calibri"/>
          <w:lang w:val="en-GB"/>
        </w:rPr>
        <w:t xml:space="preserve">evelopment </w:t>
      </w:r>
      <w:r w:rsidRPr="00F00A39">
        <w:rPr>
          <w:rFonts w:ascii="Calibri" w:hAnsi="Calibri" w:cs="Calibri"/>
          <w:lang w:val="en-GB"/>
        </w:rPr>
        <w:t>G</w:t>
      </w:r>
      <w:r w:rsidR="00387D1B">
        <w:rPr>
          <w:rFonts w:ascii="Calibri" w:hAnsi="Calibri" w:cs="Calibri"/>
          <w:lang w:val="en-GB"/>
        </w:rPr>
        <w:t>oals (SDGs)</w:t>
      </w:r>
      <w:r w:rsidRPr="00F00A39">
        <w:rPr>
          <w:rFonts w:ascii="Calibri" w:hAnsi="Calibri" w:cs="Calibri"/>
          <w:lang w:val="en-GB"/>
        </w:rPr>
        <w:t>:</w:t>
      </w:r>
      <w:r w:rsidR="00132989" w:rsidRPr="00F00A39">
        <w:rPr>
          <w:rFonts w:ascii="Calibri" w:hAnsi="Calibri" w:cs="Calibri"/>
          <w:lang w:val="en-GB"/>
        </w:rPr>
        <w:t xml:space="preserve"> </w:t>
      </w:r>
      <w:r w:rsidR="006D60B8">
        <w:rPr>
          <w:rFonts w:ascii="Calibri" w:hAnsi="Calibri" w:cs="Calibri"/>
          <w:lang w:val="en-GB"/>
        </w:rPr>
        <w:t>T</w:t>
      </w:r>
      <w:r w:rsidRPr="00F00A39">
        <w:rPr>
          <w:rFonts w:ascii="Calibri" w:hAnsi="Calibri" w:cs="Calibri"/>
          <w:lang w:val="en-GB"/>
        </w:rPr>
        <w:t>h</w:t>
      </w:r>
      <w:r w:rsidR="00132989" w:rsidRPr="00F00A39">
        <w:rPr>
          <w:rFonts w:ascii="Calibri" w:hAnsi="Calibri" w:cs="Calibri"/>
          <w:lang w:val="en-GB"/>
        </w:rPr>
        <w:t xml:space="preserve">is Annex will </w:t>
      </w:r>
      <w:r w:rsidR="00F87529" w:rsidRPr="00F00A39">
        <w:rPr>
          <w:rFonts w:ascii="Calibri" w:hAnsi="Calibri" w:cs="Calibri"/>
          <w:lang w:val="en-GB"/>
        </w:rPr>
        <w:t xml:space="preserve">show </w:t>
      </w:r>
      <w:r w:rsidR="00232AE6">
        <w:rPr>
          <w:rFonts w:ascii="Calibri" w:hAnsi="Calibri" w:cs="Calibri"/>
          <w:lang w:val="en-GB"/>
        </w:rPr>
        <w:t xml:space="preserve">Parties </w:t>
      </w:r>
      <w:r w:rsidR="00F87529" w:rsidRPr="00F00A39">
        <w:rPr>
          <w:rFonts w:ascii="Calibri" w:hAnsi="Calibri" w:cs="Calibri"/>
          <w:lang w:val="en-GB"/>
        </w:rPr>
        <w:t>how to link and leverage</w:t>
      </w:r>
      <w:r w:rsidR="00487F9D">
        <w:rPr>
          <w:rFonts w:ascii="Calibri" w:hAnsi="Calibri" w:cs="Calibri"/>
          <w:lang w:val="en-GB"/>
        </w:rPr>
        <w:t xml:space="preserve"> relevant </w:t>
      </w:r>
      <w:r w:rsidR="00F87529" w:rsidRPr="00F00A39">
        <w:rPr>
          <w:rFonts w:ascii="Calibri" w:hAnsi="Calibri" w:cs="Calibri"/>
          <w:lang w:val="en-GB"/>
        </w:rPr>
        <w:t xml:space="preserve">SDG’s </w:t>
      </w:r>
      <w:r w:rsidR="002C1F40">
        <w:rPr>
          <w:rFonts w:ascii="Calibri" w:hAnsi="Calibri" w:cs="Calibri"/>
          <w:lang w:val="en-GB"/>
        </w:rPr>
        <w:t>to help improve implementation of the Convention</w:t>
      </w:r>
      <w:r w:rsidR="00E661E4">
        <w:rPr>
          <w:rFonts w:ascii="Calibri" w:hAnsi="Calibri" w:cs="Calibri"/>
          <w:lang w:val="en-GB"/>
        </w:rPr>
        <w:t>.</w:t>
      </w:r>
      <w:r w:rsidR="009B63BE">
        <w:rPr>
          <w:rFonts w:ascii="Calibri" w:hAnsi="Calibri" w:cs="Calibri"/>
          <w:lang w:val="en-GB"/>
        </w:rPr>
        <w:t xml:space="preserve"> </w:t>
      </w:r>
    </w:p>
    <w:p w14:paraId="76C0D2D1" w14:textId="68019DAF" w:rsidR="00682A3D" w:rsidRPr="00F00A39" w:rsidRDefault="00682A3D" w:rsidP="00965133">
      <w:pPr>
        <w:pStyle w:val="ListParagraph"/>
        <w:numPr>
          <w:ilvl w:val="0"/>
          <w:numId w:val="4"/>
        </w:numPr>
        <w:spacing w:after="0" w:line="240" w:lineRule="auto"/>
        <w:ind w:left="993" w:hanging="284"/>
        <w:rPr>
          <w:rFonts w:ascii="Calibri" w:hAnsi="Calibri" w:cs="Calibri"/>
          <w:lang w:val="en-GB"/>
        </w:rPr>
      </w:pPr>
      <w:r w:rsidRPr="00F00A39">
        <w:rPr>
          <w:rFonts w:ascii="Calibri" w:hAnsi="Calibri" w:cs="Calibri"/>
          <w:lang w:val="en-GB"/>
        </w:rPr>
        <w:t xml:space="preserve">CEPA: The CEPA Oversight Panel is working in parallel </w:t>
      </w:r>
      <w:r w:rsidR="006D60B8">
        <w:rPr>
          <w:rFonts w:ascii="Calibri" w:hAnsi="Calibri" w:cs="Calibri"/>
          <w:lang w:val="en-GB"/>
        </w:rPr>
        <w:t xml:space="preserve">to SPWG </w:t>
      </w:r>
      <w:r w:rsidRPr="00F00A39">
        <w:rPr>
          <w:rFonts w:ascii="Calibri" w:hAnsi="Calibri" w:cs="Calibri"/>
          <w:lang w:val="en-GB"/>
        </w:rPr>
        <w:t xml:space="preserve">on a new approach to CEPA to be </w:t>
      </w:r>
      <w:r w:rsidR="002C1F40">
        <w:rPr>
          <w:rFonts w:ascii="Calibri" w:hAnsi="Calibri" w:cs="Calibri"/>
          <w:lang w:val="en-GB"/>
        </w:rPr>
        <w:t xml:space="preserve">agreed at </w:t>
      </w:r>
      <w:r w:rsidRPr="00F00A39">
        <w:rPr>
          <w:rFonts w:ascii="Calibri" w:hAnsi="Calibri" w:cs="Calibri"/>
          <w:lang w:val="en-GB"/>
        </w:rPr>
        <w:t>COP14</w:t>
      </w:r>
      <w:r w:rsidR="00753F52">
        <w:rPr>
          <w:rFonts w:ascii="Calibri" w:hAnsi="Calibri" w:cs="Calibri"/>
          <w:lang w:val="en-GB"/>
        </w:rPr>
        <w:t xml:space="preserve">. </w:t>
      </w:r>
      <w:bookmarkStart w:id="0" w:name="_Hlk64889928"/>
      <w:r w:rsidR="00753F52">
        <w:rPr>
          <w:rFonts w:ascii="Calibri" w:hAnsi="Calibri" w:cs="Calibri"/>
          <w:lang w:val="en-GB"/>
        </w:rPr>
        <w:t>Th</w:t>
      </w:r>
      <w:r w:rsidR="00132989" w:rsidRPr="00F00A39">
        <w:rPr>
          <w:rFonts w:ascii="Calibri" w:hAnsi="Calibri" w:cs="Calibri"/>
          <w:lang w:val="en-GB"/>
        </w:rPr>
        <w:t xml:space="preserve">is Annex </w:t>
      </w:r>
      <w:r w:rsidRPr="00F00A39">
        <w:rPr>
          <w:rFonts w:ascii="Calibri" w:hAnsi="Calibri" w:cs="Calibri"/>
          <w:lang w:val="en-GB"/>
        </w:rPr>
        <w:t xml:space="preserve">will help interested Parties </w:t>
      </w:r>
      <w:r w:rsidR="00753F52">
        <w:rPr>
          <w:rFonts w:ascii="Calibri" w:hAnsi="Calibri" w:cs="Calibri"/>
          <w:lang w:val="en-GB"/>
        </w:rPr>
        <w:t>identify ways th</w:t>
      </w:r>
      <w:r w:rsidR="00C43E57">
        <w:rPr>
          <w:rFonts w:ascii="Calibri" w:hAnsi="Calibri" w:cs="Calibri"/>
          <w:lang w:val="en-GB"/>
        </w:rPr>
        <w:t>a</w:t>
      </w:r>
      <w:r w:rsidR="00753F52">
        <w:rPr>
          <w:rFonts w:ascii="Calibri" w:hAnsi="Calibri" w:cs="Calibri"/>
          <w:lang w:val="en-GB"/>
        </w:rPr>
        <w:t xml:space="preserve">t </w:t>
      </w:r>
      <w:r w:rsidR="00C43E57">
        <w:rPr>
          <w:rFonts w:ascii="Calibri" w:hAnsi="Calibri" w:cs="Calibri"/>
          <w:lang w:val="en-GB"/>
        </w:rPr>
        <w:t xml:space="preserve">they </w:t>
      </w:r>
      <w:r w:rsidR="00753F52">
        <w:rPr>
          <w:rFonts w:ascii="Calibri" w:hAnsi="Calibri" w:cs="Calibri"/>
          <w:lang w:val="en-GB"/>
        </w:rPr>
        <w:t>can</w:t>
      </w:r>
      <w:r w:rsidR="00753F52">
        <w:rPr>
          <w:noProof/>
        </w:rPr>
        <w:t xml:space="preserve"> implement this new approach </w:t>
      </w:r>
      <w:r w:rsidR="002C1F40">
        <w:rPr>
          <w:noProof/>
        </w:rPr>
        <w:t>in adopt</w:t>
      </w:r>
      <w:r w:rsidR="00753F52">
        <w:rPr>
          <w:noProof/>
        </w:rPr>
        <w:t>ion of policies and practices</w:t>
      </w:r>
      <w:r w:rsidR="002C1F40">
        <w:rPr>
          <w:noProof/>
        </w:rPr>
        <w:t xml:space="preserve"> in the next triennium</w:t>
      </w:r>
      <w:r w:rsidR="00C43E57">
        <w:rPr>
          <w:noProof/>
        </w:rPr>
        <w:t>.</w:t>
      </w:r>
      <w:r w:rsidR="00753F52">
        <w:rPr>
          <w:noProof/>
        </w:rPr>
        <w:t xml:space="preserve"> </w:t>
      </w:r>
      <w:bookmarkEnd w:id="0"/>
    </w:p>
    <w:p w14:paraId="1CBF32E2" w14:textId="2F1C2A67" w:rsidR="006D60B8" w:rsidRPr="00F00A39" w:rsidRDefault="00387D1B" w:rsidP="00965133">
      <w:pPr>
        <w:pStyle w:val="ListParagraph"/>
        <w:numPr>
          <w:ilvl w:val="0"/>
          <w:numId w:val="4"/>
        </w:numPr>
        <w:spacing w:after="0" w:line="240" w:lineRule="auto"/>
        <w:ind w:left="993" w:hanging="284"/>
        <w:rPr>
          <w:rFonts w:ascii="Calibri" w:hAnsi="Calibri" w:cs="Calibri"/>
          <w:lang w:val="en-GB"/>
        </w:rPr>
      </w:pPr>
      <w:r>
        <w:rPr>
          <w:rFonts w:ascii="Calibri" w:hAnsi="Calibri" w:cs="Calibri"/>
          <w:lang w:val="en-GB"/>
        </w:rPr>
        <w:lastRenderedPageBreak/>
        <w:t>Global Biodiversity Framework (</w:t>
      </w:r>
      <w:r w:rsidR="00682A3D" w:rsidRPr="00F00A39">
        <w:rPr>
          <w:rFonts w:ascii="Calibri" w:hAnsi="Calibri" w:cs="Calibri"/>
          <w:lang w:val="en-GB"/>
        </w:rPr>
        <w:t>GBF</w:t>
      </w:r>
      <w:r>
        <w:rPr>
          <w:rFonts w:ascii="Calibri" w:hAnsi="Calibri" w:cs="Calibri"/>
          <w:lang w:val="en-GB"/>
        </w:rPr>
        <w:t>)</w:t>
      </w:r>
      <w:r w:rsidR="00682A3D" w:rsidRPr="00F00A39">
        <w:rPr>
          <w:rFonts w:ascii="Calibri" w:hAnsi="Calibri" w:cs="Calibri"/>
          <w:lang w:val="en-GB"/>
        </w:rPr>
        <w:t xml:space="preserve">: </w:t>
      </w:r>
      <w:r w:rsidR="002C1F40">
        <w:rPr>
          <w:rFonts w:ascii="Calibri" w:hAnsi="Calibri" w:cs="Calibri"/>
          <w:lang w:val="en-GB"/>
        </w:rPr>
        <w:t>T</w:t>
      </w:r>
      <w:r w:rsidR="00132989" w:rsidRPr="00F00A39">
        <w:rPr>
          <w:rFonts w:ascii="Calibri" w:hAnsi="Calibri" w:cs="Calibri"/>
          <w:lang w:val="en-GB"/>
        </w:rPr>
        <w:t xml:space="preserve">his Annex </w:t>
      </w:r>
      <w:r w:rsidR="00682A3D" w:rsidRPr="00F00A39">
        <w:rPr>
          <w:rFonts w:ascii="Calibri" w:hAnsi="Calibri" w:cs="Calibri"/>
          <w:lang w:val="en-GB"/>
        </w:rPr>
        <w:t>will</w:t>
      </w:r>
      <w:r w:rsidR="006D60B8">
        <w:rPr>
          <w:rFonts w:ascii="Calibri" w:hAnsi="Calibri" w:cs="Calibri"/>
          <w:lang w:val="en-GB"/>
        </w:rPr>
        <w:t xml:space="preserve"> </w:t>
      </w:r>
      <w:r w:rsidR="00682A3D" w:rsidRPr="00F00A39">
        <w:rPr>
          <w:rFonts w:ascii="Calibri" w:hAnsi="Calibri" w:cs="Calibri"/>
          <w:lang w:val="en-GB"/>
        </w:rPr>
        <w:t>map</w:t>
      </w:r>
      <w:r w:rsidR="002C1F40">
        <w:rPr>
          <w:rFonts w:ascii="Calibri" w:hAnsi="Calibri" w:cs="Calibri"/>
          <w:lang w:val="en-GB"/>
        </w:rPr>
        <w:t xml:space="preserve"> the </w:t>
      </w:r>
      <w:r w:rsidR="006D60B8">
        <w:rPr>
          <w:rFonts w:ascii="Calibri" w:hAnsi="Calibri" w:cs="Calibri"/>
          <w:lang w:val="en-GB"/>
        </w:rPr>
        <w:t>Ramsar Goals and Targets</w:t>
      </w:r>
      <w:r w:rsidR="002C1F40">
        <w:rPr>
          <w:rFonts w:ascii="Calibri" w:hAnsi="Calibri" w:cs="Calibri"/>
          <w:lang w:val="en-GB"/>
        </w:rPr>
        <w:t xml:space="preserve"> with the post 2020</w:t>
      </w:r>
      <w:r w:rsidR="002C1F40" w:rsidRPr="00F00A39">
        <w:rPr>
          <w:rFonts w:ascii="Calibri" w:hAnsi="Calibri" w:cs="Calibri"/>
          <w:lang w:val="en-GB"/>
        </w:rPr>
        <w:t xml:space="preserve"> </w:t>
      </w:r>
      <w:r w:rsidR="002C1F40">
        <w:rPr>
          <w:rFonts w:ascii="Calibri" w:hAnsi="Calibri" w:cs="Calibri"/>
          <w:lang w:val="en-GB"/>
        </w:rPr>
        <w:t>Goals and Indicators w</w:t>
      </w:r>
      <w:r w:rsidR="00682A3D" w:rsidRPr="00F00A39">
        <w:rPr>
          <w:rFonts w:ascii="Calibri" w:hAnsi="Calibri" w:cs="Calibri"/>
          <w:lang w:val="en-GB"/>
        </w:rPr>
        <w:t>hen</w:t>
      </w:r>
      <w:r w:rsidR="00C43E57">
        <w:rPr>
          <w:rFonts w:ascii="Calibri" w:hAnsi="Calibri" w:cs="Calibri"/>
          <w:lang w:val="en-GB"/>
        </w:rPr>
        <w:t xml:space="preserve"> available</w:t>
      </w:r>
      <w:r w:rsidR="00682A3D" w:rsidRPr="00F00A39">
        <w:rPr>
          <w:rFonts w:ascii="Calibri" w:hAnsi="Calibri" w:cs="Calibri"/>
          <w:lang w:val="en-GB"/>
        </w:rPr>
        <w:t xml:space="preserve">, </w:t>
      </w:r>
      <w:r w:rsidR="006D60B8" w:rsidRPr="00F00A39">
        <w:rPr>
          <w:rFonts w:ascii="Calibri" w:hAnsi="Calibri" w:cs="Calibri"/>
          <w:lang w:val="en-GB"/>
        </w:rPr>
        <w:t>replac</w:t>
      </w:r>
      <w:r w:rsidR="006D60B8">
        <w:rPr>
          <w:rFonts w:ascii="Calibri" w:hAnsi="Calibri" w:cs="Calibri"/>
          <w:lang w:val="en-GB"/>
        </w:rPr>
        <w:t>ing</w:t>
      </w:r>
      <w:r w:rsidR="006D60B8" w:rsidRPr="00F00A39">
        <w:rPr>
          <w:rFonts w:ascii="Calibri" w:hAnsi="Calibri" w:cs="Calibri"/>
          <w:lang w:val="en-GB"/>
        </w:rPr>
        <w:t xml:space="preserve"> current Annex 2</w:t>
      </w:r>
      <w:r w:rsidR="00232AE6">
        <w:rPr>
          <w:rFonts w:ascii="Calibri" w:hAnsi="Calibri" w:cs="Calibri"/>
          <w:lang w:val="en-GB"/>
        </w:rPr>
        <w:t>.</w:t>
      </w:r>
      <w:r w:rsidR="006D60B8">
        <w:rPr>
          <w:rFonts w:ascii="Calibri" w:hAnsi="Calibri" w:cs="Calibri"/>
          <w:lang w:val="en-GB"/>
        </w:rPr>
        <w:t xml:space="preserve"> </w:t>
      </w:r>
    </w:p>
    <w:p w14:paraId="19A7170F" w14:textId="244E210D" w:rsidR="00F368F8" w:rsidRDefault="00682A3D" w:rsidP="00965133">
      <w:pPr>
        <w:pStyle w:val="ListParagraph"/>
        <w:numPr>
          <w:ilvl w:val="0"/>
          <w:numId w:val="4"/>
        </w:numPr>
        <w:spacing w:after="0" w:line="240" w:lineRule="auto"/>
        <w:ind w:left="993" w:hanging="284"/>
      </w:pPr>
      <w:r w:rsidRPr="00F00A39">
        <w:rPr>
          <w:rFonts w:ascii="Calibri" w:hAnsi="Calibri" w:cs="Calibri"/>
          <w:lang w:val="en-GB"/>
        </w:rPr>
        <w:t xml:space="preserve">Gender: </w:t>
      </w:r>
      <w:r w:rsidR="002C1F40">
        <w:rPr>
          <w:rFonts w:ascii="Calibri" w:hAnsi="Calibri" w:cs="Calibri"/>
          <w:lang w:val="en-GB"/>
        </w:rPr>
        <w:t>T</w:t>
      </w:r>
      <w:r w:rsidR="00C43E57">
        <w:rPr>
          <w:rFonts w:ascii="Calibri" w:hAnsi="Calibri" w:cs="Calibri"/>
          <w:lang w:val="en-GB"/>
        </w:rPr>
        <w:t>h</w:t>
      </w:r>
      <w:r w:rsidR="00C43E57" w:rsidRPr="00F00A39">
        <w:rPr>
          <w:rFonts w:ascii="Calibri" w:hAnsi="Calibri" w:cs="Calibri"/>
          <w:lang w:val="en-GB"/>
        </w:rPr>
        <w:t xml:space="preserve">is Annex will help Parties </w:t>
      </w:r>
      <w:r w:rsidR="00C43E57">
        <w:rPr>
          <w:rFonts w:ascii="Calibri" w:hAnsi="Calibri" w:cs="Calibri"/>
          <w:lang w:val="en-GB"/>
        </w:rPr>
        <w:t>identify ways that they can</w:t>
      </w:r>
      <w:r w:rsidR="006D60B8">
        <w:rPr>
          <w:rFonts w:ascii="Calibri" w:hAnsi="Calibri" w:cs="Calibri"/>
          <w:lang w:val="en-GB"/>
        </w:rPr>
        <w:t xml:space="preserve"> ensure wetland </w:t>
      </w:r>
      <w:r w:rsidR="006D60B8">
        <w:rPr>
          <w:noProof/>
        </w:rPr>
        <w:t>policies and practices are gender-responsive</w:t>
      </w:r>
      <w:r w:rsidR="002C1F40">
        <w:rPr>
          <w:noProof/>
        </w:rPr>
        <w:t xml:space="preserve"> consistent with </w:t>
      </w:r>
      <w:r w:rsidR="00E661E4">
        <w:rPr>
          <w:noProof/>
        </w:rPr>
        <w:t>Resolution X</w:t>
      </w:r>
      <w:r w:rsidR="002C3BEA">
        <w:rPr>
          <w:noProof/>
        </w:rPr>
        <w:t>III</w:t>
      </w:r>
      <w:r w:rsidR="00E661E4">
        <w:rPr>
          <w:noProof/>
        </w:rPr>
        <w:t>.18.</w:t>
      </w:r>
    </w:p>
    <w:p w14:paraId="3E13540B" w14:textId="397B6309" w:rsidR="00E954F8" w:rsidRDefault="00E954F8" w:rsidP="00440846">
      <w:pPr>
        <w:spacing w:after="0" w:line="240" w:lineRule="auto"/>
        <w:ind w:left="426" w:hanging="426"/>
      </w:pPr>
    </w:p>
    <w:p w14:paraId="64A610F6" w14:textId="21C065FA" w:rsidR="0069447A" w:rsidRPr="00965133" w:rsidRDefault="00440846" w:rsidP="00965133">
      <w:pPr>
        <w:spacing w:after="0" w:line="240" w:lineRule="auto"/>
        <w:ind w:left="426" w:hanging="426"/>
      </w:pPr>
      <w:r>
        <w:t>18</w:t>
      </w:r>
      <w:r w:rsidR="00E954F8">
        <w:t>.</w:t>
      </w:r>
      <w:r w:rsidR="00E954F8">
        <w:tab/>
      </w:r>
      <w:r w:rsidR="00CF2C36" w:rsidRPr="00965133">
        <w:t>With postponement of the COP</w:t>
      </w:r>
      <w:r w:rsidR="007B3F4B" w:rsidRPr="00965133">
        <w:t>14</w:t>
      </w:r>
      <w:r w:rsidR="0069447A" w:rsidRPr="00965133">
        <w:t>,</w:t>
      </w:r>
      <w:r w:rsidR="009B63BE" w:rsidRPr="00965133">
        <w:t xml:space="preserve"> </w:t>
      </w:r>
      <w:r w:rsidR="00646E93" w:rsidRPr="00965133">
        <w:t>it will not be possible to amend SP</w:t>
      </w:r>
      <w:r w:rsidR="00E33784" w:rsidRPr="00965133">
        <w:t>4</w:t>
      </w:r>
      <w:r w:rsidR="00646E93" w:rsidRPr="00965133">
        <w:t xml:space="preserve"> in the short term but the </w:t>
      </w:r>
      <w:r w:rsidR="00A356AF" w:rsidRPr="00965133">
        <w:t>currently</w:t>
      </w:r>
      <w:r w:rsidR="00DF0B3E" w:rsidRPr="00965133">
        <w:t>-</w:t>
      </w:r>
      <w:r w:rsidR="00A356AF" w:rsidRPr="00965133">
        <w:t xml:space="preserve">available </w:t>
      </w:r>
      <w:r w:rsidR="0069447A" w:rsidRPr="00965133">
        <w:t xml:space="preserve">proposed </w:t>
      </w:r>
      <w:r w:rsidR="00646E93" w:rsidRPr="00965133">
        <w:t>Annexes could</w:t>
      </w:r>
      <w:r w:rsidR="00E33784" w:rsidRPr="00965133">
        <w:t xml:space="preserve"> be used </w:t>
      </w:r>
      <w:r w:rsidR="00B26A0C" w:rsidRPr="00965133">
        <w:t>by</w:t>
      </w:r>
      <w:r w:rsidR="00E33784" w:rsidRPr="00965133">
        <w:t xml:space="preserve"> </w:t>
      </w:r>
      <w:r w:rsidR="007B3F4B" w:rsidRPr="00965133">
        <w:t>Contr</w:t>
      </w:r>
      <w:r w:rsidR="0069447A" w:rsidRPr="00965133">
        <w:t>a</w:t>
      </w:r>
      <w:r w:rsidR="007B3F4B" w:rsidRPr="00965133">
        <w:t xml:space="preserve">cting Parties </w:t>
      </w:r>
      <w:r w:rsidR="00B26A0C" w:rsidRPr="00965133">
        <w:t xml:space="preserve">to support </w:t>
      </w:r>
      <w:r w:rsidR="0069447A" w:rsidRPr="00965133">
        <w:t xml:space="preserve">implementation of SP4 </w:t>
      </w:r>
      <w:r w:rsidR="007B3F4B" w:rsidRPr="00965133">
        <w:t>over the next year</w:t>
      </w:r>
      <w:r w:rsidR="0069447A" w:rsidRPr="00965133">
        <w:t xml:space="preserve"> </w:t>
      </w:r>
      <w:r w:rsidR="007B3F4B" w:rsidRPr="00965133">
        <w:t>a</w:t>
      </w:r>
      <w:r w:rsidR="0069447A" w:rsidRPr="00965133">
        <w:t xml:space="preserve">s well as </w:t>
      </w:r>
      <w:r w:rsidR="003B41D2" w:rsidRPr="00965133">
        <w:t xml:space="preserve">being used to </w:t>
      </w:r>
      <w:r w:rsidR="00E33784" w:rsidRPr="00965133">
        <w:t xml:space="preserve">inform the process </w:t>
      </w:r>
      <w:r w:rsidR="003B41D2" w:rsidRPr="00965133">
        <w:t xml:space="preserve">for </w:t>
      </w:r>
      <w:r w:rsidR="00160863" w:rsidRPr="00965133">
        <w:t>SP5</w:t>
      </w:r>
      <w:r w:rsidR="003B41D2" w:rsidRPr="00965133">
        <w:t xml:space="preserve"> (see para 17 below)</w:t>
      </w:r>
      <w:r w:rsidR="00646E93" w:rsidRPr="00965133">
        <w:t>.</w:t>
      </w:r>
      <w:r w:rsidR="009B63BE" w:rsidRPr="00965133">
        <w:t xml:space="preserve"> </w:t>
      </w:r>
    </w:p>
    <w:p w14:paraId="1C05892D" w14:textId="77777777" w:rsidR="00E954F8" w:rsidRDefault="00E954F8" w:rsidP="00E954F8">
      <w:pPr>
        <w:spacing w:after="0" w:line="240" w:lineRule="auto"/>
        <w:rPr>
          <w:rFonts w:cstheme="minorHAnsi"/>
          <w:b/>
          <w:bCs/>
        </w:rPr>
      </w:pPr>
    </w:p>
    <w:p w14:paraId="309CCE5C" w14:textId="7C63CEE8" w:rsidR="00F368F8" w:rsidRPr="00DE7BFA" w:rsidRDefault="00F368F8" w:rsidP="00965133">
      <w:pPr>
        <w:spacing w:after="0" w:line="240" w:lineRule="auto"/>
        <w:rPr>
          <w:b/>
          <w:bCs/>
        </w:rPr>
      </w:pPr>
      <w:r w:rsidRPr="00DE7BFA">
        <w:rPr>
          <w:b/>
          <w:bCs/>
        </w:rPr>
        <w:t>Proposed process for preparation of SP5</w:t>
      </w:r>
      <w:r w:rsidR="00921DC2" w:rsidRPr="00DE7BFA">
        <w:rPr>
          <w:b/>
          <w:bCs/>
        </w:rPr>
        <w:t>,</w:t>
      </w:r>
      <w:r w:rsidRPr="00DE7BFA">
        <w:rPr>
          <w:b/>
          <w:bCs/>
        </w:rPr>
        <w:t xml:space="preserve"> matters for inclusion</w:t>
      </w:r>
      <w:r w:rsidR="00921DC2" w:rsidRPr="00DE7BFA">
        <w:rPr>
          <w:b/>
          <w:bCs/>
        </w:rPr>
        <w:t xml:space="preserve"> and governance </w:t>
      </w:r>
    </w:p>
    <w:p w14:paraId="2642D77E" w14:textId="77777777" w:rsidR="00E954F8" w:rsidRDefault="00E954F8" w:rsidP="007279BF">
      <w:pPr>
        <w:pStyle w:val="CommentText"/>
        <w:rPr>
          <w:rFonts w:cstheme="minorHAnsi"/>
          <w:sz w:val="22"/>
          <w:szCs w:val="22"/>
          <w:u w:val="single"/>
          <w:lang w:val="en-GB"/>
        </w:rPr>
      </w:pPr>
    </w:p>
    <w:p w14:paraId="56B258E1" w14:textId="6D14DEF7" w:rsidR="004E186D" w:rsidRPr="004E186D" w:rsidRDefault="00BB243C" w:rsidP="007279BF">
      <w:pPr>
        <w:pStyle w:val="CommentText"/>
        <w:rPr>
          <w:rFonts w:cstheme="minorHAnsi"/>
          <w:sz w:val="22"/>
          <w:szCs w:val="22"/>
          <w:u w:val="single"/>
          <w:lang w:val="en-GB"/>
        </w:rPr>
      </w:pPr>
      <w:r>
        <w:rPr>
          <w:rFonts w:cstheme="minorHAnsi"/>
          <w:sz w:val="22"/>
          <w:szCs w:val="22"/>
          <w:u w:val="single"/>
          <w:lang w:val="en-GB"/>
        </w:rPr>
        <w:t xml:space="preserve">Core </w:t>
      </w:r>
      <w:r w:rsidR="00CD5721">
        <w:rPr>
          <w:rFonts w:cstheme="minorHAnsi"/>
          <w:sz w:val="22"/>
          <w:szCs w:val="22"/>
          <w:u w:val="single"/>
          <w:lang w:val="en-GB"/>
        </w:rPr>
        <w:t>E</w:t>
      </w:r>
      <w:r w:rsidR="004E186D" w:rsidRPr="004E186D">
        <w:rPr>
          <w:rFonts w:cstheme="minorHAnsi"/>
          <w:sz w:val="22"/>
          <w:szCs w:val="22"/>
          <w:u w:val="single"/>
          <w:lang w:val="en-GB"/>
        </w:rPr>
        <w:t>lements for SP5</w:t>
      </w:r>
      <w:r w:rsidR="009B63BE">
        <w:rPr>
          <w:rFonts w:cstheme="minorHAnsi"/>
          <w:sz w:val="22"/>
          <w:szCs w:val="22"/>
          <w:u w:val="single"/>
          <w:lang w:val="en-GB"/>
        </w:rPr>
        <w:t xml:space="preserve"> </w:t>
      </w:r>
    </w:p>
    <w:p w14:paraId="6BD969DD" w14:textId="77777777" w:rsidR="004E186D" w:rsidRDefault="004E186D" w:rsidP="007279BF">
      <w:pPr>
        <w:pStyle w:val="CommentText"/>
        <w:ind w:left="426" w:hanging="284"/>
        <w:rPr>
          <w:rFonts w:cstheme="minorHAnsi"/>
          <w:sz w:val="22"/>
          <w:szCs w:val="22"/>
          <w:lang w:val="en-GB"/>
        </w:rPr>
      </w:pPr>
    </w:p>
    <w:p w14:paraId="0A20C7F6" w14:textId="75268EB7" w:rsidR="00CD5721" w:rsidRDefault="00965133" w:rsidP="00965133">
      <w:pPr>
        <w:spacing w:after="0" w:line="240" w:lineRule="auto"/>
        <w:ind w:left="426" w:hanging="426"/>
      </w:pPr>
      <w:r>
        <w:t>19</w:t>
      </w:r>
      <w:r w:rsidR="00E954F8" w:rsidRPr="00965133">
        <w:t>.</w:t>
      </w:r>
      <w:r w:rsidR="00E954F8">
        <w:tab/>
      </w:r>
      <w:r w:rsidR="00E661E4" w:rsidRPr="00965133">
        <w:t xml:space="preserve">The </w:t>
      </w:r>
      <w:r w:rsidR="003B41D2" w:rsidRPr="00965133">
        <w:t>SP</w:t>
      </w:r>
      <w:r w:rsidR="00CD5721" w:rsidRPr="00965133">
        <w:t xml:space="preserve">WG proposes that core </w:t>
      </w:r>
      <w:r w:rsidR="00B201F6" w:rsidRPr="00965133">
        <w:t>e</w:t>
      </w:r>
      <w:r w:rsidR="001C497C" w:rsidRPr="00965133">
        <w:t xml:space="preserve">lements </w:t>
      </w:r>
      <w:r w:rsidR="00B201F6" w:rsidRPr="00965133">
        <w:t xml:space="preserve">of </w:t>
      </w:r>
      <w:r w:rsidR="001C497C" w:rsidRPr="00965133">
        <w:t xml:space="preserve">SP4 </w:t>
      </w:r>
      <w:r w:rsidR="00B201F6" w:rsidRPr="00965133">
        <w:t>(Goals and targets)</w:t>
      </w:r>
      <w:r w:rsidR="001C497C" w:rsidRPr="00965133">
        <w:t xml:space="preserve"> be re</w:t>
      </w:r>
      <w:r w:rsidR="00132989" w:rsidRPr="00965133">
        <w:t xml:space="preserve">tained </w:t>
      </w:r>
      <w:r w:rsidR="001C497C" w:rsidRPr="00965133">
        <w:t xml:space="preserve">in SP5 to maintain consistency and </w:t>
      </w:r>
      <w:r w:rsidR="00132989" w:rsidRPr="00965133">
        <w:t xml:space="preserve">continuity in reporting and </w:t>
      </w:r>
      <w:r w:rsidR="001C497C" w:rsidRPr="00965133">
        <w:t>the opportunity for comparison between implementation periods.</w:t>
      </w:r>
      <w:r w:rsidR="00CD5721" w:rsidRPr="00965133">
        <w:t xml:space="preserve"> The WG further proposes that the findings of the GWO, the Secretariat's analysis of the 2021 national reports as well as elements external to the convention, the post 2020 Global Biodiversity Framework (to be adopted later this year), the SDGs, and any future relevant work of IPBES or the IPCC will be useful to help inform and frame the SP</w:t>
      </w:r>
      <w:r w:rsidR="002C37C8" w:rsidRPr="00965133">
        <w:t>5</w:t>
      </w:r>
      <w:r w:rsidR="00CD5721" w:rsidRPr="00965133">
        <w:t>. CPs will need to consider ways to mainstream gender and CEPA into the modalities for implementation of the</w:t>
      </w:r>
      <w:r w:rsidR="009B63BE" w:rsidRPr="00965133">
        <w:t xml:space="preserve"> </w:t>
      </w:r>
      <w:r w:rsidR="00CD5721" w:rsidRPr="00965133">
        <w:t>SP</w:t>
      </w:r>
      <w:r w:rsidR="002C37C8" w:rsidRPr="00965133">
        <w:t>5</w:t>
      </w:r>
      <w:r w:rsidR="00CD5721" w:rsidRPr="00965133">
        <w:t>, guided by the proposed Resolution to COP14 about the new approach to CEPA a</w:t>
      </w:r>
      <w:r w:rsidR="008D6A4D" w:rsidRPr="00965133">
        <w:t xml:space="preserve">s well as </w:t>
      </w:r>
      <w:r w:rsidR="00CD5721" w:rsidRPr="00965133">
        <w:t>the published Gender Guidelines</w:t>
      </w:r>
      <w:r w:rsidR="001A1DB4">
        <w:t>.</w:t>
      </w:r>
      <w:r w:rsidR="009B63BE">
        <w:t xml:space="preserve"> </w:t>
      </w:r>
    </w:p>
    <w:p w14:paraId="170452D0" w14:textId="77777777" w:rsidR="00921DC2" w:rsidRPr="00CD5721" w:rsidRDefault="00921DC2" w:rsidP="00DE7BFA">
      <w:pPr>
        <w:pStyle w:val="Default"/>
        <w:ind w:left="284" w:hanging="284"/>
        <w:rPr>
          <w:rFonts w:cstheme="minorHAnsi"/>
          <w:sz w:val="22"/>
          <w:szCs w:val="22"/>
        </w:rPr>
      </w:pPr>
    </w:p>
    <w:p w14:paraId="63060CDC" w14:textId="4885BEB2" w:rsidR="00232AE6" w:rsidRPr="00232AE6" w:rsidRDefault="00921DC2" w:rsidP="00965133">
      <w:pPr>
        <w:spacing w:after="0" w:line="240" w:lineRule="auto"/>
        <w:rPr>
          <w:rFonts w:cstheme="minorHAnsi"/>
          <w:u w:val="single"/>
        </w:rPr>
      </w:pPr>
      <w:r>
        <w:rPr>
          <w:rFonts w:cstheme="minorHAnsi"/>
          <w:u w:val="single"/>
        </w:rPr>
        <w:t xml:space="preserve">Previous </w:t>
      </w:r>
      <w:r w:rsidR="00BB243C">
        <w:rPr>
          <w:rFonts w:cstheme="minorHAnsi"/>
          <w:u w:val="single"/>
        </w:rPr>
        <w:t xml:space="preserve">SP </w:t>
      </w:r>
      <w:r w:rsidR="001A1DB4">
        <w:rPr>
          <w:rFonts w:cstheme="minorHAnsi"/>
          <w:u w:val="single"/>
        </w:rPr>
        <w:t xml:space="preserve">Working Group composition, technical support </w:t>
      </w:r>
      <w:r w:rsidR="00CD5721">
        <w:rPr>
          <w:rFonts w:cstheme="minorHAnsi"/>
          <w:u w:val="single"/>
        </w:rPr>
        <w:t>and Budget</w:t>
      </w:r>
    </w:p>
    <w:p w14:paraId="3FEFF436" w14:textId="77777777" w:rsidR="00E954F8" w:rsidRDefault="00E954F8" w:rsidP="00E954F8">
      <w:pPr>
        <w:spacing w:after="0" w:line="240" w:lineRule="auto"/>
        <w:ind w:left="426" w:hanging="426"/>
      </w:pPr>
    </w:p>
    <w:p w14:paraId="0EF82641" w14:textId="34B8FAC8" w:rsidR="00B53186" w:rsidRPr="00965133" w:rsidRDefault="00965133" w:rsidP="00965133">
      <w:pPr>
        <w:spacing w:after="0" w:line="240" w:lineRule="auto"/>
        <w:ind w:left="426" w:hanging="426"/>
      </w:pPr>
      <w:r>
        <w:t>20</w:t>
      </w:r>
      <w:r w:rsidR="00E954F8">
        <w:t>.</w:t>
      </w:r>
      <w:r w:rsidR="00E954F8">
        <w:tab/>
      </w:r>
      <w:r w:rsidR="00232AE6" w:rsidRPr="00DE7BFA">
        <w:t xml:space="preserve">The </w:t>
      </w:r>
      <w:r w:rsidR="00E33784" w:rsidRPr="00DE7BFA">
        <w:t xml:space="preserve">process to prepare SP3 and SP4 involved </w:t>
      </w:r>
      <w:r w:rsidR="00387D1B" w:rsidRPr="00DE7BFA">
        <w:t xml:space="preserve">a </w:t>
      </w:r>
      <w:r w:rsidR="001A1DB4" w:rsidRPr="00DE7BFA">
        <w:t xml:space="preserve">discrete </w:t>
      </w:r>
      <w:r w:rsidR="00E33784" w:rsidRPr="00DE7BFA">
        <w:t>Working Group</w:t>
      </w:r>
      <w:r w:rsidR="001A1DB4" w:rsidRPr="00DE7BFA">
        <w:t xml:space="preserve"> of </w:t>
      </w:r>
      <w:r w:rsidR="002C37C8" w:rsidRPr="00DE7BFA">
        <w:t xml:space="preserve">the </w:t>
      </w:r>
      <w:r w:rsidR="001A1DB4" w:rsidRPr="00DE7BFA">
        <w:t>S</w:t>
      </w:r>
      <w:r w:rsidR="002C37C8" w:rsidRPr="00DE7BFA">
        <w:t xml:space="preserve">tanding Committee </w:t>
      </w:r>
      <w:r w:rsidR="00E33784" w:rsidRPr="00DE7BFA">
        <w:t xml:space="preserve">supported by the </w:t>
      </w:r>
      <w:r w:rsidR="00232AE6">
        <w:t>Secretariat</w:t>
      </w:r>
      <w:r w:rsidR="001A1DB4">
        <w:t xml:space="preserve">. A </w:t>
      </w:r>
      <w:r w:rsidR="00E33784">
        <w:t xml:space="preserve">consultant </w:t>
      </w:r>
      <w:r w:rsidR="001A1DB4">
        <w:t xml:space="preserve">was </w:t>
      </w:r>
      <w:r w:rsidR="00CD5721">
        <w:t xml:space="preserve">also appointed to assist </w:t>
      </w:r>
      <w:r w:rsidR="00B53186">
        <w:t xml:space="preserve">facilitate </w:t>
      </w:r>
      <w:r w:rsidR="008E428D">
        <w:t xml:space="preserve">the drafting </w:t>
      </w:r>
      <w:r w:rsidR="00CD5721">
        <w:t>th</w:t>
      </w:r>
      <w:r w:rsidR="008E428D">
        <w:t>e</w:t>
      </w:r>
      <w:r w:rsidR="00CD5721">
        <w:t xml:space="preserve"> SP4. </w:t>
      </w:r>
      <w:r w:rsidR="008E428D" w:rsidRPr="00965133">
        <w:t xml:space="preserve">The Working group for SP3 was chaired by the SC Vice Chair and included a </w:t>
      </w:r>
      <w:r w:rsidR="001A1DB4" w:rsidRPr="00965133">
        <w:t>C</w:t>
      </w:r>
      <w:r w:rsidR="008E428D" w:rsidRPr="00965133">
        <w:t xml:space="preserve">ontracting Party from each region, IOP (Birdlife) and </w:t>
      </w:r>
      <w:r w:rsidR="00B53186" w:rsidRPr="00965133">
        <w:t xml:space="preserve">two </w:t>
      </w:r>
      <w:r w:rsidR="008E428D" w:rsidRPr="00965133">
        <w:t xml:space="preserve">additional Contracting Parties as observers. No </w:t>
      </w:r>
      <w:r w:rsidR="001A1DB4" w:rsidRPr="00965133">
        <w:t>intersessional</w:t>
      </w:r>
      <w:r w:rsidR="008E428D" w:rsidRPr="00965133">
        <w:t xml:space="preserve"> meetings </w:t>
      </w:r>
      <w:r w:rsidR="00B53186" w:rsidRPr="00965133">
        <w:t>were held o</w:t>
      </w:r>
      <w:r w:rsidR="008E428D" w:rsidRPr="00965133">
        <w:t xml:space="preserve">ther than those </w:t>
      </w:r>
      <w:r w:rsidR="00831C92" w:rsidRPr="00965133">
        <w:t xml:space="preserve">held </w:t>
      </w:r>
      <w:r w:rsidR="00B53186" w:rsidRPr="00965133">
        <w:t>back to back with Standing Committee.</w:t>
      </w:r>
      <w:r w:rsidR="009B63BE" w:rsidRPr="00965133">
        <w:t xml:space="preserve"> </w:t>
      </w:r>
    </w:p>
    <w:p w14:paraId="688E7B17" w14:textId="37798B78" w:rsidR="00E954F8" w:rsidRDefault="00E954F8" w:rsidP="00E954F8">
      <w:pPr>
        <w:spacing w:after="0" w:line="240" w:lineRule="auto"/>
        <w:ind w:left="426" w:hanging="426"/>
      </w:pPr>
    </w:p>
    <w:p w14:paraId="261EE36F" w14:textId="2F2D065C" w:rsidR="00232AE6" w:rsidRPr="00DE7BFA" w:rsidRDefault="00965133" w:rsidP="00965133">
      <w:pPr>
        <w:spacing w:after="0" w:line="240" w:lineRule="auto"/>
        <w:ind w:left="426" w:hanging="426"/>
      </w:pPr>
      <w:r>
        <w:t>21</w:t>
      </w:r>
      <w:r w:rsidR="00831C92" w:rsidRPr="00965133">
        <w:t>.</w:t>
      </w:r>
      <w:r w:rsidR="00E954F8">
        <w:tab/>
      </w:r>
      <w:r w:rsidR="00CD5721">
        <w:t>The Working Group for SP4</w:t>
      </w:r>
      <w:r w:rsidR="00CD5721" w:rsidRPr="00965133">
        <w:t xml:space="preserve"> was co-chaired by Europe (France and Finland) and included Contracting Parties from each region (more than one </w:t>
      </w:r>
      <w:r w:rsidR="00C73F7D" w:rsidRPr="00965133">
        <w:t>represent</w:t>
      </w:r>
      <w:r w:rsidR="004F136B" w:rsidRPr="00965133">
        <w:t xml:space="preserve">ative </w:t>
      </w:r>
      <w:r w:rsidR="00CD5721" w:rsidRPr="00965133">
        <w:t xml:space="preserve">for most regions ), the Chairs of STRP and </w:t>
      </w:r>
      <w:r w:rsidR="001A1DB4" w:rsidRPr="00965133">
        <w:t>CEPA OP</w:t>
      </w:r>
      <w:r w:rsidR="00CD5721" w:rsidRPr="00965133">
        <w:t>, Birdlife</w:t>
      </w:r>
      <w:r w:rsidR="00831C92" w:rsidRPr="00965133">
        <w:t xml:space="preserve"> International </w:t>
      </w:r>
      <w:r w:rsidR="008E428D" w:rsidRPr="00965133">
        <w:t>and UNEP</w:t>
      </w:r>
      <w:r w:rsidR="00CD5721" w:rsidRPr="00965133">
        <w:t xml:space="preserve">. </w:t>
      </w:r>
      <w:r w:rsidR="00B53186" w:rsidRPr="00965133">
        <w:t xml:space="preserve">The </w:t>
      </w:r>
      <w:r w:rsidR="001A1DB4" w:rsidRPr="00965133">
        <w:t>Working G</w:t>
      </w:r>
      <w:r w:rsidR="00B53186" w:rsidRPr="00965133">
        <w:t>roup held three special 2 day face to face meetings in Gland and one meeting back to back with Standing Committee and conducted stakeholder consultations.</w:t>
      </w:r>
      <w:r w:rsidR="009B63BE" w:rsidRPr="00965133">
        <w:t xml:space="preserve"> </w:t>
      </w:r>
      <w:r w:rsidR="00B53186" w:rsidRPr="00965133">
        <w:t xml:space="preserve">Consultation on SP4 also took place at the pre-COP12 regional meetings (Standing Committee could consider this </w:t>
      </w:r>
      <w:r w:rsidR="001A1DB4" w:rsidRPr="00965133">
        <w:t xml:space="preserve">for SP5 </w:t>
      </w:r>
      <w:r w:rsidR="00B53186" w:rsidRPr="00965133">
        <w:t>ahead of both COP14 and COP15) and the Secretariat</w:t>
      </w:r>
      <w:r w:rsidR="00B53186" w:rsidRPr="00DE7BFA">
        <w:t xml:space="preserve"> created a space on the Ramsar web site for the Strategic Plan consultation process. </w:t>
      </w:r>
    </w:p>
    <w:p w14:paraId="5CA30131" w14:textId="77777777" w:rsidR="00DE7BFA" w:rsidRDefault="00DE7BFA" w:rsidP="00DE7BFA">
      <w:pPr>
        <w:spacing w:after="0" w:line="240" w:lineRule="auto"/>
        <w:ind w:left="426" w:hanging="426"/>
      </w:pPr>
    </w:p>
    <w:p w14:paraId="095C1C4C" w14:textId="01439510" w:rsidR="001A4F7B" w:rsidRPr="00DE7BFA" w:rsidRDefault="00965133" w:rsidP="00965133">
      <w:pPr>
        <w:spacing w:after="0" w:line="240" w:lineRule="auto"/>
        <w:ind w:left="426" w:hanging="426"/>
      </w:pPr>
      <w:r>
        <w:t>22</w:t>
      </w:r>
      <w:r w:rsidR="00B53186" w:rsidRPr="00DE7BFA">
        <w:t>.</w:t>
      </w:r>
      <w:r w:rsidR="00DE7BFA">
        <w:tab/>
      </w:r>
      <w:r w:rsidR="00B53186" w:rsidRPr="00DE7BFA">
        <w:t xml:space="preserve">The budget allocated for preparation of SP4 </w:t>
      </w:r>
      <w:r w:rsidR="00C87A27" w:rsidRPr="00DE7BFA">
        <w:t>was</w:t>
      </w:r>
      <w:r w:rsidR="00B53186" w:rsidRPr="00DE7BFA">
        <w:t xml:space="preserve"> 106K CHF</w:t>
      </w:r>
      <w:r w:rsidR="00C87A27" w:rsidRPr="00DE7BFA">
        <w:t xml:space="preserve"> which funded </w:t>
      </w:r>
      <w:r w:rsidR="00B53186" w:rsidRPr="00DE7BFA">
        <w:t>the consultant</w:t>
      </w:r>
      <w:r w:rsidR="00C87A27" w:rsidRPr="00DE7BFA">
        <w:t>, intersessional</w:t>
      </w:r>
      <w:r w:rsidR="00B53186" w:rsidRPr="00DE7BFA">
        <w:t xml:space="preserve"> WG meetings and consultation</w:t>
      </w:r>
      <w:r w:rsidR="00C87A27" w:rsidRPr="00DE7BFA">
        <w:t xml:space="preserve">. </w:t>
      </w:r>
      <w:r w:rsidR="00B53186" w:rsidRPr="00DE7BFA">
        <w:t xml:space="preserve">18K </w:t>
      </w:r>
      <w:r w:rsidR="00B776DB" w:rsidRPr="00DE7BFA">
        <w:t xml:space="preserve">CHF </w:t>
      </w:r>
      <w:r w:rsidR="00C87A27" w:rsidRPr="00DE7BFA">
        <w:t>of this budget</w:t>
      </w:r>
      <w:r w:rsidR="00B53186" w:rsidRPr="00DE7BFA">
        <w:t xml:space="preserve"> is </w:t>
      </w:r>
      <w:r w:rsidR="001A1DB4" w:rsidRPr="00DE7BFA">
        <w:t>unspent</w:t>
      </w:r>
      <w:r w:rsidR="00B53186" w:rsidRPr="00DE7BFA">
        <w:t xml:space="preserve"> and could be put towards </w:t>
      </w:r>
      <w:r w:rsidR="00387D1B" w:rsidRPr="00DE7BFA">
        <w:t>the development</w:t>
      </w:r>
      <w:r w:rsidR="00C87A27" w:rsidRPr="00DE7BFA">
        <w:t xml:space="preserve"> o</w:t>
      </w:r>
      <w:r w:rsidR="00387D1B" w:rsidRPr="00DE7BFA">
        <w:t>f</w:t>
      </w:r>
      <w:r w:rsidR="00C87A27" w:rsidRPr="00DE7BFA">
        <w:t xml:space="preserve"> </w:t>
      </w:r>
      <w:r w:rsidR="00B53186" w:rsidRPr="00DE7BFA">
        <w:t>SP5</w:t>
      </w:r>
      <w:r w:rsidR="00C87A27" w:rsidRPr="00DE7BFA">
        <w:t>.</w:t>
      </w:r>
      <w:r w:rsidR="009B63BE">
        <w:t xml:space="preserve"> </w:t>
      </w:r>
    </w:p>
    <w:p w14:paraId="152F369B" w14:textId="77777777" w:rsidR="00387D1B" w:rsidRDefault="00387D1B" w:rsidP="00965133">
      <w:pPr>
        <w:spacing w:after="0" w:line="240" w:lineRule="auto"/>
        <w:ind w:left="284" w:hanging="284"/>
        <w:rPr>
          <w:rFonts w:cstheme="minorHAnsi"/>
        </w:rPr>
      </w:pPr>
    </w:p>
    <w:p w14:paraId="74F27D1D" w14:textId="2596A26D" w:rsidR="00DA14D3" w:rsidRPr="00921DC2" w:rsidRDefault="00921DC2" w:rsidP="00965133">
      <w:pPr>
        <w:spacing w:after="0" w:line="240" w:lineRule="auto"/>
        <w:rPr>
          <w:rFonts w:cstheme="minorHAnsi"/>
          <w:u w:val="single"/>
        </w:rPr>
      </w:pPr>
      <w:r w:rsidRPr="00921DC2">
        <w:rPr>
          <w:rFonts w:cstheme="minorHAnsi"/>
          <w:u w:val="single"/>
        </w:rPr>
        <w:t xml:space="preserve">Establishment of new Working Group for SP5 and Budget </w:t>
      </w:r>
    </w:p>
    <w:p w14:paraId="111A5C70" w14:textId="77777777" w:rsidR="00DE7BFA" w:rsidRDefault="00DE7BFA" w:rsidP="00DE7BFA">
      <w:pPr>
        <w:spacing w:after="0" w:line="240" w:lineRule="auto"/>
        <w:ind w:left="426" w:hanging="426"/>
      </w:pPr>
    </w:p>
    <w:p w14:paraId="3019DBBA" w14:textId="692A96AA" w:rsidR="0078713E" w:rsidRPr="00965133" w:rsidRDefault="00965133" w:rsidP="00965133">
      <w:pPr>
        <w:spacing w:after="0" w:line="240" w:lineRule="auto"/>
        <w:ind w:left="426" w:hanging="426"/>
      </w:pPr>
      <w:r>
        <w:t>23</w:t>
      </w:r>
      <w:r w:rsidR="00921DC2" w:rsidRPr="00965133">
        <w:t>.</w:t>
      </w:r>
      <w:r w:rsidR="00DE7BFA">
        <w:tab/>
      </w:r>
      <w:r w:rsidR="00921DC2" w:rsidRPr="00965133">
        <w:t>The SPWG was proposing to recommend to COP14 that a Working Group be established to develop SP5 over the next triennium.</w:t>
      </w:r>
      <w:r w:rsidR="009B63BE" w:rsidRPr="00965133">
        <w:t xml:space="preserve"> </w:t>
      </w:r>
      <w:r w:rsidR="00921DC2" w:rsidRPr="00965133">
        <w:t>With the postponement of the COP,</w:t>
      </w:r>
      <w:r w:rsidR="009B63BE" w:rsidRPr="00965133">
        <w:t xml:space="preserve"> </w:t>
      </w:r>
      <w:r w:rsidR="00921DC2" w:rsidRPr="00965133">
        <w:t xml:space="preserve">the </w:t>
      </w:r>
      <w:r w:rsidR="00B26A0C" w:rsidRPr="00965133">
        <w:t>SP</w:t>
      </w:r>
      <w:r w:rsidR="00921DC2" w:rsidRPr="00965133">
        <w:t xml:space="preserve">WG </w:t>
      </w:r>
      <w:r w:rsidR="00B26A0C" w:rsidRPr="00965133">
        <w:t>recommends</w:t>
      </w:r>
      <w:r w:rsidR="00921DC2" w:rsidRPr="00965133">
        <w:t xml:space="preserve"> that Standing Committee establish </w:t>
      </w:r>
      <w:r w:rsidR="00BB243C" w:rsidRPr="00965133">
        <w:t>th</w:t>
      </w:r>
      <w:r w:rsidR="00B26A0C" w:rsidRPr="00965133">
        <w:t>e</w:t>
      </w:r>
      <w:r w:rsidR="00BB243C" w:rsidRPr="00965133">
        <w:t xml:space="preserve"> </w:t>
      </w:r>
      <w:r w:rsidR="00921DC2" w:rsidRPr="00965133">
        <w:t xml:space="preserve">Working Group ahead of COP14, to ensure </w:t>
      </w:r>
      <w:r w:rsidR="00921DC2" w:rsidRPr="00965133">
        <w:lastRenderedPageBreak/>
        <w:t xml:space="preserve">there is sufficient time to develop the new strategic plan for adoption at COP15 in 2024. </w:t>
      </w:r>
      <w:r w:rsidR="0078713E" w:rsidRPr="00965133">
        <w:t>Legal advice obtained by the Secretariat confirms the Standing Committee has the authority to</w:t>
      </w:r>
      <w:r w:rsidR="009B63BE" w:rsidRPr="00965133">
        <w:t xml:space="preserve"> </w:t>
      </w:r>
      <w:r w:rsidR="0078713E" w:rsidRPr="00965133">
        <w:t>establish Working Groups.</w:t>
      </w:r>
    </w:p>
    <w:p w14:paraId="65379E27" w14:textId="77777777" w:rsidR="00DE7BFA" w:rsidRDefault="00DE7BFA" w:rsidP="00DE7BFA">
      <w:pPr>
        <w:spacing w:after="0" w:line="240" w:lineRule="auto"/>
        <w:ind w:left="426" w:hanging="426"/>
      </w:pPr>
    </w:p>
    <w:p w14:paraId="39074217" w14:textId="7230232D" w:rsidR="00921DC2" w:rsidRPr="00965133" w:rsidRDefault="00965133" w:rsidP="00965133">
      <w:pPr>
        <w:spacing w:after="0" w:line="240" w:lineRule="auto"/>
        <w:ind w:left="426" w:hanging="426"/>
      </w:pPr>
      <w:r>
        <w:t>24</w:t>
      </w:r>
      <w:r w:rsidR="0078713E" w:rsidRPr="00965133">
        <w:t>.</w:t>
      </w:r>
      <w:r w:rsidR="00DE7BFA">
        <w:tab/>
      </w:r>
      <w:r w:rsidR="00921DC2" w:rsidRPr="00965133">
        <w:t>Th</w:t>
      </w:r>
      <w:r w:rsidR="00B26A0C" w:rsidRPr="00965133">
        <w:t>e</w:t>
      </w:r>
      <w:r w:rsidR="00921DC2" w:rsidRPr="00965133">
        <w:t xml:space="preserve"> Terms of Reference and work plan for the new </w:t>
      </w:r>
      <w:r w:rsidR="0078713E" w:rsidRPr="00965133">
        <w:t xml:space="preserve">Working </w:t>
      </w:r>
      <w:r w:rsidR="00921DC2" w:rsidRPr="00965133">
        <w:t>Group</w:t>
      </w:r>
      <w:r w:rsidR="00B26A0C" w:rsidRPr="00965133">
        <w:t xml:space="preserve"> can be agreed </w:t>
      </w:r>
      <w:r w:rsidR="00921DC2" w:rsidRPr="00965133">
        <w:t>intersessionally and some progress</w:t>
      </w:r>
      <w:r w:rsidR="00B26A0C" w:rsidRPr="00965133">
        <w:t xml:space="preserve"> made </w:t>
      </w:r>
      <w:r w:rsidR="00921DC2" w:rsidRPr="00965133">
        <w:t>on scoping and consultation</w:t>
      </w:r>
      <w:r w:rsidR="00B26A0C" w:rsidRPr="00965133">
        <w:t xml:space="preserve"> </w:t>
      </w:r>
      <w:r w:rsidR="00921DC2" w:rsidRPr="00965133">
        <w:t>ahead of COP14.</w:t>
      </w:r>
      <w:r w:rsidR="009B63BE" w:rsidRPr="00965133">
        <w:t xml:space="preserve"> </w:t>
      </w:r>
      <w:r w:rsidR="0078713E" w:rsidRPr="00965133">
        <w:t xml:space="preserve"> </w:t>
      </w:r>
      <w:r w:rsidR="00407D78" w:rsidRPr="00965133">
        <w:t>Similar to</w:t>
      </w:r>
      <w:r w:rsidR="0078713E" w:rsidRPr="00965133">
        <w:t xml:space="preserve"> the</w:t>
      </w:r>
      <w:r w:rsidR="00EC104A" w:rsidRPr="00965133">
        <w:t xml:space="preserve"> make-up of </w:t>
      </w:r>
      <w:r w:rsidR="0078713E" w:rsidRPr="00965133">
        <w:t xml:space="preserve">SP4 Working Group, </w:t>
      </w:r>
      <w:r w:rsidR="00BB243C" w:rsidRPr="00965133">
        <w:t>the</w:t>
      </w:r>
      <w:r w:rsidR="0078713E" w:rsidRPr="00965133">
        <w:t xml:space="preserve"> SP5</w:t>
      </w:r>
      <w:r w:rsidR="00BB243C" w:rsidRPr="00965133">
        <w:t xml:space="preserve"> Working Group should include </w:t>
      </w:r>
      <w:r w:rsidR="0078713E" w:rsidRPr="00965133">
        <w:t xml:space="preserve">membership from </w:t>
      </w:r>
      <w:r w:rsidR="00BB243C" w:rsidRPr="00965133">
        <w:t>Contracting Parties</w:t>
      </w:r>
      <w:r w:rsidR="00B928CE" w:rsidRPr="00965133">
        <w:t>,</w:t>
      </w:r>
      <w:r w:rsidR="00BB243C" w:rsidRPr="00965133">
        <w:t xml:space="preserve"> </w:t>
      </w:r>
      <w:r w:rsidR="00B928CE" w:rsidRPr="00965133">
        <w:t xml:space="preserve">the STRP </w:t>
      </w:r>
      <w:r w:rsidR="00BB243C" w:rsidRPr="00965133">
        <w:t>and International Organi</w:t>
      </w:r>
      <w:r w:rsidR="0078713E" w:rsidRPr="00965133">
        <w:t>s</w:t>
      </w:r>
      <w:r w:rsidR="00BB243C" w:rsidRPr="00965133">
        <w:t>ation Partners</w:t>
      </w:r>
      <w:r w:rsidR="00E502C8" w:rsidRPr="00965133">
        <w:t xml:space="preserve">, </w:t>
      </w:r>
      <w:r w:rsidR="00B928CE" w:rsidRPr="00965133">
        <w:t xml:space="preserve">noting, that the </w:t>
      </w:r>
      <w:r w:rsidR="00E502C8" w:rsidRPr="00965133">
        <w:t>CEPA Oversight Panel may need to be consulted on an ad hoc basis</w:t>
      </w:r>
      <w:r w:rsidR="00EE7E28" w:rsidRPr="00965133">
        <w:t>,</w:t>
      </w:r>
      <w:r w:rsidR="00E502C8" w:rsidRPr="00965133">
        <w:t xml:space="preserve"> </w:t>
      </w:r>
      <w:r w:rsidR="0046647B" w:rsidRPr="00965133">
        <w:t xml:space="preserve">if needed. </w:t>
      </w:r>
    </w:p>
    <w:p w14:paraId="09D09B2A" w14:textId="77777777" w:rsidR="00DE7BFA" w:rsidRDefault="00DE7BFA" w:rsidP="00DE7BFA">
      <w:pPr>
        <w:spacing w:after="0" w:line="240" w:lineRule="auto"/>
        <w:ind w:left="426" w:hanging="426"/>
      </w:pPr>
    </w:p>
    <w:p w14:paraId="1BC688EE" w14:textId="2A9FFD0C" w:rsidR="00DA14D3" w:rsidRPr="00DE7BFA" w:rsidRDefault="00965133" w:rsidP="00965133">
      <w:pPr>
        <w:spacing w:after="0" w:line="240" w:lineRule="auto"/>
        <w:ind w:left="426" w:hanging="426"/>
      </w:pPr>
      <w:r>
        <w:t>25</w:t>
      </w:r>
      <w:r w:rsidR="00921DC2" w:rsidRPr="00DE7BFA">
        <w:t>.</w:t>
      </w:r>
      <w:r w:rsidR="00DE7BFA">
        <w:tab/>
      </w:r>
      <w:r w:rsidR="00921DC2" w:rsidRPr="00DE7BFA">
        <w:t xml:space="preserve">The SPWG further proposes that the unspent 18K CHF from the SP4 budget be </w:t>
      </w:r>
      <w:r w:rsidR="00FC5EEA" w:rsidRPr="00DE7BFA">
        <w:t>redirected to the preparations for</w:t>
      </w:r>
      <w:r w:rsidR="00921DC2" w:rsidRPr="00DE7BFA">
        <w:t xml:space="preserve"> the SP5 and a further 90K CHF be allocated in the Ramsar budget to support development of SP5, including the employment of a consultant to support</w:t>
      </w:r>
      <w:r w:rsidR="00FC5EEA" w:rsidRPr="00DE7BFA">
        <w:t xml:space="preserve"> the efforts of the Working Group</w:t>
      </w:r>
      <w:r w:rsidR="00921DC2" w:rsidRPr="00DE7BFA">
        <w:t>.</w:t>
      </w:r>
    </w:p>
    <w:p w14:paraId="6062711B" w14:textId="510B125B" w:rsidR="00DE7BFA" w:rsidRDefault="00DE7BFA">
      <w:pPr>
        <w:rPr>
          <w:rFonts w:cstheme="minorHAnsi"/>
          <w:bCs/>
        </w:rPr>
      </w:pPr>
      <w:r>
        <w:rPr>
          <w:rFonts w:cstheme="minorHAnsi"/>
          <w:bCs/>
        </w:rPr>
        <w:br w:type="page"/>
      </w:r>
    </w:p>
    <w:p w14:paraId="6B7BBEE0" w14:textId="6F5863E9" w:rsidR="0081474F" w:rsidRPr="009028FD" w:rsidRDefault="00E661E4" w:rsidP="006B1B2F">
      <w:pPr>
        <w:rPr>
          <w:rFonts w:cstheme="minorHAnsi"/>
          <w:b/>
          <w:bCs/>
        </w:rPr>
      </w:pPr>
      <w:r w:rsidRPr="006B1B2F">
        <w:rPr>
          <w:rFonts w:cstheme="minorHAnsi"/>
          <w:b/>
          <w:bCs/>
        </w:rPr>
        <w:lastRenderedPageBreak/>
        <w:t>ANNEX</w:t>
      </w:r>
      <w:r>
        <w:rPr>
          <w:rFonts w:cstheme="minorHAnsi"/>
          <w:b/>
          <w:bCs/>
        </w:rPr>
        <w:t xml:space="preserve"> A</w:t>
      </w:r>
      <w:r w:rsidRPr="006B1B2F">
        <w:rPr>
          <w:rFonts w:cstheme="minorHAnsi"/>
          <w:b/>
          <w:bCs/>
        </w:rPr>
        <w:t>:</w:t>
      </w:r>
      <w:r w:rsidR="009B63BE">
        <w:rPr>
          <w:rFonts w:cstheme="minorHAnsi"/>
          <w:b/>
          <w:bCs/>
        </w:rPr>
        <w:t xml:space="preserve"> </w:t>
      </w:r>
      <w:r w:rsidRPr="006B1B2F">
        <w:rPr>
          <w:rFonts w:cstheme="minorHAnsi"/>
          <w:b/>
          <w:bCs/>
        </w:rPr>
        <w:t xml:space="preserve">REVIEW OF STRATEGIC PLAN: IMPLEMENTATION </w:t>
      </w:r>
      <w:r w:rsidR="00232AE6">
        <w:rPr>
          <w:rFonts w:cstheme="minorHAnsi"/>
          <w:b/>
          <w:bCs/>
        </w:rPr>
        <w:t>CHALLENGES</w:t>
      </w:r>
      <w:r w:rsidRPr="006B1B2F">
        <w:rPr>
          <w:rFonts w:cstheme="minorHAnsi"/>
          <w:b/>
          <w:bCs/>
        </w:rPr>
        <w:t>, AVAILABILITY OF EXISTING GUIDANCE</w:t>
      </w:r>
      <w:r w:rsidR="009028FD">
        <w:rPr>
          <w:rFonts w:cstheme="minorHAnsi"/>
          <w:b/>
          <w:bCs/>
        </w:rPr>
        <w:t>,</w:t>
      </w:r>
      <w:r w:rsidRPr="006B1B2F">
        <w:rPr>
          <w:rFonts w:cstheme="minorHAnsi"/>
          <w:b/>
          <w:bCs/>
        </w:rPr>
        <w:t xml:space="preserve"> </w:t>
      </w:r>
      <w:r w:rsidR="009028FD">
        <w:rPr>
          <w:rFonts w:cstheme="minorHAnsi"/>
          <w:b/>
          <w:bCs/>
        </w:rPr>
        <w:t xml:space="preserve">GAPS AND </w:t>
      </w:r>
      <w:r w:rsidRPr="006B1B2F">
        <w:rPr>
          <w:rFonts w:cstheme="minorHAnsi"/>
          <w:b/>
          <w:bCs/>
        </w:rPr>
        <w:t xml:space="preserve">PROPOSED </w:t>
      </w:r>
      <w:r w:rsidR="00387D1B">
        <w:rPr>
          <w:rFonts w:cstheme="minorHAnsi"/>
          <w:b/>
          <w:bCs/>
        </w:rPr>
        <w:t xml:space="preserve">ACTION TO </w:t>
      </w:r>
      <w:r w:rsidRPr="009028FD">
        <w:rPr>
          <w:rFonts w:cstheme="minorHAnsi"/>
          <w:b/>
          <w:bCs/>
        </w:rPr>
        <w:t>SUPPORT C</w:t>
      </w:r>
      <w:r w:rsidR="00EE7E28">
        <w:rPr>
          <w:rFonts w:cstheme="minorHAnsi"/>
          <w:b/>
          <w:bCs/>
        </w:rPr>
        <w:t>ONTRACTING ARTIES</w:t>
      </w:r>
      <w:r w:rsidR="009B63BE">
        <w:rPr>
          <w:rFonts w:cstheme="minorHAnsi"/>
          <w:b/>
          <w:bCs/>
        </w:rPr>
        <w:t xml:space="preserve"> </w:t>
      </w:r>
    </w:p>
    <w:tbl>
      <w:tblPr>
        <w:tblStyle w:val="TableGrid"/>
        <w:tblW w:w="10120" w:type="dxa"/>
        <w:tblInd w:w="-601" w:type="dxa"/>
        <w:tblLook w:val="04A0" w:firstRow="1" w:lastRow="0" w:firstColumn="1" w:lastColumn="0" w:noHBand="0" w:noVBand="1"/>
      </w:tblPr>
      <w:tblGrid>
        <w:gridCol w:w="1528"/>
        <w:gridCol w:w="2294"/>
        <w:gridCol w:w="1935"/>
        <w:gridCol w:w="2547"/>
        <w:gridCol w:w="1816"/>
      </w:tblGrid>
      <w:tr w:rsidR="00965133" w:rsidRPr="00972729" w14:paraId="7D17E0EC" w14:textId="2EC095C8" w:rsidTr="00440846">
        <w:trPr>
          <w:tblHeader/>
        </w:trPr>
        <w:tc>
          <w:tcPr>
            <w:tcW w:w="1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1A8E9C" w14:textId="77777777" w:rsidR="00706737" w:rsidRPr="00CC13B9" w:rsidRDefault="00706737">
            <w:pPr>
              <w:rPr>
                <w:rFonts w:cstheme="minorHAnsi"/>
                <w:b/>
                <w:bCs/>
                <w:sz w:val="20"/>
                <w:szCs w:val="20"/>
                <w:highlight w:val="darkGray"/>
              </w:rPr>
            </w:pPr>
            <w:r w:rsidRPr="00CC13B9">
              <w:rPr>
                <w:rFonts w:cstheme="minorHAnsi"/>
                <w:b/>
                <w:bCs/>
                <w:sz w:val="20"/>
                <w:szCs w:val="20"/>
                <w:highlight w:val="darkGray"/>
              </w:rPr>
              <w:t>Goal</w:t>
            </w:r>
          </w:p>
          <w:p w14:paraId="1BDDCB7E" w14:textId="77777777" w:rsidR="00706737" w:rsidRPr="00CC13B9" w:rsidRDefault="00706737">
            <w:pPr>
              <w:rPr>
                <w:rFonts w:cstheme="minorHAnsi"/>
                <w:b/>
                <w:bCs/>
                <w:sz w:val="20"/>
                <w:szCs w:val="20"/>
                <w:highlight w:val="darkGray"/>
              </w:rPr>
            </w:pPr>
          </w:p>
        </w:tc>
        <w:tc>
          <w:tcPr>
            <w:tcW w:w="22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D46BEE" w14:textId="77777777" w:rsidR="00706737" w:rsidRPr="00CC13B9" w:rsidRDefault="00706737">
            <w:pPr>
              <w:rPr>
                <w:rFonts w:cstheme="minorHAnsi"/>
                <w:b/>
                <w:bCs/>
                <w:sz w:val="20"/>
                <w:szCs w:val="20"/>
                <w:highlight w:val="darkGray"/>
              </w:rPr>
            </w:pPr>
            <w:r w:rsidRPr="00CC13B9">
              <w:rPr>
                <w:rFonts w:cstheme="minorHAnsi"/>
                <w:b/>
                <w:bCs/>
                <w:sz w:val="20"/>
                <w:szCs w:val="20"/>
                <w:highlight w:val="darkGray"/>
              </w:rPr>
              <w:t>Identified Indicator</w:t>
            </w:r>
          </w:p>
        </w:tc>
        <w:tc>
          <w:tcPr>
            <w:tcW w:w="19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3D440E" w14:textId="77777777" w:rsidR="00706737" w:rsidRPr="00CC13B9" w:rsidRDefault="00706737">
            <w:pPr>
              <w:rPr>
                <w:rFonts w:cstheme="minorHAnsi"/>
                <w:b/>
                <w:bCs/>
                <w:sz w:val="20"/>
                <w:szCs w:val="20"/>
                <w:highlight w:val="darkGray"/>
              </w:rPr>
            </w:pPr>
            <w:r w:rsidRPr="00CC13B9">
              <w:rPr>
                <w:rFonts w:cstheme="minorHAnsi"/>
                <w:b/>
                <w:bCs/>
                <w:sz w:val="20"/>
                <w:szCs w:val="20"/>
                <w:highlight w:val="darkGray"/>
              </w:rPr>
              <w:t>Existing Guidance/Tools</w:t>
            </w:r>
          </w:p>
        </w:tc>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6F21DB" w14:textId="77777777" w:rsidR="00706737" w:rsidRPr="00CC13B9" w:rsidRDefault="00706737">
            <w:pPr>
              <w:rPr>
                <w:rFonts w:cstheme="minorHAnsi"/>
                <w:b/>
                <w:bCs/>
                <w:sz w:val="18"/>
                <w:szCs w:val="18"/>
                <w:highlight w:val="darkGray"/>
              </w:rPr>
            </w:pPr>
            <w:r w:rsidRPr="00CC13B9">
              <w:rPr>
                <w:rFonts w:cstheme="minorHAnsi"/>
                <w:b/>
                <w:bCs/>
                <w:sz w:val="18"/>
                <w:szCs w:val="18"/>
                <w:highlight w:val="darkGray"/>
              </w:rPr>
              <w:t xml:space="preserve">Proposed Action </w:t>
            </w:r>
          </w:p>
          <w:p w14:paraId="4F68A893" w14:textId="20A95889" w:rsidR="00706737" w:rsidRPr="00CC13B9" w:rsidRDefault="00706737" w:rsidP="00CC13B9">
            <w:pPr>
              <w:rPr>
                <w:rFonts w:cstheme="minorHAnsi"/>
                <w:b/>
                <w:bCs/>
                <w:sz w:val="18"/>
                <w:szCs w:val="18"/>
                <w:highlight w:val="darkGray"/>
              </w:rPr>
            </w:pPr>
          </w:p>
        </w:tc>
        <w:tc>
          <w:tcPr>
            <w:tcW w:w="18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EF020" w14:textId="308699DE" w:rsidR="00706737" w:rsidRPr="00CC13B9" w:rsidRDefault="00706737">
            <w:pPr>
              <w:rPr>
                <w:rFonts w:cstheme="minorHAnsi"/>
                <w:b/>
                <w:bCs/>
                <w:sz w:val="18"/>
                <w:szCs w:val="18"/>
                <w:highlight w:val="darkGray"/>
              </w:rPr>
            </w:pPr>
            <w:r w:rsidRPr="00CC13B9">
              <w:rPr>
                <w:rFonts w:cstheme="minorHAnsi"/>
                <w:b/>
                <w:bCs/>
                <w:sz w:val="18"/>
                <w:szCs w:val="18"/>
                <w:highlight w:val="darkGray"/>
              </w:rPr>
              <w:t xml:space="preserve">Proposed </w:t>
            </w:r>
            <w:r w:rsidR="004A16ED" w:rsidRPr="00CC13B9">
              <w:rPr>
                <w:rFonts w:cstheme="minorHAnsi"/>
                <w:b/>
                <w:bCs/>
                <w:sz w:val="18"/>
                <w:szCs w:val="18"/>
                <w:highlight w:val="darkGray"/>
              </w:rPr>
              <w:t>Actors</w:t>
            </w:r>
            <w:r w:rsidR="00DC77AD">
              <w:rPr>
                <w:rFonts w:cstheme="minorHAnsi"/>
                <w:b/>
                <w:bCs/>
                <w:sz w:val="18"/>
                <w:szCs w:val="18"/>
                <w:highlight w:val="darkGray"/>
              </w:rPr>
              <w:t>,</w:t>
            </w:r>
            <w:r w:rsidR="004A16ED" w:rsidRPr="00CC13B9">
              <w:rPr>
                <w:rFonts w:cstheme="minorHAnsi"/>
                <w:b/>
                <w:bCs/>
                <w:sz w:val="18"/>
                <w:szCs w:val="18"/>
                <w:highlight w:val="darkGray"/>
              </w:rPr>
              <w:t xml:space="preserve"> </w:t>
            </w:r>
            <w:r w:rsidR="004F136B">
              <w:rPr>
                <w:rFonts w:cstheme="minorHAnsi"/>
                <w:b/>
                <w:bCs/>
                <w:sz w:val="18"/>
                <w:szCs w:val="18"/>
                <w:highlight w:val="darkGray"/>
              </w:rPr>
              <w:t xml:space="preserve">Timing </w:t>
            </w:r>
            <w:r w:rsidR="00DC77AD">
              <w:rPr>
                <w:rFonts w:cstheme="minorHAnsi"/>
                <w:b/>
                <w:bCs/>
                <w:sz w:val="18"/>
                <w:szCs w:val="18"/>
                <w:highlight w:val="darkGray"/>
              </w:rPr>
              <w:t>and resources</w:t>
            </w:r>
          </w:p>
        </w:tc>
      </w:tr>
      <w:tr w:rsidR="00706737" w:rsidRPr="008D1102" w14:paraId="03D5B952" w14:textId="628EC6A0" w:rsidTr="00924DC4">
        <w:tc>
          <w:tcPr>
            <w:tcW w:w="1528" w:type="dxa"/>
            <w:tcBorders>
              <w:top w:val="single" w:sz="4" w:space="0" w:color="auto"/>
              <w:left w:val="single" w:sz="4" w:space="0" w:color="auto"/>
              <w:bottom w:val="single" w:sz="4" w:space="0" w:color="auto"/>
              <w:right w:val="single" w:sz="4" w:space="0" w:color="auto"/>
            </w:tcBorders>
            <w:hideMark/>
          </w:tcPr>
          <w:p w14:paraId="181CAF8E" w14:textId="77777777" w:rsidR="00706737" w:rsidRPr="008D1102" w:rsidRDefault="00706737">
            <w:pPr>
              <w:rPr>
                <w:rFonts w:cstheme="minorHAnsi"/>
                <w:b/>
                <w:bCs/>
                <w:sz w:val="20"/>
                <w:szCs w:val="20"/>
              </w:rPr>
            </w:pPr>
            <w:r w:rsidRPr="008D1102">
              <w:rPr>
                <w:rFonts w:cstheme="minorHAnsi"/>
                <w:b/>
                <w:bCs/>
                <w:sz w:val="20"/>
                <w:szCs w:val="20"/>
              </w:rPr>
              <w:t>Goal 1</w:t>
            </w:r>
          </w:p>
          <w:p w14:paraId="1F878AC4" w14:textId="77777777" w:rsidR="00706737" w:rsidRPr="008D1102" w:rsidRDefault="00706737">
            <w:pPr>
              <w:rPr>
                <w:rFonts w:cstheme="minorHAnsi"/>
                <w:sz w:val="20"/>
                <w:szCs w:val="20"/>
              </w:rPr>
            </w:pPr>
            <w:r w:rsidRPr="008D1102">
              <w:rPr>
                <w:rFonts w:cstheme="minorHAnsi"/>
                <w:sz w:val="20"/>
                <w:szCs w:val="20"/>
              </w:rPr>
              <w:t>Addressing the Drivers of Wetlands Loss and Degradation</w:t>
            </w:r>
          </w:p>
        </w:tc>
        <w:tc>
          <w:tcPr>
            <w:tcW w:w="2294" w:type="dxa"/>
            <w:tcBorders>
              <w:top w:val="single" w:sz="4" w:space="0" w:color="auto"/>
              <w:left w:val="single" w:sz="4" w:space="0" w:color="auto"/>
              <w:bottom w:val="single" w:sz="4" w:space="0" w:color="auto"/>
              <w:right w:val="single" w:sz="4" w:space="0" w:color="auto"/>
            </w:tcBorders>
          </w:tcPr>
          <w:p w14:paraId="2DE3532D" w14:textId="77777777" w:rsidR="00706737" w:rsidRPr="008D1102" w:rsidRDefault="00706737">
            <w:pPr>
              <w:rPr>
                <w:rFonts w:cstheme="minorHAnsi"/>
                <w:sz w:val="20"/>
                <w:szCs w:val="20"/>
              </w:rPr>
            </w:pPr>
            <w:r w:rsidRPr="008D1102">
              <w:rPr>
                <w:rFonts w:cstheme="minorHAnsi"/>
                <w:b/>
                <w:bCs/>
                <w:sz w:val="20"/>
                <w:szCs w:val="20"/>
              </w:rPr>
              <w:t>Target 3</w:t>
            </w:r>
            <w:r w:rsidRPr="008D1102">
              <w:rPr>
                <w:rFonts w:cstheme="minorHAnsi"/>
                <w:sz w:val="20"/>
                <w:szCs w:val="20"/>
              </w:rPr>
              <w:t xml:space="preserve"> – Private sector: </w:t>
            </w:r>
          </w:p>
          <w:p w14:paraId="04FAB440" w14:textId="77777777" w:rsidR="00706737" w:rsidRPr="008D1102" w:rsidRDefault="00706737">
            <w:pPr>
              <w:rPr>
                <w:rFonts w:cstheme="minorHAnsi"/>
                <w:sz w:val="20"/>
                <w:szCs w:val="20"/>
              </w:rPr>
            </w:pPr>
          </w:p>
          <w:p w14:paraId="20E1B8FE" w14:textId="77777777" w:rsidR="00706737" w:rsidRPr="008D1102" w:rsidRDefault="00706737">
            <w:pPr>
              <w:rPr>
                <w:rFonts w:cstheme="minorHAnsi"/>
                <w:i/>
                <w:iCs/>
                <w:sz w:val="20"/>
                <w:szCs w:val="20"/>
              </w:rPr>
            </w:pPr>
            <w:r w:rsidRPr="008D1102">
              <w:rPr>
                <w:rFonts w:cstheme="minorHAnsi"/>
                <w:i/>
                <w:iCs/>
                <w:sz w:val="20"/>
                <w:szCs w:val="20"/>
              </w:rPr>
              <w:t xml:space="preserve">Has the private sector undertaken activities or actions for the conservation, wise use and management of: </w:t>
            </w:r>
          </w:p>
          <w:p w14:paraId="0E82B587" w14:textId="77777777" w:rsidR="00706737" w:rsidRPr="008D1102" w:rsidRDefault="00706737">
            <w:pPr>
              <w:rPr>
                <w:rFonts w:cstheme="minorHAnsi"/>
                <w:i/>
                <w:iCs/>
                <w:sz w:val="20"/>
                <w:szCs w:val="20"/>
              </w:rPr>
            </w:pPr>
            <w:r w:rsidRPr="008D1102">
              <w:rPr>
                <w:rFonts w:cstheme="minorHAnsi"/>
                <w:i/>
                <w:iCs/>
                <w:sz w:val="20"/>
                <w:szCs w:val="20"/>
              </w:rPr>
              <w:t xml:space="preserve">a) Ramsar Sites </w:t>
            </w:r>
          </w:p>
          <w:p w14:paraId="477AB9EF" w14:textId="77777777" w:rsidR="00706737" w:rsidRPr="008D1102" w:rsidRDefault="00706737">
            <w:pPr>
              <w:rPr>
                <w:rFonts w:cstheme="minorHAnsi"/>
                <w:i/>
                <w:iCs/>
                <w:sz w:val="20"/>
                <w:szCs w:val="20"/>
              </w:rPr>
            </w:pPr>
            <w:r w:rsidRPr="008D1102">
              <w:rPr>
                <w:rFonts w:cstheme="minorHAnsi"/>
                <w:i/>
                <w:iCs/>
                <w:sz w:val="20"/>
                <w:szCs w:val="20"/>
              </w:rPr>
              <w:t>b) Wetlands in general</w:t>
            </w:r>
          </w:p>
          <w:p w14:paraId="4A3BE103" w14:textId="77777777" w:rsidR="00706737" w:rsidRPr="008D1102" w:rsidRDefault="00706737">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76340C19" w14:textId="77777777" w:rsidR="00706737" w:rsidRPr="008D1102" w:rsidRDefault="00706737">
            <w:pPr>
              <w:rPr>
                <w:rFonts w:cstheme="minorHAnsi"/>
                <w:sz w:val="20"/>
                <w:szCs w:val="20"/>
              </w:rPr>
            </w:pPr>
            <w:r w:rsidRPr="008D1102">
              <w:rPr>
                <w:rFonts w:cstheme="minorHAnsi"/>
                <w:sz w:val="20"/>
                <w:szCs w:val="20"/>
              </w:rPr>
              <w:t xml:space="preserve">RAMSAR Handbook 5, </w:t>
            </w:r>
            <w:hyperlink r:id="rId8" w:history="1">
              <w:r w:rsidRPr="008D1102">
                <w:rPr>
                  <w:rStyle w:val="Hyperlink"/>
                  <w:rFonts w:cstheme="minorHAnsi"/>
                  <w:sz w:val="20"/>
                  <w:szCs w:val="20"/>
                </w:rPr>
                <w:t>Partnerships</w:t>
              </w:r>
            </w:hyperlink>
            <w:r w:rsidRPr="008D1102">
              <w:rPr>
                <w:rFonts w:cstheme="minorHAnsi"/>
                <w:sz w:val="20"/>
                <w:szCs w:val="20"/>
              </w:rPr>
              <w:t xml:space="preserve"> [2010]</w:t>
            </w:r>
          </w:p>
          <w:p w14:paraId="45C11D62" w14:textId="77777777" w:rsidR="00706737" w:rsidRPr="008D1102" w:rsidRDefault="00706737">
            <w:pPr>
              <w:rPr>
                <w:rFonts w:cstheme="minorHAnsi"/>
                <w:sz w:val="20"/>
                <w:szCs w:val="20"/>
              </w:rPr>
            </w:pPr>
          </w:p>
          <w:p w14:paraId="1C910DA6" w14:textId="77777777" w:rsidR="00706737" w:rsidRPr="008D1102" w:rsidRDefault="00EB5BF3">
            <w:pPr>
              <w:rPr>
                <w:rFonts w:cstheme="minorHAnsi"/>
                <w:sz w:val="20"/>
                <w:szCs w:val="20"/>
              </w:rPr>
            </w:pPr>
            <w:hyperlink r:id="rId9" w:history="1">
              <w:r w:rsidR="00706737" w:rsidRPr="008D1102">
                <w:rPr>
                  <w:rStyle w:val="Hyperlink"/>
                  <w:rFonts w:cstheme="minorHAnsi"/>
                  <w:sz w:val="20"/>
                  <w:szCs w:val="20"/>
                </w:rPr>
                <w:t>Resolution X.12</w:t>
              </w:r>
            </w:hyperlink>
            <w:r w:rsidR="00706737" w:rsidRPr="008D1102">
              <w:rPr>
                <w:rFonts w:cstheme="minorHAnsi"/>
                <w:sz w:val="20"/>
                <w:szCs w:val="20"/>
              </w:rPr>
              <w:t>, Principles for partnerships between the Ramsar Convention and the business sector</w:t>
            </w:r>
          </w:p>
          <w:p w14:paraId="03C55301" w14:textId="77777777" w:rsidR="00706737" w:rsidRPr="008D1102" w:rsidRDefault="00706737">
            <w:pPr>
              <w:rPr>
                <w:rFonts w:cstheme="minorHAnsi"/>
                <w:sz w:val="20"/>
                <w:szCs w:val="20"/>
              </w:rPr>
            </w:pPr>
          </w:p>
          <w:p w14:paraId="440DFB98" w14:textId="2CFDD88F" w:rsidR="00706737" w:rsidRPr="008D1102" w:rsidRDefault="00EB5BF3">
            <w:pPr>
              <w:rPr>
                <w:rFonts w:cstheme="minorHAnsi"/>
                <w:sz w:val="20"/>
                <w:szCs w:val="20"/>
              </w:rPr>
            </w:pPr>
            <w:hyperlink r:id="rId10" w:history="1">
              <w:r w:rsidR="00706737" w:rsidRPr="008D1102">
                <w:rPr>
                  <w:rStyle w:val="Hyperlink"/>
                  <w:rFonts w:cstheme="minorHAnsi"/>
                  <w:sz w:val="20"/>
                  <w:szCs w:val="20"/>
                </w:rPr>
                <w:t>Resolution XI.20</w:t>
              </w:r>
            </w:hyperlink>
            <w:r w:rsidR="00706737" w:rsidRPr="008D1102">
              <w:rPr>
                <w:rFonts w:cstheme="minorHAnsi"/>
                <w:sz w:val="20"/>
                <w:szCs w:val="20"/>
                <w:lang w:val="en-US"/>
              </w:rPr>
              <w:t>,</w:t>
            </w:r>
            <w:r w:rsidR="009B63BE">
              <w:rPr>
                <w:rFonts w:cstheme="minorHAnsi"/>
                <w:sz w:val="20"/>
                <w:szCs w:val="20"/>
                <w:lang w:val="en-US"/>
              </w:rPr>
              <w:t xml:space="preserve"> </w:t>
            </w:r>
          </w:p>
          <w:p w14:paraId="7972499A" w14:textId="719CC02E" w:rsidR="00706737" w:rsidRPr="008D1102" w:rsidRDefault="00706737" w:rsidP="00F123AE">
            <w:pPr>
              <w:rPr>
                <w:rFonts w:cstheme="minorHAnsi"/>
                <w:sz w:val="20"/>
                <w:szCs w:val="20"/>
              </w:rPr>
            </w:pPr>
            <w:r w:rsidRPr="008D1102">
              <w:rPr>
                <w:rFonts w:cstheme="minorHAnsi"/>
                <w:sz w:val="20"/>
                <w:szCs w:val="20"/>
              </w:rPr>
              <w:t xml:space="preserve">Promoting sustainable investment by the public and private sectors to ensure the maintenance of the benefits people and nature gain from wetlands </w:t>
            </w:r>
          </w:p>
        </w:tc>
        <w:tc>
          <w:tcPr>
            <w:tcW w:w="2547" w:type="dxa"/>
            <w:tcBorders>
              <w:top w:val="single" w:sz="4" w:space="0" w:color="auto"/>
              <w:left w:val="single" w:sz="4" w:space="0" w:color="auto"/>
              <w:bottom w:val="single" w:sz="4" w:space="0" w:color="auto"/>
              <w:right w:val="single" w:sz="4" w:space="0" w:color="auto"/>
            </w:tcBorders>
          </w:tcPr>
          <w:p w14:paraId="307E9B66" w14:textId="77777777" w:rsidR="00706737" w:rsidRPr="008D1102" w:rsidRDefault="00706737">
            <w:pPr>
              <w:rPr>
                <w:rFonts w:cstheme="minorHAnsi"/>
                <w:sz w:val="20"/>
                <w:szCs w:val="20"/>
              </w:rPr>
            </w:pPr>
            <w:r w:rsidRPr="008D1102">
              <w:rPr>
                <w:rFonts w:cstheme="minorHAnsi"/>
                <w:sz w:val="20"/>
                <w:szCs w:val="20"/>
              </w:rPr>
              <w:t>Recall to Parties existing tools and resolutions.</w:t>
            </w:r>
          </w:p>
          <w:p w14:paraId="1CC0DF0E" w14:textId="3369AEF6" w:rsidR="004F136B" w:rsidRDefault="004F136B">
            <w:pPr>
              <w:rPr>
                <w:rFonts w:cstheme="minorHAnsi"/>
                <w:bCs/>
                <w:sz w:val="20"/>
                <w:szCs w:val="20"/>
                <w:lang w:val="en-US"/>
              </w:rPr>
            </w:pPr>
          </w:p>
          <w:p w14:paraId="041C54AD" w14:textId="5DC548CC" w:rsidR="00706737" w:rsidRPr="008D1102" w:rsidRDefault="00573505">
            <w:pPr>
              <w:rPr>
                <w:rFonts w:cstheme="minorHAnsi"/>
                <w:sz w:val="20"/>
                <w:szCs w:val="20"/>
              </w:rPr>
            </w:pPr>
            <w:r>
              <w:rPr>
                <w:rFonts w:cstheme="minorHAnsi"/>
                <w:bCs/>
                <w:sz w:val="20"/>
                <w:szCs w:val="20"/>
                <w:lang w:val="en-US"/>
              </w:rPr>
              <w:t>Call for and c</w:t>
            </w:r>
            <w:r w:rsidR="004F136B" w:rsidRPr="008D1102">
              <w:rPr>
                <w:rFonts w:cstheme="minorHAnsi"/>
                <w:bCs/>
                <w:sz w:val="20"/>
                <w:szCs w:val="20"/>
                <w:lang w:val="en-US"/>
              </w:rPr>
              <w:t>ompile case studies of best practice by Parties</w:t>
            </w:r>
          </w:p>
          <w:p w14:paraId="7CA8844A" w14:textId="28A9EA48" w:rsidR="004F136B" w:rsidRDefault="004F136B">
            <w:pPr>
              <w:rPr>
                <w:rFonts w:cstheme="minorHAnsi"/>
                <w:sz w:val="20"/>
                <w:szCs w:val="20"/>
              </w:rPr>
            </w:pPr>
          </w:p>
          <w:p w14:paraId="198D95F7" w14:textId="36D3F601" w:rsidR="00650CBB" w:rsidRDefault="00650CBB">
            <w:pPr>
              <w:rPr>
                <w:rFonts w:cstheme="minorHAnsi"/>
                <w:sz w:val="20"/>
                <w:szCs w:val="20"/>
              </w:rPr>
            </w:pPr>
            <w:r>
              <w:rPr>
                <w:rFonts w:cstheme="minorHAnsi"/>
                <w:sz w:val="20"/>
                <w:szCs w:val="20"/>
              </w:rPr>
              <w:t>------------------------------------</w:t>
            </w:r>
          </w:p>
          <w:p w14:paraId="1EFDA07D" w14:textId="77777777" w:rsidR="00650CBB" w:rsidRPr="008D1102" w:rsidRDefault="00650CBB">
            <w:pPr>
              <w:rPr>
                <w:rFonts w:cstheme="minorHAnsi"/>
                <w:sz w:val="20"/>
                <w:szCs w:val="20"/>
              </w:rPr>
            </w:pPr>
          </w:p>
          <w:p w14:paraId="5A6FB855" w14:textId="2E39DB8D" w:rsidR="00706737" w:rsidRPr="008D1102" w:rsidRDefault="00706737">
            <w:pPr>
              <w:rPr>
                <w:rFonts w:cstheme="minorHAnsi"/>
                <w:sz w:val="20"/>
                <w:szCs w:val="20"/>
              </w:rPr>
            </w:pPr>
            <w:r w:rsidRPr="008D1102">
              <w:rPr>
                <w:rFonts w:cstheme="minorHAnsi"/>
                <w:sz w:val="20"/>
                <w:szCs w:val="20"/>
              </w:rPr>
              <w:t xml:space="preserve">Development of new guidance on private sector engagement. </w:t>
            </w:r>
          </w:p>
          <w:p w14:paraId="0602069A" w14:textId="77777777" w:rsidR="00EE5F7B" w:rsidRPr="008D1102" w:rsidRDefault="00EE5F7B">
            <w:pPr>
              <w:rPr>
                <w:rFonts w:cstheme="minorHAnsi"/>
                <w:sz w:val="20"/>
                <w:szCs w:val="20"/>
              </w:rPr>
            </w:pPr>
          </w:p>
          <w:p w14:paraId="4DE9224D" w14:textId="0FE1E467" w:rsidR="00EE5F7B" w:rsidRPr="008D1102" w:rsidRDefault="00EE5F7B" w:rsidP="00837D4D">
            <w:pPr>
              <w:rPr>
                <w:rFonts w:cstheme="minorHAnsi"/>
                <w:sz w:val="20"/>
                <w:szCs w:val="20"/>
              </w:rPr>
            </w:pPr>
          </w:p>
        </w:tc>
        <w:tc>
          <w:tcPr>
            <w:tcW w:w="1816" w:type="dxa"/>
            <w:tcBorders>
              <w:top w:val="single" w:sz="4" w:space="0" w:color="auto"/>
              <w:left w:val="single" w:sz="4" w:space="0" w:color="auto"/>
              <w:bottom w:val="single" w:sz="4" w:space="0" w:color="auto"/>
              <w:right w:val="single" w:sz="4" w:space="0" w:color="auto"/>
            </w:tcBorders>
          </w:tcPr>
          <w:p w14:paraId="2E31B64D" w14:textId="74869F7C" w:rsidR="004F136B" w:rsidRPr="008D1102" w:rsidRDefault="004A16ED" w:rsidP="004F136B">
            <w:pPr>
              <w:rPr>
                <w:rFonts w:cstheme="minorHAnsi"/>
                <w:sz w:val="20"/>
                <w:szCs w:val="20"/>
              </w:rPr>
            </w:pPr>
            <w:r w:rsidRPr="008D1102">
              <w:rPr>
                <w:rFonts w:cstheme="minorHAnsi"/>
                <w:sz w:val="20"/>
                <w:szCs w:val="20"/>
              </w:rPr>
              <w:t>Secretariat</w:t>
            </w:r>
            <w:r w:rsidR="00CA55CE" w:rsidRPr="008D1102">
              <w:rPr>
                <w:rFonts w:cstheme="minorHAnsi"/>
                <w:sz w:val="20"/>
                <w:szCs w:val="20"/>
              </w:rPr>
              <w:t xml:space="preserve"> </w:t>
            </w:r>
          </w:p>
          <w:p w14:paraId="42D9328D" w14:textId="176F10D6" w:rsidR="004A16ED" w:rsidRPr="008D1102" w:rsidRDefault="004A16ED">
            <w:pPr>
              <w:rPr>
                <w:rFonts w:cstheme="minorHAnsi"/>
                <w:sz w:val="20"/>
                <w:szCs w:val="20"/>
              </w:rPr>
            </w:pPr>
          </w:p>
          <w:p w14:paraId="096B7BE4" w14:textId="77777777" w:rsidR="00340DCD" w:rsidRPr="008D1102" w:rsidRDefault="00340DCD">
            <w:pPr>
              <w:rPr>
                <w:rFonts w:cstheme="minorHAnsi"/>
                <w:sz w:val="20"/>
                <w:szCs w:val="20"/>
              </w:rPr>
            </w:pPr>
            <w:r w:rsidRPr="008D1102">
              <w:rPr>
                <w:rFonts w:cstheme="minorHAnsi"/>
                <w:sz w:val="20"/>
                <w:szCs w:val="20"/>
              </w:rPr>
              <w:t xml:space="preserve">Timing: </w:t>
            </w:r>
          </w:p>
          <w:p w14:paraId="02E6FBE3" w14:textId="2169A39E" w:rsidR="00340DCD" w:rsidRPr="008D1102" w:rsidRDefault="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00340DCD" w:rsidRPr="008D1102">
              <w:rPr>
                <w:rFonts w:cstheme="minorHAnsi"/>
                <w:sz w:val="20"/>
                <w:szCs w:val="20"/>
              </w:rPr>
              <w:t>to COP14</w:t>
            </w:r>
            <w:r w:rsidRPr="008D1102">
              <w:rPr>
                <w:rFonts w:cstheme="minorHAnsi"/>
                <w:sz w:val="20"/>
                <w:szCs w:val="20"/>
              </w:rPr>
              <w:t xml:space="preserve"> i</w:t>
            </w:r>
            <w:r w:rsidR="00617802" w:rsidRPr="008D1102">
              <w:rPr>
                <w:rFonts w:cstheme="minorHAnsi"/>
                <w:sz w:val="20"/>
                <w:szCs w:val="20"/>
              </w:rPr>
              <w:t xml:space="preserve">f capacity </w:t>
            </w:r>
            <w:r w:rsidR="00340DCD" w:rsidRPr="008D1102">
              <w:rPr>
                <w:rFonts w:cstheme="minorHAnsi"/>
                <w:sz w:val="20"/>
                <w:szCs w:val="20"/>
              </w:rPr>
              <w:t xml:space="preserve">allows </w:t>
            </w:r>
          </w:p>
          <w:p w14:paraId="657CA3A5" w14:textId="77777777" w:rsidR="00E56F22" w:rsidRPr="008D1102" w:rsidRDefault="00617802">
            <w:pPr>
              <w:rPr>
                <w:rFonts w:cstheme="minorHAnsi"/>
                <w:sz w:val="20"/>
                <w:szCs w:val="20"/>
              </w:rPr>
            </w:pPr>
            <w:r w:rsidRPr="008D1102">
              <w:rPr>
                <w:rFonts w:cstheme="minorHAnsi"/>
                <w:sz w:val="20"/>
                <w:szCs w:val="20"/>
              </w:rPr>
              <w:t xml:space="preserve">OR </w:t>
            </w:r>
          </w:p>
          <w:p w14:paraId="0B819DDC" w14:textId="6CB6AAAE" w:rsidR="00340DCD" w:rsidRPr="008D1102" w:rsidRDefault="00340DCD">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29713D71" w14:textId="77777777" w:rsidR="00340DCD" w:rsidRPr="008D1102" w:rsidRDefault="00340DCD">
            <w:pPr>
              <w:rPr>
                <w:rFonts w:cstheme="minorHAnsi"/>
                <w:sz w:val="20"/>
                <w:szCs w:val="20"/>
              </w:rPr>
            </w:pPr>
          </w:p>
          <w:p w14:paraId="1AE5A268" w14:textId="5696ED0D" w:rsidR="00340DCD" w:rsidRPr="008D1102" w:rsidRDefault="00340DCD">
            <w:pPr>
              <w:rPr>
                <w:rFonts w:cstheme="minorHAnsi"/>
                <w:sz w:val="20"/>
                <w:szCs w:val="20"/>
              </w:rPr>
            </w:pPr>
            <w:r w:rsidRPr="008D1102">
              <w:rPr>
                <w:rFonts w:cstheme="minorHAnsi"/>
                <w:sz w:val="20"/>
                <w:szCs w:val="20"/>
              </w:rPr>
              <w:t xml:space="preserve">Funding: </w:t>
            </w:r>
          </w:p>
          <w:p w14:paraId="3071DA9A" w14:textId="5657E558" w:rsidR="00340DCD" w:rsidRPr="008D1102" w:rsidRDefault="00340DCD">
            <w:pPr>
              <w:rPr>
                <w:rFonts w:cstheme="minorHAnsi"/>
                <w:sz w:val="20"/>
                <w:szCs w:val="20"/>
              </w:rPr>
            </w:pPr>
            <w:r w:rsidRPr="008D1102">
              <w:rPr>
                <w:rFonts w:cstheme="minorHAnsi"/>
                <w:sz w:val="20"/>
                <w:szCs w:val="20"/>
              </w:rPr>
              <w:t xml:space="preserve">Existing resources </w:t>
            </w:r>
          </w:p>
          <w:p w14:paraId="06639A3C" w14:textId="3E7A247C" w:rsidR="00340DCD" w:rsidRPr="008D1102" w:rsidRDefault="00E56F22">
            <w:pPr>
              <w:rPr>
                <w:rFonts w:cstheme="minorHAnsi"/>
                <w:sz w:val="20"/>
                <w:szCs w:val="20"/>
              </w:rPr>
            </w:pPr>
            <w:r w:rsidRPr="008D1102">
              <w:rPr>
                <w:rFonts w:cstheme="minorHAnsi"/>
                <w:sz w:val="20"/>
                <w:szCs w:val="20"/>
              </w:rPr>
              <w:t>-----------------------</w:t>
            </w:r>
          </w:p>
          <w:p w14:paraId="560282FB" w14:textId="4E7BFE61" w:rsidR="004A16ED" w:rsidRPr="008D1102" w:rsidRDefault="004A16ED">
            <w:pPr>
              <w:rPr>
                <w:rFonts w:cstheme="minorHAnsi"/>
                <w:sz w:val="20"/>
                <w:szCs w:val="20"/>
              </w:rPr>
            </w:pPr>
            <w:r w:rsidRPr="008D1102">
              <w:rPr>
                <w:rFonts w:cstheme="minorHAnsi"/>
                <w:sz w:val="20"/>
                <w:szCs w:val="20"/>
              </w:rPr>
              <w:t xml:space="preserve">Consultancy </w:t>
            </w:r>
            <w:r w:rsidR="00DD342C" w:rsidRPr="008D1102">
              <w:rPr>
                <w:rFonts w:cstheme="minorHAnsi"/>
                <w:sz w:val="20"/>
                <w:szCs w:val="20"/>
              </w:rPr>
              <w:t xml:space="preserve">to develop </w:t>
            </w:r>
            <w:r w:rsidR="00DC77AD" w:rsidRPr="008D1102">
              <w:rPr>
                <w:rFonts w:cstheme="minorHAnsi"/>
                <w:sz w:val="20"/>
                <w:szCs w:val="20"/>
              </w:rPr>
              <w:t xml:space="preserve">new </w:t>
            </w:r>
            <w:r w:rsidR="00DD342C" w:rsidRPr="008D1102">
              <w:rPr>
                <w:rFonts w:cstheme="minorHAnsi"/>
                <w:sz w:val="20"/>
                <w:szCs w:val="20"/>
              </w:rPr>
              <w:t>guidance</w:t>
            </w:r>
            <w:r w:rsidR="009B63BE">
              <w:rPr>
                <w:rFonts w:cstheme="minorHAnsi"/>
                <w:sz w:val="20"/>
                <w:szCs w:val="20"/>
              </w:rPr>
              <w:t xml:space="preserve"> </w:t>
            </w:r>
            <w:r w:rsidR="00DD342C" w:rsidRPr="008D1102">
              <w:rPr>
                <w:rFonts w:cstheme="minorHAnsi"/>
                <w:sz w:val="20"/>
                <w:szCs w:val="20"/>
              </w:rPr>
              <w:t xml:space="preserve">oversighted by </w:t>
            </w:r>
            <w:r w:rsidR="00340DCD" w:rsidRPr="008D1102">
              <w:rPr>
                <w:rFonts w:cstheme="minorHAnsi"/>
                <w:sz w:val="20"/>
                <w:szCs w:val="20"/>
              </w:rPr>
              <w:t xml:space="preserve">a </w:t>
            </w:r>
            <w:r w:rsidR="004F136B" w:rsidRPr="008D1102">
              <w:rPr>
                <w:rFonts w:cstheme="minorHAnsi"/>
                <w:sz w:val="20"/>
                <w:szCs w:val="20"/>
              </w:rPr>
              <w:t xml:space="preserve">WG </w:t>
            </w:r>
            <w:r w:rsidR="00340DCD" w:rsidRPr="008D1102">
              <w:rPr>
                <w:rFonts w:cstheme="minorHAnsi"/>
                <w:sz w:val="20"/>
                <w:szCs w:val="20"/>
              </w:rPr>
              <w:t xml:space="preserve">to develop ToR </w:t>
            </w:r>
            <w:r w:rsidR="00DD342C" w:rsidRPr="008D1102">
              <w:rPr>
                <w:rFonts w:cstheme="minorHAnsi"/>
                <w:sz w:val="20"/>
                <w:szCs w:val="20"/>
              </w:rPr>
              <w:t>review</w:t>
            </w:r>
            <w:r w:rsidR="00E56F22" w:rsidRPr="008D1102">
              <w:rPr>
                <w:rFonts w:cstheme="minorHAnsi"/>
                <w:sz w:val="20"/>
                <w:szCs w:val="20"/>
              </w:rPr>
              <w:t xml:space="preserve"> </w:t>
            </w:r>
            <w:r w:rsidR="00340DCD" w:rsidRPr="008D1102">
              <w:rPr>
                <w:rFonts w:cstheme="minorHAnsi"/>
                <w:sz w:val="20"/>
                <w:szCs w:val="20"/>
              </w:rPr>
              <w:t xml:space="preserve">and action </w:t>
            </w:r>
            <w:r w:rsidR="005F415C" w:rsidRPr="008D1102">
              <w:rPr>
                <w:rFonts w:cstheme="minorHAnsi"/>
                <w:sz w:val="20"/>
                <w:szCs w:val="20"/>
              </w:rPr>
              <w:t>publi</w:t>
            </w:r>
            <w:r w:rsidR="00DD342C" w:rsidRPr="008D1102">
              <w:rPr>
                <w:rFonts w:cstheme="minorHAnsi"/>
                <w:sz w:val="20"/>
                <w:szCs w:val="20"/>
              </w:rPr>
              <w:t>cation of</w:t>
            </w:r>
            <w:r w:rsidR="005F415C" w:rsidRPr="008D1102">
              <w:rPr>
                <w:rFonts w:cstheme="minorHAnsi"/>
                <w:sz w:val="20"/>
                <w:szCs w:val="20"/>
              </w:rPr>
              <w:t xml:space="preserve"> guidance.</w:t>
            </w:r>
            <w:r w:rsidR="009B63BE">
              <w:rPr>
                <w:rFonts w:cstheme="minorHAnsi"/>
                <w:sz w:val="20"/>
                <w:szCs w:val="20"/>
              </w:rPr>
              <w:t xml:space="preserve"> </w:t>
            </w:r>
          </w:p>
          <w:p w14:paraId="468C4FE5" w14:textId="77777777" w:rsidR="005F415C" w:rsidRPr="008D1102" w:rsidRDefault="005F415C" w:rsidP="00340DCD">
            <w:pPr>
              <w:rPr>
                <w:rFonts w:cstheme="minorHAnsi"/>
                <w:sz w:val="20"/>
                <w:szCs w:val="20"/>
              </w:rPr>
            </w:pPr>
          </w:p>
          <w:p w14:paraId="0ECAD910" w14:textId="1BFCA680" w:rsidR="00340DCD" w:rsidRPr="008D1102" w:rsidRDefault="00340DCD" w:rsidP="00340DCD">
            <w:pPr>
              <w:rPr>
                <w:rFonts w:cstheme="minorHAnsi"/>
                <w:sz w:val="20"/>
                <w:szCs w:val="20"/>
              </w:rPr>
            </w:pPr>
            <w:r w:rsidRPr="008D1102">
              <w:rPr>
                <w:rFonts w:cstheme="minorHAnsi"/>
                <w:sz w:val="20"/>
                <w:szCs w:val="20"/>
              </w:rPr>
              <w:t xml:space="preserve">Timing: </w:t>
            </w:r>
          </w:p>
          <w:p w14:paraId="4C05FEC4" w14:textId="05DAB5BE" w:rsidR="00340DCD" w:rsidRPr="008D1102" w:rsidRDefault="00340DCD" w:rsidP="00340DCD">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1D0B8770" w14:textId="77777777" w:rsidR="00340DCD" w:rsidRPr="008D1102" w:rsidRDefault="00340DCD" w:rsidP="00340DCD">
            <w:pPr>
              <w:rPr>
                <w:rFonts w:cstheme="minorHAnsi"/>
                <w:sz w:val="20"/>
                <w:szCs w:val="20"/>
              </w:rPr>
            </w:pPr>
          </w:p>
          <w:p w14:paraId="458ADB73" w14:textId="327B0015" w:rsidR="00340DCD" w:rsidRPr="008D1102" w:rsidRDefault="00340DCD">
            <w:pPr>
              <w:rPr>
                <w:rFonts w:cstheme="minorHAnsi"/>
                <w:sz w:val="20"/>
                <w:szCs w:val="20"/>
              </w:rPr>
            </w:pPr>
            <w:r w:rsidRPr="008D1102">
              <w:rPr>
                <w:rFonts w:cstheme="minorHAnsi"/>
                <w:sz w:val="20"/>
                <w:szCs w:val="20"/>
              </w:rPr>
              <w:t>Funding:</w:t>
            </w:r>
            <w:r w:rsidR="009B63BE">
              <w:rPr>
                <w:rFonts w:cstheme="minorHAnsi"/>
                <w:sz w:val="20"/>
                <w:szCs w:val="20"/>
              </w:rPr>
              <w:t xml:space="preserve"> </w:t>
            </w:r>
          </w:p>
          <w:p w14:paraId="1A66E183" w14:textId="33BEF91A" w:rsidR="00CC13B9" w:rsidRPr="008D1102" w:rsidRDefault="00340DCD" w:rsidP="00CC13B9">
            <w:pPr>
              <w:tabs>
                <w:tab w:val="left" w:pos="1070"/>
              </w:tabs>
              <w:rPr>
                <w:rFonts w:cstheme="minorHAnsi"/>
                <w:sz w:val="20"/>
                <w:szCs w:val="20"/>
              </w:rPr>
            </w:pPr>
            <w:r w:rsidRPr="008D1102">
              <w:rPr>
                <w:rFonts w:cstheme="minorHAnsi"/>
                <w:sz w:val="20"/>
                <w:szCs w:val="20"/>
              </w:rPr>
              <w:t>S</w:t>
            </w:r>
            <w:r w:rsidR="004F136B" w:rsidRPr="008D1102">
              <w:rPr>
                <w:rFonts w:cstheme="minorHAnsi"/>
                <w:sz w:val="20"/>
                <w:szCs w:val="20"/>
              </w:rPr>
              <w:t xml:space="preserve">ubject to availability of </w:t>
            </w:r>
            <w:r w:rsidRPr="008D1102">
              <w:rPr>
                <w:rFonts w:cstheme="minorHAnsi"/>
                <w:sz w:val="20"/>
                <w:szCs w:val="20"/>
              </w:rPr>
              <w:t xml:space="preserve">new </w:t>
            </w:r>
            <w:r w:rsidR="004F136B" w:rsidRPr="008D1102">
              <w:rPr>
                <w:rFonts w:cstheme="minorHAnsi"/>
                <w:sz w:val="20"/>
                <w:szCs w:val="20"/>
              </w:rPr>
              <w:t>resources</w:t>
            </w:r>
            <w:r w:rsidR="009B63BE">
              <w:rPr>
                <w:rFonts w:cstheme="minorHAnsi"/>
                <w:sz w:val="20"/>
                <w:szCs w:val="20"/>
              </w:rPr>
              <w:t xml:space="preserve"> </w:t>
            </w:r>
          </w:p>
        </w:tc>
      </w:tr>
      <w:tr w:rsidR="00706737" w:rsidRPr="008D1102" w14:paraId="273104D2" w14:textId="77E61BF4" w:rsidTr="00965133">
        <w:trPr>
          <w:trHeight w:val="70"/>
        </w:trPr>
        <w:tc>
          <w:tcPr>
            <w:tcW w:w="1528" w:type="dxa"/>
            <w:tcBorders>
              <w:top w:val="single" w:sz="4" w:space="0" w:color="auto"/>
              <w:left w:val="single" w:sz="4" w:space="0" w:color="auto"/>
              <w:bottom w:val="single" w:sz="4" w:space="0" w:color="auto"/>
              <w:right w:val="single" w:sz="4" w:space="0" w:color="auto"/>
            </w:tcBorders>
            <w:hideMark/>
          </w:tcPr>
          <w:p w14:paraId="39332DFF" w14:textId="77777777" w:rsidR="00706737" w:rsidRPr="008D1102" w:rsidRDefault="00706737">
            <w:pPr>
              <w:rPr>
                <w:rFonts w:cstheme="minorHAnsi"/>
                <w:b/>
                <w:bCs/>
                <w:sz w:val="20"/>
                <w:szCs w:val="20"/>
              </w:rPr>
            </w:pPr>
            <w:r w:rsidRPr="008D1102">
              <w:rPr>
                <w:rFonts w:cstheme="minorHAnsi"/>
                <w:b/>
                <w:bCs/>
                <w:sz w:val="20"/>
                <w:szCs w:val="20"/>
              </w:rPr>
              <w:t>Goal 2</w:t>
            </w:r>
          </w:p>
          <w:p w14:paraId="7B7853BE" w14:textId="77777777" w:rsidR="00706737" w:rsidRPr="008D1102" w:rsidRDefault="00706737">
            <w:pPr>
              <w:rPr>
                <w:rFonts w:cstheme="minorHAnsi"/>
                <w:bCs/>
                <w:sz w:val="20"/>
                <w:szCs w:val="20"/>
              </w:rPr>
            </w:pPr>
            <w:r w:rsidRPr="008D1102">
              <w:rPr>
                <w:rFonts w:cstheme="minorHAnsi"/>
                <w:bCs/>
                <w:sz w:val="20"/>
                <w:szCs w:val="20"/>
              </w:rPr>
              <w:t>Effectively conserving and managing the Ramsar Site network</w:t>
            </w:r>
          </w:p>
        </w:tc>
        <w:tc>
          <w:tcPr>
            <w:tcW w:w="2294" w:type="dxa"/>
            <w:tcBorders>
              <w:top w:val="single" w:sz="4" w:space="0" w:color="auto"/>
              <w:left w:val="single" w:sz="4" w:space="0" w:color="auto"/>
              <w:bottom w:val="single" w:sz="4" w:space="0" w:color="auto"/>
              <w:right w:val="single" w:sz="4" w:space="0" w:color="auto"/>
            </w:tcBorders>
          </w:tcPr>
          <w:p w14:paraId="5231A47F" w14:textId="77777777" w:rsidR="00706737" w:rsidRPr="008D1102" w:rsidRDefault="00706737">
            <w:pPr>
              <w:rPr>
                <w:rFonts w:cstheme="minorHAnsi"/>
                <w:sz w:val="20"/>
                <w:szCs w:val="20"/>
              </w:rPr>
            </w:pPr>
            <w:r w:rsidRPr="008D1102">
              <w:rPr>
                <w:rFonts w:cstheme="minorHAnsi"/>
                <w:b/>
                <w:bCs/>
                <w:sz w:val="20"/>
                <w:szCs w:val="20"/>
              </w:rPr>
              <w:t>Target 5</w:t>
            </w:r>
            <w:r w:rsidRPr="008D1102">
              <w:rPr>
                <w:rFonts w:cstheme="minorHAnsi"/>
                <w:sz w:val="20"/>
                <w:szCs w:val="20"/>
              </w:rPr>
              <w:t xml:space="preserve"> – site planning and management of</w:t>
            </w:r>
          </w:p>
          <w:p w14:paraId="3D09C02E" w14:textId="77777777" w:rsidR="00706737" w:rsidRPr="008D1102" w:rsidRDefault="00706737">
            <w:pPr>
              <w:rPr>
                <w:rFonts w:cstheme="minorHAnsi"/>
                <w:i/>
                <w:iCs/>
                <w:sz w:val="20"/>
                <w:szCs w:val="20"/>
              </w:rPr>
            </w:pPr>
            <w:r w:rsidRPr="008D1102">
              <w:rPr>
                <w:rFonts w:cstheme="minorHAnsi"/>
                <w:i/>
                <w:iCs/>
                <w:sz w:val="20"/>
                <w:szCs w:val="20"/>
              </w:rPr>
              <w:t>Transboundary Ramsar Sites</w:t>
            </w:r>
          </w:p>
          <w:p w14:paraId="3A1E884B" w14:textId="77777777" w:rsidR="00706737" w:rsidRPr="008D1102" w:rsidRDefault="00706737">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405F6815" w14:textId="77777777" w:rsidR="00706737" w:rsidRPr="008D1102" w:rsidRDefault="00706737">
            <w:pPr>
              <w:rPr>
                <w:rFonts w:cstheme="minorHAnsi"/>
                <w:bCs/>
                <w:sz w:val="20"/>
                <w:szCs w:val="20"/>
                <w:lang w:val="en-US"/>
              </w:rPr>
            </w:pPr>
            <w:r w:rsidRPr="008D1102">
              <w:rPr>
                <w:rFonts w:cstheme="minorHAnsi"/>
                <w:bCs/>
                <w:sz w:val="20"/>
                <w:szCs w:val="20"/>
                <w:lang w:val="en-US"/>
              </w:rPr>
              <w:t>There is no guidance available and no indicators to measure management of Transboundary Ramsar Sites</w:t>
            </w:r>
          </w:p>
          <w:p w14:paraId="2728C85E" w14:textId="77777777" w:rsidR="00706737" w:rsidRPr="008D1102" w:rsidRDefault="00706737">
            <w:pPr>
              <w:rPr>
                <w:rFonts w:cstheme="minorHAnsi"/>
                <w:sz w:val="20"/>
                <w:szCs w:val="20"/>
                <w:lang w:val="en-US"/>
              </w:rPr>
            </w:pPr>
          </w:p>
          <w:p w14:paraId="629B96B6" w14:textId="77777777" w:rsidR="00706737" w:rsidRPr="008D1102" w:rsidRDefault="00EB5BF3">
            <w:pPr>
              <w:rPr>
                <w:rFonts w:cstheme="minorHAnsi"/>
                <w:sz w:val="20"/>
                <w:szCs w:val="20"/>
                <w:lang w:val="en-GB"/>
              </w:rPr>
            </w:pPr>
            <w:hyperlink r:id="rId11" w:history="1">
              <w:r w:rsidR="00706737" w:rsidRPr="008D1102">
                <w:rPr>
                  <w:rStyle w:val="Hyperlink"/>
                  <w:rFonts w:cstheme="minorHAnsi"/>
                  <w:sz w:val="20"/>
                  <w:szCs w:val="20"/>
                  <w:lang w:val="en-US"/>
                </w:rPr>
                <w:t>COP 10 Document 32</w:t>
              </w:r>
            </w:hyperlink>
            <w:r w:rsidR="00706737" w:rsidRPr="008D1102">
              <w:rPr>
                <w:rFonts w:cstheme="minorHAnsi"/>
                <w:sz w:val="20"/>
                <w:szCs w:val="20"/>
                <w:lang w:val="en-US"/>
              </w:rPr>
              <w:t xml:space="preserve">, </w:t>
            </w:r>
            <w:r w:rsidR="00706737" w:rsidRPr="008D1102">
              <w:rPr>
                <w:rFonts w:cstheme="minorHAnsi"/>
                <w:sz w:val="20"/>
                <w:szCs w:val="20"/>
              </w:rPr>
              <w:t xml:space="preserve">The evolution of the </w:t>
            </w:r>
            <w:r w:rsidR="00706737" w:rsidRPr="008D1102">
              <w:rPr>
                <w:rFonts w:cstheme="minorHAnsi"/>
                <w:sz w:val="20"/>
                <w:szCs w:val="20"/>
                <w:lang w:val="en-US"/>
              </w:rPr>
              <w:t xml:space="preserve">COP 10, Document 32: </w:t>
            </w:r>
            <w:r w:rsidR="00706737" w:rsidRPr="008D1102">
              <w:rPr>
                <w:rFonts w:cstheme="minorHAnsi"/>
                <w:sz w:val="20"/>
                <w:szCs w:val="20"/>
              </w:rPr>
              <w:t xml:space="preserve">Transboundary Ramsar Sites initiative </w:t>
            </w:r>
          </w:p>
          <w:p w14:paraId="05F1B8C9" w14:textId="77777777" w:rsidR="00706737" w:rsidRPr="008D1102" w:rsidRDefault="00706737">
            <w:pPr>
              <w:rPr>
                <w:rFonts w:cstheme="minorHAnsi"/>
                <w:sz w:val="20"/>
                <w:szCs w:val="20"/>
              </w:rPr>
            </w:pPr>
          </w:p>
          <w:p w14:paraId="3B6A8818" w14:textId="0772D6C1" w:rsidR="00706737" w:rsidRPr="008D1102" w:rsidRDefault="00EB5BF3" w:rsidP="00F123AE">
            <w:pPr>
              <w:rPr>
                <w:rFonts w:cstheme="minorHAnsi"/>
                <w:sz w:val="20"/>
                <w:szCs w:val="20"/>
              </w:rPr>
            </w:pPr>
            <w:hyperlink r:id="rId12" w:history="1">
              <w:r w:rsidR="00706737" w:rsidRPr="008D1102">
                <w:rPr>
                  <w:rStyle w:val="Hyperlink"/>
                  <w:rFonts w:cstheme="minorHAnsi"/>
                  <w:sz w:val="20"/>
                  <w:szCs w:val="20"/>
                </w:rPr>
                <w:t>List of Transboundary Ramsar Sites</w:t>
              </w:r>
            </w:hyperlink>
            <w:r w:rsidR="00706737" w:rsidRPr="008D1102">
              <w:rPr>
                <w:rFonts w:cstheme="minorHAnsi"/>
                <w:sz w:val="20"/>
                <w:szCs w:val="20"/>
              </w:rPr>
              <w:t xml:space="preserve"> </w:t>
            </w:r>
          </w:p>
        </w:tc>
        <w:tc>
          <w:tcPr>
            <w:tcW w:w="2547" w:type="dxa"/>
            <w:tcBorders>
              <w:top w:val="single" w:sz="4" w:space="0" w:color="auto"/>
              <w:left w:val="single" w:sz="4" w:space="0" w:color="auto"/>
              <w:bottom w:val="single" w:sz="4" w:space="0" w:color="auto"/>
              <w:right w:val="single" w:sz="4" w:space="0" w:color="auto"/>
            </w:tcBorders>
            <w:hideMark/>
          </w:tcPr>
          <w:p w14:paraId="00F3E1FB" w14:textId="6CFD6229" w:rsidR="00706737" w:rsidRPr="008D1102" w:rsidRDefault="00706737" w:rsidP="00DE64D1">
            <w:pPr>
              <w:rPr>
                <w:rFonts w:cstheme="minorHAnsi"/>
                <w:sz w:val="20"/>
                <w:szCs w:val="20"/>
              </w:rPr>
            </w:pPr>
            <w:r w:rsidRPr="008D1102">
              <w:rPr>
                <w:rFonts w:cstheme="minorHAnsi"/>
                <w:sz w:val="20"/>
                <w:szCs w:val="20"/>
              </w:rPr>
              <w:t>Development of guidance</w:t>
            </w:r>
            <w:r w:rsidR="0078713E">
              <w:rPr>
                <w:rFonts w:cstheme="minorHAnsi"/>
                <w:sz w:val="20"/>
                <w:szCs w:val="20"/>
              </w:rPr>
              <w:t xml:space="preserve"> and Indicators</w:t>
            </w:r>
            <w:r w:rsidRPr="008D1102">
              <w:rPr>
                <w:rFonts w:cstheme="minorHAnsi"/>
                <w:sz w:val="20"/>
                <w:szCs w:val="20"/>
              </w:rPr>
              <w:t xml:space="preserve">. </w:t>
            </w:r>
          </w:p>
        </w:tc>
        <w:tc>
          <w:tcPr>
            <w:tcW w:w="1816" w:type="dxa"/>
            <w:tcBorders>
              <w:top w:val="single" w:sz="4" w:space="0" w:color="auto"/>
              <w:left w:val="single" w:sz="4" w:space="0" w:color="auto"/>
              <w:bottom w:val="single" w:sz="4" w:space="0" w:color="auto"/>
              <w:right w:val="single" w:sz="4" w:space="0" w:color="auto"/>
            </w:tcBorders>
          </w:tcPr>
          <w:p w14:paraId="0935209B" w14:textId="40671B42" w:rsidR="004A16ED" w:rsidRPr="008D1102" w:rsidRDefault="005F415C">
            <w:pPr>
              <w:rPr>
                <w:rFonts w:cstheme="minorHAnsi"/>
                <w:sz w:val="20"/>
                <w:szCs w:val="20"/>
              </w:rPr>
            </w:pPr>
            <w:r w:rsidRPr="008D1102">
              <w:rPr>
                <w:rFonts w:cstheme="minorHAnsi"/>
                <w:sz w:val="20"/>
                <w:szCs w:val="20"/>
              </w:rPr>
              <w:t xml:space="preserve">STRP or </w:t>
            </w:r>
            <w:r w:rsidR="004A16ED" w:rsidRPr="008D1102">
              <w:rPr>
                <w:rFonts w:cstheme="minorHAnsi"/>
                <w:sz w:val="20"/>
                <w:szCs w:val="20"/>
              </w:rPr>
              <w:t xml:space="preserve">Consultancy </w:t>
            </w:r>
            <w:r w:rsidR="00CA55CE" w:rsidRPr="008D1102">
              <w:rPr>
                <w:rFonts w:cstheme="minorHAnsi"/>
                <w:sz w:val="20"/>
                <w:szCs w:val="20"/>
              </w:rPr>
              <w:t>to prepare guidance</w:t>
            </w:r>
            <w:r w:rsidR="009B63BE">
              <w:rPr>
                <w:rFonts w:cstheme="minorHAnsi"/>
                <w:sz w:val="20"/>
                <w:szCs w:val="20"/>
              </w:rPr>
              <w:t xml:space="preserve"> </w:t>
            </w:r>
          </w:p>
          <w:p w14:paraId="7DC0E6A6" w14:textId="6ED68AE7" w:rsidR="00617802" w:rsidRPr="008D1102" w:rsidRDefault="00617802">
            <w:pPr>
              <w:rPr>
                <w:rFonts w:cstheme="minorHAnsi"/>
                <w:sz w:val="20"/>
                <w:szCs w:val="20"/>
              </w:rPr>
            </w:pPr>
          </w:p>
          <w:p w14:paraId="7FE806D2" w14:textId="4E8D9163" w:rsidR="00706737" w:rsidRPr="008D1102" w:rsidRDefault="004A16ED">
            <w:pPr>
              <w:rPr>
                <w:rFonts w:cstheme="minorHAnsi"/>
                <w:sz w:val="20"/>
                <w:szCs w:val="20"/>
              </w:rPr>
            </w:pPr>
            <w:r w:rsidRPr="008D1102">
              <w:rPr>
                <w:rFonts w:cstheme="minorHAnsi"/>
                <w:sz w:val="20"/>
                <w:szCs w:val="20"/>
              </w:rPr>
              <w:t>STRP</w:t>
            </w:r>
            <w:r w:rsidR="009B63BE">
              <w:rPr>
                <w:rFonts w:cstheme="minorHAnsi"/>
                <w:sz w:val="20"/>
                <w:szCs w:val="20"/>
              </w:rPr>
              <w:t xml:space="preserve"> </w:t>
            </w:r>
            <w:r w:rsidR="0078713E">
              <w:rPr>
                <w:rFonts w:cstheme="minorHAnsi"/>
                <w:sz w:val="20"/>
                <w:szCs w:val="20"/>
              </w:rPr>
              <w:t xml:space="preserve">to develop </w:t>
            </w:r>
            <w:r w:rsidR="00CA55CE" w:rsidRPr="008D1102">
              <w:rPr>
                <w:rFonts w:cstheme="minorHAnsi"/>
                <w:sz w:val="20"/>
                <w:szCs w:val="20"/>
              </w:rPr>
              <w:t>indicator</w:t>
            </w:r>
            <w:r w:rsidR="0078713E">
              <w:rPr>
                <w:rFonts w:cstheme="minorHAnsi"/>
                <w:sz w:val="20"/>
                <w:szCs w:val="20"/>
              </w:rPr>
              <w:t>s</w:t>
            </w:r>
            <w:r w:rsidR="00CA55CE" w:rsidRPr="008D1102">
              <w:rPr>
                <w:rFonts w:cstheme="minorHAnsi"/>
                <w:sz w:val="20"/>
                <w:szCs w:val="20"/>
              </w:rPr>
              <w:t xml:space="preserve"> </w:t>
            </w:r>
          </w:p>
          <w:p w14:paraId="7F6121A7" w14:textId="77777777" w:rsidR="00340DCD" w:rsidRPr="008D1102" w:rsidRDefault="00340DCD">
            <w:pPr>
              <w:rPr>
                <w:rFonts w:cstheme="minorHAnsi"/>
                <w:sz w:val="20"/>
                <w:szCs w:val="20"/>
              </w:rPr>
            </w:pPr>
          </w:p>
          <w:p w14:paraId="4CDCDC51" w14:textId="77777777" w:rsidR="00340DCD" w:rsidRPr="008D1102" w:rsidRDefault="00340DCD">
            <w:pPr>
              <w:rPr>
                <w:rFonts w:cstheme="minorHAnsi"/>
                <w:sz w:val="20"/>
                <w:szCs w:val="20"/>
              </w:rPr>
            </w:pPr>
            <w:r w:rsidRPr="008D1102">
              <w:rPr>
                <w:rFonts w:cstheme="minorHAnsi"/>
                <w:sz w:val="20"/>
                <w:szCs w:val="20"/>
              </w:rPr>
              <w:t xml:space="preserve">Timing: </w:t>
            </w:r>
          </w:p>
          <w:p w14:paraId="3708EACB" w14:textId="280F57B6" w:rsidR="00340DCD" w:rsidRPr="008D1102" w:rsidRDefault="00340DCD">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00617802" w:rsidRPr="008D1102">
              <w:rPr>
                <w:rFonts w:cstheme="minorHAnsi"/>
                <w:sz w:val="20"/>
                <w:szCs w:val="20"/>
              </w:rPr>
              <w:t>subject to inclusion on the STRP Workplan 2022-2024</w:t>
            </w:r>
          </w:p>
          <w:p w14:paraId="484826BD" w14:textId="20ABF293" w:rsidR="00340DCD" w:rsidRPr="008D1102" w:rsidRDefault="00340DCD">
            <w:pPr>
              <w:rPr>
                <w:rFonts w:cstheme="minorHAnsi"/>
                <w:sz w:val="20"/>
                <w:szCs w:val="20"/>
              </w:rPr>
            </w:pPr>
          </w:p>
          <w:p w14:paraId="7F85C1CC" w14:textId="5173C3A9" w:rsidR="00340DCD" w:rsidRPr="008D1102" w:rsidRDefault="00340DCD">
            <w:pPr>
              <w:rPr>
                <w:rFonts w:cstheme="minorHAnsi"/>
                <w:sz w:val="20"/>
                <w:szCs w:val="20"/>
              </w:rPr>
            </w:pPr>
            <w:r w:rsidRPr="008D1102">
              <w:rPr>
                <w:rFonts w:cstheme="minorHAnsi"/>
                <w:sz w:val="20"/>
                <w:szCs w:val="20"/>
              </w:rPr>
              <w:t xml:space="preserve">Funding: </w:t>
            </w:r>
          </w:p>
          <w:p w14:paraId="6BE6C030" w14:textId="3A671EFF" w:rsidR="00340DCD" w:rsidRPr="008D1102" w:rsidRDefault="00617802" w:rsidP="00617802">
            <w:pPr>
              <w:rPr>
                <w:rFonts w:cstheme="minorHAnsi"/>
                <w:sz w:val="20"/>
                <w:szCs w:val="20"/>
              </w:rPr>
            </w:pPr>
            <w:r w:rsidRPr="008D1102">
              <w:rPr>
                <w:rFonts w:cstheme="minorHAnsi"/>
                <w:sz w:val="20"/>
                <w:szCs w:val="20"/>
              </w:rPr>
              <w:t>N</w:t>
            </w:r>
            <w:r w:rsidR="005F415C" w:rsidRPr="008D1102">
              <w:rPr>
                <w:rFonts w:cstheme="minorHAnsi"/>
                <w:sz w:val="20"/>
                <w:szCs w:val="20"/>
              </w:rPr>
              <w:t>ew resources</w:t>
            </w:r>
            <w:r w:rsidRPr="008D1102">
              <w:rPr>
                <w:rFonts w:cstheme="minorHAnsi"/>
                <w:sz w:val="20"/>
                <w:szCs w:val="20"/>
              </w:rPr>
              <w:t xml:space="preserve"> for consultancy</w:t>
            </w:r>
            <w:r w:rsidR="005F415C" w:rsidRPr="008D1102">
              <w:rPr>
                <w:rFonts w:cstheme="minorHAnsi"/>
                <w:sz w:val="20"/>
                <w:szCs w:val="20"/>
              </w:rPr>
              <w:t xml:space="preserve"> </w:t>
            </w:r>
          </w:p>
          <w:p w14:paraId="49FC6723" w14:textId="58BD2C43" w:rsidR="003C2999" w:rsidRPr="008D1102" w:rsidRDefault="003C2999">
            <w:pPr>
              <w:rPr>
                <w:rFonts w:cstheme="minorHAnsi"/>
              </w:rPr>
            </w:pPr>
          </w:p>
          <w:p w14:paraId="51CB56C7" w14:textId="419D39C5" w:rsidR="003C2999" w:rsidRPr="008D1102" w:rsidRDefault="003C2999">
            <w:pPr>
              <w:rPr>
                <w:rFonts w:cstheme="minorHAnsi"/>
                <w:sz w:val="20"/>
                <w:szCs w:val="20"/>
              </w:rPr>
            </w:pPr>
            <w:r w:rsidRPr="008D1102">
              <w:rPr>
                <w:rFonts w:ascii="Calibri" w:hAnsi="Calibri"/>
              </w:rPr>
              <w:t xml:space="preserve"> </w:t>
            </w:r>
          </w:p>
        </w:tc>
      </w:tr>
      <w:tr w:rsidR="00052D61" w:rsidRPr="008D1102" w14:paraId="45FA693F" w14:textId="00CCE2F1" w:rsidTr="00965133">
        <w:tc>
          <w:tcPr>
            <w:tcW w:w="1528" w:type="dxa"/>
            <w:tcBorders>
              <w:top w:val="single" w:sz="4" w:space="0" w:color="auto"/>
              <w:left w:val="single" w:sz="4" w:space="0" w:color="auto"/>
              <w:bottom w:val="single" w:sz="4" w:space="0" w:color="auto"/>
              <w:right w:val="single" w:sz="4" w:space="0" w:color="auto"/>
            </w:tcBorders>
          </w:tcPr>
          <w:p w14:paraId="1E92AD55" w14:textId="77777777" w:rsidR="00052D61" w:rsidRPr="008D1102" w:rsidRDefault="00052D61" w:rsidP="00052D61">
            <w:pPr>
              <w:rPr>
                <w:rFonts w:cstheme="minorHAnsi"/>
                <w:b/>
                <w:bCs/>
                <w:sz w:val="20"/>
                <w:szCs w:val="20"/>
              </w:rPr>
            </w:pPr>
          </w:p>
        </w:tc>
        <w:tc>
          <w:tcPr>
            <w:tcW w:w="2294" w:type="dxa"/>
            <w:tcBorders>
              <w:top w:val="single" w:sz="4" w:space="0" w:color="auto"/>
              <w:left w:val="single" w:sz="4" w:space="0" w:color="auto"/>
              <w:bottom w:val="single" w:sz="4" w:space="0" w:color="auto"/>
              <w:right w:val="single" w:sz="4" w:space="0" w:color="auto"/>
            </w:tcBorders>
          </w:tcPr>
          <w:p w14:paraId="7C1047F7" w14:textId="77777777" w:rsidR="00052D61" w:rsidRPr="008D1102" w:rsidRDefault="00052D61" w:rsidP="00052D61">
            <w:pPr>
              <w:rPr>
                <w:rFonts w:cstheme="minorHAnsi"/>
                <w:sz w:val="20"/>
                <w:szCs w:val="20"/>
              </w:rPr>
            </w:pPr>
            <w:r w:rsidRPr="008D1102">
              <w:rPr>
                <w:rFonts w:cstheme="minorHAnsi"/>
                <w:b/>
                <w:bCs/>
                <w:sz w:val="20"/>
                <w:szCs w:val="20"/>
              </w:rPr>
              <w:t>Target 5</w:t>
            </w:r>
            <w:r w:rsidRPr="008D1102">
              <w:rPr>
                <w:rFonts w:cstheme="minorHAnsi"/>
                <w:sz w:val="20"/>
                <w:szCs w:val="20"/>
              </w:rPr>
              <w:t xml:space="preserve"> – Ramsar Sites which are also:</w:t>
            </w:r>
          </w:p>
          <w:p w14:paraId="4E94AD62" w14:textId="68FAEDFD" w:rsidR="00052D61" w:rsidRPr="008D1102" w:rsidRDefault="00052D61" w:rsidP="00052D61">
            <w:pPr>
              <w:rPr>
                <w:rFonts w:cstheme="minorHAnsi"/>
                <w:i/>
                <w:iCs/>
                <w:sz w:val="20"/>
                <w:szCs w:val="20"/>
              </w:rPr>
            </w:pPr>
            <w:r w:rsidRPr="008D1102">
              <w:rPr>
                <w:rFonts w:cstheme="minorHAnsi"/>
                <w:i/>
                <w:iCs/>
                <w:sz w:val="20"/>
                <w:szCs w:val="20"/>
              </w:rPr>
              <w:t>Important Bird and Biodiversity Areas IBA</w:t>
            </w:r>
            <w:r w:rsidR="008A1985" w:rsidRPr="008D1102">
              <w:rPr>
                <w:rFonts w:cstheme="minorHAnsi"/>
                <w:i/>
                <w:iCs/>
                <w:sz w:val="20"/>
                <w:szCs w:val="20"/>
              </w:rPr>
              <w:t>s</w:t>
            </w:r>
          </w:p>
          <w:p w14:paraId="38CC6690"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50032193" w14:textId="6FA4A54D" w:rsidR="0014198E" w:rsidRPr="00154E71" w:rsidRDefault="00052D61" w:rsidP="0014198E">
            <w:pPr>
              <w:shd w:val="clear" w:color="auto" w:fill="FFFFFF"/>
              <w:textAlignment w:val="baseline"/>
              <w:outlineLvl w:val="3"/>
              <w:rPr>
                <w:rFonts w:eastAsia="Times New Roman" w:cstheme="minorHAnsi"/>
                <w:spacing w:val="-2"/>
                <w:sz w:val="20"/>
                <w:szCs w:val="20"/>
                <w:lang w:eastAsia="en-AU"/>
              </w:rPr>
            </w:pPr>
            <w:r w:rsidRPr="00154E71">
              <w:rPr>
                <w:rFonts w:cstheme="minorHAnsi"/>
                <w:bCs/>
                <w:spacing w:val="-2"/>
                <w:sz w:val="20"/>
                <w:szCs w:val="20"/>
                <w:lang w:val="en-US"/>
              </w:rPr>
              <w:t>There is no guidance available and no indicators specific to RSs that are equally IBAs</w:t>
            </w:r>
            <w:r w:rsidR="008A1985" w:rsidRPr="00154E71">
              <w:rPr>
                <w:rFonts w:cstheme="minorHAnsi"/>
                <w:bCs/>
                <w:spacing w:val="-2"/>
                <w:sz w:val="20"/>
                <w:szCs w:val="20"/>
                <w:lang w:val="en-US"/>
              </w:rPr>
              <w:t xml:space="preserve"> noting that t</w:t>
            </w:r>
            <w:r w:rsidR="008A1985" w:rsidRPr="00154E71">
              <w:rPr>
                <w:rFonts w:eastAsia="Times New Roman" w:cstheme="minorHAnsi"/>
                <w:spacing w:val="-2"/>
                <w:sz w:val="20"/>
                <w:szCs w:val="20"/>
                <w:lang w:eastAsia="en-AU"/>
              </w:rPr>
              <w:t xml:space="preserve">he </w:t>
            </w:r>
            <w:r w:rsidR="008A1985" w:rsidRPr="00154E71">
              <w:rPr>
                <w:rFonts w:eastAsia="Times New Roman" w:cstheme="minorHAnsi"/>
                <w:spacing w:val="-2"/>
                <w:sz w:val="20"/>
                <w:szCs w:val="20"/>
                <w:lang w:eastAsia="en-AU"/>
              </w:rPr>
              <w:lastRenderedPageBreak/>
              <w:t>Key Biodiversity Areas (KBAs) program of B</w:t>
            </w:r>
            <w:r w:rsidR="001B1515" w:rsidRPr="00154E71">
              <w:rPr>
                <w:rFonts w:eastAsia="Times New Roman" w:cstheme="minorHAnsi"/>
                <w:spacing w:val="-2"/>
                <w:sz w:val="20"/>
                <w:szCs w:val="20"/>
                <w:lang w:eastAsia="en-AU"/>
              </w:rPr>
              <w:t xml:space="preserve">irdlife </w:t>
            </w:r>
            <w:r w:rsidR="008A1985" w:rsidRPr="00154E71">
              <w:rPr>
                <w:rFonts w:eastAsia="Times New Roman" w:cstheme="minorHAnsi"/>
                <w:spacing w:val="-2"/>
                <w:sz w:val="20"/>
                <w:szCs w:val="20"/>
                <w:lang w:eastAsia="en-AU"/>
              </w:rPr>
              <w:t>I</w:t>
            </w:r>
            <w:r w:rsidR="001B1515" w:rsidRPr="00154E71">
              <w:rPr>
                <w:rFonts w:eastAsia="Times New Roman" w:cstheme="minorHAnsi"/>
                <w:spacing w:val="-2"/>
                <w:sz w:val="20"/>
                <w:szCs w:val="20"/>
                <w:lang w:eastAsia="en-AU"/>
              </w:rPr>
              <w:t xml:space="preserve">nternational </w:t>
            </w:r>
            <w:r w:rsidR="008A1985" w:rsidRPr="00154E71">
              <w:rPr>
                <w:rFonts w:eastAsia="Times New Roman" w:cstheme="minorHAnsi"/>
                <w:spacing w:val="-2"/>
                <w:sz w:val="20"/>
                <w:szCs w:val="20"/>
                <w:lang w:eastAsia="en-AU"/>
              </w:rPr>
              <w:t>is the successor and extension of IBA</w:t>
            </w:r>
            <w:r w:rsidR="0014198E" w:rsidRPr="00154E71">
              <w:rPr>
                <w:rFonts w:eastAsia="Times New Roman" w:cstheme="minorHAnsi"/>
                <w:spacing w:val="-2"/>
                <w:sz w:val="20"/>
                <w:szCs w:val="20"/>
                <w:lang w:eastAsia="en-AU"/>
              </w:rPr>
              <w:t>s.</w:t>
            </w:r>
            <w:r w:rsidR="00E56F22" w:rsidRPr="00154E71">
              <w:rPr>
                <w:rFonts w:eastAsia="Times New Roman" w:cstheme="minorHAnsi"/>
                <w:spacing w:val="-2"/>
                <w:sz w:val="20"/>
                <w:szCs w:val="20"/>
                <w:lang w:eastAsia="en-AU"/>
              </w:rPr>
              <w:t xml:space="preserve"> </w:t>
            </w:r>
            <w:r w:rsidR="0014198E" w:rsidRPr="00154E71">
              <w:rPr>
                <w:rFonts w:eastAsia="Times New Roman" w:cstheme="minorHAnsi"/>
                <w:spacing w:val="-2"/>
                <w:sz w:val="20"/>
                <w:szCs w:val="20"/>
                <w:lang w:eastAsia="en-AU"/>
              </w:rPr>
              <w:t xml:space="preserve">A global standard for identification KBA’s has been developed to ensure consistency between areas across the globe and to assist government </w:t>
            </w:r>
            <w:r w:rsidR="0014198E" w:rsidRPr="00154E71">
              <w:rPr>
                <w:rFonts w:cstheme="minorHAnsi"/>
                <w:spacing w:val="-2"/>
                <w:sz w:val="20"/>
                <w:szCs w:val="20"/>
                <w:shd w:val="clear" w:color="auto" w:fill="FFFFFF"/>
              </w:rPr>
              <w:t>meeting their conservation obligations under Ramsar and other</w:t>
            </w:r>
            <w:r w:rsidR="009B63BE" w:rsidRPr="00154E71">
              <w:rPr>
                <w:rFonts w:cstheme="minorHAnsi"/>
                <w:spacing w:val="-2"/>
                <w:sz w:val="20"/>
                <w:szCs w:val="20"/>
                <w:shd w:val="clear" w:color="auto" w:fill="FFFFFF"/>
              </w:rPr>
              <w:t xml:space="preserve"> </w:t>
            </w:r>
            <w:r w:rsidR="0014198E" w:rsidRPr="00154E71">
              <w:rPr>
                <w:rFonts w:cstheme="minorHAnsi"/>
                <w:spacing w:val="-2"/>
                <w:sz w:val="20"/>
                <w:szCs w:val="20"/>
                <w:shd w:val="clear" w:color="auto" w:fill="FFFFFF"/>
              </w:rPr>
              <w:t>international treaties</w:t>
            </w:r>
          </w:p>
          <w:p w14:paraId="195EF755" w14:textId="77777777" w:rsidR="008A1985" w:rsidRPr="008D1102" w:rsidRDefault="008A1985" w:rsidP="00052D61">
            <w:pPr>
              <w:rPr>
                <w:bCs/>
                <w:sz w:val="20"/>
                <w:szCs w:val="20"/>
                <w:lang w:val="en-US"/>
              </w:rPr>
            </w:pPr>
          </w:p>
          <w:p w14:paraId="2A104D81" w14:textId="1A021CB0" w:rsidR="00052D61" w:rsidRPr="008D1102" w:rsidRDefault="00EB5BF3" w:rsidP="00052D61">
            <w:pPr>
              <w:rPr>
                <w:bCs/>
                <w:sz w:val="20"/>
                <w:szCs w:val="20"/>
                <w:lang w:val="en-US"/>
              </w:rPr>
            </w:pPr>
            <w:hyperlink r:id="rId13" w:history="1">
              <w:r w:rsidR="00052D61" w:rsidRPr="008D1102">
                <w:rPr>
                  <w:rStyle w:val="Hyperlink"/>
                  <w:bCs/>
                  <w:sz w:val="20"/>
                  <w:szCs w:val="20"/>
                  <w:lang w:val="en-US"/>
                </w:rPr>
                <w:t>Resolution X.22</w:t>
              </w:r>
            </w:hyperlink>
            <w:r w:rsidR="00052D61" w:rsidRPr="008D1102">
              <w:rPr>
                <w:bCs/>
                <w:sz w:val="20"/>
                <w:szCs w:val="20"/>
                <w:lang w:val="en-US"/>
              </w:rPr>
              <w:t xml:space="preserve"> Promoting international cooperation for the conservation of waterbird flyways</w:t>
            </w:r>
          </w:p>
          <w:p w14:paraId="502B49BE" w14:textId="17EFA634" w:rsidR="00052D61" w:rsidRPr="008D1102" w:rsidRDefault="00052D61" w:rsidP="00052D61">
            <w:pPr>
              <w:rPr>
                <w:rFonts w:cstheme="minorHAnsi"/>
                <w:bCs/>
                <w:sz w:val="20"/>
                <w:szCs w:val="20"/>
                <w:lang w:val="en-US"/>
              </w:rPr>
            </w:pPr>
            <w:r w:rsidRPr="008D1102">
              <w:rPr>
                <w:bCs/>
                <w:sz w:val="20"/>
                <w:szCs w:val="20"/>
                <w:lang w:val="en-US"/>
              </w:rPr>
              <w:t xml:space="preserve"> </w:t>
            </w:r>
          </w:p>
          <w:p w14:paraId="378F9FCF" w14:textId="2B5659AB" w:rsidR="00052D61" w:rsidRPr="008D1102" w:rsidRDefault="00EB5BF3" w:rsidP="00052D61">
            <w:pPr>
              <w:rPr>
                <w:rFonts w:cstheme="minorHAnsi"/>
                <w:sz w:val="20"/>
                <w:szCs w:val="20"/>
                <w:lang w:val="en-GB"/>
              </w:rPr>
            </w:pPr>
            <w:hyperlink r:id="rId14" w:history="1">
              <w:r w:rsidR="00052D61" w:rsidRPr="008D1102">
                <w:rPr>
                  <w:rStyle w:val="Hyperlink"/>
                  <w:rFonts w:cstheme="minorHAnsi"/>
                  <w:sz w:val="20"/>
                  <w:szCs w:val="20"/>
                  <w:lang w:val="en-GB"/>
                </w:rPr>
                <w:t xml:space="preserve">Resolution VIII.38 </w:t>
              </w:r>
            </w:hyperlink>
          </w:p>
          <w:p w14:paraId="2B6B0496" w14:textId="183DC313" w:rsidR="00662A2B" w:rsidRPr="00924DC4" w:rsidRDefault="00052D61" w:rsidP="008A1985">
            <w:pPr>
              <w:rPr>
                <w:sz w:val="20"/>
                <w:szCs w:val="20"/>
              </w:rPr>
            </w:pPr>
            <w:r w:rsidRPr="008D1102">
              <w:rPr>
                <w:sz w:val="20"/>
                <w:szCs w:val="20"/>
              </w:rPr>
              <w:t>Waterbird population estimates and designation of Wetla</w:t>
            </w:r>
            <w:r w:rsidR="00924DC4">
              <w:rPr>
                <w:sz w:val="20"/>
                <w:szCs w:val="20"/>
              </w:rPr>
              <w:t>nds of International Importance</w:t>
            </w:r>
          </w:p>
        </w:tc>
        <w:tc>
          <w:tcPr>
            <w:tcW w:w="2547" w:type="dxa"/>
            <w:tcBorders>
              <w:top w:val="single" w:sz="4" w:space="0" w:color="auto"/>
              <w:left w:val="single" w:sz="4" w:space="0" w:color="auto"/>
              <w:bottom w:val="single" w:sz="4" w:space="0" w:color="auto"/>
              <w:right w:val="single" w:sz="4" w:space="0" w:color="auto"/>
            </w:tcBorders>
            <w:hideMark/>
          </w:tcPr>
          <w:p w14:paraId="4CB15605" w14:textId="1A66600E" w:rsidR="00617802" w:rsidRPr="008D1102" w:rsidRDefault="00052D61" w:rsidP="0014198E">
            <w:pPr>
              <w:rPr>
                <w:rFonts w:cstheme="minorHAnsi"/>
                <w:sz w:val="20"/>
                <w:szCs w:val="20"/>
              </w:rPr>
            </w:pPr>
            <w:r w:rsidRPr="008D1102">
              <w:rPr>
                <w:rFonts w:cstheme="minorHAnsi"/>
                <w:sz w:val="20"/>
                <w:szCs w:val="20"/>
              </w:rPr>
              <w:lastRenderedPageBreak/>
              <w:t>Development of</w:t>
            </w:r>
            <w:r w:rsidR="009B63BE">
              <w:rPr>
                <w:rFonts w:cstheme="minorHAnsi"/>
                <w:sz w:val="20"/>
                <w:szCs w:val="20"/>
              </w:rPr>
              <w:t xml:space="preserve"> </w:t>
            </w:r>
            <w:r w:rsidRPr="008D1102">
              <w:rPr>
                <w:rFonts w:cstheme="minorHAnsi"/>
                <w:sz w:val="20"/>
                <w:szCs w:val="20"/>
              </w:rPr>
              <w:t>guidance</w:t>
            </w:r>
            <w:r w:rsidR="00662A2B" w:rsidRPr="008D1102">
              <w:rPr>
                <w:rFonts w:cstheme="minorHAnsi"/>
                <w:sz w:val="20"/>
                <w:szCs w:val="20"/>
              </w:rPr>
              <w:t xml:space="preserve"> for KBA’s and Ramsar sites</w:t>
            </w:r>
            <w:r w:rsidRPr="008D1102">
              <w:rPr>
                <w:rFonts w:cstheme="minorHAnsi"/>
                <w:sz w:val="20"/>
                <w:szCs w:val="20"/>
              </w:rPr>
              <w:t>.</w:t>
            </w:r>
          </w:p>
          <w:p w14:paraId="775A732D" w14:textId="0D022503" w:rsidR="0014198E" w:rsidRPr="008D1102" w:rsidRDefault="00573505" w:rsidP="0014198E">
            <w:pPr>
              <w:rPr>
                <w:rFonts w:cstheme="minorHAnsi"/>
                <w:sz w:val="20"/>
                <w:szCs w:val="20"/>
              </w:rPr>
            </w:pPr>
            <w:r>
              <w:rPr>
                <w:rFonts w:cstheme="minorHAnsi"/>
                <w:sz w:val="20"/>
                <w:szCs w:val="20"/>
              </w:rPr>
              <w:t xml:space="preserve">Secretariat to liaise with </w:t>
            </w:r>
            <w:r w:rsidR="001B1515">
              <w:rPr>
                <w:rFonts w:cstheme="minorHAnsi"/>
                <w:sz w:val="20"/>
                <w:szCs w:val="20"/>
              </w:rPr>
              <w:t>Birdlife International</w:t>
            </w:r>
            <w:r w:rsidR="001B1515" w:rsidRPr="008D1102">
              <w:rPr>
                <w:rFonts w:cstheme="minorHAnsi"/>
                <w:sz w:val="20"/>
                <w:szCs w:val="20"/>
              </w:rPr>
              <w:t xml:space="preserve"> </w:t>
            </w:r>
            <w:r>
              <w:rPr>
                <w:rFonts w:cstheme="minorHAnsi"/>
                <w:sz w:val="20"/>
                <w:szCs w:val="20"/>
              </w:rPr>
              <w:t>about t</w:t>
            </w:r>
            <w:r w:rsidR="0014198E" w:rsidRPr="008D1102">
              <w:rPr>
                <w:rFonts w:cstheme="minorHAnsi"/>
                <w:sz w:val="20"/>
                <w:szCs w:val="20"/>
              </w:rPr>
              <w:t xml:space="preserve">raining </w:t>
            </w:r>
            <w:r w:rsidR="0014198E" w:rsidRPr="008D1102">
              <w:rPr>
                <w:rStyle w:val="Strong"/>
                <w:rFonts w:cstheme="minorHAnsi"/>
                <w:b w:val="0"/>
                <w:bCs w:val="0"/>
                <w:color w:val="212121"/>
                <w:sz w:val="20"/>
                <w:szCs w:val="20"/>
                <w:shd w:val="clear" w:color="auto" w:fill="FFFFFF"/>
              </w:rPr>
              <w:t xml:space="preserve">on KBA </w:t>
            </w:r>
            <w:r>
              <w:rPr>
                <w:rStyle w:val="Strong"/>
                <w:rFonts w:cstheme="minorHAnsi"/>
                <w:b w:val="0"/>
                <w:bCs w:val="0"/>
                <w:color w:val="212121"/>
                <w:sz w:val="20"/>
                <w:szCs w:val="20"/>
                <w:shd w:val="clear" w:color="auto" w:fill="FFFFFF"/>
              </w:rPr>
              <w:lastRenderedPageBreak/>
              <w:t>m</w:t>
            </w:r>
            <w:r w:rsidR="0014198E" w:rsidRPr="008D1102">
              <w:rPr>
                <w:rStyle w:val="Strong"/>
                <w:rFonts w:cstheme="minorHAnsi"/>
                <w:b w:val="0"/>
                <w:bCs w:val="0"/>
                <w:color w:val="212121"/>
                <w:sz w:val="20"/>
                <w:szCs w:val="20"/>
                <w:shd w:val="clear" w:color="auto" w:fill="FFFFFF"/>
              </w:rPr>
              <w:t>ethodology, as well as guidance for national initiatives, and reviewing suggestions for KBA candidate sites</w:t>
            </w:r>
          </w:p>
          <w:p w14:paraId="6371E6A8" w14:textId="23AAA847" w:rsidR="00052D61" w:rsidRPr="008D1102" w:rsidRDefault="00052D61" w:rsidP="00052D61">
            <w:pPr>
              <w:shd w:val="clear" w:color="auto" w:fill="FFFFFF"/>
              <w:textAlignment w:val="baseline"/>
              <w:outlineLvl w:val="3"/>
              <w:rPr>
                <w:rFonts w:eastAsia="Times New Roman" w:cstheme="minorHAnsi"/>
                <w:color w:val="157096"/>
                <w:sz w:val="20"/>
                <w:szCs w:val="20"/>
                <w:lang w:eastAsia="en-AU"/>
              </w:rPr>
            </w:pPr>
          </w:p>
          <w:p w14:paraId="15DA2102" w14:textId="2D5D71DA" w:rsidR="00E56F22" w:rsidRPr="008D1102" w:rsidRDefault="00E56F22" w:rsidP="00E56F22">
            <w:pPr>
              <w:rPr>
                <w:rFonts w:cstheme="minorHAnsi"/>
                <w:sz w:val="20"/>
                <w:szCs w:val="20"/>
              </w:rPr>
            </w:pPr>
            <w:r w:rsidRPr="008D1102">
              <w:rPr>
                <w:rFonts w:cstheme="minorHAnsi"/>
                <w:sz w:val="20"/>
                <w:szCs w:val="20"/>
              </w:rPr>
              <w:t>Reflect new terminology</w:t>
            </w:r>
          </w:p>
          <w:p w14:paraId="3C6E0D3F" w14:textId="647FADE9" w:rsidR="00E56F22" w:rsidRPr="008D1102" w:rsidRDefault="00E56F22" w:rsidP="00E56F22">
            <w:pPr>
              <w:rPr>
                <w:rFonts w:cstheme="minorHAnsi"/>
                <w:sz w:val="20"/>
                <w:szCs w:val="20"/>
              </w:rPr>
            </w:pPr>
            <w:r w:rsidRPr="008D1102">
              <w:rPr>
                <w:rFonts w:cstheme="minorHAnsi"/>
                <w:sz w:val="20"/>
                <w:szCs w:val="20"/>
              </w:rPr>
              <w:t>KBA’s in Strategic plan (SP5)</w:t>
            </w:r>
            <w:r w:rsidR="009B63BE">
              <w:rPr>
                <w:rFonts w:cstheme="minorHAnsi"/>
                <w:sz w:val="20"/>
                <w:szCs w:val="20"/>
              </w:rPr>
              <w:t xml:space="preserve"> </w:t>
            </w:r>
          </w:p>
          <w:p w14:paraId="6502EF49" w14:textId="0F4B1F79" w:rsidR="0014198E" w:rsidRPr="008D1102" w:rsidRDefault="0014198E" w:rsidP="00052D61">
            <w:pPr>
              <w:rPr>
                <w:rFonts w:cstheme="minorHAnsi"/>
                <w:sz w:val="20"/>
                <w:szCs w:val="20"/>
              </w:rPr>
            </w:pPr>
          </w:p>
          <w:p w14:paraId="439BAAF6" w14:textId="5F207F7C" w:rsidR="00052D61" w:rsidRPr="008D1102" w:rsidRDefault="00052D61" w:rsidP="0014198E">
            <w:pPr>
              <w:rPr>
                <w:rFonts w:cstheme="minorHAnsi"/>
                <w:sz w:val="20"/>
                <w:szCs w:val="20"/>
              </w:rPr>
            </w:pPr>
          </w:p>
        </w:tc>
        <w:tc>
          <w:tcPr>
            <w:tcW w:w="1816" w:type="dxa"/>
            <w:tcBorders>
              <w:top w:val="single" w:sz="4" w:space="0" w:color="auto"/>
              <w:left w:val="single" w:sz="4" w:space="0" w:color="auto"/>
              <w:bottom w:val="single" w:sz="4" w:space="0" w:color="auto"/>
              <w:right w:val="single" w:sz="4" w:space="0" w:color="auto"/>
            </w:tcBorders>
          </w:tcPr>
          <w:p w14:paraId="73A97B1E" w14:textId="618A2D8B" w:rsidR="0014198E" w:rsidRDefault="00662A2B" w:rsidP="00EE7E28">
            <w:pPr>
              <w:rPr>
                <w:rFonts w:cstheme="minorHAnsi"/>
                <w:sz w:val="20"/>
                <w:szCs w:val="20"/>
              </w:rPr>
            </w:pPr>
            <w:r w:rsidRPr="008D1102">
              <w:rPr>
                <w:rFonts w:cstheme="minorHAnsi"/>
                <w:sz w:val="20"/>
                <w:szCs w:val="20"/>
              </w:rPr>
              <w:lastRenderedPageBreak/>
              <w:t>Secretariat</w:t>
            </w:r>
            <w:r w:rsidR="001B1515">
              <w:rPr>
                <w:rFonts w:cstheme="minorHAnsi"/>
                <w:sz w:val="20"/>
                <w:szCs w:val="20"/>
              </w:rPr>
              <w:t xml:space="preserve"> </w:t>
            </w:r>
            <w:r w:rsidR="00EE7E28">
              <w:rPr>
                <w:rFonts w:cstheme="minorHAnsi"/>
                <w:sz w:val="20"/>
                <w:szCs w:val="20"/>
              </w:rPr>
              <w:t>(</w:t>
            </w:r>
            <w:r w:rsidR="001B1515">
              <w:rPr>
                <w:rFonts w:cstheme="minorHAnsi"/>
                <w:sz w:val="20"/>
                <w:szCs w:val="20"/>
              </w:rPr>
              <w:t xml:space="preserve">with </w:t>
            </w:r>
            <w:r w:rsidR="00EE7E28">
              <w:rPr>
                <w:rFonts w:cstheme="minorHAnsi"/>
                <w:sz w:val="20"/>
                <w:szCs w:val="20"/>
              </w:rPr>
              <w:t xml:space="preserve">IUCN and </w:t>
            </w:r>
            <w:r w:rsidR="001B1515">
              <w:rPr>
                <w:rFonts w:cstheme="minorHAnsi"/>
                <w:sz w:val="20"/>
                <w:szCs w:val="20"/>
              </w:rPr>
              <w:t xml:space="preserve">Birdlife </w:t>
            </w:r>
            <w:r w:rsidR="00EE7E28">
              <w:rPr>
                <w:rFonts w:cstheme="minorHAnsi"/>
                <w:sz w:val="20"/>
                <w:szCs w:val="20"/>
              </w:rPr>
              <w:t xml:space="preserve">International) </w:t>
            </w:r>
          </w:p>
          <w:p w14:paraId="18CE22DB" w14:textId="77777777" w:rsidR="00573505" w:rsidRPr="008D1102" w:rsidRDefault="00573505" w:rsidP="0014198E">
            <w:pPr>
              <w:rPr>
                <w:rFonts w:cstheme="minorHAnsi"/>
                <w:sz w:val="20"/>
                <w:szCs w:val="20"/>
              </w:rPr>
            </w:pPr>
          </w:p>
          <w:p w14:paraId="2F2D2E63" w14:textId="77777777" w:rsidR="00E56F22" w:rsidRPr="008D1102" w:rsidRDefault="00E56F22" w:rsidP="00E56F22">
            <w:pPr>
              <w:rPr>
                <w:rFonts w:cstheme="minorHAnsi"/>
                <w:sz w:val="20"/>
                <w:szCs w:val="20"/>
              </w:rPr>
            </w:pPr>
            <w:r w:rsidRPr="008D1102">
              <w:rPr>
                <w:rFonts w:cstheme="minorHAnsi"/>
                <w:sz w:val="20"/>
                <w:szCs w:val="20"/>
              </w:rPr>
              <w:t xml:space="preserve">Timing: </w:t>
            </w:r>
          </w:p>
          <w:p w14:paraId="735968CC" w14:textId="113F9FA9" w:rsidR="00E56F22" w:rsidRPr="008D1102" w:rsidRDefault="00E56F22" w:rsidP="00E56F22">
            <w:pPr>
              <w:rPr>
                <w:rFonts w:cstheme="minorHAnsi"/>
                <w:sz w:val="20"/>
                <w:szCs w:val="20"/>
              </w:rPr>
            </w:pPr>
            <w:r w:rsidRPr="008D1102">
              <w:rPr>
                <w:rFonts w:cstheme="minorHAnsi"/>
                <w:sz w:val="20"/>
                <w:szCs w:val="20"/>
              </w:rPr>
              <w:lastRenderedPageBreak/>
              <w:t>Lead up</w:t>
            </w:r>
            <w:r w:rsidR="009B63BE">
              <w:rPr>
                <w:rFonts w:cstheme="minorHAnsi"/>
                <w:sz w:val="20"/>
                <w:szCs w:val="20"/>
              </w:rPr>
              <w:t xml:space="preserve"> </w:t>
            </w:r>
            <w:r w:rsidRPr="008D1102">
              <w:rPr>
                <w:rFonts w:cstheme="minorHAnsi"/>
                <w:sz w:val="20"/>
                <w:szCs w:val="20"/>
              </w:rPr>
              <w:t xml:space="preserve">to COP14 if capacity allows </w:t>
            </w:r>
          </w:p>
          <w:p w14:paraId="48165C56"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1CE11D65" w14:textId="50DCCBF8"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0331707B" w14:textId="77777777" w:rsidR="00E56F22" w:rsidRPr="008D1102" w:rsidRDefault="00E56F22" w:rsidP="00E56F22">
            <w:pPr>
              <w:rPr>
                <w:rFonts w:cstheme="minorHAnsi"/>
                <w:sz w:val="20"/>
                <w:szCs w:val="20"/>
              </w:rPr>
            </w:pPr>
          </w:p>
          <w:p w14:paraId="3B0D61B0" w14:textId="30323FF8" w:rsidR="008A1985" w:rsidRPr="008D1102" w:rsidRDefault="008A1985" w:rsidP="00052D61">
            <w:pPr>
              <w:rPr>
                <w:rFonts w:cstheme="minorHAnsi"/>
                <w:sz w:val="20"/>
                <w:szCs w:val="20"/>
              </w:rPr>
            </w:pPr>
          </w:p>
          <w:p w14:paraId="12CCDAA6" w14:textId="1AAA74AA" w:rsidR="008A1985" w:rsidRPr="008D1102" w:rsidRDefault="008A1985" w:rsidP="00052D61">
            <w:pPr>
              <w:rPr>
                <w:rFonts w:cstheme="minorHAnsi"/>
                <w:sz w:val="20"/>
                <w:szCs w:val="20"/>
              </w:rPr>
            </w:pPr>
            <w:r w:rsidRPr="008D1102">
              <w:rPr>
                <w:rFonts w:cstheme="minorHAnsi"/>
                <w:sz w:val="20"/>
                <w:szCs w:val="20"/>
              </w:rPr>
              <w:t xml:space="preserve">Funding: </w:t>
            </w:r>
          </w:p>
          <w:p w14:paraId="31697B75" w14:textId="4189BE10" w:rsidR="008A1985" w:rsidRPr="008D1102" w:rsidRDefault="008A1985" w:rsidP="00052D61">
            <w:pPr>
              <w:rPr>
                <w:rFonts w:cstheme="minorHAnsi"/>
                <w:sz w:val="20"/>
                <w:szCs w:val="20"/>
              </w:rPr>
            </w:pPr>
            <w:r w:rsidRPr="008D1102">
              <w:rPr>
                <w:rFonts w:cstheme="minorHAnsi"/>
                <w:sz w:val="20"/>
                <w:szCs w:val="20"/>
              </w:rPr>
              <w:t>Existing resources</w:t>
            </w:r>
            <w:r w:rsidR="009B63BE">
              <w:rPr>
                <w:rFonts w:cstheme="minorHAnsi"/>
                <w:sz w:val="20"/>
                <w:szCs w:val="20"/>
              </w:rPr>
              <w:t xml:space="preserve"> </w:t>
            </w:r>
          </w:p>
          <w:p w14:paraId="68DD084D" w14:textId="17B31B2F" w:rsidR="008A1985" w:rsidRPr="008D1102" w:rsidRDefault="008A1985" w:rsidP="00052D61">
            <w:pPr>
              <w:rPr>
                <w:rFonts w:cstheme="minorHAnsi"/>
                <w:sz w:val="20"/>
                <w:szCs w:val="20"/>
              </w:rPr>
            </w:pPr>
          </w:p>
          <w:p w14:paraId="425588E4" w14:textId="77777777" w:rsidR="008A1985" w:rsidRPr="008D1102" w:rsidRDefault="008A1985" w:rsidP="00052D61">
            <w:pPr>
              <w:rPr>
                <w:rFonts w:cstheme="minorHAnsi"/>
                <w:sz w:val="20"/>
                <w:szCs w:val="20"/>
              </w:rPr>
            </w:pPr>
          </w:p>
          <w:p w14:paraId="4F2AF870" w14:textId="6B999A39" w:rsidR="008A1985" w:rsidRPr="008D1102" w:rsidRDefault="005A15D8" w:rsidP="00052D61">
            <w:pPr>
              <w:rPr>
                <w:rFonts w:cstheme="minorHAnsi"/>
                <w:sz w:val="20"/>
                <w:szCs w:val="20"/>
              </w:rPr>
            </w:pPr>
            <w:r w:rsidRPr="008D1102">
              <w:rPr>
                <w:rFonts w:cstheme="minorHAnsi"/>
                <w:sz w:val="20"/>
                <w:szCs w:val="20"/>
              </w:rPr>
              <w:t xml:space="preserve"> </w:t>
            </w:r>
          </w:p>
        </w:tc>
      </w:tr>
      <w:tr w:rsidR="00052D61" w:rsidRPr="008D1102" w14:paraId="2D288919" w14:textId="3E89C611" w:rsidTr="00965133">
        <w:tc>
          <w:tcPr>
            <w:tcW w:w="1528" w:type="dxa"/>
            <w:vMerge w:val="restart"/>
            <w:tcBorders>
              <w:top w:val="single" w:sz="4" w:space="0" w:color="auto"/>
              <w:left w:val="single" w:sz="4" w:space="0" w:color="auto"/>
              <w:bottom w:val="single" w:sz="4" w:space="0" w:color="auto"/>
              <w:right w:val="single" w:sz="4" w:space="0" w:color="auto"/>
            </w:tcBorders>
            <w:hideMark/>
          </w:tcPr>
          <w:p w14:paraId="32A47379" w14:textId="77777777" w:rsidR="00052D61" w:rsidRPr="008D1102" w:rsidRDefault="00052D61" w:rsidP="00052D61">
            <w:pPr>
              <w:rPr>
                <w:rFonts w:cstheme="minorHAnsi"/>
                <w:b/>
                <w:bCs/>
                <w:sz w:val="20"/>
                <w:szCs w:val="20"/>
              </w:rPr>
            </w:pPr>
            <w:r w:rsidRPr="008D1102">
              <w:rPr>
                <w:rFonts w:cstheme="minorHAnsi"/>
                <w:b/>
                <w:bCs/>
                <w:sz w:val="20"/>
                <w:szCs w:val="20"/>
              </w:rPr>
              <w:lastRenderedPageBreak/>
              <w:t>Goal 3</w:t>
            </w:r>
          </w:p>
          <w:p w14:paraId="69EEBDC6" w14:textId="77777777" w:rsidR="00052D61" w:rsidRPr="008D1102" w:rsidRDefault="00052D61" w:rsidP="00052D61">
            <w:pPr>
              <w:rPr>
                <w:rFonts w:cstheme="minorHAnsi"/>
                <w:sz w:val="20"/>
                <w:szCs w:val="20"/>
              </w:rPr>
            </w:pPr>
            <w:r w:rsidRPr="008D1102">
              <w:rPr>
                <w:rFonts w:cstheme="minorHAnsi"/>
                <w:sz w:val="20"/>
                <w:szCs w:val="20"/>
              </w:rPr>
              <w:t>Wisely using all wetlands</w:t>
            </w:r>
          </w:p>
        </w:tc>
        <w:tc>
          <w:tcPr>
            <w:tcW w:w="2294" w:type="dxa"/>
            <w:tcBorders>
              <w:top w:val="single" w:sz="4" w:space="0" w:color="auto"/>
              <w:left w:val="single" w:sz="4" w:space="0" w:color="auto"/>
              <w:bottom w:val="single" w:sz="4" w:space="0" w:color="auto"/>
              <w:right w:val="single" w:sz="4" w:space="0" w:color="auto"/>
            </w:tcBorders>
          </w:tcPr>
          <w:p w14:paraId="06F34673" w14:textId="77777777" w:rsidR="00052D61" w:rsidRPr="008D1102" w:rsidRDefault="00052D61" w:rsidP="00052D61">
            <w:pPr>
              <w:rPr>
                <w:rFonts w:cstheme="minorHAnsi"/>
                <w:sz w:val="20"/>
                <w:szCs w:val="20"/>
              </w:rPr>
            </w:pPr>
            <w:r w:rsidRPr="008D1102">
              <w:rPr>
                <w:rFonts w:cstheme="minorHAnsi"/>
                <w:b/>
                <w:bCs/>
                <w:sz w:val="20"/>
                <w:szCs w:val="20"/>
              </w:rPr>
              <w:t xml:space="preserve">Target 8 </w:t>
            </w:r>
            <w:r w:rsidRPr="008D1102">
              <w:rPr>
                <w:rFonts w:cstheme="minorHAnsi"/>
                <w:sz w:val="20"/>
                <w:szCs w:val="20"/>
              </w:rPr>
              <w:t xml:space="preserve">– National wetland inventories: </w:t>
            </w:r>
          </w:p>
          <w:p w14:paraId="3DE2645F" w14:textId="77777777" w:rsidR="00052D61" w:rsidRPr="008D1102" w:rsidRDefault="00052D61" w:rsidP="00052D61">
            <w:pPr>
              <w:rPr>
                <w:rFonts w:cstheme="minorHAnsi"/>
                <w:sz w:val="20"/>
                <w:szCs w:val="20"/>
              </w:rPr>
            </w:pPr>
          </w:p>
          <w:p w14:paraId="31316C00" w14:textId="77777777" w:rsidR="00052D61" w:rsidRPr="008D1102" w:rsidRDefault="00052D61" w:rsidP="00052D61">
            <w:pPr>
              <w:rPr>
                <w:rFonts w:cstheme="minorHAnsi"/>
                <w:sz w:val="20"/>
                <w:szCs w:val="20"/>
              </w:rPr>
            </w:pPr>
            <w:r w:rsidRPr="008D1102">
              <w:rPr>
                <w:rFonts w:cstheme="minorHAnsi"/>
                <w:i/>
                <w:sz w:val="20"/>
                <w:szCs w:val="20"/>
              </w:rPr>
              <w:t>Does your country have a complete National Wetland Inventory?</w:t>
            </w:r>
          </w:p>
          <w:p w14:paraId="50090D85"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hideMark/>
          </w:tcPr>
          <w:p w14:paraId="06589923" w14:textId="77777777" w:rsidR="00052D61" w:rsidRPr="008D1102" w:rsidRDefault="00EB5BF3" w:rsidP="00052D61">
            <w:pPr>
              <w:rPr>
                <w:rFonts w:cstheme="minorHAnsi"/>
                <w:sz w:val="20"/>
                <w:szCs w:val="20"/>
                <w:lang w:val="en-US"/>
              </w:rPr>
            </w:pPr>
            <w:hyperlink r:id="rId15" w:history="1">
              <w:r w:rsidR="00052D61" w:rsidRPr="008D1102">
                <w:rPr>
                  <w:rStyle w:val="Hyperlink"/>
                  <w:rFonts w:cstheme="minorHAnsi"/>
                  <w:sz w:val="20"/>
                  <w:szCs w:val="20"/>
                </w:rPr>
                <w:t>A new toolkit for National Wetlands Inventories</w:t>
              </w:r>
            </w:hyperlink>
            <w:r w:rsidR="00052D61" w:rsidRPr="008D1102">
              <w:rPr>
                <w:rFonts w:cstheme="minorHAnsi"/>
                <w:sz w:val="20"/>
                <w:szCs w:val="20"/>
                <w:lang w:val="en-US"/>
              </w:rPr>
              <w:t xml:space="preserve">, 2020 and associated </w:t>
            </w:r>
            <w:hyperlink r:id="rId16" w:history="1">
              <w:r w:rsidR="00052D61" w:rsidRPr="008D1102">
                <w:rPr>
                  <w:rStyle w:val="Hyperlink"/>
                  <w:rFonts w:cstheme="minorHAnsi"/>
                  <w:sz w:val="20"/>
                  <w:szCs w:val="20"/>
                  <w:lang w:val="en-US"/>
                </w:rPr>
                <w:t>Training Webinars</w:t>
              </w:r>
            </w:hyperlink>
          </w:p>
        </w:tc>
        <w:tc>
          <w:tcPr>
            <w:tcW w:w="2547" w:type="dxa"/>
            <w:tcBorders>
              <w:top w:val="single" w:sz="4" w:space="0" w:color="auto"/>
              <w:left w:val="single" w:sz="4" w:space="0" w:color="auto"/>
              <w:bottom w:val="single" w:sz="4" w:space="0" w:color="auto"/>
              <w:right w:val="single" w:sz="4" w:space="0" w:color="auto"/>
            </w:tcBorders>
          </w:tcPr>
          <w:p w14:paraId="2588DA4B" w14:textId="594EA8D8" w:rsidR="00052D61" w:rsidRDefault="00052D61" w:rsidP="00052D61">
            <w:pPr>
              <w:rPr>
                <w:rFonts w:cstheme="minorHAnsi"/>
                <w:sz w:val="20"/>
                <w:szCs w:val="20"/>
              </w:rPr>
            </w:pPr>
            <w:r w:rsidRPr="008D1102">
              <w:rPr>
                <w:rFonts w:cstheme="minorHAnsi"/>
                <w:sz w:val="20"/>
                <w:szCs w:val="20"/>
              </w:rPr>
              <w:t xml:space="preserve">Recall to Parties the revised toolkit, existing online </w:t>
            </w:r>
            <w:r w:rsidR="00EC104A" w:rsidRPr="008D1102">
              <w:rPr>
                <w:rFonts w:cstheme="minorHAnsi"/>
                <w:sz w:val="20"/>
                <w:szCs w:val="20"/>
              </w:rPr>
              <w:t>training,</w:t>
            </w:r>
            <w:r w:rsidRPr="008D1102">
              <w:rPr>
                <w:rFonts w:cstheme="minorHAnsi"/>
                <w:sz w:val="20"/>
                <w:szCs w:val="20"/>
              </w:rPr>
              <w:t xml:space="preserve"> and the important link to SDG 6.6.1</w:t>
            </w:r>
          </w:p>
          <w:p w14:paraId="39B0507E" w14:textId="77777777" w:rsidR="00924DC4" w:rsidRPr="00924DC4" w:rsidRDefault="00924DC4" w:rsidP="00052D61">
            <w:pPr>
              <w:rPr>
                <w:rFonts w:cstheme="minorHAnsi"/>
                <w:sz w:val="20"/>
                <w:szCs w:val="20"/>
              </w:rPr>
            </w:pPr>
          </w:p>
          <w:p w14:paraId="54A40A36" w14:textId="55262516" w:rsidR="00650CBB" w:rsidRPr="008D1102" w:rsidRDefault="00650CBB" w:rsidP="00052D61">
            <w:pPr>
              <w:rPr>
                <w:rFonts w:cstheme="minorHAnsi"/>
                <w:sz w:val="20"/>
                <w:szCs w:val="20"/>
              </w:rPr>
            </w:pPr>
            <w:r>
              <w:rPr>
                <w:rFonts w:cstheme="minorHAnsi"/>
                <w:sz w:val="20"/>
                <w:szCs w:val="20"/>
              </w:rPr>
              <w:t>-------------------------------------</w:t>
            </w:r>
          </w:p>
          <w:p w14:paraId="2C9A0E6F" w14:textId="08034CFE" w:rsidR="00052D61" w:rsidRPr="00924DC4" w:rsidRDefault="00052D61" w:rsidP="00052D61">
            <w:pPr>
              <w:rPr>
                <w:rFonts w:cstheme="minorHAnsi"/>
                <w:bCs/>
                <w:sz w:val="20"/>
                <w:szCs w:val="20"/>
                <w:lang w:val="en-US"/>
              </w:rPr>
            </w:pPr>
            <w:r w:rsidRPr="008D1102">
              <w:rPr>
                <w:rFonts w:cstheme="minorHAnsi"/>
                <w:bCs/>
                <w:sz w:val="20"/>
                <w:szCs w:val="20"/>
                <w:lang w:val="en-US"/>
              </w:rPr>
              <w:t xml:space="preserve">Explore a modification of the indicator that reinforces the connection of National Wetland Inventories with other reporting mechanisms: </w:t>
            </w:r>
            <w:r w:rsidRPr="008D1102">
              <w:rPr>
                <w:rFonts w:cstheme="minorHAnsi"/>
                <w:bCs/>
                <w:i/>
                <w:iCs/>
                <w:sz w:val="20"/>
                <w:szCs w:val="20"/>
              </w:rPr>
              <w:t>Trends in the number of Parties that have included National Wetlands Inventories in national biodiversity, sectoral, sustainable development, and development plans</w:t>
            </w:r>
            <w:r w:rsidRPr="008D1102">
              <w:rPr>
                <w:rFonts w:cstheme="minorHAnsi"/>
                <w:bCs/>
                <w:i/>
                <w:iCs/>
                <w:sz w:val="20"/>
                <w:szCs w:val="20"/>
                <w:lang w:val="en-US"/>
              </w:rPr>
              <w:t xml:space="preserve"> </w:t>
            </w:r>
            <w:r w:rsidR="00924DC4">
              <w:rPr>
                <w:rFonts w:cstheme="minorHAnsi"/>
                <w:bCs/>
                <w:sz w:val="20"/>
                <w:szCs w:val="20"/>
                <w:lang w:val="en-US"/>
              </w:rPr>
              <w:t>[2015 Indicator Experts Group]</w:t>
            </w:r>
          </w:p>
        </w:tc>
        <w:tc>
          <w:tcPr>
            <w:tcW w:w="1816" w:type="dxa"/>
            <w:tcBorders>
              <w:top w:val="single" w:sz="4" w:space="0" w:color="auto"/>
              <w:left w:val="single" w:sz="4" w:space="0" w:color="auto"/>
              <w:bottom w:val="single" w:sz="4" w:space="0" w:color="auto"/>
              <w:right w:val="single" w:sz="4" w:space="0" w:color="auto"/>
            </w:tcBorders>
          </w:tcPr>
          <w:p w14:paraId="4700F92F" w14:textId="43D11266" w:rsidR="00052D61" w:rsidRPr="008D1102" w:rsidRDefault="00052D61" w:rsidP="00052D61">
            <w:pPr>
              <w:rPr>
                <w:rFonts w:cstheme="minorHAnsi"/>
                <w:sz w:val="20"/>
                <w:szCs w:val="20"/>
              </w:rPr>
            </w:pPr>
            <w:r w:rsidRPr="008D1102">
              <w:rPr>
                <w:rFonts w:cstheme="minorHAnsi"/>
                <w:sz w:val="20"/>
                <w:szCs w:val="20"/>
              </w:rPr>
              <w:t xml:space="preserve">Secretariat </w:t>
            </w:r>
          </w:p>
          <w:p w14:paraId="772169D6" w14:textId="4E0969E2" w:rsidR="00052D61" w:rsidRPr="008D1102" w:rsidRDefault="00052D61" w:rsidP="00052D61">
            <w:pPr>
              <w:rPr>
                <w:rFonts w:cstheme="minorHAnsi"/>
                <w:sz w:val="20"/>
                <w:szCs w:val="20"/>
              </w:rPr>
            </w:pPr>
          </w:p>
          <w:p w14:paraId="7A741B25" w14:textId="77777777" w:rsidR="00E56F22" w:rsidRPr="008D1102" w:rsidRDefault="00E56F22" w:rsidP="00E56F22">
            <w:pPr>
              <w:rPr>
                <w:rFonts w:cstheme="minorHAnsi"/>
                <w:sz w:val="20"/>
                <w:szCs w:val="20"/>
              </w:rPr>
            </w:pPr>
            <w:r w:rsidRPr="008D1102">
              <w:rPr>
                <w:rFonts w:cstheme="minorHAnsi"/>
                <w:sz w:val="20"/>
                <w:szCs w:val="20"/>
              </w:rPr>
              <w:t xml:space="preserve">Timing: </w:t>
            </w:r>
          </w:p>
          <w:p w14:paraId="534249EF" w14:textId="5C4D44E7" w:rsidR="00E56F22" w:rsidRPr="008D1102" w:rsidRDefault="00E56F22" w:rsidP="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Pr="008D1102">
              <w:rPr>
                <w:rFonts w:cstheme="minorHAnsi"/>
                <w:sz w:val="20"/>
                <w:szCs w:val="20"/>
              </w:rPr>
              <w:t xml:space="preserve">to COP14 if capacity allows </w:t>
            </w:r>
          </w:p>
          <w:p w14:paraId="311B3A74"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7C9E4BCE" w14:textId="1B592AA3"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5FCF0B9B" w14:textId="77777777" w:rsidR="00E56F22" w:rsidRPr="008D1102" w:rsidRDefault="00E56F22" w:rsidP="00E56F22">
            <w:pPr>
              <w:rPr>
                <w:rFonts w:cstheme="minorHAnsi"/>
                <w:sz w:val="20"/>
                <w:szCs w:val="20"/>
              </w:rPr>
            </w:pPr>
          </w:p>
          <w:p w14:paraId="43A31592" w14:textId="672AC828" w:rsidR="00052D61" w:rsidRPr="008D1102" w:rsidRDefault="00052D61" w:rsidP="00052D61">
            <w:pPr>
              <w:rPr>
                <w:rFonts w:cstheme="minorHAnsi"/>
                <w:sz w:val="20"/>
                <w:szCs w:val="20"/>
              </w:rPr>
            </w:pPr>
          </w:p>
          <w:p w14:paraId="1C0E784E" w14:textId="77777777" w:rsidR="00052D61" w:rsidRPr="008D1102" w:rsidRDefault="00052D61" w:rsidP="00052D61">
            <w:pPr>
              <w:rPr>
                <w:rFonts w:cstheme="minorHAnsi"/>
                <w:sz w:val="20"/>
                <w:szCs w:val="20"/>
              </w:rPr>
            </w:pPr>
            <w:r w:rsidRPr="008D1102">
              <w:rPr>
                <w:rFonts w:cstheme="minorHAnsi"/>
                <w:sz w:val="20"/>
                <w:szCs w:val="20"/>
              </w:rPr>
              <w:t xml:space="preserve">Funding: </w:t>
            </w:r>
          </w:p>
          <w:p w14:paraId="722A1549" w14:textId="77777777" w:rsidR="00052D61" w:rsidRPr="008D1102" w:rsidRDefault="00052D61" w:rsidP="00052D61">
            <w:pPr>
              <w:rPr>
                <w:rFonts w:cstheme="minorHAnsi"/>
                <w:sz w:val="20"/>
                <w:szCs w:val="20"/>
              </w:rPr>
            </w:pPr>
            <w:r w:rsidRPr="008D1102">
              <w:rPr>
                <w:rFonts w:cstheme="minorHAnsi"/>
                <w:sz w:val="20"/>
                <w:szCs w:val="20"/>
              </w:rPr>
              <w:t xml:space="preserve">Existing resources </w:t>
            </w:r>
          </w:p>
          <w:p w14:paraId="5A2FE24C" w14:textId="7A096203" w:rsidR="00052D61" w:rsidRPr="008D1102" w:rsidRDefault="00052D61" w:rsidP="00052D61">
            <w:pPr>
              <w:rPr>
                <w:rFonts w:cstheme="minorHAnsi"/>
                <w:sz w:val="20"/>
                <w:szCs w:val="20"/>
              </w:rPr>
            </w:pPr>
          </w:p>
          <w:p w14:paraId="5501F637" w14:textId="1073C173" w:rsidR="00052D61" w:rsidRPr="008D1102" w:rsidRDefault="00573505" w:rsidP="00052D61">
            <w:pPr>
              <w:rPr>
                <w:rFonts w:cstheme="minorHAnsi"/>
                <w:sz w:val="20"/>
                <w:szCs w:val="20"/>
              </w:rPr>
            </w:pPr>
            <w:r>
              <w:rPr>
                <w:rFonts w:cstheme="minorHAnsi"/>
                <w:sz w:val="20"/>
                <w:szCs w:val="20"/>
              </w:rPr>
              <w:t>----------------------</w:t>
            </w:r>
          </w:p>
          <w:p w14:paraId="4D81D54E" w14:textId="45ECE213" w:rsidR="00052D61" w:rsidRPr="008D1102" w:rsidRDefault="00DC77AD" w:rsidP="00052D61">
            <w:pPr>
              <w:rPr>
                <w:rFonts w:cstheme="minorHAnsi"/>
                <w:sz w:val="20"/>
                <w:szCs w:val="20"/>
              </w:rPr>
            </w:pPr>
            <w:r w:rsidRPr="008D1102">
              <w:rPr>
                <w:rFonts w:cstheme="minorHAnsi"/>
                <w:sz w:val="20"/>
                <w:szCs w:val="20"/>
              </w:rPr>
              <w:t xml:space="preserve">Indicator review </w:t>
            </w:r>
          </w:p>
          <w:p w14:paraId="488CAF20" w14:textId="57154D8F" w:rsidR="00052D61" w:rsidRPr="008D1102" w:rsidRDefault="00052D61" w:rsidP="00052D61">
            <w:pPr>
              <w:rPr>
                <w:rFonts w:cstheme="minorHAnsi"/>
                <w:sz w:val="20"/>
                <w:szCs w:val="20"/>
              </w:rPr>
            </w:pPr>
            <w:r w:rsidRPr="008D1102">
              <w:rPr>
                <w:rFonts w:cstheme="minorHAnsi"/>
                <w:sz w:val="20"/>
                <w:szCs w:val="20"/>
              </w:rPr>
              <w:t xml:space="preserve">SP5 Working Group and STRP </w:t>
            </w:r>
          </w:p>
          <w:p w14:paraId="747735D9" w14:textId="77777777" w:rsidR="00052D61" w:rsidRPr="008D1102" w:rsidRDefault="00052D61" w:rsidP="00052D61">
            <w:pPr>
              <w:rPr>
                <w:rFonts w:cstheme="minorHAnsi"/>
                <w:sz w:val="20"/>
                <w:szCs w:val="20"/>
              </w:rPr>
            </w:pPr>
          </w:p>
          <w:p w14:paraId="0678E633" w14:textId="53A1CD66" w:rsidR="00052D61" w:rsidRPr="008D1102" w:rsidRDefault="00052D61" w:rsidP="00052D61">
            <w:pPr>
              <w:rPr>
                <w:rFonts w:cstheme="minorHAnsi"/>
                <w:sz w:val="20"/>
                <w:szCs w:val="20"/>
              </w:rPr>
            </w:pPr>
            <w:r w:rsidRPr="008D1102">
              <w:rPr>
                <w:rFonts w:cstheme="minorHAnsi"/>
                <w:sz w:val="20"/>
                <w:szCs w:val="20"/>
              </w:rPr>
              <w:t>Timing:</w:t>
            </w:r>
          </w:p>
          <w:p w14:paraId="3426C2BC" w14:textId="09B1D4CA" w:rsidR="00052D61" w:rsidRPr="008D1102" w:rsidRDefault="00052D61" w:rsidP="00052D61">
            <w:pPr>
              <w:rPr>
                <w:rFonts w:cstheme="minorHAnsi"/>
                <w:sz w:val="20"/>
                <w:szCs w:val="20"/>
              </w:rPr>
            </w:pPr>
            <w:r w:rsidRPr="008D1102">
              <w:rPr>
                <w:rFonts w:cstheme="minorHAnsi"/>
                <w:sz w:val="20"/>
                <w:szCs w:val="20"/>
              </w:rPr>
              <w:t>Next trien</w:t>
            </w:r>
            <w:r w:rsidR="005A15D8" w:rsidRPr="008D1102">
              <w:rPr>
                <w:rFonts w:cstheme="minorHAnsi"/>
                <w:sz w:val="20"/>
                <w:szCs w:val="20"/>
              </w:rPr>
              <w:t>ni</w:t>
            </w:r>
            <w:r w:rsidRPr="008D1102">
              <w:rPr>
                <w:rFonts w:cstheme="minorHAnsi"/>
                <w:sz w:val="20"/>
                <w:szCs w:val="20"/>
              </w:rPr>
              <w:t xml:space="preserve">um </w:t>
            </w:r>
          </w:p>
          <w:p w14:paraId="46805643" w14:textId="0151A4AA" w:rsidR="00052D61" w:rsidRPr="008D1102" w:rsidRDefault="00052D61" w:rsidP="00052D61">
            <w:pPr>
              <w:rPr>
                <w:rFonts w:cstheme="minorHAnsi"/>
                <w:sz w:val="20"/>
                <w:szCs w:val="20"/>
              </w:rPr>
            </w:pPr>
          </w:p>
        </w:tc>
      </w:tr>
      <w:tr w:rsidR="00052D61" w:rsidRPr="008D1102" w14:paraId="1EA6B83A" w14:textId="447A2B3F" w:rsidTr="00965133">
        <w:tc>
          <w:tcPr>
            <w:tcW w:w="1528" w:type="dxa"/>
            <w:vMerge/>
            <w:tcBorders>
              <w:top w:val="single" w:sz="4" w:space="0" w:color="auto"/>
              <w:left w:val="single" w:sz="4" w:space="0" w:color="auto"/>
              <w:bottom w:val="single" w:sz="4" w:space="0" w:color="auto"/>
              <w:right w:val="single" w:sz="4" w:space="0" w:color="auto"/>
            </w:tcBorders>
            <w:vAlign w:val="center"/>
            <w:hideMark/>
          </w:tcPr>
          <w:p w14:paraId="07205695" w14:textId="77777777" w:rsidR="00052D61" w:rsidRPr="008D1102" w:rsidRDefault="00052D61" w:rsidP="00052D61">
            <w:pPr>
              <w:rPr>
                <w:rFonts w:eastAsia="Times New Roman" w:cstheme="minorHAnsi"/>
                <w:sz w:val="20"/>
                <w:szCs w:val="20"/>
                <w:lang w:val="en-GB" w:eastAsia="en-GB"/>
              </w:rPr>
            </w:pPr>
          </w:p>
        </w:tc>
        <w:tc>
          <w:tcPr>
            <w:tcW w:w="2294" w:type="dxa"/>
            <w:tcBorders>
              <w:top w:val="single" w:sz="4" w:space="0" w:color="auto"/>
              <w:left w:val="single" w:sz="4" w:space="0" w:color="auto"/>
              <w:bottom w:val="single" w:sz="4" w:space="0" w:color="auto"/>
              <w:right w:val="single" w:sz="4" w:space="0" w:color="auto"/>
            </w:tcBorders>
          </w:tcPr>
          <w:p w14:paraId="7EA64514" w14:textId="77777777" w:rsidR="00052D61" w:rsidRPr="008D1102" w:rsidRDefault="00052D61" w:rsidP="00052D61">
            <w:pPr>
              <w:rPr>
                <w:rFonts w:cstheme="minorHAnsi"/>
                <w:sz w:val="20"/>
                <w:szCs w:val="20"/>
              </w:rPr>
            </w:pPr>
            <w:r w:rsidRPr="008D1102">
              <w:rPr>
                <w:rFonts w:cstheme="minorHAnsi"/>
                <w:b/>
                <w:bCs/>
                <w:sz w:val="20"/>
                <w:szCs w:val="20"/>
              </w:rPr>
              <w:t>Target 11</w:t>
            </w:r>
            <w:r w:rsidRPr="008D1102">
              <w:rPr>
                <w:rFonts w:cstheme="minorHAnsi"/>
                <w:sz w:val="20"/>
                <w:szCs w:val="20"/>
              </w:rPr>
              <w:t xml:space="preserve"> – programmes or projects that contribute to poverty alleviation: </w:t>
            </w:r>
          </w:p>
          <w:p w14:paraId="4BB4FDE3" w14:textId="77777777" w:rsidR="00052D61" w:rsidRPr="008D1102" w:rsidRDefault="00052D61" w:rsidP="00052D61">
            <w:pPr>
              <w:rPr>
                <w:rFonts w:cstheme="minorHAnsi"/>
                <w:sz w:val="20"/>
                <w:szCs w:val="20"/>
              </w:rPr>
            </w:pPr>
          </w:p>
          <w:p w14:paraId="797CBD69" w14:textId="77777777" w:rsidR="00052D61" w:rsidRPr="008D1102" w:rsidRDefault="00052D61" w:rsidP="00052D61">
            <w:pPr>
              <w:rPr>
                <w:rFonts w:cstheme="minorHAnsi"/>
                <w:i/>
                <w:iCs/>
                <w:sz w:val="20"/>
                <w:szCs w:val="20"/>
              </w:rPr>
            </w:pPr>
            <w:r w:rsidRPr="008D1102">
              <w:rPr>
                <w:rFonts w:cstheme="minorHAnsi"/>
                <w:i/>
                <w:iCs/>
                <w:sz w:val="20"/>
                <w:szCs w:val="20"/>
              </w:rPr>
              <w:t>Have wetland programmes or projects that contribute to poverty alleviation objectives or food and water security plans been implemented?</w:t>
            </w:r>
          </w:p>
          <w:p w14:paraId="417B5E14"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34D505B3" w14:textId="77777777" w:rsidR="00052D61" w:rsidRPr="008D1102" w:rsidRDefault="00EB5BF3" w:rsidP="00052D61">
            <w:pPr>
              <w:rPr>
                <w:rFonts w:cstheme="minorHAnsi"/>
                <w:sz w:val="20"/>
                <w:szCs w:val="20"/>
              </w:rPr>
            </w:pPr>
            <w:hyperlink r:id="rId17" w:history="1">
              <w:r w:rsidR="00052D61" w:rsidRPr="008D1102">
                <w:rPr>
                  <w:rStyle w:val="Hyperlink"/>
                  <w:rFonts w:cstheme="minorHAnsi"/>
                  <w:sz w:val="20"/>
                  <w:szCs w:val="20"/>
                </w:rPr>
                <w:t>Resolution XIII.19</w:t>
              </w:r>
            </w:hyperlink>
            <w:r w:rsidR="00052D61" w:rsidRPr="008D1102">
              <w:rPr>
                <w:rFonts w:cstheme="minorHAnsi"/>
                <w:sz w:val="20"/>
                <w:szCs w:val="20"/>
                <w:lang w:val="en-US"/>
              </w:rPr>
              <w:t xml:space="preserve">, </w:t>
            </w:r>
            <w:r w:rsidR="00052D61" w:rsidRPr="008D1102">
              <w:rPr>
                <w:rFonts w:cstheme="minorHAnsi"/>
                <w:sz w:val="20"/>
                <w:szCs w:val="20"/>
              </w:rPr>
              <w:t xml:space="preserve">Sustainable agriculture in wetlands </w:t>
            </w:r>
          </w:p>
          <w:p w14:paraId="6B487519" w14:textId="77777777" w:rsidR="00052D61" w:rsidRPr="008D1102" w:rsidRDefault="00052D61" w:rsidP="00052D61">
            <w:pPr>
              <w:rPr>
                <w:rFonts w:cstheme="minorHAnsi"/>
                <w:sz w:val="20"/>
                <w:szCs w:val="20"/>
              </w:rPr>
            </w:pPr>
          </w:p>
          <w:p w14:paraId="6F1FE10B" w14:textId="3655E52F" w:rsidR="00052D61" w:rsidRPr="008D1102" w:rsidRDefault="00052D61" w:rsidP="00052D61">
            <w:pPr>
              <w:rPr>
                <w:rFonts w:cstheme="minorHAnsi"/>
                <w:sz w:val="20"/>
                <w:szCs w:val="20"/>
              </w:rPr>
            </w:pPr>
            <w:r w:rsidRPr="008D1102">
              <w:rPr>
                <w:rFonts w:cstheme="minorHAnsi"/>
                <w:sz w:val="20"/>
                <w:szCs w:val="20"/>
                <w:lang w:val="en-US"/>
              </w:rPr>
              <w:t xml:space="preserve">SDG Indicator 1.1.1: </w:t>
            </w:r>
            <w:r w:rsidRPr="008D1102">
              <w:rPr>
                <w:rFonts w:cstheme="minorHAnsi"/>
                <w:i/>
                <w:iCs/>
                <w:sz w:val="20"/>
                <w:szCs w:val="20"/>
              </w:rPr>
              <w:t>proportion of population below the international poverty line</w:t>
            </w:r>
            <w:r w:rsidRPr="008D1102">
              <w:rPr>
                <w:rFonts w:cstheme="minorHAnsi"/>
                <w:i/>
                <w:iCs/>
                <w:sz w:val="20"/>
                <w:szCs w:val="20"/>
                <w:lang w:val="en-US"/>
              </w:rPr>
              <w:t xml:space="preserve"> </w:t>
            </w:r>
            <w:r w:rsidRPr="008D1102">
              <w:rPr>
                <w:rFonts w:cstheme="minorHAnsi"/>
                <w:sz w:val="20"/>
                <w:szCs w:val="20"/>
                <w:lang w:val="en-US"/>
              </w:rPr>
              <w:t>[</w:t>
            </w:r>
            <w:r w:rsidRPr="008D1102">
              <w:rPr>
                <w:rFonts w:cstheme="minorHAnsi"/>
                <w:sz w:val="20"/>
                <w:szCs w:val="20"/>
              </w:rPr>
              <w:t>$1.90 per day</w:t>
            </w:r>
            <w:r w:rsidRPr="008D1102">
              <w:rPr>
                <w:rFonts w:cstheme="minorHAnsi"/>
                <w:sz w:val="20"/>
                <w:szCs w:val="20"/>
                <w:lang w:val="en-US"/>
              </w:rPr>
              <w:t>]</w:t>
            </w:r>
            <w:r w:rsidRPr="008D1102">
              <w:rPr>
                <w:rFonts w:cstheme="minorHAnsi"/>
                <w:i/>
                <w:iCs/>
                <w:sz w:val="20"/>
                <w:szCs w:val="20"/>
              </w:rPr>
              <w:t>, by sex, age, employment status and geographical location (urban/rural)</w:t>
            </w:r>
          </w:p>
        </w:tc>
        <w:tc>
          <w:tcPr>
            <w:tcW w:w="2547" w:type="dxa"/>
            <w:tcBorders>
              <w:top w:val="single" w:sz="4" w:space="0" w:color="auto"/>
              <w:left w:val="single" w:sz="4" w:space="0" w:color="auto"/>
              <w:bottom w:val="single" w:sz="4" w:space="0" w:color="auto"/>
              <w:right w:val="single" w:sz="4" w:space="0" w:color="auto"/>
            </w:tcBorders>
          </w:tcPr>
          <w:p w14:paraId="35095916" w14:textId="46C56517" w:rsidR="00052D61" w:rsidRPr="008D1102" w:rsidRDefault="00573505" w:rsidP="00052D61">
            <w:pPr>
              <w:rPr>
                <w:rFonts w:cstheme="minorHAnsi"/>
                <w:bCs/>
                <w:sz w:val="20"/>
                <w:szCs w:val="20"/>
                <w:lang w:val="en-US"/>
              </w:rPr>
            </w:pPr>
            <w:r>
              <w:rPr>
                <w:rFonts w:cstheme="minorHAnsi"/>
                <w:bCs/>
                <w:sz w:val="20"/>
                <w:szCs w:val="20"/>
                <w:lang w:val="en-US"/>
              </w:rPr>
              <w:t xml:space="preserve">Call </w:t>
            </w:r>
            <w:r w:rsidR="00650CBB">
              <w:rPr>
                <w:rFonts w:cstheme="minorHAnsi"/>
                <w:bCs/>
                <w:sz w:val="20"/>
                <w:szCs w:val="20"/>
                <w:lang w:val="en-US"/>
              </w:rPr>
              <w:t xml:space="preserve">for and compile </w:t>
            </w:r>
            <w:r w:rsidR="00052D61" w:rsidRPr="008D1102">
              <w:rPr>
                <w:rFonts w:cstheme="minorHAnsi"/>
                <w:bCs/>
                <w:sz w:val="20"/>
                <w:szCs w:val="20"/>
                <w:lang w:val="en-US"/>
              </w:rPr>
              <w:t>case studies of Parties</w:t>
            </w:r>
            <w:r w:rsidR="005A15D8" w:rsidRPr="008D1102">
              <w:rPr>
                <w:rFonts w:cstheme="minorHAnsi"/>
                <w:bCs/>
                <w:sz w:val="20"/>
                <w:szCs w:val="20"/>
                <w:lang w:val="en-US"/>
              </w:rPr>
              <w:t xml:space="preserve"> wetland related programs and projects that contribute to poverty alleviation.</w:t>
            </w:r>
            <w:r w:rsidR="009B63BE">
              <w:rPr>
                <w:rFonts w:cstheme="minorHAnsi"/>
                <w:bCs/>
                <w:sz w:val="20"/>
                <w:szCs w:val="20"/>
                <w:lang w:val="en-US"/>
              </w:rPr>
              <w:t xml:space="preserve"> </w:t>
            </w:r>
            <w:r w:rsidR="00052D61" w:rsidRPr="008D1102">
              <w:rPr>
                <w:rFonts w:cstheme="minorHAnsi"/>
                <w:bCs/>
                <w:sz w:val="20"/>
                <w:szCs w:val="20"/>
                <w:lang w:val="en-US"/>
              </w:rPr>
              <w:t xml:space="preserve"> </w:t>
            </w:r>
          </w:p>
          <w:p w14:paraId="42AB5EA9" w14:textId="526C01C8" w:rsidR="00052D61" w:rsidRPr="008D1102" w:rsidRDefault="00052D61" w:rsidP="00052D61">
            <w:pPr>
              <w:rPr>
                <w:rFonts w:cstheme="minorHAnsi"/>
                <w:sz w:val="20"/>
                <w:szCs w:val="20"/>
                <w:lang w:val="en-US"/>
              </w:rPr>
            </w:pPr>
          </w:p>
          <w:p w14:paraId="435B3FAD" w14:textId="3D7FC9AE" w:rsidR="00052D61" w:rsidRPr="008D1102" w:rsidRDefault="00052D61" w:rsidP="00052D61">
            <w:pPr>
              <w:rPr>
                <w:rFonts w:cstheme="minorHAnsi"/>
                <w:sz w:val="20"/>
                <w:szCs w:val="20"/>
                <w:lang w:val="en-US"/>
              </w:rPr>
            </w:pPr>
          </w:p>
        </w:tc>
        <w:tc>
          <w:tcPr>
            <w:tcW w:w="1816" w:type="dxa"/>
            <w:tcBorders>
              <w:top w:val="single" w:sz="4" w:space="0" w:color="auto"/>
              <w:left w:val="single" w:sz="4" w:space="0" w:color="auto"/>
              <w:bottom w:val="single" w:sz="4" w:space="0" w:color="auto"/>
              <w:right w:val="single" w:sz="4" w:space="0" w:color="auto"/>
            </w:tcBorders>
          </w:tcPr>
          <w:p w14:paraId="3A9DCF88" w14:textId="582D7AC8" w:rsidR="00052D61" w:rsidRPr="008D1102" w:rsidRDefault="00052D61" w:rsidP="00052D61">
            <w:pPr>
              <w:rPr>
                <w:rFonts w:cstheme="minorHAnsi"/>
                <w:bCs/>
                <w:sz w:val="20"/>
                <w:szCs w:val="20"/>
                <w:lang w:val="en-US"/>
              </w:rPr>
            </w:pPr>
            <w:r w:rsidRPr="008D1102">
              <w:rPr>
                <w:rFonts w:cstheme="minorHAnsi"/>
                <w:bCs/>
                <w:sz w:val="20"/>
                <w:szCs w:val="20"/>
                <w:lang w:val="en-US"/>
              </w:rPr>
              <w:t xml:space="preserve">Secretariat </w:t>
            </w:r>
          </w:p>
          <w:p w14:paraId="441767B0" w14:textId="77777777" w:rsidR="00DD342C" w:rsidRPr="008D1102" w:rsidRDefault="00DD342C" w:rsidP="00DD342C">
            <w:pPr>
              <w:rPr>
                <w:rFonts w:cstheme="minorHAnsi"/>
                <w:sz w:val="20"/>
                <w:szCs w:val="20"/>
              </w:rPr>
            </w:pPr>
          </w:p>
          <w:p w14:paraId="50F19411" w14:textId="77777777" w:rsidR="00DD342C" w:rsidRPr="008D1102" w:rsidRDefault="00DD342C" w:rsidP="00DD342C">
            <w:pPr>
              <w:rPr>
                <w:rFonts w:cstheme="minorHAnsi"/>
                <w:sz w:val="20"/>
                <w:szCs w:val="20"/>
              </w:rPr>
            </w:pPr>
            <w:r w:rsidRPr="008D1102">
              <w:rPr>
                <w:rFonts w:cstheme="minorHAnsi"/>
                <w:sz w:val="20"/>
                <w:szCs w:val="20"/>
              </w:rPr>
              <w:t xml:space="preserve">Timing: </w:t>
            </w:r>
          </w:p>
          <w:p w14:paraId="5ECA34CE" w14:textId="77777777" w:rsidR="00DD342C" w:rsidRPr="008D1102" w:rsidRDefault="00DD342C" w:rsidP="00DD342C">
            <w:pPr>
              <w:rPr>
                <w:rFonts w:cstheme="minorHAnsi"/>
                <w:sz w:val="20"/>
                <w:szCs w:val="20"/>
              </w:rPr>
            </w:pPr>
            <w:r w:rsidRPr="008D1102">
              <w:rPr>
                <w:rFonts w:cstheme="minorHAnsi"/>
                <w:sz w:val="20"/>
                <w:szCs w:val="20"/>
              </w:rPr>
              <w:t>Gap year to COP14</w:t>
            </w:r>
          </w:p>
          <w:p w14:paraId="6F4DA156" w14:textId="77777777" w:rsidR="00617802" w:rsidRPr="008D1102" w:rsidRDefault="00617802" w:rsidP="00617802">
            <w:pPr>
              <w:rPr>
                <w:rFonts w:cstheme="minorHAnsi"/>
                <w:sz w:val="20"/>
                <w:szCs w:val="20"/>
              </w:rPr>
            </w:pPr>
            <w:r w:rsidRPr="008D1102">
              <w:rPr>
                <w:rFonts w:cstheme="minorHAnsi"/>
                <w:sz w:val="20"/>
                <w:szCs w:val="20"/>
              </w:rPr>
              <w:t xml:space="preserve">If capacity allows </w:t>
            </w:r>
          </w:p>
          <w:p w14:paraId="10335549" w14:textId="1DC3EDD6" w:rsidR="00617802" w:rsidRPr="008D1102" w:rsidRDefault="00617802" w:rsidP="00617802">
            <w:pPr>
              <w:rPr>
                <w:rFonts w:cstheme="minorHAnsi"/>
                <w:sz w:val="20"/>
                <w:szCs w:val="20"/>
              </w:rPr>
            </w:pPr>
            <w:r w:rsidRPr="008D1102">
              <w:rPr>
                <w:rFonts w:cstheme="minorHAnsi"/>
                <w:sz w:val="20"/>
                <w:szCs w:val="20"/>
              </w:rPr>
              <w:t>OR Next Triennium</w:t>
            </w:r>
            <w:r w:rsidR="009B63BE">
              <w:rPr>
                <w:rFonts w:cstheme="minorHAnsi"/>
                <w:sz w:val="20"/>
                <w:szCs w:val="20"/>
              </w:rPr>
              <w:t xml:space="preserve"> </w:t>
            </w:r>
            <w:r w:rsidRPr="008D1102">
              <w:rPr>
                <w:rFonts w:cstheme="minorHAnsi"/>
                <w:sz w:val="20"/>
                <w:szCs w:val="20"/>
              </w:rPr>
              <w:t xml:space="preserve"> </w:t>
            </w:r>
          </w:p>
          <w:p w14:paraId="4D2C4AE0" w14:textId="77777777" w:rsidR="00DD342C" w:rsidRPr="008D1102" w:rsidRDefault="00DD342C" w:rsidP="00DD342C">
            <w:pPr>
              <w:rPr>
                <w:rFonts w:cstheme="minorHAnsi"/>
                <w:sz w:val="20"/>
                <w:szCs w:val="20"/>
              </w:rPr>
            </w:pPr>
          </w:p>
          <w:p w14:paraId="37415D1A" w14:textId="77777777" w:rsidR="00DD342C" w:rsidRPr="008D1102" w:rsidRDefault="00DD342C" w:rsidP="00DD342C">
            <w:pPr>
              <w:rPr>
                <w:rFonts w:cstheme="minorHAnsi"/>
                <w:sz w:val="20"/>
                <w:szCs w:val="20"/>
              </w:rPr>
            </w:pPr>
            <w:r w:rsidRPr="008D1102">
              <w:rPr>
                <w:rFonts w:cstheme="minorHAnsi"/>
                <w:sz w:val="20"/>
                <w:szCs w:val="20"/>
              </w:rPr>
              <w:t xml:space="preserve">Funding: </w:t>
            </w:r>
          </w:p>
          <w:p w14:paraId="619D6D3C" w14:textId="77777777" w:rsidR="00DD342C" w:rsidRPr="008D1102" w:rsidRDefault="00DD342C" w:rsidP="00DD342C">
            <w:pPr>
              <w:rPr>
                <w:rFonts w:cstheme="minorHAnsi"/>
                <w:sz w:val="20"/>
                <w:szCs w:val="20"/>
              </w:rPr>
            </w:pPr>
            <w:r w:rsidRPr="008D1102">
              <w:rPr>
                <w:rFonts w:cstheme="minorHAnsi"/>
                <w:sz w:val="20"/>
                <w:szCs w:val="20"/>
              </w:rPr>
              <w:t xml:space="preserve">Existing resources </w:t>
            </w:r>
          </w:p>
          <w:p w14:paraId="1DD9E0BD" w14:textId="3D96FA8D" w:rsidR="00052D61" w:rsidRPr="008D1102" w:rsidRDefault="00052D61" w:rsidP="00052D61">
            <w:pPr>
              <w:rPr>
                <w:rFonts w:cstheme="minorHAnsi"/>
                <w:bCs/>
                <w:sz w:val="20"/>
                <w:szCs w:val="20"/>
                <w:lang w:val="en-US"/>
              </w:rPr>
            </w:pPr>
          </w:p>
        </w:tc>
      </w:tr>
      <w:tr w:rsidR="00052D61" w:rsidRPr="008D1102" w14:paraId="76336F22" w14:textId="4A8F65C3" w:rsidTr="00965133">
        <w:tc>
          <w:tcPr>
            <w:tcW w:w="1528" w:type="dxa"/>
            <w:vMerge/>
            <w:tcBorders>
              <w:top w:val="single" w:sz="4" w:space="0" w:color="auto"/>
              <w:left w:val="single" w:sz="4" w:space="0" w:color="auto"/>
              <w:bottom w:val="single" w:sz="4" w:space="0" w:color="auto"/>
              <w:right w:val="single" w:sz="4" w:space="0" w:color="auto"/>
            </w:tcBorders>
            <w:vAlign w:val="center"/>
            <w:hideMark/>
          </w:tcPr>
          <w:p w14:paraId="7CF63D84" w14:textId="77777777" w:rsidR="00052D61" w:rsidRPr="008D1102" w:rsidRDefault="00052D61" w:rsidP="00052D61">
            <w:pPr>
              <w:rPr>
                <w:rFonts w:eastAsia="Times New Roman" w:cstheme="minorHAnsi"/>
                <w:sz w:val="20"/>
                <w:szCs w:val="20"/>
                <w:lang w:val="en-GB" w:eastAsia="en-GB"/>
              </w:rPr>
            </w:pPr>
          </w:p>
        </w:tc>
        <w:tc>
          <w:tcPr>
            <w:tcW w:w="2294" w:type="dxa"/>
            <w:tcBorders>
              <w:top w:val="single" w:sz="4" w:space="0" w:color="auto"/>
              <w:left w:val="single" w:sz="4" w:space="0" w:color="auto"/>
              <w:bottom w:val="single" w:sz="4" w:space="0" w:color="auto"/>
              <w:right w:val="single" w:sz="4" w:space="0" w:color="auto"/>
            </w:tcBorders>
          </w:tcPr>
          <w:p w14:paraId="0DA2F6DA" w14:textId="77777777" w:rsidR="00052D61" w:rsidRPr="008D1102" w:rsidRDefault="00052D61" w:rsidP="00052D61">
            <w:pPr>
              <w:rPr>
                <w:rFonts w:cstheme="minorHAnsi"/>
                <w:sz w:val="20"/>
                <w:szCs w:val="20"/>
                <w:lang w:val="en-GB"/>
              </w:rPr>
            </w:pPr>
            <w:r w:rsidRPr="008D1102">
              <w:rPr>
                <w:rFonts w:cstheme="minorHAnsi"/>
                <w:b/>
                <w:bCs/>
                <w:sz w:val="20"/>
                <w:szCs w:val="20"/>
              </w:rPr>
              <w:t>Target 11</w:t>
            </w:r>
            <w:r w:rsidRPr="008D1102">
              <w:rPr>
                <w:rFonts w:cstheme="minorHAnsi"/>
                <w:sz w:val="20"/>
                <w:szCs w:val="20"/>
              </w:rPr>
              <w:t xml:space="preserve"> – socio-economic benefits of wetlands: </w:t>
            </w:r>
          </w:p>
          <w:p w14:paraId="3FE4D373" w14:textId="77777777" w:rsidR="00052D61" w:rsidRPr="008D1102" w:rsidRDefault="00052D61" w:rsidP="00052D61">
            <w:pPr>
              <w:rPr>
                <w:rFonts w:cstheme="minorHAnsi"/>
                <w:sz w:val="20"/>
                <w:szCs w:val="20"/>
              </w:rPr>
            </w:pPr>
          </w:p>
          <w:p w14:paraId="4890BCD7" w14:textId="77777777" w:rsidR="00052D61" w:rsidRPr="008D1102" w:rsidRDefault="00052D61" w:rsidP="00052D61">
            <w:pPr>
              <w:rPr>
                <w:rFonts w:cstheme="minorHAnsi"/>
                <w:sz w:val="20"/>
                <w:szCs w:val="20"/>
                <w:lang w:val="en-US"/>
              </w:rPr>
            </w:pPr>
            <w:r w:rsidRPr="008D1102">
              <w:rPr>
                <w:rFonts w:cstheme="minorHAnsi"/>
                <w:bCs/>
                <w:i/>
                <w:iCs/>
                <w:sz w:val="20"/>
                <w:szCs w:val="20"/>
              </w:rPr>
              <w:t>Have socio-economic values of wetlands been included in the management planning for Ramsar Sites and other wetlands?</w:t>
            </w:r>
          </w:p>
          <w:p w14:paraId="73A96AAE" w14:textId="77777777" w:rsidR="00052D61" w:rsidRPr="008D1102" w:rsidRDefault="00052D61" w:rsidP="00052D61">
            <w:pPr>
              <w:rPr>
                <w:rFonts w:cstheme="minorHAnsi"/>
                <w:sz w:val="20"/>
                <w:szCs w:val="20"/>
                <w:lang w:val="en-GB"/>
              </w:rPr>
            </w:pPr>
          </w:p>
        </w:tc>
        <w:tc>
          <w:tcPr>
            <w:tcW w:w="1935" w:type="dxa"/>
            <w:tcBorders>
              <w:top w:val="single" w:sz="4" w:space="0" w:color="auto"/>
              <w:left w:val="single" w:sz="4" w:space="0" w:color="auto"/>
              <w:bottom w:val="single" w:sz="4" w:space="0" w:color="auto"/>
              <w:right w:val="single" w:sz="4" w:space="0" w:color="auto"/>
            </w:tcBorders>
          </w:tcPr>
          <w:p w14:paraId="456E889A" w14:textId="77777777" w:rsidR="00052D61" w:rsidRPr="008D1102" w:rsidRDefault="00EB5BF3" w:rsidP="00052D61">
            <w:pPr>
              <w:rPr>
                <w:rFonts w:cstheme="minorHAnsi"/>
                <w:sz w:val="20"/>
                <w:szCs w:val="20"/>
              </w:rPr>
            </w:pPr>
            <w:hyperlink r:id="rId18" w:history="1">
              <w:r w:rsidR="00052D61" w:rsidRPr="008D1102">
                <w:rPr>
                  <w:rStyle w:val="Hyperlink"/>
                  <w:rFonts w:cstheme="minorHAnsi"/>
                  <w:sz w:val="20"/>
                  <w:szCs w:val="20"/>
                </w:rPr>
                <w:t>Ramsar Technical Report No. 3</w:t>
              </w:r>
            </w:hyperlink>
            <w:r w:rsidR="00052D61" w:rsidRPr="008D1102">
              <w:rPr>
                <w:rFonts w:cstheme="minorHAnsi"/>
                <w:sz w:val="20"/>
                <w:szCs w:val="20"/>
              </w:rPr>
              <w:t>, Valuing wetlands [2006]</w:t>
            </w:r>
          </w:p>
          <w:p w14:paraId="3C7B4B4B" w14:textId="77777777" w:rsidR="00052D61" w:rsidRPr="008D1102" w:rsidRDefault="00052D61" w:rsidP="00052D61">
            <w:pPr>
              <w:rPr>
                <w:rFonts w:cstheme="minorHAnsi"/>
                <w:sz w:val="20"/>
                <w:szCs w:val="20"/>
              </w:rPr>
            </w:pPr>
          </w:p>
          <w:p w14:paraId="610463CC" w14:textId="77777777" w:rsidR="00052D61" w:rsidRPr="008D1102" w:rsidRDefault="00EB5BF3" w:rsidP="00052D61">
            <w:pPr>
              <w:rPr>
                <w:rFonts w:cstheme="minorHAnsi"/>
                <w:sz w:val="20"/>
                <w:szCs w:val="20"/>
              </w:rPr>
            </w:pPr>
            <w:hyperlink r:id="rId19" w:history="1">
              <w:r w:rsidR="00052D61" w:rsidRPr="008D1102">
                <w:rPr>
                  <w:rStyle w:val="Hyperlink"/>
                  <w:rFonts w:cstheme="minorHAnsi"/>
                  <w:sz w:val="20"/>
                  <w:szCs w:val="20"/>
                </w:rPr>
                <w:t>Resolution IX.21</w:t>
              </w:r>
            </w:hyperlink>
            <w:r w:rsidR="00052D61" w:rsidRPr="008D1102">
              <w:rPr>
                <w:rFonts w:cstheme="minorHAnsi"/>
                <w:sz w:val="20"/>
                <w:szCs w:val="20"/>
                <w:lang w:val="en-US"/>
              </w:rPr>
              <w:t xml:space="preserve">, </w:t>
            </w:r>
            <w:r w:rsidR="00052D61" w:rsidRPr="008D1102">
              <w:rPr>
                <w:rFonts w:cstheme="minorHAnsi"/>
                <w:sz w:val="20"/>
                <w:szCs w:val="20"/>
              </w:rPr>
              <w:t xml:space="preserve">Taking into account the cultural values of wetlands </w:t>
            </w:r>
          </w:p>
          <w:p w14:paraId="00756400" w14:textId="77777777" w:rsidR="00052D61" w:rsidRPr="008D1102" w:rsidRDefault="00052D61" w:rsidP="00052D61">
            <w:pPr>
              <w:rPr>
                <w:rFonts w:cstheme="minorHAnsi"/>
                <w:sz w:val="20"/>
                <w:szCs w:val="20"/>
              </w:rPr>
            </w:pPr>
          </w:p>
        </w:tc>
        <w:tc>
          <w:tcPr>
            <w:tcW w:w="2547" w:type="dxa"/>
            <w:tcBorders>
              <w:top w:val="single" w:sz="4" w:space="0" w:color="auto"/>
              <w:left w:val="single" w:sz="4" w:space="0" w:color="auto"/>
              <w:bottom w:val="single" w:sz="4" w:space="0" w:color="auto"/>
              <w:right w:val="single" w:sz="4" w:space="0" w:color="auto"/>
            </w:tcBorders>
            <w:hideMark/>
          </w:tcPr>
          <w:p w14:paraId="21C4953E" w14:textId="77777777" w:rsidR="00052D61" w:rsidRDefault="00052D61" w:rsidP="00052D61">
            <w:pPr>
              <w:rPr>
                <w:rFonts w:cstheme="minorHAnsi"/>
                <w:sz w:val="20"/>
                <w:szCs w:val="20"/>
              </w:rPr>
            </w:pPr>
            <w:r w:rsidRPr="008D1102">
              <w:rPr>
                <w:rFonts w:cstheme="minorHAnsi"/>
                <w:sz w:val="20"/>
                <w:szCs w:val="20"/>
              </w:rPr>
              <w:t>Develop guidance for Parties on defining socio-economic value</w:t>
            </w:r>
            <w:r w:rsidR="005A15D8" w:rsidRPr="008D1102">
              <w:rPr>
                <w:rFonts w:cstheme="minorHAnsi"/>
                <w:sz w:val="20"/>
                <w:szCs w:val="20"/>
              </w:rPr>
              <w:t>s</w:t>
            </w:r>
            <w:r w:rsidRPr="008D1102">
              <w:rPr>
                <w:rFonts w:cstheme="minorHAnsi"/>
                <w:sz w:val="20"/>
                <w:szCs w:val="20"/>
              </w:rPr>
              <w:t xml:space="preserve"> and their integration in the management planning for Ramsar Sites and other wetlands. </w:t>
            </w:r>
          </w:p>
          <w:p w14:paraId="3DEA2999" w14:textId="77777777" w:rsidR="00573505" w:rsidRDefault="00573505" w:rsidP="00573505">
            <w:pPr>
              <w:rPr>
                <w:rFonts w:cstheme="minorHAnsi"/>
                <w:sz w:val="20"/>
                <w:szCs w:val="20"/>
              </w:rPr>
            </w:pPr>
          </w:p>
          <w:p w14:paraId="77C3AF67" w14:textId="292CFCC7" w:rsidR="00573505" w:rsidRPr="008D1102" w:rsidRDefault="00573505" w:rsidP="00573505">
            <w:pPr>
              <w:rPr>
                <w:rFonts w:cstheme="minorHAnsi"/>
                <w:sz w:val="20"/>
                <w:szCs w:val="20"/>
              </w:rPr>
            </w:pPr>
            <w:r w:rsidRPr="008D1102">
              <w:rPr>
                <w:rFonts w:cstheme="minorHAnsi"/>
                <w:sz w:val="20"/>
                <w:szCs w:val="20"/>
              </w:rPr>
              <w:t xml:space="preserve">Capacity building webinars on valuation and accounting methods </w:t>
            </w:r>
          </w:p>
          <w:p w14:paraId="0ADDBDB6" w14:textId="77777777" w:rsidR="00573505" w:rsidRDefault="00573505" w:rsidP="00052D61">
            <w:pPr>
              <w:rPr>
                <w:rFonts w:cstheme="minorHAnsi"/>
                <w:color w:val="FF0000"/>
                <w:sz w:val="20"/>
                <w:szCs w:val="20"/>
              </w:rPr>
            </w:pPr>
          </w:p>
          <w:p w14:paraId="328A1424" w14:textId="0D9E3ED9" w:rsidR="00573505" w:rsidRPr="008D1102" w:rsidRDefault="00573505" w:rsidP="00052D61">
            <w:pPr>
              <w:rPr>
                <w:rFonts w:cstheme="minorHAnsi"/>
                <w:color w:val="FF0000"/>
                <w:sz w:val="20"/>
                <w:szCs w:val="20"/>
              </w:rPr>
            </w:pPr>
          </w:p>
        </w:tc>
        <w:tc>
          <w:tcPr>
            <w:tcW w:w="1816" w:type="dxa"/>
            <w:tcBorders>
              <w:top w:val="single" w:sz="4" w:space="0" w:color="auto"/>
              <w:left w:val="single" w:sz="4" w:space="0" w:color="auto"/>
              <w:bottom w:val="single" w:sz="4" w:space="0" w:color="auto"/>
              <w:right w:val="single" w:sz="4" w:space="0" w:color="auto"/>
            </w:tcBorders>
          </w:tcPr>
          <w:p w14:paraId="65CD5759" w14:textId="0087F35A" w:rsidR="00052D61" w:rsidRPr="008D1102" w:rsidRDefault="005A15D8" w:rsidP="005A15D8">
            <w:pPr>
              <w:rPr>
                <w:rFonts w:cstheme="minorHAnsi"/>
                <w:sz w:val="20"/>
                <w:szCs w:val="20"/>
              </w:rPr>
            </w:pPr>
            <w:r w:rsidRPr="008D1102">
              <w:rPr>
                <w:rFonts w:cstheme="minorHAnsi"/>
                <w:sz w:val="20"/>
                <w:szCs w:val="20"/>
              </w:rPr>
              <w:t>Consultancy to develop guidance</w:t>
            </w:r>
            <w:r w:rsidR="009B63BE">
              <w:rPr>
                <w:rFonts w:cstheme="minorHAnsi"/>
                <w:sz w:val="20"/>
                <w:szCs w:val="20"/>
              </w:rPr>
              <w:t xml:space="preserve"> </w:t>
            </w:r>
            <w:r w:rsidRPr="008D1102">
              <w:rPr>
                <w:rFonts w:cstheme="minorHAnsi"/>
                <w:sz w:val="20"/>
                <w:szCs w:val="20"/>
              </w:rPr>
              <w:t xml:space="preserve">oversighted by a WG to develop ToR review and action publication of guidance </w:t>
            </w:r>
          </w:p>
          <w:p w14:paraId="4CDC8716" w14:textId="77777777" w:rsidR="00052D61" w:rsidRPr="008D1102" w:rsidRDefault="00052D61" w:rsidP="00052D61">
            <w:pPr>
              <w:rPr>
                <w:rFonts w:cstheme="minorHAnsi"/>
                <w:sz w:val="20"/>
                <w:szCs w:val="20"/>
              </w:rPr>
            </w:pPr>
          </w:p>
          <w:p w14:paraId="6F18FA6F" w14:textId="77777777" w:rsidR="00052D61" w:rsidRPr="008D1102" w:rsidRDefault="00052D61" w:rsidP="00052D61">
            <w:pPr>
              <w:rPr>
                <w:rFonts w:cstheme="minorHAnsi"/>
                <w:sz w:val="20"/>
                <w:szCs w:val="20"/>
              </w:rPr>
            </w:pPr>
          </w:p>
          <w:p w14:paraId="752E656B" w14:textId="77777777" w:rsidR="005A15D8" w:rsidRPr="008D1102" w:rsidRDefault="005A15D8" w:rsidP="00052D61">
            <w:pPr>
              <w:rPr>
                <w:rFonts w:cstheme="minorHAnsi"/>
                <w:sz w:val="20"/>
                <w:szCs w:val="20"/>
              </w:rPr>
            </w:pPr>
            <w:r w:rsidRPr="008D1102">
              <w:rPr>
                <w:rFonts w:cstheme="minorHAnsi"/>
                <w:sz w:val="20"/>
                <w:szCs w:val="20"/>
              </w:rPr>
              <w:t xml:space="preserve">Timing: </w:t>
            </w:r>
          </w:p>
          <w:p w14:paraId="08D7D68E" w14:textId="5AD064DD" w:rsidR="005A15D8" w:rsidRPr="008D1102" w:rsidRDefault="005A15D8" w:rsidP="00052D61">
            <w:pPr>
              <w:rPr>
                <w:rFonts w:cstheme="minorHAnsi"/>
                <w:sz w:val="20"/>
                <w:szCs w:val="20"/>
              </w:rPr>
            </w:pPr>
            <w:r w:rsidRPr="008D1102">
              <w:rPr>
                <w:rFonts w:cstheme="minorHAnsi"/>
                <w:sz w:val="20"/>
                <w:szCs w:val="20"/>
              </w:rPr>
              <w:t xml:space="preserve">Next triennium </w:t>
            </w:r>
          </w:p>
          <w:p w14:paraId="7934E8EB" w14:textId="77777777" w:rsidR="005A15D8" w:rsidRPr="008D1102" w:rsidRDefault="005A15D8" w:rsidP="00052D61">
            <w:pPr>
              <w:rPr>
                <w:rFonts w:cstheme="minorHAnsi"/>
                <w:sz w:val="20"/>
                <w:szCs w:val="20"/>
              </w:rPr>
            </w:pPr>
          </w:p>
          <w:p w14:paraId="73E7D6DF" w14:textId="77777777" w:rsidR="005A15D8" w:rsidRPr="008D1102" w:rsidRDefault="005A15D8" w:rsidP="00052D61">
            <w:pPr>
              <w:rPr>
                <w:rFonts w:cstheme="minorHAnsi"/>
                <w:sz w:val="20"/>
                <w:szCs w:val="20"/>
              </w:rPr>
            </w:pPr>
            <w:r w:rsidRPr="008D1102">
              <w:rPr>
                <w:rFonts w:cstheme="minorHAnsi"/>
                <w:sz w:val="20"/>
                <w:szCs w:val="20"/>
              </w:rPr>
              <w:t xml:space="preserve">Funding: </w:t>
            </w:r>
          </w:p>
          <w:p w14:paraId="7A3FBF08" w14:textId="1B8453A6" w:rsidR="005A15D8" w:rsidRPr="008D1102" w:rsidRDefault="005A15D8" w:rsidP="00052D61">
            <w:pPr>
              <w:rPr>
                <w:rFonts w:cstheme="minorHAnsi"/>
                <w:sz w:val="20"/>
                <w:szCs w:val="20"/>
              </w:rPr>
            </w:pPr>
            <w:r w:rsidRPr="008D1102">
              <w:rPr>
                <w:rFonts w:cstheme="minorHAnsi"/>
                <w:sz w:val="20"/>
                <w:szCs w:val="20"/>
              </w:rPr>
              <w:t>Subject to availability of new resources</w:t>
            </w:r>
            <w:r w:rsidR="009B63BE">
              <w:rPr>
                <w:rFonts w:cstheme="minorHAnsi"/>
                <w:sz w:val="20"/>
                <w:szCs w:val="20"/>
              </w:rPr>
              <w:t xml:space="preserve"> </w:t>
            </w:r>
          </w:p>
        </w:tc>
      </w:tr>
      <w:tr w:rsidR="00052D61" w:rsidRPr="008D1102" w14:paraId="6795693C" w14:textId="7A9083E6" w:rsidTr="00965133">
        <w:tc>
          <w:tcPr>
            <w:tcW w:w="1528" w:type="dxa"/>
            <w:tcBorders>
              <w:top w:val="single" w:sz="4" w:space="0" w:color="auto"/>
              <w:left w:val="single" w:sz="4" w:space="0" w:color="auto"/>
              <w:bottom w:val="single" w:sz="4" w:space="0" w:color="auto"/>
              <w:right w:val="single" w:sz="4" w:space="0" w:color="auto"/>
            </w:tcBorders>
          </w:tcPr>
          <w:p w14:paraId="2E3B70B0" w14:textId="77777777" w:rsidR="00052D61" w:rsidRPr="008D1102" w:rsidRDefault="00052D61" w:rsidP="00052D61">
            <w:pPr>
              <w:rPr>
                <w:rFonts w:cstheme="minorHAnsi"/>
                <w:sz w:val="20"/>
                <w:szCs w:val="20"/>
              </w:rPr>
            </w:pPr>
          </w:p>
        </w:tc>
        <w:tc>
          <w:tcPr>
            <w:tcW w:w="2294" w:type="dxa"/>
            <w:tcBorders>
              <w:top w:val="single" w:sz="4" w:space="0" w:color="auto"/>
              <w:left w:val="single" w:sz="4" w:space="0" w:color="auto"/>
              <w:bottom w:val="single" w:sz="4" w:space="0" w:color="auto"/>
              <w:right w:val="single" w:sz="4" w:space="0" w:color="auto"/>
            </w:tcBorders>
          </w:tcPr>
          <w:p w14:paraId="395EDF70" w14:textId="77777777" w:rsidR="00052D61" w:rsidRPr="008D1102" w:rsidRDefault="00052D61" w:rsidP="00052D61">
            <w:pPr>
              <w:rPr>
                <w:rFonts w:cstheme="minorHAnsi"/>
                <w:sz w:val="20"/>
                <w:szCs w:val="20"/>
              </w:rPr>
            </w:pPr>
            <w:r w:rsidRPr="008D1102">
              <w:rPr>
                <w:rFonts w:cstheme="minorHAnsi"/>
                <w:b/>
                <w:bCs/>
                <w:sz w:val="20"/>
                <w:szCs w:val="20"/>
              </w:rPr>
              <w:t>Target 12</w:t>
            </w:r>
            <w:r w:rsidRPr="008D1102">
              <w:rPr>
                <w:rFonts w:cstheme="minorHAnsi"/>
                <w:sz w:val="20"/>
                <w:szCs w:val="20"/>
              </w:rPr>
              <w:t xml:space="preserve"> – prioritization of sites for restoration: </w:t>
            </w:r>
          </w:p>
          <w:p w14:paraId="07AE9AD1" w14:textId="77777777" w:rsidR="00052D61" w:rsidRPr="008D1102" w:rsidRDefault="00052D61" w:rsidP="00052D61">
            <w:pPr>
              <w:rPr>
                <w:rFonts w:cstheme="minorHAnsi"/>
                <w:sz w:val="20"/>
                <w:szCs w:val="20"/>
              </w:rPr>
            </w:pPr>
          </w:p>
          <w:p w14:paraId="5075F035" w14:textId="77777777" w:rsidR="00052D61" w:rsidRPr="008D1102" w:rsidRDefault="00052D61" w:rsidP="00052D61">
            <w:pPr>
              <w:rPr>
                <w:rFonts w:cstheme="minorHAnsi"/>
                <w:sz w:val="20"/>
                <w:szCs w:val="20"/>
              </w:rPr>
            </w:pPr>
            <w:r w:rsidRPr="008D1102">
              <w:rPr>
                <w:rFonts w:cstheme="minorHAnsi"/>
                <w:bCs/>
                <w:i/>
                <w:iCs/>
                <w:sz w:val="20"/>
                <w:szCs w:val="20"/>
              </w:rPr>
              <w:t>Have wetland restoration/rehabilitation programmes, plans or projects been effectively implemented?</w:t>
            </w:r>
          </w:p>
          <w:p w14:paraId="578D0881"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588C223D" w14:textId="77777777" w:rsidR="00052D61" w:rsidRPr="008D1102" w:rsidRDefault="00EB5BF3" w:rsidP="00052D61">
            <w:pPr>
              <w:rPr>
                <w:rFonts w:cstheme="minorHAnsi"/>
                <w:sz w:val="20"/>
                <w:szCs w:val="20"/>
                <w:lang w:val="en-US"/>
              </w:rPr>
            </w:pPr>
            <w:hyperlink r:id="rId20" w:history="1">
              <w:r w:rsidR="00052D61" w:rsidRPr="008D1102">
                <w:rPr>
                  <w:rStyle w:val="Hyperlink"/>
                  <w:rFonts w:cstheme="minorHAnsi"/>
                  <w:sz w:val="20"/>
                  <w:szCs w:val="20"/>
                </w:rPr>
                <w:t>Resolution VIII.16</w:t>
              </w:r>
            </w:hyperlink>
            <w:r w:rsidR="00052D61" w:rsidRPr="008D1102">
              <w:rPr>
                <w:rFonts w:cstheme="minorHAnsi"/>
                <w:sz w:val="20"/>
                <w:szCs w:val="20"/>
                <w:lang w:val="en-US"/>
              </w:rPr>
              <w:t xml:space="preserve">, </w:t>
            </w:r>
            <w:r w:rsidR="00052D61" w:rsidRPr="008D1102">
              <w:rPr>
                <w:rFonts w:cstheme="minorHAnsi"/>
                <w:sz w:val="20"/>
                <w:szCs w:val="20"/>
              </w:rPr>
              <w:t xml:space="preserve">Principles and guidelines for wetland restoration </w:t>
            </w:r>
            <w:r w:rsidR="00052D61" w:rsidRPr="008D1102">
              <w:rPr>
                <w:rFonts w:cstheme="minorHAnsi"/>
                <w:sz w:val="20"/>
                <w:szCs w:val="20"/>
                <w:lang w:val="en-US"/>
              </w:rPr>
              <w:t>[2002]</w:t>
            </w:r>
          </w:p>
          <w:p w14:paraId="130A7526" w14:textId="77777777" w:rsidR="00052D61" w:rsidRPr="008D1102" w:rsidRDefault="00052D61" w:rsidP="00052D61">
            <w:pPr>
              <w:rPr>
                <w:rFonts w:cstheme="minorHAnsi"/>
                <w:sz w:val="20"/>
                <w:szCs w:val="20"/>
                <w:lang w:val="en-GB"/>
              </w:rPr>
            </w:pPr>
          </w:p>
          <w:p w14:paraId="24EA8C58" w14:textId="6CEA0402" w:rsidR="00052D61" w:rsidRPr="008D1102" w:rsidRDefault="00EB5BF3" w:rsidP="00052D61">
            <w:pPr>
              <w:rPr>
                <w:rFonts w:cstheme="minorHAnsi"/>
                <w:sz w:val="20"/>
                <w:szCs w:val="20"/>
              </w:rPr>
            </w:pPr>
            <w:hyperlink r:id="rId21" w:history="1">
              <w:r w:rsidR="00052D61" w:rsidRPr="008D1102">
                <w:rPr>
                  <w:rStyle w:val="Hyperlink"/>
                  <w:rFonts w:cstheme="minorHAnsi"/>
                  <w:sz w:val="20"/>
                  <w:szCs w:val="20"/>
                </w:rPr>
                <w:t>Resolution XIII.13</w:t>
              </w:r>
            </w:hyperlink>
            <w:r w:rsidR="00052D61" w:rsidRPr="008D1102">
              <w:rPr>
                <w:rFonts w:cstheme="minorHAnsi"/>
                <w:sz w:val="20"/>
                <w:szCs w:val="20"/>
                <w:lang w:val="en-US"/>
              </w:rPr>
              <w:t>,</w:t>
            </w:r>
            <w:r w:rsidR="009B63BE">
              <w:rPr>
                <w:rFonts w:cstheme="minorHAnsi"/>
                <w:sz w:val="20"/>
                <w:szCs w:val="20"/>
                <w:lang w:val="en-US"/>
              </w:rPr>
              <w:t xml:space="preserve"> </w:t>
            </w:r>
            <w:r w:rsidR="00052D61" w:rsidRPr="008D1102">
              <w:rPr>
                <w:rFonts w:cstheme="minorHAnsi"/>
                <w:sz w:val="20"/>
                <w:szCs w:val="20"/>
              </w:rPr>
              <w:t xml:space="preserve">Restoration of degraded peatlands to mitigate and adapt to climate change and enhance biodiversity and disaster risk reduction </w:t>
            </w:r>
          </w:p>
        </w:tc>
        <w:tc>
          <w:tcPr>
            <w:tcW w:w="2547" w:type="dxa"/>
            <w:tcBorders>
              <w:top w:val="single" w:sz="4" w:space="0" w:color="auto"/>
              <w:left w:val="single" w:sz="4" w:space="0" w:color="auto"/>
              <w:bottom w:val="single" w:sz="4" w:space="0" w:color="auto"/>
              <w:right w:val="single" w:sz="4" w:space="0" w:color="auto"/>
            </w:tcBorders>
            <w:hideMark/>
          </w:tcPr>
          <w:p w14:paraId="789A4CB9" w14:textId="77777777" w:rsidR="00052D61" w:rsidRPr="008D1102" w:rsidRDefault="00052D61" w:rsidP="00052D61">
            <w:pPr>
              <w:rPr>
                <w:rFonts w:cstheme="minorHAnsi"/>
                <w:sz w:val="20"/>
                <w:szCs w:val="20"/>
              </w:rPr>
            </w:pPr>
            <w:r w:rsidRPr="008D1102">
              <w:rPr>
                <w:rFonts w:cstheme="minorHAnsi"/>
                <w:sz w:val="20"/>
                <w:szCs w:val="20"/>
              </w:rPr>
              <w:t xml:space="preserve">Recall to Parties existing guidance on wetland restoration/rehabilitation. </w:t>
            </w:r>
          </w:p>
          <w:p w14:paraId="50919211" w14:textId="77777777" w:rsidR="004508F8" w:rsidRPr="008D1102" w:rsidRDefault="004508F8" w:rsidP="00052D61">
            <w:pPr>
              <w:rPr>
                <w:rFonts w:cstheme="minorHAnsi"/>
                <w:sz w:val="20"/>
                <w:szCs w:val="20"/>
              </w:rPr>
            </w:pPr>
          </w:p>
          <w:p w14:paraId="581F03C6" w14:textId="306A00E2" w:rsidR="004508F8" w:rsidRPr="008D1102" w:rsidRDefault="004508F8" w:rsidP="004508F8">
            <w:pPr>
              <w:pStyle w:val="CommentText"/>
            </w:pPr>
            <w:r w:rsidRPr="008D1102">
              <w:rPr>
                <w:rFonts w:cstheme="minorHAnsi"/>
              </w:rPr>
              <w:t xml:space="preserve">Explore synergies with </w:t>
            </w:r>
            <w:r w:rsidRPr="008D1102">
              <w:t>UN Decade on Ecosystem Restoration</w:t>
            </w:r>
            <w:r w:rsidR="008D1102">
              <w:t xml:space="preserve"> and IUCN Global Standard for Nature based Solutions </w:t>
            </w:r>
          </w:p>
          <w:p w14:paraId="537865C0" w14:textId="34A21E25" w:rsidR="00573505" w:rsidRPr="008D1102" w:rsidRDefault="00573505" w:rsidP="00573505">
            <w:pPr>
              <w:rPr>
                <w:rFonts w:cstheme="minorHAnsi"/>
                <w:sz w:val="20"/>
                <w:szCs w:val="20"/>
              </w:rPr>
            </w:pPr>
            <w:r w:rsidRPr="008D1102">
              <w:rPr>
                <w:rFonts w:cstheme="minorHAnsi"/>
                <w:sz w:val="20"/>
                <w:szCs w:val="20"/>
              </w:rPr>
              <w:t xml:space="preserve">Secretariat to liaise with UNEP </w:t>
            </w:r>
            <w:r>
              <w:rPr>
                <w:rFonts w:cstheme="minorHAnsi"/>
                <w:sz w:val="20"/>
                <w:szCs w:val="20"/>
              </w:rPr>
              <w:t xml:space="preserve">and IUCN </w:t>
            </w:r>
            <w:r w:rsidRPr="008D1102">
              <w:rPr>
                <w:rFonts w:cstheme="minorHAnsi"/>
                <w:sz w:val="20"/>
                <w:szCs w:val="20"/>
              </w:rPr>
              <w:t xml:space="preserve">to identify opportunities to co-produce capacity building webinars </w:t>
            </w:r>
          </w:p>
          <w:p w14:paraId="5516D27A" w14:textId="4CE45948" w:rsidR="004508F8" w:rsidRPr="008D1102" w:rsidRDefault="004508F8" w:rsidP="004508F8">
            <w:pPr>
              <w:rPr>
                <w:rFonts w:cstheme="minorHAnsi"/>
                <w:sz w:val="20"/>
                <w:szCs w:val="20"/>
              </w:rPr>
            </w:pPr>
          </w:p>
        </w:tc>
        <w:tc>
          <w:tcPr>
            <w:tcW w:w="1816" w:type="dxa"/>
            <w:tcBorders>
              <w:top w:val="single" w:sz="4" w:space="0" w:color="auto"/>
              <w:left w:val="single" w:sz="4" w:space="0" w:color="auto"/>
              <w:bottom w:val="single" w:sz="4" w:space="0" w:color="auto"/>
              <w:right w:val="single" w:sz="4" w:space="0" w:color="auto"/>
            </w:tcBorders>
          </w:tcPr>
          <w:p w14:paraId="05B99AA9" w14:textId="77777777" w:rsidR="00573505" w:rsidRDefault="00052D61" w:rsidP="00573505">
            <w:pPr>
              <w:rPr>
                <w:rFonts w:cstheme="minorHAnsi"/>
                <w:sz w:val="20"/>
                <w:szCs w:val="20"/>
              </w:rPr>
            </w:pPr>
            <w:r w:rsidRPr="008D1102">
              <w:rPr>
                <w:rFonts w:cstheme="minorHAnsi"/>
                <w:sz w:val="20"/>
                <w:szCs w:val="20"/>
              </w:rPr>
              <w:t>Secretariat</w:t>
            </w:r>
            <w:r w:rsidR="00573505">
              <w:rPr>
                <w:rFonts w:cstheme="minorHAnsi"/>
                <w:sz w:val="20"/>
                <w:szCs w:val="20"/>
              </w:rPr>
              <w:t xml:space="preserve"> </w:t>
            </w:r>
          </w:p>
          <w:p w14:paraId="5B4B0BB5" w14:textId="6682C209" w:rsidR="00052D61" w:rsidRPr="008D1102" w:rsidRDefault="00573505" w:rsidP="00573505">
            <w:pPr>
              <w:rPr>
                <w:rFonts w:cstheme="minorHAnsi"/>
                <w:sz w:val="20"/>
                <w:szCs w:val="20"/>
              </w:rPr>
            </w:pPr>
            <w:r>
              <w:rPr>
                <w:rFonts w:cstheme="minorHAnsi"/>
                <w:sz w:val="20"/>
                <w:szCs w:val="20"/>
              </w:rPr>
              <w:t xml:space="preserve">(with IUCN) </w:t>
            </w:r>
          </w:p>
          <w:p w14:paraId="34391368" w14:textId="6F7478E0" w:rsidR="00052D61" w:rsidRPr="008D1102" w:rsidRDefault="00052D61" w:rsidP="00052D61">
            <w:pPr>
              <w:rPr>
                <w:rFonts w:cstheme="minorHAnsi"/>
                <w:sz w:val="20"/>
                <w:szCs w:val="20"/>
              </w:rPr>
            </w:pPr>
          </w:p>
          <w:p w14:paraId="4ADBADF4" w14:textId="77777777" w:rsidR="00260CC2" w:rsidRPr="008D1102" w:rsidRDefault="00260CC2" w:rsidP="00260CC2">
            <w:pPr>
              <w:rPr>
                <w:rFonts w:cstheme="minorHAnsi"/>
                <w:sz w:val="20"/>
                <w:szCs w:val="20"/>
              </w:rPr>
            </w:pPr>
          </w:p>
          <w:p w14:paraId="42398667" w14:textId="77777777" w:rsidR="00E56F22" w:rsidRPr="008D1102" w:rsidRDefault="00E56F22" w:rsidP="00E56F22">
            <w:pPr>
              <w:rPr>
                <w:rFonts w:cstheme="minorHAnsi"/>
                <w:sz w:val="20"/>
                <w:szCs w:val="20"/>
              </w:rPr>
            </w:pPr>
            <w:r w:rsidRPr="008D1102">
              <w:rPr>
                <w:rFonts w:cstheme="minorHAnsi"/>
                <w:sz w:val="20"/>
                <w:szCs w:val="20"/>
              </w:rPr>
              <w:t xml:space="preserve">Timing: </w:t>
            </w:r>
          </w:p>
          <w:p w14:paraId="33E5EB6B" w14:textId="68A8B77C" w:rsidR="00E56F22" w:rsidRPr="008D1102" w:rsidRDefault="00E56F22" w:rsidP="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Pr="008D1102">
              <w:rPr>
                <w:rFonts w:cstheme="minorHAnsi"/>
                <w:sz w:val="20"/>
                <w:szCs w:val="20"/>
              </w:rPr>
              <w:t xml:space="preserve">to COP14 if capacity allows </w:t>
            </w:r>
          </w:p>
          <w:p w14:paraId="16854516"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11B80EF9" w14:textId="2B940C81"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5D231FDA" w14:textId="77777777" w:rsidR="00E56F22" w:rsidRPr="008D1102" w:rsidRDefault="00E56F22" w:rsidP="00E56F22">
            <w:pPr>
              <w:rPr>
                <w:rFonts w:cstheme="minorHAnsi"/>
                <w:sz w:val="20"/>
                <w:szCs w:val="20"/>
              </w:rPr>
            </w:pPr>
          </w:p>
          <w:p w14:paraId="69CB0C1E" w14:textId="77777777" w:rsidR="00260CC2" w:rsidRPr="008D1102" w:rsidRDefault="00260CC2" w:rsidP="00260CC2">
            <w:pPr>
              <w:rPr>
                <w:rFonts w:cstheme="minorHAnsi"/>
                <w:sz w:val="20"/>
                <w:szCs w:val="20"/>
              </w:rPr>
            </w:pPr>
            <w:r w:rsidRPr="008D1102">
              <w:rPr>
                <w:rFonts w:cstheme="minorHAnsi"/>
                <w:sz w:val="20"/>
                <w:szCs w:val="20"/>
              </w:rPr>
              <w:t xml:space="preserve">Funding: </w:t>
            </w:r>
          </w:p>
          <w:p w14:paraId="2D9CD7CE" w14:textId="77777777" w:rsidR="00260CC2" w:rsidRPr="008D1102" w:rsidRDefault="00260CC2" w:rsidP="00260CC2">
            <w:pPr>
              <w:rPr>
                <w:rFonts w:cstheme="minorHAnsi"/>
                <w:sz w:val="20"/>
                <w:szCs w:val="20"/>
              </w:rPr>
            </w:pPr>
            <w:r w:rsidRPr="008D1102">
              <w:rPr>
                <w:rFonts w:cstheme="minorHAnsi"/>
                <w:sz w:val="20"/>
                <w:szCs w:val="20"/>
              </w:rPr>
              <w:t xml:space="preserve">Existing resources </w:t>
            </w:r>
          </w:p>
          <w:p w14:paraId="15210146" w14:textId="750FCBCE" w:rsidR="00052D61" w:rsidRPr="008D1102" w:rsidRDefault="00052D61" w:rsidP="00052D61">
            <w:pPr>
              <w:rPr>
                <w:rFonts w:cstheme="minorHAnsi"/>
                <w:sz w:val="20"/>
                <w:szCs w:val="20"/>
              </w:rPr>
            </w:pPr>
          </w:p>
        </w:tc>
      </w:tr>
      <w:tr w:rsidR="00052D61" w:rsidRPr="008D1102" w14:paraId="5D316656" w14:textId="2E3A9181" w:rsidTr="00154E71">
        <w:trPr>
          <w:cantSplit/>
        </w:trPr>
        <w:tc>
          <w:tcPr>
            <w:tcW w:w="1528" w:type="dxa"/>
            <w:vMerge w:val="restart"/>
            <w:tcBorders>
              <w:top w:val="single" w:sz="4" w:space="0" w:color="auto"/>
              <w:left w:val="single" w:sz="4" w:space="0" w:color="auto"/>
              <w:bottom w:val="single" w:sz="4" w:space="0" w:color="auto"/>
              <w:right w:val="single" w:sz="4" w:space="0" w:color="auto"/>
            </w:tcBorders>
            <w:hideMark/>
          </w:tcPr>
          <w:p w14:paraId="69F3179C" w14:textId="77777777" w:rsidR="00052D61" w:rsidRPr="008D1102" w:rsidRDefault="00052D61" w:rsidP="00052D61">
            <w:pPr>
              <w:rPr>
                <w:rFonts w:cstheme="minorHAnsi"/>
                <w:b/>
                <w:bCs/>
                <w:sz w:val="20"/>
                <w:szCs w:val="20"/>
              </w:rPr>
            </w:pPr>
            <w:r w:rsidRPr="008D1102">
              <w:rPr>
                <w:rFonts w:cstheme="minorHAnsi"/>
                <w:b/>
                <w:bCs/>
                <w:sz w:val="20"/>
                <w:szCs w:val="20"/>
              </w:rPr>
              <w:lastRenderedPageBreak/>
              <w:t>Goal 4</w:t>
            </w:r>
          </w:p>
          <w:p w14:paraId="2DDD9C55" w14:textId="77777777" w:rsidR="00052D61" w:rsidRPr="008D1102" w:rsidRDefault="00052D61" w:rsidP="00052D61">
            <w:pPr>
              <w:rPr>
                <w:rFonts w:cstheme="minorHAnsi"/>
                <w:sz w:val="20"/>
                <w:szCs w:val="20"/>
              </w:rPr>
            </w:pPr>
            <w:r w:rsidRPr="008D1102">
              <w:rPr>
                <w:rFonts w:cstheme="minorHAnsi"/>
                <w:sz w:val="20"/>
                <w:szCs w:val="20"/>
              </w:rPr>
              <w:t>Enhancing Implementation</w:t>
            </w:r>
          </w:p>
        </w:tc>
        <w:tc>
          <w:tcPr>
            <w:tcW w:w="2294" w:type="dxa"/>
            <w:tcBorders>
              <w:top w:val="single" w:sz="4" w:space="0" w:color="auto"/>
              <w:left w:val="single" w:sz="4" w:space="0" w:color="auto"/>
              <w:bottom w:val="single" w:sz="4" w:space="0" w:color="auto"/>
              <w:right w:val="single" w:sz="4" w:space="0" w:color="auto"/>
            </w:tcBorders>
          </w:tcPr>
          <w:p w14:paraId="29C3287F" w14:textId="77777777" w:rsidR="00052D61" w:rsidRPr="008D1102" w:rsidRDefault="00052D61" w:rsidP="00052D61">
            <w:pPr>
              <w:rPr>
                <w:rFonts w:cstheme="minorHAnsi"/>
                <w:sz w:val="20"/>
                <w:szCs w:val="20"/>
              </w:rPr>
            </w:pPr>
            <w:r w:rsidRPr="008D1102">
              <w:rPr>
                <w:rFonts w:cstheme="minorHAnsi"/>
                <w:b/>
                <w:bCs/>
                <w:sz w:val="20"/>
                <w:szCs w:val="20"/>
              </w:rPr>
              <w:t>Target 16</w:t>
            </w:r>
            <w:r w:rsidRPr="008D1102">
              <w:rPr>
                <w:rFonts w:cstheme="minorHAnsi"/>
                <w:sz w:val="20"/>
                <w:szCs w:val="20"/>
              </w:rPr>
              <w:t xml:space="preserve"> – National CEPA plans:</w:t>
            </w:r>
          </w:p>
          <w:p w14:paraId="3EF54BC8" w14:textId="77777777" w:rsidR="00052D61" w:rsidRPr="008D1102" w:rsidRDefault="00052D61" w:rsidP="00052D61">
            <w:pPr>
              <w:rPr>
                <w:rFonts w:cstheme="minorHAnsi"/>
                <w:sz w:val="20"/>
                <w:szCs w:val="20"/>
              </w:rPr>
            </w:pPr>
          </w:p>
          <w:p w14:paraId="6369019C" w14:textId="77777777" w:rsidR="00052D61" w:rsidRPr="008D1102" w:rsidRDefault="00052D61" w:rsidP="00052D61">
            <w:pPr>
              <w:rPr>
                <w:rFonts w:cstheme="minorHAnsi"/>
                <w:sz w:val="20"/>
                <w:szCs w:val="20"/>
                <w:lang w:val="en-US"/>
              </w:rPr>
            </w:pPr>
            <w:r w:rsidRPr="008D1102">
              <w:rPr>
                <w:rFonts w:cstheme="minorHAnsi"/>
                <w:bCs/>
                <w:i/>
                <w:iCs/>
                <w:sz w:val="20"/>
                <w:szCs w:val="20"/>
              </w:rPr>
              <w:t>Has an action plan (or plans) for wetland CEPA been established</w:t>
            </w:r>
            <w:r w:rsidRPr="008D1102">
              <w:rPr>
                <w:rFonts w:cstheme="minorHAnsi"/>
                <w:bCs/>
                <w:i/>
                <w:iCs/>
                <w:sz w:val="20"/>
                <w:szCs w:val="20"/>
                <w:lang w:val="en-US"/>
              </w:rPr>
              <w:t>?</w:t>
            </w:r>
          </w:p>
          <w:p w14:paraId="4E6FA23A" w14:textId="77777777" w:rsidR="00052D61" w:rsidRPr="008D1102" w:rsidRDefault="00052D61" w:rsidP="00052D61">
            <w:pPr>
              <w:rPr>
                <w:rFonts w:cstheme="minorHAnsi"/>
                <w:sz w:val="20"/>
                <w:szCs w:val="20"/>
                <w:lang w:val="en-GB"/>
              </w:rPr>
            </w:pPr>
          </w:p>
        </w:tc>
        <w:tc>
          <w:tcPr>
            <w:tcW w:w="1935" w:type="dxa"/>
            <w:tcBorders>
              <w:top w:val="single" w:sz="4" w:space="0" w:color="auto"/>
              <w:left w:val="single" w:sz="4" w:space="0" w:color="auto"/>
              <w:bottom w:val="single" w:sz="4" w:space="0" w:color="auto"/>
              <w:right w:val="single" w:sz="4" w:space="0" w:color="auto"/>
            </w:tcBorders>
          </w:tcPr>
          <w:p w14:paraId="2BAF5BC5" w14:textId="77777777" w:rsidR="00052D61" w:rsidRPr="008D1102" w:rsidRDefault="00EB5BF3" w:rsidP="00052D61">
            <w:pPr>
              <w:rPr>
                <w:rFonts w:cstheme="minorHAnsi"/>
                <w:sz w:val="20"/>
                <w:szCs w:val="20"/>
              </w:rPr>
            </w:pPr>
            <w:hyperlink r:id="rId22" w:history="1">
              <w:r w:rsidR="00052D61" w:rsidRPr="008D1102">
                <w:rPr>
                  <w:rStyle w:val="Hyperlink"/>
                  <w:rFonts w:cstheme="minorHAnsi"/>
                  <w:sz w:val="20"/>
                  <w:szCs w:val="20"/>
                </w:rPr>
                <w:t>Online</w:t>
              </w:r>
            </w:hyperlink>
            <w:r w:rsidR="00052D61" w:rsidRPr="008D1102">
              <w:rPr>
                <w:rFonts w:cstheme="minorHAnsi"/>
                <w:sz w:val="20"/>
                <w:szCs w:val="20"/>
              </w:rPr>
              <w:t xml:space="preserve"> Compilation of Wetlands CEPA methods and tools</w:t>
            </w:r>
          </w:p>
          <w:p w14:paraId="01606019" w14:textId="77777777" w:rsidR="00052D61" w:rsidRPr="008D1102" w:rsidRDefault="00052D61" w:rsidP="00052D61">
            <w:pPr>
              <w:rPr>
                <w:rFonts w:cstheme="minorHAnsi"/>
                <w:sz w:val="20"/>
                <w:szCs w:val="20"/>
              </w:rPr>
            </w:pPr>
          </w:p>
          <w:p w14:paraId="69535627" w14:textId="77777777" w:rsidR="00052D61" w:rsidRPr="008D1102" w:rsidRDefault="00EB5BF3" w:rsidP="00052D61">
            <w:pPr>
              <w:rPr>
                <w:rFonts w:cstheme="minorHAnsi"/>
                <w:sz w:val="20"/>
                <w:szCs w:val="20"/>
              </w:rPr>
            </w:pPr>
            <w:hyperlink r:id="rId23" w:history="1">
              <w:r w:rsidR="00052D61" w:rsidRPr="008D1102">
                <w:rPr>
                  <w:rStyle w:val="Hyperlink"/>
                  <w:rFonts w:cstheme="minorHAnsi"/>
                  <w:sz w:val="20"/>
                  <w:szCs w:val="20"/>
                </w:rPr>
                <w:t>Resolution XII.9</w:t>
              </w:r>
            </w:hyperlink>
            <w:r w:rsidR="00052D61" w:rsidRPr="008D1102">
              <w:rPr>
                <w:rFonts w:cstheme="minorHAnsi"/>
                <w:sz w:val="20"/>
                <w:szCs w:val="20"/>
                <w:lang w:val="en-US"/>
              </w:rPr>
              <w:t xml:space="preserve">, </w:t>
            </w:r>
            <w:r w:rsidR="00052D61" w:rsidRPr="008D1102">
              <w:rPr>
                <w:rFonts w:cstheme="minorHAnsi"/>
                <w:sz w:val="20"/>
                <w:szCs w:val="20"/>
              </w:rPr>
              <w:t xml:space="preserve">The Ramsar Convention’s Programme on communication, capacity building, education, participation and awareness (CEPA) 2016-2024 </w:t>
            </w:r>
          </w:p>
          <w:p w14:paraId="3D1D036A" w14:textId="77777777" w:rsidR="00052D61" w:rsidRPr="008D1102" w:rsidRDefault="00052D61" w:rsidP="00052D61">
            <w:pPr>
              <w:rPr>
                <w:rFonts w:cstheme="minorHAnsi"/>
                <w:sz w:val="20"/>
                <w:szCs w:val="20"/>
              </w:rPr>
            </w:pPr>
          </w:p>
        </w:tc>
        <w:tc>
          <w:tcPr>
            <w:tcW w:w="2547" w:type="dxa"/>
            <w:tcBorders>
              <w:top w:val="single" w:sz="4" w:space="0" w:color="auto"/>
              <w:left w:val="single" w:sz="4" w:space="0" w:color="auto"/>
              <w:bottom w:val="single" w:sz="4" w:space="0" w:color="auto"/>
              <w:right w:val="single" w:sz="4" w:space="0" w:color="auto"/>
            </w:tcBorders>
            <w:hideMark/>
          </w:tcPr>
          <w:p w14:paraId="4C034F5F" w14:textId="77777777" w:rsidR="00052D61" w:rsidRPr="008D1102" w:rsidRDefault="00052D61" w:rsidP="00052D61">
            <w:pPr>
              <w:rPr>
                <w:rFonts w:cstheme="minorHAnsi"/>
                <w:sz w:val="20"/>
                <w:szCs w:val="20"/>
              </w:rPr>
            </w:pPr>
            <w:r w:rsidRPr="008D1102">
              <w:rPr>
                <w:rFonts w:cstheme="minorHAnsi"/>
                <w:sz w:val="20"/>
                <w:szCs w:val="20"/>
              </w:rPr>
              <w:t>Recall to Parties existing Resolution, guidance, tools and methods to support establishment of CEPA action plans.</w:t>
            </w:r>
          </w:p>
          <w:p w14:paraId="0A3E1214" w14:textId="2DC2A550" w:rsidR="00052D61" w:rsidRDefault="00052D61" w:rsidP="00052D61">
            <w:pPr>
              <w:rPr>
                <w:rFonts w:cstheme="minorHAnsi"/>
                <w:sz w:val="20"/>
                <w:szCs w:val="20"/>
              </w:rPr>
            </w:pPr>
          </w:p>
          <w:p w14:paraId="1F4CB147" w14:textId="68B3AB2D" w:rsidR="00573505" w:rsidRPr="008D1102" w:rsidRDefault="00573505" w:rsidP="00052D61">
            <w:pPr>
              <w:rPr>
                <w:rFonts w:cstheme="minorHAnsi"/>
                <w:sz w:val="20"/>
                <w:szCs w:val="20"/>
              </w:rPr>
            </w:pPr>
            <w:r>
              <w:rPr>
                <w:rFonts w:cstheme="minorHAnsi"/>
                <w:sz w:val="20"/>
                <w:szCs w:val="20"/>
              </w:rPr>
              <w:t>----------------------------------</w:t>
            </w:r>
          </w:p>
          <w:p w14:paraId="4C76E39F" w14:textId="77777777" w:rsidR="00260CC2" w:rsidRPr="008D1102" w:rsidRDefault="00260CC2" w:rsidP="00052D61">
            <w:pPr>
              <w:rPr>
                <w:rFonts w:cstheme="minorHAnsi"/>
                <w:sz w:val="20"/>
                <w:szCs w:val="20"/>
              </w:rPr>
            </w:pPr>
          </w:p>
          <w:p w14:paraId="05A1FF00" w14:textId="69B07F63" w:rsidR="00052D61" w:rsidRDefault="000212F7" w:rsidP="00052D61">
            <w:pPr>
              <w:rPr>
                <w:rFonts w:cstheme="minorHAnsi"/>
                <w:sz w:val="20"/>
                <w:szCs w:val="20"/>
              </w:rPr>
            </w:pPr>
            <w:r w:rsidRPr="008D1102">
              <w:rPr>
                <w:rFonts w:cstheme="minorHAnsi"/>
                <w:sz w:val="20"/>
                <w:szCs w:val="20"/>
              </w:rPr>
              <w:t>Review CEPA Handbook to</w:t>
            </w:r>
            <w:r w:rsidR="009B63BE">
              <w:rPr>
                <w:rFonts w:cstheme="minorHAnsi"/>
                <w:sz w:val="20"/>
                <w:szCs w:val="20"/>
              </w:rPr>
              <w:t xml:space="preserve"> </w:t>
            </w:r>
            <w:r w:rsidRPr="008D1102">
              <w:rPr>
                <w:rFonts w:cstheme="minorHAnsi"/>
                <w:sz w:val="20"/>
                <w:szCs w:val="20"/>
              </w:rPr>
              <w:t>integrate n</w:t>
            </w:r>
            <w:r w:rsidR="00052D61" w:rsidRPr="008D1102">
              <w:rPr>
                <w:rFonts w:cstheme="minorHAnsi"/>
                <w:sz w:val="20"/>
                <w:szCs w:val="20"/>
              </w:rPr>
              <w:t xml:space="preserve">ew </w:t>
            </w:r>
            <w:r w:rsidRPr="008D1102">
              <w:rPr>
                <w:rFonts w:cstheme="minorHAnsi"/>
                <w:sz w:val="20"/>
                <w:szCs w:val="20"/>
              </w:rPr>
              <w:t>a</w:t>
            </w:r>
            <w:r w:rsidR="00052D61" w:rsidRPr="008D1102">
              <w:rPr>
                <w:rFonts w:cstheme="minorHAnsi"/>
                <w:sz w:val="20"/>
                <w:szCs w:val="20"/>
              </w:rPr>
              <w:t xml:space="preserve">pproach to CEPA </w:t>
            </w:r>
          </w:p>
          <w:p w14:paraId="1846920C" w14:textId="77777777" w:rsidR="00573505" w:rsidRDefault="00573505" w:rsidP="00052D61">
            <w:pPr>
              <w:rPr>
                <w:rFonts w:cstheme="minorHAnsi"/>
                <w:sz w:val="20"/>
                <w:szCs w:val="20"/>
              </w:rPr>
            </w:pPr>
          </w:p>
          <w:p w14:paraId="665D8BA2" w14:textId="77777777" w:rsidR="00573505" w:rsidRPr="008D1102" w:rsidRDefault="00573505" w:rsidP="00573505">
            <w:pPr>
              <w:rPr>
                <w:rFonts w:cstheme="minorHAnsi"/>
                <w:sz w:val="20"/>
                <w:szCs w:val="20"/>
              </w:rPr>
            </w:pPr>
            <w:r w:rsidRPr="008D1102">
              <w:rPr>
                <w:rFonts w:cstheme="minorHAnsi"/>
                <w:sz w:val="20"/>
                <w:szCs w:val="20"/>
              </w:rPr>
              <w:t>Capacity building webinars about new Approach</w:t>
            </w:r>
          </w:p>
          <w:p w14:paraId="1D18D85F" w14:textId="32C059EC" w:rsidR="00573505" w:rsidRPr="008D1102" w:rsidRDefault="00573505" w:rsidP="00052D61">
            <w:pPr>
              <w:rPr>
                <w:rFonts w:cstheme="minorHAnsi"/>
                <w:sz w:val="20"/>
                <w:szCs w:val="20"/>
              </w:rPr>
            </w:pPr>
          </w:p>
        </w:tc>
        <w:tc>
          <w:tcPr>
            <w:tcW w:w="1816" w:type="dxa"/>
            <w:tcBorders>
              <w:top w:val="single" w:sz="4" w:space="0" w:color="auto"/>
              <w:left w:val="single" w:sz="4" w:space="0" w:color="auto"/>
              <w:bottom w:val="single" w:sz="4" w:space="0" w:color="auto"/>
              <w:right w:val="single" w:sz="4" w:space="0" w:color="auto"/>
            </w:tcBorders>
          </w:tcPr>
          <w:p w14:paraId="7AFE8ED1" w14:textId="77777777" w:rsidR="00052D61" w:rsidRPr="008D1102" w:rsidRDefault="00052D61" w:rsidP="00052D61">
            <w:pPr>
              <w:rPr>
                <w:rFonts w:cstheme="minorHAnsi"/>
                <w:sz w:val="20"/>
                <w:szCs w:val="20"/>
              </w:rPr>
            </w:pPr>
            <w:r w:rsidRPr="008D1102">
              <w:rPr>
                <w:rFonts w:cstheme="minorHAnsi"/>
                <w:sz w:val="20"/>
                <w:szCs w:val="20"/>
              </w:rPr>
              <w:t>Secretariat</w:t>
            </w:r>
          </w:p>
          <w:p w14:paraId="4D46F5A1" w14:textId="77777777" w:rsidR="00F86B5A" w:rsidRPr="008D1102" w:rsidRDefault="00F86B5A" w:rsidP="00E56F22">
            <w:pPr>
              <w:rPr>
                <w:rFonts w:cstheme="minorHAnsi"/>
                <w:sz w:val="20"/>
                <w:szCs w:val="20"/>
              </w:rPr>
            </w:pPr>
          </w:p>
          <w:p w14:paraId="731AF9F7" w14:textId="3CA62785" w:rsidR="00E56F22" w:rsidRPr="008D1102" w:rsidRDefault="00E56F22" w:rsidP="00E56F22">
            <w:pPr>
              <w:rPr>
                <w:rFonts w:cstheme="minorHAnsi"/>
                <w:sz w:val="20"/>
                <w:szCs w:val="20"/>
              </w:rPr>
            </w:pPr>
            <w:r w:rsidRPr="008D1102">
              <w:rPr>
                <w:rFonts w:cstheme="minorHAnsi"/>
                <w:sz w:val="20"/>
                <w:szCs w:val="20"/>
              </w:rPr>
              <w:t xml:space="preserve">Timing: </w:t>
            </w:r>
          </w:p>
          <w:p w14:paraId="6CF4679F" w14:textId="3313E097" w:rsidR="00E56F22" w:rsidRPr="008D1102" w:rsidRDefault="00E56F22" w:rsidP="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Pr="008D1102">
              <w:rPr>
                <w:rFonts w:cstheme="minorHAnsi"/>
                <w:sz w:val="20"/>
                <w:szCs w:val="20"/>
              </w:rPr>
              <w:t xml:space="preserve">to COP14 if capacity allows </w:t>
            </w:r>
          </w:p>
          <w:p w14:paraId="7738385E"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42D766DC" w14:textId="1C9BE2B7"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3286DD7E" w14:textId="662B4EFF" w:rsidR="00617802" w:rsidRPr="008D1102" w:rsidRDefault="00617802" w:rsidP="00617802">
            <w:pPr>
              <w:rPr>
                <w:rFonts w:cstheme="minorHAnsi"/>
                <w:sz w:val="20"/>
                <w:szCs w:val="20"/>
              </w:rPr>
            </w:pPr>
          </w:p>
          <w:p w14:paraId="1FE0350A" w14:textId="77777777" w:rsidR="000212F7" w:rsidRPr="008D1102" w:rsidRDefault="000212F7" w:rsidP="000212F7">
            <w:pPr>
              <w:rPr>
                <w:rFonts w:cstheme="minorHAnsi"/>
                <w:sz w:val="20"/>
                <w:szCs w:val="20"/>
              </w:rPr>
            </w:pPr>
            <w:r w:rsidRPr="008D1102">
              <w:rPr>
                <w:rFonts w:cstheme="minorHAnsi"/>
                <w:sz w:val="20"/>
                <w:szCs w:val="20"/>
              </w:rPr>
              <w:t xml:space="preserve">Funding: </w:t>
            </w:r>
          </w:p>
          <w:p w14:paraId="775F7933" w14:textId="77777777" w:rsidR="000212F7" w:rsidRPr="008D1102" w:rsidRDefault="000212F7" w:rsidP="000212F7">
            <w:pPr>
              <w:rPr>
                <w:rFonts w:cstheme="minorHAnsi"/>
                <w:sz w:val="20"/>
                <w:szCs w:val="20"/>
              </w:rPr>
            </w:pPr>
            <w:r w:rsidRPr="008D1102">
              <w:rPr>
                <w:rFonts w:cstheme="minorHAnsi"/>
                <w:sz w:val="20"/>
                <w:szCs w:val="20"/>
              </w:rPr>
              <w:t xml:space="preserve">Existing resources </w:t>
            </w:r>
          </w:p>
          <w:p w14:paraId="362E4697" w14:textId="11CB4579" w:rsidR="006727E7" w:rsidRPr="008D1102" w:rsidRDefault="00F86B5A" w:rsidP="00052D61">
            <w:pPr>
              <w:rPr>
                <w:rFonts w:cstheme="minorHAnsi"/>
                <w:sz w:val="20"/>
                <w:szCs w:val="20"/>
              </w:rPr>
            </w:pPr>
            <w:r w:rsidRPr="008D1102">
              <w:rPr>
                <w:rFonts w:cstheme="minorHAnsi"/>
                <w:sz w:val="20"/>
                <w:szCs w:val="20"/>
              </w:rPr>
              <w:t>----------------------</w:t>
            </w:r>
          </w:p>
          <w:p w14:paraId="2E89E2D0" w14:textId="7A368747" w:rsidR="00052D61" w:rsidRPr="008D1102" w:rsidRDefault="00052D61" w:rsidP="00052D61">
            <w:pPr>
              <w:rPr>
                <w:rFonts w:cstheme="minorHAnsi"/>
                <w:sz w:val="20"/>
                <w:szCs w:val="20"/>
              </w:rPr>
            </w:pPr>
            <w:r w:rsidRPr="008D1102">
              <w:rPr>
                <w:rFonts w:cstheme="minorHAnsi"/>
                <w:sz w:val="20"/>
                <w:szCs w:val="20"/>
              </w:rPr>
              <w:t xml:space="preserve">CEPA OP </w:t>
            </w:r>
          </w:p>
          <w:p w14:paraId="73C70C7E" w14:textId="77777777" w:rsidR="006727E7" w:rsidRPr="008D1102" w:rsidRDefault="006727E7" w:rsidP="00052D61">
            <w:pPr>
              <w:rPr>
                <w:rFonts w:cstheme="minorHAnsi"/>
                <w:sz w:val="20"/>
                <w:szCs w:val="20"/>
              </w:rPr>
            </w:pPr>
          </w:p>
          <w:p w14:paraId="32667295" w14:textId="77777777" w:rsidR="006727E7" w:rsidRPr="008D1102" w:rsidRDefault="006727E7" w:rsidP="00052D61">
            <w:pPr>
              <w:rPr>
                <w:rFonts w:cstheme="minorHAnsi"/>
                <w:sz w:val="20"/>
                <w:szCs w:val="20"/>
              </w:rPr>
            </w:pPr>
            <w:r w:rsidRPr="008D1102">
              <w:rPr>
                <w:rFonts w:cstheme="minorHAnsi"/>
                <w:sz w:val="20"/>
                <w:szCs w:val="20"/>
              </w:rPr>
              <w:t>Timing:</w:t>
            </w:r>
          </w:p>
          <w:p w14:paraId="1E53FB19" w14:textId="1169350F" w:rsidR="006727E7" w:rsidRPr="008D1102" w:rsidRDefault="006727E7" w:rsidP="00052D61">
            <w:pPr>
              <w:rPr>
                <w:rFonts w:cstheme="minorHAnsi"/>
                <w:sz w:val="20"/>
                <w:szCs w:val="20"/>
              </w:rPr>
            </w:pPr>
            <w:r w:rsidRPr="008D1102">
              <w:rPr>
                <w:rFonts w:cstheme="minorHAnsi"/>
                <w:sz w:val="20"/>
                <w:szCs w:val="20"/>
              </w:rPr>
              <w:t xml:space="preserve">Next triennium </w:t>
            </w:r>
            <w:r w:rsidR="00260CC2" w:rsidRPr="008D1102">
              <w:rPr>
                <w:rFonts w:cstheme="minorHAnsi"/>
                <w:sz w:val="20"/>
                <w:szCs w:val="20"/>
              </w:rPr>
              <w:t xml:space="preserve">subject to adoption at COP14 </w:t>
            </w:r>
          </w:p>
          <w:p w14:paraId="79B3752C" w14:textId="77777777" w:rsidR="000212F7" w:rsidRPr="008D1102" w:rsidRDefault="000212F7" w:rsidP="00052D61">
            <w:pPr>
              <w:rPr>
                <w:rFonts w:cstheme="minorHAnsi"/>
                <w:sz w:val="20"/>
                <w:szCs w:val="20"/>
              </w:rPr>
            </w:pPr>
          </w:p>
          <w:p w14:paraId="4937380F" w14:textId="77777777" w:rsidR="00573505" w:rsidRPr="008D1102" w:rsidRDefault="00573505" w:rsidP="00573505">
            <w:pPr>
              <w:rPr>
                <w:rFonts w:cstheme="minorHAnsi"/>
                <w:sz w:val="20"/>
                <w:szCs w:val="20"/>
              </w:rPr>
            </w:pPr>
            <w:r w:rsidRPr="008D1102">
              <w:rPr>
                <w:rFonts w:cstheme="minorHAnsi"/>
                <w:sz w:val="20"/>
                <w:szCs w:val="20"/>
              </w:rPr>
              <w:t xml:space="preserve">Funding: </w:t>
            </w:r>
          </w:p>
          <w:p w14:paraId="17ECC8C0" w14:textId="493D7412" w:rsidR="000212F7" w:rsidRPr="008D1102" w:rsidRDefault="00AC0845" w:rsidP="00052D61">
            <w:pPr>
              <w:rPr>
                <w:rFonts w:cstheme="minorHAnsi"/>
                <w:sz w:val="20"/>
                <w:szCs w:val="20"/>
              </w:rPr>
            </w:pPr>
            <w:r>
              <w:rPr>
                <w:rFonts w:cstheme="minorHAnsi"/>
                <w:sz w:val="20"/>
                <w:szCs w:val="20"/>
              </w:rPr>
              <w:t xml:space="preserve">New </w:t>
            </w:r>
            <w:r w:rsidR="00154E71">
              <w:rPr>
                <w:rFonts w:cstheme="minorHAnsi"/>
                <w:sz w:val="20"/>
                <w:szCs w:val="20"/>
              </w:rPr>
              <w:t xml:space="preserve">resources </w:t>
            </w:r>
          </w:p>
        </w:tc>
      </w:tr>
      <w:tr w:rsidR="00052D61" w:rsidRPr="008D1102" w14:paraId="3354B516" w14:textId="71DE1AC7" w:rsidTr="00965133">
        <w:tc>
          <w:tcPr>
            <w:tcW w:w="1528" w:type="dxa"/>
            <w:vMerge/>
            <w:tcBorders>
              <w:top w:val="single" w:sz="4" w:space="0" w:color="auto"/>
              <w:left w:val="single" w:sz="4" w:space="0" w:color="auto"/>
              <w:bottom w:val="single" w:sz="4" w:space="0" w:color="auto"/>
              <w:right w:val="single" w:sz="4" w:space="0" w:color="auto"/>
            </w:tcBorders>
            <w:vAlign w:val="center"/>
            <w:hideMark/>
          </w:tcPr>
          <w:p w14:paraId="4B2FE96D" w14:textId="77777777" w:rsidR="00052D61" w:rsidRPr="008D1102" w:rsidRDefault="00052D61" w:rsidP="00052D61">
            <w:pPr>
              <w:rPr>
                <w:rFonts w:eastAsia="Times New Roman" w:cstheme="minorHAnsi"/>
                <w:sz w:val="20"/>
                <w:szCs w:val="20"/>
                <w:lang w:val="en-GB" w:eastAsia="en-GB"/>
              </w:rPr>
            </w:pPr>
          </w:p>
        </w:tc>
        <w:tc>
          <w:tcPr>
            <w:tcW w:w="2294" w:type="dxa"/>
            <w:tcBorders>
              <w:top w:val="single" w:sz="4" w:space="0" w:color="auto"/>
              <w:left w:val="single" w:sz="4" w:space="0" w:color="auto"/>
              <w:bottom w:val="single" w:sz="4" w:space="0" w:color="auto"/>
              <w:right w:val="single" w:sz="4" w:space="0" w:color="auto"/>
            </w:tcBorders>
          </w:tcPr>
          <w:p w14:paraId="081AE1ED" w14:textId="77777777" w:rsidR="00052D61" w:rsidRPr="008D1102" w:rsidRDefault="00052D61" w:rsidP="00052D61">
            <w:pPr>
              <w:rPr>
                <w:rFonts w:cstheme="minorHAnsi"/>
                <w:sz w:val="20"/>
                <w:szCs w:val="20"/>
              </w:rPr>
            </w:pPr>
            <w:r w:rsidRPr="008D1102">
              <w:rPr>
                <w:rFonts w:cstheme="minorHAnsi"/>
                <w:b/>
                <w:bCs/>
                <w:sz w:val="20"/>
                <w:szCs w:val="20"/>
              </w:rPr>
              <w:t>Target 16</w:t>
            </w:r>
            <w:r w:rsidRPr="008D1102">
              <w:rPr>
                <w:rFonts w:cstheme="minorHAnsi"/>
                <w:sz w:val="20"/>
                <w:szCs w:val="20"/>
              </w:rPr>
              <w:t xml:space="preserve"> – National Ramsar committees: </w:t>
            </w:r>
          </w:p>
          <w:p w14:paraId="0A5A0716" w14:textId="77777777" w:rsidR="00052D61" w:rsidRPr="008D1102" w:rsidRDefault="00052D61" w:rsidP="00052D61">
            <w:pPr>
              <w:rPr>
                <w:rFonts w:cstheme="minorHAnsi"/>
                <w:sz w:val="20"/>
                <w:szCs w:val="20"/>
              </w:rPr>
            </w:pPr>
          </w:p>
          <w:p w14:paraId="3ACE7D22" w14:textId="77777777" w:rsidR="00052D61" w:rsidRPr="008D1102" w:rsidRDefault="00052D61" w:rsidP="00052D61">
            <w:pPr>
              <w:rPr>
                <w:rFonts w:cstheme="minorHAnsi"/>
                <w:sz w:val="20"/>
                <w:szCs w:val="20"/>
              </w:rPr>
            </w:pPr>
            <w:r w:rsidRPr="008D1102">
              <w:rPr>
                <w:rFonts w:cstheme="minorHAnsi"/>
                <w:bCs/>
                <w:i/>
                <w:iCs/>
                <w:sz w:val="20"/>
                <w:szCs w:val="20"/>
              </w:rPr>
              <w:t>Do you have an operational cross-sectoral National Ramsar/Wetlands Committee?</w:t>
            </w:r>
          </w:p>
          <w:p w14:paraId="1EA3464A"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78CC3C8D" w14:textId="77777777" w:rsidR="00052D61" w:rsidRPr="008D1102" w:rsidRDefault="00EB5BF3" w:rsidP="00052D61">
            <w:pPr>
              <w:rPr>
                <w:rFonts w:cstheme="minorHAnsi"/>
                <w:sz w:val="20"/>
                <w:szCs w:val="20"/>
              </w:rPr>
            </w:pPr>
            <w:hyperlink r:id="rId24" w:history="1">
              <w:r w:rsidR="00052D61" w:rsidRPr="008D1102">
                <w:rPr>
                  <w:rStyle w:val="Hyperlink"/>
                  <w:rFonts w:cstheme="minorHAnsi"/>
                  <w:sz w:val="20"/>
                  <w:szCs w:val="20"/>
                </w:rPr>
                <w:t>Document</w:t>
              </w:r>
            </w:hyperlink>
            <w:r w:rsidR="00052D61" w:rsidRPr="008D1102">
              <w:rPr>
                <w:rFonts w:cstheme="minorHAnsi"/>
                <w:sz w:val="20"/>
                <w:szCs w:val="20"/>
              </w:rPr>
              <w:t>, Delivering the Ramsar Convention in Your Country: National Focal Points and Their Roles [2014]</w:t>
            </w:r>
          </w:p>
          <w:p w14:paraId="4E3BEBDA" w14:textId="77777777" w:rsidR="00052D61" w:rsidRPr="008D1102" w:rsidRDefault="00052D61" w:rsidP="00052D61">
            <w:pPr>
              <w:rPr>
                <w:rFonts w:cstheme="minorHAnsi"/>
                <w:sz w:val="20"/>
                <w:szCs w:val="20"/>
              </w:rPr>
            </w:pPr>
          </w:p>
          <w:p w14:paraId="6BD3E322" w14:textId="77777777" w:rsidR="00052D61" w:rsidRPr="008D1102" w:rsidRDefault="00EB5BF3" w:rsidP="00052D61">
            <w:pPr>
              <w:rPr>
                <w:rFonts w:cstheme="minorHAnsi"/>
                <w:sz w:val="20"/>
                <w:szCs w:val="20"/>
              </w:rPr>
            </w:pPr>
            <w:hyperlink r:id="rId25" w:history="1">
              <w:r w:rsidR="00052D61" w:rsidRPr="008D1102">
                <w:rPr>
                  <w:rStyle w:val="Hyperlink"/>
                  <w:rFonts w:cstheme="minorHAnsi"/>
                  <w:sz w:val="20"/>
                  <w:szCs w:val="20"/>
                </w:rPr>
                <w:t>Recommendation 5.7</w:t>
              </w:r>
            </w:hyperlink>
            <w:r w:rsidR="00052D61" w:rsidRPr="008D1102">
              <w:rPr>
                <w:rFonts w:cstheme="minorHAnsi"/>
                <w:sz w:val="20"/>
                <w:szCs w:val="20"/>
              </w:rPr>
              <w:t>, National Committees</w:t>
            </w:r>
          </w:p>
        </w:tc>
        <w:tc>
          <w:tcPr>
            <w:tcW w:w="2547" w:type="dxa"/>
            <w:tcBorders>
              <w:top w:val="single" w:sz="4" w:space="0" w:color="auto"/>
              <w:left w:val="single" w:sz="4" w:space="0" w:color="auto"/>
              <w:bottom w:val="single" w:sz="4" w:space="0" w:color="auto"/>
              <w:right w:val="single" w:sz="4" w:space="0" w:color="auto"/>
            </w:tcBorders>
          </w:tcPr>
          <w:p w14:paraId="12F74668" w14:textId="6949F686" w:rsidR="00052D61" w:rsidRPr="008D1102" w:rsidRDefault="00052D61" w:rsidP="00052D61">
            <w:pPr>
              <w:rPr>
                <w:rFonts w:cstheme="minorHAnsi"/>
                <w:sz w:val="20"/>
                <w:szCs w:val="20"/>
                <w:lang w:val="en-GB"/>
              </w:rPr>
            </w:pPr>
            <w:r w:rsidRPr="008D1102">
              <w:rPr>
                <w:rFonts w:cstheme="minorHAnsi"/>
                <w:sz w:val="20"/>
                <w:szCs w:val="20"/>
                <w:lang w:val="en-US"/>
              </w:rPr>
              <w:t>Encourage</w:t>
            </w:r>
            <w:r w:rsidRPr="008D1102">
              <w:rPr>
                <w:rFonts w:cstheme="minorHAnsi"/>
                <w:sz w:val="20"/>
                <w:szCs w:val="20"/>
              </w:rPr>
              <w:t xml:space="preserve"> Contracting Parties to establish, or recognize the establishment of, national committees according to the needs of each Contracting Party, to provide a focus at national level for implementation of the Conventio</w:t>
            </w:r>
            <w:r w:rsidRPr="008D1102">
              <w:rPr>
                <w:rFonts w:cstheme="minorHAnsi"/>
                <w:sz w:val="20"/>
                <w:szCs w:val="20"/>
                <w:lang w:val="en-US"/>
              </w:rPr>
              <w:t xml:space="preserve">n. </w:t>
            </w:r>
          </w:p>
        </w:tc>
        <w:tc>
          <w:tcPr>
            <w:tcW w:w="1816" w:type="dxa"/>
            <w:tcBorders>
              <w:top w:val="single" w:sz="4" w:space="0" w:color="auto"/>
              <w:left w:val="single" w:sz="4" w:space="0" w:color="auto"/>
              <w:bottom w:val="single" w:sz="4" w:space="0" w:color="auto"/>
              <w:right w:val="single" w:sz="4" w:space="0" w:color="auto"/>
            </w:tcBorders>
          </w:tcPr>
          <w:p w14:paraId="0D8DFF3F" w14:textId="77777777" w:rsidR="00052D61" w:rsidRPr="008D1102" w:rsidRDefault="00052D61" w:rsidP="00052D61">
            <w:pPr>
              <w:rPr>
                <w:rFonts w:cstheme="minorHAnsi"/>
                <w:sz w:val="20"/>
                <w:szCs w:val="20"/>
              </w:rPr>
            </w:pPr>
            <w:r w:rsidRPr="008D1102">
              <w:rPr>
                <w:rFonts w:cstheme="minorHAnsi"/>
                <w:sz w:val="20"/>
                <w:szCs w:val="20"/>
              </w:rPr>
              <w:t>Secretariat</w:t>
            </w:r>
          </w:p>
          <w:p w14:paraId="30A465B8" w14:textId="77777777" w:rsidR="000212F7" w:rsidRPr="008D1102" w:rsidRDefault="000212F7" w:rsidP="000212F7">
            <w:pPr>
              <w:rPr>
                <w:rFonts w:cstheme="minorHAnsi"/>
                <w:sz w:val="20"/>
                <w:szCs w:val="20"/>
              </w:rPr>
            </w:pPr>
          </w:p>
          <w:p w14:paraId="5CB68CBF" w14:textId="77777777" w:rsidR="00E56F22" w:rsidRPr="008D1102" w:rsidRDefault="00E56F22" w:rsidP="00E56F22">
            <w:pPr>
              <w:rPr>
                <w:rFonts w:cstheme="minorHAnsi"/>
                <w:sz w:val="20"/>
                <w:szCs w:val="20"/>
              </w:rPr>
            </w:pPr>
            <w:r w:rsidRPr="008D1102">
              <w:rPr>
                <w:rFonts w:cstheme="minorHAnsi"/>
                <w:sz w:val="20"/>
                <w:szCs w:val="20"/>
              </w:rPr>
              <w:t xml:space="preserve">Timing: </w:t>
            </w:r>
          </w:p>
          <w:p w14:paraId="62426D80" w14:textId="23554280" w:rsidR="00E56F22" w:rsidRPr="008D1102" w:rsidRDefault="00E56F22" w:rsidP="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Pr="008D1102">
              <w:rPr>
                <w:rFonts w:cstheme="minorHAnsi"/>
                <w:sz w:val="20"/>
                <w:szCs w:val="20"/>
              </w:rPr>
              <w:t xml:space="preserve">to COP14 if capacity allows </w:t>
            </w:r>
          </w:p>
          <w:p w14:paraId="296FB9D8"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3E394DFD" w14:textId="18E4EEEF"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3771B76E" w14:textId="77777777" w:rsidR="00E56F22" w:rsidRPr="008D1102" w:rsidRDefault="00E56F22" w:rsidP="00E56F22">
            <w:pPr>
              <w:rPr>
                <w:rFonts w:cstheme="minorHAnsi"/>
                <w:sz w:val="20"/>
                <w:szCs w:val="20"/>
              </w:rPr>
            </w:pPr>
          </w:p>
          <w:p w14:paraId="34CAB054" w14:textId="77777777" w:rsidR="000212F7" w:rsidRPr="008D1102" w:rsidRDefault="000212F7" w:rsidP="000212F7">
            <w:pPr>
              <w:rPr>
                <w:rFonts w:cstheme="minorHAnsi"/>
                <w:sz w:val="20"/>
                <w:szCs w:val="20"/>
              </w:rPr>
            </w:pPr>
            <w:r w:rsidRPr="008D1102">
              <w:rPr>
                <w:rFonts w:cstheme="minorHAnsi"/>
                <w:sz w:val="20"/>
                <w:szCs w:val="20"/>
              </w:rPr>
              <w:t xml:space="preserve">Funding: </w:t>
            </w:r>
          </w:p>
          <w:p w14:paraId="5EDB4B86" w14:textId="77777777" w:rsidR="000212F7" w:rsidRPr="008D1102" w:rsidRDefault="000212F7" w:rsidP="000212F7">
            <w:pPr>
              <w:rPr>
                <w:rFonts w:cstheme="minorHAnsi"/>
                <w:sz w:val="20"/>
                <w:szCs w:val="20"/>
              </w:rPr>
            </w:pPr>
            <w:r w:rsidRPr="008D1102">
              <w:rPr>
                <w:rFonts w:cstheme="minorHAnsi"/>
                <w:sz w:val="20"/>
                <w:szCs w:val="20"/>
              </w:rPr>
              <w:t xml:space="preserve">Existing resources </w:t>
            </w:r>
          </w:p>
          <w:p w14:paraId="70B64ADD" w14:textId="77777777" w:rsidR="00052D61" w:rsidRPr="008D1102" w:rsidRDefault="00052D61" w:rsidP="00052D61">
            <w:pPr>
              <w:rPr>
                <w:rFonts w:cstheme="minorHAnsi"/>
                <w:sz w:val="20"/>
                <w:szCs w:val="20"/>
                <w:lang w:val="en-US"/>
              </w:rPr>
            </w:pPr>
          </w:p>
        </w:tc>
      </w:tr>
      <w:tr w:rsidR="00052D61" w14:paraId="60963743" w14:textId="1C62E2D2" w:rsidTr="00965133">
        <w:tc>
          <w:tcPr>
            <w:tcW w:w="1528" w:type="dxa"/>
            <w:vMerge/>
            <w:tcBorders>
              <w:top w:val="single" w:sz="4" w:space="0" w:color="auto"/>
              <w:left w:val="single" w:sz="4" w:space="0" w:color="auto"/>
              <w:bottom w:val="single" w:sz="4" w:space="0" w:color="auto"/>
              <w:right w:val="single" w:sz="4" w:space="0" w:color="auto"/>
            </w:tcBorders>
            <w:vAlign w:val="center"/>
            <w:hideMark/>
          </w:tcPr>
          <w:p w14:paraId="53B3D466" w14:textId="77777777" w:rsidR="00052D61" w:rsidRPr="008D1102" w:rsidRDefault="00052D61" w:rsidP="00052D61">
            <w:pPr>
              <w:rPr>
                <w:rFonts w:eastAsia="Times New Roman" w:cstheme="minorHAnsi"/>
                <w:sz w:val="20"/>
                <w:szCs w:val="20"/>
                <w:lang w:val="en-GB" w:eastAsia="en-GB"/>
              </w:rPr>
            </w:pPr>
          </w:p>
        </w:tc>
        <w:tc>
          <w:tcPr>
            <w:tcW w:w="2294" w:type="dxa"/>
            <w:tcBorders>
              <w:top w:val="single" w:sz="4" w:space="0" w:color="auto"/>
              <w:left w:val="single" w:sz="4" w:space="0" w:color="auto"/>
              <w:bottom w:val="single" w:sz="4" w:space="0" w:color="auto"/>
              <w:right w:val="single" w:sz="4" w:space="0" w:color="auto"/>
            </w:tcBorders>
          </w:tcPr>
          <w:p w14:paraId="34E82ADE" w14:textId="77777777" w:rsidR="00052D61" w:rsidRPr="008D1102" w:rsidRDefault="00052D61" w:rsidP="00052D61">
            <w:pPr>
              <w:rPr>
                <w:rFonts w:cstheme="minorHAnsi"/>
                <w:sz w:val="20"/>
                <w:szCs w:val="20"/>
              </w:rPr>
            </w:pPr>
            <w:r w:rsidRPr="008D1102">
              <w:rPr>
                <w:rFonts w:cstheme="minorHAnsi"/>
                <w:b/>
                <w:bCs/>
                <w:sz w:val="20"/>
                <w:szCs w:val="20"/>
              </w:rPr>
              <w:t>Target 18</w:t>
            </w:r>
            <w:r w:rsidRPr="008D1102">
              <w:rPr>
                <w:rFonts w:cstheme="minorHAnsi"/>
                <w:sz w:val="20"/>
                <w:szCs w:val="20"/>
              </w:rPr>
              <w:t xml:space="preserve"> – Securing assistance from GEF and other donors: </w:t>
            </w:r>
          </w:p>
          <w:p w14:paraId="49C14A02" w14:textId="77777777" w:rsidR="00052D61" w:rsidRPr="008D1102" w:rsidRDefault="00052D61" w:rsidP="00052D61">
            <w:pPr>
              <w:rPr>
                <w:rFonts w:cstheme="minorHAnsi"/>
                <w:sz w:val="20"/>
                <w:szCs w:val="20"/>
              </w:rPr>
            </w:pPr>
          </w:p>
          <w:p w14:paraId="174113E2" w14:textId="77777777" w:rsidR="00052D61" w:rsidRPr="008D1102" w:rsidRDefault="00052D61" w:rsidP="00052D61">
            <w:pPr>
              <w:rPr>
                <w:rFonts w:cstheme="minorHAnsi"/>
                <w:sz w:val="20"/>
                <w:szCs w:val="20"/>
              </w:rPr>
            </w:pPr>
            <w:r w:rsidRPr="008D1102">
              <w:rPr>
                <w:rFonts w:cstheme="minorHAnsi"/>
                <w:bCs/>
                <w:i/>
                <w:iCs/>
                <w:sz w:val="20"/>
                <w:szCs w:val="20"/>
              </w:rPr>
              <w:t>% of eligible Parties that have received assistance from one or more UN and other global or regional bodies and agencies or the Convention ́s IOPs in its implementation of the Convention</w:t>
            </w:r>
          </w:p>
          <w:p w14:paraId="36A480D2" w14:textId="77777777" w:rsidR="00052D61" w:rsidRPr="008D1102" w:rsidRDefault="00052D61" w:rsidP="00052D61">
            <w:pPr>
              <w:rPr>
                <w:rFonts w:cstheme="minorHAnsi"/>
                <w:sz w:val="20"/>
                <w:szCs w:val="20"/>
              </w:rPr>
            </w:pPr>
          </w:p>
        </w:tc>
        <w:tc>
          <w:tcPr>
            <w:tcW w:w="1935" w:type="dxa"/>
            <w:tcBorders>
              <w:top w:val="single" w:sz="4" w:space="0" w:color="auto"/>
              <w:left w:val="single" w:sz="4" w:space="0" w:color="auto"/>
              <w:bottom w:val="single" w:sz="4" w:space="0" w:color="auto"/>
              <w:right w:val="single" w:sz="4" w:space="0" w:color="auto"/>
            </w:tcBorders>
          </w:tcPr>
          <w:p w14:paraId="5FEEC936" w14:textId="77777777" w:rsidR="00052D61" w:rsidRPr="008D1102" w:rsidRDefault="00EB5BF3" w:rsidP="00052D61">
            <w:pPr>
              <w:rPr>
                <w:rFonts w:cstheme="minorHAnsi"/>
                <w:sz w:val="20"/>
                <w:szCs w:val="20"/>
                <w:lang w:val="en-US"/>
              </w:rPr>
            </w:pPr>
            <w:hyperlink r:id="rId26" w:history="1">
              <w:r w:rsidR="00052D61" w:rsidRPr="008D1102">
                <w:rPr>
                  <w:rStyle w:val="Hyperlink"/>
                  <w:rFonts w:cstheme="minorHAnsi"/>
                  <w:sz w:val="20"/>
                  <w:szCs w:val="20"/>
                </w:rPr>
                <w:t>Resolution XII.7</w:t>
              </w:r>
            </w:hyperlink>
            <w:r w:rsidR="00052D61" w:rsidRPr="008D1102">
              <w:rPr>
                <w:rFonts w:cstheme="minorHAnsi"/>
                <w:sz w:val="20"/>
                <w:szCs w:val="20"/>
                <w:lang w:val="en-US"/>
              </w:rPr>
              <w:t xml:space="preserve">, </w:t>
            </w:r>
            <w:r w:rsidR="00052D61" w:rsidRPr="008D1102">
              <w:rPr>
                <w:rFonts w:cstheme="minorHAnsi"/>
                <w:sz w:val="20"/>
                <w:szCs w:val="20"/>
              </w:rPr>
              <w:t xml:space="preserve">Resource Mobilization and Partnership Framework of the Ramsar Convention </w:t>
            </w:r>
            <w:r w:rsidR="00052D61" w:rsidRPr="008D1102">
              <w:rPr>
                <w:rFonts w:cstheme="minorHAnsi"/>
                <w:sz w:val="20"/>
                <w:szCs w:val="20"/>
                <w:lang w:val="en-US"/>
              </w:rPr>
              <w:t>[2015]</w:t>
            </w:r>
          </w:p>
          <w:p w14:paraId="66A9FD0C" w14:textId="77777777" w:rsidR="00052D61" w:rsidRPr="008D1102" w:rsidRDefault="00052D61" w:rsidP="00052D61">
            <w:pPr>
              <w:rPr>
                <w:rFonts w:cstheme="minorHAnsi"/>
                <w:sz w:val="20"/>
                <w:szCs w:val="20"/>
                <w:lang w:val="en-GB"/>
              </w:rPr>
            </w:pPr>
          </w:p>
          <w:p w14:paraId="225DACCC" w14:textId="77777777" w:rsidR="00052D61" w:rsidRPr="008D1102" w:rsidRDefault="00EB5BF3" w:rsidP="00052D61">
            <w:pPr>
              <w:rPr>
                <w:rFonts w:cstheme="minorHAnsi"/>
                <w:sz w:val="20"/>
                <w:szCs w:val="20"/>
                <w:lang w:val="en-US"/>
              </w:rPr>
            </w:pPr>
            <w:hyperlink r:id="rId27" w:history="1">
              <w:r w:rsidR="00052D61" w:rsidRPr="008D1102">
                <w:rPr>
                  <w:rStyle w:val="Hyperlink"/>
                  <w:rFonts w:cstheme="minorHAnsi"/>
                  <w:sz w:val="20"/>
                  <w:szCs w:val="20"/>
                </w:rPr>
                <w:t>Resolution XIII.7</w:t>
              </w:r>
            </w:hyperlink>
            <w:r w:rsidR="00052D61" w:rsidRPr="008D1102">
              <w:rPr>
                <w:rFonts w:cstheme="minorHAnsi"/>
                <w:sz w:val="20"/>
                <w:szCs w:val="20"/>
                <w:lang w:val="en-US"/>
              </w:rPr>
              <w:t xml:space="preserve">, </w:t>
            </w:r>
            <w:r w:rsidR="00052D61" w:rsidRPr="008D1102">
              <w:rPr>
                <w:rFonts w:cstheme="minorHAnsi"/>
                <w:sz w:val="20"/>
                <w:szCs w:val="20"/>
              </w:rPr>
              <w:t xml:space="preserve">Enhancing the Convention’s visibility and synergies with other multilateral environmental agreements and other international institutions </w:t>
            </w:r>
            <w:r w:rsidR="00052D61" w:rsidRPr="008D1102">
              <w:rPr>
                <w:rFonts w:cstheme="minorHAnsi"/>
                <w:sz w:val="20"/>
                <w:szCs w:val="20"/>
                <w:lang w:val="en-US"/>
              </w:rPr>
              <w:t>[2018]</w:t>
            </w:r>
          </w:p>
          <w:p w14:paraId="7EBAD61D" w14:textId="77777777" w:rsidR="00052D61" w:rsidRPr="008D1102" w:rsidRDefault="00052D61" w:rsidP="00052D61">
            <w:pPr>
              <w:rPr>
                <w:rFonts w:cstheme="minorHAnsi"/>
                <w:sz w:val="20"/>
                <w:szCs w:val="20"/>
                <w:lang w:val="en-GB"/>
              </w:rPr>
            </w:pPr>
          </w:p>
          <w:p w14:paraId="1BA99FB1" w14:textId="1E659895" w:rsidR="00052D61" w:rsidRPr="008D1102" w:rsidRDefault="00052D61" w:rsidP="00052D61">
            <w:pPr>
              <w:rPr>
                <w:rFonts w:cstheme="minorHAnsi"/>
                <w:sz w:val="20"/>
                <w:szCs w:val="20"/>
                <w:lang w:val="en-US"/>
              </w:rPr>
            </w:pPr>
            <w:r w:rsidRPr="008D1102">
              <w:rPr>
                <w:rFonts w:cstheme="minorHAnsi"/>
                <w:sz w:val="20"/>
                <w:szCs w:val="20"/>
                <w:lang w:val="en-US"/>
              </w:rPr>
              <w:t xml:space="preserve">Training webinars on </w:t>
            </w:r>
            <w:hyperlink r:id="rId28" w:history="1">
              <w:r w:rsidRPr="008D1102">
                <w:rPr>
                  <w:rStyle w:val="Hyperlink"/>
                  <w:rFonts w:cstheme="minorHAnsi"/>
                  <w:sz w:val="20"/>
                  <w:szCs w:val="20"/>
                  <w:lang w:val="en-US"/>
                </w:rPr>
                <w:t>Grant Writing</w:t>
              </w:r>
            </w:hyperlink>
            <w:r w:rsidRPr="008D1102">
              <w:rPr>
                <w:rFonts w:cstheme="minorHAnsi"/>
                <w:sz w:val="20"/>
                <w:szCs w:val="20"/>
                <w:lang w:val="en-US"/>
              </w:rPr>
              <w:t xml:space="preserve"> and the </w:t>
            </w:r>
            <w:hyperlink r:id="rId29" w:history="1">
              <w:r w:rsidRPr="008D1102">
                <w:rPr>
                  <w:rStyle w:val="Hyperlink"/>
                  <w:rFonts w:cstheme="minorHAnsi"/>
                  <w:sz w:val="20"/>
                  <w:szCs w:val="20"/>
                  <w:lang w:val="en-US"/>
                </w:rPr>
                <w:t>Green Climate Fund</w:t>
              </w:r>
            </w:hyperlink>
            <w:r w:rsidR="00154E71">
              <w:rPr>
                <w:rFonts w:cstheme="minorHAnsi"/>
                <w:sz w:val="20"/>
                <w:szCs w:val="20"/>
                <w:lang w:val="en-US"/>
              </w:rPr>
              <w:t xml:space="preserve"> </w:t>
            </w:r>
          </w:p>
        </w:tc>
        <w:tc>
          <w:tcPr>
            <w:tcW w:w="2547" w:type="dxa"/>
            <w:tcBorders>
              <w:top w:val="single" w:sz="4" w:space="0" w:color="auto"/>
              <w:left w:val="single" w:sz="4" w:space="0" w:color="auto"/>
              <w:bottom w:val="single" w:sz="4" w:space="0" w:color="auto"/>
              <w:right w:val="single" w:sz="4" w:space="0" w:color="auto"/>
            </w:tcBorders>
            <w:hideMark/>
          </w:tcPr>
          <w:p w14:paraId="2AA19C34" w14:textId="77777777" w:rsidR="00052D61" w:rsidRPr="008D1102" w:rsidRDefault="00052D61" w:rsidP="00052D61">
            <w:pPr>
              <w:rPr>
                <w:rFonts w:cstheme="minorHAnsi"/>
                <w:sz w:val="20"/>
                <w:szCs w:val="20"/>
                <w:lang w:val="en-US"/>
              </w:rPr>
            </w:pPr>
            <w:r w:rsidRPr="008D1102">
              <w:rPr>
                <w:rFonts w:cstheme="minorHAnsi"/>
                <w:sz w:val="20"/>
                <w:szCs w:val="20"/>
              </w:rPr>
              <w:t>Recall to Contracting Parties</w:t>
            </w:r>
            <w:r w:rsidRPr="008D1102">
              <w:rPr>
                <w:rFonts w:cstheme="minorHAnsi"/>
                <w:sz w:val="20"/>
                <w:szCs w:val="20"/>
                <w:lang w:val="en-US"/>
              </w:rPr>
              <w:t xml:space="preserve"> the existing guidance and training to strengthen their collaboration to enhance the wise use of wetlands and potential funding opportunities. </w:t>
            </w:r>
          </w:p>
          <w:p w14:paraId="2D04BF25" w14:textId="77777777" w:rsidR="00052D61" w:rsidRPr="008D1102" w:rsidRDefault="00052D61" w:rsidP="00052D61">
            <w:pPr>
              <w:rPr>
                <w:rFonts w:cstheme="minorHAnsi"/>
                <w:sz w:val="20"/>
                <w:szCs w:val="20"/>
                <w:lang w:val="en-US"/>
              </w:rPr>
            </w:pPr>
          </w:p>
          <w:p w14:paraId="55600B16" w14:textId="14F24318" w:rsidR="00052D61" w:rsidRPr="008D1102" w:rsidRDefault="00052D61" w:rsidP="00052D61">
            <w:pPr>
              <w:rPr>
                <w:rFonts w:cstheme="minorHAnsi"/>
                <w:sz w:val="20"/>
                <w:szCs w:val="20"/>
                <w:lang w:val="en-US"/>
              </w:rPr>
            </w:pPr>
          </w:p>
        </w:tc>
        <w:tc>
          <w:tcPr>
            <w:tcW w:w="1816" w:type="dxa"/>
            <w:tcBorders>
              <w:top w:val="single" w:sz="4" w:space="0" w:color="auto"/>
              <w:left w:val="single" w:sz="4" w:space="0" w:color="auto"/>
              <w:bottom w:val="single" w:sz="4" w:space="0" w:color="auto"/>
              <w:right w:val="single" w:sz="4" w:space="0" w:color="auto"/>
            </w:tcBorders>
          </w:tcPr>
          <w:p w14:paraId="0C524177" w14:textId="3649F2F0" w:rsidR="00052D61" w:rsidRPr="008D1102" w:rsidRDefault="00052D61" w:rsidP="00052D61">
            <w:pPr>
              <w:rPr>
                <w:rFonts w:cstheme="minorHAnsi"/>
                <w:sz w:val="20"/>
                <w:szCs w:val="20"/>
              </w:rPr>
            </w:pPr>
            <w:r w:rsidRPr="008D1102">
              <w:rPr>
                <w:rFonts w:cstheme="minorHAnsi"/>
                <w:sz w:val="20"/>
                <w:szCs w:val="20"/>
              </w:rPr>
              <w:t xml:space="preserve">Secretariat </w:t>
            </w:r>
          </w:p>
          <w:p w14:paraId="62F02333" w14:textId="3CB3DD73" w:rsidR="00052D61" w:rsidRPr="008D1102" w:rsidRDefault="00052D61" w:rsidP="00052D61">
            <w:pPr>
              <w:rPr>
                <w:rFonts w:cstheme="minorHAnsi"/>
                <w:sz w:val="18"/>
                <w:szCs w:val="18"/>
              </w:rPr>
            </w:pPr>
          </w:p>
          <w:p w14:paraId="2B99E3D0" w14:textId="77777777" w:rsidR="000212F7" w:rsidRPr="008D1102" w:rsidRDefault="000212F7" w:rsidP="000212F7">
            <w:pPr>
              <w:rPr>
                <w:rFonts w:cstheme="minorHAnsi"/>
                <w:sz w:val="20"/>
                <w:szCs w:val="20"/>
              </w:rPr>
            </w:pPr>
            <w:r w:rsidRPr="008D1102">
              <w:rPr>
                <w:rFonts w:cstheme="minorHAnsi"/>
                <w:sz w:val="20"/>
                <w:szCs w:val="20"/>
              </w:rPr>
              <w:t xml:space="preserve">Timing: </w:t>
            </w:r>
          </w:p>
          <w:p w14:paraId="60D0BD9A" w14:textId="21AF16C6" w:rsidR="00E56F22" w:rsidRPr="008D1102" w:rsidRDefault="00E56F22" w:rsidP="00E56F22">
            <w:pPr>
              <w:rPr>
                <w:rFonts w:cstheme="minorHAnsi"/>
                <w:sz w:val="20"/>
                <w:szCs w:val="20"/>
              </w:rPr>
            </w:pPr>
            <w:r w:rsidRPr="008D1102">
              <w:rPr>
                <w:rFonts w:cstheme="minorHAnsi"/>
                <w:sz w:val="20"/>
                <w:szCs w:val="20"/>
              </w:rPr>
              <w:t>Lead up</w:t>
            </w:r>
            <w:r w:rsidR="009B63BE">
              <w:rPr>
                <w:rFonts w:cstheme="minorHAnsi"/>
                <w:sz w:val="20"/>
                <w:szCs w:val="20"/>
              </w:rPr>
              <w:t xml:space="preserve"> </w:t>
            </w:r>
            <w:r w:rsidRPr="008D1102">
              <w:rPr>
                <w:rFonts w:cstheme="minorHAnsi"/>
                <w:sz w:val="20"/>
                <w:szCs w:val="20"/>
              </w:rPr>
              <w:t xml:space="preserve">to COP14 if capacity allows </w:t>
            </w:r>
          </w:p>
          <w:p w14:paraId="4306A88B" w14:textId="77777777" w:rsidR="00E56F22" w:rsidRPr="008D1102" w:rsidRDefault="00E56F22" w:rsidP="00E56F22">
            <w:pPr>
              <w:rPr>
                <w:rFonts w:cstheme="minorHAnsi"/>
                <w:sz w:val="20"/>
                <w:szCs w:val="20"/>
              </w:rPr>
            </w:pPr>
            <w:r w:rsidRPr="008D1102">
              <w:rPr>
                <w:rFonts w:cstheme="minorHAnsi"/>
                <w:sz w:val="20"/>
                <w:szCs w:val="20"/>
              </w:rPr>
              <w:t xml:space="preserve">OR </w:t>
            </w:r>
          </w:p>
          <w:p w14:paraId="717CB00A" w14:textId="55097C80" w:rsidR="00E56F22" w:rsidRPr="008D1102" w:rsidRDefault="00E56F22" w:rsidP="00E56F22">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577A5DC7" w14:textId="77777777" w:rsidR="00E56F22" w:rsidRPr="008D1102" w:rsidRDefault="00E56F22" w:rsidP="00E56F22">
            <w:pPr>
              <w:rPr>
                <w:rFonts w:cstheme="minorHAnsi"/>
                <w:sz w:val="20"/>
                <w:szCs w:val="20"/>
              </w:rPr>
            </w:pPr>
          </w:p>
          <w:p w14:paraId="21E5D0AD" w14:textId="77777777" w:rsidR="000212F7" w:rsidRPr="008D1102" w:rsidRDefault="000212F7" w:rsidP="000212F7">
            <w:pPr>
              <w:rPr>
                <w:rFonts w:cstheme="minorHAnsi"/>
                <w:sz w:val="20"/>
                <w:szCs w:val="20"/>
              </w:rPr>
            </w:pPr>
            <w:r w:rsidRPr="008D1102">
              <w:rPr>
                <w:rFonts w:cstheme="minorHAnsi"/>
                <w:sz w:val="20"/>
                <w:szCs w:val="20"/>
              </w:rPr>
              <w:t xml:space="preserve">Funding: </w:t>
            </w:r>
          </w:p>
          <w:p w14:paraId="088330C7" w14:textId="77777777" w:rsidR="000212F7" w:rsidRPr="008D1102" w:rsidRDefault="000212F7" w:rsidP="000212F7">
            <w:pPr>
              <w:rPr>
                <w:rFonts w:cstheme="minorHAnsi"/>
                <w:sz w:val="20"/>
                <w:szCs w:val="20"/>
              </w:rPr>
            </w:pPr>
            <w:r w:rsidRPr="008D1102">
              <w:rPr>
                <w:rFonts w:cstheme="minorHAnsi"/>
                <w:sz w:val="20"/>
                <w:szCs w:val="20"/>
              </w:rPr>
              <w:t xml:space="preserve">Existing resources </w:t>
            </w:r>
          </w:p>
          <w:p w14:paraId="5B435EFD" w14:textId="42A0046C" w:rsidR="000212F7" w:rsidRPr="008D1102" w:rsidRDefault="000212F7" w:rsidP="00052D61">
            <w:pPr>
              <w:rPr>
                <w:rFonts w:cstheme="minorHAnsi"/>
                <w:sz w:val="18"/>
                <w:szCs w:val="18"/>
              </w:rPr>
            </w:pPr>
          </w:p>
          <w:p w14:paraId="0FD68E63" w14:textId="352115B3" w:rsidR="000212F7" w:rsidRPr="008D1102" w:rsidRDefault="000212F7" w:rsidP="00052D61">
            <w:pPr>
              <w:rPr>
                <w:rFonts w:cstheme="minorHAnsi"/>
                <w:sz w:val="18"/>
                <w:szCs w:val="18"/>
              </w:rPr>
            </w:pPr>
          </w:p>
          <w:p w14:paraId="32A6B93B" w14:textId="1A56B8B7" w:rsidR="00052D61" w:rsidRPr="008D1102" w:rsidRDefault="00052D61" w:rsidP="00052D61">
            <w:pPr>
              <w:rPr>
                <w:rFonts w:cstheme="minorHAnsi"/>
                <w:sz w:val="20"/>
                <w:szCs w:val="20"/>
              </w:rPr>
            </w:pPr>
            <w:r w:rsidRPr="008D1102">
              <w:rPr>
                <w:rFonts w:cstheme="minorHAnsi"/>
                <w:sz w:val="20"/>
                <w:szCs w:val="20"/>
              </w:rPr>
              <w:t>IOPS</w:t>
            </w:r>
            <w:r w:rsidR="000212F7" w:rsidRPr="008D1102">
              <w:rPr>
                <w:rFonts w:cstheme="minorHAnsi"/>
                <w:sz w:val="20"/>
                <w:szCs w:val="20"/>
              </w:rPr>
              <w:t xml:space="preserve"> continue</w:t>
            </w:r>
          </w:p>
          <w:p w14:paraId="7F8533AC" w14:textId="1DF070BA" w:rsidR="00052D61" w:rsidRPr="008D1102" w:rsidRDefault="00052D61" w:rsidP="00052D61">
            <w:pPr>
              <w:rPr>
                <w:rFonts w:cstheme="minorHAnsi"/>
                <w:sz w:val="20"/>
                <w:szCs w:val="20"/>
              </w:rPr>
            </w:pPr>
            <w:r w:rsidRPr="008D1102">
              <w:rPr>
                <w:rFonts w:cstheme="minorHAnsi"/>
                <w:sz w:val="20"/>
                <w:szCs w:val="20"/>
              </w:rPr>
              <w:t>to provide support to Parties on specific topics related to IOPs under Target 18.</w:t>
            </w:r>
          </w:p>
          <w:p w14:paraId="655A9369" w14:textId="28EE6CAC" w:rsidR="000212F7" w:rsidRPr="008D1102" w:rsidRDefault="000212F7" w:rsidP="00154E71">
            <w:pPr>
              <w:rPr>
                <w:rFonts w:cstheme="minorHAnsi"/>
                <w:sz w:val="20"/>
                <w:szCs w:val="20"/>
              </w:rPr>
            </w:pPr>
          </w:p>
          <w:p w14:paraId="5ED6000E" w14:textId="77777777" w:rsidR="000212F7" w:rsidRPr="008D1102" w:rsidRDefault="000212F7" w:rsidP="000212F7">
            <w:pPr>
              <w:rPr>
                <w:rFonts w:cstheme="minorHAnsi"/>
                <w:sz w:val="20"/>
                <w:szCs w:val="20"/>
              </w:rPr>
            </w:pPr>
            <w:r w:rsidRPr="008D1102">
              <w:rPr>
                <w:rFonts w:cstheme="minorHAnsi"/>
                <w:sz w:val="20"/>
                <w:szCs w:val="20"/>
              </w:rPr>
              <w:t xml:space="preserve">Timing: </w:t>
            </w:r>
          </w:p>
          <w:p w14:paraId="38ECE4D6" w14:textId="67FA1AC8" w:rsidR="000212F7" w:rsidRPr="008D1102" w:rsidRDefault="000212F7" w:rsidP="000212F7">
            <w:pPr>
              <w:rPr>
                <w:rFonts w:cstheme="minorHAnsi"/>
                <w:sz w:val="20"/>
                <w:szCs w:val="20"/>
              </w:rPr>
            </w:pPr>
            <w:r w:rsidRPr="008D1102">
              <w:rPr>
                <w:rFonts w:cstheme="minorHAnsi"/>
                <w:sz w:val="20"/>
                <w:szCs w:val="20"/>
              </w:rPr>
              <w:t>Next Triennium</w:t>
            </w:r>
            <w:r w:rsidR="009B63BE">
              <w:rPr>
                <w:rFonts w:cstheme="minorHAnsi"/>
                <w:sz w:val="20"/>
                <w:szCs w:val="20"/>
              </w:rPr>
              <w:t xml:space="preserve"> </w:t>
            </w:r>
            <w:r w:rsidRPr="008D1102">
              <w:rPr>
                <w:rFonts w:cstheme="minorHAnsi"/>
                <w:sz w:val="20"/>
                <w:szCs w:val="20"/>
              </w:rPr>
              <w:t xml:space="preserve"> </w:t>
            </w:r>
          </w:p>
          <w:p w14:paraId="7313BA8F" w14:textId="77777777" w:rsidR="000212F7" w:rsidRPr="008D1102" w:rsidRDefault="000212F7" w:rsidP="000212F7">
            <w:pPr>
              <w:rPr>
                <w:rFonts w:cstheme="minorHAnsi"/>
                <w:sz w:val="20"/>
                <w:szCs w:val="20"/>
              </w:rPr>
            </w:pPr>
          </w:p>
          <w:p w14:paraId="56E8F177" w14:textId="77777777" w:rsidR="000212F7" w:rsidRPr="008D1102" w:rsidRDefault="000212F7" w:rsidP="000212F7">
            <w:pPr>
              <w:rPr>
                <w:rFonts w:cstheme="minorHAnsi"/>
                <w:sz w:val="20"/>
                <w:szCs w:val="20"/>
              </w:rPr>
            </w:pPr>
            <w:r w:rsidRPr="008D1102">
              <w:rPr>
                <w:rFonts w:cstheme="minorHAnsi"/>
                <w:sz w:val="20"/>
                <w:szCs w:val="20"/>
              </w:rPr>
              <w:t xml:space="preserve">Funding: </w:t>
            </w:r>
          </w:p>
          <w:p w14:paraId="18A4405F" w14:textId="5A9EC3A4" w:rsidR="000212F7" w:rsidRPr="000212F7" w:rsidRDefault="00154E71" w:rsidP="00154E71">
            <w:pPr>
              <w:rPr>
                <w:rFonts w:cstheme="minorHAnsi"/>
                <w:sz w:val="20"/>
                <w:szCs w:val="20"/>
              </w:rPr>
            </w:pPr>
            <w:r>
              <w:rPr>
                <w:rFonts w:cstheme="minorHAnsi"/>
                <w:sz w:val="20"/>
                <w:szCs w:val="20"/>
              </w:rPr>
              <w:t xml:space="preserve">Existing resources </w:t>
            </w:r>
          </w:p>
        </w:tc>
      </w:tr>
    </w:tbl>
    <w:p w14:paraId="3A6D11C0" w14:textId="00E25429" w:rsidR="00B17C09" w:rsidRDefault="00854ED0" w:rsidP="00965133">
      <w:pPr>
        <w:spacing w:after="0" w:line="240" w:lineRule="auto"/>
        <w:rPr>
          <w:b/>
          <w:bCs/>
          <w:noProof/>
        </w:rPr>
      </w:pPr>
      <w:r w:rsidRPr="00854ED0">
        <w:rPr>
          <w:b/>
          <w:bCs/>
          <w:noProof/>
        </w:rPr>
        <w:lastRenderedPageBreak/>
        <w:t>ANNEX</w:t>
      </w:r>
      <w:r w:rsidR="001A4F7B">
        <w:rPr>
          <w:b/>
          <w:bCs/>
          <w:noProof/>
        </w:rPr>
        <w:t xml:space="preserve"> B</w:t>
      </w:r>
      <w:r w:rsidRPr="00854ED0">
        <w:rPr>
          <w:b/>
          <w:bCs/>
          <w:noProof/>
        </w:rPr>
        <w:t>:</w:t>
      </w:r>
      <w:r w:rsidR="009B63BE">
        <w:rPr>
          <w:b/>
          <w:bCs/>
          <w:noProof/>
        </w:rPr>
        <w:t xml:space="preserve"> </w:t>
      </w:r>
      <w:r w:rsidRPr="00854ED0">
        <w:rPr>
          <w:b/>
          <w:bCs/>
          <w:noProof/>
        </w:rPr>
        <w:t>S</w:t>
      </w:r>
      <w:r w:rsidR="00EE7E28">
        <w:rPr>
          <w:b/>
          <w:bCs/>
          <w:noProof/>
        </w:rPr>
        <w:t xml:space="preserve">USTAINABLE </w:t>
      </w:r>
      <w:r w:rsidRPr="00854ED0">
        <w:rPr>
          <w:b/>
          <w:bCs/>
          <w:noProof/>
        </w:rPr>
        <w:t>D</w:t>
      </w:r>
      <w:r w:rsidR="00EE7E28">
        <w:rPr>
          <w:b/>
          <w:bCs/>
          <w:noProof/>
        </w:rPr>
        <w:t>EVELOPMENT GOALS (SDG</w:t>
      </w:r>
      <w:r w:rsidRPr="00854ED0">
        <w:rPr>
          <w:b/>
          <w:bCs/>
          <w:noProof/>
        </w:rPr>
        <w:t>s</w:t>
      </w:r>
      <w:r w:rsidR="00EE7E28">
        <w:rPr>
          <w:b/>
          <w:bCs/>
          <w:noProof/>
        </w:rPr>
        <w:t>)</w:t>
      </w:r>
      <w:r w:rsidR="00B17C09">
        <w:rPr>
          <w:b/>
          <w:bCs/>
          <w:noProof/>
        </w:rPr>
        <w:t xml:space="preserve"> </w:t>
      </w:r>
    </w:p>
    <w:p w14:paraId="1E7E0179" w14:textId="77777777" w:rsidR="00E80A8F" w:rsidRDefault="00E80A8F" w:rsidP="00E80A8F">
      <w:pPr>
        <w:spacing w:after="0" w:line="240" w:lineRule="auto"/>
        <w:rPr>
          <w:b/>
          <w:bCs/>
          <w:noProof/>
        </w:rPr>
      </w:pPr>
    </w:p>
    <w:p w14:paraId="1124C417" w14:textId="05C352C9" w:rsidR="00855404" w:rsidRDefault="004745C0" w:rsidP="00E80A8F">
      <w:pPr>
        <w:spacing w:after="0" w:line="240" w:lineRule="auto"/>
        <w:rPr>
          <w:b/>
          <w:bCs/>
          <w:noProof/>
        </w:rPr>
      </w:pPr>
      <w:r w:rsidRPr="004745C0">
        <w:rPr>
          <w:b/>
          <w:bCs/>
          <w:noProof/>
        </w:rPr>
        <w:t>Context</w:t>
      </w:r>
      <w:r w:rsidR="009B63BE">
        <w:rPr>
          <w:b/>
          <w:bCs/>
          <w:noProof/>
        </w:rPr>
        <w:t xml:space="preserve"> </w:t>
      </w:r>
    </w:p>
    <w:p w14:paraId="2275BB98" w14:textId="77777777" w:rsidR="00E80A8F" w:rsidRPr="00965133" w:rsidRDefault="00E80A8F" w:rsidP="00965133">
      <w:pPr>
        <w:spacing w:after="0" w:line="240" w:lineRule="auto"/>
      </w:pPr>
    </w:p>
    <w:p w14:paraId="73B3167B" w14:textId="79816F66" w:rsidR="00F123AE" w:rsidRDefault="00F123AE" w:rsidP="00965133">
      <w:pPr>
        <w:spacing w:after="0" w:line="240" w:lineRule="auto"/>
      </w:pPr>
      <w:r>
        <w:t>The 2030 Agenda and its SDGs provide a roadmap for national and international action from governments, civil society, private sector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759B92F7" w14:textId="77777777" w:rsidR="00E80A8F" w:rsidRDefault="00E80A8F" w:rsidP="00E80A8F">
      <w:pPr>
        <w:spacing w:after="0" w:line="240" w:lineRule="auto"/>
      </w:pPr>
    </w:p>
    <w:p w14:paraId="50A27C7C" w14:textId="2C214632" w:rsidR="00F123AE" w:rsidRPr="004745C0" w:rsidRDefault="00F123AE" w:rsidP="00965133">
      <w:pPr>
        <w:spacing w:after="0" w:line="240" w:lineRule="auto"/>
        <w:rPr>
          <w:b/>
          <w:bCs/>
          <w:noProof/>
        </w:rPr>
      </w:pPr>
      <w:r>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14:paraId="568FCA6C" w14:textId="77777777" w:rsidR="00E80A8F" w:rsidRDefault="00E80A8F" w:rsidP="00E80A8F">
      <w:pPr>
        <w:spacing w:after="0" w:line="240" w:lineRule="auto"/>
        <w:rPr>
          <w:rFonts w:eastAsia="Times New Roman" w:cstheme="minorHAnsi"/>
          <w:lang w:val="en-US" w:eastAsia="en-GB"/>
        </w:rPr>
      </w:pPr>
    </w:p>
    <w:p w14:paraId="2FF321ED" w14:textId="314B8ABD" w:rsidR="00092DFC" w:rsidRDefault="00F123AE" w:rsidP="00E80A8F">
      <w:pPr>
        <w:spacing w:after="0" w:line="240" w:lineRule="auto"/>
        <w:rPr>
          <w:rFonts w:eastAsia="Times New Roman" w:cstheme="minorHAnsi"/>
          <w:lang w:val="en-US" w:eastAsia="en-GB"/>
        </w:rPr>
      </w:pPr>
      <w:r>
        <w:rPr>
          <w:rFonts w:eastAsia="Times New Roman" w:cstheme="minorHAnsi"/>
          <w:lang w:val="en-US" w:eastAsia="en-GB"/>
        </w:rPr>
        <w:t>T</w:t>
      </w:r>
      <w:r w:rsidRPr="004745C0">
        <w:rPr>
          <w:rFonts w:eastAsia="Times New Roman" w:cstheme="minorHAnsi"/>
          <w:lang w:val="en-US" w:eastAsia="en-GB"/>
        </w:rPr>
        <w:t>he Fourth Ramsar Strategic Plan</w:t>
      </w:r>
      <w:r w:rsidR="009B63BE">
        <w:rPr>
          <w:rFonts w:eastAsia="Times New Roman" w:cstheme="minorHAnsi"/>
          <w:lang w:val="en-US" w:eastAsia="en-GB"/>
        </w:rPr>
        <w:t xml:space="preserve"> </w:t>
      </w:r>
      <w:r w:rsidR="002B42A4">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0069706B">
        <w:rPr>
          <w:rFonts w:eastAsia="Times New Roman" w:cstheme="minorHAnsi"/>
          <w:lang w:val="en-US" w:eastAsia="en-GB"/>
        </w:rPr>
        <w:t xml:space="preserve"> </w:t>
      </w:r>
    </w:p>
    <w:p w14:paraId="6E4E154C" w14:textId="77777777" w:rsidR="00092DFC" w:rsidRDefault="00092DFC" w:rsidP="00E80A8F">
      <w:pPr>
        <w:spacing w:after="0" w:line="240" w:lineRule="auto"/>
        <w:rPr>
          <w:rFonts w:eastAsia="Times New Roman" w:cstheme="minorHAnsi"/>
          <w:lang w:val="en-US" w:eastAsia="en-GB"/>
        </w:rPr>
      </w:pPr>
    </w:p>
    <w:p w14:paraId="6A4B4DE5" w14:textId="5A44CF9C" w:rsidR="00D64845" w:rsidRPr="00D64845" w:rsidRDefault="00EB5BF3" w:rsidP="00E80A8F">
      <w:pPr>
        <w:spacing w:after="0" w:line="240" w:lineRule="auto"/>
        <w:rPr>
          <w:rFonts w:eastAsia="Times New Roman" w:cstheme="minorHAnsi"/>
          <w:lang w:val="en-GB" w:eastAsia="en-GB"/>
        </w:rPr>
      </w:pPr>
      <w:hyperlink r:id="rId30" w:history="1">
        <w:r w:rsidR="00F123AE" w:rsidRPr="00D64845">
          <w:rPr>
            <w:rFonts w:eastAsia="Times New Roman" w:cstheme="minorHAnsi"/>
            <w:u w:val="single"/>
            <w:lang w:val="en-GB" w:eastAsia="en-GB"/>
          </w:rPr>
          <w:t>Resolution XIII.7</w:t>
        </w:r>
      </w:hyperlink>
      <w:r w:rsidR="00F123AE" w:rsidRPr="00D64845">
        <w:rPr>
          <w:rFonts w:eastAsia="Times New Roman" w:cstheme="minorHAnsi"/>
          <w:lang w:val="en-GB" w:eastAsia="en-GB"/>
        </w:rPr>
        <w:t xml:space="preserve"> (paras 14-19 and 39-44) captures the breadth of SDG </w:t>
      </w:r>
      <w:r w:rsidR="00092DFC">
        <w:rPr>
          <w:rFonts w:eastAsia="Times New Roman" w:cstheme="minorHAnsi"/>
          <w:lang w:val="en-GB" w:eastAsia="en-GB"/>
        </w:rPr>
        <w:t xml:space="preserve">and Ramsar </w:t>
      </w:r>
      <w:r w:rsidR="00F123AE" w:rsidRPr="00D64845">
        <w:rPr>
          <w:rFonts w:eastAsia="Times New Roman" w:cstheme="minorHAnsi"/>
          <w:lang w:val="en-GB" w:eastAsia="en-GB"/>
        </w:rPr>
        <w:t>engagement</w:t>
      </w:r>
      <w:r w:rsidR="00092DFC">
        <w:rPr>
          <w:rFonts w:eastAsia="Times New Roman" w:cstheme="minorHAnsi"/>
          <w:lang w:val="en-GB" w:eastAsia="en-GB"/>
        </w:rPr>
        <w:t>,</w:t>
      </w:r>
      <w:r w:rsidR="00F123AE" w:rsidRPr="00D64845">
        <w:rPr>
          <w:rFonts w:eastAsia="Times New Roman" w:cstheme="minorHAnsi"/>
          <w:lang w:val="en-GB" w:eastAsia="en-GB"/>
        </w:rPr>
        <w:t xml:space="preserve"> </w:t>
      </w:r>
      <w:r w:rsidR="00092DFC">
        <w:rPr>
          <w:rFonts w:eastAsia="Times New Roman" w:cstheme="minorHAnsi"/>
          <w:lang w:val="en-GB" w:eastAsia="en-GB"/>
        </w:rPr>
        <w:t xml:space="preserve">with the </w:t>
      </w:r>
      <w:r w:rsidR="00D64845" w:rsidRPr="00D64845">
        <w:rPr>
          <w:rFonts w:eastAsia="Times New Roman" w:cstheme="minorHAnsi"/>
          <w:lang w:val="en-US" w:eastAsia="en-GB"/>
        </w:rPr>
        <w:t xml:space="preserve">Secretariat further instructed to </w:t>
      </w:r>
      <w:r w:rsidR="00D64845" w:rsidRPr="00D64845">
        <w:rPr>
          <w:rFonts w:eastAsia="Times New Roman" w:cstheme="minorHAnsi"/>
          <w:lang w:val="en-GB" w:eastAsia="en-GB"/>
        </w:rPr>
        <w:t xml:space="preserve">participate as appropriate in relevant international efforts to address the 2030 Goals and specifically Goals </w:t>
      </w:r>
      <w:hyperlink r:id="rId31" w:history="1">
        <w:r w:rsidR="00D64845" w:rsidRPr="00D64845">
          <w:rPr>
            <w:rFonts w:eastAsia="Times New Roman" w:cstheme="minorHAnsi"/>
            <w:u w:val="single"/>
            <w:lang w:val="en-GB" w:eastAsia="en-GB"/>
          </w:rPr>
          <w:t>14</w:t>
        </w:r>
      </w:hyperlink>
      <w:r w:rsidR="00D64845" w:rsidRPr="00D64845">
        <w:rPr>
          <w:rFonts w:eastAsia="Times New Roman" w:cstheme="minorHAnsi"/>
          <w:lang w:val="en-GB" w:eastAsia="en-GB"/>
        </w:rPr>
        <w:t xml:space="preserve"> and </w:t>
      </w:r>
      <w:hyperlink r:id="rId32" w:history="1">
        <w:r w:rsidR="00D64845" w:rsidRPr="00D64845">
          <w:rPr>
            <w:rFonts w:eastAsia="Times New Roman" w:cstheme="minorHAnsi"/>
            <w:u w:val="single"/>
            <w:lang w:val="en-GB" w:eastAsia="en-GB"/>
          </w:rPr>
          <w:t>15</w:t>
        </w:r>
      </w:hyperlink>
      <w:r w:rsidR="00D64845" w:rsidRPr="00D64845">
        <w:rPr>
          <w:rFonts w:eastAsia="Times New Roman" w:cstheme="minorHAnsi"/>
          <w:vertAlign w:val="superscript"/>
          <w:lang w:val="en-GB" w:eastAsia="en-GB"/>
        </w:rPr>
        <w:footnoteReference w:id="2"/>
      </w:r>
      <w:r w:rsidR="00D64845" w:rsidRPr="00D64845">
        <w:rPr>
          <w:rFonts w:eastAsia="Times New Roman" w:cstheme="minorHAnsi"/>
          <w:lang w:val="en-GB" w:eastAsia="en-GB"/>
        </w:rPr>
        <w:t xml:space="preserve"> and Targets </w:t>
      </w:r>
      <w:hyperlink r:id="rId33" w:history="1">
        <w:r w:rsidR="00D64845" w:rsidRPr="00D64845">
          <w:rPr>
            <w:rFonts w:eastAsia="Times New Roman" w:cstheme="minorHAnsi"/>
            <w:u w:val="single"/>
            <w:lang w:val="en-GB" w:eastAsia="en-GB"/>
          </w:rPr>
          <w:t>14.2</w:t>
        </w:r>
      </w:hyperlink>
      <w:r w:rsidR="00D64845" w:rsidRPr="00D64845">
        <w:rPr>
          <w:rFonts w:eastAsia="Times New Roman" w:cstheme="minorHAnsi"/>
          <w:lang w:val="en-GB" w:eastAsia="en-GB"/>
        </w:rPr>
        <w:t xml:space="preserve"> and </w:t>
      </w:r>
      <w:hyperlink r:id="rId34" w:history="1">
        <w:r w:rsidR="00D64845" w:rsidRPr="00D64845">
          <w:rPr>
            <w:rFonts w:eastAsia="Times New Roman" w:cstheme="minorHAnsi"/>
            <w:u w:val="single"/>
            <w:lang w:val="en-GB" w:eastAsia="en-GB"/>
          </w:rPr>
          <w:t>15.1</w:t>
        </w:r>
      </w:hyperlink>
      <w:r w:rsidR="00E80A8F" w:rsidRPr="00E80A8F">
        <w:rPr>
          <w:rFonts w:eastAsia="Times New Roman" w:cstheme="minorHAnsi"/>
          <w:lang w:val="en-GB" w:eastAsia="en-GB"/>
        </w:rPr>
        <w:t>.</w:t>
      </w:r>
      <w:r w:rsidR="009B63BE">
        <w:rPr>
          <w:rFonts w:eastAsia="Times New Roman" w:cstheme="minorHAnsi"/>
          <w:lang w:val="en-GB" w:eastAsia="en-GB"/>
        </w:rPr>
        <w:t xml:space="preserve"> </w:t>
      </w:r>
      <w:r w:rsidR="00D64845" w:rsidRPr="00D64845">
        <w:rPr>
          <w:rFonts w:eastAsia="Times New Roman" w:cstheme="minorHAnsi"/>
          <w:lang w:val="en-GB" w:eastAsia="en-GB"/>
        </w:rPr>
        <w:t>The same resolution underlined the relevance of SDGs 1, 2, 5, 11 and 13 to the Convention.</w:t>
      </w:r>
      <w:r w:rsidR="00D64845" w:rsidRPr="00D64845">
        <w:rPr>
          <w:rFonts w:eastAsia="Times New Roman" w:cstheme="minorHAnsi"/>
          <w:vertAlign w:val="superscript"/>
          <w:lang w:val="en-GB" w:eastAsia="en-GB"/>
        </w:rPr>
        <w:footnoteReference w:id="3"/>
      </w:r>
    </w:p>
    <w:p w14:paraId="79855266" w14:textId="3572349D" w:rsidR="004745C0" w:rsidRDefault="004745C0" w:rsidP="00E80A8F">
      <w:pPr>
        <w:spacing w:after="0" w:line="240" w:lineRule="auto"/>
        <w:rPr>
          <w:rFonts w:eastAsia="Times New Roman" w:cstheme="minorHAnsi"/>
          <w:lang w:val="en-US" w:eastAsia="en-GB"/>
        </w:rPr>
      </w:pPr>
    </w:p>
    <w:p w14:paraId="3620007D" w14:textId="1CDD7741" w:rsidR="0069706B" w:rsidRPr="0069706B" w:rsidRDefault="0069706B" w:rsidP="00E80A8F">
      <w:pPr>
        <w:spacing w:after="0" w:line="240" w:lineRule="auto"/>
        <w:rPr>
          <w:rFonts w:cstheme="minorHAnsi"/>
          <w:lang w:val="en-US"/>
        </w:rPr>
      </w:pPr>
      <w:r>
        <w:rPr>
          <w:rFonts w:cstheme="minorHAnsi"/>
          <w:lang w:val="en-US"/>
        </w:rPr>
        <w:t xml:space="preserve">Drawing on the </w:t>
      </w:r>
      <w:r w:rsidR="00837D4D">
        <w:rPr>
          <w:rFonts w:cstheme="minorHAnsi"/>
          <w:lang w:val="en-US"/>
        </w:rPr>
        <w:t>Secretariat’s “Scaling up..” report, t</w:t>
      </w:r>
      <w:r w:rsidRPr="0069706B">
        <w:rPr>
          <w:rFonts w:cstheme="minorHAnsi"/>
          <w:lang w:val="en-US"/>
        </w:rPr>
        <w:t xml:space="preserve">he following table maps where Contracting Parties can </w:t>
      </w:r>
      <w:r w:rsidR="00DA14D3">
        <w:rPr>
          <w:rFonts w:cstheme="minorHAnsi"/>
          <w:lang w:val="en-US"/>
        </w:rPr>
        <w:t xml:space="preserve">further </w:t>
      </w:r>
      <w:r w:rsidR="00DA14D3" w:rsidRPr="0069706B">
        <w:t>integrat</w:t>
      </w:r>
      <w:r w:rsidR="00DA14D3">
        <w:t>e</w:t>
      </w:r>
      <w:r w:rsidR="00DA14D3" w:rsidRPr="0069706B">
        <w:t xml:space="preserve"> </w:t>
      </w:r>
      <w:r w:rsidR="00DA14D3">
        <w:t xml:space="preserve">SDGs as part of their </w:t>
      </w:r>
      <w:r w:rsidR="00837D4D" w:rsidRPr="0069706B">
        <w:t xml:space="preserve">practical implementation </w:t>
      </w:r>
      <w:r w:rsidR="00837D4D">
        <w:t>of</w:t>
      </w:r>
      <w:r w:rsidR="00837D4D">
        <w:rPr>
          <w:rFonts w:cstheme="minorHAnsi"/>
          <w:lang w:val="en-US"/>
        </w:rPr>
        <w:t xml:space="preserve"> </w:t>
      </w:r>
      <w:r w:rsidR="00DA14D3">
        <w:rPr>
          <w:rFonts w:cstheme="minorHAnsi"/>
          <w:lang w:val="en-US"/>
        </w:rPr>
        <w:t xml:space="preserve">the Strategic Plan. </w:t>
      </w:r>
    </w:p>
    <w:p w14:paraId="5031C300" w14:textId="77777777" w:rsidR="00E80A8F" w:rsidRPr="00965133" w:rsidRDefault="00E80A8F" w:rsidP="00965133">
      <w:pPr>
        <w:spacing w:after="0" w:line="240" w:lineRule="auto"/>
        <w:rPr>
          <w:b/>
        </w:rPr>
      </w:pPr>
    </w:p>
    <w:p w14:paraId="625701E4" w14:textId="0A938FAB" w:rsidR="00D64845" w:rsidRDefault="00DA14D3" w:rsidP="00965133">
      <w:pPr>
        <w:spacing w:after="0" w:line="240" w:lineRule="auto"/>
        <w:rPr>
          <w:rFonts w:cstheme="minorHAnsi"/>
          <w:b/>
        </w:rPr>
      </w:pPr>
      <w:r>
        <w:rPr>
          <w:rFonts w:cstheme="minorHAnsi"/>
          <w:b/>
        </w:rPr>
        <w:t xml:space="preserve">Key Actions </w:t>
      </w:r>
      <w:r w:rsidR="00D64845">
        <w:rPr>
          <w:rFonts w:cstheme="minorHAnsi"/>
          <w:b/>
        </w:rPr>
        <w:t xml:space="preserve">to support </w:t>
      </w:r>
      <w:r>
        <w:rPr>
          <w:rFonts w:cstheme="minorHAnsi"/>
          <w:b/>
        </w:rPr>
        <w:t xml:space="preserve">practical </w:t>
      </w:r>
      <w:r w:rsidR="00D64845">
        <w:rPr>
          <w:rFonts w:cstheme="minorHAnsi"/>
          <w:b/>
        </w:rPr>
        <w:t xml:space="preserve">implementation of </w:t>
      </w:r>
      <w:r>
        <w:rPr>
          <w:rFonts w:cstheme="minorHAnsi"/>
          <w:b/>
        </w:rPr>
        <w:t xml:space="preserve">the SDGs </w:t>
      </w:r>
    </w:p>
    <w:tbl>
      <w:tblPr>
        <w:tblStyle w:val="TableGrid"/>
        <w:tblW w:w="0" w:type="auto"/>
        <w:tblLook w:val="04A0" w:firstRow="1" w:lastRow="0" w:firstColumn="1" w:lastColumn="0" w:noHBand="0" w:noVBand="1"/>
      </w:tblPr>
      <w:tblGrid>
        <w:gridCol w:w="3256"/>
        <w:gridCol w:w="3543"/>
        <w:gridCol w:w="2217"/>
      </w:tblGrid>
      <w:tr w:rsidR="002B42A4" w14:paraId="5D68E2C4" w14:textId="77777777" w:rsidTr="00965133">
        <w:trPr>
          <w:tblHeader/>
        </w:trPr>
        <w:tc>
          <w:tcPr>
            <w:tcW w:w="3256" w:type="dxa"/>
          </w:tcPr>
          <w:p w14:paraId="2EB5EB9E" w14:textId="77777777" w:rsidR="002B42A4" w:rsidRPr="008329CC" w:rsidRDefault="002B42A4" w:rsidP="00A356AF">
            <w:pPr>
              <w:pStyle w:val="ListParagraph"/>
              <w:ind w:left="0"/>
              <w:rPr>
                <w:b/>
                <w:bCs/>
                <w:szCs w:val="24"/>
                <w:lang w:val="en-US"/>
              </w:rPr>
            </w:pPr>
            <w:r w:rsidRPr="008329CC">
              <w:rPr>
                <w:b/>
                <w:bCs/>
                <w:szCs w:val="24"/>
                <w:lang w:val="en-US"/>
              </w:rPr>
              <w:t>SP Goals and Targets</w:t>
            </w:r>
          </w:p>
        </w:tc>
        <w:tc>
          <w:tcPr>
            <w:tcW w:w="3543" w:type="dxa"/>
          </w:tcPr>
          <w:p w14:paraId="141CE172" w14:textId="4279FF5E" w:rsidR="002B42A4" w:rsidRPr="00706943" w:rsidRDefault="002B42A4" w:rsidP="00A356AF">
            <w:pPr>
              <w:pStyle w:val="ListParagraph"/>
              <w:ind w:left="0"/>
              <w:rPr>
                <w:b/>
                <w:bCs/>
                <w:szCs w:val="24"/>
                <w:lang w:val="en-US"/>
              </w:rPr>
            </w:pPr>
            <w:r>
              <w:rPr>
                <w:b/>
                <w:bCs/>
                <w:szCs w:val="24"/>
                <w:lang w:val="en-US"/>
              </w:rPr>
              <w:t>Actions to integrate wetlands into SDG Planning Processes</w:t>
            </w:r>
          </w:p>
        </w:tc>
        <w:tc>
          <w:tcPr>
            <w:tcW w:w="2217" w:type="dxa"/>
          </w:tcPr>
          <w:p w14:paraId="33018C1C" w14:textId="77777777" w:rsidR="002B42A4" w:rsidRPr="00706943" w:rsidRDefault="002B42A4" w:rsidP="00A356AF">
            <w:pPr>
              <w:pStyle w:val="ListParagraph"/>
              <w:ind w:left="0"/>
              <w:rPr>
                <w:b/>
                <w:bCs/>
                <w:szCs w:val="24"/>
                <w:lang w:val="en-US"/>
              </w:rPr>
            </w:pPr>
            <w:r>
              <w:rPr>
                <w:b/>
                <w:bCs/>
                <w:szCs w:val="24"/>
                <w:lang w:val="en-US"/>
              </w:rPr>
              <w:t>Related SDG targets</w:t>
            </w:r>
          </w:p>
        </w:tc>
      </w:tr>
      <w:tr w:rsidR="002B42A4" w:rsidRPr="00DA14D3" w14:paraId="2278F9E3" w14:textId="77777777" w:rsidTr="00A356AF">
        <w:tc>
          <w:tcPr>
            <w:tcW w:w="9016" w:type="dxa"/>
            <w:gridSpan w:val="3"/>
          </w:tcPr>
          <w:p w14:paraId="1BD055D1" w14:textId="77777777" w:rsidR="002B42A4" w:rsidRPr="008329CC" w:rsidRDefault="002B42A4" w:rsidP="00A356AF">
            <w:pPr>
              <w:rPr>
                <w:rFonts w:cstheme="minorHAnsi"/>
                <w:b/>
                <w:sz w:val="20"/>
                <w:szCs w:val="20"/>
              </w:rPr>
            </w:pPr>
            <w:r w:rsidRPr="008329CC">
              <w:rPr>
                <w:rFonts w:cstheme="minorHAnsi"/>
                <w:b/>
                <w:sz w:val="20"/>
                <w:szCs w:val="20"/>
              </w:rPr>
              <w:t xml:space="preserve">Goal 1: Addressing the Drivers of Wetland Loss and Degradation </w:t>
            </w:r>
          </w:p>
        </w:tc>
      </w:tr>
      <w:tr w:rsidR="002B42A4" w:rsidRPr="00DA14D3" w14:paraId="59DCA8A6" w14:textId="77777777" w:rsidTr="00A356AF">
        <w:tc>
          <w:tcPr>
            <w:tcW w:w="3256" w:type="dxa"/>
          </w:tcPr>
          <w:p w14:paraId="16172D78"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1.</w:t>
            </w:r>
            <w:r w:rsidRPr="008329CC">
              <w:rPr>
                <w:rFonts w:cstheme="minorHAnsi"/>
                <w:b/>
                <w:bCs/>
                <w:sz w:val="20"/>
                <w:szCs w:val="20"/>
              </w:rPr>
              <w:t xml:space="preserve"> </w:t>
            </w:r>
            <w:r w:rsidRPr="008329CC">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543" w:type="dxa"/>
          </w:tcPr>
          <w:p w14:paraId="4D7695BA" w14:textId="77777777" w:rsidR="002B42A4" w:rsidRDefault="002B42A4" w:rsidP="00A356AF">
            <w:pPr>
              <w:pStyle w:val="paralevel1"/>
              <w:numPr>
                <w:ilvl w:val="0"/>
                <w:numId w:val="0"/>
              </w:numPr>
              <w:spacing w:after="0"/>
              <w:ind w:left="73"/>
              <w:rPr>
                <w:rFonts w:asciiTheme="minorHAnsi" w:hAnsiTheme="minorHAnsi" w:cstheme="minorHAnsi"/>
              </w:rPr>
            </w:pPr>
            <w:r w:rsidRPr="00E71EFD">
              <w:rPr>
                <w:rFonts w:asciiTheme="minorHAnsi" w:hAnsiTheme="minorHAnsi" w:cstheme="minorHAnsi"/>
              </w:rPr>
              <w:t>Adopt policies and practices for the conservation and wise use of wetlands in order to reverse current and future wetland loss and degradation</w:t>
            </w:r>
          </w:p>
          <w:p w14:paraId="595ADA09" w14:textId="77777777" w:rsidR="002B42A4" w:rsidRDefault="002B42A4" w:rsidP="00A356AF">
            <w:pPr>
              <w:pStyle w:val="paralevel1"/>
              <w:numPr>
                <w:ilvl w:val="0"/>
                <w:numId w:val="0"/>
              </w:numPr>
              <w:tabs>
                <w:tab w:val="left" w:pos="749"/>
              </w:tabs>
              <w:spacing w:after="0"/>
              <w:ind w:left="73"/>
              <w:rPr>
                <w:rFonts w:asciiTheme="minorHAnsi" w:hAnsiTheme="minorHAnsi" w:cstheme="minorHAnsi"/>
              </w:rPr>
            </w:pPr>
          </w:p>
          <w:p w14:paraId="6B607CDC" w14:textId="7734BB72" w:rsidR="002B42A4" w:rsidRPr="00965133" w:rsidRDefault="002B42A4" w:rsidP="00965133">
            <w:pPr>
              <w:pStyle w:val="paralevel1"/>
              <w:numPr>
                <w:ilvl w:val="0"/>
                <w:numId w:val="0"/>
              </w:numPr>
              <w:tabs>
                <w:tab w:val="left" w:pos="749"/>
              </w:tabs>
              <w:spacing w:after="0"/>
              <w:ind w:left="73"/>
              <w:rPr>
                <w:rFonts w:asciiTheme="minorHAnsi" w:hAnsiTheme="minorHAnsi"/>
              </w:rPr>
            </w:pPr>
            <w:r w:rsidRPr="00E71EFD">
              <w:rPr>
                <w:rFonts w:asciiTheme="minorHAnsi" w:hAnsiTheme="minorHAnsi" w:cstheme="minorHAnsi"/>
              </w:rPr>
              <w:t xml:space="preserve">Integrate wetlands conservation, wise use and restoration into diverse sectoral policies, such as agriculture, forestry or urban planning amongst others, to promote their role in meeting multiple objectives. </w:t>
            </w:r>
          </w:p>
        </w:tc>
        <w:tc>
          <w:tcPr>
            <w:tcW w:w="2217" w:type="dxa"/>
          </w:tcPr>
          <w:p w14:paraId="6FA2F6A2" w14:textId="77777777" w:rsidR="002B42A4" w:rsidRPr="006F12BB" w:rsidRDefault="002B42A4" w:rsidP="00A356AF">
            <w:pPr>
              <w:pStyle w:val="ListParagraph"/>
              <w:ind w:left="0"/>
              <w:rPr>
                <w:rFonts w:cstheme="minorHAnsi"/>
                <w:sz w:val="20"/>
                <w:szCs w:val="20"/>
                <w:lang w:val="en-US"/>
              </w:rPr>
            </w:pPr>
            <w:r w:rsidRPr="006F12BB">
              <w:rPr>
                <w:sz w:val="20"/>
                <w:szCs w:val="20"/>
              </w:rPr>
              <w:t>1.b; 2.4; 6.1; 6.2; 6.5; 8.3; 8.9; 11.3; 11.4; 11.a; 11.b; 13.2; 14.4; 14.5; 14.c; 15.9</w:t>
            </w:r>
          </w:p>
        </w:tc>
      </w:tr>
      <w:tr w:rsidR="002B42A4" w:rsidRPr="00DA14D3" w14:paraId="7E146E81" w14:textId="77777777" w:rsidTr="00A356AF">
        <w:tc>
          <w:tcPr>
            <w:tcW w:w="3256" w:type="dxa"/>
          </w:tcPr>
          <w:p w14:paraId="013ED5A1"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3543" w:type="dxa"/>
          </w:tcPr>
          <w:p w14:paraId="6296357D" w14:textId="77777777" w:rsidR="002B42A4" w:rsidRPr="00494E68" w:rsidRDefault="002B42A4" w:rsidP="00A356AF">
            <w:pPr>
              <w:pStyle w:val="ListParagraph"/>
              <w:ind w:left="0"/>
              <w:rPr>
                <w:rFonts w:cstheme="minorHAnsi"/>
                <w:sz w:val="20"/>
                <w:szCs w:val="20"/>
                <w:lang w:val="en-US"/>
              </w:rPr>
            </w:pPr>
            <w:r w:rsidRPr="00494E68">
              <w:rPr>
                <w:rFonts w:cstheme="minorHAnsi"/>
                <w:sz w:val="20"/>
                <w:szCs w:val="20"/>
              </w:rPr>
              <w:t>Scale up wetland interventions. A landscape or watershed approach that takes into account a larger area can help to consider both the wider ecological processes of wetlands and the human impacts of their loss, and conversely, of their restoration</w:t>
            </w:r>
          </w:p>
        </w:tc>
        <w:tc>
          <w:tcPr>
            <w:tcW w:w="2217" w:type="dxa"/>
          </w:tcPr>
          <w:p w14:paraId="378ED880" w14:textId="77777777" w:rsidR="002B42A4" w:rsidRPr="006F12BB" w:rsidRDefault="002B42A4" w:rsidP="00A356AF">
            <w:pPr>
              <w:pStyle w:val="ListParagraph"/>
              <w:ind w:left="0"/>
              <w:rPr>
                <w:rFonts w:cstheme="minorHAnsi"/>
                <w:sz w:val="20"/>
                <w:szCs w:val="20"/>
                <w:lang w:val="en-US"/>
              </w:rPr>
            </w:pPr>
            <w:r w:rsidRPr="006F12BB">
              <w:rPr>
                <w:sz w:val="20"/>
                <w:szCs w:val="20"/>
              </w:rPr>
              <w:t>6.4; 6.5; 6.6</w:t>
            </w:r>
          </w:p>
        </w:tc>
      </w:tr>
      <w:tr w:rsidR="002B42A4" w:rsidRPr="00DA14D3" w14:paraId="15ECDFB5" w14:textId="77777777" w:rsidTr="00A356AF">
        <w:tc>
          <w:tcPr>
            <w:tcW w:w="3256" w:type="dxa"/>
          </w:tcPr>
          <w:p w14:paraId="70E03A0E" w14:textId="77777777" w:rsidR="002B42A4" w:rsidRPr="008329CC" w:rsidRDefault="002B42A4" w:rsidP="00A356AF">
            <w:pPr>
              <w:rPr>
                <w:rFonts w:cstheme="minorHAnsi"/>
                <w:sz w:val="20"/>
                <w:szCs w:val="20"/>
                <w:lang w:eastAsia="en-AU"/>
              </w:rPr>
            </w:pPr>
            <w:r w:rsidRPr="008329CC">
              <w:rPr>
                <w:rFonts w:cstheme="minorHAnsi"/>
                <w:sz w:val="20"/>
                <w:szCs w:val="20"/>
              </w:rPr>
              <w:t>3. The public and private sectors have increased their efforts to apply guidelines and good practices for the wise use of water and wetlands</w:t>
            </w:r>
            <w:r w:rsidRPr="008329CC">
              <w:rPr>
                <w:rFonts w:cstheme="minorHAnsi"/>
                <w:sz w:val="20"/>
                <w:szCs w:val="20"/>
                <w:lang w:eastAsia="en-AU"/>
              </w:rPr>
              <w:t xml:space="preserve"> </w:t>
            </w:r>
          </w:p>
          <w:p w14:paraId="65201A34" w14:textId="77777777" w:rsidR="002B42A4" w:rsidRPr="008329CC" w:rsidRDefault="002B42A4" w:rsidP="00A356AF">
            <w:pPr>
              <w:pStyle w:val="ListParagraph"/>
              <w:ind w:left="0"/>
              <w:rPr>
                <w:rFonts w:cstheme="minorHAnsi"/>
                <w:sz w:val="20"/>
                <w:szCs w:val="20"/>
                <w:lang w:val="en-US"/>
              </w:rPr>
            </w:pPr>
          </w:p>
        </w:tc>
        <w:tc>
          <w:tcPr>
            <w:tcW w:w="3543" w:type="dxa"/>
          </w:tcPr>
          <w:p w14:paraId="1B9A251E" w14:textId="77777777" w:rsidR="002B42A4" w:rsidRPr="00092DFC" w:rsidRDefault="002B42A4" w:rsidP="00A356AF">
            <w:pPr>
              <w:spacing w:line="256" w:lineRule="auto"/>
              <w:rPr>
                <w:rFonts w:cstheme="minorHAnsi"/>
                <w:sz w:val="20"/>
                <w:szCs w:val="20"/>
                <w:lang w:val="en-US"/>
              </w:rPr>
            </w:pPr>
          </w:p>
        </w:tc>
        <w:tc>
          <w:tcPr>
            <w:tcW w:w="2217" w:type="dxa"/>
          </w:tcPr>
          <w:p w14:paraId="038EBCC7" w14:textId="77777777" w:rsidR="002B42A4" w:rsidRPr="006F12BB" w:rsidRDefault="002B42A4" w:rsidP="00A356AF">
            <w:pPr>
              <w:spacing w:line="256" w:lineRule="auto"/>
              <w:rPr>
                <w:rFonts w:cstheme="minorHAnsi"/>
                <w:sz w:val="20"/>
                <w:szCs w:val="20"/>
                <w:lang w:val="en-US"/>
              </w:rPr>
            </w:pPr>
            <w:r w:rsidRPr="006F12BB">
              <w:rPr>
                <w:sz w:val="20"/>
                <w:szCs w:val="20"/>
              </w:rPr>
              <w:t>2.3; 2.5; 3.9; 6.3; 6.4; 6.5; 6.6; 6.a; 6.b; 8.4; 9.1; 9.5; 11.4; 11.5; 11.6; 11.7; 12.2; 12.6; 14.1; 14.2; 14.3; 14.4; 14.5; 14.7; 14.b; 15.1; 15.2; 15.3; 15.4; 15.5; 15.6; 15.7</w:t>
            </w:r>
          </w:p>
        </w:tc>
      </w:tr>
      <w:tr w:rsidR="002B42A4" w:rsidRPr="00DA14D3" w14:paraId="46D970FB" w14:textId="77777777" w:rsidTr="00965133">
        <w:tc>
          <w:tcPr>
            <w:tcW w:w="3256" w:type="dxa"/>
          </w:tcPr>
          <w:p w14:paraId="5DC7A136" w14:textId="3D080584" w:rsidR="002B42A4" w:rsidRPr="008329CC" w:rsidRDefault="002B42A4" w:rsidP="00965133">
            <w:pPr>
              <w:rPr>
                <w:sz w:val="20"/>
              </w:rPr>
            </w:pPr>
            <w:r w:rsidRPr="008329CC">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00E80A8F" w:rsidRPr="008329CC">
              <w:rPr>
                <w:rFonts w:cstheme="minorHAnsi"/>
                <w:sz w:val="20"/>
                <w:szCs w:val="20"/>
                <w:lang w:eastAsia="en-AU"/>
              </w:rPr>
              <w:t xml:space="preserve"> </w:t>
            </w:r>
          </w:p>
        </w:tc>
        <w:tc>
          <w:tcPr>
            <w:tcW w:w="3543" w:type="dxa"/>
          </w:tcPr>
          <w:p w14:paraId="4E808229" w14:textId="77777777" w:rsidR="002B42A4" w:rsidRPr="00965133" w:rsidRDefault="002B42A4" w:rsidP="00A356AF">
            <w:pPr>
              <w:pStyle w:val="ListParagraph"/>
              <w:ind w:left="0"/>
              <w:rPr>
                <w:sz w:val="20"/>
              </w:rPr>
            </w:pPr>
          </w:p>
        </w:tc>
        <w:tc>
          <w:tcPr>
            <w:tcW w:w="2217" w:type="dxa"/>
          </w:tcPr>
          <w:p w14:paraId="330E4E2A" w14:textId="77777777" w:rsidR="002B42A4" w:rsidRPr="006F12BB" w:rsidRDefault="002B42A4" w:rsidP="00A356AF">
            <w:pPr>
              <w:pStyle w:val="ListParagraph"/>
              <w:ind w:left="0"/>
              <w:rPr>
                <w:rFonts w:cstheme="minorHAnsi"/>
                <w:sz w:val="20"/>
                <w:szCs w:val="20"/>
                <w:lang w:val="en-US"/>
              </w:rPr>
            </w:pPr>
            <w:r w:rsidRPr="006F12BB">
              <w:rPr>
                <w:rFonts w:cstheme="minorHAnsi"/>
                <w:sz w:val="20"/>
                <w:szCs w:val="20"/>
                <w:lang w:val="en-US"/>
              </w:rPr>
              <w:t>15.8</w:t>
            </w:r>
          </w:p>
        </w:tc>
      </w:tr>
      <w:tr w:rsidR="002B42A4" w:rsidRPr="00DA14D3" w14:paraId="04F4DFB8" w14:textId="77777777" w:rsidTr="00A356AF">
        <w:tc>
          <w:tcPr>
            <w:tcW w:w="6799" w:type="dxa"/>
            <w:gridSpan w:val="2"/>
          </w:tcPr>
          <w:p w14:paraId="1ED03137" w14:textId="77777777" w:rsidR="002B42A4" w:rsidRPr="008329CC" w:rsidRDefault="002B42A4" w:rsidP="00A356AF">
            <w:pPr>
              <w:rPr>
                <w:rFonts w:cstheme="minorHAnsi"/>
                <w:sz w:val="20"/>
                <w:szCs w:val="20"/>
                <w:lang w:val="en-US"/>
              </w:rPr>
            </w:pPr>
            <w:r w:rsidRPr="008329CC">
              <w:rPr>
                <w:rFonts w:cstheme="minorHAnsi"/>
                <w:b/>
                <w:sz w:val="20"/>
                <w:szCs w:val="20"/>
              </w:rPr>
              <w:t>Goal 2:</w:t>
            </w:r>
            <w:r w:rsidRPr="008329CC">
              <w:rPr>
                <w:rFonts w:cstheme="minorHAnsi"/>
                <w:b/>
                <w:sz w:val="20"/>
                <w:szCs w:val="20"/>
              </w:rPr>
              <w:tab/>
              <w:t xml:space="preserve">Effectively Conserving and Managing the Ramsar Site Network </w:t>
            </w:r>
          </w:p>
        </w:tc>
        <w:tc>
          <w:tcPr>
            <w:tcW w:w="2217" w:type="dxa"/>
          </w:tcPr>
          <w:p w14:paraId="33FCD144" w14:textId="77777777" w:rsidR="002B42A4" w:rsidRPr="006F12BB" w:rsidRDefault="002B42A4" w:rsidP="00A356AF">
            <w:pPr>
              <w:rPr>
                <w:rFonts w:cstheme="minorHAnsi"/>
                <w:b/>
                <w:sz w:val="20"/>
                <w:szCs w:val="20"/>
              </w:rPr>
            </w:pPr>
          </w:p>
        </w:tc>
      </w:tr>
      <w:tr w:rsidR="002B42A4" w:rsidRPr="00DA14D3" w14:paraId="3EFFCCD7" w14:textId="77777777" w:rsidTr="00A356AF">
        <w:tc>
          <w:tcPr>
            <w:tcW w:w="3256" w:type="dxa"/>
          </w:tcPr>
          <w:p w14:paraId="41374A4B"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5. The ecological character of Ramsar sites is maintained or restored, through effective planning and integrated management.</w:t>
            </w:r>
          </w:p>
        </w:tc>
        <w:tc>
          <w:tcPr>
            <w:tcW w:w="3543" w:type="dxa"/>
          </w:tcPr>
          <w:p w14:paraId="0129FEC9" w14:textId="77777777" w:rsidR="002B42A4" w:rsidRPr="00494E68" w:rsidRDefault="002B42A4" w:rsidP="00A356AF">
            <w:pPr>
              <w:pStyle w:val="ListParagraph"/>
              <w:ind w:left="0"/>
              <w:rPr>
                <w:rFonts w:cstheme="minorHAnsi"/>
                <w:sz w:val="20"/>
                <w:szCs w:val="20"/>
                <w:lang w:val="en-US"/>
              </w:rPr>
            </w:pPr>
            <w:r w:rsidRPr="00494E68">
              <w:rPr>
                <w:rFonts w:cstheme="minorHAnsi"/>
                <w:sz w:val="20"/>
                <w:szCs w:val="20"/>
              </w:rPr>
              <w:t>Develop multi-stakeholder partnerships as a critical means of implementation for wetland conservation, wise use and restoration. As such, efforts are necessary to promote these partnerships between different sectors of society in Ramsar Sites.</w:t>
            </w:r>
          </w:p>
        </w:tc>
        <w:tc>
          <w:tcPr>
            <w:tcW w:w="2217" w:type="dxa"/>
          </w:tcPr>
          <w:p w14:paraId="432008D6" w14:textId="77777777" w:rsidR="002B42A4" w:rsidRPr="006F12BB" w:rsidRDefault="002B42A4" w:rsidP="00A356AF">
            <w:pPr>
              <w:pStyle w:val="ListParagraph"/>
              <w:ind w:left="0"/>
              <w:rPr>
                <w:rFonts w:cstheme="minorHAnsi"/>
                <w:sz w:val="20"/>
                <w:szCs w:val="20"/>
                <w:lang w:val="en-US"/>
              </w:rPr>
            </w:pPr>
            <w:r w:rsidRPr="006F12BB">
              <w:rPr>
                <w:sz w:val="20"/>
                <w:szCs w:val="20"/>
              </w:rPr>
              <w:t>6.3; 6.4; 6.5; 6.6; 11.3; 11.4; 11.a; 11.b; 13.1; 14.2; 15.1; 15.2; 15.3; 15.4</w:t>
            </w:r>
          </w:p>
        </w:tc>
      </w:tr>
      <w:tr w:rsidR="002B42A4" w:rsidRPr="00DA14D3" w14:paraId="56813628" w14:textId="77777777" w:rsidTr="00A356AF">
        <w:tc>
          <w:tcPr>
            <w:tcW w:w="3256" w:type="dxa"/>
          </w:tcPr>
          <w:p w14:paraId="766223E7" w14:textId="77777777" w:rsidR="002B42A4" w:rsidRPr="008329CC" w:rsidRDefault="002B42A4" w:rsidP="00A356AF">
            <w:pPr>
              <w:pStyle w:val="ListParagraph"/>
              <w:ind w:left="0"/>
              <w:rPr>
                <w:rFonts w:cstheme="minorHAnsi"/>
                <w:sz w:val="20"/>
                <w:szCs w:val="20"/>
              </w:rPr>
            </w:pPr>
            <w:r w:rsidRPr="008329CC">
              <w:t xml:space="preserve">6. </w:t>
            </w:r>
            <w:r w:rsidRPr="008329CC">
              <w:rPr>
                <w:sz w:val="20"/>
                <w:szCs w:val="20"/>
              </w:rPr>
              <w:t>There is a significant increase in area, numbers and ecological connectivity in the Ramsar Site network in particular under-represented types of wetlands including in under-represented</w:t>
            </w:r>
            <w:r w:rsidRPr="008329CC">
              <w:t xml:space="preserve"> </w:t>
            </w:r>
            <w:r w:rsidRPr="008329CC">
              <w:rPr>
                <w:sz w:val="20"/>
                <w:szCs w:val="20"/>
              </w:rPr>
              <w:t>ecoregions and transboundary sites</w:t>
            </w:r>
          </w:p>
        </w:tc>
        <w:tc>
          <w:tcPr>
            <w:tcW w:w="3543" w:type="dxa"/>
          </w:tcPr>
          <w:p w14:paraId="2E083FEB" w14:textId="77777777" w:rsidR="002B42A4" w:rsidRPr="00092DFC" w:rsidRDefault="002B42A4" w:rsidP="00A356AF">
            <w:pPr>
              <w:rPr>
                <w:rFonts w:cstheme="minorHAnsi"/>
                <w:sz w:val="20"/>
                <w:szCs w:val="20"/>
              </w:rPr>
            </w:pPr>
          </w:p>
        </w:tc>
        <w:tc>
          <w:tcPr>
            <w:tcW w:w="2217" w:type="dxa"/>
          </w:tcPr>
          <w:p w14:paraId="0D88DC89" w14:textId="77777777" w:rsidR="002B42A4" w:rsidRPr="006F12BB" w:rsidRDefault="002B42A4" w:rsidP="00A356AF">
            <w:pPr>
              <w:rPr>
                <w:rFonts w:cstheme="minorHAnsi"/>
                <w:sz w:val="20"/>
                <w:szCs w:val="20"/>
              </w:rPr>
            </w:pPr>
            <w:r w:rsidRPr="006F12BB">
              <w:rPr>
                <w:sz w:val="20"/>
                <w:szCs w:val="20"/>
              </w:rPr>
              <w:t>6.5; 6.6; 11.3; 11.4; 11.a; 11.b; 13.1; 14.2; 15.1; 15.2; 15.3; 15.4</w:t>
            </w:r>
          </w:p>
        </w:tc>
      </w:tr>
      <w:tr w:rsidR="002B42A4" w:rsidRPr="00DA14D3" w14:paraId="4CF71C90" w14:textId="77777777" w:rsidTr="00A356AF">
        <w:tc>
          <w:tcPr>
            <w:tcW w:w="3256" w:type="dxa"/>
          </w:tcPr>
          <w:p w14:paraId="360773D3"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7. Sites that are at risk of change of ecological character have threats addressed.</w:t>
            </w:r>
          </w:p>
        </w:tc>
        <w:tc>
          <w:tcPr>
            <w:tcW w:w="3543" w:type="dxa"/>
          </w:tcPr>
          <w:p w14:paraId="56F33094" w14:textId="77777777" w:rsidR="002B42A4" w:rsidRPr="00092DFC" w:rsidRDefault="002B42A4" w:rsidP="00A356AF">
            <w:pPr>
              <w:pStyle w:val="ListParagraph"/>
              <w:ind w:left="0"/>
              <w:rPr>
                <w:rFonts w:cstheme="minorHAnsi"/>
                <w:sz w:val="20"/>
                <w:szCs w:val="20"/>
                <w:lang w:val="en-US"/>
              </w:rPr>
            </w:pPr>
          </w:p>
        </w:tc>
        <w:tc>
          <w:tcPr>
            <w:tcW w:w="2217" w:type="dxa"/>
          </w:tcPr>
          <w:p w14:paraId="4A9B902E" w14:textId="77777777" w:rsidR="002B42A4" w:rsidRPr="006F12BB" w:rsidRDefault="002B42A4" w:rsidP="00A356AF">
            <w:pPr>
              <w:pStyle w:val="ListParagraph"/>
              <w:ind w:left="0"/>
              <w:rPr>
                <w:rFonts w:cstheme="minorHAnsi"/>
                <w:sz w:val="20"/>
                <w:szCs w:val="20"/>
                <w:lang w:val="en-US"/>
              </w:rPr>
            </w:pPr>
            <w:r w:rsidRPr="006F12BB">
              <w:rPr>
                <w:sz w:val="20"/>
                <w:szCs w:val="20"/>
              </w:rPr>
              <w:t>6.5; 6.6; 11.3; 11.4; 11.a; 11.b; 12.4; 13.1; 14.2; 15.1; 15.2; 15.3; 15.4</w:t>
            </w:r>
          </w:p>
        </w:tc>
      </w:tr>
      <w:tr w:rsidR="002B42A4" w:rsidRPr="00DA14D3" w14:paraId="5D544245" w14:textId="77777777" w:rsidTr="00A356AF">
        <w:tc>
          <w:tcPr>
            <w:tcW w:w="6799" w:type="dxa"/>
            <w:gridSpan w:val="2"/>
          </w:tcPr>
          <w:p w14:paraId="3F0F90B6" w14:textId="77777777" w:rsidR="002B42A4" w:rsidRPr="008329CC" w:rsidRDefault="002B42A4" w:rsidP="00A356AF">
            <w:pPr>
              <w:pStyle w:val="ListParagraph"/>
              <w:ind w:left="0"/>
              <w:rPr>
                <w:rFonts w:cstheme="minorHAnsi"/>
                <w:sz w:val="20"/>
                <w:szCs w:val="20"/>
                <w:lang w:val="en-US"/>
              </w:rPr>
            </w:pPr>
            <w:r w:rsidRPr="008329CC">
              <w:rPr>
                <w:rFonts w:cstheme="minorHAnsi"/>
                <w:b/>
                <w:sz w:val="20"/>
                <w:szCs w:val="20"/>
              </w:rPr>
              <w:t>Goal 3:</w:t>
            </w:r>
            <w:r w:rsidRPr="008329CC">
              <w:rPr>
                <w:rFonts w:cstheme="minorHAnsi"/>
                <w:b/>
                <w:sz w:val="20"/>
                <w:szCs w:val="20"/>
              </w:rPr>
              <w:tab/>
              <w:t>Wisely Using All Wetlands</w:t>
            </w:r>
          </w:p>
        </w:tc>
        <w:tc>
          <w:tcPr>
            <w:tcW w:w="2217" w:type="dxa"/>
          </w:tcPr>
          <w:p w14:paraId="532F6C22" w14:textId="77777777" w:rsidR="002B42A4" w:rsidRPr="00092DFC" w:rsidRDefault="002B42A4" w:rsidP="00A356AF">
            <w:pPr>
              <w:pStyle w:val="ListParagraph"/>
              <w:ind w:left="0"/>
              <w:rPr>
                <w:rFonts w:cstheme="minorHAnsi"/>
                <w:b/>
                <w:sz w:val="20"/>
                <w:szCs w:val="20"/>
              </w:rPr>
            </w:pPr>
          </w:p>
        </w:tc>
      </w:tr>
      <w:tr w:rsidR="002B42A4" w:rsidRPr="00DA14D3" w14:paraId="13C1846E" w14:textId="77777777" w:rsidTr="00A356AF">
        <w:tc>
          <w:tcPr>
            <w:tcW w:w="3256" w:type="dxa"/>
          </w:tcPr>
          <w:p w14:paraId="204CD90C" w14:textId="77C87197" w:rsidR="002B42A4" w:rsidRPr="008329CC" w:rsidRDefault="002B42A4" w:rsidP="00965133">
            <w:pPr>
              <w:rPr>
                <w:sz w:val="20"/>
              </w:rPr>
            </w:pPr>
            <w:r w:rsidRPr="008329CC">
              <w:rPr>
                <w:rFonts w:cstheme="minorHAnsi"/>
                <w:sz w:val="20"/>
                <w:szCs w:val="20"/>
              </w:rPr>
              <w:t>8. National wetland inventories have been initiated, completed or updated and disseminated and used for promoting the conservation and effective management of all wetlands.</w:t>
            </w:r>
          </w:p>
        </w:tc>
        <w:tc>
          <w:tcPr>
            <w:tcW w:w="3543" w:type="dxa"/>
          </w:tcPr>
          <w:p w14:paraId="17A53298" w14:textId="5FBAA97C" w:rsidR="002B42A4" w:rsidRPr="00965133" w:rsidRDefault="002B42A4" w:rsidP="00965133">
            <w:pPr>
              <w:pStyle w:val="ListParagraph"/>
              <w:numPr>
                <w:ilvl w:val="0"/>
                <w:numId w:val="23"/>
              </w:numPr>
              <w:ind w:left="37" w:hanging="680"/>
              <w:rPr>
                <w:sz w:val="20"/>
              </w:rPr>
            </w:pPr>
            <w:r w:rsidRPr="0069706B">
              <w:rPr>
                <w:rFonts w:cstheme="minorHAnsi"/>
                <w:sz w:val="20"/>
                <w:szCs w:val="20"/>
              </w:rPr>
              <w:t>Utilize Ramsar national reports and accompanying reporting mechanisms to provide information for inventories and monitoring related to SDG 6.6.1 and 15.1.</w:t>
            </w:r>
          </w:p>
        </w:tc>
        <w:tc>
          <w:tcPr>
            <w:tcW w:w="2217" w:type="dxa"/>
          </w:tcPr>
          <w:p w14:paraId="3792BF4B" w14:textId="77777777" w:rsidR="002B42A4" w:rsidRPr="006F12BB" w:rsidRDefault="002B42A4" w:rsidP="00A356AF">
            <w:pPr>
              <w:pStyle w:val="ListParagraph"/>
              <w:ind w:left="0"/>
              <w:rPr>
                <w:rFonts w:cstheme="minorHAnsi"/>
                <w:sz w:val="20"/>
                <w:szCs w:val="20"/>
                <w:lang w:val="uk-UA"/>
              </w:rPr>
            </w:pPr>
            <w:r w:rsidRPr="006F12BB">
              <w:rPr>
                <w:sz w:val="20"/>
                <w:szCs w:val="20"/>
              </w:rPr>
              <w:t>6.6; 11.4; 14.5; 15.1</w:t>
            </w:r>
          </w:p>
        </w:tc>
      </w:tr>
      <w:tr w:rsidR="002B42A4" w:rsidRPr="00DA14D3" w14:paraId="09DC0496" w14:textId="77777777" w:rsidTr="00A356AF">
        <w:tc>
          <w:tcPr>
            <w:tcW w:w="3256" w:type="dxa"/>
          </w:tcPr>
          <w:p w14:paraId="02021DD2"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 xml:space="preserve">9. The wise use of wetlands is strengthened through integrated resource management at the </w:t>
            </w:r>
            <w:r w:rsidRPr="008329CC">
              <w:rPr>
                <w:rFonts w:cstheme="minorHAnsi"/>
                <w:sz w:val="20"/>
                <w:szCs w:val="20"/>
              </w:rPr>
              <w:lastRenderedPageBreak/>
              <w:t>appropriate scale, inter alia, within a river basin or along a coastal zone.</w:t>
            </w:r>
          </w:p>
        </w:tc>
        <w:tc>
          <w:tcPr>
            <w:tcW w:w="3543" w:type="dxa"/>
          </w:tcPr>
          <w:p w14:paraId="263EBB10" w14:textId="77777777" w:rsidR="002B42A4" w:rsidRPr="00092DFC" w:rsidRDefault="002B42A4" w:rsidP="00A356AF">
            <w:pPr>
              <w:pStyle w:val="ListParagraph"/>
              <w:ind w:left="0"/>
              <w:rPr>
                <w:rFonts w:cstheme="minorHAnsi"/>
                <w:sz w:val="20"/>
                <w:szCs w:val="20"/>
                <w:lang w:val="en-US"/>
              </w:rPr>
            </w:pPr>
          </w:p>
        </w:tc>
        <w:tc>
          <w:tcPr>
            <w:tcW w:w="2217" w:type="dxa"/>
          </w:tcPr>
          <w:p w14:paraId="4F9B0A03" w14:textId="77777777" w:rsidR="002B42A4" w:rsidRPr="006F12BB" w:rsidRDefault="002B42A4" w:rsidP="00A356AF">
            <w:pPr>
              <w:pStyle w:val="ListParagraph"/>
              <w:ind w:left="0"/>
              <w:rPr>
                <w:rFonts w:cstheme="minorHAnsi"/>
                <w:sz w:val="20"/>
                <w:szCs w:val="20"/>
                <w:lang w:val="en-US"/>
              </w:rPr>
            </w:pPr>
            <w:r w:rsidRPr="006F12BB">
              <w:rPr>
                <w:sz w:val="20"/>
                <w:szCs w:val="20"/>
              </w:rPr>
              <w:t>1.4; 5.a; 6.5; 8.4; 11.b; 14.7; 14.c</w:t>
            </w:r>
          </w:p>
        </w:tc>
      </w:tr>
      <w:tr w:rsidR="002B42A4" w:rsidRPr="00DA14D3" w14:paraId="10A4774E" w14:textId="77777777" w:rsidTr="00A356AF">
        <w:trPr>
          <w:trHeight w:val="3534"/>
        </w:trPr>
        <w:tc>
          <w:tcPr>
            <w:tcW w:w="3256" w:type="dxa"/>
          </w:tcPr>
          <w:p w14:paraId="58A8ACC2" w14:textId="77777777" w:rsidR="002B42A4" w:rsidRPr="008329CC" w:rsidRDefault="002B42A4" w:rsidP="00A356AF">
            <w:pPr>
              <w:rPr>
                <w:rFonts w:cstheme="minorHAnsi"/>
                <w:sz w:val="20"/>
                <w:szCs w:val="20"/>
                <w:lang w:val="en-US"/>
              </w:rPr>
            </w:pPr>
            <w:r w:rsidRPr="008329CC">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8329CC">
              <w:rPr>
                <w:rFonts w:cstheme="minorHAnsi"/>
                <w:sz w:val="20"/>
                <w:szCs w:val="20"/>
                <w:lang w:eastAsia="en-AU"/>
              </w:rPr>
              <w:t xml:space="preserve"> </w:t>
            </w:r>
          </w:p>
        </w:tc>
        <w:tc>
          <w:tcPr>
            <w:tcW w:w="3543" w:type="dxa"/>
          </w:tcPr>
          <w:p w14:paraId="59F86624" w14:textId="77777777" w:rsidR="002B42A4" w:rsidRPr="006F12BB" w:rsidRDefault="002B42A4" w:rsidP="00A356AF">
            <w:pPr>
              <w:pStyle w:val="ListParagraph"/>
              <w:ind w:left="0"/>
              <w:rPr>
                <w:rFonts w:cstheme="minorHAnsi"/>
                <w:sz w:val="20"/>
                <w:szCs w:val="20"/>
                <w:lang w:val="uk-UA"/>
              </w:rPr>
            </w:pPr>
            <w:r w:rsidRPr="0069706B">
              <w:rPr>
                <w:rFonts w:cstheme="minorHAnsi"/>
                <w:sz w:val="20"/>
                <w:szCs w:val="20"/>
              </w:rPr>
              <w:t>Engage stakeholders at all levels to facilitate integration of wetland conservation, wise use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297360DA" w14:textId="77777777" w:rsidR="002B42A4" w:rsidRPr="00092DFC" w:rsidRDefault="002B42A4" w:rsidP="00A356AF">
            <w:pPr>
              <w:pStyle w:val="ListParagraph"/>
              <w:ind w:left="0"/>
              <w:rPr>
                <w:rFonts w:cstheme="minorHAnsi"/>
                <w:sz w:val="20"/>
                <w:szCs w:val="20"/>
                <w:lang w:val="en-US"/>
              </w:rPr>
            </w:pPr>
          </w:p>
        </w:tc>
        <w:tc>
          <w:tcPr>
            <w:tcW w:w="2217" w:type="dxa"/>
          </w:tcPr>
          <w:p w14:paraId="4A5742A4" w14:textId="77777777" w:rsidR="002B42A4" w:rsidRPr="006F12BB" w:rsidRDefault="002B42A4" w:rsidP="00A356AF">
            <w:pPr>
              <w:pStyle w:val="ListParagraph"/>
              <w:ind w:left="0"/>
              <w:rPr>
                <w:rFonts w:cstheme="minorHAnsi"/>
                <w:sz w:val="20"/>
                <w:szCs w:val="20"/>
                <w:lang w:val="en-US"/>
              </w:rPr>
            </w:pPr>
            <w:r w:rsidRPr="006F12BB">
              <w:rPr>
                <w:sz w:val="20"/>
                <w:szCs w:val="20"/>
              </w:rPr>
              <w:t>2.3; 2.5; 5.5; 5.a; 6.b; 12.8; 15.c</w:t>
            </w:r>
          </w:p>
        </w:tc>
      </w:tr>
      <w:tr w:rsidR="002B42A4" w:rsidRPr="00DA14D3" w14:paraId="6BEBAF3A" w14:textId="77777777" w:rsidTr="00A356AF">
        <w:tc>
          <w:tcPr>
            <w:tcW w:w="3256" w:type="dxa"/>
          </w:tcPr>
          <w:p w14:paraId="1081AA21" w14:textId="77777777" w:rsidR="002B42A4" w:rsidRPr="008329CC" w:rsidRDefault="002B42A4" w:rsidP="00A356AF">
            <w:pPr>
              <w:rPr>
                <w:rFonts w:cstheme="minorHAnsi"/>
                <w:sz w:val="20"/>
                <w:szCs w:val="20"/>
                <w:lang w:val="en-US"/>
              </w:rPr>
            </w:pPr>
            <w:r w:rsidRPr="008329CC">
              <w:rPr>
                <w:rFonts w:cstheme="minorHAnsi"/>
                <w:sz w:val="20"/>
                <w:szCs w:val="20"/>
              </w:rPr>
              <w:t xml:space="preserve">11. Wetland functions, services and benefits are widely demonstrated, documented and disseminated. </w:t>
            </w:r>
          </w:p>
        </w:tc>
        <w:tc>
          <w:tcPr>
            <w:tcW w:w="3543" w:type="dxa"/>
          </w:tcPr>
          <w:p w14:paraId="169243AE" w14:textId="1704EF2A" w:rsidR="002B42A4" w:rsidRPr="00965133" w:rsidRDefault="002B42A4" w:rsidP="00965133">
            <w:pPr>
              <w:pStyle w:val="paralevel1"/>
              <w:numPr>
                <w:ilvl w:val="0"/>
                <w:numId w:val="21"/>
              </w:numPr>
              <w:spacing w:after="0"/>
              <w:ind w:left="37" w:hanging="680"/>
              <w:rPr>
                <w:rFonts w:asciiTheme="minorHAnsi" w:hAnsiTheme="minorHAnsi"/>
              </w:rPr>
            </w:pPr>
            <w:r w:rsidRPr="00E71EFD">
              <w:rPr>
                <w:rFonts w:asciiTheme="minorHAnsi" w:hAnsiTheme="minorHAnsi" w:cstheme="minorHAnsi"/>
              </w:rPr>
              <w:t>Identify clearly the services that wetlands including Ramsar Sites provide for people and the environment when they are being designated to help improve understanding of a Site’s values and subsequent proposed actions related to conserving, using and restoring it. Ramsar Sites can be managed as pilot sites for promoting sustainable development</w:t>
            </w:r>
          </w:p>
        </w:tc>
        <w:tc>
          <w:tcPr>
            <w:tcW w:w="2217" w:type="dxa"/>
          </w:tcPr>
          <w:p w14:paraId="043B2449" w14:textId="77777777" w:rsidR="002B42A4" w:rsidRPr="006F12BB" w:rsidRDefault="002B42A4" w:rsidP="00A356AF">
            <w:pPr>
              <w:pStyle w:val="ListParagraph"/>
              <w:ind w:left="0"/>
              <w:rPr>
                <w:rFonts w:cstheme="minorHAnsi"/>
                <w:sz w:val="20"/>
                <w:szCs w:val="20"/>
                <w:lang w:val="en-US"/>
              </w:rPr>
            </w:pPr>
            <w:r w:rsidRPr="006F12BB">
              <w:rPr>
                <w:sz w:val="20"/>
                <w:szCs w:val="20"/>
              </w:rPr>
              <w:t>1.5; 14.7; 15.9</w:t>
            </w:r>
          </w:p>
        </w:tc>
      </w:tr>
      <w:tr w:rsidR="002B42A4" w:rsidRPr="00DA14D3" w14:paraId="60F11A99" w14:textId="77777777" w:rsidTr="00A356AF">
        <w:tc>
          <w:tcPr>
            <w:tcW w:w="3256" w:type="dxa"/>
          </w:tcPr>
          <w:p w14:paraId="4BAE3270" w14:textId="77777777" w:rsidR="002B42A4" w:rsidRPr="008329CC" w:rsidRDefault="002B42A4" w:rsidP="00A356AF">
            <w:pPr>
              <w:rPr>
                <w:rFonts w:cstheme="minorHAnsi"/>
                <w:sz w:val="20"/>
                <w:szCs w:val="20"/>
              </w:rPr>
            </w:pPr>
            <w:r w:rsidRPr="008329CC">
              <w:rPr>
                <w:rFonts w:cstheme="minorHAnsi"/>
                <w:sz w:val="20"/>
                <w:szCs w:val="20"/>
              </w:rPr>
              <w:t xml:space="preserve">12. </w:t>
            </w:r>
            <w:r w:rsidRPr="008329CC">
              <w:rPr>
                <w:sz w:val="20"/>
                <w:szCs w:val="20"/>
              </w:rPr>
              <w:t>Restoration is in progress in degraded wetlands, with priority to wetlands that are relevant for biodiversity conservation, disaster risk reduction, livelihoods and/or climate change mitigation and adaptation.</w:t>
            </w:r>
          </w:p>
        </w:tc>
        <w:tc>
          <w:tcPr>
            <w:tcW w:w="3543" w:type="dxa"/>
          </w:tcPr>
          <w:p w14:paraId="74D1E1F4" w14:textId="77777777" w:rsidR="002B42A4" w:rsidRPr="0038221B" w:rsidRDefault="002B42A4" w:rsidP="00A356AF">
            <w:pPr>
              <w:pStyle w:val="ListParagraph"/>
              <w:ind w:left="0"/>
              <w:rPr>
                <w:rFonts w:cstheme="minorHAnsi"/>
                <w:sz w:val="20"/>
                <w:szCs w:val="20"/>
                <w:lang w:val="en-US"/>
              </w:rPr>
            </w:pPr>
            <w:r w:rsidRPr="0038221B">
              <w:rPr>
                <w:sz w:val="20"/>
                <w:szCs w:val="20"/>
              </w:rPr>
              <w:t>Integrate wetland services in NDCs for the Paris Agreement on Climate Change</w:t>
            </w:r>
          </w:p>
        </w:tc>
        <w:tc>
          <w:tcPr>
            <w:tcW w:w="2217" w:type="dxa"/>
          </w:tcPr>
          <w:p w14:paraId="32D643BB" w14:textId="77777777" w:rsidR="002B42A4" w:rsidRPr="006F12BB" w:rsidRDefault="002B42A4" w:rsidP="00A356AF">
            <w:pPr>
              <w:pStyle w:val="ListParagraph"/>
              <w:ind w:left="0"/>
              <w:rPr>
                <w:rFonts w:cstheme="minorHAnsi"/>
                <w:sz w:val="20"/>
                <w:szCs w:val="20"/>
                <w:lang w:val="en-US"/>
              </w:rPr>
            </w:pPr>
            <w:r w:rsidRPr="006F12BB">
              <w:rPr>
                <w:sz w:val="20"/>
                <w:szCs w:val="20"/>
              </w:rPr>
              <w:t>6.6; 14.2; 14.4; 15.1; 15.2; 15.3</w:t>
            </w:r>
          </w:p>
        </w:tc>
      </w:tr>
      <w:tr w:rsidR="002B42A4" w:rsidRPr="00DA14D3" w14:paraId="6B46CD7C" w14:textId="77777777" w:rsidTr="00A356AF">
        <w:tc>
          <w:tcPr>
            <w:tcW w:w="3256" w:type="dxa"/>
          </w:tcPr>
          <w:p w14:paraId="4CF73572" w14:textId="3357CE10" w:rsidR="002B42A4" w:rsidRPr="008329CC" w:rsidRDefault="002B42A4" w:rsidP="00965133">
            <w:pPr>
              <w:rPr>
                <w:sz w:val="20"/>
              </w:rPr>
            </w:pPr>
            <w:r w:rsidRPr="008329CC">
              <w:rPr>
                <w:rFonts w:cstheme="minorHAnsi"/>
                <w:sz w:val="20"/>
                <w:szCs w:val="20"/>
              </w:rPr>
              <w:t>13. Enhanced sustainability of key sectors such as water, energy, mining, agriculture, tourism, urban development, infrastructure, industry, forestry, aquaculture and fisheries, when they affect wetlands, contributing to biodiversity con</w:t>
            </w:r>
            <w:r w:rsidR="00E80A8F" w:rsidRPr="008329CC">
              <w:rPr>
                <w:rFonts w:cstheme="minorHAnsi"/>
                <w:sz w:val="20"/>
                <w:szCs w:val="20"/>
              </w:rPr>
              <w:t>servation and human livelihoods</w:t>
            </w:r>
          </w:p>
        </w:tc>
        <w:tc>
          <w:tcPr>
            <w:tcW w:w="3543" w:type="dxa"/>
          </w:tcPr>
          <w:p w14:paraId="42CA313A" w14:textId="77777777" w:rsidR="002B42A4" w:rsidRPr="00092DFC" w:rsidRDefault="002B42A4" w:rsidP="00A356AF">
            <w:pPr>
              <w:pStyle w:val="ListParagraph"/>
              <w:ind w:left="0"/>
              <w:rPr>
                <w:rFonts w:cstheme="minorHAnsi"/>
                <w:sz w:val="20"/>
                <w:szCs w:val="20"/>
                <w:lang w:val="en-US"/>
              </w:rPr>
            </w:pPr>
          </w:p>
        </w:tc>
        <w:tc>
          <w:tcPr>
            <w:tcW w:w="2217" w:type="dxa"/>
          </w:tcPr>
          <w:p w14:paraId="61CF5D9A" w14:textId="77777777" w:rsidR="002B42A4" w:rsidRPr="006F12BB" w:rsidRDefault="002B42A4" w:rsidP="00A356AF">
            <w:pPr>
              <w:pStyle w:val="ListParagraph"/>
              <w:ind w:left="0"/>
              <w:rPr>
                <w:rFonts w:cstheme="minorHAnsi"/>
                <w:sz w:val="20"/>
                <w:szCs w:val="20"/>
                <w:lang w:val="en-US"/>
              </w:rPr>
            </w:pPr>
            <w:r w:rsidRPr="006F12BB">
              <w:rPr>
                <w:sz w:val="20"/>
                <w:szCs w:val="20"/>
              </w:rPr>
              <w:t>1.b; 2.4; 6.5; 8.3; 8.9; 11.3; 11.4; 11.a; 11.b; 12b; 13.2; 14.4; 14.5; 14.c; 15.9</w:t>
            </w:r>
          </w:p>
        </w:tc>
      </w:tr>
      <w:tr w:rsidR="002B42A4" w:rsidRPr="00DA14D3" w14:paraId="04DFBA7F" w14:textId="77777777" w:rsidTr="00A356AF">
        <w:tc>
          <w:tcPr>
            <w:tcW w:w="3256" w:type="dxa"/>
          </w:tcPr>
          <w:p w14:paraId="16460782" w14:textId="77777777" w:rsidR="002B42A4" w:rsidRPr="008329CC" w:rsidRDefault="002B42A4" w:rsidP="00A356AF">
            <w:pPr>
              <w:rPr>
                <w:rFonts w:cstheme="minorHAnsi"/>
                <w:sz w:val="20"/>
                <w:szCs w:val="20"/>
              </w:rPr>
            </w:pPr>
            <w:r w:rsidRPr="008329CC">
              <w:rPr>
                <w:sz w:val="20"/>
                <w:szCs w:val="20"/>
              </w:rPr>
              <w:t>14. Scientific guidance and technical methodologies at global and regional levels is developed on relevant topics and is available to policy makers and practitioners in an appropriate format and language</w:t>
            </w:r>
          </w:p>
        </w:tc>
        <w:tc>
          <w:tcPr>
            <w:tcW w:w="3543" w:type="dxa"/>
          </w:tcPr>
          <w:p w14:paraId="179ACAA4" w14:textId="77777777" w:rsidR="002B42A4" w:rsidRPr="00092DFC" w:rsidRDefault="002B42A4" w:rsidP="00A356AF">
            <w:pPr>
              <w:pStyle w:val="ListParagraph"/>
              <w:ind w:left="0"/>
              <w:rPr>
                <w:rFonts w:cstheme="minorHAnsi"/>
                <w:sz w:val="20"/>
                <w:szCs w:val="20"/>
                <w:lang w:val="en-US"/>
              </w:rPr>
            </w:pPr>
          </w:p>
        </w:tc>
        <w:tc>
          <w:tcPr>
            <w:tcW w:w="2217" w:type="dxa"/>
          </w:tcPr>
          <w:p w14:paraId="285CA2D6" w14:textId="77777777" w:rsidR="002B42A4" w:rsidRPr="006F12BB" w:rsidRDefault="002B42A4" w:rsidP="00A356AF">
            <w:pPr>
              <w:pStyle w:val="ListParagraph"/>
              <w:ind w:left="0"/>
              <w:rPr>
                <w:rFonts w:cstheme="minorHAnsi"/>
                <w:sz w:val="20"/>
                <w:szCs w:val="20"/>
                <w:lang w:val="en-US"/>
              </w:rPr>
            </w:pPr>
            <w:r w:rsidRPr="006F12BB">
              <w:rPr>
                <w:sz w:val="20"/>
                <w:szCs w:val="20"/>
              </w:rPr>
              <w:t>9.5; 9.a; 14.3; 14.4; 14.5; 17.6</w:t>
            </w:r>
          </w:p>
        </w:tc>
      </w:tr>
      <w:tr w:rsidR="002B42A4" w:rsidRPr="00DA14D3" w14:paraId="43A70DBB" w14:textId="77777777" w:rsidTr="00A356AF">
        <w:tc>
          <w:tcPr>
            <w:tcW w:w="3256" w:type="dxa"/>
          </w:tcPr>
          <w:p w14:paraId="160249F2" w14:textId="77777777" w:rsidR="002B42A4" w:rsidRPr="008329CC" w:rsidRDefault="002B42A4" w:rsidP="00A356AF">
            <w:pPr>
              <w:rPr>
                <w:rFonts w:cstheme="minorHAnsi"/>
                <w:sz w:val="20"/>
                <w:szCs w:val="20"/>
              </w:rPr>
            </w:pPr>
            <w:r w:rsidRPr="008329CC">
              <w:rPr>
                <w:sz w:val="20"/>
                <w:szCs w:val="20"/>
              </w:rPr>
              <w:t>15. Ramsar Regional Initiatives with the active involvement and support of the Parties in each region are reinforced and developed into effective tools to assist in the full implementation of the Convention</w:t>
            </w:r>
          </w:p>
        </w:tc>
        <w:tc>
          <w:tcPr>
            <w:tcW w:w="3543" w:type="dxa"/>
          </w:tcPr>
          <w:p w14:paraId="70DB780B" w14:textId="77777777" w:rsidR="002B42A4" w:rsidRPr="00092DFC" w:rsidRDefault="002B42A4" w:rsidP="00A356AF">
            <w:pPr>
              <w:pStyle w:val="ListParagraph"/>
              <w:ind w:left="0"/>
              <w:rPr>
                <w:rFonts w:cstheme="minorHAnsi"/>
                <w:sz w:val="20"/>
                <w:szCs w:val="20"/>
                <w:lang w:val="en-US"/>
              </w:rPr>
            </w:pPr>
          </w:p>
        </w:tc>
        <w:tc>
          <w:tcPr>
            <w:tcW w:w="2217" w:type="dxa"/>
          </w:tcPr>
          <w:p w14:paraId="2E992181" w14:textId="77777777" w:rsidR="002B42A4" w:rsidRPr="006F12BB" w:rsidRDefault="002B42A4" w:rsidP="00A356AF">
            <w:pPr>
              <w:pStyle w:val="ListParagraph"/>
              <w:ind w:left="0"/>
              <w:rPr>
                <w:rFonts w:cstheme="minorHAnsi"/>
                <w:sz w:val="20"/>
                <w:szCs w:val="20"/>
                <w:lang w:val="en-US"/>
              </w:rPr>
            </w:pPr>
            <w:r w:rsidRPr="006F12BB">
              <w:rPr>
                <w:sz w:val="20"/>
                <w:szCs w:val="20"/>
              </w:rPr>
              <w:t>1.b; 2.5; 6.5; 6.6; 9.1; 11.a; 14.2; 15.1; 17.6; 17.7; 17.9</w:t>
            </w:r>
          </w:p>
        </w:tc>
      </w:tr>
      <w:tr w:rsidR="002B42A4" w:rsidRPr="00DA14D3" w14:paraId="10B46516" w14:textId="77777777" w:rsidTr="00A356AF">
        <w:tc>
          <w:tcPr>
            <w:tcW w:w="6799" w:type="dxa"/>
            <w:gridSpan w:val="2"/>
          </w:tcPr>
          <w:p w14:paraId="7AC69DCA" w14:textId="77777777" w:rsidR="002B42A4" w:rsidRPr="008329CC" w:rsidRDefault="002B42A4" w:rsidP="00C8420A">
            <w:pPr>
              <w:keepNext/>
              <w:rPr>
                <w:rFonts w:cstheme="minorHAnsi"/>
                <w:sz w:val="20"/>
                <w:szCs w:val="20"/>
                <w:lang w:val="en-US"/>
              </w:rPr>
            </w:pPr>
            <w:r w:rsidRPr="008329CC">
              <w:rPr>
                <w:rFonts w:cstheme="minorHAnsi"/>
                <w:b/>
                <w:sz w:val="20"/>
                <w:szCs w:val="20"/>
              </w:rPr>
              <w:lastRenderedPageBreak/>
              <w:t>Goal 4:</w:t>
            </w:r>
            <w:r w:rsidRPr="008329CC">
              <w:rPr>
                <w:rFonts w:cstheme="minorHAnsi"/>
                <w:b/>
                <w:sz w:val="20"/>
                <w:szCs w:val="20"/>
              </w:rPr>
              <w:tab/>
              <w:t xml:space="preserve">Enhancing Implementation </w:t>
            </w:r>
          </w:p>
        </w:tc>
        <w:tc>
          <w:tcPr>
            <w:tcW w:w="2217" w:type="dxa"/>
          </w:tcPr>
          <w:p w14:paraId="30A04CF0" w14:textId="77777777" w:rsidR="002B42A4" w:rsidRPr="00092DFC" w:rsidRDefault="002B42A4" w:rsidP="00C8420A">
            <w:pPr>
              <w:keepNext/>
              <w:rPr>
                <w:rFonts w:cstheme="minorHAnsi"/>
                <w:b/>
                <w:sz w:val="20"/>
                <w:szCs w:val="20"/>
              </w:rPr>
            </w:pPr>
          </w:p>
        </w:tc>
      </w:tr>
      <w:tr w:rsidR="002B42A4" w:rsidRPr="00DA14D3" w14:paraId="6948D53E" w14:textId="77777777" w:rsidTr="00A356AF">
        <w:tc>
          <w:tcPr>
            <w:tcW w:w="3256" w:type="dxa"/>
          </w:tcPr>
          <w:p w14:paraId="7396C4EC"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16. Wetlands conservation and wise use are mainstreamed through communication, capacity development, education, participation and awareness.</w:t>
            </w:r>
          </w:p>
        </w:tc>
        <w:tc>
          <w:tcPr>
            <w:tcW w:w="3543" w:type="dxa"/>
          </w:tcPr>
          <w:p w14:paraId="7A0D79F5" w14:textId="77777777" w:rsidR="002B42A4" w:rsidRPr="00092DFC" w:rsidRDefault="002B42A4" w:rsidP="00A356AF">
            <w:pPr>
              <w:pStyle w:val="ListParagraph"/>
              <w:ind w:left="0"/>
              <w:rPr>
                <w:rFonts w:cstheme="minorHAnsi"/>
                <w:sz w:val="20"/>
                <w:szCs w:val="20"/>
                <w:lang w:val="en-US"/>
              </w:rPr>
            </w:pPr>
            <w:r w:rsidRPr="0069706B">
              <w:rPr>
                <w:rFonts w:cstheme="minorHAnsi"/>
                <w:sz w:val="20"/>
                <w:szCs w:val="20"/>
              </w:rPr>
              <w:t>Ensure that wetland conservation, wise use and restoration are integrated into SDG planning and implementation</w:t>
            </w:r>
          </w:p>
        </w:tc>
        <w:tc>
          <w:tcPr>
            <w:tcW w:w="2217" w:type="dxa"/>
          </w:tcPr>
          <w:p w14:paraId="720C9F51" w14:textId="77777777" w:rsidR="002B42A4" w:rsidRPr="006F12BB" w:rsidRDefault="002B42A4" w:rsidP="00A356AF">
            <w:pPr>
              <w:pStyle w:val="ListParagraph"/>
              <w:ind w:left="0"/>
              <w:rPr>
                <w:rFonts w:cstheme="minorHAnsi"/>
                <w:sz w:val="20"/>
                <w:szCs w:val="20"/>
                <w:lang w:val="en-US"/>
              </w:rPr>
            </w:pPr>
            <w:r w:rsidRPr="006F12BB">
              <w:rPr>
                <w:sz w:val="20"/>
                <w:szCs w:val="20"/>
              </w:rPr>
              <w:t>2.4; 4.7; 4.a; 6.a; 11.3; 13.1; 13.3; 15.7; 17.9</w:t>
            </w:r>
          </w:p>
        </w:tc>
      </w:tr>
      <w:tr w:rsidR="002B42A4" w:rsidRPr="00DA14D3" w14:paraId="27CC81BD" w14:textId="77777777" w:rsidTr="00A356AF">
        <w:tc>
          <w:tcPr>
            <w:tcW w:w="3256" w:type="dxa"/>
          </w:tcPr>
          <w:p w14:paraId="2A299E3E" w14:textId="77777777" w:rsidR="002B42A4" w:rsidRPr="008329CC" w:rsidRDefault="002B42A4" w:rsidP="00A356AF">
            <w:pPr>
              <w:pStyle w:val="ListParagraph"/>
              <w:ind w:left="0"/>
              <w:rPr>
                <w:rFonts w:cstheme="minorHAnsi"/>
                <w:sz w:val="20"/>
                <w:szCs w:val="20"/>
              </w:rPr>
            </w:pPr>
            <w:r w:rsidRPr="008329CC">
              <w:rPr>
                <w:sz w:val="20"/>
                <w:szCs w:val="20"/>
              </w:rPr>
              <w:t>17. Financial and other resources for effectively implementing the four Ramsar Strategic Plan 2016–2024 from all sources are made available</w:t>
            </w:r>
          </w:p>
        </w:tc>
        <w:tc>
          <w:tcPr>
            <w:tcW w:w="3543" w:type="dxa"/>
          </w:tcPr>
          <w:p w14:paraId="19A86786" w14:textId="77777777" w:rsidR="002B42A4" w:rsidRPr="00092DFC" w:rsidRDefault="002B42A4" w:rsidP="00A356AF">
            <w:pPr>
              <w:pStyle w:val="ListParagraph"/>
              <w:ind w:left="0"/>
              <w:rPr>
                <w:rFonts w:cstheme="minorHAnsi"/>
                <w:sz w:val="20"/>
                <w:szCs w:val="20"/>
                <w:lang w:val="en-US"/>
              </w:rPr>
            </w:pPr>
            <w:r w:rsidRPr="0038221B">
              <w:rPr>
                <w:sz w:val="20"/>
                <w:szCs w:val="20"/>
              </w:rPr>
              <w:t>Increase funding for comprehensive actions in wetlands including Ramsar Site to reflect the importance of these sites, not only from a biodiversity point of view, but also from a sustainable development perspective</w:t>
            </w:r>
            <w:r>
              <w:t>.</w:t>
            </w:r>
          </w:p>
        </w:tc>
        <w:tc>
          <w:tcPr>
            <w:tcW w:w="2217" w:type="dxa"/>
          </w:tcPr>
          <w:p w14:paraId="6C983F97" w14:textId="77777777" w:rsidR="002B42A4" w:rsidRPr="006F12BB" w:rsidRDefault="002B42A4" w:rsidP="00A356AF">
            <w:pPr>
              <w:pStyle w:val="ListParagraph"/>
              <w:ind w:left="0"/>
              <w:rPr>
                <w:rFonts w:cstheme="minorHAnsi"/>
                <w:sz w:val="20"/>
                <w:szCs w:val="20"/>
                <w:lang w:val="en-US"/>
              </w:rPr>
            </w:pPr>
            <w:r w:rsidRPr="006F12BB">
              <w:rPr>
                <w:sz w:val="20"/>
                <w:szCs w:val="20"/>
              </w:rPr>
              <w:t>9.a; 10.6; 15.a; 15.b; 17.3</w:t>
            </w:r>
          </w:p>
        </w:tc>
      </w:tr>
      <w:tr w:rsidR="002B42A4" w:rsidRPr="00DA14D3" w14:paraId="38D47592" w14:textId="77777777" w:rsidTr="00A356AF">
        <w:tc>
          <w:tcPr>
            <w:tcW w:w="3256" w:type="dxa"/>
          </w:tcPr>
          <w:p w14:paraId="6B99E921" w14:textId="77777777" w:rsidR="002B42A4" w:rsidRPr="008329CC" w:rsidRDefault="002B42A4" w:rsidP="00A356AF">
            <w:pPr>
              <w:pStyle w:val="ListParagraph"/>
              <w:ind w:left="0"/>
              <w:rPr>
                <w:rFonts w:cstheme="minorHAnsi"/>
                <w:sz w:val="20"/>
                <w:szCs w:val="20"/>
              </w:rPr>
            </w:pPr>
            <w:r w:rsidRPr="008329CC">
              <w:rPr>
                <w:rFonts w:cstheme="minorHAnsi"/>
                <w:sz w:val="20"/>
                <w:szCs w:val="20"/>
              </w:rPr>
              <w:t>18. International cooperation is strengthened at all levels, (</w:t>
            </w:r>
            <w:r w:rsidRPr="008329CC">
              <w:rPr>
                <w:rFonts w:cstheme="minorHAnsi"/>
                <w:i/>
                <w:iCs/>
                <w:sz w:val="20"/>
                <w:szCs w:val="20"/>
              </w:rPr>
              <w:t>locally, nationally, sub-regionally (for example RRIs), regionally and globally</w:t>
            </w:r>
            <w:r w:rsidRPr="008329CC">
              <w:rPr>
                <w:rFonts w:cstheme="minorHAnsi"/>
                <w:sz w:val="20"/>
                <w:szCs w:val="20"/>
              </w:rPr>
              <w:t>).</w:t>
            </w:r>
          </w:p>
        </w:tc>
        <w:tc>
          <w:tcPr>
            <w:tcW w:w="3543" w:type="dxa"/>
          </w:tcPr>
          <w:p w14:paraId="0A917D0B" w14:textId="77777777" w:rsidR="002B42A4" w:rsidRPr="0038221B" w:rsidRDefault="002B42A4" w:rsidP="002B42A4">
            <w:pPr>
              <w:pStyle w:val="paralevel1"/>
              <w:numPr>
                <w:ilvl w:val="0"/>
                <w:numId w:val="24"/>
              </w:numPr>
              <w:spacing w:after="0"/>
              <w:ind w:left="28" w:hanging="680"/>
              <w:rPr>
                <w:rFonts w:asciiTheme="minorHAnsi" w:hAnsiTheme="minorHAnsi" w:cstheme="minorHAnsi"/>
              </w:rPr>
            </w:pPr>
            <w:r w:rsidRPr="0038221B">
              <w:rPr>
                <w:rFonts w:asciiTheme="minorHAnsi" w:hAnsiTheme="minorHAnsi" w:cstheme="minorHAnsi"/>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p>
          <w:p w14:paraId="0A76D1C3" w14:textId="77777777" w:rsidR="002B42A4" w:rsidRDefault="002B42A4" w:rsidP="002B42A4">
            <w:pPr>
              <w:pStyle w:val="paralevel1"/>
              <w:numPr>
                <w:ilvl w:val="0"/>
                <w:numId w:val="24"/>
              </w:numPr>
              <w:spacing w:after="0"/>
              <w:ind w:left="28" w:hanging="680"/>
              <w:rPr>
                <w:rFonts w:asciiTheme="minorHAnsi" w:hAnsiTheme="minorHAnsi" w:cstheme="minorHAnsi"/>
              </w:rPr>
            </w:pPr>
          </w:p>
          <w:p w14:paraId="0B59D340" w14:textId="77777777" w:rsidR="002B42A4" w:rsidRDefault="002B42A4" w:rsidP="002B42A4">
            <w:pPr>
              <w:pStyle w:val="paralevel1"/>
              <w:numPr>
                <w:ilvl w:val="0"/>
                <w:numId w:val="24"/>
              </w:numPr>
              <w:spacing w:after="0"/>
              <w:ind w:left="28" w:hanging="680"/>
              <w:rPr>
                <w:rFonts w:asciiTheme="minorHAnsi" w:hAnsiTheme="minorHAnsi" w:cstheme="minorHAnsi"/>
              </w:rPr>
            </w:pPr>
            <w:r w:rsidRPr="00E71EFD">
              <w:rPr>
                <w:rFonts w:asciiTheme="minorHAnsi" w:hAnsiTheme="minorHAnsi" w:cstheme="minorHAnsi"/>
              </w:rPr>
              <w:t xml:space="preserve">Contracting Parties should ensure that their efforts to implement the Ramsar Strategic Plan are integrated into their </w:t>
            </w:r>
            <w:r>
              <w:rPr>
                <w:rFonts w:asciiTheme="minorHAnsi" w:hAnsiTheme="minorHAnsi" w:cstheme="minorHAnsi"/>
              </w:rPr>
              <w:t xml:space="preserve">national </w:t>
            </w:r>
            <w:r w:rsidRPr="00E71EFD">
              <w:rPr>
                <w:rFonts w:asciiTheme="minorHAnsi" w:hAnsiTheme="minorHAnsi" w:cstheme="minorHAnsi"/>
              </w:rPr>
              <w:t>SDG plan</w:t>
            </w:r>
            <w:r>
              <w:rPr>
                <w:rFonts w:asciiTheme="minorHAnsi" w:hAnsiTheme="minorHAnsi" w:cstheme="minorHAnsi"/>
              </w:rPr>
              <w:t>s</w:t>
            </w:r>
            <w:r w:rsidRPr="00E71EFD">
              <w:rPr>
                <w:rFonts w:asciiTheme="minorHAnsi" w:hAnsiTheme="minorHAnsi" w:cstheme="minorHAnsi"/>
              </w:rPr>
              <w:t xml:space="preserve"> and implementation </w:t>
            </w:r>
          </w:p>
          <w:p w14:paraId="1009F494" w14:textId="77777777" w:rsidR="002B42A4" w:rsidRDefault="002B42A4" w:rsidP="002B42A4">
            <w:pPr>
              <w:pStyle w:val="paralevel1"/>
              <w:numPr>
                <w:ilvl w:val="0"/>
                <w:numId w:val="25"/>
              </w:numPr>
              <w:spacing w:after="0"/>
              <w:ind w:left="28" w:hanging="680"/>
              <w:rPr>
                <w:rFonts w:asciiTheme="minorHAnsi" w:hAnsiTheme="minorHAnsi" w:cstheme="minorHAnsi"/>
              </w:rPr>
            </w:pPr>
          </w:p>
          <w:p w14:paraId="1F5361C3" w14:textId="4A89114E" w:rsidR="002B42A4" w:rsidRPr="00965133" w:rsidRDefault="002B42A4" w:rsidP="00965133">
            <w:pPr>
              <w:pStyle w:val="paralevel1"/>
              <w:numPr>
                <w:ilvl w:val="0"/>
                <w:numId w:val="25"/>
              </w:numPr>
              <w:spacing w:after="0"/>
              <w:ind w:left="28" w:hanging="680"/>
              <w:rPr>
                <w:rFonts w:asciiTheme="minorHAnsi" w:hAnsiTheme="minorHAnsi"/>
              </w:rPr>
            </w:pPr>
            <w:r w:rsidRPr="00E71EFD">
              <w:rPr>
                <w:rFonts w:asciiTheme="minorHAnsi" w:hAnsiTheme="minorHAnsi" w:cstheme="minorHAnsi"/>
              </w:rPr>
              <w:t xml:space="preserve">Contracting Parties should ensure that reports on progress on the SDGs reflect the contributions of wetlands so that their conservation, wise use and restoration link to the sustainable development agenda. </w:t>
            </w:r>
          </w:p>
        </w:tc>
        <w:tc>
          <w:tcPr>
            <w:tcW w:w="2217" w:type="dxa"/>
          </w:tcPr>
          <w:p w14:paraId="5CDA2BF0" w14:textId="77777777" w:rsidR="002B42A4" w:rsidRPr="006F12BB" w:rsidRDefault="002B42A4" w:rsidP="00A356AF">
            <w:pPr>
              <w:rPr>
                <w:rFonts w:cstheme="minorHAnsi"/>
                <w:sz w:val="20"/>
                <w:szCs w:val="20"/>
              </w:rPr>
            </w:pPr>
            <w:r w:rsidRPr="006F12BB">
              <w:rPr>
                <w:sz w:val="20"/>
                <w:szCs w:val="20"/>
              </w:rPr>
              <w:t>1.b; 2.5; 6.5; 6.6; 6.a; 10.6; 12.4; 14.5; 14.c; 15.1; 15.6; 16.8; 17.6; 17.7; 17.9</w:t>
            </w:r>
          </w:p>
        </w:tc>
      </w:tr>
      <w:tr w:rsidR="002B42A4" w:rsidRPr="00DA14D3" w14:paraId="15B4D6B9" w14:textId="77777777" w:rsidTr="00A356AF">
        <w:tc>
          <w:tcPr>
            <w:tcW w:w="3256" w:type="dxa"/>
          </w:tcPr>
          <w:p w14:paraId="49AF44A5" w14:textId="77777777" w:rsidR="002B42A4" w:rsidRPr="008329CC" w:rsidRDefault="002B42A4" w:rsidP="00A356AF">
            <w:pPr>
              <w:pStyle w:val="ListParagraph"/>
              <w:ind w:left="0"/>
              <w:rPr>
                <w:rFonts w:cstheme="minorHAnsi"/>
                <w:sz w:val="20"/>
                <w:szCs w:val="20"/>
                <w:lang w:val="en-US"/>
              </w:rPr>
            </w:pPr>
            <w:r w:rsidRPr="008329CC">
              <w:rPr>
                <w:rFonts w:cstheme="minorHAnsi"/>
                <w:sz w:val="20"/>
                <w:szCs w:val="20"/>
              </w:rPr>
              <w:t>19. Capacity building for implementation of the Convention and the 4th Ramsar Strategic Plan 2016 – 2024 is enhanced</w:t>
            </w:r>
          </w:p>
        </w:tc>
        <w:tc>
          <w:tcPr>
            <w:tcW w:w="3543" w:type="dxa"/>
          </w:tcPr>
          <w:p w14:paraId="63E94947" w14:textId="77777777" w:rsidR="002B42A4" w:rsidRPr="00092DFC" w:rsidRDefault="002B42A4" w:rsidP="00A356AF">
            <w:pPr>
              <w:rPr>
                <w:rFonts w:cstheme="minorHAnsi"/>
                <w:sz w:val="20"/>
                <w:szCs w:val="20"/>
                <w:lang w:val="en-US"/>
              </w:rPr>
            </w:pPr>
          </w:p>
        </w:tc>
        <w:tc>
          <w:tcPr>
            <w:tcW w:w="2217" w:type="dxa"/>
          </w:tcPr>
          <w:p w14:paraId="07AD12BF" w14:textId="77777777" w:rsidR="002B42A4" w:rsidRPr="006F12BB" w:rsidRDefault="002B42A4" w:rsidP="00A356AF">
            <w:pPr>
              <w:rPr>
                <w:rFonts w:cstheme="minorHAnsi"/>
                <w:sz w:val="20"/>
                <w:szCs w:val="20"/>
                <w:lang w:val="en-US"/>
              </w:rPr>
            </w:pPr>
            <w:r w:rsidRPr="006F12BB">
              <w:rPr>
                <w:sz w:val="20"/>
                <w:szCs w:val="20"/>
              </w:rPr>
              <w:t>2.4; 6.a; 11.3; 13.1; 13.3; 15.c; 17.9</w:t>
            </w:r>
          </w:p>
        </w:tc>
      </w:tr>
    </w:tbl>
    <w:p w14:paraId="52734B46" w14:textId="77777777" w:rsidR="002B42A4" w:rsidRPr="00DA14D3" w:rsidRDefault="002B42A4" w:rsidP="002B42A4">
      <w:pPr>
        <w:pStyle w:val="ListParagraph"/>
        <w:spacing w:after="0" w:line="240" w:lineRule="auto"/>
        <w:ind w:left="0"/>
        <w:rPr>
          <w:rFonts w:cstheme="minorHAnsi"/>
          <w:sz w:val="20"/>
          <w:szCs w:val="20"/>
          <w:lang w:val="en-US"/>
        </w:rPr>
      </w:pPr>
    </w:p>
    <w:p w14:paraId="10FF63FE" w14:textId="77777777" w:rsidR="00A9164A" w:rsidRDefault="00A9164A" w:rsidP="004745C0">
      <w:pPr>
        <w:spacing w:after="0" w:line="240" w:lineRule="auto"/>
      </w:pPr>
    </w:p>
    <w:p w14:paraId="6758C08F" w14:textId="0769C0D8" w:rsidR="004745C0" w:rsidRPr="004745C0" w:rsidRDefault="00C73F7D" w:rsidP="004745C0">
      <w:pPr>
        <w:spacing w:after="0" w:line="240" w:lineRule="auto"/>
        <w:rPr>
          <w:rFonts w:eastAsia="Times New Roman" w:cstheme="minorHAnsi"/>
          <w:b/>
          <w:bCs/>
          <w:lang w:val="en-US" w:eastAsia="en-GB"/>
        </w:rPr>
      </w:pPr>
      <w:r>
        <w:rPr>
          <w:rFonts w:eastAsia="Times New Roman" w:cstheme="minorHAnsi"/>
          <w:b/>
          <w:bCs/>
          <w:lang w:val="en-US" w:eastAsia="en-GB"/>
        </w:rPr>
        <w:t xml:space="preserve">Sources and </w:t>
      </w:r>
      <w:r w:rsidR="004745C0" w:rsidRPr="004745C0">
        <w:rPr>
          <w:rFonts w:eastAsia="Times New Roman" w:cstheme="minorHAnsi"/>
          <w:b/>
          <w:bCs/>
          <w:lang w:val="en-US" w:eastAsia="en-GB"/>
        </w:rPr>
        <w:t>Available Resources</w:t>
      </w:r>
      <w:r w:rsidR="009B63BE">
        <w:rPr>
          <w:rFonts w:eastAsia="Times New Roman" w:cstheme="minorHAnsi"/>
          <w:b/>
          <w:bCs/>
          <w:lang w:val="en-US" w:eastAsia="en-GB"/>
        </w:rPr>
        <w:t xml:space="preserve"> </w:t>
      </w:r>
    </w:p>
    <w:p w14:paraId="2B6D9BCB" w14:textId="7F17DA55" w:rsidR="004745C0" w:rsidRPr="004745C0" w:rsidRDefault="0069706B" w:rsidP="004745C0">
      <w:pPr>
        <w:spacing w:after="0" w:line="240" w:lineRule="auto"/>
        <w:rPr>
          <w:rFonts w:eastAsia="Times New Roman" w:cstheme="minorHAnsi"/>
          <w:lang w:val="en-US" w:eastAsia="en-GB"/>
        </w:rPr>
      </w:pPr>
      <w:r>
        <w:t>How Wetlands Achieve select SDGs:</w:t>
      </w:r>
      <w:r w:rsidR="009B63BE">
        <w:t xml:space="preserve"> </w:t>
      </w:r>
      <w:hyperlink r:id="rId35" w:history="1">
        <w:r w:rsidR="004745C0" w:rsidRPr="004745C0">
          <w:rPr>
            <w:rFonts w:eastAsia="Times New Roman" w:cstheme="minorHAnsi"/>
            <w:i/>
            <w:iCs/>
            <w:u w:val="single"/>
            <w:lang w:val="en-US" w:eastAsia="en-GB"/>
          </w:rPr>
          <w:t>Scaling up wetland conservation,</w:t>
        </w:r>
        <w:r w:rsidR="00F123AE">
          <w:rPr>
            <w:rFonts w:eastAsia="Times New Roman" w:cstheme="minorHAnsi"/>
            <w:i/>
            <w:iCs/>
            <w:u w:val="single"/>
            <w:lang w:val="en-US" w:eastAsia="en-GB"/>
          </w:rPr>
          <w:t xml:space="preserve"> </w:t>
        </w:r>
        <w:r w:rsidR="004745C0" w:rsidRPr="004745C0">
          <w:rPr>
            <w:rFonts w:eastAsia="Times New Roman" w:cstheme="minorHAnsi"/>
            <w:i/>
            <w:iCs/>
            <w:u w:val="single"/>
            <w:lang w:val="en-US" w:eastAsia="en-GB"/>
          </w:rPr>
          <w:t>wise use and restoration to achieve the Sustainable Development Goals</w:t>
        </w:r>
      </w:hyperlink>
      <w:r w:rsidR="004745C0" w:rsidRPr="004745C0">
        <w:rPr>
          <w:rFonts w:eastAsia="Times New Roman" w:cstheme="minorHAnsi"/>
          <w:lang w:val="en-US" w:eastAsia="en-GB"/>
        </w:rPr>
        <w:t xml:space="preserve">. </w:t>
      </w:r>
    </w:p>
    <w:p w14:paraId="291E0CD5" w14:textId="77777777" w:rsidR="000212F7" w:rsidRDefault="00EB5BF3" w:rsidP="000212F7">
      <w:pPr>
        <w:spacing w:after="0" w:line="240" w:lineRule="auto"/>
        <w:rPr>
          <w:rFonts w:eastAsia="Times New Roman" w:cstheme="minorHAnsi"/>
          <w:lang w:val="en-GB" w:eastAsia="en-GB"/>
        </w:rPr>
      </w:pPr>
      <w:hyperlink r:id="rId36" w:history="1">
        <w:r w:rsidR="000212F7" w:rsidRPr="00D64845">
          <w:rPr>
            <w:rFonts w:eastAsia="Times New Roman" w:cstheme="minorHAnsi"/>
            <w:u w:val="single"/>
            <w:lang w:val="en-GB" w:eastAsia="en-GB"/>
          </w:rPr>
          <w:t>Resolution XIII.7</w:t>
        </w:r>
      </w:hyperlink>
      <w:r w:rsidR="000212F7" w:rsidRPr="00D64845">
        <w:rPr>
          <w:rFonts w:eastAsia="Times New Roman" w:cstheme="minorHAnsi"/>
          <w:lang w:val="en-GB" w:eastAsia="en-GB"/>
        </w:rPr>
        <w:t xml:space="preserve"> </w:t>
      </w:r>
    </w:p>
    <w:p w14:paraId="7FF4C82A" w14:textId="77777777" w:rsidR="00855404" w:rsidRDefault="00855404">
      <w:pPr>
        <w:rPr>
          <w:noProof/>
        </w:rPr>
      </w:pPr>
      <w:r>
        <w:rPr>
          <w:noProof/>
        </w:rPr>
        <w:br w:type="page"/>
      </w:r>
    </w:p>
    <w:p w14:paraId="64E01365" w14:textId="51E461C9" w:rsidR="00BA2AF7" w:rsidRPr="00855404" w:rsidRDefault="001A4F7B">
      <w:pPr>
        <w:rPr>
          <w:rFonts w:cstheme="minorHAnsi"/>
          <w:b/>
          <w:bCs/>
          <w:i/>
          <w:iCs/>
          <w:lang w:val="en-US"/>
        </w:rPr>
      </w:pPr>
      <w:r w:rsidRPr="001A4F7B">
        <w:rPr>
          <w:b/>
          <w:bCs/>
          <w:noProof/>
        </w:rPr>
        <w:lastRenderedPageBreak/>
        <w:t>ANNEX C: CBD</w:t>
      </w:r>
      <w:r w:rsidR="009B63BE">
        <w:rPr>
          <w:b/>
          <w:bCs/>
          <w:noProof/>
        </w:rPr>
        <w:t xml:space="preserve">  </w:t>
      </w:r>
      <w:r w:rsidR="00855404">
        <w:rPr>
          <w:b/>
          <w:bCs/>
          <w:i/>
          <w:iCs/>
          <w:noProof/>
        </w:rPr>
        <w:t>To r</w:t>
      </w:r>
      <w:r w:rsidRPr="00855404">
        <w:rPr>
          <w:b/>
          <w:bCs/>
          <w:i/>
          <w:iCs/>
          <w:noProof/>
        </w:rPr>
        <w:t xml:space="preserve">eplace Annex 2 of SP4 when </w:t>
      </w:r>
      <w:r w:rsidRPr="00855404">
        <w:rPr>
          <w:rFonts w:cstheme="minorHAnsi"/>
          <w:b/>
          <w:bCs/>
          <w:i/>
          <w:iCs/>
          <w:lang w:val="en-US"/>
        </w:rPr>
        <w:t>P</w:t>
      </w:r>
      <w:r w:rsidRPr="00855404">
        <w:rPr>
          <w:rFonts w:cstheme="minorHAnsi"/>
          <w:b/>
          <w:bCs/>
          <w:i/>
          <w:iCs/>
        </w:rPr>
        <w:t>ost-2020 Global Biodiversity</w:t>
      </w:r>
      <w:r w:rsidRPr="00855404">
        <w:rPr>
          <w:rFonts w:cstheme="minorHAnsi"/>
          <w:b/>
          <w:bCs/>
          <w:i/>
          <w:iCs/>
          <w:lang w:val="en-US"/>
        </w:rPr>
        <w:t xml:space="preserve"> Framework agreed </w:t>
      </w:r>
    </w:p>
    <w:p w14:paraId="65FFAD42" w14:textId="28957006" w:rsidR="001A4F7B" w:rsidRDefault="001A4F7B" w:rsidP="00855404">
      <w:pPr>
        <w:spacing w:after="0"/>
        <w:rPr>
          <w:rFonts w:cstheme="minorHAnsi"/>
          <w:b/>
          <w:bCs/>
          <w:lang w:val="en-US"/>
        </w:rPr>
      </w:pPr>
      <w:r>
        <w:rPr>
          <w:rFonts w:cstheme="minorHAnsi"/>
          <w:b/>
          <w:bCs/>
          <w:lang w:val="en-US"/>
        </w:rPr>
        <w:t>Context</w:t>
      </w:r>
    </w:p>
    <w:p w14:paraId="05F20B03" w14:textId="41883BC7" w:rsidR="001A4F7B" w:rsidRDefault="001A4F7B" w:rsidP="003B3310">
      <w:pPr>
        <w:spacing w:after="0" w:line="240" w:lineRule="auto"/>
        <w:rPr>
          <w:rFonts w:eastAsia="Times New Roman" w:cstheme="minorHAnsi"/>
          <w:lang w:val="en-GB" w:eastAsia="en-GB"/>
        </w:rPr>
      </w:pPr>
      <w:r w:rsidRPr="001A4F7B">
        <w:rPr>
          <w:rFonts w:eastAsia="Times New Roman" w:cstheme="minorHAnsi"/>
          <w:lang w:val="en-GB" w:eastAsia="en-GB"/>
        </w:rPr>
        <w:t>The post-2020 Global Biodiversity Framework is proposed to be adopted during the fifteenth meeting of the Conference of the Parties to the Convention</w:t>
      </w:r>
      <w:r w:rsidR="00855404">
        <w:rPr>
          <w:rFonts w:eastAsia="Times New Roman" w:cstheme="minorHAnsi"/>
          <w:lang w:val="en-GB" w:eastAsia="en-GB"/>
        </w:rPr>
        <w:t xml:space="preserve">, </w:t>
      </w:r>
      <w:r w:rsidR="0009202B">
        <w:rPr>
          <w:rFonts w:eastAsia="Times New Roman" w:cstheme="minorHAnsi"/>
          <w:lang w:val="en-GB" w:eastAsia="en-GB"/>
        </w:rPr>
        <w:t xml:space="preserve">11-24 </w:t>
      </w:r>
      <w:r w:rsidR="00626AB3">
        <w:rPr>
          <w:rFonts w:eastAsia="Times New Roman" w:cstheme="minorHAnsi"/>
          <w:lang w:val="en-GB" w:eastAsia="en-GB"/>
        </w:rPr>
        <w:t xml:space="preserve">October, </w:t>
      </w:r>
      <w:r>
        <w:rPr>
          <w:rFonts w:eastAsia="Times New Roman" w:cstheme="minorHAnsi"/>
          <w:lang w:val="en-GB" w:eastAsia="en-GB"/>
        </w:rPr>
        <w:t>20</w:t>
      </w:r>
      <w:r w:rsidRPr="001A4F7B">
        <w:rPr>
          <w:rFonts w:eastAsia="Times New Roman" w:cstheme="minorHAnsi"/>
          <w:lang w:val="en-GB" w:eastAsia="en-GB"/>
        </w:rPr>
        <w:t>21.</w:t>
      </w:r>
      <w:r w:rsidR="009B63BE">
        <w:rPr>
          <w:rFonts w:eastAsia="Times New Roman" w:cstheme="minorHAnsi"/>
          <w:lang w:val="en-GB" w:eastAsia="en-GB"/>
        </w:rPr>
        <w:t xml:space="preserve"> </w:t>
      </w:r>
    </w:p>
    <w:p w14:paraId="74160496" w14:textId="77777777" w:rsidR="001A4F7B" w:rsidRDefault="001A4F7B" w:rsidP="003B3310">
      <w:pPr>
        <w:spacing w:after="0" w:line="240" w:lineRule="auto"/>
        <w:rPr>
          <w:rFonts w:eastAsia="Times New Roman" w:cstheme="minorHAnsi"/>
          <w:lang w:val="en-GB" w:eastAsia="en-GB"/>
        </w:rPr>
      </w:pPr>
    </w:p>
    <w:p w14:paraId="21521EFD" w14:textId="12AB9BCF" w:rsidR="001A4F7B" w:rsidRPr="001A4F7B" w:rsidRDefault="001A4F7B" w:rsidP="003B3310">
      <w:pPr>
        <w:spacing w:after="0" w:line="240" w:lineRule="auto"/>
        <w:rPr>
          <w:rFonts w:cstheme="minorHAnsi"/>
          <w:lang w:val="en-US"/>
        </w:rPr>
      </w:pPr>
      <w:r>
        <w:rPr>
          <w:rFonts w:cstheme="minorHAnsi"/>
          <w:lang w:val="en-GB"/>
        </w:rPr>
        <w:t>T</w:t>
      </w:r>
      <w:r w:rsidRPr="001A4F7B">
        <w:rPr>
          <w:rFonts w:cstheme="minorHAnsi"/>
          <w:lang w:val="en-GB"/>
        </w:rPr>
        <w:t xml:space="preserve">he post-2020 </w:t>
      </w:r>
      <w:r w:rsidRPr="001A4F7B">
        <w:rPr>
          <w:rFonts w:cstheme="minorHAnsi"/>
          <w:lang w:val="en-US"/>
        </w:rPr>
        <w:t>G</w:t>
      </w:r>
      <w:r w:rsidRPr="001A4F7B">
        <w:rPr>
          <w:rFonts w:cstheme="minorHAnsi"/>
          <w:lang w:val="en-GB"/>
        </w:rPr>
        <w:t xml:space="preserve">lobal </w:t>
      </w:r>
      <w:r w:rsidRPr="001A4F7B">
        <w:rPr>
          <w:rFonts w:cstheme="minorHAnsi"/>
          <w:lang w:val="en-US"/>
        </w:rPr>
        <w:t>B</w:t>
      </w:r>
      <w:r w:rsidRPr="001A4F7B">
        <w:rPr>
          <w:rFonts w:cstheme="minorHAnsi"/>
          <w:lang w:val="en-GB"/>
        </w:rPr>
        <w:t xml:space="preserve">iodiversity </w:t>
      </w:r>
      <w:r w:rsidRPr="001A4F7B">
        <w:rPr>
          <w:rFonts w:cstheme="minorHAnsi"/>
          <w:lang w:val="en-US"/>
        </w:rPr>
        <w:t>F</w:t>
      </w:r>
      <w:r w:rsidRPr="001A4F7B">
        <w:rPr>
          <w:rFonts w:cstheme="minorHAnsi"/>
          <w:lang w:val="en-GB"/>
        </w:rPr>
        <w:t xml:space="preserve">ramework </w:t>
      </w:r>
      <w:hyperlink r:id="rId37" w:history="1">
        <w:r w:rsidRPr="001A4F7B">
          <w:rPr>
            <w:rFonts w:cstheme="minorHAnsi"/>
            <w:lang w:val="en-US"/>
          </w:rPr>
          <w:t xml:space="preserve">zero </w:t>
        </w:r>
        <w:r w:rsidRPr="001A4F7B">
          <w:rPr>
            <w:rFonts w:cstheme="minorHAnsi"/>
            <w:lang w:val="en-GB"/>
          </w:rPr>
          <w:t>draft</w:t>
        </w:r>
      </w:hyperlink>
      <w:r>
        <w:rPr>
          <w:rFonts w:cstheme="minorHAnsi"/>
          <w:lang w:val="en-GB"/>
        </w:rPr>
        <w:t xml:space="preserve"> </w:t>
      </w:r>
      <w:r w:rsidRPr="001A4F7B">
        <w:rPr>
          <w:rFonts w:cstheme="minorHAnsi"/>
          <w:lang w:val="en-US"/>
        </w:rPr>
        <w:t xml:space="preserve">focuses its </w:t>
      </w:r>
      <w:r>
        <w:rPr>
          <w:rFonts w:cstheme="minorHAnsi"/>
          <w:lang w:val="en-US"/>
        </w:rPr>
        <w:t>‘</w:t>
      </w:r>
      <w:r w:rsidRPr="001A4F7B">
        <w:rPr>
          <w:rFonts w:cstheme="minorHAnsi"/>
          <w:lang w:val="en-US"/>
        </w:rPr>
        <w:t>theory of change</w:t>
      </w:r>
      <w:r>
        <w:rPr>
          <w:rFonts w:cstheme="minorHAnsi"/>
          <w:lang w:val="en-US"/>
        </w:rPr>
        <w:t>’</w:t>
      </w:r>
      <w:r w:rsidRPr="001A4F7B">
        <w:rPr>
          <w:rFonts w:cstheme="minorHAnsi"/>
          <w:lang w:val="en-US"/>
        </w:rPr>
        <w:t xml:space="preserve"> on the 2030 Agenda and a 2050 Vision of living in harmony with nature.</w:t>
      </w:r>
      <w:r w:rsidRPr="001A4F7B">
        <w:rPr>
          <w:rFonts w:cstheme="minorHAnsi"/>
          <w:vertAlign w:val="superscript"/>
          <w:lang w:val="en-US"/>
        </w:rPr>
        <w:footnoteReference w:id="4"/>
      </w:r>
      <w:r w:rsidRPr="001A4F7B">
        <w:rPr>
          <w:rFonts w:cstheme="minorHAnsi"/>
          <w:lang w:val="en-US"/>
        </w:rPr>
        <w:t xml:space="preserve"> The theory of change (</w:t>
      </w:r>
      <w:r w:rsidR="00BA289C">
        <w:rPr>
          <w:rFonts w:cstheme="minorHAnsi"/>
          <w:lang w:val="en-US"/>
        </w:rPr>
        <w:t>see below</w:t>
      </w:r>
      <w:r w:rsidRPr="001A4F7B">
        <w:rPr>
          <w:rFonts w:cstheme="minorHAnsi"/>
          <w:lang w:val="en-US"/>
        </w:rPr>
        <w:t>) is innovative in that it shapes how the CBD sees transformations over 10- and then 20- year periods.</w:t>
      </w:r>
      <w:r w:rsidRPr="001A4F7B">
        <w:rPr>
          <w:rFonts w:cstheme="minorHAnsi"/>
          <w:vertAlign w:val="superscript"/>
          <w:lang w:val="en-US"/>
        </w:rPr>
        <w:footnoteReference w:id="5"/>
      </w:r>
      <w:r w:rsidRPr="001A4F7B">
        <w:rPr>
          <w:rFonts w:cstheme="minorHAnsi"/>
          <w:lang w:val="en-US"/>
        </w:rPr>
        <w:t xml:space="preserve"> </w:t>
      </w:r>
    </w:p>
    <w:p w14:paraId="719720FF" w14:textId="5C851B9B" w:rsidR="001A4F7B" w:rsidRDefault="00BA289C" w:rsidP="003B3310">
      <w:pPr>
        <w:spacing w:after="0" w:line="240" w:lineRule="auto"/>
        <w:rPr>
          <w:rFonts w:cstheme="minorHAnsi"/>
          <w:lang w:val="en-US"/>
        </w:rPr>
      </w:pPr>
      <w:r w:rsidRPr="00745D72">
        <w:rPr>
          <w:rFonts w:cstheme="minorHAnsi"/>
          <w:noProof/>
          <w:lang w:val="en-GB" w:eastAsia="en-GB"/>
        </w:rPr>
        <w:drawing>
          <wp:inline distT="0" distB="0" distL="0" distR="0" wp14:anchorId="178F779B" wp14:editId="75EC38F7">
            <wp:extent cx="4162425" cy="23622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162425" cy="2362200"/>
                    </a:xfrm>
                    <a:prstGeom prst="rect">
                      <a:avLst/>
                    </a:prstGeom>
                  </pic:spPr>
                </pic:pic>
              </a:graphicData>
            </a:graphic>
          </wp:inline>
        </w:drawing>
      </w:r>
    </w:p>
    <w:p w14:paraId="36A1240C" w14:textId="77777777" w:rsidR="001A4F7B" w:rsidRDefault="001A4F7B" w:rsidP="003B3310">
      <w:pPr>
        <w:spacing w:after="0" w:line="240" w:lineRule="auto"/>
        <w:rPr>
          <w:rFonts w:cstheme="minorHAnsi"/>
          <w:lang w:val="en-US"/>
        </w:rPr>
      </w:pPr>
    </w:p>
    <w:p w14:paraId="171CEF6C" w14:textId="5CFECC51" w:rsidR="00EC104A" w:rsidRDefault="001A4F7B" w:rsidP="00965133">
      <w:pPr>
        <w:spacing w:after="0" w:line="240" w:lineRule="auto"/>
        <w:rPr>
          <w:rFonts w:eastAsia="Times New Roman" w:cstheme="minorHAnsi"/>
          <w:lang w:val="en-US" w:eastAsia="en-GB"/>
        </w:rPr>
      </w:pPr>
      <w:r>
        <w:rPr>
          <w:rFonts w:cstheme="minorHAnsi"/>
          <w:lang w:val="en-US"/>
        </w:rPr>
        <w:t xml:space="preserve">The draft </w:t>
      </w:r>
      <w:r>
        <w:rPr>
          <w:rFonts w:cstheme="minorHAnsi"/>
          <w:lang w:val="en-GB"/>
        </w:rPr>
        <w:t xml:space="preserve">proposes new Goals </w:t>
      </w:r>
      <w:r w:rsidRPr="001A4F7B">
        <w:rPr>
          <w:rFonts w:cstheme="minorHAnsi"/>
          <w:lang w:val="en-GB"/>
        </w:rPr>
        <w:t xml:space="preserve">and </w:t>
      </w:r>
      <w:r>
        <w:rPr>
          <w:rFonts w:cstheme="minorHAnsi"/>
          <w:lang w:val="en-GB"/>
        </w:rPr>
        <w:t xml:space="preserve">indicators, a suite of which relate to wetlands ecosystems and dependent biota. </w:t>
      </w:r>
      <w:r w:rsidRPr="001A4F7B">
        <w:rPr>
          <w:rFonts w:eastAsia="Times New Roman" w:cstheme="minorHAnsi"/>
          <w:lang w:val="en-US" w:eastAsia="en-GB"/>
        </w:rPr>
        <w:t xml:space="preserve">There are </w:t>
      </w:r>
      <w:r w:rsidR="00855404">
        <w:rPr>
          <w:rFonts w:eastAsia="Times New Roman" w:cstheme="minorHAnsi"/>
          <w:lang w:val="en-US" w:eastAsia="en-GB"/>
        </w:rPr>
        <w:t xml:space="preserve">some </w:t>
      </w:r>
      <w:r w:rsidR="00855404" w:rsidRPr="00855404">
        <w:rPr>
          <w:lang w:val="en-GB"/>
        </w:rPr>
        <w:t>Headline Indicators</w:t>
      </w:r>
      <w:r w:rsidR="00BA289C">
        <w:rPr>
          <w:lang w:val="en-GB"/>
        </w:rPr>
        <w:t xml:space="preserve"> </w:t>
      </w:r>
      <w:r w:rsidR="00BA289C">
        <w:rPr>
          <w:kern w:val="22"/>
        </w:rPr>
        <w:t>and some numeric targets</w:t>
      </w:r>
      <w:r w:rsidR="00BA289C">
        <w:rPr>
          <w:lang w:val="en-GB"/>
        </w:rPr>
        <w:t xml:space="preserve"> </w:t>
      </w:r>
      <w:r w:rsidR="00BA289C">
        <w:rPr>
          <w:kern w:val="22"/>
        </w:rPr>
        <w:t>that correspond with Ramsar’s Wise Use Goals a</w:t>
      </w:r>
      <w:r w:rsidR="00BA289C">
        <w:rPr>
          <w:lang w:val="en-GB"/>
        </w:rPr>
        <w:t>nd Targets</w:t>
      </w:r>
      <w:r w:rsidR="009B63BE">
        <w:rPr>
          <w:lang w:val="en-GB"/>
        </w:rPr>
        <w:t xml:space="preserve"> </w:t>
      </w:r>
      <w:r w:rsidR="00855404" w:rsidRPr="00855404">
        <w:rPr>
          <w:lang w:val="en-GB"/>
        </w:rPr>
        <w:t>(e.g. A.0.1 Extent of selected natural ecosystems (forest, savannahs and grasslands, wetlands, mangroves, saltmarshes, coral reef, seagrass, macroalgae and intertidal habitats</w:t>
      </w:r>
      <w:r w:rsidR="00855404">
        <w:rPr>
          <w:lang w:val="en-GB"/>
        </w:rPr>
        <w:t xml:space="preserve"> and, </w:t>
      </w:r>
      <w:r w:rsidR="00855404" w:rsidRPr="00603782">
        <w:rPr>
          <w:kern w:val="22"/>
        </w:rPr>
        <w:t>1.0.1 Percentage of land covered by landscape scale land-use plans for terrestrial, freshwater and marine ecosystems*</w:t>
      </w:r>
      <w:r w:rsidR="00855404">
        <w:rPr>
          <w:kern w:val="22"/>
        </w:rPr>
        <w:t>)</w:t>
      </w:r>
      <w:r w:rsidR="00BA289C">
        <w:rPr>
          <w:kern w:val="22"/>
        </w:rPr>
        <w:t>.</w:t>
      </w:r>
      <w:r w:rsidR="009B63BE">
        <w:rPr>
          <w:kern w:val="22"/>
        </w:rPr>
        <w:t xml:space="preserve"> </w:t>
      </w:r>
      <w:r w:rsidR="00BA289C">
        <w:rPr>
          <w:kern w:val="22"/>
        </w:rPr>
        <w:t xml:space="preserve"> </w:t>
      </w:r>
      <w:r>
        <w:rPr>
          <w:rFonts w:eastAsia="Times New Roman" w:cstheme="minorHAnsi"/>
          <w:lang w:val="en-US" w:eastAsia="en-GB"/>
        </w:rPr>
        <w:t xml:space="preserve">It is anticipated </w:t>
      </w:r>
      <w:r w:rsidRPr="001A4F7B">
        <w:rPr>
          <w:rFonts w:eastAsia="Times New Roman" w:cstheme="minorHAnsi"/>
          <w:lang w:val="en-US" w:eastAsia="en-GB"/>
        </w:rPr>
        <w:t xml:space="preserve">there will be </w:t>
      </w:r>
      <w:r>
        <w:rPr>
          <w:rFonts w:eastAsia="Times New Roman" w:cstheme="minorHAnsi"/>
          <w:lang w:val="en-US" w:eastAsia="en-GB"/>
        </w:rPr>
        <w:t xml:space="preserve">some </w:t>
      </w:r>
      <w:r w:rsidRPr="001A4F7B">
        <w:rPr>
          <w:rFonts w:eastAsia="Times New Roman" w:cstheme="minorHAnsi"/>
          <w:lang w:val="en-US" w:eastAsia="en-GB"/>
        </w:rPr>
        <w:t xml:space="preserve">consistency </w:t>
      </w:r>
      <w:r>
        <w:rPr>
          <w:rFonts w:eastAsia="Times New Roman" w:cstheme="minorHAnsi"/>
          <w:lang w:val="en-US" w:eastAsia="en-GB"/>
        </w:rPr>
        <w:t>across</w:t>
      </w:r>
      <w:r w:rsidRPr="001A4F7B">
        <w:rPr>
          <w:rFonts w:eastAsia="Times New Roman" w:cstheme="minorHAnsi"/>
          <w:lang w:val="en-US" w:eastAsia="en-GB"/>
        </w:rPr>
        <w:t xml:space="preserve"> the indicators to ensure comparability of data over time and increased alignment with</w:t>
      </w:r>
      <w:r w:rsidR="002C3BEA">
        <w:rPr>
          <w:rFonts w:eastAsia="Times New Roman" w:cstheme="minorHAnsi"/>
          <w:lang w:val="en-US" w:eastAsia="en-GB"/>
        </w:rPr>
        <w:t xml:space="preserve"> </w:t>
      </w:r>
      <w:r w:rsidRPr="001A4F7B">
        <w:rPr>
          <w:rFonts w:eastAsia="Times New Roman" w:cstheme="minorHAnsi"/>
          <w:lang w:val="en-US" w:eastAsia="en-GB"/>
        </w:rPr>
        <w:t>the 2030 Sustainable Development Goals and Targets.</w:t>
      </w:r>
    </w:p>
    <w:p w14:paraId="5F26CEE0" w14:textId="77777777" w:rsidR="009C5C1E" w:rsidRDefault="009C5C1E" w:rsidP="00965133">
      <w:pPr>
        <w:spacing w:after="0" w:line="240" w:lineRule="auto"/>
        <w:rPr>
          <w:rFonts w:cstheme="minorHAnsi"/>
          <w:b/>
          <w:bCs/>
          <w:lang w:val="en-US"/>
        </w:rPr>
      </w:pPr>
    </w:p>
    <w:p w14:paraId="14A84F31" w14:textId="63CA3381" w:rsidR="001A4F7B" w:rsidRPr="001A4F7B" w:rsidRDefault="00383B2A" w:rsidP="00965133">
      <w:pPr>
        <w:spacing w:after="0" w:line="240" w:lineRule="auto"/>
        <w:rPr>
          <w:rFonts w:cstheme="minorHAnsi"/>
          <w:b/>
          <w:bCs/>
          <w:lang w:val="en-US"/>
        </w:rPr>
      </w:pPr>
      <w:r>
        <w:rPr>
          <w:rFonts w:cstheme="minorHAnsi"/>
          <w:b/>
          <w:bCs/>
          <w:lang w:val="en-US"/>
        </w:rPr>
        <w:t>G</w:t>
      </w:r>
      <w:r w:rsidR="001A4F7B" w:rsidRPr="001A4F7B">
        <w:rPr>
          <w:rFonts w:cstheme="minorHAnsi"/>
          <w:b/>
          <w:bCs/>
          <w:lang w:val="en-US"/>
        </w:rPr>
        <w:t xml:space="preserve">eneral Considerations </w:t>
      </w:r>
      <w:r w:rsidR="006C5C7C">
        <w:rPr>
          <w:rFonts w:cstheme="minorHAnsi"/>
          <w:b/>
        </w:rPr>
        <w:t>to support implementation of SP4</w:t>
      </w:r>
      <w:r w:rsidR="009B63BE">
        <w:rPr>
          <w:rFonts w:cstheme="minorHAnsi"/>
          <w:b/>
        </w:rPr>
        <w:t xml:space="preserve"> </w:t>
      </w:r>
      <w:r w:rsidR="001A4F7B" w:rsidRPr="001A4F7B">
        <w:rPr>
          <w:rFonts w:cstheme="minorHAnsi"/>
          <w:b/>
          <w:bCs/>
          <w:lang w:val="en-US"/>
        </w:rPr>
        <w:t xml:space="preserve"> </w:t>
      </w:r>
    </w:p>
    <w:p w14:paraId="04670B2A" w14:textId="77777777" w:rsidR="009C5C1E" w:rsidRDefault="009C5C1E" w:rsidP="003B3310">
      <w:pPr>
        <w:spacing w:after="0" w:line="240" w:lineRule="auto"/>
        <w:rPr>
          <w:rFonts w:eastAsia="Times New Roman" w:cstheme="minorHAnsi"/>
          <w:lang w:val="en-US" w:eastAsia="en-GB"/>
        </w:rPr>
      </w:pPr>
    </w:p>
    <w:p w14:paraId="3C4EE66B" w14:textId="6FA6DD20" w:rsidR="003B3310" w:rsidRPr="009C5C1E" w:rsidRDefault="00BA289C" w:rsidP="009C5C1E">
      <w:pPr>
        <w:spacing w:after="0" w:line="240" w:lineRule="auto"/>
        <w:rPr>
          <w:rFonts w:eastAsia="Times New Roman" w:cstheme="minorHAnsi"/>
          <w:lang w:val="en-US" w:eastAsia="en-GB"/>
        </w:rPr>
      </w:pPr>
      <w:r>
        <w:rPr>
          <w:rFonts w:eastAsia="Times New Roman" w:cstheme="minorHAnsi"/>
          <w:lang w:val="en-US" w:eastAsia="en-GB"/>
        </w:rPr>
        <w:t xml:space="preserve">Mapping of </w:t>
      </w:r>
      <w:r w:rsidR="008A56D9">
        <w:rPr>
          <w:rFonts w:eastAsia="Times New Roman" w:cstheme="minorHAnsi"/>
          <w:lang w:val="en-US" w:eastAsia="en-GB"/>
        </w:rPr>
        <w:t xml:space="preserve">the </w:t>
      </w:r>
      <w:r>
        <w:rPr>
          <w:rFonts w:eastAsia="Times New Roman" w:cstheme="minorHAnsi"/>
          <w:lang w:val="en-US" w:eastAsia="en-GB"/>
        </w:rPr>
        <w:t>new CBD</w:t>
      </w:r>
      <w:r w:rsidR="009B63BE">
        <w:rPr>
          <w:rFonts w:eastAsia="Times New Roman" w:cstheme="minorHAnsi"/>
          <w:lang w:val="en-US" w:eastAsia="en-GB"/>
        </w:rPr>
        <w:t xml:space="preserve"> </w:t>
      </w:r>
      <w:r w:rsidR="008A56D9">
        <w:rPr>
          <w:rFonts w:eastAsia="Times New Roman" w:cstheme="minorHAnsi"/>
          <w:lang w:val="en-US" w:eastAsia="en-GB"/>
        </w:rPr>
        <w:t xml:space="preserve">targets to the </w:t>
      </w:r>
      <w:r>
        <w:rPr>
          <w:rFonts w:eastAsia="Times New Roman" w:cstheme="minorHAnsi"/>
          <w:lang w:val="en-US" w:eastAsia="en-GB"/>
        </w:rPr>
        <w:t>Ramsar Goals and targets</w:t>
      </w:r>
      <w:r w:rsidR="008A56D9">
        <w:rPr>
          <w:rFonts w:eastAsia="Times New Roman" w:cstheme="minorHAnsi"/>
          <w:lang w:val="en-US" w:eastAsia="en-GB"/>
        </w:rPr>
        <w:t>, replacing the existing SP4 Annex 2 (which maps the strategic plan to the Aichi Biodiversity Targets, which will be replaced by the Global Biodiversity Framework), using a similar format.</w:t>
      </w:r>
      <w:r>
        <w:rPr>
          <w:rFonts w:eastAsia="Times New Roman" w:cstheme="minorHAnsi"/>
          <w:lang w:val="en-US" w:eastAsia="en-GB"/>
        </w:rPr>
        <w:t xml:space="preserve"> </w:t>
      </w:r>
      <w:r w:rsidR="003B3310">
        <w:rPr>
          <w:b/>
          <w:bCs/>
          <w:noProof/>
        </w:rPr>
        <w:br w:type="page"/>
      </w:r>
    </w:p>
    <w:p w14:paraId="2965D345" w14:textId="5F1A0749" w:rsidR="0081474F" w:rsidRPr="0081474F" w:rsidRDefault="00DC1D2F" w:rsidP="00965133">
      <w:pPr>
        <w:spacing w:after="0" w:line="240" w:lineRule="auto"/>
        <w:rPr>
          <w:rFonts w:cs="Arial"/>
          <w:b/>
          <w:bCs/>
        </w:rPr>
      </w:pPr>
      <w:r w:rsidRPr="0081474F">
        <w:rPr>
          <w:b/>
          <w:bCs/>
          <w:noProof/>
        </w:rPr>
        <w:lastRenderedPageBreak/>
        <w:t>ANNEX</w:t>
      </w:r>
      <w:r>
        <w:rPr>
          <w:b/>
          <w:bCs/>
          <w:noProof/>
        </w:rPr>
        <w:t xml:space="preserve"> </w:t>
      </w:r>
      <w:r w:rsidR="004E186D">
        <w:rPr>
          <w:b/>
          <w:bCs/>
          <w:noProof/>
        </w:rPr>
        <w:t>D</w:t>
      </w:r>
      <w:r w:rsidRPr="0081474F">
        <w:rPr>
          <w:b/>
          <w:bCs/>
          <w:noProof/>
        </w:rPr>
        <w:t>:</w:t>
      </w:r>
      <w:r w:rsidR="009B63BE">
        <w:rPr>
          <w:b/>
          <w:bCs/>
          <w:noProof/>
        </w:rPr>
        <w:t xml:space="preserve"> </w:t>
      </w:r>
      <w:r w:rsidRPr="0081474F">
        <w:rPr>
          <w:b/>
          <w:bCs/>
          <w:noProof/>
        </w:rPr>
        <w:t>N</w:t>
      </w:r>
      <w:r w:rsidRPr="0081474F">
        <w:rPr>
          <w:rFonts w:cs="Arial"/>
          <w:b/>
          <w:bCs/>
        </w:rPr>
        <w:t>EW APPROACH TO CEPA</w:t>
      </w:r>
    </w:p>
    <w:p w14:paraId="54B784F3" w14:textId="77777777" w:rsidR="003B3310" w:rsidRDefault="003B3310" w:rsidP="003B3310">
      <w:pPr>
        <w:spacing w:after="0" w:line="240" w:lineRule="auto"/>
        <w:rPr>
          <w:rFonts w:cs="Arial"/>
          <w:b/>
        </w:rPr>
      </w:pPr>
    </w:p>
    <w:p w14:paraId="1A3E0B44" w14:textId="766D287F" w:rsidR="0081474F" w:rsidRDefault="0081474F" w:rsidP="003B3310">
      <w:pPr>
        <w:spacing w:after="0" w:line="240" w:lineRule="auto"/>
        <w:rPr>
          <w:rFonts w:cs="Arial"/>
          <w:b/>
        </w:rPr>
      </w:pPr>
      <w:r>
        <w:rPr>
          <w:rFonts w:cs="Arial"/>
          <w:b/>
        </w:rPr>
        <w:t xml:space="preserve">Context </w:t>
      </w:r>
    </w:p>
    <w:p w14:paraId="7D15110D" w14:textId="77777777" w:rsidR="003B3310" w:rsidRPr="00965133" w:rsidRDefault="003B3310" w:rsidP="00965133">
      <w:pPr>
        <w:spacing w:after="0" w:line="240" w:lineRule="auto"/>
      </w:pPr>
    </w:p>
    <w:p w14:paraId="44DC01D2" w14:textId="2DBB14AE" w:rsidR="0081474F" w:rsidRDefault="0081474F" w:rsidP="003B3310">
      <w:pPr>
        <w:spacing w:after="0" w:line="240" w:lineRule="auto"/>
        <w:rPr>
          <w:rFonts w:cs="Arial"/>
        </w:rPr>
      </w:pPr>
      <w:r w:rsidRPr="0081474F">
        <w:rPr>
          <w:rFonts w:cs="Arial"/>
        </w:rPr>
        <w:t>In general, CEPA activities and CEPA elements should be integrated</w:t>
      </w:r>
      <w:r w:rsidRPr="0081474F">
        <w:rPr>
          <w:szCs w:val="24"/>
          <w:lang w:val="en-US"/>
        </w:rPr>
        <w:t xml:space="preserve"> in planning and activities of the Convention </w:t>
      </w:r>
      <w:r w:rsidRPr="0081474F">
        <w:rPr>
          <w:rFonts w:cs="Arial"/>
        </w:rPr>
        <w:t>(locally, nationally, internationally) where appropriate, with effort focused on a smaller number of high priority activities.</w:t>
      </w:r>
    </w:p>
    <w:p w14:paraId="50A7BF3A" w14:textId="77777777" w:rsidR="0081474F" w:rsidRPr="0081474F" w:rsidRDefault="0081474F" w:rsidP="003B3310">
      <w:pPr>
        <w:spacing w:after="0" w:line="240" w:lineRule="auto"/>
        <w:rPr>
          <w:rFonts w:cs="Arial"/>
        </w:rPr>
      </w:pPr>
    </w:p>
    <w:p w14:paraId="7E4622F5" w14:textId="59217FBD" w:rsidR="0081474F" w:rsidRDefault="0081474F" w:rsidP="003B3310">
      <w:pPr>
        <w:spacing w:after="0" w:line="240" w:lineRule="auto"/>
        <w:rPr>
          <w:rFonts w:cstheme="minorHAnsi"/>
          <w:b/>
        </w:rPr>
      </w:pPr>
      <w:r>
        <w:rPr>
          <w:rFonts w:eastAsia="Calibri" w:cstheme="minorHAnsi"/>
        </w:rPr>
        <w:t xml:space="preserve">The guidance below provides a pathway for </w:t>
      </w:r>
      <w:r w:rsidRPr="00854ED0">
        <w:rPr>
          <w:rFonts w:eastAsia="Calibri" w:cstheme="minorHAnsi"/>
        </w:rPr>
        <w:t xml:space="preserve">Contracting Parties to </w:t>
      </w:r>
      <w:r>
        <w:rPr>
          <w:rFonts w:eastAsia="Calibri" w:cstheme="minorHAnsi"/>
        </w:rPr>
        <w:t xml:space="preserve">work towards building this new approach to CEPA into </w:t>
      </w:r>
      <w:r w:rsidRPr="00854ED0">
        <w:rPr>
          <w:noProof/>
        </w:rPr>
        <w:t xml:space="preserve">their implementation of the </w:t>
      </w:r>
      <w:r>
        <w:rPr>
          <w:noProof/>
        </w:rPr>
        <w:t>C</w:t>
      </w:r>
      <w:r w:rsidRPr="00854ED0">
        <w:rPr>
          <w:noProof/>
        </w:rPr>
        <w:t>onvention</w:t>
      </w:r>
      <w:r>
        <w:rPr>
          <w:noProof/>
        </w:rPr>
        <w:t xml:space="preserve"> over </w:t>
      </w:r>
      <w:r>
        <w:rPr>
          <w:rFonts w:eastAsia="Calibri" w:cstheme="minorHAnsi"/>
        </w:rPr>
        <w:t>the next triennium.</w:t>
      </w:r>
    </w:p>
    <w:p w14:paraId="7D75DC76" w14:textId="226B6304" w:rsidR="0081474F" w:rsidRDefault="0081474F" w:rsidP="00965133">
      <w:pPr>
        <w:spacing w:after="0" w:line="240" w:lineRule="auto"/>
        <w:ind w:hanging="65"/>
        <w:rPr>
          <w:rFonts w:cs="Arial"/>
          <w:b/>
        </w:rPr>
      </w:pPr>
    </w:p>
    <w:p w14:paraId="0CC26281" w14:textId="7AC41337" w:rsidR="0081474F" w:rsidRDefault="0081474F" w:rsidP="00965133">
      <w:pPr>
        <w:spacing w:after="0" w:line="240" w:lineRule="auto"/>
        <w:rPr>
          <w:rFonts w:cs="Arial"/>
          <w:b/>
        </w:rPr>
      </w:pPr>
      <w:r>
        <w:rPr>
          <w:rFonts w:cs="Arial"/>
          <w:b/>
        </w:rPr>
        <w:t xml:space="preserve">General Considerations </w:t>
      </w:r>
      <w:r w:rsidR="006C5C7C">
        <w:rPr>
          <w:rFonts w:cstheme="minorHAnsi"/>
          <w:b/>
        </w:rPr>
        <w:t>to support implementation of SP4</w:t>
      </w:r>
    </w:p>
    <w:p w14:paraId="6D0A297C" w14:textId="77777777" w:rsidR="003B3310" w:rsidRDefault="003B3310" w:rsidP="003B3310">
      <w:pPr>
        <w:pStyle w:val="ListParagraph"/>
        <w:spacing w:after="0" w:line="240" w:lineRule="auto"/>
        <w:ind w:left="0"/>
        <w:rPr>
          <w:rFonts w:cs="Arial"/>
          <w:b/>
          <w:lang w:val="en-US"/>
        </w:rPr>
      </w:pPr>
    </w:p>
    <w:p w14:paraId="18B9AFDC" w14:textId="0E805A05" w:rsidR="0081474F" w:rsidRDefault="00C9469F" w:rsidP="003B3310">
      <w:pPr>
        <w:pStyle w:val="ListParagraph"/>
        <w:spacing w:after="0" w:line="240" w:lineRule="auto"/>
        <w:ind w:left="0"/>
        <w:rPr>
          <w:rFonts w:cs="Arial"/>
          <w:b/>
          <w:lang w:val="en-US"/>
        </w:rPr>
      </w:pPr>
      <w:r>
        <w:rPr>
          <w:rFonts w:cs="Arial"/>
          <w:b/>
          <w:lang w:val="en-US"/>
        </w:rPr>
        <w:t>S</w:t>
      </w:r>
      <w:r w:rsidR="0081474F">
        <w:rPr>
          <w:rFonts w:cs="Arial"/>
          <w:b/>
          <w:lang w:val="en-US"/>
        </w:rPr>
        <w:t>upport focal points, and build more networks and partnerships</w:t>
      </w:r>
    </w:p>
    <w:p w14:paraId="47031E11" w14:textId="049656F0" w:rsidR="00557B02" w:rsidRDefault="0081474F" w:rsidP="003B3310">
      <w:pPr>
        <w:pStyle w:val="ListParagraph"/>
        <w:spacing w:after="0" w:line="240" w:lineRule="auto"/>
        <w:ind w:left="0"/>
        <w:rPr>
          <w:rFonts w:cs="Times New Roman"/>
          <w:szCs w:val="24"/>
          <w:lang w:val="en-US"/>
        </w:rPr>
      </w:pPr>
      <w:r>
        <w:rPr>
          <w:szCs w:val="24"/>
          <w:lang w:val="en-US"/>
        </w:rPr>
        <w:t>National Focal Points and CEPA National Focal Points are important to ensure a coordinated and strategic national approach to Ramsar implementation.</w:t>
      </w:r>
      <w:r w:rsidR="009B63BE">
        <w:rPr>
          <w:szCs w:val="24"/>
          <w:lang w:val="en-US"/>
        </w:rPr>
        <w:t xml:space="preserve"> </w:t>
      </w:r>
      <w:r w:rsidR="00557B02">
        <w:rPr>
          <w:szCs w:val="24"/>
          <w:lang w:val="en-US"/>
        </w:rPr>
        <w:t>The CEPA Focal Points should be recognized as the key implementers of CEPA and should be provided with adequate tools and training opportunities</w:t>
      </w:r>
      <w:r w:rsidR="00FD19D7">
        <w:rPr>
          <w:szCs w:val="24"/>
          <w:lang w:val="en-US"/>
        </w:rPr>
        <w:t xml:space="preserve"> as appropriate</w:t>
      </w:r>
      <w:r w:rsidR="00557B02">
        <w:rPr>
          <w:szCs w:val="24"/>
          <w:lang w:val="en-US"/>
        </w:rPr>
        <w:t xml:space="preserve">. </w:t>
      </w:r>
    </w:p>
    <w:p w14:paraId="2535BBCF" w14:textId="77777777" w:rsidR="00557B02" w:rsidRDefault="00557B02" w:rsidP="003B3310">
      <w:pPr>
        <w:pStyle w:val="ListParagraph"/>
        <w:spacing w:after="0" w:line="240" w:lineRule="auto"/>
        <w:ind w:left="0"/>
        <w:rPr>
          <w:szCs w:val="24"/>
          <w:lang w:val="en-US"/>
        </w:rPr>
      </w:pPr>
    </w:p>
    <w:p w14:paraId="1972B889" w14:textId="79674237" w:rsidR="00557B02" w:rsidRPr="00557B02" w:rsidRDefault="0081474F" w:rsidP="003B3310">
      <w:pPr>
        <w:spacing w:after="0" w:line="240" w:lineRule="auto"/>
        <w:rPr>
          <w:rFonts w:cs="Arial"/>
          <w:lang w:val="en-US"/>
        </w:rPr>
      </w:pPr>
      <w:r>
        <w:rPr>
          <w:szCs w:val="24"/>
          <w:lang w:val="en-US"/>
        </w:rPr>
        <w:t xml:space="preserve">Contracting Parties should ensure that the Focal Points are informed about their responsibilities. </w:t>
      </w:r>
      <w:bookmarkStart w:id="1" w:name="_Hlk33614291"/>
      <w:r w:rsidR="00557B02" w:rsidRPr="00557B02">
        <w:rPr>
          <w:szCs w:val="24"/>
          <w:lang w:val="en-US"/>
        </w:rPr>
        <w:t xml:space="preserve">The Secretariat </w:t>
      </w:r>
      <w:r w:rsidR="00557B02">
        <w:rPr>
          <w:szCs w:val="24"/>
          <w:lang w:val="en-US"/>
        </w:rPr>
        <w:t xml:space="preserve">can </w:t>
      </w:r>
      <w:r w:rsidR="00557B02" w:rsidRPr="00557B02">
        <w:rPr>
          <w:szCs w:val="24"/>
          <w:lang w:val="en-US"/>
        </w:rPr>
        <w:t>provide advice and information to Contracting Parties, for example</w:t>
      </w:r>
      <w:r w:rsidR="00FD19D7">
        <w:rPr>
          <w:szCs w:val="24"/>
          <w:lang w:val="en-US"/>
        </w:rPr>
        <w:t>,</w:t>
      </w:r>
      <w:r w:rsidR="00557B02" w:rsidRPr="00557B02">
        <w:rPr>
          <w:szCs w:val="24"/>
          <w:lang w:val="en-US"/>
        </w:rPr>
        <w:t xml:space="preserve"> introduction materials about Ramsar CEPA work for new CEPA NFPs and CEPA NGO FPs and sharing good examples from other countries. </w:t>
      </w:r>
    </w:p>
    <w:p w14:paraId="5A93951B" w14:textId="611E2C6B" w:rsidR="00557B02" w:rsidRDefault="00557B02" w:rsidP="003B3310">
      <w:pPr>
        <w:pStyle w:val="ListParagraph"/>
        <w:spacing w:after="0" w:line="240" w:lineRule="auto"/>
        <w:ind w:left="0"/>
        <w:rPr>
          <w:szCs w:val="24"/>
          <w:lang w:val="en-US"/>
        </w:rPr>
      </w:pPr>
    </w:p>
    <w:bookmarkEnd w:id="1"/>
    <w:p w14:paraId="54A50E9F" w14:textId="0639BD67" w:rsidR="0081474F" w:rsidRDefault="0081474F" w:rsidP="003B3310">
      <w:pPr>
        <w:pStyle w:val="ListParagraph"/>
        <w:spacing w:after="0" w:line="240" w:lineRule="auto"/>
        <w:ind w:left="0"/>
        <w:rPr>
          <w:szCs w:val="24"/>
          <w:lang w:val="en-US"/>
        </w:rPr>
      </w:pPr>
      <w:r>
        <w:rPr>
          <w:szCs w:val="24"/>
          <w:lang w:val="en-US"/>
        </w:rPr>
        <w:t>Contracting Parties with similar CEPA needs</w:t>
      </w:r>
      <w:r w:rsidR="00C9469F">
        <w:rPr>
          <w:szCs w:val="24"/>
          <w:lang w:val="en-US"/>
        </w:rPr>
        <w:t xml:space="preserve"> are encouraged</w:t>
      </w:r>
      <w:r>
        <w:rPr>
          <w:szCs w:val="24"/>
          <w:lang w:val="en-US"/>
        </w:rPr>
        <w:t xml:space="preserve">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w:t>
      </w:r>
      <w:r w:rsidR="00FD19D7">
        <w:rPr>
          <w:szCs w:val="24"/>
          <w:lang w:val="en-US"/>
        </w:rPr>
        <w:t xml:space="preserve"> who are conducting similar work</w:t>
      </w:r>
      <w:r>
        <w:rPr>
          <w:szCs w:val="24"/>
          <w:lang w:val="en-US"/>
        </w:rPr>
        <w:t xml:space="preserve">. </w:t>
      </w:r>
    </w:p>
    <w:p w14:paraId="23B35C08" w14:textId="77777777" w:rsidR="00C9469F" w:rsidRDefault="00C9469F" w:rsidP="003B3310">
      <w:pPr>
        <w:pStyle w:val="ListParagraph"/>
        <w:spacing w:after="0" w:line="240" w:lineRule="auto"/>
        <w:ind w:left="0"/>
        <w:rPr>
          <w:szCs w:val="24"/>
          <w:lang w:val="en-US"/>
        </w:rPr>
      </w:pPr>
    </w:p>
    <w:p w14:paraId="2BC7FFFB" w14:textId="09098BA9" w:rsidR="0081474F" w:rsidRDefault="0081474F" w:rsidP="003B3310">
      <w:pPr>
        <w:pStyle w:val="ListParagraph"/>
        <w:spacing w:after="0" w:line="240" w:lineRule="auto"/>
        <w:ind w:left="0"/>
        <w:rPr>
          <w:szCs w:val="24"/>
          <w:lang w:val="en-US"/>
        </w:rPr>
      </w:pPr>
      <w:r>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40101CEF" w14:textId="217A0114" w:rsidR="00557B02" w:rsidRDefault="00557B02" w:rsidP="003B3310">
      <w:pPr>
        <w:pStyle w:val="ListParagraph"/>
        <w:spacing w:after="0" w:line="240" w:lineRule="auto"/>
        <w:ind w:left="0"/>
        <w:rPr>
          <w:szCs w:val="24"/>
          <w:lang w:val="en-US"/>
        </w:rPr>
      </w:pPr>
    </w:p>
    <w:p w14:paraId="608831AF" w14:textId="1691D961" w:rsidR="00CC13B9" w:rsidRPr="00CC13B9" w:rsidRDefault="00DA14D3" w:rsidP="003B3310">
      <w:pPr>
        <w:pStyle w:val="ListParagraph"/>
        <w:spacing w:after="0" w:line="240" w:lineRule="auto"/>
        <w:ind w:left="0"/>
        <w:rPr>
          <w:b/>
          <w:bCs/>
          <w:szCs w:val="24"/>
          <w:lang w:val="en-US"/>
        </w:rPr>
      </w:pPr>
      <w:r>
        <w:rPr>
          <w:b/>
          <w:bCs/>
          <w:szCs w:val="24"/>
          <w:lang w:val="en-US"/>
        </w:rPr>
        <w:t xml:space="preserve">Specific considerations to </w:t>
      </w:r>
      <w:r w:rsidR="008304BA">
        <w:rPr>
          <w:b/>
          <w:bCs/>
          <w:szCs w:val="24"/>
          <w:lang w:val="en-US"/>
        </w:rPr>
        <w:t xml:space="preserve">Contracting Parties can apply the new CEPA approach </w:t>
      </w:r>
      <w:r>
        <w:rPr>
          <w:b/>
          <w:bCs/>
          <w:szCs w:val="24"/>
          <w:lang w:val="en-US"/>
        </w:rPr>
        <w:t xml:space="preserve">to support </w:t>
      </w:r>
      <w:r w:rsidR="008304BA">
        <w:rPr>
          <w:b/>
          <w:bCs/>
          <w:szCs w:val="24"/>
          <w:lang w:val="en-US"/>
        </w:rPr>
        <w:t>implement</w:t>
      </w:r>
      <w:r>
        <w:rPr>
          <w:b/>
          <w:bCs/>
          <w:szCs w:val="24"/>
          <w:lang w:val="en-US"/>
        </w:rPr>
        <w:t xml:space="preserve">ation of the </w:t>
      </w:r>
      <w:r w:rsidR="008304BA">
        <w:rPr>
          <w:b/>
          <w:bCs/>
          <w:szCs w:val="24"/>
          <w:lang w:val="en-US"/>
        </w:rPr>
        <w:t>Strategic Plan</w:t>
      </w:r>
      <w:r w:rsidR="009B63BE">
        <w:rPr>
          <w:b/>
          <w:bCs/>
          <w:szCs w:val="24"/>
          <w:lang w:val="en-US"/>
        </w:rPr>
        <w:t xml:space="preserve"> </w:t>
      </w:r>
    </w:p>
    <w:p w14:paraId="039FE339" w14:textId="3B98B5F8" w:rsidR="00CC13B9" w:rsidRDefault="00CC13B9" w:rsidP="00557B0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7C030B" w14:paraId="32B60A37" w14:textId="77777777" w:rsidTr="00965133">
        <w:trPr>
          <w:tblHeader/>
        </w:trPr>
        <w:tc>
          <w:tcPr>
            <w:tcW w:w="3256" w:type="dxa"/>
          </w:tcPr>
          <w:p w14:paraId="2DD77F5E" w14:textId="2F40F110" w:rsidR="007C030B" w:rsidRPr="008329CC" w:rsidRDefault="00706943" w:rsidP="009C57A3">
            <w:pPr>
              <w:pStyle w:val="ListParagraph"/>
              <w:ind w:left="0"/>
              <w:rPr>
                <w:b/>
                <w:bCs/>
                <w:szCs w:val="24"/>
                <w:lang w:val="en-US"/>
              </w:rPr>
            </w:pPr>
            <w:r w:rsidRPr="008329CC">
              <w:rPr>
                <w:b/>
                <w:bCs/>
                <w:szCs w:val="24"/>
                <w:lang w:val="en-US"/>
              </w:rPr>
              <w:t xml:space="preserve">Goals and </w:t>
            </w:r>
            <w:r w:rsidR="007B2AA3" w:rsidRPr="008329CC">
              <w:rPr>
                <w:b/>
                <w:bCs/>
                <w:szCs w:val="24"/>
                <w:lang w:val="en-US"/>
              </w:rPr>
              <w:t xml:space="preserve">relevant </w:t>
            </w:r>
            <w:r w:rsidR="007C030B" w:rsidRPr="008329CC">
              <w:rPr>
                <w:b/>
                <w:bCs/>
                <w:szCs w:val="24"/>
                <w:lang w:val="en-US"/>
              </w:rPr>
              <w:t>Targets</w:t>
            </w:r>
          </w:p>
        </w:tc>
        <w:tc>
          <w:tcPr>
            <w:tcW w:w="5670" w:type="dxa"/>
          </w:tcPr>
          <w:p w14:paraId="3F3E0161" w14:textId="4F47C100" w:rsidR="007C030B" w:rsidRPr="008329CC" w:rsidRDefault="008304BA" w:rsidP="009C57A3">
            <w:pPr>
              <w:pStyle w:val="ListParagraph"/>
              <w:ind w:left="0"/>
              <w:rPr>
                <w:b/>
                <w:bCs/>
                <w:szCs w:val="24"/>
                <w:lang w:val="en-US"/>
              </w:rPr>
            </w:pPr>
            <w:r w:rsidRPr="008329CC">
              <w:rPr>
                <w:b/>
                <w:bCs/>
                <w:szCs w:val="24"/>
                <w:lang w:val="en-US"/>
              </w:rPr>
              <w:t xml:space="preserve">Implementing the new </w:t>
            </w:r>
            <w:r w:rsidR="007C030B" w:rsidRPr="008329CC">
              <w:rPr>
                <w:b/>
                <w:bCs/>
                <w:szCs w:val="24"/>
                <w:lang w:val="en-US"/>
              </w:rPr>
              <w:t xml:space="preserve">CEPA Approach </w:t>
            </w:r>
          </w:p>
        </w:tc>
      </w:tr>
      <w:tr w:rsidR="007C030B" w:rsidRPr="00DA14D3" w14:paraId="079263A7" w14:textId="77777777" w:rsidTr="00A57D24">
        <w:tc>
          <w:tcPr>
            <w:tcW w:w="8926" w:type="dxa"/>
            <w:gridSpan w:val="2"/>
          </w:tcPr>
          <w:p w14:paraId="51821CA9" w14:textId="4571DB28" w:rsidR="007C030B" w:rsidRPr="008329CC" w:rsidRDefault="007C030B" w:rsidP="009C57A3">
            <w:pPr>
              <w:rPr>
                <w:rFonts w:cstheme="minorHAnsi"/>
                <w:sz w:val="20"/>
                <w:szCs w:val="20"/>
                <w:lang w:val="en-US"/>
              </w:rPr>
            </w:pPr>
            <w:r w:rsidRPr="008329CC">
              <w:rPr>
                <w:rFonts w:cstheme="minorHAnsi"/>
                <w:b/>
                <w:sz w:val="20"/>
                <w:szCs w:val="20"/>
              </w:rPr>
              <w:t xml:space="preserve">Goal 1: Addressing the Drivers of Wetland Loss and Degradation </w:t>
            </w:r>
          </w:p>
        </w:tc>
      </w:tr>
      <w:tr w:rsidR="007C030B" w:rsidRPr="00DA14D3" w14:paraId="45B50EA8" w14:textId="77777777" w:rsidTr="00DA14D3">
        <w:tc>
          <w:tcPr>
            <w:tcW w:w="3256" w:type="dxa"/>
          </w:tcPr>
          <w:p w14:paraId="0CB2A2E5" w14:textId="5DCB5216" w:rsidR="007C030B" w:rsidRPr="008329CC" w:rsidRDefault="007C030B" w:rsidP="009C57A3">
            <w:pPr>
              <w:pStyle w:val="ListParagraph"/>
              <w:ind w:left="0"/>
              <w:rPr>
                <w:rFonts w:cstheme="minorHAnsi"/>
                <w:sz w:val="20"/>
                <w:szCs w:val="20"/>
                <w:lang w:val="en-US"/>
              </w:rPr>
            </w:pPr>
            <w:r w:rsidRPr="008329CC">
              <w:rPr>
                <w:rFonts w:cstheme="minorHAnsi"/>
                <w:sz w:val="20"/>
                <w:szCs w:val="20"/>
              </w:rPr>
              <w:t>1.</w:t>
            </w:r>
            <w:r w:rsidRPr="008329CC">
              <w:rPr>
                <w:rFonts w:cstheme="minorHAnsi"/>
                <w:b/>
                <w:bCs/>
                <w:sz w:val="20"/>
                <w:szCs w:val="20"/>
              </w:rPr>
              <w:t xml:space="preserve"> </w:t>
            </w:r>
            <w:r w:rsidRPr="008329CC">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14:paraId="3326305F" w14:textId="7EF89F9E" w:rsidR="007C030B" w:rsidRPr="008329CC" w:rsidRDefault="007C030B" w:rsidP="009C57A3">
            <w:pPr>
              <w:pStyle w:val="ListParagraph"/>
              <w:numPr>
                <w:ilvl w:val="0"/>
                <w:numId w:val="34"/>
              </w:numPr>
              <w:ind w:left="454" w:hanging="426"/>
              <w:rPr>
                <w:rFonts w:cstheme="minorHAnsi"/>
                <w:sz w:val="20"/>
                <w:szCs w:val="20"/>
              </w:rPr>
            </w:pPr>
            <w:r w:rsidRPr="008329CC">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14:paraId="3C87297D" w14:textId="3DC94E56" w:rsidR="007C030B" w:rsidRPr="008329CC" w:rsidRDefault="007C030B" w:rsidP="009C57A3">
            <w:pPr>
              <w:pStyle w:val="ListParagraph"/>
              <w:numPr>
                <w:ilvl w:val="0"/>
                <w:numId w:val="34"/>
              </w:numPr>
              <w:ind w:left="454" w:hanging="426"/>
              <w:rPr>
                <w:rFonts w:cstheme="minorHAnsi"/>
                <w:sz w:val="20"/>
                <w:szCs w:val="20"/>
              </w:rPr>
            </w:pPr>
            <w:r w:rsidRPr="008329CC">
              <w:rPr>
                <w:rFonts w:cstheme="minorHAnsi"/>
                <w:sz w:val="20"/>
                <w:szCs w:val="20"/>
              </w:rPr>
              <w:t>Contracting Parties to identify mechanisms for greater sectoral input to Ramsar and CEPA planning, including recognising the value, experience and resources of IOPs, NGOs, Contracting Parties and business partners in planning, resourcing, developing and implementing Ramsar CEPA messages and products</w:t>
            </w:r>
            <w:r w:rsidR="00DA14D3" w:rsidRPr="008329CC">
              <w:rPr>
                <w:rFonts w:cstheme="minorHAnsi"/>
                <w:sz w:val="20"/>
                <w:szCs w:val="20"/>
              </w:rPr>
              <w:t>.</w:t>
            </w:r>
          </w:p>
          <w:p w14:paraId="3C1FE689" w14:textId="4EA7A7D2" w:rsidR="00E10394" w:rsidRPr="008329CC" w:rsidRDefault="00E10394" w:rsidP="009C57A3">
            <w:pPr>
              <w:pStyle w:val="ListParagraph"/>
              <w:numPr>
                <w:ilvl w:val="0"/>
                <w:numId w:val="34"/>
              </w:numPr>
              <w:ind w:left="454" w:hanging="426"/>
              <w:rPr>
                <w:rFonts w:cstheme="minorHAnsi"/>
                <w:sz w:val="20"/>
                <w:szCs w:val="20"/>
                <w:lang w:val="en-US"/>
              </w:rPr>
            </w:pPr>
            <w:r w:rsidRPr="008329CC">
              <w:rPr>
                <w:sz w:val="20"/>
                <w:szCs w:val="20"/>
                <w:lang w:val="en-US"/>
              </w:rPr>
              <w:t xml:space="preserve">Contracting Parties should increase engagement with sectors that have impact on wetlands, consistent with priorities identified in the strategic plan at the national level. In </w:t>
            </w:r>
            <w:r w:rsidRPr="008329CC">
              <w:rPr>
                <w:sz w:val="20"/>
                <w:szCs w:val="20"/>
                <w:lang w:val="en-US"/>
              </w:rPr>
              <w:lastRenderedPageBreak/>
              <w:t>particular, messaging should be tailored to emphasize themes that matter to the target audience.</w:t>
            </w:r>
          </w:p>
        </w:tc>
      </w:tr>
      <w:tr w:rsidR="007C030B" w:rsidRPr="00DA14D3" w14:paraId="5E34873C" w14:textId="77777777" w:rsidTr="00DA14D3">
        <w:tc>
          <w:tcPr>
            <w:tcW w:w="3256" w:type="dxa"/>
          </w:tcPr>
          <w:p w14:paraId="4E00123B" w14:textId="6E20D263" w:rsidR="007C030B" w:rsidRPr="008329CC" w:rsidRDefault="007C030B" w:rsidP="009C57A3">
            <w:pPr>
              <w:pStyle w:val="ListParagraph"/>
              <w:ind w:left="0"/>
              <w:rPr>
                <w:rFonts w:cstheme="minorHAnsi"/>
                <w:sz w:val="20"/>
                <w:szCs w:val="20"/>
                <w:lang w:val="en-US"/>
              </w:rPr>
            </w:pPr>
            <w:r w:rsidRPr="008329CC">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14:paraId="73C83B0C" w14:textId="744D2DCF" w:rsidR="007C030B" w:rsidRPr="008329CC" w:rsidRDefault="007C030B" w:rsidP="009C57A3">
            <w:pPr>
              <w:pStyle w:val="ListParagraph"/>
              <w:numPr>
                <w:ilvl w:val="0"/>
                <w:numId w:val="31"/>
              </w:numPr>
              <w:ind w:left="454" w:hanging="284"/>
              <w:rPr>
                <w:rFonts w:cstheme="minorHAnsi"/>
                <w:sz w:val="20"/>
                <w:szCs w:val="20"/>
                <w:lang w:val="en-US"/>
              </w:rPr>
            </w:pPr>
            <w:r w:rsidRPr="008329CC">
              <w:rPr>
                <w:rFonts w:cstheme="minorHAnsi"/>
                <w:sz w:val="20"/>
                <w:szCs w:val="20"/>
              </w:rPr>
              <w:t xml:space="preserve">Contracting Parties to promote case studies of sustainable urban wetland management </w:t>
            </w:r>
            <w:r w:rsidR="00E10394" w:rsidRPr="008329CC">
              <w:rPr>
                <w:rFonts w:ascii="Calibri" w:hAnsi="Calibri"/>
                <w:sz w:val="20"/>
                <w:szCs w:val="20"/>
              </w:rPr>
              <w:t>including examples from Wetland City Accreditation</w:t>
            </w:r>
            <w:r w:rsidR="001844D5" w:rsidRPr="008329CC">
              <w:rPr>
                <w:rFonts w:ascii="Calibri" w:hAnsi="Calibri"/>
                <w:sz w:val="20"/>
                <w:szCs w:val="20"/>
              </w:rPr>
              <w:t>,</w:t>
            </w:r>
            <w:r w:rsidR="00E10394" w:rsidRPr="008329CC">
              <w:rPr>
                <w:rFonts w:ascii="Calibri" w:hAnsi="Calibri"/>
                <w:sz w:val="20"/>
                <w:szCs w:val="20"/>
              </w:rPr>
              <w:t xml:space="preserve"> and </w:t>
            </w:r>
            <w:r w:rsidR="001844D5" w:rsidRPr="008329CC">
              <w:rPr>
                <w:rFonts w:ascii="Calibri" w:hAnsi="Calibri"/>
                <w:sz w:val="20"/>
                <w:szCs w:val="20"/>
              </w:rPr>
              <w:t>undertake</w:t>
            </w:r>
            <w:r w:rsidR="009B63BE" w:rsidRPr="008329CC">
              <w:rPr>
                <w:rFonts w:ascii="Calibri" w:hAnsi="Calibri"/>
                <w:sz w:val="20"/>
                <w:szCs w:val="20"/>
              </w:rPr>
              <w:t xml:space="preserve"> </w:t>
            </w:r>
            <w:r w:rsidR="00E10394" w:rsidRPr="008329CC">
              <w:rPr>
                <w:rFonts w:ascii="Calibri" w:hAnsi="Calibri"/>
                <w:sz w:val="20"/>
                <w:szCs w:val="20"/>
              </w:rPr>
              <w:t>CEPA activities that engage stakeholders and promote wise use and management of their wetlands and their surroundings in a way that both water quality and water quantity are well considered.</w:t>
            </w:r>
          </w:p>
        </w:tc>
      </w:tr>
      <w:tr w:rsidR="007C030B" w:rsidRPr="00DA14D3" w14:paraId="534A48FC" w14:textId="77777777" w:rsidTr="00DA14D3">
        <w:tc>
          <w:tcPr>
            <w:tcW w:w="3256" w:type="dxa"/>
          </w:tcPr>
          <w:p w14:paraId="6B7730CD" w14:textId="77777777" w:rsidR="007C030B" w:rsidRPr="008329CC" w:rsidRDefault="007C030B" w:rsidP="009C57A3">
            <w:pPr>
              <w:rPr>
                <w:rFonts w:cstheme="minorHAnsi"/>
                <w:sz w:val="20"/>
                <w:szCs w:val="20"/>
                <w:lang w:eastAsia="en-AU"/>
              </w:rPr>
            </w:pPr>
            <w:r w:rsidRPr="008329CC">
              <w:rPr>
                <w:rFonts w:cstheme="minorHAnsi"/>
                <w:sz w:val="20"/>
                <w:szCs w:val="20"/>
              </w:rPr>
              <w:t>3. The public and private sectors have increased their efforts to apply guidelines and good practices for the wise use of water and wetlands</w:t>
            </w:r>
            <w:r w:rsidRPr="008329CC">
              <w:rPr>
                <w:rFonts w:cstheme="minorHAnsi"/>
                <w:sz w:val="20"/>
                <w:szCs w:val="20"/>
                <w:lang w:eastAsia="en-AU"/>
              </w:rPr>
              <w:t xml:space="preserve"> </w:t>
            </w:r>
          </w:p>
          <w:p w14:paraId="2035033B" w14:textId="77777777" w:rsidR="007C030B" w:rsidRPr="008329CC" w:rsidRDefault="007C030B" w:rsidP="009C57A3">
            <w:pPr>
              <w:pStyle w:val="ListParagraph"/>
              <w:ind w:left="0"/>
              <w:rPr>
                <w:rFonts w:cstheme="minorHAnsi"/>
                <w:sz w:val="20"/>
                <w:szCs w:val="20"/>
                <w:lang w:val="en-US"/>
              </w:rPr>
            </w:pPr>
          </w:p>
        </w:tc>
        <w:tc>
          <w:tcPr>
            <w:tcW w:w="5670" w:type="dxa"/>
          </w:tcPr>
          <w:p w14:paraId="58628831" w14:textId="2EF8DA80" w:rsidR="007C030B" w:rsidRPr="008329CC" w:rsidRDefault="007C030B" w:rsidP="009C57A3">
            <w:pPr>
              <w:pStyle w:val="ListParagraph"/>
              <w:numPr>
                <w:ilvl w:val="0"/>
                <w:numId w:val="30"/>
              </w:numPr>
              <w:ind w:left="454" w:hanging="284"/>
              <w:rPr>
                <w:rFonts w:cstheme="minorHAnsi"/>
                <w:sz w:val="20"/>
                <w:szCs w:val="20"/>
              </w:rPr>
            </w:pPr>
            <w:r w:rsidRPr="008329CC">
              <w:rPr>
                <w:rFonts w:cstheme="minorHAnsi"/>
                <w:sz w:val="20"/>
                <w:szCs w:val="20"/>
              </w:rPr>
              <w:t xml:space="preserve">Contracting Parties, to promote existing Convention guidance and share between CPs practical local guidance </w:t>
            </w:r>
            <w:r w:rsidR="00417A9E" w:rsidRPr="008329CC">
              <w:rPr>
                <w:rFonts w:ascii="Calibri" w:hAnsi="Calibri"/>
                <w:sz w:val="20"/>
                <w:szCs w:val="20"/>
              </w:rPr>
              <w:t>best practi</w:t>
            </w:r>
            <w:r w:rsidR="002C3BEA">
              <w:rPr>
                <w:rFonts w:ascii="Calibri" w:hAnsi="Calibri"/>
                <w:sz w:val="20"/>
                <w:szCs w:val="20"/>
              </w:rPr>
              <w:t>c</w:t>
            </w:r>
            <w:r w:rsidR="00417A9E" w:rsidRPr="008329CC">
              <w:rPr>
                <w:rFonts w:ascii="Calibri" w:hAnsi="Calibri"/>
                <w:sz w:val="20"/>
                <w:szCs w:val="20"/>
              </w:rPr>
              <w:t xml:space="preserve">es and case studies </w:t>
            </w:r>
            <w:r w:rsidRPr="008329CC">
              <w:rPr>
                <w:rFonts w:cstheme="minorHAnsi"/>
                <w:sz w:val="20"/>
                <w:szCs w:val="20"/>
              </w:rPr>
              <w:t xml:space="preserve">which may be more broadly relevant. </w:t>
            </w:r>
          </w:p>
          <w:p w14:paraId="2CC9C0A2" w14:textId="29FD4D1D" w:rsidR="007C030B" w:rsidRPr="008329CC" w:rsidRDefault="007C030B" w:rsidP="009C57A3">
            <w:pPr>
              <w:pStyle w:val="ListParagraph"/>
              <w:numPr>
                <w:ilvl w:val="0"/>
                <w:numId w:val="30"/>
              </w:numPr>
              <w:ind w:left="454" w:hanging="284"/>
              <w:rPr>
                <w:rFonts w:cstheme="minorHAnsi"/>
                <w:sz w:val="20"/>
                <w:szCs w:val="20"/>
                <w:lang w:val="en-US"/>
              </w:rPr>
            </w:pPr>
            <w:r w:rsidRPr="008329CC">
              <w:rPr>
                <w:rFonts w:cstheme="minorHAnsi"/>
                <w:sz w:val="20"/>
                <w:szCs w:val="20"/>
              </w:rPr>
              <w:t>Contracting Parties to share best practice case studies.</w:t>
            </w:r>
          </w:p>
        </w:tc>
      </w:tr>
      <w:tr w:rsidR="00E10394" w:rsidRPr="00DA14D3" w14:paraId="4859E754" w14:textId="77777777" w:rsidTr="00DA14D3">
        <w:tc>
          <w:tcPr>
            <w:tcW w:w="3256" w:type="dxa"/>
          </w:tcPr>
          <w:p w14:paraId="63DEE049" w14:textId="4FE35AA8" w:rsidR="00E10394" w:rsidRPr="008329CC" w:rsidRDefault="00E10394" w:rsidP="009C57A3">
            <w:pPr>
              <w:rPr>
                <w:sz w:val="20"/>
              </w:rPr>
            </w:pPr>
            <w:r w:rsidRPr="008329CC">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003B3310" w:rsidRPr="008329CC">
              <w:rPr>
                <w:rFonts w:cstheme="minorHAnsi"/>
                <w:sz w:val="20"/>
                <w:szCs w:val="20"/>
                <w:lang w:eastAsia="en-AU"/>
              </w:rPr>
              <w:t xml:space="preserve"> </w:t>
            </w:r>
          </w:p>
        </w:tc>
        <w:tc>
          <w:tcPr>
            <w:tcW w:w="5670" w:type="dxa"/>
          </w:tcPr>
          <w:p w14:paraId="784F2A35" w14:textId="6DA6124C" w:rsidR="00E10394" w:rsidRPr="008329CC" w:rsidRDefault="00E10394" w:rsidP="009C57A3">
            <w:pPr>
              <w:pStyle w:val="ListParagraph"/>
              <w:numPr>
                <w:ilvl w:val="0"/>
                <w:numId w:val="33"/>
              </w:numPr>
              <w:ind w:left="454" w:hanging="284"/>
              <w:rPr>
                <w:rFonts w:cstheme="minorHAnsi"/>
                <w:sz w:val="20"/>
                <w:szCs w:val="20"/>
                <w:lang w:val="en-US"/>
              </w:rPr>
            </w:pPr>
            <w:r w:rsidRPr="008329CC">
              <w:rPr>
                <w:rFonts w:ascii="Calibri" w:hAnsi="Calibri"/>
                <w:sz w:val="20"/>
                <w:szCs w:val="20"/>
              </w:rPr>
              <w:t>Contracting Parties,</w:t>
            </w:r>
            <w:bookmarkStart w:id="2" w:name="_GoBack"/>
            <w:bookmarkEnd w:id="2"/>
            <w:r w:rsidRPr="008329CC">
              <w:rPr>
                <w:rFonts w:ascii="Calibri" w:hAnsi="Calibri"/>
                <w:sz w:val="20"/>
                <w:szCs w:val="20"/>
              </w:rPr>
              <w:t xml:space="preserve"> to raise awareness of invasive alien species in wetland ecosystems through the development and dissemination of training and communication materials among the public and private sectors.</w:t>
            </w:r>
          </w:p>
        </w:tc>
      </w:tr>
      <w:tr w:rsidR="00E10394" w:rsidRPr="00DA14D3" w14:paraId="199B6AEC" w14:textId="77777777" w:rsidTr="00A57D24">
        <w:tc>
          <w:tcPr>
            <w:tcW w:w="8926" w:type="dxa"/>
            <w:gridSpan w:val="2"/>
          </w:tcPr>
          <w:p w14:paraId="3F3F3912" w14:textId="47F160C1" w:rsidR="00E10394" w:rsidRPr="008329CC" w:rsidRDefault="00E10394" w:rsidP="009C57A3">
            <w:pPr>
              <w:rPr>
                <w:rFonts w:cstheme="minorHAnsi"/>
                <w:sz w:val="20"/>
                <w:szCs w:val="20"/>
                <w:lang w:val="en-US"/>
              </w:rPr>
            </w:pPr>
            <w:r w:rsidRPr="008329CC">
              <w:rPr>
                <w:rFonts w:cstheme="minorHAnsi"/>
                <w:b/>
                <w:sz w:val="20"/>
                <w:szCs w:val="20"/>
              </w:rPr>
              <w:t>Goal 2:</w:t>
            </w:r>
            <w:r w:rsidRPr="008329CC">
              <w:rPr>
                <w:rFonts w:cstheme="minorHAnsi"/>
                <w:b/>
                <w:sz w:val="20"/>
                <w:szCs w:val="20"/>
              </w:rPr>
              <w:tab/>
              <w:t xml:space="preserve">Effectively Conserving and Managing the Ramsar Site Network </w:t>
            </w:r>
          </w:p>
        </w:tc>
      </w:tr>
      <w:tr w:rsidR="00E10394" w:rsidRPr="00DA14D3" w14:paraId="79DC5C80" w14:textId="77777777" w:rsidTr="00DA14D3">
        <w:tc>
          <w:tcPr>
            <w:tcW w:w="3256" w:type="dxa"/>
          </w:tcPr>
          <w:p w14:paraId="7A61B12E" w14:textId="1A072A37" w:rsidR="00E10394" w:rsidRPr="008329CC" w:rsidRDefault="00E10394" w:rsidP="009C57A3">
            <w:pPr>
              <w:pStyle w:val="ListParagraph"/>
              <w:ind w:left="0"/>
              <w:rPr>
                <w:rFonts w:cstheme="minorHAnsi"/>
                <w:sz w:val="20"/>
                <w:szCs w:val="20"/>
                <w:lang w:val="en-US"/>
              </w:rPr>
            </w:pPr>
            <w:r w:rsidRPr="008329CC">
              <w:rPr>
                <w:rFonts w:cstheme="minorHAnsi"/>
                <w:sz w:val="20"/>
                <w:szCs w:val="20"/>
              </w:rPr>
              <w:t>5. The ecological character of Ramsar sites is maintained or restored, through effective planning and integrated management.</w:t>
            </w:r>
          </w:p>
        </w:tc>
        <w:tc>
          <w:tcPr>
            <w:tcW w:w="5670" w:type="dxa"/>
          </w:tcPr>
          <w:p w14:paraId="51989593" w14:textId="77777777" w:rsidR="00E10394" w:rsidRPr="008329CC" w:rsidRDefault="00E10394" w:rsidP="009C57A3">
            <w:pPr>
              <w:pStyle w:val="ListParagraph"/>
              <w:numPr>
                <w:ilvl w:val="0"/>
                <w:numId w:val="32"/>
              </w:numPr>
              <w:ind w:left="454" w:hanging="284"/>
              <w:rPr>
                <w:rFonts w:cstheme="minorHAnsi"/>
                <w:sz w:val="20"/>
                <w:szCs w:val="20"/>
                <w:lang w:eastAsia="en-AU"/>
              </w:rPr>
            </w:pPr>
            <w:r w:rsidRPr="008329CC">
              <w:rPr>
                <w:rFonts w:cstheme="minorHAnsi"/>
                <w:sz w:val="20"/>
                <w:szCs w:val="20"/>
              </w:rPr>
              <w:t>Contracting Parties to integrate CEPA activities in all Ramsar site management plans and/or activity plans.</w:t>
            </w:r>
            <w:r w:rsidRPr="008329CC">
              <w:rPr>
                <w:rFonts w:cstheme="minorHAnsi"/>
                <w:sz w:val="20"/>
                <w:szCs w:val="20"/>
                <w:lang w:eastAsia="en-AU"/>
              </w:rPr>
              <w:t xml:space="preserve"> </w:t>
            </w:r>
          </w:p>
          <w:p w14:paraId="10D71C90" w14:textId="77777777" w:rsidR="00E10394" w:rsidRPr="008329CC" w:rsidRDefault="00E10394" w:rsidP="009C57A3">
            <w:pPr>
              <w:pStyle w:val="ListParagraph"/>
              <w:ind w:left="454" w:hanging="284"/>
              <w:rPr>
                <w:rFonts w:cstheme="minorHAnsi"/>
                <w:sz w:val="20"/>
                <w:szCs w:val="20"/>
                <w:lang w:val="en-US"/>
              </w:rPr>
            </w:pPr>
          </w:p>
        </w:tc>
      </w:tr>
      <w:tr w:rsidR="00E10394" w:rsidRPr="00DA14D3" w14:paraId="08F00BC9" w14:textId="77777777" w:rsidTr="00DA14D3">
        <w:tc>
          <w:tcPr>
            <w:tcW w:w="3256" w:type="dxa"/>
          </w:tcPr>
          <w:p w14:paraId="15D58F2B" w14:textId="5D6F4393" w:rsidR="00E10394" w:rsidRPr="008329CC" w:rsidRDefault="00E10394" w:rsidP="009C57A3">
            <w:pPr>
              <w:pStyle w:val="ListParagraph"/>
              <w:ind w:left="0"/>
              <w:rPr>
                <w:rFonts w:cstheme="minorHAnsi"/>
                <w:sz w:val="20"/>
                <w:szCs w:val="20"/>
                <w:lang w:val="en-US"/>
              </w:rPr>
            </w:pPr>
            <w:r w:rsidRPr="008329CC">
              <w:rPr>
                <w:rFonts w:cstheme="minorHAnsi"/>
                <w:sz w:val="20"/>
                <w:szCs w:val="20"/>
              </w:rPr>
              <w:t>7. Sites that are at risk of change of ecological character have threats addressed.</w:t>
            </w:r>
          </w:p>
        </w:tc>
        <w:tc>
          <w:tcPr>
            <w:tcW w:w="5670" w:type="dxa"/>
          </w:tcPr>
          <w:p w14:paraId="3CE2110E" w14:textId="6C64C689" w:rsidR="00E10394" w:rsidRPr="008329CC" w:rsidRDefault="00E10394" w:rsidP="009C57A3">
            <w:pPr>
              <w:pStyle w:val="ListParagraph"/>
              <w:numPr>
                <w:ilvl w:val="0"/>
                <w:numId w:val="32"/>
              </w:numPr>
              <w:ind w:left="454" w:hanging="284"/>
              <w:rPr>
                <w:rFonts w:cstheme="minorHAnsi"/>
                <w:sz w:val="20"/>
                <w:szCs w:val="20"/>
                <w:lang w:val="en-US"/>
              </w:rPr>
            </w:pPr>
            <w:r w:rsidRPr="008329CC">
              <w:rPr>
                <w:rFonts w:cstheme="minorHAnsi"/>
                <w:sz w:val="20"/>
                <w:szCs w:val="20"/>
              </w:rPr>
              <w:t xml:space="preserve">Contracting Parties to identify current and emerging threats, including the umbrella threat of climate change, and develop, and share between Parties, practical </w:t>
            </w:r>
            <w:r w:rsidR="00417A9E" w:rsidRPr="008329CC">
              <w:rPr>
                <w:rFonts w:cstheme="minorHAnsi"/>
                <w:sz w:val="20"/>
                <w:szCs w:val="20"/>
              </w:rPr>
              <w:t xml:space="preserve">CEPA </w:t>
            </w:r>
            <w:r w:rsidRPr="008329CC">
              <w:rPr>
                <w:rFonts w:cstheme="minorHAnsi"/>
                <w:sz w:val="20"/>
                <w:szCs w:val="20"/>
              </w:rPr>
              <w:t>tools and guidance for managing Ramsar sites and other wetlands in the long-term</w:t>
            </w:r>
          </w:p>
        </w:tc>
      </w:tr>
      <w:tr w:rsidR="00E10394" w:rsidRPr="00DA14D3" w14:paraId="10DD040B" w14:textId="77777777" w:rsidTr="00A57D24">
        <w:tc>
          <w:tcPr>
            <w:tcW w:w="8926" w:type="dxa"/>
            <w:gridSpan w:val="2"/>
          </w:tcPr>
          <w:p w14:paraId="452CF56C" w14:textId="0459B330" w:rsidR="00E10394" w:rsidRPr="008329CC" w:rsidRDefault="00E10394" w:rsidP="009C57A3">
            <w:pPr>
              <w:pStyle w:val="ListParagraph"/>
              <w:ind w:left="0"/>
              <w:rPr>
                <w:rFonts w:cstheme="minorHAnsi"/>
                <w:sz w:val="20"/>
                <w:szCs w:val="20"/>
                <w:lang w:val="en-US"/>
              </w:rPr>
            </w:pPr>
            <w:r w:rsidRPr="008329CC">
              <w:rPr>
                <w:rFonts w:cstheme="minorHAnsi"/>
                <w:b/>
                <w:sz w:val="20"/>
                <w:szCs w:val="20"/>
              </w:rPr>
              <w:t>Goal 3:</w:t>
            </w:r>
            <w:r w:rsidRPr="008329CC">
              <w:rPr>
                <w:rFonts w:cstheme="minorHAnsi"/>
                <w:b/>
                <w:sz w:val="20"/>
                <w:szCs w:val="20"/>
              </w:rPr>
              <w:tab/>
              <w:t>Wisely Using All Wetlands</w:t>
            </w:r>
          </w:p>
        </w:tc>
      </w:tr>
      <w:tr w:rsidR="00E10394" w:rsidRPr="00DA14D3" w14:paraId="03A27C80" w14:textId="77777777" w:rsidTr="00DA14D3">
        <w:tc>
          <w:tcPr>
            <w:tcW w:w="3256" w:type="dxa"/>
          </w:tcPr>
          <w:p w14:paraId="09F0C994" w14:textId="6019ADA1" w:rsidR="00E10394" w:rsidRPr="008329CC" w:rsidRDefault="00E10394" w:rsidP="009C57A3">
            <w:pPr>
              <w:rPr>
                <w:sz w:val="20"/>
              </w:rPr>
            </w:pPr>
            <w:r w:rsidRPr="008329CC">
              <w:rPr>
                <w:rFonts w:cstheme="minorHAnsi"/>
                <w:sz w:val="20"/>
                <w:szCs w:val="20"/>
              </w:rPr>
              <w:t>8. National wetland inventories have been initiated, completed or updated and disseminated and used for promoting the conservation and effective management of all wetlands.</w:t>
            </w:r>
          </w:p>
        </w:tc>
        <w:tc>
          <w:tcPr>
            <w:tcW w:w="5670" w:type="dxa"/>
          </w:tcPr>
          <w:p w14:paraId="7571F35A" w14:textId="2E51C563" w:rsidR="00417A9E" w:rsidRPr="008329CC" w:rsidRDefault="00417A9E" w:rsidP="009C57A3">
            <w:pPr>
              <w:pStyle w:val="ListParagraph"/>
              <w:numPr>
                <w:ilvl w:val="0"/>
                <w:numId w:val="32"/>
              </w:numPr>
              <w:ind w:left="454" w:hanging="284"/>
              <w:rPr>
                <w:rFonts w:cstheme="minorHAnsi"/>
                <w:sz w:val="20"/>
                <w:szCs w:val="20"/>
                <w:lang w:val="en-US"/>
              </w:rPr>
            </w:pPr>
            <w:r w:rsidRPr="008329CC">
              <w:rPr>
                <w:rFonts w:ascii="Calibri" w:hAnsi="Calibri"/>
                <w:sz w:val="20"/>
                <w:szCs w:val="20"/>
                <w:lang w:val="en-US"/>
              </w:rPr>
              <w:t>C</w:t>
            </w:r>
            <w:r w:rsidRPr="008329CC">
              <w:rPr>
                <w:rFonts w:ascii="Calibri" w:hAnsi="Calibri"/>
                <w:sz w:val="20"/>
                <w:szCs w:val="20"/>
                <w:lang w:val="uk-UA"/>
              </w:rPr>
              <w:t xml:space="preserve">ontracting </w:t>
            </w:r>
            <w:r w:rsidRPr="008329CC">
              <w:rPr>
                <w:rFonts w:ascii="Calibri" w:hAnsi="Calibri"/>
                <w:sz w:val="20"/>
                <w:szCs w:val="20"/>
                <w:lang w:val="en-US"/>
              </w:rPr>
              <w:t>P</w:t>
            </w:r>
            <w:r w:rsidRPr="008329CC">
              <w:rPr>
                <w:rFonts w:ascii="Calibri" w:hAnsi="Calibri"/>
                <w:sz w:val="20"/>
                <w:szCs w:val="20"/>
                <w:lang w:val="uk-UA"/>
              </w:rPr>
              <w:t xml:space="preserve">arties </w:t>
            </w:r>
            <w:r w:rsidRPr="008329CC">
              <w:rPr>
                <w:rFonts w:ascii="Calibri" w:hAnsi="Calibri"/>
                <w:sz w:val="20"/>
                <w:szCs w:val="20"/>
                <w:lang w:val="en-GB"/>
              </w:rPr>
              <w:t xml:space="preserve">communicate </w:t>
            </w:r>
            <w:r w:rsidRPr="008329CC">
              <w:rPr>
                <w:rFonts w:ascii="Calibri" w:hAnsi="Calibri"/>
                <w:sz w:val="20"/>
                <w:szCs w:val="20"/>
                <w:lang w:val="uk-UA"/>
              </w:rPr>
              <w:t>the results of</w:t>
            </w:r>
            <w:r w:rsidRPr="008329CC">
              <w:rPr>
                <w:rFonts w:ascii="Calibri" w:hAnsi="Calibri"/>
                <w:sz w:val="20"/>
                <w:szCs w:val="20"/>
                <w:lang w:val="en-US"/>
              </w:rPr>
              <w:t xml:space="preserve"> </w:t>
            </w:r>
            <w:r w:rsidRPr="008329CC">
              <w:rPr>
                <w:rFonts w:ascii="Calibri" w:hAnsi="Calibri"/>
                <w:sz w:val="20"/>
                <w:szCs w:val="20"/>
                <w:lang w:val="uk-UA"/>
              </w:rPr>
              <w:t xml:space="preserve">national </w:t>
            </w:r>
            <w:r w:rsidRPr="008329CC">
              <w:rPr>
                <w:rFonts w:ascii="Calibri" w:hAnsi="Calibri"/>
                <w:sz w:val="20"/>
                <w:szCs w:val="20"/>
              </w:rPr>
              <w:t>wetland inventories</w:t>
            </w:r>
            <w:r w:rsidRPr="008329CC">
              <w:rPr>
                <w:rFonts w:ascii="Calibri" w:hAnsi="Calibri"/>
                <w:sz w:val="20"/>
                <w:szCs w:val="20"/>
                <w:lang w:val="uk-UA"/>
              </w:rPr>
              <w:t xml:space="preserve"> </w:t>
            </w:r>
            <w:r w:rsidRPr="008329CC">
              <w:rPr>
                <w:rFonts w:ascii="Calibri" w:hAnsi="Calibri"/>
                <w:sz w:val="20"/>
                <w:szCs w:val="20"/>
              </w:rPr>
              <w:t>for promoting the conservation and effective management of all wetlands</w:t>
            </w:r>
            <w:r w:rsidRPr="008329CC">
              <w:rPr>
                <w:rFonts w:ascii="Calibri" w:hAnsi="Calibri"/>
                <w:sz w:val="20"/>
                <w:szCs w:val="20"/>
                <w:lang w:val="uk-UA"/>
              </w:rPr>
              <w:t>.</w:t>
            </w:r>
          </w:p>
        </w:tc>
      </w:tr>
      <w:tr w:rsidR="00E10394" w:rsidRPr="00DA14D3" w14:paraId="5F0B16B3" w14:textId="77777777" w:rsidTr="00DA14D3">
        <w:tc>
          <w:tcPr>
            <w:tcW w:w="3256" w:type="dxa"/>
          </w:tcPr>
          <w:p w14:paraId="0B8EDE2B" w14:textId="2A2E7729" w:rsidR="00E10394" w:rsidRPr="008329CC" w:rsidRDefault="00E10394" w:rsidP="009C57A3">
            <w:pPr>
              <w:pStyle w:val="ListParagraph"/>
              <w:ind w:left="0"/>
              <w:rPr>
                <w:rFonts w:cstheme="minorHAnsi"/>
                <w:sz w:val="20"/>
                <w:szCs w:val="20"/>
                <w:lang w:val="en-US"/>
              </w:rPr>
            </w:pPr>
            <w:r w:rsidRPr="008329CC">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14:paraId="02EDDCC9" w14:textId="36097167" w:rsidR="00E10394" w:rsidRPr="008329CC" w:rsidRDefault="00417A9E" w:rsidP="009C57A3">
            <w:pPr>
              <w:pStyle w:val="ListParagraph"/>
              <w:numPr>
                <w:ilvl w:val="0"/>
                <w:numId w:val="32"/>
              </w:numPr>
              <w:ind w:left="454" w:hanging="284"/>
              <w:rPr>
                <w:rFonts w:cstheme="minorHAnsi"/>
                <w:sz w:val="20"/>
                <w:szCs w:val="20"/>
                <w:lang w:val="en-US"/>
              </w:rPr>
            </w:pPr>
            <w:r w:rsidRPr="008329CC">
              <w:rPr>
                <w:rFonts w:ascii="Calibri" w:hAnsi="Calibri"/>
                <w:sz w:val="20"/>
                <w:szCs w:val="20"/>
              </w:rPr>
              <w:t>See Target 1 and Target 13.</w:t>
            </w:r>
          </w:p>
        </w:tc>
      </w:tr>
      <w:tr w:rsidR="00E10394" w:rsidRPr="00DA14D3" w14:paraId="05B28064" w14:textId="77777777" w:rsidTr="00DA14D3">
        <w:trPr>
          <w:trHeight w:val="3534"/>
        </w:trPr>
        <w:tc>
          <w:tcPr>
            <w:tcW w:w="3256" w:type="dxa"/>
          </w:tcPr>
          <w:p w14:paraId="4772C1F2" w14:textId="452F3B6E" w:rsidR="00E10394" w:rsidRPr="008329CC" w:rsidRDefault="00E10394" w:rsidP="009C57A3">
            <w:pPr>
              <w:rPr>
                <w:rFonts w:cstheme="minorHAnsi"/>
                <w:sz w:val="20"/>
                <w:szCs w:val="20"/>
                <w:lang w:val="en-US"/>
              </w:rPr>
            </w:pPr>
            <w:r w:rsidRPr="008329CC">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8329CC">
              <w:rPr>
                <w:rFonts w:cstheme="minorHAnsi"/>
                <w:sz w:val="20"/>
                <w:szCs w:val="20"/>
                <w:lang w:eastAsia="en-AU"/>
              </w:rPr>
              <w:t xml:space="preserve"> </w:t>
            </w:r>
          </w:p>
        </w:tc>
        <w:tc>
          <w:tcPr>
            <w:tcW w:w="5670" w:type="dxa"/>
          </w:tcPr>
          <w:p w14:paraId="3C4D43B6" w14:textId="404BD893" w:rsidR="00417A9E" w:rsidRPr="008329CC" w:rsidRDefault="00417A9E" w:rsidP="009C57A3">
            <w:pPr>
              <w:pStyle w:val="ListParagraph"/>
              <w:numPr>
                <w:ilvl w:val="0"/>
                <w:numId w:val="32"/>
              </w:numPr>
              <w:ind w:left="595" w:hanging="550"/>
              <w:rPr>
                <w:rFonts w:ascii="Calibri" w:hAnsi="Calibri"/>
                <w:sz w:val="20"/>
                <w:szCs w:val="20"/>
              </w:rPr>
            </w:pPr>
            <w:r w:rsidRPr="008329CC">
              <w:rPr>
                <w:rFonts w:ascii="Calibri" w:hAnsi="Calibri"/>
                <w:sz w:val="20"/>
                <w:szCs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w:t>
            </w:r>
            <w:r w:rsidRPr="008329CC">
              <w:rPr>
                <w:rFonts w:ascii="Calibri" w:hAnsi="Calibri"/>
                <w:sz w:val="20"/>
                <w:szCs w:val="20"/>
                <w:lang w:val="uk-UA"/>
              </w:rPr>
              <w:t xml:space="preserve"> </w:t>
            </w:r>
            <w:r w:rsidRPr="008329CC">
              <w:rPr>
                <w:rFonts w:ascii="Calibri" w:hAnsi="Calibri"/>
                <w:sz w:val="20"/>
                <w:szCs w:val="20"/>
                <w:lang w:val="en-US"/>
              </w:rPr>
              <w:t xml:space="preserve">at national </w:t>
            </w:r>
            <w:r w:rsidRPr="008329CC">
              <w:rPr>
                <w:sz w:val="20"/>
                <w:szCs w:val="20"/>
                <w:lang w:val="uk-UA"/>
              </w:rPr>
              <w:t>and local levels</w:t>
            </w:r>
            <w:r w:rsidRPr="008329CC">
              <w:rPr>
                <w:rFonts w:ascii="Calibri" w:hAnsi="Calibri"/>
                <w:sz w:val="20"/>
                <w:szCs w:val="20"/>
              </w:rPr>
              <w:t>.</w:t>
            </w:r>
          </w:p>
          <w:p w14:paraId="1887307E" w14:textId="77777777" w:rsidR="00E10394" w:rsidRPr="008329CC" w:rsidRDefault="00E10394" w:rsidP="009C57A3">
            <w:pPr>
              <w:pStyle w:val="ListParagraph"/>
              <w:ind w:left="595" w:hanging="550"/>
              <w:rPr>
                <w:rFonts w:cstheme="minorHAnsi"/>
                <w:sz w:val="20"/>
                <w:szCs w:val="20"/>
                <w:lang w:val="en-US"/>
              </w:rPr>
            </w:pPr>
          </w:p>
        </w:tc>
      </w:tr>
      <w:tr w:rsidR="00E10394" w:rsidRPr="00DA14D3" w14:paraId="64EEBFEE" w14:textId="77777777" w:rsidTr="00DA14D3">
        <w:tc>
          <w:tcPr>
            <w:tcW w:w="3256" w:type="dxa"/>
          </w:tcPr>
          <w:p w14:paraId="153947BF" w14:textId="77777777" w:rsidR="00E10394" w:rsidRPr="008329CC" w:rsidRDefault="00E10394" w:rsidP="009C57A3">
            <w:pPr>
              <w:rPr>
                <w:rFonts w:cstheme="minorHAnsi"/>
                <w:sz w:val="20"/>
                <w:szCs w:val="20"/>
              </w:rPr>
            </w:pPr>
            <w:r w:rsidRPr="008329CC">
              <w:rPr>
                <w:rFonts w:cstheme="minorHAnsi"/>
                <w:sz w:val="20"/>
                <w:szCs w:val="20"/>
              </w:rPr>
              <w:t>11. Wetland functions, services and benefits are widely demonstrated, documented and disseminated.</w:t>
            </w:r>
          </w:p>
          <w:p w14:paraId="2BF43D98" w14:textId="77777777" w:rsidR="00E10394" w:rsidRPr="008329CC" w:rsidRDefault="00E10394" w:rsidP="009C57A3">
            <w:pPr>
              <w:pStyle w:val="ListParagraph"/>
              <w:ind w:left="0"/>
              <w:rPr>
                <w:rFonts w:cstheme="minorHAnsi"/>
                <w:sz w:val="20"/>
                <w:szCs w:val="20"/>
                <w:lang w:val="en-US"/>
              </w:rPr>
            </w:pPr>
          </w:p>
        </w:tc>
        <w:tc>
          <w:tcPr>
            <w:tcW w:w="5670" w:type="dxa"/>
          </w:tcPr>
          <w:p w14:paraId="53EBABB6" w14:textId="4007BB36" w:rsidR="00E10394" w:rsidRPr="008329CC" w:rsidRDefault="00E10394" w:rsidP="009C57A3">
            <w:pPr>
              <w:pStyle w:val="ListParagraph"/>
              <w:numPr>
                <w:ilvl w:val="0"/>
                <w:numId w:val="32"/>
              </w:numPr>
              <w:ind w:left="595" w:hanging="550"/>
              <w:rPr>
                <w:rFonts w:cstheme="minorHAnsi"/>
                <w:sz w:val="20"/>
                <w:szCs w:val="20"/>
                <w:lang w:val="en-US"/>
              </w:rPr>
            </w:pPr>
            <w:r w:rsidRPr="008329CC">
              <w:rPr>
                <w:rFonts w:cstheme="minorHAnsi"/>
                <w:sz w:val="20"/>
                <w:szCs w:val="20"/>
              </w:rPr>
              <w:t>Contracting Parties to support Ramsar site managers to develop signage to communicate site values</w:t>
            </w:r>
          </w:p>
        </w:tc>
      </w:tr>
      <w:tr w:rsidR="00E10394" w:rsidRPr="00DA14D3" w14:paraId="27FCF528" w14:textId="77777777" w:rsidTr="00DA14D3">
        <w:tc>
          <w:tcPr>
            <w:tcW w:w="3256" w:type="dxa"/>
          </w:tcPr>
          <w:p w14:paraId="364603C6" w14:textId="5426E815" w:rsidR="00E10394" w:rsidRPr="008329CC" w:rsidRDefault="00E10394" w:rsidP="009C57A3">
            <w:pPr>
              <w:rPr>
                <w:sz w:val="20"/>
              </w:rPr>
            </w:pPr>
            <w:r w:rsidRPr="008329CC">
              <w:rPr>
                <w:rFonts w:cstheme="minorHAnsi"/>
                <w:sz w:val="20"/>
                <w:szCs w:val="20"/>
              </w:rPr>
              <w:t>13. Enhanced sustainability of key sectors such as water, energy, mining, agriculture, tourism, urban development, infrastructure, industry, forestry, aquaculture and fisheries, when they affect wetlands, contributing to biodiversity con</w:t>
            </w:r>
            <w:r w:rsidR="003B3310" w:rsidRPr="008329CC">
              <w:rPr>
                <w:rFonts w:cstheme="minorHAnsi"/>
                <w:sz w:val="20"/>
                <w:szCs w:val="20"/>
              </w:rPr>
              <w:t>servation and human livelihoods</w:t>
            </w:r>
          </w:p>
        </w:tc>
        <w:tc>
          <w:tcPr>
            <w:tcW w:w="5670" w:type="dxa"/>
          </w:tcPr>
          <w:p w14:paraId="370B9580" w14:textId="73A24B5D" w:rsidR="00E10394" w:rsidRPr="008329CC" w:rsidRDefault="00E10394" w:rsidP="009C57A3">
            <w:pPr>
              <w:pStyle w:val="ListParagraph"/>
              <w:numPr>
                <w:ilvl w:val="0"/>
                <w:numId w:val="32"/>
              </w:numPr>
              <w:ind w:left="595" w:hanging="550"/>
              <w:rPr>
                <w:rFonts w:cstheme="minorHAnsi"/>
                <w:sz w:val="20"/>
                <w:szCs w:val="20"/>
                <w:lang w:val="en-US"/>
              </w:rPr>
            </w:pPr>
            <w:r w:rsidRPr="008329CC">
              <w:rPr>
                <w:rFonts w:cstheme="minorHAnsi"/>
                <w:sz w:val="20"/>
                <w:szCs w:val="20"/>
              </w:rPr>
              <w:t>Contracting Parties to give priority to engaging sectoral decision-makers in integrating wetland values in their planning and decision-making.</w:t>
            </w:r>
            <w:r w:rsidR="009B63BE" w:rsidRPr="008329CC">
              <w:rPr>
                <w:rFonts w:cstheme="minorHAnsi"/>
                <w:sz w:val="20"/>
                <w:szCs w:val="20"/>
              </w:rPr>
              <w:t xml:space="preserve"> </w:t>
            </w:r>
          </w:p>
        </w:tc>
      </w:tr>
      <w:tr w:rsidR="00E10394" w:rsidRPr="00DA14D3" w14:paraId="46D19880" w14:textId="77777777" w:rsidTr="00A57D24">
        <w:tc>
          <w:tcPr>
            <w:tcW w:w="8926" w:type="dxa"/>
            <w:gridSpan w:val="2"/>
          </w:tcPr>
          <w:p w14:paraId="2D10F3BD" w14:textId="4B5BED01" w:rsidR="00E10394" w:rsidRPr="008329CC" w:rsidRDefault="00E10394" w:rsidP="009C57A3">
            <w:pPr>
              <w:rPr>
                <w:rFonts w:cstheme="minorHAnsi"/>
                <w:sz w:val="20"/>
                <w:szCs w:val="20"/>
                <w:lang w:val="en-US"/>
              </w:rPr>
            </w:pPr>
            <w:r w:rsidRPr="008329CC">
              <w:rPr>
                <w:rFonts w:cstheme="minorHAnsi"/>
                <w:b/>
                <w:sz w:val="20"/>
                <w:szCs w:val="20"/>
              </w:rPr>
              <w:t>Goal 4:</w:t>
            </w:r>
            <w:r w:rsidRPr="008329CC">
              <w:rPr>
                <w:rFonts w:cstheme="minorHAnsi"/>
                <w:b/>
                <w:sz w:val="20"/>
                <w:szCs w:val="20"/>
              </w:rPr>
              <w:tab/>
              <w:t xml:space="preserve">Enhancing Implementation </w:t>
            </w:r>
          </w:p>
        </w:tc>
      </w:tr>
      <w:tr w:rsidR="00E10394" w:rsidRPr="00DA14D3" w14:paraId="03BE9CDD" w14:textId="77777777" w:rsidTr="00DA14D3">
        <w:tc>
          <w:tcPr>
            <w:tcW w:w="3256" w:type="dxa"/>
          </w:tcPr>
          <w:p w14:paraId="71D44F06" w14:textId="638E54DE" w:rsidR="00E10394" w:rsidRPr="008329CC" w:rsidRDefault="00E10394" w:rsidP="009C57A3">
            <w:pPr>
              <w:pStyle w:val="ListParagraph"/>
              <w:ind w:left="0"/>
              <w:rPr>
                <w:rFonts w:cstheme="minorHAnsi"/>
                <w:sz w:val="20"/>
                <w:szCs w:val="20"/>
                <w:lang w:val="en-US"/>
              </w:rPr>
            </w:pPr>
            <w:r w:rsidRPr="008329CC">
              <w:rPr>
                <w:rFonts w:cstheme="minorHAnsi"/>
                <w:sz w:val="20"/>
                <w:szCs w:val="20"/>
              </w:rPr>
              <w:t>16. Wetlands conservation and wise use are mainstreamed through communication, capacity development, education, participation and awareness.</w:t>
            </w:r>
          </w:p>
        </w:tc>
        <w:tc>
          <w:tcPr>
            <w:tcW w:w="5670" w:type="dxa"/>
          </w:tcPr>
          <w:p w14:paraId="614B7729" w14:textId="384AAC3E" w:rsidR="00417A9E" w:rsidRPr="008329CC" w:rsidRDefault="00417A9E" w:rsidP="009C57A3">
            <w:pPr>
              <w:pStyle w:val="ListParagraph"/>
              <w:numPr>
                <w:ilvl w:val="0"/>
                <w:numId w:val="32"/>
              </w:numPr>
              <w:ind w:left="595" w:hanging="567"/>
              <w:rPr>
                <w:rFonts w:ascii="Calibri" w:hAnsi="Calibri"/>
                <w:sz w:val="20"/>
                <w:szCs w:val="20"/>
              </w:rPr>
            </w:pPr>
            <w:r w:rsidRPr="008329CC">
              <w:rPr>
                <w:rFonts w:ascii="Calibri" w:hAnsi="Calibri"/>
                <w:sz w:val="20"/>
                <w:szCs w:val="20"/>
              </w:rPr>
              <w:t>Contracting Parties to build on the effective CEPA activity and engagement achieved through for example World Wetlands Day, Ramsar Regional Initiatives and Wetland Education Centres.</w:t>
            </w:r>
          </w:p>
          <w:p w14:paraId="624ECAA3" w14:textId="1A80D5F5" w:rsidR="002300F3" w:rsidRPr="008329CC" w:rsidRDefault="002300F3" w:rsidP="009C57A3">
            <w:pPr>
              <w:pStyle w:val="ListParagraph"/>
              <w:numPr>
                <w:ilvl w:val="0"/>
                <w:numId w:val="32"/>
              </w:numPr>
              <w:ind w:left="595" w:hanging="567"/>
              <w:rPr>
                <w:rFonts w:ascii="Calibri" w:hAnsi="Calibri"/>
                <w:sz w:val="20"/>
                <w:szCs w:val="20"/>
              </w:rPr>
            </w:pPr>
            <w:r w:rsidRPr="008329CC">
              <w:rPr>
                <w:rFonts w:cstheme="minorHAnsi"/>
                <w:sz w:val="20"/>
                <w:szCs w:val="20"/>
              </w:rPr>
              <w:t xml:space="preserve">Contracting Parties </w:t>
            </w:r>
            <w:r w:rsidR="00417A9E" w:rsidRPr="008329CC">
              <w:rPr>
                <w:rFonts w:ascii="Calibri" w:hAnsi="Calibri"/>
                <w:sz w:val="20"/>
                <w:szCs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585D7902" w14:textId="3432118B" w:rsidR="00E10394" w:rsidRPr="008329CC" w:rsidRDefault="00E10394" w:rsidP="009C57A3">
            <w:pPr>
              <w:pStyle w:val="ListParagraph"/>
              <w:numPr>
                <w:ilvl w:val="0"/>
                <w:numId w:val="32"/>
              </w:numPr>
              <w:ind w:left="595" w:hanging="567"/>
              <w:rPr>
                <w:rFonts w:cstheme="minorHAnsi"/>
                <w:sz w:val="20"/>
                <w:szCs w:val="20"/>
              </w:rPr>
            </w:pPr>
            <w:r w:rsidRPr="008329CC">
              <w:rPr>
                <w:rFonts w:cstheme="minorHAnsi"/>
                <w:sz w:val="20"/>
                <w:szCs w:val="20"/>
              </w:rPr>
              <w:t>Contracting Parties to</w:t>
            </w:r>
            <w:r w:rsidR="009B63BE" w:rsidRPr="008329CC">
              <w:rPr>
                <w:rFonts w:cstheme="minorHAnsi"/>
                <w:sz w:val="20"/>
                <w:szCs w:val="20"/>
              </w:rPr>
              <w:t xml:space="preserve"> </w:t>
            </w:r>
            <w:r w:rsidRPr="008329CC">
              <w:rPr>
                <w:rFonts w:cstheme="minorHAnsi"/>
                <w:sz w:val="20"/>
                <w:szCs w:val="20"/>
              </w:rPr>
              <w:t xml:space="preserve">use various media channels which are appropriate for the purpose, such as social media to raise public awareness (and potentially lead to public concern and pressure on decision-makers) along with other approaches to engage sectoral decision-makers. </w:t>
            </w:r>
          </w:p>
          <w:p w14:paraId="78E881ED" w14:textId="7F7A90A1" w:rsidR="00E10394" w:rsidRPr="008329CC" w:rsidRDefault="00E10394" w:rsidP="009C57A3">
            <w:pPr>
              <w:pStyle w:val="ListParagraph"/>
              <w:numPr>
                <w:ilvl w:val="0"/>
                <w:numId w:val="32"/>
              </w:numPr>
              <w:ind w:left="595" w:hanging="567"/>
              <w:rPr>
                <w:rFonts w:cstheme="minorHAnsi"/>
                <w:sz w:val="20"/>
                <w:szCs w:val="20"/>
                <w:lang w:val="en-US"/>
              </w:rPr>
            </w:pPr>
            <w:r w:rsidRPr="008329CC">
              <w:rPr>
                <w:rFonts w:cstheme="minorHAnsi"/>
                <w:sz w:val="20"/>
                <w:szCs w:val="20"/>
              </w:rPr>
              <w:t>Contracting Parties to identify new communication avenues and opportunities to promote Ramsar goals.</w:t>
            </w:r>
          </w:p>
        </w:tc>
      </w:tr>
      <w:tr w:rsidR="00E10394" w:rsidRPr="00DA14D3" w14:paraId="6DECDFF4" w14:textId="77777777" w:rsidTr="00DA14D3">
        <w:tc>
          <w:tcPr>
            <w:tcW w:w="3256" w:type="dxa"/>
          </w:tcPr>
          <w:p w14:paraId="6B2AAE31" w14:textId="2592B7E1" w:rsidR="00E10394" w:rsidRPr="008329CC" w:rsidRDefault="00E10394" w:rsidP="009C57A3">
            <w:pPr>
              <w:pStyle w:val="ListParagraph"/>
              <w:ind w:left="0"/>
              <w:rPr>
                <w:rFonts w:cstheme="minorHAnsi"/>
                <w:sz w:val="20"/>
                <w:szCs w:val="20"/>
              </w:rPr>
            </w:pPr>
            <w:r w:rsidRPr="008329CC">
              <w:rPr>
                <w:rFonts w:cstheme="minorHAnsi"/>
                <w:sz w:val="20"/>
                <w:szCs w:val="20"/>
              </w:rPr>
              <w:t>18. International cooperation is strengthened at all levels, (</w:t>
            </w:r>
            <w:r w:rsidRPr="008329CC">
              <w:rPr>
                <w:rFonts w:cstheme="minorHAnsi"/>
                <w:i/>
                <w:iCs/>
                <w:sz w:val="20"/>
                <w:szCs w:val="20"/>
              </w:rPr>
              <w:t>locally, nationally, sub-regionally (for example RRIs), regionally and globally</w:t>
            </w:r>
            <w:r w:rsidRPr="008329CC">
              <w:rPr>
                <w:rFonts w:cstheme="minorHAnsi"/>
                <w:sz w:val="20"/>
                <w:szCs w:val="20"/>
              </w:rPr>
              <w:t>).</w:t>
            </w:r>
          </w:p>
        </w:tc>
        <w:tc>
          <w:tcPr>
            <w:tcW w:w="5670" w:type="dxa"/>
          </w:tcPr>
          <w:p w14:paraId="5A0C89E4" w14:textId="77777777" w:rsidR="00417A9E" w:rsidRPr="008329CC" w:rsidRDefault="00E10394" w:rsidP="009C57A3">
            <w:pPr>
              <w:pStyle w:val="ListParagraph"/>
              <w:numPr>
                <w:ilvl w:val="0"/>
                <w:numId w:val="32"/>
              </w:numPr>
              <w:ind w:left="595" w:hanging="567"/>
              <w:rPr>
                <w:rFonts w:cstheme="minorHAnsi"/>
                <w:sz w:val="20"/>
                <w:szCs w:val="20"/>
                <w:lang w:val="en-US"/>
              </w:rPr>
            </w:pPr>
            <w:r w:rsidRPr="008329CC">
              <w:rPr>
                <w:rFonts w:cstheme="minorHAnsi"/>
                <w:sz w:val="20"/>
                <w:szCs w:val="20"/>
                <w:lang w:val="en-US"/>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0D4D65D5" w14:textId="16804D3E" w:rsidR="00E10394" w:rsidRPr="008329CC" w:rsidRDefault="00417A9E" w:rsidP="009C57A3">
            <w:pPr>
              <w:pStyle w:val="ListParagraph"/>
              <w:numPr>
                <w:ilvl w:val="0"/>
                <w:numId w:val="32"/>
              </w:numPr>
              <w:ind w:left="595" w:hanging="567"/>
              <w:rPr>
                <w:rFonts w:cstheme="minorHAnsi"/>
                <w:sz w:val="20"/>
                <w:szCs w:val="20"/>
              </w:rPr>
            </w:pPr>
            <w:r w:rsidRPr="008329CC">
              <w:rPr>
                <w:sz w:val="20"/>
                <w:szCs w:val="20"/>
                <w:lang w:val="en-US"/>
              </w:rPr>
              <w:t>Contracting Parties should encourage their Ramsar NFPs to facilitate CEPA activities with their focal points for other MEAs</w:t>
            </w:r>
          </w:p>
          <w:p w14:paraId="7BBF7336" w14:textId="6E03D0D5" w:rsidR="00E10394" w:rsidRPr="008329CC" w:rsidRDefault="00E10394" w:rsidP="009C57A3">
            <w:pPr>
              <w:pStyle w:val="ListParagraph"/>
              <w:numPr>
                <w:ilvl w:val="0"/>
                <w:numId w:val="32"/>
              </w:numPr>
              <w:ind w:left="454" w:hanging="426"/>
              <w:rPr>
                <w:rFonts w:cstheme="minorHAnsi"/>
                <w:bCs/>
                <w:sz w:val="20"/>
                <w:szCs w:val="20"/>
                <w:lang w:val="en-US"/>
              </w:rPr>
            </w:pPr>
            <w:r w:rsidRPr="008329CC">
              <w:rPr>
                <w:rFonts w:cstheme="minorHAnsi"/>
                <w:sz w:val="20"/>
                <w:szCs w:val="20"/>
              </w:rPr>
              <w:t xml:space="preserve">Contracting Parties to ensure that CEPA aspects are </w:t>
            </w:r>
            <w:r w:rsidRPr="008329CC">
              <w:rPr>
                <w:rFonts w:cstheme="minorHAnsi"/>
                <w:sz w:val="20"/>
                <w:szCs w:val="20"/>
              </w:rPr>
              <w:lastRenderedPageBreak/>
              <w:t>considered when planning and developing all Resolutions, guidance materials, STRP products and other outcomes from the Ramsar Convention.</w:t>
            </w:r>
          </w:p>
          <w:p w14:paraId="5F6983A9" w14:textId="0763488D" w:rsidR="00E10394" w:rsidRPr="008329CC" w:rsidRDefault="00E10394" w:rsidP="009C57A3">
            <w:pPr>
              <w:pStyle w:val="ListParagraph"/>
              <w:numPr>
                <w:ilvl w:val="0"/>
                <w:numId w:val="32"/>
              </w:numPr>
              <w:ind w:left="454" w:hanging="426"/>
              <w:rPr>
                <w:rFonts w:cstheme="minorHAnsi"/>
                <w:sz w:val="20"/>
                <w:szCs w:val="20"/>
              </w:rPr>
            </w:pPr>
            <w:r w:rsidRPr="008329CC">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E10394" w:rsidRPr="00DA14D3" w14:paraId="5A220FA7" w14:textId="77777777" w:rsidTr="00DA14D3">
        <w:tc>
          <w:tcPr>
            <w:tcW w:w="3256" w:type="dxa"/>
          </w:tcPr>
          <w:p w14:paraId="42946EB3" w14:textId="4A8876CA" w:rsidR="00E10394" w:rsidRPr="008329CC" w:rsidRDefault="00E10394" w:rsidP="009C57A3">
            <w:pPr>
              <w:pStyle w:val="ListParagraph"/>
              <w:ind w:left="0"/>
              <w:rPr>
                <w:rFonts w:cstheme="minorHAnsi"/>
                <w:sz w:val="20"/>
                <w:szCs w:val="20"/>
                <w:lang w:val="en-US"/>
              </w:rPr>
            </w:pPr>
            <w:r w:rsidRPr="008329CC">
              <w:rPr>
                <w:rFonts w:cstheme="minorHAnsi"/>
                <w:sz w:val="20"/>
                <w:szCs w:val="20"/>
              </w:rPr>
              <w:lastRenderedPageBreak/>
              <w:t>19. Capacity building for implementation of the Convention and the 4th Ramsar Strategic Plan 2016 – 2024 is enhanced</w:t>
            </w:r>
          </w:p>
        </w:tc>
        <w:tc>
          <w:tcPr>
            <w:tcW w:w="5670" w:type="dxa"/>
          </w:tcPr>
          <w:p w14:paraId="3D346012" w14:textId="7FD7C48E" w:rsidR="00E10394" w:rsidRPr="008329CC" w:rsidRDefault="00E10394" w:rsidP="009C57A3">
            <w:pPr>
              <w:pStyle w:val="ListParagraph"/>
              <w:numPr>
                <w:ilvl w:val="0"/>
                <w:numId w:val="35"/>
              </w:numPr>
              <w:ind w:left="454" w:hanging="426"/>
              <w:rPr>
                <w:rFonts w:cstheme="minorHAnsi"/>
                <w:sz w:val="20"/>
                <w:szCs w:val="20"/>
              </w:rPr>
            </w:pPr>
            <w:r w:rsidRPr="008329CC">
              <w:rPr>
                <w:rFonts w:cstheme="minorHAnsi"/>
                <w:sz w:val="20"/>
                <w:szCs w:val="20"/>
              </w:rPr>
              <w:t>Contracting Parties to build an emphasis on capacity-building, to support people with a range of roles in wetland conservation and wise use.</w:t>
            </w:r>
            <w:r w:rsidR="009B63BE" w:rsidRPr="008329CC">
              <w:rPr>
                <w:rFonts w:cstheme="minorHAnsi"/>
                <w:sz w:val="20"/>
                <w:szCs w:val="20"/>
              </w:rPr>
              <w:t xml:space="preserve"> </w:t>
            </w:r>
            <w:r w:rsidRPr="008329CC">
              <w:rPr>
                <w:rFonts w:cstheme="minorHAnsi"/>
                <w:sz w:val="20"/>
                <w:szCs w:val="20"/>
              </w:rPr>
              <w:t>This would involve using the expertise of the Scientific and Technical Review Panel (STRP), communications and networking by the Secretariat, and sharing of experiences between Contracting Parties.</w:t>
            </w:r>
          </w:p>
          <w:p w14:paraId="1D565C6C" w14:textId="519BAA31" w:rsidR="00E10394" w:rsidRPr="008329CC" w:rsidRDefault="00E10394" w:rsidP="009C57A3">
            <w:pPr>
              <w:pStyle w:val="ListParagraph"/>
              <w:numPr>
                <w:ilvl w:val="0"/>
                <w:numId w:val="35"/>
              </w:numPr>
              <w:ind w:left="454" w:hanging="426"/>
              <w:rPr>
                <w:rFonts w:cstheme="minorHAnsi"/>
                <w:sz w:val="20"/>
                <w:szCs w:val="20"/>
              </w:rPr>
            </w:pPr>
            <w:r w:rsidRPr="008329CC">
              <w:rPr>
                <w:rFonts w:cstheme="minorHAnsi"/>
                <w:sz w:val="20"/>
                <w:szCs w:val="20"/>
              </w:rPr>
              <w:t>Contracting Parties to evaluate the reach and effectiveness of activities including CEPA, so that effective approaches are identified, shared and implemented</w:t>
            </w:r>
          </w:p>
          <w:p w14:paraId="5367AD81" w14:textId="5BDD058C" w:rsidR="00E10394" w:rsidRPr="008329CC" w:rsidRDefault="00E10394" w:rsidP="009C57A3">
            <w:pPr>
              <w:pStyle w:val="ListParagraph"/>
              <w:numPr>
                <w:ilvl w:val="0"/>
                <w:numId w:val="35"/>
              </w:numPr>
              <w:ind w:left="454" w:hanging="426"/>
              <w:rPr>
                <w:rFonts w:cstheme="minorHAnsi"/>
                <w:sz w:val="20"/>
                <w:szCs w:val="20"/>
                <w:lang w:val="en-US"/>
              </w:rPr>
            </w:pPr>
            <w:r w:rsidRPr="008329CC">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4C3A43B5" w14:textId="7244420E" w:rsidR="00753106" w:rsidRPr="00DA14D3" w:rsidRDefault="00753106" w:rsidP="00557B02">
      <w:pPr>
        <w:pStyle w:val="ListParagraph"/>
        <w:spacing w:after="0" w:line="240" w:lineRule="auto"/>
        <w:ind w:left="0"/>
        <w:rPr>
          <w:rFonts w:cstheme="minorHAnsi"/>
          <w:sz w:val="20"/>
          <w:szCs w:val="20"/>
          <w:lang w:val="en-US"/>
        </w:rPr>
      </w:pPr>
    </w:p>
    <w:p w14:paraId="27382250" w14:textId="77777777" w:rsidR="00753106" w:rsidRDefault="00753106" w:rsidP="00557B02">
      <w:pPr>
        <w:pStyle w:val="ListParagraph"/>
        <w:spacing w:after="0" w:line="240" w:lineRule="auto"/>
        <w:ind w:left="0"/>
        <w:rPr>
          <w:szCs w:val="24"/>
          <w:lang w:val="en-US"/>
        </w:rPr>
      </w:pPr>
    </w:p>
    <w:p w14:paraId="276C229B" w14:textId="77777777" w:rsidR="00557B02" w:rsidRPr="00557B02" w:rsidRDefault="00557B02" w:rsidP="00557B02">
      <w:pPr>
        <w:rPr>
          <w:rFonts w:cs="Arial"/>
          <w:b/>
          <w:bCs/>
          <w:lang w:val="en-US"/>
        </w:rPr>
      </w:pPr>
      <w:r w:rsidRPr="00557B02">
        <w:rPr>
          <w:rFonts w:cs="Arial"/>
          <w:b/>
          <w:bCs/>
          <w:lang w:val="en-US"/>
        </w:rPr>
        <w:t xml:space="preserve">Available Resources </w:t>
      </w:r>
    </w:p>
    <w:p w14:paraId="2F9E7530" w14:textId="139C6B3B" w:rsidR="004745C0" w:rsidRDefault="001844D5" w:rsidP="00557B02">
      <w:pPr>
        <w:pStyle w:val="ListParagraph"/>
        <w:spacing w:after="0" w:line="240" w:lineRule="auto"/>
        <w:ind w:left="0"/>
        <w:rPr>
          <w:szCs w:val="24"/>
          <w:lang w:val="en-US"/>
        </w:rPr>
      </w:pPr>
      <w:r>
        <w:rPr>
          <w:szCs w:val="24"/>
          <w:lang w:val="en-US"/>
        </w:rPr>
        <w:t>DRXI._</w:t>
      </w:r>
      <w:r w:rsidR="009B63BE">
        <w:rPr>
          <w:szCs w:val="24"/>
          <w:lang w:val="en-US"/>
        </w:rPr>
        <w:t xml:space="preserve"> </w:t>
      </w:r>
      <w:r>
        <w:rPr>
          <w:szCs w:val="24"/>
          <w:lang w:val="en-US"/>
        </w:rPr>
        <w:t>New Approach to CEPA</w:t>
      </w:r>
    </w:p>
    <w:p w14:paraId="1029AF48" w14:textId="01CECB6F" w:rsidR="00706943" w:rsidRDefault="00706943">
      <w:pPr>
        <w:rPr>
          <w:rFonts w:cs="Arial"/>
          <w:lang w:val="en-US"/>
        </w:rPr>
      </w:pPr>
      <w:r>
        <w:rPr>
          <w:rFonts w:cs="Arial"/>
          <w:lang w:val="en-US"/>
        </w:rPr>
        <w:br w:type="page"/>
      </w:r>
    </w:p>
    <w:p w14:paraId="4A8D013E" w14:textId="5E083661" w:rsidR="00854ED0" w:rsidRDefault="00DC1D2F" w:rsidP="00854ED0">
      <w:pPr>
        <w:suppressAutoHyphens/>
        <w:spacing w:after="0" w:line="240" w:lineRule="auto"/>
        <w:rPr>
          <w:rFonts w:cstheme="minorHAnsi"/>
          <w:b/>
        </w:rPr>
      </w:pPr>
      <w:r>
        <w:rPr>
          <w:rFonts w:cstheme="minorHAnsi"/>
          <w:b/>
        </w:rPr>
        <w:lastRenderedPageBreak/>
        <w:t xml:space="preserve">ANNEX </w:t>
      </w:r>
      <w:r w:rsidR="004E186D">
        <w:rPr>
          <w:rFonts w:cstheme="minorHAnsi"/>
          <w:b/>
        </w:rPr>
        <w:t>E</w:t>
      </w:r>
      <w:r>
        <w:rPr>
          <w:rFonts w:cstheme="minorHAnsi"/>
          <w:b/>
        </w:rPr>
        <w:t>:</w:t>
      </w:r>
      <w:r w:rsidR="009B63BE">
        <w:rPr>
          <w:rFonts w:cstheme="minorHAnsi"/>
          <w:b/>
        </w:rPr>
        <w:t xml:space="preserve"> </w:t>
      </w:r>
      <w:r>
        <w:rPr>
          <w:rFonts w:cstheme="minorHAnsi"/>
          <w:b/>
        </w:rPr>
        <w:t>GENDER CONSIDERATIONS AND THE RAMSAR CONVENTION</w:t>
      </w:r>
      <w:r w:rsidR="009B63BE">
        <w:rPr>
          <w:rFonts w:cstheme="minorHAnsi"/>
          <w:b/>
        </w:rPr>
        <w:t xml:space="preserve"> </w:t>
      </w:r>
      <w:r>
        <w:rPr>
          <w:rFonts w:cstheme="minorHAnsi"/>
          <w:b/>
        </w:rPr>
        <w:t xml:space="preserve"> </w:t>
      </w:r>
    </w:p>
    <w:p w14:paraId="3B4EAA12" w14:textId="77777777" w:rsidR="00854ED0" w:rsidRPr="00854ED0" w:rsidRDefault="00854ED0" w:rsidP="00854ED0">
      <w:pPr>
        <w:suppressAutoHyphens/>
        <w:spacing w:after="0" w:line="240" w:lineRule="auto"/>
        <w:rPr>
          <w:rFonts w:eastAsia="Calibri" w:cstheme="minorHAnsi"/>
          <w:b/>
          <w:bCs/>
        </w:rPr>
      </w:pPr>
    </w:p>
    <w:p w14:paraId="1CB1614E" w14:textId="68E0CCD6" w:rsidR="00854ED0" w:rsidRPr="00854ED0" w:rsidRDefault="00854ED0" w:rsidP="003B3310">
      <w:pPr>
        <w:pStyle w:val="paralevel1"/>
        <w:numPr>
          <w:ilvl w:val="0"/>
          <w:numId w:val="0"/>
        </w:numPr>
        <w:tabs>
          <w:tab w:val="left" w:pos="720"/>
        </w:tabs>
        <w:spacing w:after="0"/>
        <w:rPr>
          <w:rFonts w:asciiTheme="minorHAnsi" w:eastAsia="Calibri" w:hAnsiTheme="minorHAnsi" w:cstheme="minorHAnsi"/>
          <w:b/>
          <w:bCs/>
          <w:sz w:val="22"/>
          <w:szCs w:val="22"/>
        </w:rPr>
      </w:pPr>
      <w:r w:rsidRPr="00854ED0">
        <w:rPr>
          <w:rFonts w:asciiTheme="minorHAnsi" w:eastAsia="Calibri" w:hAnsiTheme="minorHAnsi" w:cstheme="minorHAnsi"/>
          <w:b/>
          <w:bCs/>
          <w:sz w:val="22"/>
          <w:szCs w:val="22"/>
        </w:rPr>
        <w:t>Context</w:t>
      </w:r>
      <w:r w:rsidR="004E186D">
        <w:rPr>
          <w:rFonts w:asciiTheme="minorHAnsi" w:eastAsia="Calibri" w:hAnsiTheme="minorHAnsi" w:cstheme="minorHAnsi"/>
          <w:b/>
          <w:bCs/>
          <w:sz w:val="22"/>
          <w:szCs w:val="22"/>
        </w:rPr>
        <w:t>:</w:t>
      </w:r>
      <w:r w:rsidRPr="00854ED0">
        <w:rPr>
          <w:rFonts w:asciiTheme="minorHAnsi" w:eastAsia="Calibri" w:hAnsiTheme="minorHAnsi" w:cstheme="minorHAnsi"/>
          <w:b/>
          <w:bCs/>
          <w:sz w:val="22"/>
          <w:szCs w:val="22"/>
        </w:rPr>
        <w:t xml:space="preserve"> </w:t>
      </w:r>
    </w:p>
    <w:p w14:paraId="16574309" w14:textId="40A1E533" w:rsidR="00CC0E71" w:rsidRDefault="00CC0E71" w:rsidP="003B3310">
      <w:pPr>
        <w:spacing w:after="0" w:line="240" w:lineRule="auto"/>
        <w:rPr>
          <w:rFonts w:cstheme="minorHAnsi"/>
          <w:bCs/>
        </w:rPr>
      </w:pPr>
      <w:r>
        <w:rPr>
          <w:rFonts w:cstheme="minorHAnsi"/>
          <w:bCs/>
        </w:rPr>
        <w:t>Women and men have different levels of access to and control over wetland resources</w:t>
      </w:r>
      <w:r w:rsidR="00102C55">
        <w:rPr>
          <w:rFonts w:cstheme="minorHAnsi"/>
          <w:bCs/>
        </w:rPr>
        <w:t xml:space="preserve">, knowledge </w:t>
      </w:r>
      <w:r>
        <w:rPr>
          <w:rFonts w:cstheme="minorHAnsi"/>
          <w:bCs/>
        </w:rPr>
        <w:t>and information about their conservation and wise use. This affects how wetlands are managed, as well as rights and customary uses of wetland products and services</w:t>
      </w:r>
      <w:r w:rsidR="00EB5BF3">
        <w:rPr>
          <w:rFonts w:cstheme="minorHAnsi"/>
          <w:bCs/>
        </w:rPr>
        <w:t>.</w:t>
      </w:r>
    </w:p>
    <w:p w14:paraId="7987C23C" w14:textId="77777777" w:rsidR="00CC0E71" w:rsidRDefault="00CC0E71" w:rsidP="003B3310">
      <w:pPr>
        <w:spacing w:after="0" w:line="240" w:lineRule="auto"/>
        <w:rPr>
          <w:rFonts w:cstheme="minorHAnsi"/>
          <w:bCs/>
        </w:rPr>
      </w:pPr>
    </w:p>
    <w:p w14:paraId="4717E9E7" w14:textId="6131D47F" w:rsidR="00A50DDB" w:rsidRDefault="00DC1D2F" w:rsidP="003B3310">
      <w:pPr>
        <w:spacing w:after="0" w:line="240" w:lineRule="auto"/>
        <w:rPr>
          <w:rFonts w:cstheme="minorHAnsi"/>
          <w:bCs/>
        </w:rPr>
      </w:pPr>
      <w:r>
        <w:rPr>
          <w:rFonts w:cstheme="minorHAnsi"/>
          <w:bCs/>
        </w:rPr>
        <w:t xml:space="preserve">Women’s roles and knowledge in wetlands management continue to be overlooked and under acknowledged, with social and cultural norms often reinforcing their unequal participation in decision-making. </w:t>
      </w:r>
      <w:r w:rsidR="00A50DDB">
        <w:rPr>
          <w:rFonts w:cstheme="minorHAnsi"/>
          <w:bCs/>
        </w:rPr>
        <w:t>W</w:t>
      </w:r>
      <w:r w:rsidR="00A50DDB">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EB5BF3">
        <w:rPr>
          <w:rFonts w:cstheme="minorHAnsi"/>
        </w:rPr>
        <w:t>.</w:t>
      </w:r>
    </w:p>
    <w:p w14:paraId="4B943082" w14:textId="79DC5D40" w:rsidR="00A50DDB" w:rsidRPr="003B3310" w:rsidRDefault="00A50DDB" w:rsidP="00965133">
      <w:pPr>
        <w:suppressAutoHyphens/>
        <w:spacing w:after="0" w:line="240" w:lineRule="auto"/>
        <w:rPr>
          <w:rFonts w:cstheme="minorHAnsi"/>
        </w:rPr>
      </w:pPr>
    </w:p>
    <w:p w14:paraId="4C2EB444" w14:textId="7C1B0DA9" w:rsidR="00A50DDB" w:rsidRDefault="001823A8" w:rsidP="003B3310">
      <w:pPr>
        <w:pStyle w:val="CommentText"/>
        <w:rPr>
          <w:rFonts w:cstheme="minorHAnsi"/>
          <w:sz w:val="22"/>
          <w:szCs w:val="22"/>
        </w:rPr>
      </w:pPr>
      <w:r w:rsidRPr="001823A8">
        <w:rPr>
          <w:rFonts w:cstheme="minorHAnsi"/>
          <w:color w:val="363A2F"/>
          <w:sz w:val="22"/>
          <w:szCs w:val="22"/>
        </w:rPr>
        <w:t>Resolution XIII.18 on </w:t>
      </w:r>
      <w:r w:rsidRPr="001823A8">
        <w:rPr>
          <w:rFonts w:cstheme="minorHAnsi"/>
          <w:i/>
          <w:iCs/>
          <w:color w:val="363A2F"/>
          <w:sz w:val="22"/>
          <w:szCs w:val="22"/>
        </w:rPr>
        <w:t>Gender and wetlands</w:t>
      </w:r>
      <w:r w:rsidRPr="001823A8">
        <w:rPr>
          <w:rFonts w:cstheme="minorHAnsi"/>
          <w:color w:val="363A2F"/>
          <w:sz w:val="22"/>
          <w:szCs w:val="22"/>
        </w:rPr>
        <w:t>, approved at the 13th meeting of the Conference of the Contracting Parties (COP13) in 2018, encourages Parties to mainstream a gender perspective in their implementation of the Convention, and request</w:t>
      </w:r>
      <w:r>
        <w:rPr>
          <w:rFonts w:cstheme="minorHAnsi"/>
          <w:color w:val="363A2F"/>
          <w:sz w:val="22"/>
          <w:szCs w:val="22"/>
        </w:rPr>
        <w:t>ed</w:t>
      </w:r>
      <w:r w:rsidRPr="001823A8">
        <w:rPr>
          <w:rFonts w:cstheme="minorHAnsi"/>
          <w:color w:val="363A2F"/>
          <w:sz w:val="22"/>
          <w:szCs w:val="22"/>
        </w:rPr>
        <w:t xml:space="preserve"> the production of guidance on the integration of gender issues in the implementation of the Convention</w:t>
      </w:r>
      <w:r w:rsidRPr="001823A8">
        <w:rPr>
          <w:rFonts w:cstheme="minorHAnsi"/>
          <w:i/>
          <w:iCs/>
          <w:color w:val="363A2F"/>
          <w:sz w:val="22"/>
          <w:szCs w:val="22"/>
        </w:rPr>
        <w:t>.</w:t>
      </w:r>
      <w:r w:rsidR="00A50DDB">
        <w:rPr>
          <w:rFonts w:cstheme="minorHAnsi"/>
          <w:i/>
          <w:iCs/>
          <w:color w:val="363A2F"/>
          <w:sz w:val="22"/>
          <w:szCs w:val="22"/>
        </w:rPr>
        <w:t xml:space="preserve"> </w:t>
      </w:r>
      <w:r w:rsidR="00A50DDB" w:rsidRPr="00DA7887">
        <w:rPr>
          <w:rFonts w:cstheme="minorHAnsi"/>
          <w:bCs/>
          <w:sz w:val="22"/>
          <w:szCs w:val="22"/>
        </w:rPr>
        <w:t xml:space="preserve">National Reports to COP 14 </w:t>
      </w:r>
      <w:r w:rsidR="00A50DDB">
        <w:rPr>
          <w:rFonts w:cstheme="minorHAnsi"/>
          <w:bCs/>
          <w:sz w:val="22"/>
          <w:szCs w:val="22"/>
        </w:rPr>
        <w:t xml:space="preserve">also </w:t>
      </w:r>
      <w:r w:rsidR="00A50DDB" w:rsidRPr="00DA7887">
        <w:rPr>
          <w:rFonts w:cstheme="minorHAnsi"/>
          <w:bCs/>
          <w:sz w:val="22"/>
          <w:szCs w:val="22"/>
        </w:rPr>
        <w:t>include</w:t>
      </w:r>
      <w:r w:rsidR="00A50DDB">
        <w:rPr>
          <w:rFonts w:cstheme="minorHAnsi"/>
          <w:bCs/>
          <w:sz w:val="22"/>
          <w:szCs w:val="22"/>
        </w:rPr>
        <w:t>d for the first time</w:t>
      </w:r>
      <w:r w:rsidR="009B63BE">
        <w:rPr>
          <w:rFonts w:cstheme="minorHAnsi"/>
          <w:bCs/>
          <w:sz w:val="22"/>
          <w:szCs w:val="22"/>
        </w:rPr>
        <w:t xml:space="preserve"> </w:t>
      </w:r>
      <w:r w:rsidR="00A50DDB" w:rsidRPr="00DA7887">
        <w:rPr>
          <w:rFonts w:cstheme="minorHAnsi"/>
          <w:bCs/>
          <w:sz w:val="22"/>
          <w:szCs w:val="22"/>
        </w:rPr>
        <w:t>information from</w:t>
      </w:r>
      <w:r w:rsidR="00A50DDB" w:rsidRPr="00DA7887">
        <w:rPr>
          <w:rFonts w:cstheme="minorHAnsi"/>
          <w:sz w:val="22"/>
          <w:szCs w:val="22"/>
        </w:rPr>
        <w:t xml:space="preserve"> Contracting Parties on </w:t>
      </w:r>
      <w:r w:rsidR="00A50DDB">
        <w:rPr>
          <w:rFonts w:cstheme="minorHAnsi"/>
          <w:sz w:val="22"/>
          <w:szCs w:val="22"/>
        </w:rPr>
        <w:t>gender balance</w:t>
      </w:r>
      <w:r w:rsidR="00A50DDB" w:rsidRPr="00DA7887">
        <w:rPr>
          <w:rFonts w:cstheme="minorHAnsi"/>
          <w:sz w:val="22"/>
          <w:szCs w:val="22"/>
        </w:rPr>
        <w:t xml:space="preserve"> in wetland-related </w:t>
      </w:r>
      <w:r w:rsidR="00A50DDB">
        <w:rPr>
          <w:rFonts w:cstheme="minorHAnsi"/>
          <w:sz w:val="22"/>
          <w:szCs w:val="22"/>
        </w:rPr>
        <w:t>activities</w:t>
      </w:r>
      <w:r w:rsidR="00A50DDB" w:rsidRPr="00DA7887">
        <w:rPr>
          <w:rFonts w:cstheme="minorHAnsi"/>
          <w:sz w:val="22"/>
          <w:szCs w:val="22"/>
        </w:rPr>
        <w:t xml:space="preserve">. </w:t>
      </w:r>
    </w:p>
    <w:p w14:paraId="16BB9963" w14:textId="77777777" w:rsidR="00A50DDB" w:rsidRDefault="00A50DDB" w:rsidP="003B3310">
      <w:pPr>
        <w:pStyle w:val="CommentText"/>
        <w:rPr>
          <w:rFonts w:eastAsia="Calibri" w:cstheme="minorHAnsi"/>
          <w:sz w:val="22"/>
          <w:szCs w:val="22"/>
        </w:rPr>
      </w:pPr>
    </w:p>
    <w:p w14:paraId="3740555E" w14:textId="34E81836" w:rsidR="006C5C7C" w:rsidRPr="00DA7887" w:rsidRDefault="008B3A80" w:rsidP="003B3310">
      <w:pPr>
        <w:pStyle w:val="CommentText"/>
        <w:rPr>
          <w:rFonts w:cstheme="minorHAnsi"/>
          <w:sz w:val="22"/>
          <w:szCs w:val="22"/>
        </w:rPr>
      </w:pPr>
      <w:r>
        <w:rPr>
          <w:rFonts w:eastAsia="Calibri" w:cstheme="minorHAnsi"/>
          <w:sz w:val="22"/>
          <w:szCs w:val="22"/>
        </w:rPr>
        <w:t xml:space="preserve">Ramsar Guidance on Mainstreaming Gender has </w:t>
      </w:r>
      <w:r w:rsidR="001823A8">
        <w:rPr>
          <w:rFonts w:eastAsia="Calibri" w:cstheme="minorHAnsi"/>
          <w:sz w:val="22"/>
          <w:szCs w:val="22"/>
        </w:rPr>
        <w:t xml:space="preserve">now </w:t>
      </w:r>
      <w:r>
        <w:rPr>
          <w:rFonts w:eastAsia="Calibri" w:cstheme="minorHAnsi"/>
          <w:sz w:val="22"/>
          <w:szCs w:val="22"/>
        </w:rPr>
        <w:t>been published to</w:t>
      </w:r>
      <w:r w:rsidR="001823A8">
        <w:rPr>
          <w:rFonts w:eastAsia="Calibri" w:cstheme="minorHAnsi"/>
          <w:sz w:val="22"/>
          <w:szCs w:val="22"/>
        </w:rPr>
        <w:t xml:space="preserve"> </w:t>
      </w:r>
      <w:r w:rsidRPr="00C07C71">
        <w:rPr>
          <w:rFonts w:eastAsia="Times New Roman" w:cstheme="minorHAnsi"/>
          <w:color w:val="363A2F"/>
          <w:sz w:val="21"/>
          <w:szCs w:val="21"/>
          <w:lang w:eastAsia="en-AU"/>
        </w:rPr>
        <w:t>provide a series of key operational and practical entry points to enhance the mainstreaming of gender equality under the Convention</w:t>
      </w:r>
      <w:r w:rsidR="001823A8">
        <w:rPr>
          <w:rFonts w:eastAsia="Times New Roman" w:cstheme="minorHAnsi"/>
          <w:color w:val="363A2F"/>
          <w:sz w:val="21"/>
          <w:szCs w:val="21"/>
          <w:lang w:eastAsia="en-AU"/>
        </w:rPr>
        <w:t>.</w:t>
      </w:r>
      <w:r w:rsidR="009B63BE">
        <w:rPr>
          <w:rFonts w:eastAsia="Times New Roman" w:cstheme="minorHAnsi"/>
          <w:color w:val="363A2F"/>
          <w:sz w:val="21"/>
          <w:szCs w:val="21"/>
          <w:lang w:eastAsia="en-AU"/>
        </w:rPr>
        <w:t xml:space="preserve"> </w:t>
      </w:r>
      <w:r w:rsidR="00854ED0">
        <w:rPr>
          <w:rFonts w:eastAsia="Calibri" w:cstheme="minorHAnsi"/>
          <w:sz w:val="22"/>
          <w:szCs w:val="22"/>
        </w:rPr>
        <w:t xml:space="preserve">The guidance below provides a pathway for </w:t>
      </w:r>
      <w:r w:rsidR="00854ED0" w:rsidRPr="00854ED0">
        <w:rPr>
          <w:rFonts w:eastAsia="Calibri" w:cstheme="minorHAnsi"/>
          <w:sz w:val="22"/>
          <w:szCs w:val="22"/>
        </w:rPr>
        <w:t xml:space="preserve">Contracting Parties seeking to </w:t>
      </w:r>
      <w:r w:rsidR="00854ED0" w:rsidRPr="00854ED0">
        <w:rPr>
          <w:noProof/>
          <w:sz w:val="22"/>
          <w:szCs w:val="22"/>
        </w:rPr>
        <w:t xml:space="preserve">meaningfully integrate gender considerations into implementation of the </w:t>
      </w:r>
      <w:r w:rsidR="00854ED0">
        <w:rPr>
          <w:noProof/>
          <w:sz w:val="22"/>
          <w:szCs w:val="22"/>
        </w:rPr>
        <w:t>C</w:t>
      </w:r>
      <w:r w:rsidR="00854ED0" w:rsidRPr="00854ED0">
        <w:rPr>
          <w:noProof/>
          <w:sz w:val="22"/>
          <w:szCs w:val="22"/>
        </w:rPr>
        <w:t>onvention</w:t>
      </w:r>
      <w:r w:rsidR="00383B2A">
        <w:rPr>
          <w:noProof/>
          <w:sz w:val="22"/>
          <w:szCs w:val="22"/>
        </w:rPr>
        <w:t>.</w:t>
      </w:r>
      <w:r w:rsidR="00DA7887">
        <w:rPr>
          <w:noProof/>
          <w:sz w:val="22"/>
          <w:szCs w:val="22"/>
        </w:rPr>
        <w:t xml:space="preserve"> </w:t>
      </w:r>
    </w:p>
    <w:p w14:paraId="264B939A" w14:textId="77777777" w:rsidR="001823A8" w:rsidRDefault="001823A8" w:rsidP="00965133">
      <w:pPr>
        <w:shd w:val="clear" w:color="auto" w:fill="FAFAFA"/>
        <w:spacing w:after="0" w:line="240" w:lineRule="auto"/>
        <w:rPr>
          <w:rFonts w:ascii="Verdana" w:eastAsia="Times New Roman" w:hAnsi="Verdana" w:cs="Times New Roman"/>
          <w:color w:val="363A2F"/>
          <w:sz w:val="21"/>
          <w:szCs w:val="21"/>
          <w:lang w:eastAsia="en-AU"/>
        </w:rPr>
      </w:pPr>
    </w:p>
    <w:p w14:paraId="7DC13F4B" w14:textId="12BC9D07" w:rsidR="00854ED0" w:rsidRDefault="00854ED0" w:rsidP="003B3310">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General considerations </w:t>
      </w:r>
      <w:r w:rsidR="006C5C7C">
        <w:rPr>
          <w:rFonts w:asciiTheme="minorHAnsi" w:eastAsiaTheme="minorHAnsi" w:hAnsiTheme="minorHAnsi" w:cstheme="minorHAnsi"/>
          <w:b/>
          <w:sz w:val="22"/>
          <w:szCs w:val="22"/>
        </w:rPr>
        <w:t>to support implementation of SP4</w:t>
      </w:r>
      <w:r w:rsidR="004E186D">
        <w:rPr>
          <w:rFonts w:asciiTheme="minorHAnsi" w:eastAsiaTheme="minorHAnsi" w:hAnsiTheme="minorHAnsi" w:cstheme="minorHAnsi"/>
          <w:b/>
          <w:sz w:val="22"/>
          <w:szCs w:val="22"/>
        </w:rPr>
        <w:t>:</w:t>
      </w:r>
      <w:r w:rsidR="006C5C7C">
        <w:rPr>
          <w:rFonts w:asciiTheme="minorHAnsi" w:eastAsiaTheme="minorHAnsi" w:hAnsiTheme="minorHAnsi" w:cstheme="minorHAnsi"/>
          <w:b/>
          <w:sz w:val="22"/>
          <w:szCs w:val="22"/>
        </w:rPr>
        <w:t xml:space="preserve"> </w:t>
      </w:r>
    </w:p>
    <w:p w14:paraId="7A7C20FF" w14:textId="46F5A75C" w:rsidR="001823A8" w:rsidRDefault="00383B2A" w:rsidP="00965133">
      <w:pPr>
        <w:pStyle w:val="ListParagraph"/>
        <w:spacing w:after="0" w:line="240" w:lineRule="auto"/>
        <w:ind w:left="0"/>
        <w:rPr>
          <w:rFonts w:cstheme="minorHAnsi"/>
        </w:rPr>
      </w:pPr>
      <w:r>
        <w:rPr>
          <w:rFonts w:cstheme="minorHAnsi"/>
        </w:rPr>
        <w:t>Contracting Parties are encouraged to implement the Strategic Plan at national and regional levels by developing national wetlands policies, strategies, action plans, projects and programmes.</w:t>
      </w:r>
      <w:r w:rsidR="009B63BE">
        <w:rPr>
          <w:rFonts w:cstheme="minorHAnsi"/>
        </w:rPr>
        <w:t xml:space="preserve"> </w:t>
      </w:r>
    </w:p>
    <w:p w14:paraId="4778F57D" w14:textId="77777777" w:rsidR="001823A8" w:rsidRDefault="001823A8" w:rsidP="00965133">
      <w:pPr>
        <w:pStyle w:val="ListParagraph"/>
        <w:spacing w:after="0" w:line="240" w:lineRule="auto"/>
        <w:ind w:left="0"/>
        <w:rPr>
          <w:rFonts w:cstheme="minorHAnsi"/>
        </w:rPr>
      </w:pPr>
    </w:p>
    <w:p w14:paraId="2A9A069B" w14:textId="592242CC" w:rsidR="00383B2A" w:rsidRDefault="00383B2A" w:rsidP="00965133">
      <w:pPr>
        <w:pStyle w:val="ListParagraph"/>
        <w:spacing w:after="0" w:line="240" w:lineRule="auto"/>
        <w:ind w:left="0"/>
        <w:rPr>
          <w:rFonts w:cstheme="minorHAnsi"/>
        </w:rPr>
      </w:pPr>
      <w:r>
        <w:rPr>
          <w:rFonts w:cstheme="minorHAnsi"/>
        </w:rPr>
        <w:t xml:space="preserve">These instruments should </w:t>
      </w:r>
      <w:r w:rsidR="006C5C7C">
        <w:rPr>
          <w:rFonts w:cstheme="minorHAnsi"/>
        </w:rPr>
        <w:t>intrinsically consider gender-responsive, human rights-based, and intersectional approaches t</w:t>
      </w:r>
      <w:r>
        <w:rPr>
          <w:rFonts w:cstheme="minorHAnsi"/>
        </w:rPr>
        <w:t>o promote conservation and wise use of wetlands</w:t>
      </w:r>
      <w:r w:rsidR="001823A8">
        <w:rPr>
          <w:rFonts w:cstheme="minorHAnsi"/>
        </w:rPr>
        <w:t xml:space="preserve"> to ensure:</w:t>
      </w:r>
      <w:r w:rsidR="009B63BE">
        <w:rPr>
          <w:rFonts w:cstheme="minorHAnsi"/>
        </w:rPr>
        <w:t xml:space="preserve"> </w:t>
      </w:r>
    </w:p>
    <w:p w14:paraId="38BF949E" w14:textId="28B53369" w:rsidR="001823A8" w:rsidRDefault="001823A8" w:rsidP="00965133">
      <w:pPr>
        <w:pStyle w:val="ListParagraph"/>
        <w:spacing w:after="0" w:line="240" w:lineRule="auto"/>
        <w:ind w:left="0"/>
        <w:rPr>
          <w:rFonts w:cstheme="minorHAnsi"/>
        </w:rPr>
      </w:pPr>
    </w:p>
    <w:p w14:paraId="549BC8D1" w14:textId="167DC5CC" w:rsidR="001823A8" w:rsidRDefault="001823A8" w:rsidP="003B3310">
      <w:pPr>
        <w:pStyle w:val="ListParagraph"/>
        <w:numPr>
          <w:ilvl w:val="0"/>
          <w:numId w:val="17"/>
        </w:numPr>
        <w:suppressAutoHyphens/>
        <w:spacing w:after="0" w:line="240" w:lineRule="auto"/>
        <w:ind w:left="284" w:hanging="284"/>
        <w:contextualSpacing w:val="0"/>
        <w:rPr>
          <w:rFonts w:cstheme="minorHAnsi"/>
        </w:rPr>
      </w:pPr>
      <w:r>
        <w:rPr>
          <w:rFonts w:cstheme="minorHAnsi"/>
        </w:rPr>
        <w:t>people-centred governance that respects women in all their diversity and those living in margins of development through full access and control of valuable assets, including land ownership, rights, and economic autonomy.</w:t>
      </w:r>
    </w:p>
    <w:p w14:paraId="64586984" w14:textId="77777777" w:rsidR="001823A8" w:rsidRDefault="001823A8" w:rsidP="00965133">
      <w:pPr>
        <w:pStyle w:val="ListParagraph"/>
        <w:spacing w:after="0" w:line="240" w:lineRule="auto"/>
        <w:ind w:left="284" w:hanging="284"/>
        <w:rPr>
          <w:rFonts w:cstheme="minorHAnsi"/>
        </w:rPr>
      </w:pPr>
    </w:p>
    <w:p w14:paraId="578BA089" w14:textId="126965CD" w:rsidR="00A50DDB" w:rsidRDefault="001823A8" w:rsidP="003B3310">
      <w:pPr>
        <w:pStyle w:val="ListParagraph"/>
        <w:numPr>
          <w:ilvl w:val="0"/>
          <w:numId w:val="17"/>
        </w:numPr>
        <w:suppressAutoHyphens/>
        <w:spacing w:after="0" w:line="240" w:lineRule="auto"/>
        <w:ind w:left="284" w:hanging="284"/>
        <w:contextualSpacing w:val="0"/>
        <w:rPr>
          <w:rFonts w:cstheme="minorHAnsi"/>
        </w:rPr>
      </w:pPr>
      <w:r w:rsidRPr="00A50DDB">
        <w:rPr>
          <w:rFonts w:cstheme="minorHAnsi"/>
        </w:rPr>
        <w:t>Secure equal access to and control of natural resources for women and young women to manage and protect their livelihoods.</w:t>
      </w:r>
      <w:r w:rsidR="009B63BE">
        <w:rPr>
          <w:rFonts w:cstheme="minorHAnsi"/>
        </w:rPr>
        <w:t xml:space="preserve"> </w:t>
      </w:r>
    </w:p>
    <w:p w14:paraId="229A9145" w14:textId="77777777" w:rsidR="00A50DDB" w:rsidRPr="00A50DDB" w:rsidRDefault="00A50DDB" w:rsidP="00965133">
      <w:pPr>
        <w:pStyle w:val="ListParagraph"/>
        <w:spacing w:after="0" w:line="240" w:lineRule="auto"/>
        <w:rPr>
          <w:rFonts w:cstheme="minorHAnsi"/>
        </w:rPr>
      </w:pPr>
    </w:p>
    <w:p w14:paraId="36AC2E86" w14:textId="652E37AE" w:rsidR="001823A8" w:rsidRPr="00A50DDB" w:rsidRDefault="001823A8" w:rsidP="003B3310">
      <w:pPr>
        <w:pStyle w:val="ListParagraph"/>
        <w:numPr>
          <w:ilvl w:val="0"/>
          <w:numId w:val="17"/>
        </w:numPr>
        <w:suppressAutoHyphens/>
        <w:spacing w:after="0" w:line="240" w:lineRule="auto"/>
        <w:ind w:left="284" w:hanging="284"/>
        <w:contextualSpacing w:val="0"/>
        <w:rPr>
          <w:rFonts w:cstheme="minorHAnsi"/>
        </w:rPr>
      </w:pPr>
      <w:r w:rsidRPr="00A50DDB">
        <w:rPr>
          <w:rFonts w:cstheme="minorHAnsi"/>
        </w:rPr>
        <w:t>Recognize women and young women as decision-makers and leaders, participating in decision-making processes at all levels in the wise use and conservation of wetlands</w:t>
      </w:r>
      <w:r w:rsidR="00A50DDB">
        <w:rPr>
          <w:rFonts w:cstheme="minorHAnsi"/>
        </w:rPr>
        <w:t>.</w:t>
      </w:r>
    </w:p>
    <w:p w14:paraId="0CBB6A65" w14:textId="1A09E9D6" w:rsidR="00102C55" w:rsidRDefault="00102C55">
      <w:pPr>
        <w:rPr>
          <w:rFonts w:cstheme="minorHAnsi"/>
        </w:rPr>
      </w:pPr>
      <w:r>
        <w:rPr>
          <w:rFonts w:cstheme="minorHAnsi"/>
        </w:rPr>
        <w:br w:type="page"/>
      </w:r>
    </w:p>
    <w:p w14:paraId="0A6093E5" w14:textId="7C5147AA" w:rsidR="00A50DDB" w:rsidRDefault="00706943" w:rsidP="00706943">
      <w:pPr>
        <w:pStyle w:val="ListParagraph"/>
        <w:spacing w:after="0" w:line="240" w:lineRule="auto"/>
        <w:ind w:left="0"/>
        <w:rPr>
          <w:b/>
          <w:bCs/>
          <w:szCs w:val="24"/>
          <w:lang w:val="en-US"/>
        </w:rPr>
      </w:pPr>
      <w:r>
        <w:rPr>
          <w:b/>
          <w:bCs/>
          <w:szCs w:val="24"/>
          <w:lang w:val="en-US"/>
        </w:rPr>
        <w:lastRenderedPageBreak/>
        <w:t xml:space="preserve">Building gender considerations into the </w:t>
      </w:r>
      <w:r w:rsidRPr="00CC13B9">
        <w:rPr>
          <w:b/>
          <w:bCs/>
          <w:szCs w:val="24"/>
          <w:lang w:val="en-US"/>
        </w:rPr>
        <w:t>Strategic Plan</w:t>
      </w:r>
      <w:r>
        <w:rPr>
          <w:b/>
          <w:bCs/>
          <w:szCs w:val="24"/>
          <w:lang w:val="en-US"/>
        </w:rPr>
        <w:t xml:space="preserve"> </w:t>
      </w:r>
    </w:p>
    <w:p w14:paraId="553750CC" w14:textId="77777777" w:rsidR="008304BA" w:rsidRDefault="008304BA" w:rsidP="00706943">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1823A8" w14:paraId="47A59AF1" w14:textId="77777777" w:rsidTr="00CC0E71">
        <w:tc>
          <w:tcPr>
            <w:tcW w:w="2254" w:type="dxa"/>
          </w:tcPr>
          <w:p w14:paraId="7DFE1D7C" w14:textId="0A3146BD" w:rsidR="001823A8" w:rsidRPr="008329CC" w:rsidRDefault="00706943" w:rsidP="00854ED0">
            <w:pPr>
              <w:pStyle w:val="paralevel1"/>
              <w:numPr>
                <w:ilvl w:val="0"/>
                <w:numId w:val="0"/>
              </w:numPr>
              <w:tabs>
                <w:tab w:val="left" w:pos="720"/>
              </w:tabs>
              <w:spacing w:after="0"/>
              <w:rPr>
                <w:rFonts w:asciiTheme="minorHAnsi" w:eastAsiaTheme="minorHAnsi" w:hAnsiTheme="minorHAnsi" w:cstheme="minorHAnsi"/>
                <w:b/>
                <w:sz w:val="22"/>
                <w:szCs w:val="22"/>
              </w:rPr>
            </w:pPr>
            <w:r w:rsidRPr="008329CC">
              <w:rPr>
                <w:rFonts w:asciiTheme="minorHAnsi" w:eastAsiaTheme="minorHAnsi" w:hAnsiTheme="minorHAnsi" w:cstheme="minorHAnsi"/>
                <w:b/>
                <w:sz w:val="22"/>
                <w:szCs w:val="22"/>
              </w:rPr>
              <w:t xml:space="preserve">Goals </w:t>
            </w:r>
          </w:p>
        </w:tc>
        <w:tc>
          <w:tcPr>
            <w:tcW w:w="3270" w:type="dxa"/>
          </w:tcPr>
          <w:p w14:paraId="18BE1B54" w14:textId="4C84C994" w:rsidR="001823A8" w:rsidRPr="008329CC" w:rsidRDefault="00706943" w:rsidP="00854ED0">
            <w:pPr>
              <w:pStyle w:val="paralevel1"/>
              <w:numPr>
                <w:ilvl w:val="0"/>
                <w:numId w:val="0"/>
              </w:numPr>
              <w:tabs>
                <w:tab w:val="left" w:pos="720"/>
              </w:tabs>
              <w:spacing w:after="0"/>
              <w:rPr>
                <w:rFonts w:asciiTheme="minorHAnsi" w:eastAsiaTheme="minorHAnsi" w:hAnsiTheme="minorHAnsi" w:cstheme="minorHAnsi"/>
                <w:b/>
                <w:sz w:val="22"/>
                <w:szCs w:val="22"/>
              </w:rPr>
            </w:pPr>
            <w:r w:rsidRPr="008329CC">
              <w:rPr>
                <w:rFonts w:asciiTheme="minorHAnsi" w:eastAsiaTheme="minorHAnsi" w:hAnsiTheme="minorHAnsi" w:cstheme="minorHAnsi"/>
                <w:b/>
                <w:sz w:val="22"/>
                <w:szCs w:val="22"/>
              </w:rPr>
              <w:t xml:space="preserve">Gender considerations </w:t>
            </w:r>
          </w:p>
        </w:tc>
        <w:tc>
          <w:tcPr>
            <w:tcW w:w="3543" w:type="dxa"/>
          </w:tcPr>
          <w:p w14:paraId="502B33F7" w14:textId="0DC69006" w:rsidR="001823A8" w:rsidRPr="008329CC" w:rsidRDefault="008304BA" w:rsidP="00854ED0">
            <w:pPr>
              <w:pStyle w:val="paralevel1"/>
              <w:numPr>
                <w:ilvl w:val="0"/>
                <w:numId w:val="0"/>
              </w:numPr>
              <w:tabs>
                <w:tab w:val="left" w:pos="720"/>
              </w:tabs>
              <w:spacing w:after="0"/>
              <w:rPr>
                <w:rFonts w:asciiTheme="minorHAnsi" w:eastAsiaTheme="minorHAnsi" w:hAnsiTheme="minorHAnsi" w:cstheme="minorHAnsi"/>
                <w:b/>
                <w:sz w:val="22"/>
                <w:szCs w:val="22"/>
              </w:rPr>
            </w:pPr>
            <w:r w:rsidRPr="008329CC">
              <w:rPr>
                <w:rFonts w:asciiTheme="minorHAnsi" w:eastAsiaTheme="minorHAnsi" w:hAnsiTheme="minorHAnsi" w:cstheme="minorHAnsi"/>
                <w:b/>
                <w:sz w:val="22"/>
                <w:szCs w:val="22"/>
              </w:rPr>
              <w:t>Key Targets</w:t>
            </w:r>
          </w:p>
        </w:tc>
      </w:tr>
      <w:tr w:rsidR="001823A8" w14:paraId="753AC88E" w14:textId="77777777" w:rsidTr="00CC0E71">
        <w:tc>
          <w:tcPr>
            <w:tcW w:w="2254" w:type="dxa"/>
          </w:tcPr>
          <w:p w14:paraId="4B88D91E" w14:textId="77777777" w:rsidR="001823A8" w:rsidRPr="008329CC" w:rsidRDefault="001823A8" w:rsidP="001823A8">
            <w:pPr>
              <w:pStyle w:val="paralevel1"/>
              <w:numPr>
                <w:ilvl w:val="0"/>
                <w:numId w:val="0"/>
              </w:numPr>
              <w:tabs>
                <w:tab w:val="left" w:pos="720"/>
              </w:tabs>
              <w:spacing w:after="0"/>
              <w:rPr>
                <w:rFonts w:asciiTheme="minorHAnsi" w:eastAsiaTheme="minorHAnsi" w:hAnsiTheme="minorHAnsi" w:cstheme="minorHAnsi"/>
                <w:b/>
              </w:rPr>
            </w:pPr>
            <w:r w:rsidRPr="008329CC">
              <w:rPr>
                <w:rFonts w:asciiTheme="minorHAnsi" w:eastAsiaTheme="minorHAnsi" w:hAnsiTheme="minorHAnsi" w:cstheme="minorHAnsi"/>
                <w:b/>
              </w:rPr>
              <w:t>Goal 1:</w:t>
            </w:r>
            <w:r w:rsidRPr="008329CC">
              <w:rPr>
                <w:rFonts w:asciiTheme="minorHAnsi" w:eastAsiaTheme="minorHAnsi" w:hAnsiTheme="minorHAnsi" w:cstheme="minorHAnsi"/>
                <w:b/>
              </w:rPr>
              <w:tab/>
              <w:t>Addressing the Drivers of Wetland Loss and Degradation</w:t>
            </w:r>
          </w:p>
          <w:p w14:paraId="3735F18F"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c>
          <w:tcPr>
            <w:tcW w:w="3270" w:type="dxa"/>
          </w:tcPr>
          <w:p w14:paraId="2B80C4E8" w14:textId="4D3915E0" w:rsidR="001823A8" w:rsidRPr="008329CC" w:rsidRDefault="001823A8" w:rsidP="008304BA">
            <w:pPr>
              <w:pStyle w:val="paralevel1"/>
              <w:numPr>
                <w:ilvl w:val="0"/>
                <w:numId w:val="0"/>
              </w:numPr>
              <w:tabs>
                <w:tab w:val="left" w:pos="720"/>
              </w:tabs>
              <w:spacing w:after="0"/>
              <w:rPr>
                <w:rFonts w:asciiTheme="minorHAnsi" w:eastAsiaTheme="minorHAnsi" w:hAnsiTheme="minorHAnsi" w:cstheme="minorHAnsi"/>
                <w:b/>
              </w:rPr>
            </w:pPr>
            <w:r w:rsidRPr="008329CC">
              <w:rPr>
                <w:rFonts w:asciiTheme="minorHAnsi" w:eastAsiaTheme="minorHAnsi" w:hAnsiTheme="minorHAnsi" w:cstheme="minorHAnsi"/>
                <w:i/>
                <w:iCs/>
              </w:rPr>
              <w:t>Parties recognize that the drivers of wetland degradation intersect with and impact gender and other social dimensions.</w:t>
            </w:r>
            <w:r w:rsidR="008304BA" w:rsidRPr="008329CC">
              <w:rPr>
                <w:rFonts w:asciiTheme="minorHAnsi" w:eastAsiaTheme="minorHAnsi" w:hAnsiTheme="minorHAnsi" w:cstheme="minorHAnsi"/>
                <w:i/>
                <w:iCs/>
              </w:rPr>
              <w:t xml:space="preserve"> </w:t>
            </w:r>
          </w:p>
        </w:tc>
        <w:tc>
          <w:tcPr>
            <w:tcW w:w="3543" w:type="dxa"/>
          </w:tcPr>
          <w:p w14:paraId="060EB67A"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sz w:val="22"/>
                <w:szCs w:val="22"/>
              </w:rPr>
            </w:pPr>
          </w:p>
        </w:tc>
      </w:tr>
      <w:tr w:rsidR="001823A8" w14:paraId="3279746B" w14:textId="77777777" w:rsidTr="00CC0E71">
        <w:tc>
          <w:tcPr>
            <w:tcW w:w="2254" w:type="dxa"/>
          </w:tcPr>
          <w:p w14:paraId="236D3F4C" w14:textId="77777777" w:rsidR="001823A8" w:rsidRPr="008329CC" w:rsidRDefault="001823A8" w:rsidP="001823A8">
            <w:pPr>
              <w:rPr>
                <w:rFonts w:cstheme="minorHAnsi"/>
                <w:b/>
                <w:sz w:val="20"/>
                <w:szCs w:val="20"/>
              </w:rPr>
            </w:pPr>
            <w:r w:rsidRPr="008329CC">
              <w:rPr>
                <w:rFonts w:cstheme="minorHAnsi"/>
                <w:b/>
                <w:sz w:val="20"/>
                <w:szCs w:val="20"/>
              </w:rPr>
              <w:t xml:space="preserve">Goal 2: Effectively Conserving and Managing the Ramsar Site Network </w:t>
            </w:r>
          </w:p>
          <w:p w14:paraId="6B2CF362"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c>
          <w:tcPr>
            <w:tcW w:w="3270" w:type="dxa"/>
          </w:tcPr>
          <w:p w14:paraId="624E62DF" w14:textId="77777777" w:rsidR="001823A8" w:rsidRPr="008329CC" w:rsidRDefault="001823A8" w:rsidP="001823A8">
            <w:pPr>
              <w:pStyle w:val="paralevel1"/>
              <w:numPr>
                <w:ilvl w:val="0"/>
                <w:numId w:val="0"/>
              </w:numPr>
              <w:tabs>
                <w:tab w:val="left" w:pos="720"/>
              </w:tabs>
              <w:spacing w:after="0"/>
              <w:rPr>
                <w:rFonts w:asciiTheme="minorHAnsi" w:eastAsiaTheme="minorHAnsi" w:hAnsiTheme="minorHAnsi" w:cstheme="minorHAnsi"/>
                <w:i/>
                <w:iCs/>
              </w:rPr>
            </w:pPr>
            <w:r w:rsidRPr="008329CC">
              <w:rPr>
                <w:rFonts w:asciiTheme="minorHAnsi" w:eastAsiaTheme="minorHAnsi" w:hAnsiTheme="minorHAnsi" w:cstheme="minorHAnsi"/>
                <w:i/>
                <w:iCs/>
              </w:rPr>
              <w:t>Parties commit themselves to protect and effectively manage existing Ramsar Sites and enable full and effective participation of stakeholders, including women- in all their diversity, youth, indigenous peoples and local communities.</w:t>
            </w:r>
          </w:p>
          <w:p w14:paraId="7433F733" w14:textId="77777777" w:rsidR="001823A8" w:rsidRPr="008329CC" w:rsidRDefault="001823A8" w:rsidP="001823A8">
            <w:pPr>
              <w:pStyle w:val="paralevel1"/>
              <w:numPr>
                <w:ilvl w:val="0"/>
                <w:numId w:val="0"/>
              </w:numPr>
              <w:tabs>
                <w:tab w:val="left" w:pos="720"/>
              </w:tabs>
              <w:spacing w:after="0"/>
              <w:ind w:left="360" w:hanging="360"/>
              <w:rPr>
                <w:rFonts w:asciiTheme="minorHAnsi" w:eastAsiaTheme="minorHAnsi" w:hAnsiTheme="minorHAnsi" w:cstheme="minorHAnsi"/>
              </w:rPr>
            </w:pPr>
          </w:p>
          <w:p w14:paraId="3681E3EC"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c>
          <w:tcPr>
            <w:tcW w:w="3543" w:type="dxa"/>
          </w:tcPr>
          <w:p w14:paraId="5B137825" w14:textId="77777777" w:rsidR="008304BA" w:rsidRPr="008329CC" w:rsidRDefault="001823A8" w:rsidP="001823A8">
            <w:pPr>
              <w:pStyle w:val="paralevel1"/>
              <w:numPr>
                <w:ilvl w:val="0"/>
                <w:numId w:val="0"/>
              </w:numPr>
              <w:tabs>
                <w:tab w:val="left" w:pos="720"/>
              </w:tabs>
              <w:spacing w:after="0"/>
              <w:rPr>
                <w:rFonts w:asciiTheme="minorHAnsi" w:eastAsiaTheme="minorHAnsi" w:hAnsiTheme="minorHAnsi" w:cstheme="minorHAnsi"/>
              </w:rPr>
            </w:pPr>
            <w:r w:rsidRPr="008329CC">
              <w:rPr>
                <w:rFonts w:asciiTheme="minorHAnsi" w:eastAsiaTheme="minorHAnsi" w:hAnsiTheme="minorHAnsi" w:cstheme="minorHAnsi"/>
              </w:rPr>
              <w:t xml:space="preserve">Target 5.7 </w:t>
            </w:r>
          </w:p>
          <w:p w14:paraId="3011AF2D" w14:textId="7CE43D60" w:rsidR="001823A8" w:rsidRPr="008329CC" w:rsidRDefault="001823A8" w:rsidP="001823A8">
            <w:pPr>
              <w:pStyle w:val="paralevel1"/>
              <w:numPr>
                <w:ilvl w:val="0"/>
                <w:numId w:val="0"/>
              </w:numPr>
              <w:tabs>
                <w:tab w:val="left" w:pos="720"/>
              </w:tabs>
              <w:spacing w:after="0"/>
              <w:rPr>
                <w:rFonts w:asciiTheme="minorHAnsi" w:eastAsiaTheme="minorHAnsi" w:hAnsiTheme="minorHAnsi" w:cstheme="minorHAnsi"/>
                <w:b/>
              </w:rPr>
            </w:pPr>
            <w:r w:rsidRPr="008329CC">
              <w:rPr>
                <w:rFonts w:asciiTheme="minorHAnsi" w:eastAsiaTheme="minorHAnsi" w:hAnsiTheme="minorHAnsi" w:cstheme="minorHAnsi"/>
              </w:rPr>
              <w:t xml:space="preserve">How many Ramsar sites have cross-sectoral management committee that enables participatory and inclusive decision making with women - in all their diversity, youth and indigenous peoples represented. </w:t>
            </w:r>
          </w:p>
        </w:tc>
      </w:tr>
      <w:tr w:rsidR="001823A8" w14:paraId="5B86ADBD" w14:textId="77777777" w:rsidTr="00CC0E71">
        <w:tc>
          <w:tcPr>
            <w:tcW w:w="2254" w:type="dxa"/>
          </w:tcPr>
          <w:p w14:paraId="6E0EC97C" w14:textId="77777777" w:rsidR="001823A8" w:rsidRPr="008329CC" w:rsidRDefault="001823A8" w:rsidP="001823A8">
            <w:pPr>
              <w:rPr>
                <w:rFonts w:cstheme="minorHAnsi"/>
                <w:b/>
                <w:sz w:val="20"/>
                <w:szCs w:val="20"/>
              </w:rPr>
            </w:pPr>
            <w:r w:rsidRPr="008329CC">
              <w:rPr>
                <w:rFonts w:cstheme="minorHAnsi"/>
                <w:b/>
                <w:sz w:val="20"/>
                <w:szCs w:val="20"/>
              </w:rPr>
              <w:t>Goal 3:</w:t>
            </w:r>
            <w:r w:rsidRPr="008329CC">
              <w:rPr>
                <w:rFonts w:cstheme="minorHAnsi"/>
                <w:b/>
                <w:sz w:val="20"/>
                <w:szCs w:val="20"/>
              </w:rPr>
              <w:tab/>
              <w:t xml:space="preserve">Wisely Using All Wetlands </w:t>
            </w:r>
          </w:p>
          <w:p w14:paraId="7873FE17"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c>
          <w:tcPr>
            <w:tcW w:w="3270" w:type="dxa"/>
          </w:tcPr>
          <w:p w14:paraId="712FB519" w14:textId="77777777" w:rsidR="001823A8" w:rsidRPr="008329CC" w:rsidRDefault="001823A8" w:rsidP="001823A8">
            <w:pPr>
              <w:rPr>
                <w:rFonts w:cstheme="minorHAnsi"/>
                <w:sz w:val="20"/>
                <w:szCs w:val="20"/>
              </w:rPr>
            </w:pPr>
            <w:r w:rsidRPr="008329CC">
              <w:rPr>
                <w:rFonts w:cstheme="minorHAnsi"/>
                <w:i/>
                <w:iCs/>
                <w:sz w:val="20"/>
                <w:szCs w:val="20"/>
              </w:rPr>
              <w:t>Parties address wetlands beyond those currently included in the Ramsar Site network. Mainstreaming gender specifications in a wide range of sectors and with a broad array of actors will help to ensure the success of this effort</w:t>
            </w:r>
            <w:r w:rsidRPr="008329CC">
              <w:rPr>
                <w:rFonts w:cstheme="minorHAnsi"/>
                <w:sz w:val="20"/>
                <w:szCs w:val="20"/>
              </w:rPr>
              <w:t>.</w:t>
            </w:r>
          </w:p>
          <w:p w14:paraId="14E7B4AA"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c>
          <w:tcPr>
            <w:tcW w:w="3543" w:type="dxa"/>
          </w:tcPr>
          <w:p w14:paraId="185D2589" w14:textId="77777777" w:rsidR="008304BA" w:rsidRPr="008329CC" w:rsidRDefault="00A50DDB" w:rsidP="00A50DDB">
            <w:pPr>
              <w:rPr>
                <w:rFonts w:cstheme="minorHAnsi"/>
                <w:sz w:val="20"/>
                <w:szCs w:val="20"/>
              </w:rPr>
            </w:pPr>
            <w:r w:rsidRPr="008329CC">
              <w:rPr>
                <w:rFonts w:cstheme="minorHAnsi"/>
                <w:sz w:val="20"/>
                <w:szCs w:val="20"/>
              </w:rPr>
              <w:t xml:space="preserve">Target 10: </w:t>
            </w:r>
          </w:p>
          <w:p w14:paraId="65A58347" w14:textId="14F50F6B" w:rsidR="00A50DDB" w:rsidRPr="008329CC" w:rsidRDefault="00A50DDB" w:rsidP="00A50DDB">
            <w:pPr>
              <w:rPr>
                <w:rFonts w:cstheme="minorHAnsi"/>
                <w:sz w:val="20"/>
                <w:szCs w:val="20"/>
              </w:rPr>
            </w:pPr>
            <w:r w:rsidRPr="008329CC">
              <w:rPr>
                <w:rFonts w:cstheme="minorHAnsi"/>
                <w:sz w:val="20"/>
                <w:szCs w:val="20"/>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p w14:paraId="180A9E6C" w14:textId="170E217D" w:rsidR="001823A8" w:rsidRPr="008329CC" w:rsidRDefault="001823A8" w:rsidP="00A50DDB">
            <w:pPr>
              <w:pStyle w:val="paralevel1"/>
              <w:numPr>
                <w:ilvl w:val="0"/>
                <w:numId w:val="0"/>
              </w:numPr>
              <w:tabs>
                <w:tab w:val="left" w:pos="720"/>
              </w:tabs>
              <w:spacing w:after="0"/>
              <w:rPr>
                <w:rFonts w:asciiTheme="minorHAnsi" w:eastAsiaTheme="minorHAnsi" w:hAnsiTheme="minorHAnsi" w:cstheme="minorHAnsi"/>
                <w:b/>
              </w:rPr>
            </w:pPr>
          </w:p>
        </w:tc>
      </w:tr>
      <w:tr w:rsidR="001823A8" w14:paraId="6A6C3D88" w14:textId="77777777" w:rsidTr="00CC0E71">
        <w:tc>
          <w:tcPr>
            <w:tcW w:w="2254" w:type="dxa"/>
          </w:tcPr>
          <w:p w14:paraId="3095321B" w14:textId="77777777" w:rsidR="00A50DDB" w:rsidRPr="008329CC" w:rsidRDefault="00A50DDB" w:rsidP="00A50DDB">
            <w:pPr>
              <w:rPr>
                <w:rFonts w:cstheme="minorHAnsi"/>
                <w:b/>
                <w:sz w:val="20"/>
                <w:szCs w:val="20"/>
              </w:rPr>
            </w:pPr>
            <w:r w:rsidRPr="008329CC">
              <w:rPr>
                <w:rFonts w:cstheme="minorHAnsi"/>
                <w:b/>
                <w:sz w:val="20"/>
                <w:szCs w:val="20"/>
              </w:rPr>
              <w:t>Goal 4:</w:t>
            </w:r>
            <w:r w:rsidRPr="008329CC">
              <w:rPr>
                <w:rFonts w:cstheme="minorHAnsi"/>
                <w:b/>
                <w:sz w:val="20"/>
                <w:szCs w:val="20"/>
              </w:rPr>
              <w:tab/>
              <w:t>Enhancing Implementation</w:t>
            </w:r>
          </w:p>
          <w:p w14:paraId="1AA9BCFE"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p w14:paraId="58C41575" w14:textId="7EA33B60" w:rsidR="00102C55" w:rsidRPr="008329CC" w:rsidRDefault="00102C55" w:rsidP="00854ED0">
            <w:pPr>
              <w:pStyle w:val="paralevel1"/>
              <w:numPr>
                <w:ilvl w:val="0"/>
                <w:numId w:val="0"/>
              </w:numPr>
              <w:tabs>
                <w:tab w:val="left" w:pos="720"/>
              </w:tabs>
              <w:spacing w:after="0"/>
              <w:rPr>
                <w:rFonts w:asciiTheme="minorHAnsi" w:eastAsiaTheme="minorHAnsi" w:hAnsiTheme="minorHAnsi" w:cstheme="minorHAnsi"/>
                <w:b/>
              </w:rPr>
            </w:pPr>
            <w:r w:rsidRPr="008329CC">
              <w:rPr>
                <w:rFonts w:asciiTheme="minorHAnsi" w:hAnsiTheme="minorHAnsi" w:cstheme="minorHAnsi"/>
              </w:rPr>
              <w:t>Paragraph 11 of Resolution XIII.18 encourages “...to consider how different genders are reflected in wetland communication material in order to promote equal representation and fairness”.</w:t>
            </w:r>
          </w:p>
        </w:tc>
        <w:tc>
          <w:tcPr>
            <w:tcW w:w="3270" w:type="dxa"/>
          </w:tcPr>
          <w:p w14:paraId="0F887884" w14:textId="1E84148E" w:rsidR="00CC0E71" w:rsidRPr="008329CC" w:rsidRDefault="00CC0E71" w:rsidP="00A50DDB">
            <w:pPr>
              <w:rPr>
                <w:rFonts w:cstheme="minorHAnsi"/>
                <w:i/>
                <w:iCs/>
                <w:sz w:val="20"/>
                <w:szCs w:val="20"/>
              </w:rPr>
            </w:pPr>
            <w:r w:rsidRPr="008329CC">
              <w:rPr>
                <w:rFonts w:cstheme="minorHAnsi"/>
                <w:i/>
                <w:iCs/>
                <w:sz w:val="20"/>
                <w:szCs w:val="20"/>
              </w:rPr>
              <w:t>Partie</w:t>
            </w:r>
            <w:r w:rsidR="00102C55" w:rsidRPr="008329CC">
              <w:rPr>
                <w:rFonts w:cstheme="minorHAnsi"/>
                <w:i/>
                <w:iCs/>
                <w:sz w:val="20"/>
                <w:szCs w:val="20"/>
              </w:rPr>
              <w:t>s</w:t>
            </w:r>
            <w:r w:rsidRPr="008329CC">
              <w:rPr>
                <w:rFonts w:cstheme="minorHAnsi"/>
                <w:i/>
                <w:iCs/>
                <w:sz w:val="20"/>
                <w:szCs w:val="20"/>
              </w:rPr>
              <w:t xml:space="preserve"> ensure that communication strategies and materials should reflect women’s perceptions, needs, and perspectives. Particular attention should be placed on the selection of communication channels that are most appropriate for women.</w:t>
            </w:r>
          </w:p>
          <w:p w14:paraId="440C8792" w14:textId="77777777" w:rsidR="00CC0E71" w:rsidRPr="008329CC" w:rsidRDefault="00CC0E71" w:rsidP="00A50DDB">
            <w:pPr>
              <w:rPr>
                <w:rFonts w:cstheme="minorHAnsi"/>
                <w:i/>
                <w:iCs/>
                <w:sz w:val="20"/>
                <w:szCs w:val="20"/>
              </w:rPr>
            </w:pPr>
          </w:p>
          <w:p w14:paraId="4D39CB24" w14:textId="4D7FF00F" w:rsidR="00A50DDB" w:rsidRPr="008329CC" w:rsidRDefault="00A50DDB" w:rsidP="00A50DDB">
            <w:pPr>
              <w:rPr>
                <w:rFonts w:cstheme="minorHAnsi"/>
                <w:i/>
                <w:iCs/>
                <w:sz w:val="20"/>
                <w:szCs w:val="20"/>
              </w:rPr>
            </w:pPr>
            <w:r w:rsidRPr="008329CC">
              <w:rPr>
                <w:rFonts w:cstheme="minorHAnsi"/>
                <w:i/>
                <w:iCs/>
                <w:sz w:val="20"/>
                <w:szCs w:val="20"/>
              </w:rPr>
              <w:t xml:space="preserve">Parties themselves, and in partnership with other Parties and other entities, </w:t>
            </w:r>
            <w:r w:rsidR="00102C55" w:rsidRPr="008329CC">
              <w:rPr>
                <w:rFonts w:cstheme="minorHAnsi"/>
                <w:i/>
                <w:iCs/>
                <w:sz w:val="20"/>
                <w:szCs w:val="20"/>
              </w:rPr>
              <w:t xml:space="preserve">should take a gender equality responsive approach </w:t>
            </w:r>
            <w:r w:rsidRPr="008329CC">
              <w:rPr>
                <w:rFonts w:cstheme="minorHAnsi"/>
                <w:i/>
                <w:iCs/>
                <w:sz w:val="20"/>
                <w:szCs w:val="20"/>
              </w:rPr>
              <w:t xml:space="preserve">with regard to scientific and technical advice and guidance, resource mobilization, public awareness, visibility and capacity building, </w:t>
            </w:r>
          </w:p>
          <w:p w14:paraId="3D32F8F9" w14:textId="77777777" w:rsidR="00A50DDB" w:rsidRPr="008329CC" w:rsidRDefault="00A50DDB" w:rsidP="00A50DDB">
            <w:pPr>
              <w:ind w:left="1418" w:hanging="1418"/>
              <w:rPr>
                <w:rFonts w:cstheme="minorHAnsi"/>
                <w:i/>
                <w:iCs/>
                <w:sz w:val="20"/>
                <w:szCs w:val="20"/>
              </w:rPr>
            </w:pPr>
          </w:p>
          <w:p w14:paraId="7578159F" w14:textId="70732D35" w:rsidR="001823A8" w:rsidRPr="008329CC" w:rsidRDefault="00A50DDB" w:rsidP="00965133">
            <w:pPr>
              <w:rPr>
                <w:i/>
                <w:sz w:val="20"/>
              </w:rPr>
            </w:pPr>
            <w:r w:rsidRPr="008329CC">
              <w:rPr>
                <w:rFonts w:cstheme="minorHAnsi"/>
                <w:i/>
                <w:iCs/>
                <w:sz w:val="20"/>
                <w:szCs w:val="20"/>
              </w:rPr>
              <w:t xml:space="preserve">All major environmental finance mechanisms now have gender policies, action plans and gender mandates that must be </w:t>
            </w:r>
            <w:r w:rsidR="003B3310" w:rsidRPr="008329CC">
              <w:rPr>
                <w:rFonts w:cstheme="minorHAnsi"/>
                <w:i/>
                <w:iCs/>
                <w:sz w:val="20"/>
                <w:szCs w:val="20"/>
              </w:rPr>
              <w:t>complied with to secure funding</w:t>
            </w:r>
          </w:p>
        </w:tc>
        <w:tc>
          <w:tcPr>
            <w:tcW w:w="3543" w:type="dxa"/>
          </w:tcPr>
          <w:p w14:paraId="0E665BBE" w14:textId="77777777" w:rsidR="00A50DDB" w:rsidRPr="008329CC" w:rsidRDefault="00A50DDB" w:rsidP="00A50DDB">
            <w:pPr>
              <w:rPr>
                <w:rFonts w:cstheme="minorHAnsi"/>
                <w:sz w:val="20"/>
                <w:szCs w:val="20"/>
              </w:rPr>
            </w:pPr>
            <w:r w:rsidRPr="008329CC">
              <w:rPr>
                <w:rFonts w:cstheme="minorHAnsi"/>
                <w:sz w:val="20"/>
                <w:szCs w:val="20"/>
              </w:rPr>
              <w:t xml:space="preserve">Target 16: Mainstream wetland conservation and wise use with a gender-responsive approach through capacity development, education, participation and awareness. </w:t>
            </w:r>
          </w:p>
          <w:p w14:paraId="07DA3A01" w14:textId="77777777" w:rsidR="00A50DDB" w:rsidRPr="008329CC" w:rsidRDefault="00A50DDB" w:rsidP="00A50DDB">
            <w:pPr>
              <w:rPr>
                <w:rFonts w:cstheme="minorHAnsi"/>
                <w:sz w:val="20"/>
                <w:szCs w:val="20"/>
              </w:rPr>
            </w:pPr>
          </w:p>
          <w:p w14:paraId="59EFF1C2" w14:textId="77777777" w:rsidR="00A50DDB" w:rsidRPr="008329CC" w:rsidRDefault="00A50DDB" w:rsidP="00A50DDB">
            <w:pPr>
              <w:rPr>
                <w:rFonts w:cstheme="minorHAnsi"/>
                <w:i/>
                <w:iCs/>
                <w:sz w:val="20"/>
                <w:szCs w:val="20"/>
              </w:rPr>
            </w:pPr>
            <w:r w:rsidRPr="008329CC">
              <w:rPr>
                <w:rFonts w:cstheme="minorHAnsi"/>
                <w:i/>
                <w:iCs/>
                <w:sz w:val="20"/>
                <w:szCs w:val="20"/>
              </w:rPr>
              <w:t xml:space="preserve">Note: The new CEPA Approach includes mainstreaming gender equality as an activity. </w:t>
            </w:r>
          </w:p>
          <w:p w14:paraId="1AE27916" w14:textId="77777777" w:rsidR="001823A8" w:rsidRPr="008329CC" w:rsidRDefault="001823A8" w:rsidP="00854ED0">
            <w:pPr>
              <w:pStyle w:val="paralevel1"/>
              <w:numPr>
                <w:ilvl w:val="0"/>
                <w:numId w:val="0"/>
              </w:numPr>
              <w:tabs>
                <w:tab w:val="left" w:pos="720"/>
              </w:tabs>
              <w:spacing w:after="0"/>
              <w:rPr>
                <w:rFonts w:asciiTheme="minorHAnsi" w:eastAsiaTheme="minorHAnsi" w:hAnsiTheme="minorHAnsi" w:cstheme="minorHAnsi"/>
                <w:b/>
              </w:rPr>
            </w:pPr>
          </w:p>
        </w:tc>
      </w:tr>
    </w:tbl>
    <w:p w14:paraId="72719B33" w14:textId="77777777" w:rsidR="003B3310" w:rsidRPr="00965133" w:rsidRDefault="003B3310" w:rsidP="003B3310">
      <w:pPr>
        <w:spacing w:after="0" w:line="240" w:lineRule="auto"/>
        <w:rPr>
          <w:b/>
        </w:rPr>
      </w:pPr>
    </w:p>
    <w:p w14:paraId="62995F18" w14:textId="77777777" w:rsidR="003B3310" w:rsidRDefault="003B3310">
      <w:pPr>
        <w:rPr>
          <w:rFonts w:cstheme="minorHAnsi"/>
          <w:b/>
          <w:bCs/>
        </w:rPr>
      </w:pPr>
      <w:r>
        <w:rPr>
          <w:rFonts w:cstheme="minorHAnsi"/>
          <w:b/>
          <w:bCs/>
        </w:rPr>
        <w:br w:type="page"/>
      </w:r>
    </w:p>
    <w:p w14:paraId="30613E5D" w14:textId="0B5BFA2E" w:rsidR="004745C0" w:rsidRPr="008304BA" w:rsidRDefault="00EC104A" w:rsidP="003B3310">
      <w:pPr>
        <w:spacing w:after="0" w:line="240" w:lineRule="auto"/>
        <w:rPr>
          <w:rFonts w:cstheme="minorHAnsi"/>
          <w:b/>
          <w:bCs/>
        </w:rPr>
      </w:pPr>
      <w:r>
        <w:rPr>
          <w:rFonts w:cstheme="minorHAnsi"/>
          <w:b/>
          <w:bCs/>
        </w:rPr>
        <w:lastRenderedPageBreak/>
        <w:t>A</w:t>
      </w:r>
      <w:r w:rsidR="00DA7887" w:rsidRPr="008304BA">
        <w:rPr>
          <w:rFonts w:cstheme="minorHAnsi"/>
          <w:b/>
          <w:bCs/>
        </w:rPr>
        <w:t>v</w:t>
      </w:r>
      <w:r w:rsidR="004745C0" w:rsidRPr="008304BA">
        <w:rPr>
          <w:rFonts w:cstheme="minorHAnsi"/>
          <w:b/>
          <w:bCs/>
        </w:rPr>
        <w:t>ailable Resources</w:t>
      </w:r>
      <w:r w:rsidR="00383B2A" w:rsidRPr="008304BA">
        <w:rPr>
          <w:rFonts w:cstheme="minorHAnsi"/>
          <w:b/>
          <w:bCs/>
        </w:rPr>
        <w:t>:</w:t>
      </w:r>
      <w:r w:rsidR="004745C0" w:rsidRPr="008304BA">
        <w:rPr>
          <w:rFonts w:cstheme="minorHAnsi"/>
          <w:b/>
          <w:bCs/>
        </w:rPr>
        <w:t xml:space="preserve"> </w:t>
      </w:r>
    </w:p>
    <w:p w14:paraId="093B4936" w14:textId="77777777" w:rsidR="003B3310" w:rsidRPr="00965133" w:rsidRDefault="003B3310" w:rsidP="00965133">
      <w:pPr>
        <w:pStyle w:val="NormalWeb"/>
        <w:shd w:val="clear" w:color="auto" w:fill="FAFAFA"/>
        <w:spacing w:before="0" w:beforeAutospacing="0" w:after="0" w:afterAutospacing="0"/>
        <w:rPr>
          <w:rFonts w:asciiTheme="minorHAnsi" w:hAnsiTheme="minorHAnsi"/>
          <w:color w:val="363A2F"/>
          <w:sz w:val="22"/>
        </w:rPr>
      </w:pPr>
    </w:p>
    <w:p w14:paraId="7A242390" w14:textId="0888F568" w:rsidR="008304BA" w:rsidRDefault="00C07C71" w:rsidP="00965133">
      <w:pPr>
        <w:pStyle w:val="NormalWeb"/>
        <w:shd w:val="clear" w:color="auto" w:fill="FAFAFA"/>
        <w:spacing w:before="0" w:beforeAutospacing="0" w:after="0" w:afterAutospacing="0"/>
        <w:rPr>
          <w:rFonts w:asciiTheme="minorHAnsi" w:hAnsiTheme="minorHAnsi" w:cstheme="minorHAnsi"/>
          <w:color w:val="363A2F"/>
          <w:sz w:val="22"/>
          <w:szCs w:val="22"/>
        </w:rPr>
      </w:pPr>
      <w:r w:rsidRPr="008304BA">
        <w:rPr>
          <w:rFonts w:asciiTheme="minorHAnsi" w:hAnsiTheme="minorHAnsi" w:cstheme="minorHAnsi"/>
          <w:color w:val="363A2F"/>
          <w:sz w:val="22"/>
          <w:szCs w:val="22"/>
        </w:rPr>
        <w:t xml:space="preserve">The guidance provides Contracting Parties to the Convention with a series of key operational and practical entry points to enhance the mainstreaming of gender equality under the Convention, and presents several case studies on the value of taking a gender-sensitive approach to the wise use and management of wetlands. The document is available for download </w:t>
      </w:r>
    </w:p>
    <w:p w14:paraId="53CBF1E6" w14:textId="06D99CDD" w:rsidR="00DC1D2F" w:rsidRPr="00965133" w:rsidRDefault="00EB5BF3" w:rsidP="00965133">
      <w:pPr>
        <w:pStyle w:val="NormalWeb"/>
        <w:shd w:val="clear" w:color="auto" w:fill="FAFAFA"/>
        <w:spacing w:before="0" w:beforeAutospacing="0" w:after="0" w:afterAutospacing="0"/>
        <w:rPr>
          <w:rFonts w:asciiTheme="minorHAnsi" w:hAnsiTheme="minorHAnsi"/>
          <w:color w:val="363A2F"/>
          <w:sz w:val="22"/>
        </w:rPr>
      </w:pPr>
      <w:hyperlink r:id="rId39" w:tgtFrame="_blank" w:history="1">
        <w:r w:rsidR="00C07C71" w:rsidRPr="008304BA">
          <w:rPr>
            <w:rStyle w:val="Hyperlink"/>
            <w:rFonts w:asciiTheme="minorHAnsi" w:hAnsiTheme="minorHAnsi" w:cstheme="minorHAnsi"/>
            <w:color w:val="AC3603"/>
            <w:sz w:val="22"/>
            <w:szCs w:val="22"/>
          </w:rPr>
          <w:t>https://www.ramsar.org/document/guidance-on-mainstreaming-gender-under-the-ramsar-convention-on-wetlands-0</w:t>
        </w:r>
      </w:hyperlink>
    </w:p>
    <w:sectPr w:rsidR="00DC1D2F" w:rsidRPr="00965133" w:rsidSect="00965133">
      <w:footerReference w:type="default" r:id="rId40"/>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63BB" w14:textId="77777777" w:rsidR="00EB5BF3" w:rsidRDefault="00EB5BF3" w:rsidP="001A4F7B">
      <w:pPr>
        <w:spacing w:after="0" w:line="240" w:lineRule="auto"/>
      </w:pPr>
      <w:r>
        <w:separator/>
      </w:r>
    </w:p>
  </w:endnote>
  <w:endnote w:type="continuationSeparator" w:id="0">
    <w:p w14:paraId="1152491C" w14:textId="77777777" w:rsidR="00EB5BF3" w:rsidRDefault="00EB5BF3" w:rsidP="001A4F7B">
      <w:pPr>
        <w:spacing w:after="0" w:line="240" w:lineRule="auto"/>
      </w:pPr>
      <w:r>
        <w:continuationSeparator/>
      </w:r>
    </w:p>
  </w:endnote>
  <w:endnote w:type="continuationNotice" w:id="1">
    <w:p w14:paraId="4661EA76" w14:textId="77777777" w:rsidR="00EB5BF3" w:rsidRDefault="00EB5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9EFC" w14:textId="65688D54" w:rsidR="00EB5BF3" w:rsidRPr="008329CC" w:rsidRDefault="00EB5BF3">
    <w:pPr>
      <w:pStyle w:val="Footer"/>
      <w:rPr>
        <w:sz w:val="20"/>
        <w:szCs w:val="20"/>
        <w:lang w:val="en-GB"/>
      </w:rPr>
    </w:pPr>
    <w:r w:rsidRPr="008329CC">
      <w:rPr>
        <w:sz w:val="20"/>
        <w:szCs w:val="20"/>
        <w:lang w:val="en-GB"/>
      </w:rPr>
      <w:t>SC59 Doc.10</w:t>
    </w:r>
    <w:r w:rsidRPr="008329CC">
      <w:rPr>
        <w:sz w:val="20"/>
        <w:szCs w:val="20"/>
        <w:lang w:val="en-GB"/>
      </w:rPr>
      <w:tab/>
    </w:r>
    <w:r w:rsidRPr="008329CC">
      <w:rPr>
        <w:sz w:val="20"/>
        <w:szCs w:val="20"/>
        <w:lang w:val="en-GB"/>
      </w:rPr>
      <w:tab/>
    </w:r>
    <w:r w:rsidRPr="008329CC">
      <w:rPr>
        <w:sz w:val="20"/>
        <w:szCs w:val="20"/>
        <w:lang w:val="en-GB"/>
      </w:rPr>
      <w:fldChar w:fldCharType="begin"/>
    </w:r>
    <w:r w:rsidRPr="008329CC">
      <w:rPr>
        <w:sz w:val="20"/>
        <w:szCs w:val="20"/>
        <w:lang w:val="en-GB"/>
      </w:rPr>
      <w:instrText xml:space="preserve"> PAGE   \* MERGEFORMAT </w:instrText>
    </w:r>
    <w:r w:rsidRPr="008329CC">
      <w:rPr>
        <w:sz w:val="20"/>
        <w:szCs w:val="20"/>
        <w:lang w:val="en-GB"/>
      </w:rPr>
      <w:fldChar w:fldCharType="separate"/>
    </w:r>
    <w:r w:rsidR="002C3BEA">
      <w:rPr>
        <w:noProof/>
        <w:sz w:val="20"/>
        <w:szCs w:val="20"/>
        <w:lang w:val="en-GB"/>
      </w:rPr>
      <w:t>17</w:t>
    </w:r>
    <w:r w:rsidRPr="008329CC">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7D70" w14:textId="77777777" w:rsidR="00EB5BF3" w:rsidRDefault="00EB5BF3" w:rsidP="001A4F7B">
      <w:pPr>
        <w:spacing w:after="0" w:line="240" w:lineRule="auto"/>
      </w:pPr>
      <w:r>
        <w:separator/>
      </w:r>
    </w:p>
  </w:footnote>
  <w:footnote w:type="continuationSeparator" w:id="0">
    <w:p w14:paraId="49D2AE8B" w14:textId="77777777" w:rsidR="00EB5BF3" w:rsidRDefault="00EB5BF3" w:rsidP="001A4F7B">
      <w:pPr>
        <w:spacing w:after="0" w:line="240" w:lineRule="auto"/>
      </w:pPr>
      <w:r>
        <w:continuationSeparator/>
      </w:r>
    </w:p>
  </w:footnote>
  <w:footnote w:type="continuationNotice" w:id="1">
    <w:p w14:paraId="4A101D25" w14:textId="77777777" w:rsidR="00EB5BF3" w:rsidRDefault="00EB5BF3">
      <w:pPr>
        <w:spacing w:after="0" w:line="240" w:lineRule="auto"/>
      </w:pPr>
    </w:p>
  </w:footnote>
  <w:footnote w:id="2">
    <w:p w14:paraId="65F840F3" w14:textId="77777777" w:rsidR="00EB5BF3" w:rsidRPr="00B55968" w:rsidRDefault="00EB5BF3" w:rsidP="00D64845">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seas and marine resources for sustainable development; </w:t>
      </w:r>
      <w:r w:rsidRPr="00B55968">
        <w:rPr>
          <w:rFonts w:cstheme="minorHAnsi"/>
          <w:b/>
          <w:bCs/>
        </w:rPr>
        <w:t>Goal 15</w:t>
      </w:r>
      <w:r w:rsidRPr="00B55968">
        <w:rPr>
          <w:rFonts w:cstheme="minorHAnsi"/>
        </w:rPr>
        <w:t>: Protect, restore and promote sustainable use of terrestrial ecosystems, sustainably manage forests, combat desertification, and halt and reverse land degradation and halt biodiversity loss.</w:t>
      </w:r>
    </w:p>
  </w:footnote>
  <w:footnote w:id="3">
    <w:p w14:paraId="7FE0A6A8" w14:textId="77777777" w:rsidR="00EB5BF3" w:rsidRPr="00B55968" w:rsidRDefault="00EB5BF3" w:rsidP="00D64845">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B55968">
        <w:rPr>
          <w:rFonts w:cstheme="minorHAnsi"/>
        </w:rPr>
        <w:t xml:space="preserve"> [Para 17]</w:t>
      </w:r>
      <w:r>
        <w:rPr>
          <w:rFonts w:cstheme="minorHAnsi"/>
        </w:rPr>
        <w:t>.</w:t>
      </w:r>
    </w:p>
    <w:p w14:paraId="686668F3" w14:textId="77777777" w:rsidR="00EB5BF3" w:rsidRPr="003D17F5" w:rsidRDefault="00EB5BF3" w:rsidP="00D64845">
      <w:pPr>
        <w:pStyle w:val="FootnoteText"/>
      </w:pPr>
    </w:p>
  </w:footnote>
  <w:footnote w:id="4">
    <w:p w14:paraId="1942BD2F" w14:textId="77777777" w:rsidR="00EB5BF3" w:rsidRPr="00745D72" w:rsidRDefault="00EB5BF3" w:rsidP="000212F7">
      <w:pPr>
        <w:pStyle w:val="FootnoteText"/>
        <w:rPr>
          <w:rFonts w:cstheme="minorHAnsi"/>
        </w:rPr>
      </w:pPr>
      <w:r w:rsidRPr="00745D72">
        <w:rPr>
          <w:rStyle w:val="FootnoteReference"/>
          <w:rFonts w:cstheme="minorHAnsi"/>
        </w:rPr>
        <w:footnoteRef/>
      </w:r>
      <w:r w:rsidRPr="00745D72">
        <w:rPr>
          <w:rFonts w:cstheme="minorHAnsi"/>
        </w:rPr>
        <w:t xml:space="preserve"> The vision of the framework is a world of living in harmony with nature where: “By 2050, biodiversity is valued, conserved, restored and wisely used, maintaining ecosystem services, sustaining a healthy planet and delivering benefits essential for all people.” </w:t>
      </w:r>
    </w:p>
    <w:p w14:paraId="3060867F" w14:textId="77777777" w:rsidR="00EB5BF3" w:rsidRPr="00745D72" w:rsidRDefault="00EB5BF3" w:rsidP="001A4F7B">
      <w:pPr>
        <w:pStyle w:val="FootnoteText"/>
        <w:rPr>
          <w:rFonts w:cstheme="minorHAnsi"/>
        </w:rPr>
      </w:pPr>
    </w:p>
  </w:footnote>
  <w:footnote w:id="5">
    <w:p w14:paraId="2F15547A" w14:textId="77777777" w:rsidR="00EB5BF3" w:rsidRPr="00745D72" w:rsidRDefault="00EB5BF3" w:rsidP="001A4F7B">
      <w:pPr>
        <w:pStyle w:val="FootnoteText"/>
        <w:rPr>
          <w:rFonts w:cstheme="minorHAnsi"/>
        </w:rPr>
      </w:pPr>
      <w:r w:rsidRPr="00745D72">
        <w:rPr>
          <w:rStyle w:val="FootnoteReference"/>
          <w:rFonts w:cstheme="minorHAnsi"/>
        </w:rPr>
        <w:footnoteRef/>
      </w:r>
      <w:r w:rsidRPr="00745D72">
        <w:rPr>
          <w:rFonts w:cstheme="minorHAnsi"/>
        </w:rPr>
        <w:t xml:space="preserve"> </w:t>
      </w:r>
      <w:r w:rsidRPr="00745D72">
        <w:rPr>
          <w:rFonts w:cstheme="minorHAnsi"/>
          <w:b/>
          <w:bCs/>
          <w:lang w:val="en-US"/>
        </w:rPr>
        <w:t>Zero Draft, para 5</w:t>
      </w:r>
      <w:r w:rsidRPr="00745D72">
        <w:rPr>
          <w:rFonts w:cstheme="minorHAnsi"/>
          <w:lang w:val="en-US"/>
        </w:rPr>
        <w:t xml:space="preserve">: </w:t>
      </w:r>
      <w:r w:rsidRPr="00745D72">
        <w:rPr>
          <w:rFonts w:cstheme="minorHAnsi"/>
        </w:rPr>
        <w:t xml:space="preserve">The framework is built around </w:t>
      </w:r>
      <w:r>
        <w:rPr>
          <w:rFonts w:cstheme="minorHAnsi"/>
        </w:rPr>
        <w:t>a theory of change (see above</w:t>
      </w:r>
      <w:r w:rsidRPr="00745D72">
        <w:rPr>
          <w:rFonts w:cstheme="minorHAnsi"/>
        </w:rPr>
        <w:t>)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w:t>
      </w:r>
      <w:r w:rsidRPr="00745D72">
        <w:rPr>
          <w:rFonts w:cstheme="minorHAnsi"/>
          <w:lang w:val="en-US"/>
        </w:rPr>
        <w:t>.</w:t>
      </w:r>
      <w:r w:rsidRPr="00745D72">
        <w:rPr>
          <w:rFonts w:cstheme="minorHAnsi"/>
        </w:rPr>
        <w:t>”</w:t>
      </w:r>
      <w:r w:rsidRPr="00745D72">
        <w:rPr>
          <w:rFonts w:cstheme="minorHAnsi"/>
          <w:lang w:val="en-US"/>
        </w:rPr>
        <w:t xml:space="preserve"> </w:t>
      </w:r>
      <w:r w:rsidRPr="00745D72">
        <w:rPr>
          <w:rFonts w:cstheme="minorHAnsi"/>
          <w:b/>
          <w:bCs/>
          <w:lang w:val="en-US"/>
        </w:rPr>
        <w:t>Para 6</w:t>
      </w:r>
      <w:r w:rsidRPr="00745D72">
        <w:rPr>
          <w:rFonts w:cstheme="minorHAnsi"/>
          <w:lang w:val="en-US"/>
        </w:rPr>
        <w:t xml:space="preserve">: </w:t>
      </w:r>
      <w:r w:rsidRPr="00745D72">
        <w:rPr>
          <w:rFonts w:cstheme="minorHAnsi"/>
        </w:rPr>
        <w:t>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(i) enabling conditions, and (ii) adequate means of implementation, including financial resources, capacity and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33A"/>
    <w:multiLevelType w:val="hybridMultilevel"/>
    <w:tmpl w:val="D8A24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3CE"/>
    <w:multiLevelType w:val="hybridMultilevel"/>
    <w:tmpl w:val="C9B854FA"/>
    <w:lvl w:ilvl="0" w:tplc="18CC9C96">
      <w:start w:val="1"/>
      <w:numFmt w:val="lowerRoman"/>
      <w:lvlText w:val="%1."/>
      <w:lvlJc w:val="left"/>
      <w:pPr>
        <w:ind w:left="426" w:hanging="360"/>
      </w:pPr>
      <w:rPr>
        <w:rFonts w:ascii="Calibri" w:eastAsia="Times New Roman" w:hAnsi="Calibri" w:cstheme="minorHAnsi"/>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F43C10"/>
    <w:multiLevelType w:val="hybridMultilevel"/>
    <w:tmpl w:val="D58C1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23225"/>
    <w:multiLevelType w:val="hybridMultilevel"/>
    <w:tmpl w:val="C2C4743C"/>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1" w15:restartNumberingAfterBreak="0">
    <w:nsid w:val="30364EC5"/>
    <w:multiLevelType w:val="hybridMultilevel"/>
    <w:tmpl w:val="908276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182993"/>
    <w:multiLevelType w:val="hybridMultilevel"/>
    <w:tmpl w:val="73504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475AF"/>
    <w:multiLevelType w:val="hybridMultilevel"/>
    <w:tmpl w:val="21D69A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11B5C"/>
    <w:multiLevelType w:val="hybridMultilevel"/>
    <w:tmpl w:val="43A0D4A4"/>
    <w:lvl w:ilvl="0" w:tplc="4ABC872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A3C62"/>
    <w:multiLevelType w:val="hybridMultilevel"/>
    <w:tmpl w:val="79D69DD8"/>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2171B"/>
    <w:multiLevelType w:val="hybridMultilevel"/>
    <w:tmpl w:val="4D38E062"/>
    <w:lvl w:ilvl="0" w:tplc="0C09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8850436"/>
    <w:multiLevelType w:val="hybridMultilevel"/>
    <w:tmpl w:val="7ECA9D2E"/>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96B9E"/>
    <w:multiLevelType w:val="hybridMultilevel"/>
    <w:tmpl w:val="FB56A2A4"/>
    <w:lvl w:ilvl="0" w:tplc="15DA8912">
      <w:start w:val="1"/>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731669F5"/>
    <w:multiLevelType w:val="hybridMultilevel"/>
    <w:tmpl w:val="EA823BE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945807"/>
    <w:multiLevelType w:val="hybridMultilevel"/>
    <w:tmpl w:val="185CEDF8"/>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FF5289D"/>
    <w:multiLevelType w:val="hybridMultilevel"/>
    <w:tmpl w:val="A34631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
  </w:num>
  <w:num w:numId="4">
    <w:abstractNumId w:val="2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3"/>
  </w:num>
  <w:num w:numId="14">
    <w:abstractNumId w:val="23"/>
  </w:num>
  <w:num w:numId="15">
    <w:abstractNumId w:val="12"/>
  </w:num>
  <w:num w:numId="16">
    <w:abstractNumId w:val="4"/>
  </w:num>
  <w:num w:numId="17">
    <w:abstractNumId w:val="27"/>
  </w:num>
  <w:num w:numId="18">
    <w:abstractNumId w:val="31"/>
  </w:num>
  <w:num w:numId="19">
    <w:abstractNumId w:val="17"/>
  </w:num>
  <w:num w:numId="20">
    <w:abstractNumId w:val="14"/>
  </w:num>
  <w:num w:numId="21">
    <w:abstractNumId w:val="6"/>
  </w:num>
  <w:num w:numId="22">
    <w:abstractNumId w:val="28"/>
  </w:num>
  <w:num w:numId="23">
    <w:abstractNumId w:val="22"/>
  </w:num>
  <w:num w:numId="24">
    <w:abstractNumId w:val="20"/>
  </w:num>
  <w:num w:numId="25">
    <w:abstractNumId w:val="30"/>
  </w:num>
  <w:num w:numId="26">
    <w:abstractNumId w:val="9"/>
  </w:num>
  <w:num w:numId="27">
    <w:abstractNumId w:val="21"/>
  </w:num>
  <w:num w:numId="28">
    <w:abstractNumId w:val="24"/>
  </w:num>
  <w:num w:numId="29">
    <w:abstractNumId w:val="0"/>
  </w:num>
  <w:num w:numId="30">
    <w:abstractNumId w:val="18"/>
  </w:num>
  <w:num w:numId="31">
    <w:abstractNumId w:val="7"/>
  </w:num>
  <w:num w:numId="32">
    <w:abstractNumId w:val="2"/>
  </w:num>
  <w:num w:numId="33">
    <w:abstractNumId w:val="8"/>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AC"/>
    <w:rsid w:val="00005553"/>
    <w:rsid w:val="000064CE"/>
    <w:rsid w:val="00016D3B"/>
    <w:rsid w:val="000212F7"/>
    <w:rsid w:val="00035BDC"/>
    <w:rsid w:val="000415FC"/>
    <w:rsid w:val="00052D61"/>
    <w:rsid w:val="00074236"/>
    <w:rsid w:val="00075B39"/>
    <w:rsid w:val="000772A3"/>
    <w:rsid w:val="00082A18"/>
    <w:rsid w:val="0009202B"/>
    <w:rsid w:val="00092DFC"/>
    <w:rsid w:val="000B5066"/>
    <w:rsid w:val="000B69BD"/>
    <w:rsid w:val="00101702"/>
    <w:rsid w:val="00102C55"/>
    <w:rsid w:val="00132989"/>
    <w:rsid w:val="0014198E"/>
    <w:rsid w:val="00141F0B"/>
    <w:rsid w:val="001429AA"/>
    <w:rsid w:val="00150BA0"/>
    <w:rsid w:val="00154E71"/>
    <w:rsid w:val="00160863"/>
    <w:rsid w:val="001823A8"/>
    <w:rsid w:val="001844D5"/>
    <w:rsid w:val="00196543"/>
    <w:rsid w:val="001A1DB4"/>
    <w:rsid w:val="001A4F7B"/>
    <w:rsid w:val="001B1515"/>
    <w:rsid w:val="001C497C"/>
    <w:rsid w:val="001C74C1"/>
    <w:rsid w:val="001C7586"/>
    <w:rsid w:val="002140DA"/>
    <w:rsid w:val="00217C4D"/>
    <w:rsid w:val="002300F3"/>
    <w:rsid w:val="00232AE6"/>
    <w:rsid w:val="0023372C"/>
    <w:rsid w:val="00235AAC"/>
    <w:rsid w:val="00260CC2"/>
    <w:rsid w:val="002661A8"/>
    <w:rsid w:val="002914FE"/>
    <w:rsid w:val="002917D6"/>
    <w:rsid w:val="002B0071"/>
    <w:rsid w:val="002B192B"/>
    <w:rsid w:val="002B42A4"/>
    <w:rsid w:val="002B7490"/>
    <w:rsid w:val="002C1F40"/>
    <w:rsid w:val="002C2818"/>
    <w:rsid w:val="002C37C8"/>
    <w:rsid w:val="002C3BEA"/>
    <w:rsid w:val="002C6ADF"/>
    <w:rsid w:val="00340DCD"/>
    <w:rsid w:val="00345703"/>
    <w:rsid w:val="0038004A"/>
    <w:rsid w:val="00383B2A"/>
    <w:rsid w:val="00387D1B"/>
    <w:rsid w:val="00392961"/>
    <w:rsid w:val="003A7767"/>
    <w:rsid w:val="003B3310"/>
    <w:rsid w:val="003B41D2"/>
    <w:rsid w:val="003C2999"/>
    <w:rsid w:val="003C59BE"/>
    <w:rsid w:val="003F3E8D"/>
    <w:rsid w:val="003F7271"/>
    <w:rsid w:val="00406337"/>
    <w:rsid w:val="00407D78"/>
    <w:rsid w:val="00414269"/>
    <w:rsid w:val="00417A9E"/>
    <w:rsid w:val="00422B5D"/>
    <w:rsid w:val="0043571A"/>
    <w:rsid w:val="00437B5A"/>
    <w:rsid w:val="00440846"/>
    <w:rsid w:val="004508F8"/>
    <w:rsid w:val="004510AC"/>
    <w:rsid w:val="0046647B"/>
    <w:rsid w:val="004745C0"/>
    <w:rsid w:val="00487F9D"/>
    <w:rsid w:val="004954FE"/>
    <w:rsid w:val="004A0F46"/>
    <w:rsid w:val="004A16ED"/>
    <w:rsid w:val="004C7DA7"/>
    <w:rsid w:val="004E186D"/>
    <w:rsid w:val="004F136B"/>
    <w:rsid w:val="004F25DC"/>
    <w:rsid w:val="005172B3"/>
    <w:rsid w:val="0052041E"/>
    <w:rsid w:val="005344E4"/>
    <w:rsid w:val="00557B02"/>
    <w:rsid w:val="00573505"/>
    <w:rsid w:val="00575970"/>
    <w:rsid w:val="0058799E"/>
    <w:rsid w:val="005904DB"/>
    <w:rsid w:val="0059363A"/>
    <w:rsid w:val="005A15D8"/>
    <w:rsid w:val="005A2EAE"/>
    <w:rsid w:val="005B1C09"/>
    <w:rsid w:val="005C2C6E"/>
    <w:rsid w:val="005F081B"/>
    <w:rsid w:val="005F0FC0"/>
    <w:rsid w:val="005F415C"/>
    <w:rsid w:val="005F62E1"/>
    <w:rsid w:val="00611789"/>
    <w:rsid w:val="00611EEE"/>
    <w:rsid w:val="00617802"/>
    <w:rsid w:val="00622EC6"/>
    <w:rsid w:val="006245F0"/>
    <w:rsid w:val="00626AB3"/>
    <w:rsid w:val="0064271C"/>
    <w:rsid w:val="00646E93"/>
    <w:rsid w:val="00650CBB"/>
    <w:rsid w:val="0065333C"/>
    <w:rsid w:val="00662A2B"/>
    <w:rsid w:val="006727E7"/>
    <w:rsid w:val="00681C17"/>
    <w:rsid w:val="00682A3D"/>
    <w:rsid w:val="00683B64"/>
    <w:rsid w:val="0069447A"/>
    <w:rsid w:val="0069706B"/>
    <w:rsid w:val="006A25E5"/>
    <w:rsid w:val="006B1B2F"/>
    <w:rsid w:val="006C0143"/>
    <w:rsid w:val="006C170E"/>
    <w:rsid w:val="006C5C7C"/>
    <w:rsid w:val="006D60B8"/>
    <w:rsid w:val="006F7DDF"/>
    <w:rsid w:val="00706737"/>
    <w:rsid w:val="00706943"/>
    <w:rsid w:val="00707227"/>
    <w:rsid w:val="00714A0D"/>
    <w:rsid w:val="007279BF"/>
    <w:rsid w:val="0073353F"/>
    <w:rsid w:val="00742BC6"/>
    <w:rsid w:val="00753106"/>
    <w:rsid w:val="00753F52"/>
    <w:rsid w:val="007543C0"/>
    <w:rsid w:val="007750FD"/>
    <w:rsid w:val="0078713E"/>
    <w:rsid w:val="00796D4B"/>
    <w:rsid w:val="007B2AA3"/>
    <w:rsid w:val="007B3F4B"/>
    <w:rsid w:val="007C030B"/>
    <w:rsid w:val="007D381A"/>
    <w:rsid w:val="007D4850"/>
    <w:rsid w:val="007D6A59"/>
    <w:rsid w:val="007D7DE3"/>
    <w:rsid w:val="007F0E8B"/>
    <w:rsid w:val="00801B2A"/>
    <w:rsid w:val="008107D1"/>
    <w:rsid w:val="0081474F"/>
    <w:rsid w:val="008304BA"/>
    <w:rsid w:val="00831C92"/>
    <w:rsid w:val="008329CC"/>
    <w:rsid w:val="00837B58"/>
    <w:rsid w:val="00837D4D"/>
    <w:rsid w:val="00854ED0"/>
    <w:rsid w:val="00855404"/>
    <w:rsid w:val="00872CBD"/>
    <w:rsid w:val="008A1985"/>
    <w:rsid w:val="008A56D9"/>
    <w:rsid w:val="008B3A80"/>
    <w:rsid w:val="008C0F2D"/>
    <w:rsid w:val="008C2262"/>
    <w:rsid w:val="008D1102"/>
    <w:rsid w:val="008D6A4D"/>
    <w:rsid w:val="008E428D"/>
    <w:rsid w:val="008F4CDE"/>
    <w:rsid w:val="008F670B"/>
    <w:rsid w:val="009028FD"/>
    <w:rsid w:val="0091346B"/>
    <w:rsid w:val="00921DC2"/>
    <w:rsid w:val="00924DC4"/>
    <w:rsid w:val="009513CE"/>
    <w:rsid w:val="00965133"/>
    <w:rsid w:val="0097202E"/>
    <w:rsid w:val="00972729"/>
    <w:rsid w:val="00977782"/>
    <w:rsid w:val="00984171"/>
    <w:rsid w:val="0099249B"/>
    <w:rsid w:val="00992516"/>
    <w:rsid w:val="00992A93"/>
    <w:rsid w:val="00993157"/>
    <w:rsid w:val="009946B6"/>
    <w:rsid w:val="009B436F"/>
    <w:rsid w:val="009B63BE"/>
    <w:rsid w:val="009C57A3"/>
    <w:rsid w:val="009C5C1E"/>
    <w:rsid w:val="009D0325"/>
    <w:rsid w:val="009D5FEC"/>
    <w:rsid w:val="009E56B2"/>
    <w:rsid w:val="009E65F0"/>
    <w:rsid w:val="00A00DB0"/>
    <w:rsid w:val="00A30461"/>
    <w:rsid w:val="00A3066B"/>
    <w:rsid w:val="00A30882"/>
    <w:rsid w:val="00A356AF"/>
    <w:rsid w:val="00A50DDB"/>
    <w:rsid w:val="00A57D24"/>
    <w:rsid w:val="00A676C7"/>
    <w:rsid w:val="00A71E13"/>
    <w:rsid w:val="00A7336E"/>
    <w:rsid w:val="00A77DBB"/>
    <w:rsid w:val="00A851C0"/>
    <w:rsid w:val="00A9164A"/>
    <w:rsid w:val="00AA5A79"/>
    <w:rsid w:val="00AC0845"/>
    <w:rsid w:val="00AC6621"/>
    <w:rsid w:val="00AC6C1C"/>
    <w:rsid w:val="00AF0567"/>
    <w:rsid w:val="00AF332D"/>
    <w:rsid w:val="00AF39B7"/>
    <w:rsid w:val="00AF4BCE"/>
    <w:rsid w:val="00B142C8"/>
    <w:rsid w:val="00B17C09"/>
    <w:rsid w:val="00B201F6"/>
    <w:rsid w:val="00B26A0C"/>
    <w:rsid w:val="00B36A8C"/>
    <w:rsid w:val="00B53186"/>
    <w:rsid w:val="00B661DE"/>
    <w:rsid w:val="00B66B6F"/>
    <w:rsid w:val="00B776DB"/>
    <w:rsid w:val="00B87CE7"/>
    <w:rsid w:val="00B90CD4"/>
    <w:rsid w:val="00B928CE"/>
    <w:rsid w:val="00BA289C"/>
    <w:rsid w:val="00BA2AF7"/>
    <w:rsid w:val="00BB243C"/>
    <w:rsid w:val="00BB4B70"/>
    <w:rsid w:val="00C07C71"/>
    <w:rsid w:val="00C26D66"/>
    <w:rsid w:val="00C27AF2"/>
    <w:rsid w:val="00C30847"/>
    <w:rsid w:val="00C43E57"/>
    <w:rsid w:val="00C64826"/>
    <w:rsid w:val="00C73F7D"/>
    <w:rsid w:val="00C8420A"/>
    <w:rsid w:val="00C87A27"/>
    <w:rsid w:val="00C9469F"/>
    <w:rsid w:val="00CA0BD7"/>
    <w:rsid w:val="00CA55CE"/>
    <w:rsid w:val="00CA6F22"/>
    <w:rsid w:val="00CC0E71"/>
    <w:rsid w:val="00CC13B9"/>
    <w:rsid w:val="00CD5721"/>
    <w:rsid w:val="00CD5947"/>
    <w:rsid w:val="00CF2C36"/>
    <w:rsid w:val="00D1452E"/>
    <w:rsid w:val="00D25A5D"/>
    <w:rsid w:val="00D5795B"/>
    <w:rsid w:val="00D64845"/>
    <w:rsid w:val="00DA14D3"/>
    <w:rsid w:val="00DA7887"/>
    <w:rsid w:val="00DC1D2F"/>
    <w:rsid w:val="00DC3FC8"/>
    <w:rsid w:val="00DC77AD"/>
    <w:rsid w:val="00DD342C"/>
    <w:rsid w:val="00DD494F"/>
    <w:rsid w:val="00DE64D1"/>
    <w:rsid w:val="00DE7BFA"/>
    <w:rsid w:val="00DF0B3E"/>
    <w:rsid w:val="00DF5E98"/>
    <w:rsid w:val="00E10394"/>
    <w:rsid w:val="00E15DC2"/>
    <w:rsid w:val="00E22EE2"/>
    <w:rsid w:val="00E33784"/>
    <w:rsid w:val="00E502C8"/>
    <w:rsid w:val="00E5310F"/>
    <w:rsid w:val="00E56F22"/>
    <w:rsid w:val="00E62AE8"/>
    <w:rsid w:val="00E661E4"/>
    <w:rsid w:val="00E71EFD"/>
    <w:rsid w:val="00E80A8F"/>
    <w:rsid w:val="00E84950"/>
    <w:rsid w:val="00E954F8"/>
    <w:rsid w:val="00EB4DF3"/>
    <w:rsid w:val="00EB5BF3"/>
    <w:rsid w:val="00EB7045"/>
    <w:rsid w:val="00EC104A"/>
    <w:rsid w:val="00EC3D6B"/>
    <w:rsid w:val="00EE5F7B"/>
    <w:rsid w:val="00EE7E28"/>
    <w:rsid w:val="00F0096D"/>
    <w:rsid w:val="00F00A39"/>
    <w:rsid w:val="00F123AE"/>
    <w:rsid w:val="00F20744"/>
    <w:rsid w:val="00F368F8"/>
    <w:rsid w:val="00F60FB8"/>
    <w:rsid w:val="00F67A4E"/>
    <w:rsid w:val="00F729D9"/>
    <w:rsid w:val="00F74F8F"/>
    <w:rsid w:val="00F84817"/>
    <w:rsid w:val="00F86B5A"/>
    <w:rsid w:val="00F87529"/>
    <w:rsid w:val="00F91897"/>
    <w:rsid w:val="00F91A4B"/>
    <w:rsid w:val="00F9430E"/>
    <w:rsid w:val="00FB061A"/>
    <w:rsid w:val="00FC5EEA"/>
    <w:rsid w:val="00FC6BD1"/>
    <w:rsid w:val="00FD19D7"/>
    <w:rsid w:val="00FE38E0"/>
    <w:rsid w:val="00FE4F87"/>
    <w:rsid w:val="00FF1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C857"/>
  <w15:docId w15:val="{E96FF8E2-DF0B-4820-A473-7AEC3D8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0BA0"/>
    <w:pPr>
      <w:spacing w:after="0" w:line="240" w:lineRule="auto"/>
      <w:ind w:left="720" w:hanging="425"/>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52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1E"/>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52041E"/>
    <w:pPr>
      <w:ind w:left="720"/>
      <w:contextualSpacing/>
    </w:pPr>
  </w:style>
  <w:style w:type="table" w:styleId="TableGrid">
    <w:name w:val="Table Grid"/>
    <w:basedOn w:val="TableNormal"/>
    <w:uiPriority w:val="39"/>
    <w:rsid w:val="00A3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30E"/>
    <w:rPr>
      <w:color w:val="0563C1" w:themeColor="hyperlink"/>
      <w:u w:val="single"/>
    </w:rPr>
  </w:style>
  <w:style w:type="paragraph" w:styleId="CommentText">
    <w:name w:val="annotation text"/>
    <w:basedOn w:val="Normal"/>
    <w:link w:val="CommentTextChar"/>
    <w:uiPriority w:val="99"/>
    <w:unhideWhenUsed/>
    <w:rsid w:val="001C497C"/>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1C497C"/>
    <w:rPr>
      <w:sz w:val="20"/>
      <w:szCs w:val="20"/>
      <w:lang w:val="en-US"/>
    </w:rPr>
  </w:style>
  <w:style w:type="character" w:styleId="CommentReference">
    <w:name w:val="annotation reference"/>
    <w:basedOn w:val="DefaultParagraphFont"/>
    <w:uiPriority w:val="99"/>
    <w:semiHidden/>
    <w:unhideWhenUsed/>
    <w:rsid w:val="0097202E"/>
    <w:rPr>
      <w:sz w:val="16"/>
      <w:szCs w:val="16"/>
    </w:rPr>
  </w:style>
  <w:style w:type="character" w:styleId="FollowedHyperlink">
    <w:name w:val="FollowedHyperlink"/>
    <w:basedOn w:val="DefaultParagraphFont"/>
    <w:uiPriority w:val="99"/>
    <w:semiHidden/>
    <w:unhideWhenUsed/>
    <w:rsid w:val="004954FE"/>
    <w:rPr>
      <w:color w:val="954F72" w:themeColor="followedHyperlink"/>
      <w:u w:val="single"/>
    </w:rPr>
  </w:style>
  <w:style w:type="character" w:customStyle="1" w:styleId="ListParagraphChar">
    <w:name w:val="List Paragraph Char"/>
    <w:aliases w:val="Rec para Char,List Paragraph (numbered (a)) Char"/>
    <w:link w:val="ListParagraph"/>
    <w:uiPriority w:val="34"/>
    <w:locked/>
    <w:rsid w:val="00854ED0"/>
  </w:style>
  <w:style w:type="character" w:customStyle="1" w:styleId="paralevel1Char">
    <w:name w:val="para level 1 Char"/>
    <w:link w:val="paralevel1"/>
    <w:locked/>
    <w:rsid w:val="00854ED0"/>
    <w:rPr>
      <w:rFonts w:ascii="Times New Roman" w:eastAsia="Times New Roman" w:hAnsi="Times New Roman" w:cs="Arial"/>
      <w:sz w:val="20"/>
      <w:szCs w:val="20"/>
    </w:rPr>
  </w:style>
  <w:style w:type="paragraph" w:customStyle="1" w:styleId="paralevel1">
    <w:name w:val="para level 1"/>
    <w:basedOn w:val="Normal"/>
    <w:link w:val="paralevel1Char"/>
    <w:rsid w:val="00854ED0"/>
    <w:pPr>
      <w:numPr>
        <w:numId w:val="6"/>
      </w:numPr>
      <w:spacing w:after="120" w:line="240" w:lineRule="auto"/>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1A4F7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A4F7B"/>
    <w:rPr>
      <w:sz w:val="20"/>
      <w:szCs w:val="20"/>
      <w:lang w:val="en-GB"/>
    </w:rPr>
  </w:style>
  <w:style w:type="character" w:styleId="FootnoteReference">
    <w:name w:val="footnote reference"/>
    <w:basedOn w:val="DefaultParagraphFont"/>
    <w:uiPriority w:val="99"/>
    <w:semiHidden/>
    <w:unhideWhenUsed/>
    <w:rsid w:val="001A4F7B"/>
    <w:rPr>
      <w:vertAlign w:val="superscript"/>
    </w:rPr>
  </w:style>
  <w:style w:type="paragraph" w:styleId="Header">
    <w:name w:val="header"/>
    <w:basedOn w:val="Normal"/>
    <w:link w:val="HeaderChar"/>
    <w:uiPriority w:val="99"/>
    <w:unhideWhenUsed/>
    <w:rsid w:val="00FC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D1"/>
  </w:style>
  <w:style w:type="paragraph" w:styleId="Footer">
    <w:name w:val="footer"/>
    <w:basedOn w:val="Normal"/>
    <w:link w:val="FooterChar"/>
    <w:uiPriority w:val="99"/>
    <w:unhideWhenUsed/>
    <w:rsid w:val="00FC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D1"/>
  </w:style>
  <w:style w:type="paragraph" w:styleId="NormalWeb">
    <w:name w:val="Normal (Web)"/>
    <w:basedOn w:val="Normal"/>
    <w:uiPriority w:val="99"/>
    <w:unhideWhenUsed/>
    <w:rsid w:val="00965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46E93"/>
    <w:pPr>
      <w:spacing w:after="0" w:line="240" w:lineRule="auto"/>
    </w:pPr>
  </w:style>
  <w:style w:type="paragraph" w:customStyle="1" w:styleId="Default">
    <w:name w:val="Default"/>
    <w:rsid w:val="000415FC"/>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8799E"/>
    <w:pPr>
      <w:spacing w:after="160"/>
    </w:pPr>
    <w:rPr>
      <w:b/>
      <w:bCs/>
      <w:lang w:val="en-AU"/>
    </w:rPr>
  </w:style>
  <w:style w:type="character" w:customStyle="1" w:styleId="CommentSubjectChar">
    <w:name w:val="Comment Subject Char"/>
    <w:basedOn w:val="CommentTextChar"/>
    <w:link w:val="CommentSubject"/>
    <w:uiPriority w:val="99"/>
    <w:semiHidden/>
    <w:rsid w:val="0058799E"/>
    <w:rPr>
      <w:b/>
      <w:bCs/>
      <w:sz w:val="20"/>
      <w:szCs w:val="20"/>
      <w:lang w:val="en-US"/>
    </w:rPr>
  </w:style>
  <w:style w:type="character" w:customStyle="1" w:styleId="UnresolvedMention1">
    <w:name w:val="Unresolved Mention1"/>
    <w:basedOn w:val="DefaultParagraphFont"/>
    <w:uiPriority w:val="99"/>
    <w:semiHidden/>
    <w:unhideWhenUsed/>
    <w:rsid w:val="00EE5F7B"/>
    <w:rPr>
      <w:color w:val="605E5C"/>
      <w:shd w:val="clear" w:color="auto" w:fill="E1DFDD"/>
    </w:rPr>
  </w:style>
  <w:style w:type="character" w:customStyle="1" w:styleId="UnresolvedMention2">
    <w:name w:val="Unresolved Mention2"/>
    <w:basedOn w:val="DefaultParagraphFont"/>
    <w:uiPriority w:val="99"/>
    <w:semiHidden/>
    <w:unhideWhenUsed/>
    <w:rsid w:val="00F67A4E"/>
    <w:rPr>
      <w:color w:val="605E5C"/>
      <w:shd w:val="clear" w:color="auto" w:fill="E1DFDD"/>
    </w:rPr>
  </w:style>
  <w:style w:type="character" w:styleId="Strong">
    <w:name w:val="Strong"/>
    <w:basedOn w:val="DefaultParagraphFont"/>
    <w:uiPriority w:val="22"/>
    <w:qFormat/>
    <w:rsid w:val="00141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07">
      <w:bodyDiv w:val="1"/>
      <w:marLeft w:val="0"/>
      <w:marRight w:val="0"/>
      <w:marTop w:val="0"/>
      <w:marBottom w:val="0"/>
      <w:divBdr>
        <w:top w:val="none" w:sz="0" w:space="0" w:color="auto"/>
        <w:left w:val="none" w:sz="0" w:space="0" w:color="auto"/>
        <w:bottom w:val="none" w:sz="0" w:space="0" w:color="auto"/>
        <w:right w:val="none" w:sz="0" w:space="0" w:color="auto"/>
      </w:divBdr>
    </w:div>
    <w:div w:id="255796802">
      <w:bodyDiv w:val="1"/>
      <w:marLeft w:val="0"/>
      <w:marRight w:val="0"/>
      <w:marTop w:val="0"/>
      <w:marBottom w:val="0"/>
      <w:divBdr>
        <w:top w:val="none" w:sz="0" w:space="0" w:color="auto"/>
        <w:left w:val="none" w:sz="0" w:space="0" w:color="auto"/>
        <w:bottom w:val="none" w:sz="0" w:space="0" w:color="auto"/>
        <w:right w:val="none" w:sz="0" w:space="0" w:color="auto"/>
      </w:divBdr>
    </w:div>
    <w:div w:id="327562520">
      <w:bodyDiv w:val="1"/>
      <w:marLeft w:val="0"/>
      <w:marRight w:val="0"/>
      <w:marTop w:val="0"/>
      <w:marBottom w:val="0"/>
      <w:divBdr>
        <w:top w:val="none" w:sz="0" w:space="0" w:color="auto"/>
        <w:left w:val="none" w:sz="0" w:space="0" w:color="auto"/>
        <w:bottom w:val="none" w:sz="0" w:space="0" w:color="auto"/>
        <w:right w:val="none" w:sz="0" w:space="0" w:color="auto"/>
      </w:divBdr>
    </w:div>
    <w:div w:id="385033517">
      <w:bodyDiv w:val="1"/>
      <w:marLeft w:val="0"/>
      <w:marRight w:val="0"/>
      <w:marTop w:val="0"/>
      <w:marBottom w:val="0"/>
      <w:divBdr>
        <w:top w:val="none" w:sz="0" w:space="0" w:color="auto"/>
        <w:left w:val="none" w:sz="0" w:space="0" w:color="auto"/>
        <w:bottom w:val="none" w:sz="0" w:space="0" w:color="auto"/>
        <w:right w:val="none" w:sz="0" w:space="0" w:color="auto"/>
      </w:divBdr>
    </w:div>
    <w:div w:id="411437545">
      <w:bodyDiv w:val="1"/>
      <w:marLeft w:val="0"/>
      <w:marRight w:val="0"/>
      <w:marTop w:val="0"/>
      <w:marBottom w:val="0"/>
      <w:divBdr>
        <w:top w:val="none" w:sz="0" w:space="0" w:color="auto"/>
        <w:left w:val="none" w:sz="0" w:space="0" w:color="auto"/>
        <w:bottom w:val="none" w:sz="0" w:space="0" w:color="auto"/>
        <w:right w:val="none" w:sz="0" w:space="0" w:color="auto"/>
      </w:divBdr>
    </w:div>
    <w:div w:id="414669014">
      <w:bodyDiv w:val="1"/>
      <w:marLeft w:val="0"/>
      <w:marRight w:val="0"/>
      <w:marTop w:val="0"/>
      <w:marBottom w:val="0"/>
      <w:divBdr>
        <w:top w:val="none" w:sz="0" w:space="0" w:color="auto"/>
        <w:left w:val="none" w:sz="0" w:space="0" w:color="auto"/>
        <w:bottom w:val="none" w:sz="0" w:space="0" w:color="auto"/>
        <w:right w:val="none" w:sz="0" w:space="0" w:color="auto"/>
      </w:divBdr>
    </w:div>
    <w:div w:id="429467104">
      <w:bodyDiv w:val="1"/>
      <w:marLeft w:val="0"/>
      <w:marRight w:val="0"/>
      <w:marTop w:val="0"/>
      <w:marBottom w:val="0"/>
      <w:divBdr>
        <w:top w:val="none" w:sz="0" w:space="0" w:color="auto"/>
        <w:left w:val="none" w:sz="0" w:space="0" w:color="auto"/>
        <w:bottom w:val="none" w:sz="0" w:space="0" w:color="auto"/>
        <w:right w:val="none" w:sz="0" w:space="0" w:color="auto"/>
      </w:divBdr>
    </w:div>
    <w:div w:id="489953747">
      <w:bodyDiv w:val="1"/>
      <w:marLeft w:val="0"/>
      <w:marRight w:val="0"/>
      <w:marTop w:val="0"/>
      <w:marBottom w:val="0"/>
      <w:divBdr>
        <w:top w:val="none" w:sz="0" w:space="0" w:color="auto"/>
        <w:left w:val="none" w:sz="0" w:space="0" w:color="auto"/>
        <w:bottom w:val="none" w:sz="0" w:space="0" w:color="auto"/>
        <w:right w:val="none" w:sz="0" w:space="0" w:color="auto"/>
      </w:divBdr>
    </w:div>
    <w:div w:id="504370737">
      <w:bodyDiv w:val="1"/>
      <w:marLeft w:val="0"/>
      <w:marRight w:val="0"/>
      <w:marTop w:val="0"/>
      <w:marBottom w:val="0"/>
      <w:divBdr>
        <w:top w:val="none" w:sz="0" w:space="0" w:color="auto"/>
        <w:left w:val="none" w:sz="0" w:space="0" w:color="auto"/>
        <w:bottom w:val="none" w:sz="0" w:space="0" w:color="auto"/>
        <w:right w:val="none" w:sz="0" w:space="0" w:color="auto"/>
      </w:divBdr>
    </w:div>
    <w:div w:id="506410836">
      <w:bodyDiv w:val="1"/>
      <w:marLeft w:val="0"/>
      <w:marRight w:val="0"/>
      <w:marTop w:val="0"/>
      <w:marBottom w:val="0"/>
      <w:divBdr>
        <w:top w:val="none" w:sz="0" w:space="0" w:color="auto"/>
        <w:left w:val="none" w:sz="0" w:space="0" w:color="auto"/>
        <w:bottom w:val="none" w:sz="0" w:space="0" w:color="auto"/>
        <w:right w:val="none" w:sz="0" w:space="0" w:color="auto"/>
      </w:divBdr>
    </w:div>
    <w:div w:id="528572894">
      <w:bodyDiv w:val="1"/>
      <w:marLeft w:val="0"/>
      <w:marRight w:val="0"/>
      <w:marTop w:val="0"/>
      <w:marBottom w:val="0"/>
      <w:divBdr>
        <w:top w:val="none" w:sz="0" w:space="0" w:color="auto"/>
        <w:left w:val="none" w:sz="0" w:space="0" w:color="auto"/>
        <w:bottom w:val="none" w:sz="0" w:space="0" w:color="auto"/>
        <w:right w:val="none" w:sz="0" w:space="0" w:color="auto"/>
      </w:divBdr>
    </w:div>
    <w:div w:id="540215169">
      <w:bodyDiv w:val="1"/>
      <w:marLeft w:val="0"/>
      <w:marRight w:val="0"/>
      <w:marTop w:val="0"/>
      <w:marBottom w:val="0"/>
      <w:divBdr>
        <w:top w:val="none" w:sz="0" w:space="0" w:color="auto"/>
        <w:left w:val="none" w:sz="0" w:space="0" w:color="auto"/>
        <w:bottom w:val="none" w:sz="0" w:space="0" w:color="auto"/>
        <w:right w:val="none" w:sz="0" w:space="0" w:color="auto"/>
      </w:divBdr>
    </w:div>
    <w:div w:id="547451365">
      <w:bodyDiv w:val="1"/>
      <w:marLeft w:val="0"/>
      <w:marRight w:val="0"/>
      <w:marTop w:val="0"/>
      <w:marBottom w:val="0"/>
      <w:divBdr>
        <w:top w:val="none" w:sz="0" w:space="0" w:color="auto"/>
        <w:left w:val="none" w:sz="0" w:space="0" w:color="auto"/>
        <w:bottom w:val="none" w:sz="0" w:space="0" w:color="auto"/>
        <w:right w:val="none" w:sz="0" w:space="0" w:color="auto"/>
      </w:divBdr>
    </w:div>
    <w:div w:id="579874149">
      <w:bodyDiv w:val="1"/>
      <w:marLeft w:val="0"/>
      <w:marRight w:val="0"/>
      <w:marTop w:val="0"/>
      <w:marBottom w:val="0"/>
      <w:divBdr>
        <w:top w:val="none" w:sz="0" w:space="0" w:color="auto"/>
        <w:left w:val="none" w:sz="0" w:space="0" w:color="auto"/>
        <w:bottom w:val="none" w:sz="0" w:space="0" w:color="auto"/>
        <w:right w:val="none" w:sz="0" w:space="0" w:color="auto"/>
      </w:divBdr>
    </w:div>
    <w:div w:id="584266922">
      <w:bodyDiv w:val="1"/>
      <w:marLeft w:val="0"/>
      <w:marRight w:val="0"/>
      <w:marTop w:val="0"/>
      <w:marBottom w:val="0"/>
      <w:divBdr>
        <w:top w:val="none" w:sz="0" w:space="0" w:color="auto"/>
        <w:left w:val="none" w:sz="0" w:space="0" w:color="auto"/>
        <w:bottom w:val="none" w:sz="0" w:space="0" w:color="auto"/>
        <w:right w:val="none" w:sz="0" w:space="0" w:color="auto"/>
      </w:divBdr>
    </w:div>
    <w:div w:id="614366377">
      <w:bodyDiv w:val="1"/>
      <w:marLeft w:val="0"/>
      <w:marRight w:val="0"/>
      <w:marTop w:val="0"/>
      <w:marBottom w:val="0"/>
      <w:divBdr>
        <w:top w:val="none" w:sz="0" w:space="0" w:color="auto"/>
        <w:left w:val="none" w:sz="0" w:space="0" w:color="auto"/>
        <w:bottom w:val="none" w:sz="0" w:space="0" w:color="auto"/>
        <w:right w:val="none" w:sz="0" w:space="0" w:color="auto"/>
      </w:divBdr>
    </w:div>
    <w:div w:id="699665454">
      <w:bodyDiv w:val="1"/>
      <w:marLeft w:val="0"/>
      <w:marRight w:val="0"/>
      <w:marTop w:val="0"/>
      <w:marBottom w:val="0"/>
      <w:divBdr>
        <w:top w:val="none" w:sz="0" w:space="0" w:color="auto"/>
        <w:left w:val="none" w:sz="0" w:space="0" w:color="auto"/>
        <w:bottom w:val="none" w:sz="0" w:space="0" w:color="auto"/>
        <w:right w:val="none" w:sz="0" w:space="0" w:color="auto"/>
      </w:divBdr>
    </w:div>
    <w:div w:id="732697044">
      <w:bodyDiv w:val="1"/>
      <w:marLeft w:val="0"/>
      <w:marRight w:val="0"/>
      <w:marTop w:val="0"/>
      <w:marBottom w:val="0"/>
      <w:divBdr>
        <w:top w:val="none" w:sz="0" w:space="0" w:color="auto"/>
        <w:left w:val="none" w:sz="0" w:space="0" w:color="auto"/>
        <w:bottom w:val="none" w:sz="0" w:space="0" w:color="auto"/>
        <w:right w:val="none" w:sz="0" w:space="0" w:color="auto"/>
      </w:divBdr>
    </w:div>
    <w:div w:id="794444203">
      <w:bodyDiv w:val="1"/>
      <w:marLeft w:val="0"/>
      <w:marRight w:val="0"/>
      <w:marTop w:val="0"/>
      <w:marBottom w:val="0"/>
      <w:divBdr>
        <w:top w:val="none" w:sz="0" w:space="0" w:color="auto"/>
        <w:left w:val="none" w:sz="0" w:space="0" w:color="auto"/>
        <w:bottom w:val="none" w:sz="0" w:space="0" w:color="auto"/>
        <w:right w:val="none" w:sz="0" w:space="0" w:color="auto"/>
      </w:divBdr>
    </w:div>
    <w:div w:id="797576114">
      <w:bodyDiv w:val="1"/>
      <w:marLeft w:val="0"/>
      <w:marRight w:val="0"/>
      <w:marTop w:val="0"/>
      <w:marBottom w:val="0"/>
      <w:divBdr>
        <w:top w:val="none" w:sz="0" w:space="0" w:color="auto"/>
        <w:left w:val="none" w:sz="0" w:space="0" w:color="auto"/>
        <w:bottom w:val="none" w:sz="0" w:space="0" w:color="auto"/>
        <w:right w:val="none" w:sz="0" w:space="0" w:color="auto"/>
      </w:divBdr>
    </w:div>
    <w:div w:id="844899091">
      <w:bodyDiv w:val="1"/>
      <w:marLeft w:val="0"/>
      <w:marRight w:val="0"/>
      <w:marTop w:val="0"/>
      <w:marBottom w:val="0"/>
      <w:divBdr>
        <w:top w:val="none" w:sz="0" w:space="0" w:color="auto"/>
        <w:left w:val="none" w:sz="0" w:space="0" w:color="auto"/>
        <w:bottom w:val="none" w:sz="0" w:space="0" w:color="auto"/>
        <w:right w:val="none" w:sz="0" w:space="0" w:color="auto"/>
      </w:divBdr>
    </w:div>
    <w:div w:id="866482317">
      <w:bodyDiv w:val="1"/>
      <w:marLeft w:val="0"/>
      <w:marRight w:val="0"/>
      <w:marTop w:val="0"/>
      <w:marBottom w:val="0"/>
      <w:divBdr>
        <w:top w:val="none" w:sz="0" w:space="0" w:color="auto"/>
        <w:left w:val="none" w:sz="0" w:space="0" w:color="auto"/>
        <w:bottom w:val="none" w:sz="0" w:space="0" w:color="auto"/>
        <w:right w:val="none" w:sz="0" w:space="0" w:color="auto"/>
      </w:divBdr>
    </w:div>
    <w:div w:id="942423770">
      <w:bodyDiv w:val="1"/>
      <w:marLeft w:val="0"/>
      <w:marRight w:val="0"/>
      <w:marTop w:val="0"/>
      <w:marBottom w:val="0"/>
      <w:divBdr>
        <w:top w:val="none" w:sz="0" w:space="0" w:color="auto"/>
        <w:left w:val="none" w:sz="0" w:space="0" w:color="auto"/>
        <w:bottom w:val="none" w:sz="0" w:space="0" w:color="auto"/>
        <w:right w:val="none" w:sz="0" w:space="0" w:color="auto"/>
      </w:divBdr>
    </w:div>
    <w:div w:id="982857811">
      <w:bodyDiv w:val="1"/>
      <w:marLeft w:val="0"/>
      <w:marRight w:val="0"/>
      <w:marTop w:val="0"/>
      <w:marBottom w:val="0"/>
      <w:divBdr>
        <w:top w:val="none" w:sz="0" w:space="0" w:color="auto"/>
        <w:left w:val="none" w:sz="0" w:space="0" w:color="auto"/>
        <w:bottom w:val="none" w:sz="0" w:space="0" w:color="auto"/>
        <w:right w:val="none" w:sz="0" w:space="0" w:color="auto"/>
      </w:divBdr>
    </w:div>
    <w:div w:id="1031228310">
      <w:bodyDiv w:val="1"/>
      <w:marLeft w:val="0"/>
      <w:marRight w:val="0"/>
      <w:marTop w:val="0"/>
      <w:marBottom w:val="0"/>
      <w:divBdr>
        <w:top w:val="none" w:sz="0" w:space="0" w:color="auto"/>
        <w:left w:val="none" w:sz="0" w:space="0" w:color="auto"/>
        <w:bottom w:val="none" w:sz="0" w:space="0" w:color="auto"/>
        <w:right w:val="none" w:sz="0" w:space="0" w:color="auto"/>
      </w:divBdr>
    </w:div>
    <w:div w:id="1045449211">
      <w:bodyDiv w:val="1"/>
      <w:marLeft w:val="0"/>
      <w:marRight w:val="0"/>
      <w:marTop w:val="0"/>
      <w:marBottom w:val="0"/>
      <w:divBdr>
        <w:top w:val="none" w:sz="0" w:space="0" w:color="auto"/>
        <w:left w:val="none" w:sz="0" w:space="0" w:color="auto"/>
        <w:bottom w:val="none" w:sz="0" w:space="0" w:color="auto"/>
        <w:right w:val="none" w:sz="0" w:space="0" w:color="auto"/>
      </w:divBdr>
    </w:div>
    <w:div w:id="1062144013">
      <w:bodyDiv w:val="1"/>
      <w:marLeft w:val="0"/>
      <w:marRight w:val="0"/>
      <w:marTop w:val="0"/>
      <w:marBottom w:val="0"/>
      <w:divBdr>
        <w:top w:val="none" w:sz="0" w:space="0" w:color="auto"/>
        <w:left w:val="none" w:sz="0" w:space="0" w:color="auto"/>
        <w:bottom w:val="none" w:sz="0" w:space="0" w:color="auto"/>
        <w:right w:val="none" w:sz="0" w:space="0" w:color="auto"/>
      </w:divBdr>
    </w:div>
    <w:div w:id="1167744031">
      <w:bodyDiv w:val="1"/>
      <w:marLeft w:val="0"/>
      <w:marRight w:val="0"/>
      <w:marTop w:val="0"/>
      <w:marBottom w:val="0"/>
      <w:divBdr>
        <w:top w:val="none" w:sz="0" w:space="0" w:color="auto"/>
        <w:left w:val="none" w:sz="0" w:space="0" w:color="auto"/>
        <w:bottom w:val="none" w:sz="0" w:space="0" w:color="auto"/>
        <w:right w:val="none" w:sz="0" w:space="0" w:color="auto"/>
      </w:divBdr>
    </w:div>
    <w:div w:id="1177697623">
      <w:bodyDiv w:val="1"/>
      <w:marLeft w:val="0"/>
      <w:marRight w:val="0"/>
      <w:marTop w:val="0"/>
      <w:marBottom w:val="0"/>
      <w:divBdr>
        <w:top w:val="none" w:sz="0" w:space="0" w:color="auto"/>
        <w:left w:val="none" w:sz="0" w:space="0" w:color="auto"/>
        <w:bottom w:val="none" w:sz="0" w:space="0" w:color="auto"/>
        <w:right w:val="none" w:sz="0" w:space="0" w:color="auto"/>
      </w:divBdr>
    </w:div>
    <w:div w:id="1182472292">
      <w:bodyDiv w:val="1"/>
      <w:marLeft w:val="0"/>
      <w:marRight w:val="0"/>
      <w:marTop w:val="0"/>
      <w:marBottom w:val="0"/>
      <w:divBdr>
        <w:top w:val="none" w:sz="0" w:space="0" w:color="auto"/>
        <w:left w:val="none" w:sz="0" w:space="0" w:color="auto"/>
        <w:bottom w:val="none" w:sz="0" w:space="0" w:color="auto"/>
        <w:right w:val="none" w:sz="0" w:space="0" w:color="auto"/>
      </w:divBdr>
    </w:div>
    <w:div w:id="1374303938">
      <w:bodyDiv w:val="1"/>
      <w:marLeft w:val="0"/>
      <w:marRight w:val="0"/>
      <w:marTop w:val="0"/>
      <w:marBottom w:val="0"/>
      <w:divBdr>
        <w:top w:val="none" w:sz="0" w:space="0" w:color="auto"/>
        <w:left w:val="none" w:sz="0" w:space="0" w:color="auto"/>
        <w:bottom w:val="none" w:sz="0" w:space="0" w:color="auto"/>
        <w:right w:val="none" w:sz="0" w:space="0" w:color="auto"/>
      </w:divBdr>
    </w:div>
    <w:div w:id="1376854279">
      <w:bodyDiv w:val="1"/>
      <w:marLeft w:val="0"/>
      <w:marRight w:val="0"/>
      <w:marTop w:val="0"/>
      <w:marBottom w:val="0"/>
      <w:divBdr>
        <w:top w:val="none" w:sz="0" w:space="0" w:color="auto"/>
        <w:left w:val="none" w:sz="0" w:space="0" w:color="auto"/>
        <w:bottom w:val="none" w:sz="0" w:space="0" w:color="auto"/>
        <w:right w:val="none" w:sz="0" w:space="0" w:color="auto"/>
      </w:divBdr>
    </w:div>
    <w:div w:id="1413234261">
      <w:bodyDiv w:val="1"/>
      <w:marLeft w:val="0"/>
      <w:marRight w:val="0"/>
      <w:marTop w:val="0"/>
      <w:marBottom w:val="0"/>
      <w:divBdr>
        <w:top w:val="none" w:sz="0" w:space="0" w:color="auto"/>
        <w:left w:val="none" w:sz="0" w:space="0" w:color="auto"/>
        <w:bottom w:val="none" w:sz="0" w:space="0" w:color="auto"/>
        <w:right w:val="none" w:sz="0" w:space="0" w:color="auto"/>
      </w:divBdr>
    </w:div>
    <w:div w:id="1456949597">
      <w:bodyDiv w:val="1"/>
      <w:marLeft w:val="0"/>
      <w:marRight w:val="0"/>
      <w:marTop w:val="0"/>
      <w:marBottom w:val="0"/>
      <w:divBdr>
        <w:top w:val="none" w:sz="0" w:space="0" w:color="auto"/>
        <w:left w:val="none" w:sz="0" w:space="0" w:color="auto"/>
        <w:bottom w:val="none" w:sz="0" w:space="0" w:color="auto"/>
        <w:right w:val="none" w:sz="0" w:space="0" w:color="auto"/>
      </w:divBdr>
    </w:div>
    <w:div w:id="1540703480">
      <w:bodyDiv w:val="1"/>
      <w:marLeft w:val="0"/>
      <w:marRight w:val="0"/>
      <w:marTop w:val="0"/>
      <w:marBottom w:val="0"/>
      <w:divBdr>
        <w:top w:val="none" w:sz="0" w:space="0" w:color="auto"/>
        <w:left w:val="none" w:sz="0" w:space="0" w:color="auto"/>
        <w:bottom w:val="none" w:sz="0" w:space="0" w:color="auto"/>
        <w:right w:val="none" w:sz="0" w:space="0" w:color="auto"/>
      </w:divBdr>
    </w:div>
    <w:div w:id="1628077864">
      <w:bodyDiv w:val="1"/>
      <w:marLeft w:val="0"/>
      <w:marRight w:val="0"/>
      <w:marTop w:val="0"/>
      <w:marBottom w:val="0"/>
      <w:divBdr>
        <w:top w:val="none" w:sz="0" w:space="0" w:color="auto"/>
        <w:left w:val="none" w:sz="0" w:space="0" w:color="auto"/>
        <w:bottom w:val="none" w:sz="0" w:space="0" w:color="auto"/>
        <w:right w:val="none" w:sz="0" w:space="0" w:color="auto"/>
      </w:divBdr>
    </w:div>
    <w:div w:id="1636567496">
      <w:bodyDiv w:val="1"/>
      <w:marLeft w:val="0"/>
      <w:marRight w:val="0"/>
      <w:marTop w:val="0"/>
      <w:marBottom w:val="0"/>
      <w:divBdr>
        <w:top w:val="none" w:sz="0" w:space="0" w:color="auto"/>
        <w:left w:val="none" w:sz="0" w:space="0" w:color="auto"/>
        <w:bottom w:val="none" w:sz="0" w:space="0" w:color="auto"/>
        <w:right w:val="none" w:sz="0" w:space="0" w:color="auto"/>
      </w:divBdr>
    </w:div>
    <w:div w:id="1641230133">
      <w:bodyDiv w:val="1"/>
      <w:marLeft w:val="0"/>
      <w:marRight w:val="0"/>
      <w:marTop w:val="0"/>
      <w:marBottom w:val="0"/>
      <w:divBdr>
        <w:top w:val="none" w:sz="0" w:space="0" w:color="auto"/>
        <w:left w:val="none" w:sz="0" w:space="0" w:color="auto"/>
        <w:bottom w:val="none" w:sz="0" w:space="0" w:color="auto"/>
        <w:right w:val="none" w:sz="0" w:space="0" w:color="auto"/>
      </w:divBdr>
    </w:div>
    <w:div w:id="1648700216">
      <w:bodyDiv w:val="1"/>
      <w:marLeft w:val="0"/>
      <w:marRight w:val="0"/>
      <w:marTop w:val="0"/>
      <w:marBottom w:val="0"/>
      <w:divBdr>
        <w:top w:val="none" w:sz="0" w:space="0" w:color="auto"/>
        <w:left w:val="none" w:sz="0" w:space="0" w:color="auto"/>
        <w:bottom w:val="none" w:sz="0" w:space="0" w:color="auto"/>
        <w:right w:val="none" w:sz="0" w:space="0" w:color="auto"/>
      </w:divBdr>
    </w:div>
    <w:div w:id="1718775274">
      <w:bodyDiv w:val="1"/>
      <w:marLeft w:val="0"/>
      <w:marRight w:val="0"/>
      <w:marTop w:val="0"/>
      <w:marBottom w:val="0"/>
      <w:divBdr>
        <w:top w:val="none" w:sz="0" w:space="0" w:color="auto"/>
        <w:left w:val="none" w:sz="0" w:space="0" w:color="auto"/>
        <w:bottom w:val="none" w:sz="0" w:space="0" w:color="auto"/>
        <w:right w:val="none" w:sz="0" w:space="0" w:color="auto"/>
      </w:divBdr>
    </w:div>
    <w:div w:id="1776628716">
      <w:bodyDiv w:val="1"/>
      <w:marLeft w:val="0"/>
      <w:marRight w:val="0"/>
      <w:marTop w:val="0"/>
      <w:marBottom w:val="0"/>
      <w:divBdr>
        <w:top w:val="none" w:sz="0" w:space="0" w:color="auto"/>
        <w:left w:val="none" w:sz="0" w:space="0" w:color="auto"/>
        <w:bottom w:val="none" w:sz="0" w:space="0" w:color="auto"/>
        <w:right w:val="none" w:sz="0" w:space="0" w:color="auto"/>
      </w:divBdr>
    </w:div>
    <w:div w:id="1919751873">
      <w:bodyDiv w:val="1"/>
      <w:marLeft w:val="0"/>
      <w:marRight w:val="0"/>
      <w:marTop w:val="0"/>
      <w:marBottom w:val="0"/>
      <w:divBdr>
        <w:top w:val="none" w:sz="0" w:space="0" w:color="auto"/>
        <w:left w:val="none" w:sz="0" w:space="0" w:color="auto"/>
        <w:bottom w:val="none" w:sz="0" w:space="0" w:color="auto"/>
        <w:right w:val="none" w:sz="0" w:space="0" w:color="auto"/>
      </w:divBdr>
    </w:div>
    <w:div w:id="2046902438">
      <w:bodyDiv w:val="1"/>
      <w:marLeft w:val="0"/>
      <w:marRight w:val="0"/>
      <w:marTop w:val="0"/>
      <w:marBottom w:val="0"/>
      <w:divBdr>
        <w:top w:val="none" w:sz="0" w:space="0" w:color="auto"/>
        <w:left w:val="none" w:sz="0" w:space="0" w:color="auto"/>
        <w:bottom w:val="none" w:sz="0" w:space="0" w:color="auto"/>
        <w:right w:val="none" w:sz="0" w:space="0" w:color="auto"/>
      </w:divBdr>
    </w:div>
    <w:div w:id="2070378304">
      <w:bodyDiv w:val="1"/>
      <w:marLeft w:val="0"/>
      <w:marRight w:val="0"/>
      <w:marTop w:val="0"/>
      <w:marBottom w:val="0"/>
      <w:divBdr>
        <w:top w:val="none" w:sz="0" w:space="0" w:color="auto"/>
        <w:left w:val="none" w:sz="0" w:space="0" w:color="auto"/>
        <w:bottom w:val="none" w:sz="0" w:space="0" w:color="auto"/>
        <w:right w:val="none" w:sz="0" w:space="0" w:color="auto"/>
      </w:divBdr>
    </w:div>
    <w:div w:id="21337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pdf/res/key_res_x_22_e.pdf" TargetMode="External"/><Relationship Id="rId18" Type="http://schemas.openxmlformats.org/officeDocument/2006/relationships/hyperlink" Target="https://www.ramsar.org/sites/default/files/documents/pdf/lib/lib_rtr03.pdf" TargetMode="External"/><Relationship Id="rId26" Type="http://schemas.openxmlformats.org/officeDocument/2006/relationships/hyperlink" Target="https://www.ramsar.org/sites/default/files/documents/library/cop12_res07_resource_mobilization_e.pdf" TargetMode="External"/><Relationship Id="rId39" Type="http://schemas.openxmlformats.org/officeDocument/2006/relationships/hyperlink" Target="https://www.ramsar.org/document/guidance-on-mainstreaming-gender-under-the-ramsar-convention-on-wetlands-0" TargetMode="External"/><Relationship Id="rId21" Type="http://schemas.openxmlformats.org/officeDocument/2006/relationships/hyperlink" Target="https://www.ramsar.org/sites/default/files/documents/library/xiii.13_peatland_restoration_e.pdf" TargetMode="External"/><Relationship Id="rId34" Type="http://schemas.openxmlformats.org/officeDocument/2006/relationships/hyperlink" Target="https://unstats.un.org/sdgs/metadata?Text=&amp;Goal=15&amp;Target=15.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resources/training-webinar-on-national-wetlands-inventories" TargetMode="External"/><Relationship Id="rId20" Type="http://schemas.openxmlformats.org/officeDocument/2006/relationships/hyperlink" Target="https://www.ramsar.org/sites/default/files/documents/pdf/res/key_res_viii_16_e.pdf" TargetMode="External"/><Relationship Id="rId29" Type="http://schemas.openxmlformats.org/officeDocument/2006/relationships/hyperlink" Target="https://www.ramsar.org/resources/training-webinar-on-the-green-climate-fun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pdf/cop10/cop10_doc32_e.pdf" TargetMode="External"/><Relationship Id="rId24" Type="http://schemas.openxmlformats.org/officeDocument/2006/relationships/hyperlink" Target="https://www.ramsar.org/sites/default/files/documents/library/about_nfp_2014_en.pdf" TargetMode="External"/><Relationship Id="rId32" Type="http://schemas.openxmlformats.org/officeDocument/2006/relationships/hyperlink" Target="https://sdgs.un.org/goals/goal15" TargetMode="External"/><Relationship Id="rId37" Type="http://schemas.openxmlformats.org/officeDocument/2006/relationships/hyperlink" Target="https://www.cbd.int/article/zero-draft-update-august-20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msar.org/sites/default/files/documents/library/nwi_toolkit_2020_e.pdf" TargetMode="External"/><Relationship Id="rId23" Type="http://schemas.openxmlformats.org/officeDocument/2006/relationships/hyperlink" Target="https://www.ramsar.org/sites/default/files/documents/library/cop12_res09_cepa_e_0.pdf" TargetMode="External"/><Relationship Id="rId28" Type="http://schemas.openxmlformats.org/officeDocument/2006/relationships/hyperlink" Target="https://www.ramsar.org/resources/training-webinar-on-grant-writing" TargetMode="External"/><Relationship Id="rId36" Type="http://schemas.openxmlformats.org/officeDocument/2006/relationships/hyperlink" Target="https://www.ramsar.org/sites/default/files/documents/library/xiii.7_synergies_e.pdf" TargetMode="External"/><Relationship Id="rId10" Type="http://schemas.openxmlformats.org/officeDocument/2006/relationships/hyperlink" Target="https://www.ramsar.org/sites/default/files/documents/pdf/cop11/res/cop11-res20-e.pdf" TargetMode="External"/><Relationship Id="rId19" Type="http://schemas.openxmlformats.org/officeDocument/2006/relationships/hyperlink" Target="https://www.ramsar.org/sites/default/files/documents/pdf/res/key_res_ix_21_e.pdf" TargetMode="External"/><Relationship Id="rId31" Type="http://schemas.openxmlformats.org/officeDocument/2006/relationships/hyperlink" Target="https://sdgs.un.org/goals/goal14" TargetMode="External"/><Relationship Id="rId4" Type="http://schemas.openxmlformats.org/officeDocument/2006/relationships/settings" Target="settings.xml"/><Relationship Id="rId9" Type="http://schemas.openxmlformats.org/officeDocument/2006/relationships/hyperlink" Target="https://www.ramsar.org/sites/default/files/documents/library/key_res_x_12_e.pdf" TargetMode="External"/><Relationship Id="rId14" Type="http://schemas.openxmlformats.org/officeDocument/2006/relationships/hyperlink" Target="https://www.ramsar.org/sites/default/files/documents/pdf/res/key_res_viii_38_e.pdf" TargetMode="External"/><Relationship Id="rId22" Type="http://schemas.openxmlformats.org/officeDocument/2006/relationships/hyperlink" Target="https://www.ramsar.org/activity/wetlands-cepa-methods" TargetMode="External"/><Relationship Id="rId27" Type="http://schemas.openxmlformats.org/officeDocument/2006/relationships/hyperlink" Target="https://www.ramsar.org/sites/default/files/documents/library/xiii.7_synergies_e.pdf" TargetMode="External"/><Relationship Id="rId30" Type="http://schemas.openxmlformats.org/officeDocument/2006/relationships/hyperlink" Target="https://www.ramsar.org/sites/default/files/documents/library/xiii.7_synergies_e.pdf" TargetMode="External"/><Relationship Id="rId35" Type="http://schemas.openxmlformats.org/officeDocument/2006/relationships/hyperlink" Target="https://www.ramsar.org/sites/default/files/documents/library/wetlands_sdgs_e.pdf" TargetMode="External"/><Relationship Id="rId8" Type="http://schemas.openxmlformats.org/officeDocument/2006/relationships/hyperlink" Target="https://www.ramsar.org/sites/default/files/documents/pdf/lib/hbk4-05.pdf" TargetMode="External"/><Relationship Id="rId3" Type="http://schemas.openxmlformats.org/officeDocument/2006/relationships/styles" Target="styles.xml"/><Relationship Id="rId12" Type="http://schemas.openxmlformats.org/officeDocument/2006/relationships/hyperlink" Target="https://www.ramsar.org/sites/default/files/documents/library/list_of_transboundary_sites.pdf" TargetMode="External"/><Relationship Id="rId17" Type="http://schemas.openxmlformats.org/officeDocument/2006/relationships/hyperlink" Target="https://www.ramsar.org/sites/default/files/documents/library/xiii.19_agriculture_e.pdf" TargetMode="External"/><Relationship Id="rId25" Type="http://schemas.openxmlformats.org/officeDocument/2006/relationships/hyperlink" Target="https://www.ramsar.org/sites/default/files/documents/library/key_rec_5.07e.pdf" TargetMode="External"/><Relationship Id="rId33" Type="http://schemas.openxmlformats.org/officeDocument/2006/relationships/hyperlink" Target="https://unstats.un.org/sdgs/metadata/?Text=&amp;Goal=&amp;Target=14.2"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845A-BB20-451A-8C97-2CB1881D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8047</Words>
  <Characters>45871</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MOP</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Eyles</dc:creator>
  <cp:lastModifiedBy>Ed Jennings</cp:lastModifiedBy>
  <cp:revision>2</cp:revision>
  <cp:lastPrinted>2021-04-29T04:48:00Z</cp:lastPrinted>
  <dcterms:created xsi:type="dcterms:W3CDTF">2021-05-25T15:17:00Z</dcterms:created>
  <dcterms:modified xsi:type="dcterms:W3CDTF">2021-05-25T15:17:00Z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2021-04-15T16:12:54.8685344Z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425ca411-3044-4006-9a7d-b79387f75634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