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22F58" w14:textId="591D93E0" w:rsidR="00DF2386" w:rsidRPr="00DE556D" w:rsidRDefault="007C635C" w:rsidP="006F198C">
      <w:pPr>
        <w:pBdr>
          <w:top w:val="single" w:sz="12" w:space="0" w:color="auto" w:shadow="1"/>
          <w:left w:val="single" w:sz="12" w:space="4" w:color="auto" w:shadow="1"/>
          <w:bottom w:val="single" w:sz="12" w:space="1" w:color="auto" w:shadow="1"/>
          <w:right w:val="single" w:sz="12" w:space="1" w:color="auto" w:shadow="1"/>
        </w:pBdr>
        <w:tabs>
          <w:tab w:val="left" w:pos="5245"/>
        </w:tabs>
        <w:suppressAutoHyphens/>
        <w:spacing w:after="0" w:line="240" w:lineRule="auto"/>
        <w:ind w:right="3289"/>
        <w:rPr>
          <w:bCs/>
        </w:rPr>
      </w:pPr>
      <w:r w:rsidRPr="00DE556D">
        <w:rPr>
          <w:bCs/>
        </w:rPr>
        <w:t>CONVENCIÓN SOBRE LOS HUMEDALES</w:t>
      </w:r>
    </w:p>
    <w:p w14:paraId="1A2818AD" w14:textId="1C345BE2" w:rsidR="00FE30AE" w:rsidRPr="00DE556D" w:rsidRDefault="007C635C" w:rsidP="006F198C">
      <w:pPr>
        <w:pBdr>
          <w:top w:val="single" w:sz="12" w:space="0" w:color="auto" w:shadow="1"/>
          <w:left w:val="single" w:sz="12" w:space="4" w:color="auto" w:shadow="1"/>
          <w:bottom w:val="single" w:sz="12" w:space="1" w:color="auto" w:shadow="1"/>
          <w:right w:val="single" w:sz="12" w:space="1" w:color="auto" w:shadow="1"/>
        </w:pBdr>
        <w:tabs>
          <w:tab w:val="left" w:pos="5245"/>
        </w:tabs>
        <w:suppressAutoHyphens/>
        <w:spacing w:after="0" w:line="240" w:lineRule="auto"/>
        <w:ind w:right="3289"/>
        <w:rPr>
          <w:bCs/>
        </w:rPr>
      </w:pPr>
      <w:r w:rsidRPr="00DE556D">
        <w:rPr>
          <w:bCs/>
        </w:rPr>
        <w:t xml:space="preserve">Proceso entre </w:t>
      </w:r>
      <w:r w:rsidR="00FF34E7" w:rsidRPr="00DE556D">
        <w:rPr>
          <w:bCs/>
        </w:rPr>
        <w:t xml:space="preserve">periodos </w:t>
      </w:r>
      <w:r w:rsidR="006F198C" w:rsidRPr="00793A17">
        <w:rPr>
          <w:rFonts w:cstheme="minorHAnsi"/>
          <w:bCs/>
          <w:lang w:val="es-ES"/>
        </w:rPr>
        <w:t>de sesiones del Comité Permanente</w:t>
      </w:r>
    </w:p>
    <w:p w14:paraId="2CC68E91" w14:textId="4416AA0F" w:rsidR="000D0D3E" w:rsidRPr="00DE556D" w:rsidRDefault="00282418" w:rsidP="006F198C">
      <w:pPr>
        <w:pBdr>
          <w:top w:val="single" w:sz="12" w:space="0" w:color="auto" w:shadow="1"/>
          <w:left w:val="single" w:sz="12" w:space="4" w:color="auto" w:shadow="1"/>
          <w:bottom w:val="single" w:sz="12" w:space="1" w:color="auto" w:shadow="1"/>
          <w:right w:val="single" w:sz="12" w:space="1" w:color="auto" w:shadow="1"/>
        </w:pBdr>
        <w:tabs>
          <w:tab w:val="left" w:pos="5245"/>
        </w:tabs>
        <w:suppressAutoHyphens/>
        <w:spacing w:after="0" w:line="240" w:lineRule="auto"/>
        <w:ind w:right="3289"/>
        <w:rPr>
          <w:rFonts w:cs="Arial"/>
          <w:b/>
          <w:sz w:val="28"/>
          <w:szCs w:val="28"/>
        </w:rPr>
      </w:pPr>
      <w:r w:rsidRPr="00DE556D">
        <w:rPr>
          <w:bCs/>
        </w:rPr>
        <w:t>2</w:t>
      </w:r>
      <w:r w:rsidR="00FE30AE" w:rsidRPr="00DE556D">
        <w:rPr>
          <w:bCs/>
        </w:rPr>
        <w:t>3</w:t>
      </w:r>
      <w:r w:rsidRPr="00DE556D">
        <w:rPr>
          <w:bCs/>
        </w:rPr>
        <w:t xml:space="preserve"> – 2</w:t>
      </w:r>
      <w:r w:rsidR="00FE30AE" w:rsidRPr="00DE556D">
        <w:rPr>
          <w:bCs/>
        </w:rPr>
        <w:t>5</w:t>
      </w:r>
      <w:r w:rsidR="007C635C" w:rsidRPr="00DE556D">
        <w:rPr>
          <w:bCs/>
        </w:rPr>
        <w:t xml:space="preserve"> junio</w:t>
      </w:r>
      <w:r w:rsidRPr="00DE556D">
        <w:rPr>
          <w:bCs/>
        </w:rPr>
        <w:t xml:space="preserve"> 20</w:t>
      </w:r>
      <w:r w:rsidR="00FE30AE" w:rsidRPr="00DE556D">
        <w:rPr>
          <w:bCs/>
        </w:rPr>
        <w:t>20</w:t>
      </w:r>
    </w:p>
    <w:p w14:paraId="106E35B1" w14:textId="77777777" w:rsidR="00C04170" w:rsidRPr="00DE556D" w:rsidRDefault="00C04170" w:rsidP="004D41FF">
      <w:pPr>
        <w:spacing w:after="0" w:line="240" w:lineRule="auto"/>
        <w:jc w:val="center"/>
        <w:rPr>
          <w:rFonts w:cs="Arial"/>
          <w:b/>
          <w:sz w:val="28"/>
          <w:szCs w:val="28"/>
        </w:rPr>
      </w:pPr>
    </w:p>
    <w:p w14:paraId="06B9E6C6" w14:textId="77777777" w:rsidR="00771C39" w:rsidRPr="00DE556D" w:rsidRDefault="00771C39" w:rsidP="004D41FF">
      <w:pPr>
        <w:spacing w:after="0" w:line="240" w:lineRule="auto"/>
        <w:jc w:val="center"/>
        <w:rPr>
          <w:rFonts w:cs="Arial"/>
          <w:b/>
          <w:sz w:val="28"/>
          <w:szCs w:val="28"/>
        </w:rPr>
      </w:pPr>
    </w:p>
    <w:p w14:paraId="37322AA5" w14:textId="73B41BB7" w:rsidR="001F715E" w:rsidRPr="00DE556D" w:rsidRDefault="00F372B9" w:rsidP="004D41FF">
      <w:pPr>
        <w:spacing w:after="0" w:line="240" w:lineRule="auto"/>
        <w:jc w:val="center"/>
        <w:rPr>
          <w:bCs/>
        </w:rPr>
      </w:pPr>
      <w:r>
        <w:rPr>
          <w:rFonts w:cs="Arial"/>
          <w:b/>
          <w:sz w:val="28"/>
          <w:szCs w:val="28"/>
        </w:rPr>
        <w:t>O</w:t>
      </w:r>
      <w:r w:rsidRPr="00F372B9">
        <w:rPr>
          <w:rFonts w:cs="Arial"/>
          <w:b/>
          <w:sz w:val="28"/>
          <w:szCs w:val="28"/>
        </w:rPr>
        <w:t>rden del día provisional</w:t>
      </w:r>
      <w:r w:rsidRPr="00F372B9">
        <w:rPr>
          <w:rFonts w:cs="Arial"/>
          <w:b/>
          <w:sz w:val="28"/>
          <w:szCs w:val="28"/>
        </w:rPr>
        <w:tab/>
      </w:r>
    </w:p>
    <w:p w14:paraId="2B4A7189" w14:textId="2E715A4C" w:rsidR="009E3705" w:rsidRDefault="009E3705" w:rsidP="004D41FF">
      <w:pPr>
        <w:spacing w:after="0" w:line="240" w:lineRule="auto"/>
        <w:jc w:val="center"/>
        <w:rPr>
          <w:rFonts w:asciiTheme="minorHAnsi" w:hAnsiTheme="minorHAnsi" w:cstheme="minorHAnsi"/>
          <w:b/>
        </w:rPr>
      </w:pPr>
    </w:p>
    <w:p w14:paraId="4DA1F3F2" w14:textId="77777777" w:rsidR="00F372B9" w:rsidRPr="00DE556D" w:rsidRDefault="00F372B9" w:rsidP="004D41FF">
      <w:pPr>
        <w:spacing w:after="0" w:line="240" w:lineRule="auto"/>
        <w:jc w:val="center"/>
        <w:rPr>
          <w:rFonts w:asciiTheme="minorHAnsi" w:hAnsiTheme="minorHAnsi" w:cstheme="minorHAnsi"/>
          <w:b/>
        </w:rPr>
      </w:pPr>
    </w:p>
    <w:p w14:paraId="04429C42" w14:textId="56C91E1B" w:rsidR="009E3705" w:rsidRPr="00DE556D" w:rsidRDefault="007C635C" w:rsidP="00F372B9">
      <w:pPr>
        <w:spacing w:after="0" w:line="240" w:lineRule="auto"/>
        <w:rPr>
          <w:rFonts w:asciiTheme="minorHAnsi" w:hAnsiTheme="minorHAnsi" w:cstheme="minorHAnsi"/>
          <w:b/>
        </w:rPr>
      </w:pPr>
      <w:r w:rsidRPr="00DE556D">
        <w:rPr>
          <w:rFonts w:asciiTheme="minorHAnsi" w:hAnsiTheme="minorHAnsi" w:cstheme="minorHAnsi"/>
          <w:b/>
        </w:rPr>
        <w:t>Martes</w:t>
      </w:r>
      <w:r w:rsidR="00E6570B" w:rsidRPr="00DE556D">
        <w:rPr>
          <w:rFonts w:asciiTheme="minorHAnsi" w:hAnsiTheme="minorHAnsi" w:cstheme="minorHAnsi"/>
          <w:b/>
        </w:rPr>
        <w:t xml:space="preserve"> </w:t>
      </w:r>
      <w:r w:rsidR="009E3705" w:rsidRPr="00DE556D">
        <w:rPr>
          <w:rFonts w:asciiTheme="minorHAnsi" w:hAnsiTheme="minorHAnsi" w:cstheme="minorHAnsi"/>
          <w:b/>
        </w:rPr>
        <w:t xml:space="preserve">23 </w:t>
      </w:r>
      <w:r w:rsidRPr="00DE556D">
        <w:rPr>
          <w:rFonts w:asciiTheme="minorHAnsi" w:hAnsiTheme="minorHAnsi" w:cstheme="minorHAnsi"/>
          <w:b/>
        </w:rPr>
        <w:t xml:space="preserve">de </w:t>
      </w:r>
      <w:r w:rsidR="00F23FE5" w:rsidRPr="00DE556D">
        <w:rPr>
          <w:rFonts w:asciiTheme="minorHAnsi" w:hAnsiTheme="minorHAnsi" w:cstheme="minorHAnsi"/>
          <w:b/>
        </w:rPr>
        <w:t>junio</w:t>
      </w:r>
      <w:r w:rsidR="009E3705" w:rsidRPr="00DE556D">
        <w:rPr>
          <w:rFonts w:asciiTheme="minorHAnsi" w:hAnsiTheme="minorHAnsi" w:cstheme="minorHAnsi"/>
          <w:b/>
        </w:rPr>
        <w:t xml:space="preserve"> </w:t>
      </w:r>
      <w:r w:rsidR="00151578" w:rsidRPr="00DE556D">
        <w:rPr>
          <w:rFonts w:asciiTheme="minorHAnsi" w:hAnsiTheme="minorHAnsi" w:cstheme="minorHAnsi"/>
          <w:b/>
        </w:rPr>
        <w:t>de 2020</w:t>
      </w:r>
    </w:p>
    <w:p w14:paraId="38DE0149" w14:textId="10C95FC4" w:rsidR="00160371" w:rsidRPr="00DE556D" w:rsidRDefault="00160371" w:rsidP="006F198C">
      <w:pPr>
        <w:spacing w:after="0" w:line="240" w:lineRule="auto"/>
        <w:jc w:val="center"/>
        <w:rPr>
          <w:rFonts w:asciiTheme="minorHAnsi" w:hAnsiTheme="minorHAnsi" w:cstheme="minorHAnsi"/>
          <w:b/>
        </w:rPr>
      </w:pPr>
    </w:p>
    <w:p w14:paraId="2BBA14B7" w14:textId="0104F725" w:rsidR="00E6570B" w:rsidRPr="00DE556D" w:rsidRDefault="00E6570B" w:rsidP="006F198C">
      <w:pPr>
        <w:tabs>
          <w:tab w:val="left" w:pos="1701"/>
        </w:tabs>
        <w:spacing w:after="0" w:line="240" w:lineRule="auto"/>
        <w:contextualSpacing/>
        <w:rPr>
          <w:b/>
          <w:bCs/>
        </w:rPr>
      </w:pPr>
      <w:r w:rsidRPr="00DE556D">
        <w:rPr>
          <w:b/>
          <w:bCs/>
        </w:rPr>
        <w:t>1</w:t>
      </w:r>
      <w:r w:rsidR="006F198C">
        <w:rPr>
          <w:b/>
          <w:bCs/>
        </w:rPr>
        <w:t>3</w:t>
      </w:r>
      <w:r w:rsidRPr="00DE556D">
        <w:rPr>
          <w:b/>
          <w:bCs/>
        </w:rPr>
        <w:t xml:space="preserve">:00 – </w:t>
      </w:r>
      <w:r w:rsidR="006F198C">
        <w:rPr>
          <w:b/>
          <w:bCs/>
        </w:rPr>
        <w:t>16</w:t>
      </w:r>
      <w:r w:rsidRPr="00DE556D">
        <w:rPr>
          <w:b/>
          <w:bCs/>
        </w:rPr>
        <w:t xml:space="preserve">:00 </w:t>
      </w:r>
      <w:r w:rsidRPr="00DE556D">
        <w:rPr>
          <w:b/>
          <w:bCs/>
        </w:rPr>
        <w:tab/>
      </w:r>
      <w:r w:rsidR="007C635C" w:rsidRPr="00DE556D">
        <w:rPr>
          <w:b/>
          <w:bCs/>
        </w:rPr>
        <w:t xml:space="preserve">Sesión virtual plenaria </w:t>
      </w:r>
      <w:r w:rsidR="00151578" w:rsidRPr="00DE556D">
        <w:rPr>
          <w:b/>
          <w:bCs/>
        </w:rPr>
        <w:t>e</w:t>
      </w:r>
      <w:r w:rsidR="00E2745A" w:rsidRPr="00DE556D">
        <w:rPr>
          <w:b/>
          <w:bCs/>
        </w:rPr>
        <w:t xml:space="preserve">ntre sesiones </w:t>
      </w:r>
      <w:r w:rsidR="007C635C" w:rsidRPr="00DE556D">
        <w:rPr>
          <w:b/>
          <w:bCs/>
        </w:rPr>
        <w:t xml:space="preserve">del Comité Permanente </w:t>
      </w:r>
    </w:p>
    <w:p w14:paraId="76C759C2" w14:textId="6EB68F31" w:rsidR="009E3705" w:rsidRPr="00DE556D" w:rsidRDefault="009E3705" w:rsidP="006F198C">
      <w:pPr>
        <w:spacing w:after="0" w:line="240" w:lineRule="auto"/>
        <w:contextualSpacing/>
        <w:rPr>
          <w:b/>
          <w:bCs/>
        </w:rPr>
      </w:pPr>
    </w:p>
    <w:p w14:paraId="42717209" w14:textId="021CEBCF" w:rsidR="004D41FF" w:rsidRPr="004D41FF" w:rsidRDefault="007C635C" w:rsidP="00F372B9">
      <w:pPr>
        <w:pStyle w:val="ListParagraph"/>
        <w:numPr>
          <w:ilvl w:val="0"/>
          <w:numId w:val="25"/>
        </w:numPr>
        <w:spacing w:after="0" w:line="240" w:lineRule="auto"/>
        <w:ind w:left="425" w:hanging="425"/>
        <w:rPr>
          <w:rFonts w:cs="Calibri"/>
          <w:b/>
          <w:bCs/>
        </w:rPr>
      </w:pPr>
      <w:r w:rsidRPr="004D41FF">
        <w:rPr>
          <w:rFonts w:cs="Calibri"/>
          <w:b/>
          <w:bCs/>
        </w:rPr>
        <w:t>Declaraciones de apertura</w:t>
      </w:r>
    </w:p>
    <w:p w14:paraId="2A8F1488" w14:textId="77777777" w:rsidR="004D41FF" w:rsidRDefault="004D41FF" w:rsidP="00F372B9">
      <w:pPr>
        <w:pStyle w:val="ListParagraph"/>
        <w:spacing w:after="0" w:line="240" w:lineRule="auto"/>
        <w:ind w:left="360"/>
        <w:rPr>
          <w:rFonts w:cs="Calibri"/>
          <w:bCs/>
        </w:rPr>
      </w:pPr>
    </w:p>
    <w:p w14:paraId="0A7A469E" w14:textId="77777777" w:rsidR="004D41FF" w:rsidRPr="004D41FF" w:rsidRDefault="007C635C" w:rsidP="00F372B9">
      <w:pPr>
        <w:pStyle w:val="ListParagraph"/>
        <w:numPr>
          <w:ilvl w:val="1"/>
          <w:numId w:val="25"/>
        </w:numPr>
        <w:spacing w:after="0" w:line="240" w:lineRule="auto"/>
        <w:ind w:left="850" w:hanging="425"/>
        <w:rPr>
          <w:rFonts w:cs="Calibri"/>
          <w:bCs/>
        </w:rPr>
      </w:pPr>
      <w:r w:rsidRPr="004D41FF">
        <w:rPr>
          <w:bCs/>
        </w:rPr>
        <w:t>Presidencia del Comité Permanente (Emiratos Árabes Unidos)</w:t>
      </w:r>
    </w:p>
    <w:p w14:paraId="045435E2" w14:textId="027CD815" w:rsidR="00690B38" w:rsidRPr="004D41FF" w:rsidRDefault="00F23FE5" w:rsidP="00F372B9">
      <w:pPr>
        <w:pStyle w:val="ListParagraph"/>
        <w:numPr>
          <w:ilvl w:val="1"/>
          <w:numId w:val="25"/>
        </w:numPr>
        <w:spacing w:after="0" w:line="240" w:lineRule="auto"/>
        <w:ind w:left="850" w:hanging="425"/>
        <w:rPr>
          <w:rFonts w:cs="Calibri"/>
          <w:bCs/>
        </w:rPr>
      </w:pPr>
      <w:r w:rsidRPr="004D41FF">
        <w:rPr>
          <w:bCs/>
        </w:rPr>
        <w:t>Secretaria</w:t>
      </w:r>
      <w:r w:rsidR="007C635C" w:rsidRPr="004D41FF">
        <w:rPr>
          <w:bCs/>
        </w:rPr>
        <w:t xml:space="preserve"> General de la Convención</w:t>
      </w:r>
    </w:p>
    <w:p w14:paraId="57DA62E8" w14:textId="2B6D68CC" w:rsidR="00690B38" w:rsidRPr="00DE556D" w:rsidRDefault="00690B38" w:rsidP="00F372B9">
      <w:pPr>
        <w:spacing w:after="0" w:line="240" w:lineRule="auto"/>
        <w:contextualSpacing/>
        <w:rPr>
          <w:bCs/>
        </w:rPr>
      </w:pPr>
    </w:p>
    <w:p w14:paraId="41E0BC61" w14:textId="73A26007" w:rsidR="006E4671" w:rsidRPr="006F198C" w:rsidRDefault="003C44E9" w:rsidP="00F372B9">
      <w:pPr>
        <w:pStyle w:val="ListParagraph"/>
        <w:numPr>
          <w:ilvl w:val="0"/>
          <w:numId w:val="25"/>
        </w:numPr>
        <w:spacing w:after="0" w:line="240" w:lineRule="auto"/>
        <w:ind w:left="425" w:hanging="425"/>
        <w:rPr>
          <w:rFonts w:cs="Calibri"/>
          <w:b/>
          <w:bCs/>
        </w:rPr>
      </w:pPr>
      <w:r w:rsidRPr="004D41FF">
        <w:rPr>
          <w:rFonts w:cs="Calibri"/>
          <w:b/>
          <w:bCs/>
        </w:rPr>
        <w:t>Adopción</w:t>
      </w:r>
      <w:r w:rsidRPr="006F198C">
        <w:rPr>
          <w:rFonts w:cs="Calibri"/>
          <w:b/>
          <w:bCs/>
        </w:rPr>
        <w:t xml:space="preserve"> del orden del día provisional</w:t>
      </w:r>
    </w:p>
    <w:p w14:paraId="00853EF6" w14:textId="77777777" w:rsidR="004D41FF" w:rsidRDefault="004D41FF" w:rsidP="00F372B9">
      <w:pPr>
        <w:spacing w:after="0" w:line="240" w:lineRule="auto"/>
        <w:ind w:firstLine="360"/>
        <w:contextualSpacing/>
        <w:rPr>
          <w:bCs/>
        </w:rPr>
      </w:pPr>
    </w:p>
    <w:p w14:paraId="1619AB3A" w14:textId="00741639" w:rsidR="003C44E9" w:rsidRPr="00DE556D" w:rsidRDefault="003C44E9" w:rsidP="00F372B9">
      <w:pPr>
        <w:spacing w:after="0" w:line="240" w:lineRule="auto"/>
        <w:ind w:left="426"/>
        <w:contextualSpacing/>
        <w:rPr>
          <w:bCs/>
          <w:sz w:val="21"/>
          <w:szCs w:val="21"/>
        </w:rPr>
      </w:pPr>
      <w:r w:rsidRPr="00DE556D">
        <w:rPr>
          <w:bCs/>
          <w:sz w:val="21"/>
          <w:szCs w:val="21"/>
        </w:rPr>
        <w:t>Nota sobre la agenda: si las Partes pueden concluir todos los asuntos pendientes durante la primera reunión el martes 23 de junio, la segunda reunión programada para el jueves 25 de junio se cancelará. Para estas reuniones del Comité Permanente</w:t>
      </w:r>
      <w:r w:rsidR="00800772" w:rsidRPr="00DE556D">
        <w:rPr>
          <w:bCs/>
          <w:sz w:val="21"/>
          <w:szCs w:val="21"/>
        </w:rPr>
        <w:t xml:space="preserve"> en ple</w:t>
      </w:r>
      <w:r w:rsidR="00151578" w:rsidRPr="00DE556D">
        <w:rPr>
          <w:bCs/>
          <w:sz w:val="21"/>
          <w:szCs w:val="21"/>
        </w:rPr>
        <w:t xml:space="preserve">nario, </w:t>
      </w:r>
      <w:r w:rsidRPr="00DE556D">
        <w:rPr>
          <w:bCs/>
          <w:sz w:val="21"/>
          <w:szCs w:val="21"/>
        </w:rPr>
        <w:t>se proporcionará interpretación simultánea.</w:t>
      </w:r>
    </w:p>
    <w:p w14:paraId="625D404B" w14:textId="77777777" w:rsidR="003C44E9" w:rsidRPr="00DE556D" w:rsidRDefault="003C44E9" w:rsidP="00F372B9">
      <w:pPr>
        <w:spacing w:after="0" w:line="240" w:lineRule="auto"/>
        <w:ind w:left="-142"/>
        <w:contextualSpacing/>
        <w:rPr>
          <w:bCs/>
        </w:rPr>
      </w:pPr>
    </w:p>
    <w:p w14:paraId="57F61F1F" w14:textId="65604630" w:rsidR="00690B38" w:rsidRPr="004D41FF" w:rsidRDefault="00800772" w:rsidP="00F372B9">
      <w:pPr>
        <w:pStyle w:val="ListParagraph"/>
        <w:numPr>
          <w:ilvl w:val="0"/>
          <w:numId w:val="25"/>
        </w:numPr>
        <w:spacing w:after="0" w:line="240" w:lineRule="auto"/>
        <w:ind w:left="425" w:hanging="425"/>
        <w:rPr>
          <w:rFonts w:cs="Calibri"/>
          <w:b/>
          <w:bCs/>
        </w:rPr>
      </w:pPr>
      <w:r w:rsidRPr="004D41FF">
        <w:rPr>
          <w:rFonts w:cs="Calibri"/>
          <w:b/>
          <w:bCs/>
        </w:rPr>
        <w:t>Informe</w:t>
      </w:r>
      <w:r w:rsidRPr="006F198C">
        <w:rPr>
          <w:rFonts w:cs="Calibri"/>
          <w:b/>
          <w:bCs/>
        </w:rPr>
        <w:t xml:space="preserve"> sobre el proceso entre sesiones del Comité Permanente</w:t>
      </w:r>
      <w:r w:rsidR="00B46D18" w:rsidRPr="004D41FF">
        <w:rPr>
          <w:rFonts w:cs="Calibri"/>
          <w:b/>
          <w:bCs/>
        </w:rPr>
        <w:t xml:space="preserve"> </w:t>
      </w:r>
    </w:p>
    <w:p w14:paraId="11D882C8" w14:textId="77777777" w:rsidR="00800772" w:rsidRPr="00DE556D" w:rsidRDefault="00800772" w:rsidP="00F372B9">
      <w:pPr>
        <w:tabs>
          <w:tab w:val="left" w:pos="0"/>
        </w:tabs>
        <w:spacing w:after="0" w:line="240" w:lineRule="auto"/>
        <w:ind w:left="-142"/>
        <w:contextualSpacing/>
        <w:rPr>
          <w:rFonts w:cs="Calibri"/>
          <w:bCs/>
        </w:rPr>
      </w:pPr>
    </w:p>
    <w:p w14:paraId="4F11C85F" w14:textId="15040442" w:rsidR="00800772" w:rsidRPr="00DE556D" w:rsidRDefault="00800772" w:rsidP="00F372B9">
      <w:pPr>
        <w:spacing w:after="0" w:line="240" w:lineRule="auto"/>
        <w:ind w:left="426"/>
        <w:contextualSpacing/>
        <w:rPr>
          <w:rFonts w:cs="Calibri"/>
          <w:bCs/>
        </w:rPr>
      </w:pPr>
      <w:r w:rsidRPr="00DE556D">
        <w:rPr>
          <w:rFonts w:cs="Calibri"/>
          <w:bCs/>
        </w:rPr>
        <w:t>El Comité Permanente identificó los siguientes puntos del orden del día de la CP58 como urgentes y se abordarán a través del proceso entre sesiones. El estado de estos elementos es el siguiente:</w:t>
      </w:r>
    </w:p>
    <w:p w14:paraId="685A42C7" w14:textId="77777777" w:rsidR="00800772" w:rsidRPr="00DE556D" w:rsidRDefault="00800772" w:rsidP="00F372B9">
      <w:pPr>
        <w:tabs>
          <w:tab w:val="left" w:pos="0"/>
        </w:tabs>
        <w:spacing w:after="0" w:line="240" w:lineRule="auto"/>
        <w:ind w:left="-142"/>
        <w:contextualSpacing/>
        <w:rPr>
          <w:rFonts w:cs="Calibri"/>
          <w:bCs/>
        </w:rPr>
      </w:pPr>
    </w:p>
    <w:p w14:paraId="18CAE997" w14:textId="3B4AEAD2" w:rsidR="00800772" w:rsidRPr="00DE556D" w:rsidRDefault="00800772" w:rsidP="00F372B9">
      <w:pPr>
        <w:numPr>
          <w:ilvl w:val="0"/>
          <w:numId w:val="19"/>
        </w:numPr>
        <w:tabs>
          <w:tab w:val="clear" w:pos="720"/>
        </w:tabs>
        <w:spacing w:after="0" w:line="240" w:lineRule="auto"/>
        <w:ind w:left="850" w:hanging="425"/>
      </w:pPr>
      <w:r w:rsidRPr="00DE556D">
        <w:rPr>
          <w:rFonts w:cs="Calibri"/>
        </w:rPr>
        <w:t xml:space="preserve">Punto 19. </w:t>
      </w:r>
      <w:r w:rsidRPr="00DE556D">
        <w:rPr>
          <w:rFonts w:cs="Calibri"/>
          <w:i/>
          <w:iCs/>
        </w:rPr>
        <w:t>Informe de la Presidencia del Grupo de Examen Científico y Técnico</w:t>
      </w:r>
      <w:r w:rsidR="00415642" w:rsidRPr="00DE556D">
        <w:rPr>
          <w:rFonts w:cs="Calibri"/>
        </w:rPr>
        <w:t>:</w:t>
      </w:r>
      <w:r w:rsidR="004D79F8" w:rsidRPr="00DE556D">
        <w:t xml:space="preserve"> </w:t>
      </w:r>
      <w:r w:rsidR="004D79F8" w:rsidRPr="00DE556D">
        <w:rPr>
          <w:rFonts w:cs="Calibri"/>
        </w:rPr>
        <w:t>El Grupo de Trabajo Administrativo se reunió el 10 de junio para discutir este asunto. El informe de la reunión se envió a los miembros del Comité Permanente y a las Partes Contratantes registradas</w:t>
      </w:r>
      <w:r w:rsidR="00E2745A" w:rsidRPr="00DE556D">
        <w:rPr>
          <w:rFonts w:cs="Calibri"/>
        </w:rPr>
        <w:t xml:space="preserve"> como observadores</w:t>
      </w:r>
      <w:r w:rsidR="004D79F8" w:rsidRPr="00DE556D">
        <w:rPr>
          <w:rFonts w:cs="Calibri"/>
        </w:rPr>
        <w:t xml:space="preserve"> el 19 de junio.</w:t>
      </w:r>
    </w:p>
    <w:p w14:paraId="5AD7A748" w14:textId="7D7DDF84" w:rsidR="004D79F8" w:rsidRPr="00DE556D" w:rsidRDefault="004D79F8" w:rsidP="00F372B9">
      <w:pPr>
        <w:numPr>
          <w:ilvl w:val="0"/>
          <w:numId w:val="19"/>
        </w:numPr>
        <w:tabs>
          <w:tab w:val="clear" w:pos="720"/>
        </w:tabs>
        <w:spacing w:after="0" w:line="240" w:lineRule="auto"/>
        <w:ind w:left="850" w:hanging="425"/>
      </w:pPr>
      <w:r w:rsidRPr="00DE556D">
        <w:rPr>
          <w:rFonts w:cs="Calibri"/>
        </w:rPr>
        <w:t xml:space="preserve">Punto </w:t>
      </w:r>
      <w:r w:rsidR="00415642" w:rsidRPr="00DE556D">
        <w:rPr>
          <w:rFonts w:cs="Calibri"/>
        </w:rPr>
        <w:t>20.4</w:t>
      </w:r>
      <w:r w:rsidRPr="00DE556D">
        <w:rPr>
          <w:rFonts w:cs="Calibri"/>
        </w:rPr>
        <w:t xml:space="preserve"> </w:t>
      </w:r>
      <w:r w:rsidRPr="00F372B9">
        <w:rPr>
          <w:rFonts w:cs="Calibri"/>
          <w:i/>
        </w:rPr>
        <w:t>Procedimiento para la preparación y el examen de proyectos de resolución</w:t>
      </w:r>
      <w:r w:rsidR="00415642" w:rsidRPr="00DE556D">
        <w:rPr>
          <w:rFonts w:cs="Calibri"/>
        </w:rPr>
        <w:t xml:space="preserve"> </w:t>
      </w:r>
      <w:r w:rsidRPr="00DE556D">
        <w:rPr>
          <w:rFonts w:cs="Calibri"/>
        </w:rPr>
        <w:t>(propósito y calendario de las reuniones regionales previas a la COP): el Equipo Ejecutivo se reunió el 17 de junio para discutir este asunto. El informe de la reunión se envió a los miembros del Comité Permanente y a las Partes Contratantes registradas</w:t>
      </w:r>
      <w:r w:rsidR="00E2745A" w:rsidRPr="00DE556D">
        <w:rPr>
          <w:rFonts w:cs="Calibri"/>
        </w:rPr>
        <w:t xml:space="preserve"> como observadores</w:t>
      </w:r>
      <w:r w:rsidRPr="00DE556D">
        <w:rPr>
          <w:rFonts w:cs="Calibri"/>
        </w:rPr>
        <w:t xml:space="preserve"> el 19 de junio.</w:t>
      </w:r>
    </w:p>
    <w:p w14:paraId="3B21C18F" w14:textId="78391C8B" w:rsidR="004D79F8" w:rsidRPr="00DE556D" w:rsidRDefault="004D79F8" w:rsidP="00F372B9">
      <w:pPr>
        <w:numPr>
          <w:ilvl w:val="0"/>
          <w:numId w:val="19"/>
        </w:numPr>
        <w:tabs>
          <w:tab w:val="clear" w:pos="720"/>
        </w:tabs>
        <w:spacing w:after="0" w:line="240" w:lineRule="auto"/>
        <w:ind w:left="850" w:hanging="425"/>
      </w:pPr>
      <w:r w:rsidRPr="00DE556D">
        <w:rPr>
          <w:rFonts w:cs="Calibri"/>
        </w:rPr>
        <w:t xml:space="preserve">Punto 8.2 </w:t>
      </w:r>
      <w:r w:rsidRPr="00F372B9">
        <w:rPr>
          <w:rFonts w:cs="Calibri"/>
          <w:i/>
        </w:rPr>
        <w:t>Informe sobre cuestiones financieras, 2019 y 2020</w:t>
      </w:r>
      <w:r w:rsidRPr="00DE556D">
        <w:rPr>
          <w:rFonts w:cs="Calibri"/>
        </w:rPr>
        <w:t xml:space="preserve"> y Punto </w:t>
      </w:r>
      <w:r w:rsidR="00986440" w:rsidRPr="00DE556D">
        <w:rPr>
          <w:rFonts w:cs="Calibri"/>
        </w:rPr>
        <w:t xml:space="preserve">de la agenda </w:t>
      </w:r>
      <w:r w:rsidRPr="00DE556D">
        <w:rPr>
          <w:rFonts w:cs="Calibri"/>
        </w:rPr>
        <w:t xml:space="preserve">8.3 </w:t>
      </w:r>
      <w:r w:rsidRPr="00F372B9">
        <w:rPr>
          <w:rFonts w:cs="Calibri"/>
          <w:i/>
        </w:rPr>
        <w:t>Estado de las contribuciones anuales</w:t>
      </w:r>
      <w:r w:rsidRPr="00DE556D">
        <w:rPr>
          <w:rFonts w:cs="Calibri"/>
        </w:rPr>
        <w:t>: El Subgrupo de Finanzas se reunió el 15 de junio para discutir estos asuntos. El informe de la reunión se envió a los miembros del Comité Permanente y a las Partes Contratantes registradas</w:t>
      </w:r>
      <w:r w:rsidR="00E2745A" w:rsidRPr="00DE556D">
        <w:rPr>
          <w:rFonts w:cs="Calibri"/>
        </w:rPr>
        <w:t xml:space="preserve"> como observadores</w:t>
      </w:r>
      <w:r w:rsidRPr="00DE556D">
        <w:rPr>
          <w:rFonts w:cs="Calibri"/>
        </w:rPr>
        <w:t xml:space="preserve"> el 19 de junio.</w:t>
      </w:r>
    </w:p>
    <w:p w14:paraId="76C0A02D" w14:textId="3696C008" w:rsidR="002B56D5" w:rsidRPr="00DE556D" w:rsidRDefault="002B56D5" w:rsidP="00F372B9">
      <w:pPr>
        <w:numPr>
          <w:ilvl w:val="0"/>
          <w:numId w:val="19"/>
        </w:numPr>
        <w:tabs>
          <w:tab w:val="clear" w:pos="720"/>
        </w:tabs>
        <w:spacing w:after="0" w:line="240" w:lineRule="auto"/>
        <w:ind w:left="850" w:hanging="425"/>
        <w:rPr>
          <w:rFonts w:cs="Calibri"/>
        </w:rPr>
      </w:pPr>
      <w:r w:rsidRPr="00DE556D">
        <w:rPr>
          <w:rFonts w:cs="Calibri"/>
        </w:rPr>
        <w:t xml:space="preserve">Punto 20.1 </w:t>
      </w:r>
      <w:r w:rsidRPr="00F372B9">
        <w:rPr>
          <w:rFonts w:cs="Calibri"/>
          <w:i/>
        </w:rPr>
        <w:t>Informe del Subgrupo sobre la COP14</w:t>
      </w:r>
      <w:r w:rsidRPr="00DE556D">
        <w:rPr>
          <w:rFonts w:cs="Calibri"/>
        </w:rPr>
        <w:t xml:space="preserve">: El subgrupo sobre la COP14 se reunió el 12 de junio. </w:t>
      </w:r>
      <w:r w:rsidR="00266037" w:rsidRPr="00DE556D">
        <w:rPr>
          <w:rFonts w:cs="Calibri"/>
        </w:rPr>
        <w:t>El</w:t>
      </w:r>
      <w:r w:rsidR="001632F2" w:rsidRPr="00DE556D">
        <w:rPr>
          <w:rFonts w:cs="Calibri"/>
        </w:rPr>
        <w:t xml:space="preserve"> </w:t>
      </w:r>
      <w:r w:rsidRPr="00DE556D">
        <w:rPr>
          <w:rFonts w:cs="Calibri"/>
        </w:rPr>
        <w:t>Presidente del Grupo de Trabajo</w:t>
      </w:r>
      <w:r w:rsidR="00266037" w:rsidRPr="00DE556D">
        <w:rPr>
          <w:rFonts w:cs="Calibri"/>
        </w:rPr>
        <w:t xml:space="preserve"> (</w:t>
      </w:r>
      <w:r w:rsidR="006C43C0" w:rsidRPr="00DE556D">
        <w:rPr>
          <w:rFonts w:cs="Calibri"/>
        </w:rPr>
        <w:t>República Popular de China</w:t>
      </w:r>
      <w:r w:rsidR="00266037" w:rsidRPr="00DE556D">
        <w:rPr>
          <w:rFonts w:cs="Calibri"/>
        </w:rPr>
        <w:t>)</w:t>
      </w:r>
      <w:r w:rsidRPr="00DE556D">
        <w:rPr>
          <w:rFonts w:cs="Calibri"/>
        </w:rPr>
        <w:t xml:space="preserve"> presentará un resumen oral en esta reunión.</w:t>
      </w:r>
    </w:p>
    <w:p w14:paraId="742E4CC8" w14:textId="2E6074A3" w:rsidR="002B56D5" w:rsidRPr="00DE556D" w:rsidRDefault="002B56D5" w:rsidP="00F372B9">
      <w:pPr>
        <w:numPr>
          <w:ilvl w:val="0"/>
          <w:numId w:val="19"/>
        </w:numPr>
        <w:tabs>
          <w:tab w:val="clear" w:pos="720"/>
        </w:tabs>
        <w:spacing w:after="0" w:line="240" w:lineRule="auto"/>
        <w:ind w:left="850" w:hanging="425"/>
      </w:pPr>
      <w:r w:rsidRPr="00DE556D">
        <w:rPr>
          <w:rFonts w:cs="Calibri"/>
        </w:rPr>
        <w:t>Los siguientes</w:t>
      </w:r>
      <w:r w:rsidR="001632F2" w:rsidRPr="00DE556D">
        <w:rPr>
          <w:rFonts w:cs="Calibri"/>
        </w:rPr>
        <w:t xml:space="preserve"> puntos </w:t>
      </w:r>
      <w:r w:rsidR="00266037" w:rsidRPr="00DE556D">
        <w:rPr>
          <w:rFonts w:cs="Calibri"/>
        </w:rPr>
        <w:t xml:space="preserve">de la agenda fueron </w:t>
      </w:r>
      <w:r w:rsidRPr="00DE556D">
        <w:rPr>
          <w:rFonts w:cs="Calibri"/>
        </w:rPr>
        <w:t>abiertos para comentarios por correo electrónico antes del 15 de junio. Los comentarios consolidados recibidos de las Partes se enviaron a las Partes con el texto de decisión revisado el 19 de junio:</w:t>
      </w:r>
    </w:p>
    <w:p w14:paraId="6A6D3EDC" w14:textId="599D35A0" w:rsidR="00415642" w:rsidRPr="00DE556D" w:rsidRDefault="001632F2" w:rsidP="00F372B9">
      <w:pPr>
        <w:numPr>
          <w:ilvl w:val="2"/>
          <w:numId w:val="26"/>
        </w:numPr>
        <w:tabs>
          <w:tab w:val="clear" w:pos="2160"/>
        </w:tabs>
        <w:spacing w:after="0" w:line="240" w:lineRule="auto"/>
        <w:ind w:left="1276" w:hanging="425"/>
      </w:pPr>
      <w:r w:rsidRPr="00DE556D">
        <w:rPr>
          <w:rFonts w:cs="Calibri"/>
        </w:rPr>
        <w:t xml:space="preserve">Punto 13 </w:t>
      </w:r>
      <w:r w:rsidRPr="00DE556D">
        <w:rPr>
          <w:rFonts w:cs="Calibri"/>
          <w:i/>
        </w:rPr>
        <w:t>Examen de todas las resoluciones y decisiones anteriores;</w:t>
      </w:r>
    </w:p>
    <w:p w14:paraId="204658B4" w14:textId="763A05D1" w:rsidR="001632F2" w:rsidRPr="00DE556D" w:rsidRDefault="001632F2" w:rsidP="00F372B9">
      <w:pPr>
        <w:numPr>
          <w:ilvl w:val="2"/>
          <w:numId w:val="26"/>
        </w:numPr>
        <w:tabs>
          <w:tab w:val="clear" w:pos="2160"/>
        </w:tabs>
        <w:spacing w:after="0" w:line="240" w:lineRule="auto"/>
        <w:ind w:left="1276" w:hanging="425"/>
      </w:pPr>
      <w:r w:rsidRPr="00DE556D">
        <w:rPr>
          <w:rFonts w:cs="Calibri"/>
        </w:rPr>
        <w:t xml:space="preserve">Punto 16 </w:t>
      </w:r>
      <w:r w:rsidRPr="00DE556D">
        <w:rPr>
          <w:rFonts w:cs="Calibri"/>
          <w:i/>
        </w:rPr>
        <w:t>Plan de trabajo de la Secretaría para 2020</w:t>
      </w:r>
      <w:r w:rsidR="00D12734" w:rsidRPr="00DE556D">
        <w:rPr>
          <w:rFonts w:cs="Calibri"/>
          <w:i/>
        </w:rPr>
        <w:t>;</w:t>
      </w:r>
    </w:p>
    <w:p w14:paraId="3F50E047" w14:textId="3A875E50" w:rsidR="001632F2" w:rsidRPr="00DE556D" w:rsidRDefault="001632F2" w:rsidP="00F372B9">
      <w:pPr>
        <w:numPr>
          <w:ilvl w:val="2"/>
          <w:numId w:val="26"/>
        </w:numPr>
        <w:tabs>
          <w:tab w:val="clear" w:pos="2160"/>
        </w:tabs>
        <w:spacing w:after="0" w:line="240" w:lineRule="auto"/>
        <w:ind w:left="1276" w:hanging="425"/>
      </w:pPr>
      <w:r w:rsidRPr="00DE556D">
        <w:rPr>
          <w:rFonts w:cs="Calibri"/>
        </w:rPr>
        <w:t xml:space="preserve">Punto 20.3 </w:t>
      </w:r>
      <w:r w:rsidRPr="00DE556D">
        <w:rPr>
          <w:rFonts w:cs="Calibri"/>
          <w:i/>
        </w:rPr>
        <w:t>Premios Ramsar a la Conservación de los Humedales</w:t>
      </w:r>
      <w:r w:rsidR="00D12734" w:rsidRPr="00DE556D">
        <w:rPr>
          <w:rFonts w:cs="Calibri"/>
          <w:i/>
        </w:rPr>
        <w:t>;</w:t>
      </w:r>
    </w:p>
    <w:p w14:paraId="653BDCFE" w14:textId="5F50D1A4" w:rsidR="001632F2" w:rsidRPr="00DE556D" w:rsidRDefault="001632F2" w:rsidP="00F372B9">
      <w:pPr>
        <w:numPr>
          <w:ilvl w:val="2"/>
          <w:numId w:val="26"/>
        </w:numPr>
        <w:tabs>
          <w:tab w:val="clear" w:pos="2160"/>
        </w:tabs>
        <w:spacing w:after="0" w:line="240" w:lineRule="auto"/>
        <w:ind w:left="1276" w:hanging="425"/>
      </w:pPr>
      <w:r w:rsidRPr="00DE556D">
        <w:rPr>
          <w:rFonts w:cs="Calibri"/>
        </w:rPr>
        <w:t xml:space="preserve">Punto 22.2 </w:t>
      </w:r>
      <w:r w:rsidRPr="00DE556D">
        <w:rPr>
          <w:rFonts w:cs="Calibri"/>
          <w:i/>
        </w:rPr>
        <w:t>Informe de la Secretaría sobre las Iniciativas Regionales de Ramsar</w:t>
      </w:r>
      <w:r w:rsidR="00D12734" w:rsidRPr="00DE556D">
        <w:rPr>
          <w:rFonts w:cs="Calibri"/>
          <w:i/>
        </w:rPr>
        <w:t xml:space="preserve"> </w:t>
      </w:r>
      <w:r w:rsidR="00D12734" w:rsidRPr="00DE556D">
        <w:rPr>
          <w:rFonts w:cs="Calibri"/>
        </w:rPr>
        <w:t>(aclaración sobre la convocatoria de propuestas para nuevos IRRs);</w:t>
      </w:r>
    </w:p>
    <w:p w14:paraId="7C115D87" w14:textId="7E9693BD" w:rsidR="00415642" w:rsidRPr="00DE556D" w:rsidRDefault="001632F2" w:rsidP="00F372B9">
      <w:pPr>
        <w:numPr>
          <w:ilvl w:val="2"/>
          <w:numId w:val="26"/>
        </w:numPr>
        <w:tabs>
          <w:tab w:val="clear" w:pos="2160"/>
        </w:tabs>
        <w:spacing w:after="0" w:line="240" w:lineRule="auto"/>
        <w:ind w:left="1276" w:hanging="425"/>
      </w:pPr>
      <w:r w:rsidRPr="00DE556D">
        <w:rPr>
          <w:rFonts w:cs="Calibri"/>
        </w:rPr>
        <w:t xml:space="preserve">Punto 23 </w:t>
      </w:r>
      <w:r w:rsidR="00D12734" w:rsidRPr="00DE556D">
        <w:rPr>
          <w:rFonts w:cs="Calibri"/>
          <w:i/>
        </w:rPr>
        <w:t>Informe de los copresidentes del Comité Asesor Independiente sobre la acreditación de Ciudad de Humedal;</w:t>
      </w:r>
    </w:p>
    <w:p w14:paraId="1D93046E" w14:textId="77777777" w:rsidR="009B501C" w:rsidRPr="00DE556D" w:rsidRDefault="009B501C" w:rsidP="00F372B9">
      <w:pPr>
        <w:numPr>
          <w:ilvl w:val="2"/>
          <w:numId w:val="26"/>
        </w:numPr>
        <w:tabs>
          <w:tab w:val="clear" w:pos="2160"/>
        </w:tabs>
        <w:spacing w:after="0" w:line="240" w:lineRule="auto"/>
        <w:ind w:left="1276" w:hanging="425"/>
        <w:rPr>
          <w:i/>
        </w:rPr>
      </w:pPr>
      <w:r w:rsidRPr="00DE556D">
        <w:rPr>
          <w:rFonts w:cs="Calibri"/>
          <w:i/>
        </w:rPr>
        <w:t>Elementos de asesoramiento para el FMAM relacionados con la financiación para apoyar los objetivos y prioridades de la Convención para el octavo reaprovisionamiento del Fondo Fiduciario del FMAM</w:t>
      </w:r>
      <w:r w:rsidR="00415642" w:rsidRPr="00DE556D">
        <w:rPr>
          <w:i/>
        </w:rPr>
        <w:br/>
      </w:r>
    </w:p>
    <w:p w14:paraId="73539B33" w14:textId="3923E48A" w:rsidR="00415642" w:rsidRDefault="009B501C" w:rsidP="00F372B9">
      <w:pPr>
        <w:spacing w:after="0" w:line="240" w:lineRule="auto"/>
        <w:ind w:left="426"/>
      </w:pPr>
      <w:r w:rsidRPr="00DE556D">
        <w:t xml:space="preserve">Los miembros del Comité Permanente y las Partes Contratantes </w:t>
      </w:r>
      <w:r w:rsidR="00266037" w:rsidRPr="00DE556D">
        <w:t xml:space="preserve">registradas </w:t>
      </w:r>
      <w:r w:rsidRPr="00DE556D">
        <w:t xml:space="preserve">en calidad de observadores </w:t>
      </w:r>
      <w:r w:rsidR="00266037" w:rsidRPr="00DE556D">
        <w:t xml:space="preserve">revisaron </w:t>
      </w:r>
      <w:r w:rsidR="00B201B9" w:rsidRPr="00DE556D">
        <w:t>los</w:t>
      </w:r>
      <w:r w:rsidRPr="00DE556D">
        <w:t xml:space="preserve"> texto</w:t>
      </w:r>
      <w:r w:rsidR="00B201B9" w:rsidRPr="00DE556D">
        <w:t>s</w:t>
      </w:r>
      <w:r w:rsidRPr="00DE556D">
        <w:t xml:space="preserve"> </w:t>
      </w:r>
      <w:r w:rsidR="00B201B9" w:rsidRPr="00DE556D">
        <w:t xml:space="preserve">propuestos </w:t>
      </w:r>
      <w:r w:rsidRPr="00DE556D">
        <w:t>de decisión revisado</w:t>
      </w:r>
      <w:r w:rsidR="00B201B9" w:rsidRPr="00DE556D">
        <w:t>s</w:t>
      </w:r>
      <w:r w:rsidRPr="00DE556D">
        <w:t xml:space="preserve"> en base a los comentarios proporcionados por las Partes Contratantes </w:t>
      </w:r>
      <w:r w:rsidR="00B201B9" w:rsidRPr="00DE556D">
        <w:t xml:space="preserve">hasta </w:t>
      </w:r>
      <w:r w:rsidRPr="00DE556D">
        <w:t xml:space="preserve">las 12:00 (mediodía) CET - horario de la Europa Central, </w:t>
      </w:r>
      <w:r w:rsidR="00F23FE5" w:rsidRPr="00DE556D">
        <w:t>lunes</w:t>
      </w:r>
      <w:r w:rsidR="00FF34E7" w:rsidRPr="00DE556D">
        <w:t xml:space="preserve"> 22 de junio. En </w:t>
      </w:r>
      <w:r w:rsidR="00B201B9" w:rsidRPr="00DE556D">
        <w:t xml:space="preserve">el </w:t>
      </w:r>
      <w:r w:rsidRPr="00DE556D">
        <w:t>orden del día, punto nueve, s</w:t>
      </w:r>
      <w:r w:rsidR="00266037" w:rsidRPr="00DE556D">
        <w:t>e presentará el estado de estas decisiones</w:t>
      </w:r>
      <w:r w:rsidRPr="00DE556D">
        <w:t>.</w:t>
      </w:r>
    </w:p>
    <w:p w14:paraId="31035861" w14:textId="77777777" w:rsidR="004D41FF" w:rsidRPr="00DE556D" w:rsidRDefault="004D41FF" w:rsidP="00F372B9">
      <w:pPr>
        <w:spacing w:after="0" w:line="240" w:lineRule="auto"/>
      </w:pPr>
    </w:p>
    <w:p w14:paraId="6BFD81F5" w14:textId="4F86DA71" w:rsidR="00444B5A" w:rsidRPr="006F198C" w:rsidRDefault="00266037" w:rsidP="00F372B9">
      <w:pPr>
        <w:pStyle w:val="ListParagraph"/>
        <w:numPr>
          <w:ilvl w:val="0"/>
          <w:numId w:val="25"/>
        </w:numPr>
        <w:spacing w:after="0" w:line="240" w:lineRule="auto"/>
        <w:ind w:left="425" w:hanging="425"/>
        <w:rPr>
          <w:rFonts w:cs="Calibri"/>
          <w:b/>
          <w:bCs/>
        </w:rPr>
      </w:pPr>
      <w:r w:rsidRPr="006F198C">
        <w:rPr>
          <w:rFonts w:cs="Calibri"/>
          <w:b/>
          <w:bCs/>
        </w:rPr>
        <w:t>Participación del</w:t>
      </w:r>
      <w:r w:rsidR="00FF34E7" w:rsidRPr="006F198C">
        <w:rPr>
          <w:rFonts w:cs="Calibri"/>
          <w:b/>
          <w:bCs/>
        </w:rPr>
        <w:t xml:space="preserve"> </w:t>
      </w:r>
      <w:r w:rsidR="00F23FE5" w:rsidRPr="006F198C">
        <w:rPr>
          <w:rFonts w:cs="Calibri"/>
          <w:b/>
          <w:bCs/>
        </w:rPr>
        <w:t>Comité</w:t>
      </w:r>
      <w:r w:rsidR="00FF34E7" w:rsidRPr="006F198C">
        <w:rPr>
          <w:rFonts w:cs="Calibri"/>
          <w:b/>
          <w:bCs/>
        </w:rPr>
        <w:t xml:space="preserve"> Permanente </w:t>
      </w:r>
    </w:p>
    <w:p w14:paraId="0377096E" w14:textId="77777777" w:rsidR="004D41FF" w:rsidRPr="00DE556D" w:rsidRDefault="004D41FF" w:rsidP="00F372B9">
      <w:pPr>
        <w:pStyle w:val="ListParagraph"/>
        <w:spacing w:after="0" w:line="240" w:lineRule="auto"/>
        <w:ind w:left="360"/>
        <w:rPr>
          <w:rFonts w:cs="Calibri"/>
          <w:highlight w:val="yellow"/>
        </w:rPr>
      </w:pPr>
    </w:p>
    <w:p w14:paraId="360B4E78" w14:textId="5DD798E2" w:rsidR="00552AB0" w:rsidRDefault="00FF34E7" w:rsidP="00F372B9">
      <w:pPr>
        <w:spacing w:after="0" w:line="240" w:lineRule="auto"/>
        <w:ind w:left="426"/>
        <w:rPr>
          <w:rFonts w:cs="Calibri"/>
        </w:rPr>
      </w:pPr>
      <w:r w:rsidRPr="00DE556D">
        <w:rPr>
          <w:rFonts w:cs="Calibri"/>
        </w:rPr>
        <w:t xml:space="preserve">Los miembros </w:t>
      </w:r>
      <w:r w:rsidR="00552AB0" w:rsidRPr="00DE556D">
        <w:rPr>
          <w:rFonts w:cs="Calibri"/>
        </w:rPr>
        <w:t xml:space="preserve">votantes </w:t>
      </w:r>
      <w:r w:rsidRPr="00DE556D">
        <w:rPr>
          <w:rFonts w:cs="Calibri"/>
        </w:rPr>
        <w:t xml:space="preserve">del Comité Permanente </w:t>
      </w:r>
      <w:r w:rsidR="00552AB0" w:rsidRPr="00DE556D">
        <w:rPr>
          <w:rFonts w:cs="Calibri"/>
        </w:rPr>
        <w:t>s</w:t>
      </w:r>
      <w:r w:rsidR="00C9745A" w:rsidRPr="00DE556D">
        <w:rPr>
          <w:rFonts w:cs="Calibri"/>
        </w:rPr>
        <w:t xml:space="preserve">e encuentran </w:t>
      </w:r>
      <w:r w:rsidRPr="00DE556D">
        <w:rPr>
          <w:rFonts w:cs="Calibri"/>
        </w:rPr>
        <w:t>en el A</w:t>
      </w:r>
      <w:r w:rsidR="00552AB0" w:rsidRPr="00DE556D">
        <w:rPr>
          <w:rFonts w:cs="Calibri"/>
        </w:rPr>
        <w:t xml:space="preserve">nexo de la agenda, así como </w:t>
      </w:r>
      <w:r w:rsidRPr="00DE556D">
        <w:rPr>
          <w:rFonts w:cs="Calibri"/>
        </w:rPr>
        <w:t>las Partes Contratantes registrad</w:t>
      </w:r>
      <w:r w:rsidR="00C9745A" w:rsidRPr="00DE556D">
        <w:rPr>
          <w:rFonts w:cs="Calibri"/>
        </w:rPr>
        <w:t>a</w:t>
      </w:r>
      <w:r w:rsidRPr="00DE556D">
        <w:rPr>
          <w:rFonts w:cs="Calibri"/>
        </w:rPr>
        <w:t>s</w:t>
      </w:r>
      <w:r w:rsidR="00552AB0" w:rsidRPr="00DE556D">
        <w:rPr>
          <w:rFonts w:cs="Calibri"/>
        </w:rPr>
        <w:t xml:space="preserve"> como observadores</w:t>
      </w:r>
      <w:r w:rsidRPr="00DE556D">
        <w:rPr>
          <w:rFonts w:cs="Calibri"/>
        </w:rPr>
        <w:t xml:space="preserve"> para las reuniones</w:t>
      </w:r>
      <w:r w:rsidR="00552AB0" w:rsidRPr="00DE556D">
        <w:rPr>
          <w:rFonts w:cs="Calibri"/>
        </w:rPr>
        <w:t xml:space="preserve"> entre sesiones</w:t>
      </w:r>
      <w:r w:rsidRPr="00DE556D">
        <w:rPr>
          <w:rFonts w:cs="Calibri"/>
        </w:rPr>
        <w:t xml:space="preserve"> virtuales.</w:t>
      </w:r>
      <w:r w:rsidR="00552AB0" w:rsidRPr="00DE556D">
        <w:rPr>
          <w:rFonts w:cs="Calibri"/>
        </w:rPr>
        <w:t xml:space="preserve"> De acuerdo a las Reglas </w:t>
      </w:r>
      <w:r w:rsidR="005120A5">
        <w:rPr>
          <w:rFonts w:cs="Calibri"/>
        </w:rPr>
        <w:t>de Procedimiento</w:t>
      </w:r>
      <w:r w:rsidR="00C9745A" w:rsidRPr="00DE556D">
        <w:rPr>
          <w:rFonts w:cs="Calibri"/>
        </w:rPr>
        <w:t xml:space="preserve"> </w:t>
      </w:r>
      <w:r w:rsidR="00552AB0" w:rsidRPr="00DE556D">
        <w:rPr>
          <w:rFonts w:cs="Calibri"/>
        </w:rPr>
        <w:t xml:space="preserve">25 y </w:t>
      </w:r>
      <w:r w:rsidR="000715A6" w:rsidRPr="00DE556D">
        <w:rPr>
          <w:rFonts w:cs="Calibri"/>
        </w:rPr>
        <w:t xml:space="preserve">28, las reuniones entre sesiones virtuales </w:t>
      </w:r>
      <w:r w:rsidR="00552AB0" w:rsidRPr="00DE556D">
        <w:rPr>
          <w:rFonts w:cs="Calibri"/>
        </w:rPr>
        <w:t>del Comité Permanente se celebrarán en sesión cerrada.</w:t>
      </w:r>
    </w:p>
    <w:p w14:paraId="14F36572" w14:textId="77777777" w:rsidR="004D41FF" w:rsidRPr="00DE556D" w:rsidRDefault="004D41FF" w:rsidP="00F372B9">
      <w:pPr>
        <w:spacing w:after="0" w:line="240" w:lineRule="auto"/>
        <w:ind w:left="360"/>
        <w:rPr>
          <w:rFonts w:cs="Calibri"/>
        </w:rPr>
      </w:pPr>
    </w:p>
    <w:p w14:paraId="3EEB70A1" w14:textId="59907C62" w:rsidR="00444B5A" w:rsidRPr="006F198C" w:rsidRDefault="00FF34E7" w:rsidP="00F372B9">
      <w:pPr>
        <w:pStyle w:val="ListParagraph"/>
        <w:numPr>
          <w:ilvl w:val="0"/>
          <w:numId w:val="25"/>
        </w:numPr>
        <w:spacing w:after="0" w:line="240" w:lineRule="auto"/>
        <w:ind w:left="425" w:hanging="425"/>
        <w:rPr>
          <w:rFonts w:cs="Calibri"/>
          <w:b/>
          <w:bCs/>
        </w:rPr>
      </w:pPr>
      <w:r w:rsidRPr="006F198C">
        <w:rPr>
          <w:rFonts w:cs="Calibri"/>
          <w:b/>
          <w:bCs/>
        </w:rPr>
        <w:t xml:space="preserve">Informe del Grupo de Trabajo Administrativo </w:t>
      </w:r>
    </w:p>
    <w:p w14:paraId="0DA41436" w14:textId="77777777" w:rsidR="004D41FF" w:rsidRDefault="004D41FF" w:rsidP="00F372B9">
      <w:pPr>
        <w:spacing w:after="0" w:line="240" w:lineRule="auto"/>
        <w:ind w:left="-142"/>
        <w:contextualSpacing/>
        <w:rPr>
          <w:rFonts w:asciiTheme="minorHAnsi" w:hAnsiTheme="minorHAnsi" w:cstheme="minorHAnsi"/>
          <w:bCs/>
        </w:rPr>
      </w:pPr>
    </w:p>
    <w:p w14:paraId="4B1A2E53" w14:textId="3411101E" w:rsidR="00811949" w:rsidRPr="00DE556D" w:rsidRDefault="00FF34E7" w:rsidP="00F372B9">
      <w:pPr>
        <w:spacing w:after="0" w:line="240" w:lineRule="auto"/>
        <w:ind w:left="426"/>
        <w:contextualSpacing/>
        <w:rPr>
          <w:rFonts w:asciiTheme="minorHAnsi" w:hAnsiTheme="minorHAnsi" w:cstheme="minorHAnsi"/>
          <w:lang w:val="es-CO"/>
        </w:rPr>
      </w:pPr>
      <w:r w:rsidRPr="00DE556D">
        <w:rPr>
          <w:rFonts w:asciiTheme="minorHAnsi" w:hAnsiTheme="minorHAnsi" w:cstheme="minorHAnsi"/>
          <w:bCs/>
        </w:rPr>
        <w:t xml:space="preserve">El Presidente </w:t>
      </w:r>
      <w:r w:rsidR="00316C16" w:rsidRPr="00DE556D">
        <w:rPr>
          <w:bCs/>
        </w:rPr>
        <w:t xml:space="preserve">del Grupo de Trabajo Administrativo </w:t>
      </w:r>
      <w:r w:rsidRPr="00DE556D">
        <w:rPr>
          <w:rFonts w:asciiTheme="minorHAnsi" w:hAnsiTheme="minorHAnsi" w:cstheme="minorHAnsi"/>
          <w:bCs/>
        </w:rPr>
        <w:t xml:space="preserve">presentará el estado del informe con las recomendaciones al Comité Permanente para su aprobación. </w:t>
      </w:r>
    </w:p>
    <w:p w14:paraId="467010C6" w14:textId="77777777" w:rsidR="00811949" w:rsidRPr="00DE556D" w:rsidRDefault="00811949" w:rsidP="00F372B9">
      <w:pPr>
        <w:spacing w:after="0" w:line="240" w:lineRule="auto"/>
        <w:ind w:left="567" w:hanging="567"/>
        <w:contextualSpacing/>
        <w:rPr>
          <w:bCs/>
          <w:lang w:val="es-CO"/>
        </w:rPr>
      </w:pPr>
    </w:p>
    <w:p w14:paraId="5F216DED" w14:textId="58F5531D" w:rsidR="00444B5A" w:rsidRPr="006F198C" w:rsidRDefault="00316C16" w:rsidP="00F372B9">
      <w:pPr>
        <w:pStyle w:val="ListParagraph"/>
        <w:numPr>
          <w:ilvl w:val="0"/>
          <w:numId w:val="25"/>
        </w:numPr>
        <w:spacing w:after="0" w:line="240" w:lineRule="auto"/>
        <w:ind w:left="425" w:hanging="425"/>
        <w:rPr>
          <w:rFonts w:cs="Calibri"/>
          <w:b/>
          <w:bCs/>
        </w:rPr>
      </w:pPr>
      <w:r w:rsidRPr="006F198C">
        <w:rPr>
          <w:rFonts w:cs="Calibri"/>
          <w:b/>
          <w:bCs/>
        </w:rPr>
        <w:t xml:space="preserve">Informe del Subgrupo sobre la COP14 </w:t>
      </w:r>
    </w:p>
    <w:p w14:paraId="56825B19" w14:textId="77777777" w:rsidR="004D41FF" w:rsidRPr="00DE556D" w:rsidRDefault="004D41FF" w:rsidP="00F372B9">
      <w:pPr>
        <w:pStyle w:val="ListParagraph"/>
        <w:spacing w:after="0" w:line="240" w:lineRule="auto"/>
        <w:ind w:left="360"/>
        <w:rPr>
          <w:bCs/>
        </w:rPr>
      </w:pPr>
    </w:p>
    <w:p w14:paraId="27B79BF8" w14:textId="517A6A36" w:rsidR="00316C16" w:rsidRPr="00DE556D" w:rsidRDefault="000F3B55" w:rsidP="00F372B9">
      <w:pPr>
        <w:spacing w:after="0" w:line="240" w:lineRule="auto"/>
        <w:ind w:left="426"/>
        <w:contextualSpacing/>
        <w:rPr>
          <w:bCs/>
        </w:rPr>
      </w:pPr>
      <w:r w:rsidRPr="00DE556D">
        <w:rPr>
          <w:bCs/>
        </w:rPr>
        <w:t>El</w:t>
      </w:r>
      <w:r w:rsidR="00316C16" w:rsidRPr="00DE556D">
        <w:rPr>
          <w:bCs/>
        </w:rPr>
        <w:t xml:space="preserve"> Presidente del Subgrupo sobre la COP14, presentará un informe oral sobre los temas discutidos por el Subgrupo el 12 de junio (tema de la COP14 y </w:t>
      </w:r>
      <w:r w:rsidRPr="00DE556D">
        <w:rPr>
          <w:bCs/>
        </w:rPr>
        <w:t xml:space="preserve">tema </w:t>
      </w:r>
      <w:r w:rsidR="00316C16" w:rsidRPr="00DE556D">
        <w:rPr>
          <w:bCs/>
        </w:rPr>
        <w:t xml:space="preserve">para el 50º aniversario de la Convención). </w:t>
      </w:r>
    </w:p>
    <w:p w14:paraId="745F4CBD" w14:textId="77777777" w:rsidR="00D10C38" w:rsidRPr="00DE556D" w:rsidRDefault="00D10C38" w:rsidP="00F372B9">
      <w:pPr>
        <w:spacing w:after="0" w:line="240" w:lineRule="auto"/>
        <w:ind w:left="567" w:hanging="567"/>
        <w:contextualSpacing/>
        <w:rPr>
          <w:bCs/>
        </w:rPr>
      </w:pPr>
    </w:p>
    <w:p w14:paraId="057C96A9" w14:textId="065B22EE" w:rsidR="00316C16" w:rsidRPr="006F198C" w:rsidRDefault="0079384D" w:rsidP="00F372B9">
      <w:pPr>
        <w:pStyle w:val="ListParagraph"/>
        <w:numPr>
          <w:ilvl w:val="0"/>
          <w:numId w:val="25"/>
        </w:numPr>
        <w:spacing w:after="0" w:line="240" w:lineRule="auto"/>
        <w:ind w:left="425" w:hanging="425"/>
        <w:rPr>
          <w:rFonts w:cs="Calibri"/>
          <w:b/>
          <w:bCs/>
        </w:rPr>
      </w:pPr>
      <w:r w:rsidRPr="006F198C">
        <w:rPr>
          <w:rFonts w:cs="Calibri"/>
          <w:b/>
          <w:bCs/>
        </w:rPr>
        <w:t xml:space="preserve">Informe del </w:t>
      </w:r>
      <w:r w:rsidR="008E397F" w:rsidRPr="006F198C">
        <w:rPr>
          <w:rFonts w:cs="Calibri"/>
          <w:b/>
          <w:bCs/>
        </w:rPr>
        <w:t>Equipo E</w:t>
      </w:r>
      <w:r w:rsidR="00C9745A" w:rsidRPr="006F198C">
        <w:rPr>
          <w:rFonts w:cs="Calibri"/>
          <w:b/>
          <w:bCs/>
        </w:rPr>
        <w:t xml:space="preserve">jecutivo </w:t>
      </w:r>
      <w:r w:rsidR="00316C16" w:rsidRPr="006F198C">
        <w:rPr>
          <w:rFonts w:cs="Calibri"/>
          <w:b/>
          <w:bCs/>
        </w:rPr>
        <w:t xml:space="preserve">sobre el punto 20.4 </w:t>
      </w:r>
      <w:r w:rsidR="00316C16" w:rsidRPr="00F372B9">
        <w:rPr>
          <w:rFonts w:cs="Calibri"/>
          <w:b/>
          <w:bCs/>
          <w:i/>
        </w:rPr>
        <w:t>Procedimiento para la preparación y el examen de proyectos de resolución</w:t>
      </w:r>
      <w:r w:rsidR="00316C16" w:rsidRPr="006F198C">
        <w:rPr>
          <w:rFonts w:cs="Calibri"/>
          <w:b/>
          <w:bCs/>
        </w:rPr>
        <w:t xml:space="preserve"> (propósito y calendario de las reuniones regionales previas a la COP).</w:t>
      </w:r>
      <w:r w:rsidR="00811949" w:rsidRPr="006F198C">
        <w:rPr>
          <w:rFonts w:cs="Calibri"/>
          <w:b/>
          <w:bCs/>
        </w:rPr>
        <w:t xml:space="preserve"> </w:t>
      </w:r>
    </w:p>
    <w:p w14:paraId="4BF28DA2" w14:textId="77777777" w:rsidR="004D41FF" w:rsidRDefault="004D41FF" w:rsidP="00F372B9">
      <w:pPr>
        <w:spacing w:after="0" w:line="240" w:lineRule="auto"/>
        <w:ind w:left="-142"/>
        <w:rPr>
          <w:rFonts w:cs="Calibri"/>
        </w:rPr>
      </w:pPr>
    </w:p>
    <w:p w14:paraId="40BD9683" w14:textId="2CC2A9E4" w:rsidR="0079384D" w:rsidRDefault="0079384D" w:rsidP="00F372B9">
      <w:pPr>
        <w:spacing w:after="0" w:line="240" w:lineRule="auto"/>
        <w:ind w:left="426"/>
        <w:rPr>
          <w:rFonts w:cs="Calibri"/>
        </w:rPr>
      </w:pPr>
      <w:r w:rsidRPr="00DE556D">
        <w:rPr>
          <w:rFonts w:cs="Calibri"/>
        </w:rPr>
        <w:t>El Presidente del Equipo Ejecutivo presentará el informe del equipo y las recomendaciones para la aprobación del Comité Permanente.</w:t>
      </w:r>
    </w:p>
    <w:p w14:paraId="42FC5A3B" w14:textId="69696DE1" w:rsidR="004D41FF" w:rsidRDefault="004D41FF" w:rsidP="00F372B9">
      <w:pPr>
        <w:spacing w:after="0" w:line="240" w:lineRule="auto"/>
        <w:rPr>
          <w:rFonts w:cs="Calibri"/>
        </w:rPr>
      </w:pPr>
    </w:p>
    <w:p w14:paraId="599CCC6F" w14:textId="25CA6100" w:rsidR="00444B5A" w:rsidRPr="006F198C" w:rsidRDefault="0079384D" w:rsidP="00F372B9">
      <w:pPr>
        <w:pStyle w:val="ListParagraph"/>
        <w:numPr>
          <w:ilvl w:val="0"/>
          <w:numId w:val="25"/>
        </w:numPr>
        <w:spacing w:after="0" w:line="240" w:lineRule="auto"/>
        <w:ind w:left="425" w:hanging="425"/>
        <w:rPr>
          <w:rFonts w:cs="Calibri"/>
          <w:b/>
          <w:bCs/>
        </w:rPr>
      </w:pPr>
      <w:r w:rsidRPr="006F198C">
        <w:rPr>
          <w:rFonts w:cs="Calibri"/>
          <w:b/>
          <w:bCs/>
        </w:rPr>
        <w:lastRenderedPageBreak/>
        <w:t xml:space="preserve">Punto 8.2 </w:t>
      </w:r>
      <w:r w:rsidRPr="00F372B9">
        <w:rPr>
          <w:rFonts w:cs="Calibri"/>
          <w:b/>
          <w:bCs/>
          <w:i/>
        </w:rPr>
        <w:t>Informe sobre cuestiones financieras</w:t>
      </w:r>
      <w:r w:rsidR="003F316F">
        <w:rPr>
          <w:rFonts w:cs="Calibri"/>
          <w:b/>
          <w:bCs/>
          <w:i/>
        </w:rPr>
        <w:t>,</w:t>
      </w:r>
      <w:r w:rsidR="008E397F" w:rsidRPr="00F372B9">
        <w:rPr>
          <w:rFonts w:cs="Calibri"/>
          <w:b/>
          <w:bCs/>
          <w:i/>
        </w:rPr>
        <w:t xml:space="preserve"> </w:t>
      </w:r>
      <w:r w:rsidRPr="00F372B9">
        <w:rPr>
          <w:rFonts w:cs="Calibri"/>
          <w:b/>
          <w:bCs/>
          <w:i/>
        </w:rPr>
        <w:t>2019 y 2020</w:t>
      </w:r>
      <w:r w:rsidRPr="006F198C">
        <w:rPr>
          <w:rFonts w:cs="Calibri"/>
          <w:b/>
          <w:bCs/>
        </w:rPr>
        <w:t xml:space="preserve"> y Punto 8.3 </w:t>
      </w:r>
      <w:r w:rsidRPr="00F372B9">
        <w:rPr>
          <w:rFonts w:cs="Calibri"/>
          <w:b/>
          <w:bCs/>
          <w:i/>
        </w:rPr>
        <w:t>Estado de las contribuciones anuales</w:t>
      </w:r>
    </w:p>
    <w:p w14:paraId="3909DA51" w14:textId="77777777" w:rsidR="004D41FF" w:rsidRDefault="004D41FF" w:rsidP="00F372B9">
      <w:pPr>
        <w:spacing w:after="0" w:line="240" w:lineRule="auto"/>
        <w:ind w:left="-142"/>
        <w:rPr>
          <w:rFonts w:cs="Calibri"/>
        </w:rPr>
      </w:pPr>
    </w:p>
    <w:p w14:paraId="4226700F" w14:textId="490103B0" w:rsidR="0079384D" w:rsidRDefault="0079384D" w:rsidP="00F372B9">
      <w:pPr>
        <w:spacing w:after="0" w:line="240" w:lineRule="auto"/>
        <w:ind w:left="426"/>
        <w:rPr>
          <w:rFonts w:cs="Calibri"/>
        </w:rPr>
      </w:pPr>
      <w:r w:rsidRPr="00DE556D">
        <w:rPr>
          <w:rFonts w:cs="Calibri"/>
        </w:rPr>
        <w:t>El Presidente del Sub</w:t>
      </w:r>
      <w:r w:rsidR="000F3B55" w:rsidRPr="00DE556D">
        <w:rPr>
          <w:rFonts w:cs="Calibri"/>
        </w:rPr>
        <w:t xml:space="preserve">grupo de Finanzas presentará el </w:t>
      </w:r>
      <w:r w:rsidRPr="00DE556D">
        <w:rPr>
          <w:rFonts w:cs="Calibri"/>
        </w:rPr>
        <w:t>informe</w:t>
      </w:r>
      <w:r w:rsidR="000F3B55" w:rsidRPr="00DE556D">
        <w:rPr>
          <w:rFonts w:cs="Calibri"/>
        </w:rPr>
        <w:t xml:space="preserve"> del Subgrupo</w:t>
      </w:r>
      <w:r w:rsidRPr="00DE556D">
        <w:rPr>
          <w:rFonts w:cs="Calibri"/>
        </w:rPr>
        <w:t xml:space="preserve"> y las recomendaciones para la aprobación del Comité Permanente.</w:t>
      </w:r>
    </w:p>
    <w:p w14:paraId="46F752CD" w14:textId="77777777" w:rsidR="004D41FF" w:rsidRPr="00DE556D" w:rsidRDefault="004D41FF" w:rsidP="00F372B9">
      <w:pPr>
        <w:spacing w:after="0" w:line="240" w:lineRule="auto"/>
        <w:ind w:left="360"/>
        <w:rPr>
          <w:rFonts w:cs="Calibri"/>
        </w:rPr>
      </w:pPr>
    </w:p>
    <w:p w14:paraId="643E89AE" w14:textId="77777777" w:rsidR="004D41FF" w:rsidRPr="006F198C" w:rsidRDefault="000F3B55" w:rsidP="00F372B9">
      <w:pPr>
        <w:pStyle w:val="ListParagraph"/>
        <w:keepNext/>
        <w:numPr>
          <w:ilvl w:val="0"/>
          <w:numId w:val="25"/>
        </w:numPr>
        <w:spacing w:after="0" w:line="240" w:lineRule="auto"/>
        <w:ind w:left="425" w:hanging="425"/>
        <w:rPr>
          <w:rFonts w:cs="Calibri"/>
          <w:b/>
          <w:bCs/>
        </w:rPr>
      </w:pPr>
      <w:r w:rsidRPr="006F198C">
        <w:rPr>
          <w:rFonts w:cs="Calibri"/>
          <w:b/>
          <w:bCs/>
        </w:rPr>
        <w:t>Revisión de decisiones sobre puntos</w:t>
      </w:r>
      <w:r w:rsidR="0079384D" w:rsidRPr="006F198C">
        <w:rPr>
          <w:rFonts w:cs="Calibri"/>
          <w:b/>
          <w:bCs/>
        </w:rPr>
        <w:t xml:space="preserve"> </w:t>
      </w:r>
      <w:r w:rsidRPr="006F198C">
        <w:rPr>
          <w:rFonts w:cs="Calibri"/>
          <w:b/>
          <w:bCs/>
        </w:rPr>
        <w:t xml:space="preserve">en la Agenda discutidas </w:t>
      </w:r>
      <w:r w:rsidR="0079384D" w:rsidRPr="006F198C">
        <w:rPr>
          <w:rFonts w:cs="Calibri"/>
          <w:b/>
          <w:bCs/>
        </w:rPr>
        <w:t>por correo electrónico</w:t>
      </w:r>
    </w:p>
    <w:p w14:paraId="2D59BDD6" w14:textId="77777777" w:rsidR="004D41FF" w:rsidRDefault="004D41FF" w:rsidP="00F372B9">
      <w:pPr>
        <w:pStyle w:val="ListParagraph"/>
        <w:keepNext/>
        <w:spacing w:after="0" w:line="240" w:lineRule="auto"/>
        <w:ind w:left="360"/>
        <w:rPr>
          <w:rFonts w:cs="Calibri"/>
        </w:rPr>
      </w:pPr>
    </w:p>
    <w:p w14:paraId="025A2BB4" w14:textId="692436DD" w:rsidR="0079384D" w:rsidRPr="004D41FF" w:rsidRDefault="0079384D" w:rsidP="00F372B9">
      <w:pPr>
        <w:pStyle w:val="ListParagraph"/>
        <w:spacing w:after="0" w:line="240" w:lineRule="auto"/>
        <w:ind w:left="426"/>
        <w:rPr>
          <w:rFonts w:cs="Calibri"/>
        </w:rPr>
      </w:pPr>
      <w:r w:rsidRPr="004D41FF">
        <w:rPr>
          <w:rFonts w:cs="Calibri"/>
        </w:rPr>
        <w:t>Seis puntos del orden del día</w:t>
      </w:r>
      <w:r w:rsidR="000F3B55" w:rsidRPr="004D41FF">
        <w:rPr>
          <w:rFonts w:cs="Calibri"/>
        </w:rPr>
        <w:t xml:space="preserve"> fueron inicialmente </w:t>
      </w:r>
      <w:r w:rsidRPr="004D41FF">
        <w:rPr>
          <w:rFonts w:cs="Calibri"/>
        </w:rPr>
        <w:t xml:space="preserve">abiertos para comentarios por correo electrónico </w:t>
      </w:r>
      <w:r w:rsidR="000F3B55" w:rsidRPr="004D41FF">
        <w:rPr>
          <w:rFonts w:cs="Calibri"/>
        </w:rPr>
        <w:t xml:space="preserve">hasta </w:t>
      </w:r>
      <w:r w:rsidRPr="004D41FF">
        <w:rPr>
          <w:rFonts w:cs="Calibri"/>
        </w:rPr>
        <w:t>el 15 de junio</w:t>
      </w:r>
      <w:r w:rsidR="001C1114" w:rsidRPr="004D41FF">
        <w:rPr>
          <w:rFonts w:cs="Calibri"/>
        </w:rPr>
        <w:t>. El texto de decisión revisado basado en los comentarios recibidos se envió a las Partes Contratantes para una segunda ronde comentarios hasta el 22 de junio. El estado de estos seis p</w:t>
      </w:r>
      <w:r w:rsidRPr="004D41FF">
        <w:rPr>
          <w:rFonts w:cs="Calibri"/>
        </w:rPr>
        <w:t>untos es el siguiente:</w:t>
      </w:r>
    </w:p>
    <w:p w14:paraId="5D8D3F98" w14:textId="77777777" w:rsidR="0079384D" w:rsidRPr="00DE556D" w:rsidRDefault="0079384D" w:rsidP="00F372B9">
      <w:pPr>
        <w:spacing w:after="0" w:line="240" w:lineRule="auto"/>
        <w:ind w:left="-142"/>
        <w:rPr>
          <w:rFonts w:cs="Calibri"/>
        </w:rPr>
      </w:pPr>
    </w:p>
    <w:p w14:paraId="56670892" w14:textId="77777777" w:rsidR="0079384D" w:rsidRPr="00DE556D" w:rsidRDefault="0079384D" w:rsidP="00F372B9">
      <w:pPr>
        <w:spacing w:after="0" w:line="240" w:lineRule="auto"/>
        <w:ind w:left="426"/>
        <w:rPr>
          <w:rFonts w:cs="Calibri"/>
        </w:rPr>
      </w:pPr>
      <w:r w:rsidRPr="00DE556D">
        <w:rPr>
          <w:rFonts w:cs="Calibri"/>
        </w:rPr>
        <w:t>La Secretaría presentará el estado de los puntos del orden del día que recibieron comentarios u objeciones.</w:t>
      </w:r>
    </w:p>
    <w:p w14:paraId="02517415" w14:textId="77777777" w:rsidR="0079384D" w:rsidRPr="00DE556D" w:rsidRDefault="0079384D" w:rsidP="00F372B9">
      <w:pPr>
        <w:spacing w:after="0" w:line="240" w:lineRule="auto"/>
        <w:ind w:left="-142"/>
        <w:rPr>
          <w:rFonts w:cs="Calibri"/>
        </w:rPr>
      </w:pPr>
    </w:p>
    <w:p w14:paraId="250FF5F6" w14:textId="1AE3FE5C" w:rsidR="00963679" w:rsidRPr="00A95D7C" w:rsidRDefault="00963679" w:rsidP="00F372B9">
      <w:pPr>
        <w:numPr>
          <w:ilvl w:val="0"/>
          <w:numId w:val="19"/>
        </w:numPr>
        <w:tabs>
          <w:tab w:val="clear" w:pos="720"/>
        </w:tabs>
        <w:spacing w:after="0" w:line="240" w:lineRule="auto"/>
        <w:ind w:left="851" w:hanging="425"/>
        <w:rPr>
          <w:rFonts w:cs="Calibri"/>
          <w:i/>
        </w:rPr>
      </w:pPr>
      <w:r w:rsidRPr="00DE556D">
        <w:rPr>
          <w:rFonts w:cs="Calibri"/>
        </w:rPr>
        <w:t xml:space="preserve">Punto 13 - </w:t>
      </w:r>
      <w:r w:rsidRPr="00A95D7C">
        <w:rPr>
          <w:rFonts w:cs="Calibri"/>
          <w:i/>
        </w:rPr>
        <w:t>Examen de todas las resoluciones y decisiones anteriores</w:t>
      </w:r>
      <w:r w:rsidR="00A95D7C" w:rsidRPr="00A95D7C">
        <w:rPr>
          <w:rFonts w:cs="Calibri"/>
        </w:rPr>
        <w:t>;</w:t>
      </w:r>
    </w:p>
    <w:p w14:paraId="705BB25C" w14:textId="6622F759" w:rsidR="00963679" w:rsidRPr="00A95D7C" w:rsidRDefault="00963679" w:rsidP="00F372B9">
      <w:pPr>
        <w:numPr>
          <w:ilvl w:val="0"/>
          <w:numId w:val="19"/>
        </w:numPr>
        <w:tabs>
          <w:tab w:val="clear" w:pos="720"/>
        </w:tabs>
        <w:spacing w:after="0" w:line="240" w:lineRule="auto"/>
        <w:ind w:left="851" w:hanging="425"/>
        <w:rPr>
          <w:rFonts w:cs="Calibri"/>
        </w:rPr>
      </w:pPr>
      <w:r w:rsidRPr="00DE556D">
        <w:rPr>
          <w:rFonts w:cs="Calibri"/>
        </w:rPr>
        <w:t xml:space="preserve">Punto 16 - </w:t>
      </w:r>
      <w:r w:rsidRPr="00A95D7C">
        <w:rPr>
          <w:rFonts w:cs="Calibri"/>
          <w:i/>
        </w:rPr>
        <w:t>Plan de trabajo de la Secretaría para 2020</w:t>
      </w:r>
      <w:r w:rsidR="00A95D7C" w:rsidRPr="00A95D7C">
        <w:rPr>
          <w:rFonts w:cs="Calibri"/>
        </w:rPr>
        <w:t>;</w:t>
      </w:r>
    </w:p>
    <w:p w14:paraId="08D66504" w14:textId="20CFE919" w:rsidR="00963679" w:rsidRPr="00A95D7C" w:rsidRDefault="00963679" w:rsidP="00F372B9">
      <w:pPr>
        <w:numPr>
          <w:ilvl w:val="0"/>
          <w:numId w:val="19"/>
        </w:numPr>
        <w:tabs>
          <w:tab w:val="clear" w:pos="720"/>
        </w:tabs>
        <w:spacing w:after="0" w:line="240" w:lineRule="auto"/>
        <w:ind w:left="851" w:hanging="425"/>
        <w:rPr>
          <w:rFonts w:cs="Calibri"/>
          <w:i/>
        </w:rPr>
      </w:pPr>
      <w:r w:rsidRPr="00DE556D">
        <w:rPr>
          <w:rFonts w:cs="Calibri"/>
        </w:rPr>
        <w:t xml:space="preserve">Punto 20.3 - </w:t>
      </w:r>
      <w:r w:rsidRPr="00A95D7C">
        <w:rPr>
          <w:rFonts w:cs="Calibri"/>
          <w:i/>
        </w:rPr>
        <w:t>Premios Ramsar a l</w:t>
      </w:r>
      <w:r w:rsidR="00A95D7C">
        <w:rPr>
          <w:rFonts w:cs="Calibri"/>
          <w:i/>
        </w:rPr>
        <w:t>a Conservación de los Humedales</w:t>
      </w:r>
      <w:r w:rsidR="00A95D7C" w:rsidRPr="00A95D7C">
        <w:rPr>
          <w:rFonts w:cs="Calibri"/>
        </w:rPr>
        <w:t>;</w:t>
      </w:r>
    </w:p>
    <w:p w14:paraId="23EE0C04" w14:textId="744A14A4" w:rsidR="00963679" w:rsidRPr="00A95D7C" w:rsidRDefault="00963679" w:rsidP="00F372B9">
      <w:pPr>
        <w:numPr>
          <w:ilvl w:val="0"/>
          <w:numId w:val="19"/>
        </w:numPr>
        <w:tabs>
          <w:tab w:val="clear" w:pos="720"/>
        </w:tabs>
        <w:spacing w:after="0" w:line="240" w:lineRule="auto"/>
        <w:ind w:left="851" w:hanging="425"/>
        <w:rPr>
          <w:rFonts w:cs="Calibri"/>
        </w:rPr>
      </w:pPr>
      <w:r w:rsidRPr="00DE556D">
        <w:rPr>
          <w:rFonts w:cs="Calibri"/>
        </w:rPr>
        <w:t xml:space="preserve">Punto 22.2 - </w:t>
      </w:r>
      <w:r w:rsidRPr="00A95D7C">
        <w:rPr>
          <w:rFonts w:cs="Calibri"/>
          <w:i/>
        </w:rPr>
        <w:t>Informe de la Secretaría sobre las Iniciativas Regionales de Ramsar</w:t>
      </w:r>
      <w:r w:rsidRPr="00DE556D">
        <w:rPr>
          <w:rFonts w:cs="Calibri"/>
        </w:rPr>
        <w:t xml:space="preserve"> (aclaración sobre la convocatoria de propuestas para nuevos IRRs);</w:t>
      </w:r>
    </w:p>
    <w:p w14:paraId="7DC35CFD" w14:textId="5B80E377" w:rsidR="00DB500D" w:rsidRPr="00A95D7C" w:rsidRDefault="00DB500D" w:rsidP="00F372B9">
      <w:pPr>
        <w:numPr>
          <w:ilvl w:val="0"/>
          <w:numId w:val="19"/>
        </w:numPr>
        <w:tabs>
          <w:tab w:val="clear" w:pos="720"/>
        </w:tabs>
        <w:spacing w:after="0" w:line="240" w:lineRule="auto"/>
        <w:ind w:left="851" w:hanging="425"/>
        <w:rPr>
          <w:rFonts w:cs="Calibri"/>
        </w:rPr>
      </w:pPr>
      <w:r w:rsidRPr="00DE556D">
        <w:rPr>
          <w:rFonts w:cs="Calibri"/>
        </w:rPr>
        <w:t xml:space="preserve">Punto 23 </w:t>
      </w:r>
      <w:r w:rsidR="00A95D7C">
        <w:rPr>
          <w:rFonts w:cs="Calibri"/>
        </w:rPr>
        <w:t xml:space="preserve">- </w:t>
      </w:r>
      <w:r w:rsidRPr="00A95D7C">
        <w:rPr>
          <w:rFonts w:cs="Calibri"/>
          <w:i/>
        </w:rPr>
        <w:t>Informe de los copresidentes del Comité Asesor Independiente sobre la acreditación de Ciudad de Humedal</w:t>
      </w:r>
      <w:r w:rsidRPr="00A95D7C">
        <w:rPr>
          <w:rFonts w:cs="Calibri"/>
        </w:rPr>
        <w:t>;</w:t>
      </w:r>
    </w:p>
    <w:p w14:paraId="4A93D99B" w14:textId="4B1ED6A5" w:rsidR="00963679" w:rsidRPr="00DE556D" w:rsidRDefault="00963679" w:rsidP="00F372B9">
      <w:pPr>
        <w:numPr>
          <w:ilvl w:val="0"/>
          <w:numId w:val="19"/>
        </w:numPr>
        <w:tabs>
          <w:tab w:val="clear" w:pos="720"/>
        </w:tabs>
        <w:spacing w:after="0" w:line="240" w:lineRule="auto"/>
        <w:ind w:left="851" w:hanging="425"/>
        <w:rPr>
          <w:rFonts w:cs="Calibri"/>
        </w:rPr>
      </w:pPr>
      <w:r w:rsidRPr="00DE556D">
        <w:rPr>
          <w:rFonts w:cs="Calibri"/>
        </w:rPr>
        <w:t>Elementos de asesoramiento para el FMAM relacionados con la financiación para apoyar los objetivos y prioridades de la Convención para el octavo reaprovisionamiento del Fondo Fiduciario del FMAM</w:t>
      </w:r>
      <w:r w:rsidR="00A95D7C">
        <w:rPr>
          <w:rFonts w:cs="Calibri"/>
        </w:rPr>
        <w:t>.</w:t>
      </w:r>
    </w:p>
    <w:p w14:paraId="6D40B1F0" w14:textId="36A4FC54" w:rsidR="00CD4233" w:rsidRPr="00DE556D" w:rsidRDefault="00CD4233" w:rsidP="00F372B9">
      <w:pPr>
        <w:spacing w:after="0" w:line="240" w:lineRule="auto"/>
        <w:ind w:left="-142"/>
        <w:rPr>
          <w:rFonts w:cs="Calibri"/>
        </w:rPr>
      </w:pPr>
    </w:p>
    <w:p w14:paraId="12FBD9D8" w14:textId="626D41C4" w:rsidR="001500B9" w:rsidRPr="006F198C" w:rsidRDefault="00963679" w:rsidP="00F372B9">
      <w:pPr>
        <w:pStyle w:val="ListParagraph"/>
        <w:numPr>
          <w:ilvl w:val="0"/>
          <w:numId w:val="25"/>
        </w:numPr>
        <w:spacing w:after="0" w:line="240" w:lineRule="auto"/>
        <w:ind w:left="425" w:hanging="425"/>
        <w:rPr>
          <w:rFonts w:cs="Calibri"/>
          <w:b/>
          <w:bCs/>
        </w:rPr>
      </w:pPr>
      <w:r w:rsidRPr="006F198C">
        <w:rPr>
          <w:rFonts w:cs="Calibri"/>
          <w:b/>
          <w:bCs/>
        </w:rPr>
        <w:t xml:space="preserve">Adopción del informe de la </w:t>
      </w:r>
      <w:r w:rsidR="00F23FE5" w:rsidRPr="006F198C">
        <w:rPr>
          <w:rFonts w:cs="Calibri"/>
          <w:b/>
          <w:bCs/>
        </w:rPr>
        <w:t>reunión</w:t>
      </w:r>
      <w:r w:rsidRPr="006F198C">
        <w:rPr>
          <w:rFonts w:cs="Calibri"/>
          <w:b/>
          <w:bCs/>
        </w:rPr>
        <w:t xml:space="preserve"> </w:t>
      </w:r>
    </w:p>
    <w:p w14:paraId="1480E9D4" w14:textId="77777777" w:rsidR="00A95D7C" w:rsidRPr="00DE556D" w:rsidRDefault="00A95D7C" w:rsidP="00F372B9">
      <w:pPr>
        <w:pStyle w:val="ListParagraph"/>
        <w:spacing w:after="0" w:line="240" w:lineRule="auto"/>
        <w:ind w:left="360"/>
      </w:pPr>
    </w:p>
    <w:p w14:paraId="1AFC2F70" w14:textId="6F6E7C49" w:rsidR="00963679" w:rsidRPr="00DE556D" w:rsidRDefault="00963679" w:rsidP="00F372B9">
      <w:pPr>
        <w:spacing w:after="0" w:line="240" w:lineRule="auto"/>
        <w:ind w:left="426"/>
        <w:contextualSpacing/>
        <w:rPr>
          <w:rFonts w:asciiTheme="minorHAnsi" w:hAnsiTheme="minorHAnsi" w:cstheme="minorHAnsi"/>
          <w:bCs/>
        </w:rPr>
      </w:pPr>
      <w:r w:rsidRPr="00DE556D">
        <w:rPr>
          <w:rFonts w:asciiTheme="minorHAnsi" w:hAnsiTheme="minorHAnsi" w:cstheme="minorHAnsi"/>
          <w:bCs/>
        </w:rPr>
        <w:t xml:space="preserve">El </w:t>
      </w:r>
      <w:r w:rsidR="00DB500D" w:rsidRPr="00DE556D">
        <w:rPr>
          <w:rFonts w:asciiTheme="minorHAnsi" w:hAnsiTheme="minorHAnsi" w:cstheme="minorHAnsi"/>
          <w:bCs/>
        </w:rPr>
        <w:t xml:space="preserve">informe </w:t>
      </w:r>
      <w:r w:rsidRPr="00DE556D">
        <w:rPr>
          <w:rFonts w:asciiTheme="minorHAnsi" w:hAnsiTheme="minorHAnsi" w:cstheme="minorHAnsi"/>
          <w:bCs/>
        </w:rPr>
        <w:t xml:space="preserve">de la reunión </w:t>
      </w:r>
      <w:r w:rsidR="001C1114" w:rsidRPr="00DE556D">
        <w:rPr>
          <w:rFonts w:asciiTheme="minorHAnsi" w:hAnsiTheme="minorHAnsi" w:cstheme="minorHAnsi"/>
          <w:bCs/>
        </w:rPr>
        <w:t xml:space="preserve">entre sesiones </w:t>
      </w:r>
      <w:r w:rsidRPr="00DE556D">
        <w:rPr>
          <w:rFonts w:asciiTheme="minorHAnsi" w:hAnsiTheme="minorHAnsi" w:cstheme="minorHAnsi"/>
          <w:bCs/>
        </w:rPr>
        <w:t>virtual del 23 de junio se enviará el 24 de junio para cualquier comentario de los miembros del Comité Permanent</w:t>
      </w:r>
      <w:r w:rsidR="001C1114" w:rsidRPr="00DE556D">
        <w:rPr>
          <w:rFonts w:asciiTheme="minorHAnsi" w:hAnsiTheme="minorHAnsi" w:cstheme="minorHAnsi"/>
          <w:bCs/>
        </w:rPr>
        <w:t xml:space="preserve">e y la aprobación </w:t>
      </w:r>
      <w:r w:rsidR="00DB500D" w:rsidRPr="00DE556D">
        <w:rPr>
          <w:rFonts w:asciiTheme="minorHAnsi" w:hAnsiTheme="minorHAnsi" w:cstheme="minorHAnsi"/>
          <w:bCs/>
        </w:rPr>
        <w:t xml:space="preserve">en </w:t>
      </w:r>
      <w:r w:rsidR="001C1114" w:rsidRPr="00DE556D">
        <w:rPr>
          <w:rFonts w:asciiTheme="minorHAnsi" w:hAnsiTheme="minorHAnsi" w:cstheme="minorHAnsi"/>
          <w:bCs/>
        </w:rPr>
        <w:t xml:space="preserve">la sesión </w:t>
      </w:r>
      <w:r w:rsidRPr="00DE556D">
        <w:rPr>
          <w:rFonts w:asciiTheme="minorHAnsi" w:hAnsiTheme="minorHAnsi" w:cstheme="minorHAnsi"/>
          <w:bCs/>
        </w:rPr>
        <w:t>el 25 de junio. En caso de que se cancele la sesión del 25, el Comité Permanente puede acordar que el informe sea aprobado por el P</w:t>
      </w:r>
      <w:r w:rsidR="006C43C0" w:rsidRPr="00DE556D">
        <w:rPr>
          <w:rFonts w:asciiTheme="minorHAnsi" w:hAnsiTheme="minorHAnsi" w:cstheme="minorHAnsi"/>
          <w:bCs/>
        </w:rPr>
        <w:t>residente del Comité Permanente o solicitar que se envíe por correo electrónico para su aprobación por el Comité Permanente.</w:t>
      </w:r>
      <w:r w:rsidRPr="00DE556D">
        <w:rPr>
          <w:rFonts w:asciiTheme="minorHAnsi" w:hAnsiTheme="minorHAnsi" w:cstheme="minorHAnsi"/>
          <w:bCs/>
        </w:rPr>
        <w:t xml:space="preserve"> Si la sesión del Comité Permanente tiene lugar el 25 de junio, el </w:t>
      </w:r>
      <w:r w:rsidR="00DB500D" w:rsidRPr="00DE556D">
        <w:rPr>
          <w:rFonts w:asciiTheme="minorHAnsi" w:hAnsiTheme="minorHAnsi" w:cstheme="minorHAnsi"/>
          <w:bCs/>
        </w:rPr>
        <w:t>informe</w:t>
      </w:r>
      <w:r w:rsidRPr="00DE556D">
        <w:rPr>
          <w:rFonts w:asciiTheme="minorHAnsi" w:hAnsiTheme="minorHAnsi" w:cstheme="minorHAnsi"/>
          <w:bCs/>
        </w:rPr>
        <w:t xml:space="preserve"> de la reunión se enviará el 29 de junio para su aprobación el 2 de julio. El Comité Permanente también puede acordar que el </w:t>
      </w:r>
      <w:r w:rsidR="00DB500D" w:rsidRPr="00DE556D">
        <w:rPr>
          <w:rFonts w:asciiTheme="minorHAnsi" w:hAnsiTheme="minorHAnsi" w:cstheme="minorHAnsi"/>
          <w:bCs/>
        </w:rPr>
        <w:t xml:space="preserve">informe </w:t>
      </w:r>
      <w:r w:rsidRPr="00DE556D">
        <w:rPr>
          <w:rFonts w:asciiTheme="minorHAnsi" w:hAnsiTheme="minorHAnsi" w:cstheme="minorHAnsi"/>
          <w:bCs/>
        </w:rPr>
        <w:t xml:space="preserve">del 25 de junio sea aprobaba </w:t>
      </w:r>
      <w:r w:rsidR="006C43C0" w:rsidRPr="00DE556D">
        <w:rPr>
          <w:rFonts w:asciiTheme="minorHAnsi" w:hAnsiTheme="minorHAnsi" w:cstheme="minorHAnsi"/>
          <w:bCs/>
        </w:rPr>
        <w:t>por el Presidente o solicitar que se envíe por correo electrónico para su aprobación.</w:t>
      </w:r>
      <w:r w:rsidRPr="00DE556D">
        <w:rPr>
          <w:rFonts w:asciiTheme="minorHAnsi" w:hAnsiTheme="minorHAnsi" w:cstheme="minorHAnsi"/>
          <w:bCs/>
        </w:rPr>
        <w:t xml:space="preserve"> </w:t>
      </w:r>
    </w:p>
    <w:p w14:paraId="48D322AA" w14:textId="77777777" w:rsidR="00963679" w:rsidRPr="00DE556D" w:rsidRDefault="00963679" w:rsidP="00F372B9">
      <w:pPr>
        <w:spacing w:after="0" w:line="240" w:lineRule="auto"/>
        <w:ind w:left="-142"/>
        <w:contextualSpacing/>
        <w:rPr>
          <w:rFonts w:asciiTheme="minorHAnsi" w:hAnsiTheme="minorHAnsi" w:cstheme="minorHAnsi"/>
          <w:bCs/>
        </w:rPr>
      </w:pPr>
    </w:p>
    <w:p w14:paraId="4A7FF5AA" w14:textId="47E2A037" w:rsidR="00963679" w:rsidRPr="006F198C" w:rsidRDefault="00963679" w:rsidP="00F372B9">
      <w:pPr>
        <w:pStyle w:val="ListParagraph"/>
        <w:numPr>
          <w:ilvl w:val="0"/>
          <w:numId w:val="25"/>
        </w:numPr>
        <w:spacing w:after="0" w:line="240" w:lineRule="auto"/>
        <w:ind w:left="425" w:hanging="425"/>
        <w:rPr>
          <w:rFonts w:cs="Calibri"/>
          <w:b/>
          <w:bCs/>
        </w:rPr>
      </w:pPr>
      <w:r w:rsidRPr="006F198C">
        <w:rPr>
          <w:rFonts w:cs="Calibri"/>
          <w:b/>
          <w:bCs/>
        </w:rPr>
        <w:t>Otros asuntos</w:t>
      </w:r>
    </w:p>
    <w:p w14:paraId="73512732" w14:textId="77777777" w:rsidR="006C43C0" w:rsidRPr="00A95D7C" w:rsidRDefault="006C43C0" w:rsidP="00F372B9">
      <w:pPr>
        <w:pStyle w:val="ListParagraph"/>
        <w:spacing w:after="0" w:line="240" w:lineRule="auto"/>
        <w:ind w:left="360"/>
        <w:rPr>
          <w:b/>
        </w:rPr>
      </w:pPr>
    </w:p>
    <w:p w14:paraId="6D5E4280" w14:textId="552EFD6F" w:rsidR="000325B1" w:rsidRPr="006F198C" w:rsidRDefault="00963679" w:rsidP="00F372B9">
      <w:pPr>
        <w:pStyle w:val="ListParagraph"/>
        <w:numPr>
          <w:ilvl w:val="0"/>
          <w:numId w:val="25"/>
        </w:numPr>
        <w:spacing w:after="0" w:line="240" w:lineRule="auto"/>
        <w:ind w:left="425" w:hanging="425"/>
        <w:rPr>
          <w:rFonts w:cs="Calibri"/>
          <w:b/>
          <w:bCs/>
        </w:rPr>
      </w:pPr>
      <w:r w:rsidRPr="006F198C">
        <w:rPr>
          <w:rFonts w:cs="Calibri"/>
          <w:b/>
          <w:bCs/>
        </w:rPr>
        <w:t>Observaciones de clausura</w:t>
      </w:r>
    </w:p>
    <w:p w14:paraId="4FE01FBC" w14:textId="77777777" w:rsidR="00F36407" w:rsidRPr="00DE556D" w:rsidRDefault="00F36407" w:rsidP="006F198C">
      <w:pPr>
        <w:spacing w:after="0" w:line="240" w:lineRule="auto"/>
        <w:rPr>
          <w:rFonts w:cs="Calibri"/>
          <w:b/>
          <w:bCs/>
          <w:sz w:val="21"/>
          <w:szCs w:val="21"/>
        </w:rPr>
      </w:pPr>
    </w:p>
    <w:p w14:paraId="14A22FCD" w14:textId="77777777" w:rsidR="00F36407" w:rsidRPr="00DE556D" w:rsidRDefault="00F36407" w:rsidP="006F198C">
      <w:pPr>
        <w:spacing w:after="0" w:line="240" w:lineRule="auto"/>
        <w:rPr>
          <w:rFonts w:cs="Calibri"/>
          <w:b/>
          <w:bCs/>
          <w:sz w:val="21"/>
          <w:szCs w:val="21"/>
        </w:rPr>
      </w:pPr>
    </w:p>
    <w:p w14:paraId="68E8FAC4" w14:textId="77777777" w:rsidR="00F36407" w:rsidRPr="00DE556D" w:rsidRDefault="00F36407" w:rsidP="006F198C">
      <w:pPr>
        <w:spacing w:after="0" w:line="240" w:lineRule="auto"/>
        <w:rPr>
          <w:rFonts w:cs="Calibri"/>
          <w:b/>
          <w:bCs/>
          <w:sz w:val="21"/>
          <w:szCs w:val="21"/>
        </w:rPr>
      </w:pPr>
    </w:p>
    <w:p w14:paraId="30D6F05A" w14:textId="77777777" w:rsidR="00EB0A13" w:rsidRPr="00DE556D" w:rsidRDefault="00EB0A13" w:rsidP="006F198C">
      <w:pPr>
        <w:spacing w:after="0" w:line="240" w:lineRule="auto"/>
        <w:jc w:val="center"/>
        <w:rPr>
          <w:rFonts w:asciiTheme="minorHAnsi" w:hAnsiTheme="minorHAnsi" w:cstheme="minorHAnsi"/>
          <w:b/>
          <w:bCs/>
        </w:rPr>
      </w:pPr>
    </w:p>
    <w:p w14:paraId="6EC246BB" w14:textId="77777777" w:rsidR="00EB0A13" w:rsidRPr="00DE556D" w:rsidRDefault="00EB0A13" w:rsidP="006F198C">
      <w:pPr>
        <w:spacing w:after="0" w:line="240" w:lineRule="auto"/>
        <w:jc w:val="center"/>
        <w:rPr>
          <w:rFonts w:asciiTheme="minorHAnsi" w:hAnsiTheme="minorHAnsi" w:cstheme="minorHAnsi"/>
          <w:b/>
          <w:bCs/>
          <w:lang w:val="es-419"/>
        </w:rPr>
      </w:pPr>
    </w:p>
    <w:p w14:paraId="291767B4" w14:textId="77777777" w:rsidR="006C43C0" w:rsidRPr="00DE556D" w:rsidRDefault="006C43C0" w:rsidP="004D41FF">
      <w:pPr>
        <w:spacing w:after="0" w:line="240" w:lineRule="auto"/>
        <w:jc w:val="center"/>
        <w:rPr>
          <w:rFonts w:asciiTheme="minorHAnsi" w:hAnsiTheme="minorHAnsi" w:cstheme="minorHAnsi"/>
          <w:b/>
          <w:bCs/>
          <w:lang w:val="es-419"/>
        </w:rPr>
      </w:pPr>
    </w:p>
    <w:p w14:paraId="6C28FE4D" w14:textId="77777777" w:rsidR="00A95D7C" w:rsidRDefault="00A95D7C">
      <w:pPr>
        <w:rPr>
          <w:rFonts w:asciiTheme="minorHAnsi" w:hAnsiTheme="minorHAnsi" w:cstheme="minorHAnsi"/>
          <w:b/>
          <w:bCs/>
          <w:lang w:val="es-419"/>
        </w:rPr>
      </w:pPr>
      <w:r>
        <w:rPr>
          <w:rFonts w:asciiTheme="minorHAnsi" w:hAnsiTheme="minorHAnsi" w:cstheme="minorHAnsi"/>
          <w:b/>
          <w:bCs/>
          <w:lang w:val="es-419"/>
        </w:rPr>
        <w:br w:type="page"/>
      </w:r>
    </w:p>
    <w:p w14:paraId="105B89DF" w14:textId="0B6A27AD" w:rsidR="00F36407" w:rsidRPr="003F316F" w:rsidRDefault="00035093" w:rsidP="003F316F">
      <w:pPr>
        <w:spacing w:after="0" w:line="240" w:lineRule="auto"/>
        <w:rPr>
          <w:rFonts w:asciiTheme="minorHAnsi" w:hAnsiTheme="minorHAnsi" w:cstheme="minorHAnsi"/>
          <w:b/>
          <w:bCs/>
          <w:sz w:val="24"/>
          <w:szCs w:val="24"/>
        </w:rPr>
      </w:pPr>
      <w:bookmarkStart w:id="0" w:name="_GoBack"/>
      <w:r w:rsidRPr="003F316F">
        <w:rPr>
          <w:rFonts w:asciiTheme="minorHAnsi" w:hAnsiTheme="minorHAnsi" w:cstheme="minorHAnsi"/>
          <w:b/>
          <w:bCs/>
          <w:sz w:val="24"/>
          <w:szCs w:val="24"/>
          <w:lang w:val="es-419"/>
        </w:rPr>
        <w:lastRenderedPageBreak/>
        <w:t>Anexo</w:t>
      </w:r>
      <w:r w:rsidRPr="003F316F">
        <w:rPr>
          <w:rFonts w:asciiTheme="minorHAnsi" w:hAnsiTheme="minorHAnsi" w:cstheme="minorHAnsi"/>
          <w:b/>
          <w:bCs/>
          <w:sz w:val="24"/>
          <w:szCs w:val="24"/>
        </w:rPr>
        <w:t xml:space="preserve"> 1</w:t>
      </w:r>
    </w:p>
    <w:bookmarkEnd w:id="0"/>
    <w:p w14:paraId="0280D3F2" w14:textId="77777777" w:rsidR="00A95D7C" w:rsidRPr="00DE556D" w:rsidRDefault="00A95D7C" w:rsidP="004D41FF">
      <w:pPr>
        <w:spacing w:after="0" w:line="240" w:lineRule="auto"/>
        <w:jc w:val="center"/>
        <w:rPr>
          <w:rFonts w:asciiTheme="minorHAnsi" w:hAnsiTheme="minorHAnsi" w:cstheme="minorHAnsi"/>
          <w:b/>
          <w:bCs/>
        </w:rPr>
      </w:pPr>
    </w:p>
    <w:p w14:paraId="28D5C479" w14:textId="06421DAA" w:rsidR="002F049E" w:rsidRDefault="00035093" w:rsidP="004D41FF">
      <w:pPr>
        <w:spacing w:after="0" w:line="240" w:lineRule="auto"/>
        <w:rPr>
          <w:rFonts w:asciiTheme="minorHAnsi" w:hAnsiTheme="minorHAnsi" w:cstheme="minorHAnsi"/>
          <w:b/>
          <w:bCs/>
        </w:rPr>
      </w:pPr>
      <w:r w:rsidRPr="00DE556D">
        <w:rPr>
          <w:rFonts w:asciiTheme="minorHAnsi" w:hAnsiTheme="minorHAnsi" w:cstheme="minorHAnsi"/>
          <w:b/>
          <w:bCs/>
        </w:rPr>
        <w:t>Miembros votantes del Comité Permanente</w:t>
      </w:r>
      <w:r w:rsidR="00A95D7C">
        <w:rPr>
          <w:rFonts w:asciiTheme="minorHAnsi" w:hAnsiTheme="minorHAnsi" w:cstheme="minorHAnsi"/>
          <w:b/>
          <w:bCs/>
        </w:rPr>
        <w:t>:</w:t>
      </w:r>
    </w:p>
    <w:p w14:paraId="3178C884" w14:textId="77777777" w:rsidR="00A95D7C" w:rsidRPr="00DE556D" w:rsidRDefault="00A95D7C" w:rsidP="004D41FF">
      <w:pPr>
        <w:spacing w:after="0" w:line="240" w:lineRule="auto"/>
        <w:rPr>
          <w:rFonts w:asciiTheme="minorHAnsi" w:hAnsiTheme="minorHAnsi" w:cstheme="minorHAnsi"/>
          <w:b/>
          <w:bCs/>
        </w:rPr>
      </w:pPr>
    </w:p>
    <w:p w14:paraId="2440078B" w14:textId="2C0616F0" w:rsidR="002F049E" w:rsidRPr="00DE556D" w:rsidRDefault="00035093" w:rsidP="004D41FF">
      <w:pPr>
        <w:spacing w:after="0" w:line="240" w:lineRule="auto"/>
        <w:ind w:left="17"/>
        <w:rPr>
          <w:rFonts w:asciiTheme="minorHAnsi" w:eastAsia="Times New Roman" w:hAnsiTheme="minorHAnsi" w:cstheme="minorHAnsi"/>
          <w:lang w:val="es-CO" w:eastAsia="en-GB"/>
        </w:rPr>
      </w:pPr>
      <w:r w:rsidRPr="00DE556D">
        <w:rPr>
          <w:rFonts w:asciiTheme="minorHAnsi" w:eastAsia="Times New Roman" w:hAnsiTheme="minorHAnsi" w:cstheme="minorHAnsi"/>
          <w:lang w:val="es-CO" w:eastAsia="en-GB"/>
        </w:rPr>
        <w:t>África:</w:t>
      </w:r>
      <w:r w:rsidR="002F049E" w:rsidRPr="00DE556D">
        <w:rPr>
          <w:rFonts w:asciiTheme="minorHAnsi" w:eastAsia="Times New Roman" w:hAnsiTheme="minorHAnsi" w:cstheme="minorHAnsi"/>
          <w:lang w:val="es-CO" w:eastAsia="en-GB"/>
        </w:rPr>
        <w:t xml:space="preserve"> Algeria, Chad, Sierra Leon</w:t>
      </w:r>
      <w:r w:rsidRPr="00DE556D">
        <w:rPr>
          <w:rFonts w:asciiTheme="minorHAnsi" w:eastAsia="Times New Roman" w:hAnsiTheme="minorHAnsi" w:cstheme="minorHAnsi"/>
          <w:lang w:val="es-CO" w:eastAsia="en-GB"/>
        </w:rPr>
        <w:t>a</w:t>
      </w:r>
      <w:r w:rsidR="002F049E" w:rsidRPr="00DE556D">
        <w:rPr>
          <w:rFonts w:asciiTheme="minorHAnsi" w:eastAsia="Times New Roman" w:hAnsiTheme="minorHAnsi" w:cstheme="minorHAnsi"/>
          <w:lang w:val="es-CO" w:eastAsia="en-GB"/>
        </w:rPr>
        <w:t xml:space="preserve">, Uganda, Zambia </w:t>
      </w:r>
    </w:p>
    <w:p w14:paraId="476E28A0" w14:textId="2A16A85A" w:rsidR="002F049E" w:rsidRPr="00DE556D" w:rsidRDefault="00035093" w:rsidP="004D41FF">
      <w:pPr>
        <w:spacing w:after="0" w:line="240" w:lineRule="auto"/>
        <w:ind w:left="17"/>
        <w:rPr>
          <w:rFonts w:asciiTheme="minorHAnsi" w:eastAsia="Times New Roman" w:hAnsiTheme="minorHAnsi" w:cstheme="minorHAnsi"/>
          <w:lang w:val="es-CO" w:eastAsia="en-GB"/>
        </w:rPr>
      </w:pPr>
      <w:r w:rsidRPr="00DE556D">
        <w:rPr>
          <w:rFonts w:asciiTheme="minorHAnsi" w:eastAsia="Times New Roman" w:hAnsiTheme="minorHAnsi" w:cstheme="minorHAnsi"/>
          <w:lang w:val="es-CO" w:eastAsia="en-GB"/>
        </w:rPr>
        <w:t>Asia: Bután, Japón, Omá</w:t>
      </w:r>
      <w:r w:rsidR="002F049E" w:rsidRPr="00DE556D">
        <w:rPr>
          <w:rFonts w:asciiTheme="minorHAnsi" w:eastAsia="Times New Roman" w:hAnsiTheme="minorHAnsi" w:cstheme="minorHAnsi"/>
          <w:lang w:val="es-CO" w:eastAsia="en-GB"/>
        </w:rPr>
        <w:t xml:space="preserve">n </w:t>
      </w:r>
    </w:p>
    <w:p w14:paraId="681966C0" w14:textId="3EBE4FDD" w:rsidR="002F049E" w:rsidRPr="00DE556D" w:rsidRDefault="00035093" w:rsidP="004D41FF">
      <w:pPr>
        <w:spacing w:after="0" w:line="240" w:lineRule="auto"/>
        <w:ind w:left="17"/>
        <w:rPr>
          <w:rFonts w:asciiTheme="minorHAnsi" w:eastAsia="Times New Roman" w:hAnsiTheme="minorHAnsi" w:cstheme="minorHAnsi"/>
          <w:lang w:eastAsia="en-GB"/>
        </w:rPr>
      </w:pPr>
      <w:r w:rsidRPr="00DE556D">
        <w:rPr>
          <w:rFonts w:asciiTheme="minorHAnsi" w:eastAsia="Times New Roman" w:hAnsiTheme="minorHAnsi" w:cstheme="minorHAnsi"/>
          <w:lang w:eastAsia="en-GB"/>
        </w:rPr>
        <w:t>Europa: Armenia, Azerbaiyá</w:t>
      </w:r>
      <w:r w:rsidR="002F049E" w:rsidRPr="00DE556D">
        <w:rPr>
          <w:rFonts w:asciiTheme="minorHAnsi" w:eastAsia="Times New Roman" w:hAnsiTheme="minorHAnsi" w:cstheme="minorHAnsi"/>
          <w:lang w:eastAsia="en-GB"/>
        </w:rPr>
        <w:t xml:space="preserve">n, </w:t>
      </w:r>
      <w:r w:rsidRPr="00DE556D">
        <w:rPr>
          <w:rFonts w:asciiTheme="minorHAnsi" w:eastAsia="Times New Roman" w:hAnsiTheme="minorHAnsi" w:cstheme="minorHAnsi"/>
          <w:lang w:eastAsia="en-GB"/>
        </w:rPr>
        <w:t>Suecia,</w:t>
      </w:r>
      <w:r w:rsidRPr="00DE556D">
        <w:t xml:space="preserve"> R</w:t>
      </w:r>
      <w:r w:rsidRPr="00DE556D">
        <w:rPr>
          <w:rFonts w:asciiTheme="minorHAnsi" w:eastAsia="Times New Roman" w:hAnsiTheme="minorHAnsi" w:cstheme="minorHAnsi"/>
          <w:lang w:eastAsia="en-GB"/>
        </w:rPr>
        <w:t>eino Unido de Gran Bretaña e Irlanda del Norte</w:t>
      </w:r>
    </w:p>
    <w:p w14:paraId="3187D1C8" w14:textId="58846201" w:rsidR="002F049E" w:rsidRPr="00DE556D" w:rsidRDefault="00035093" w:rsidP="004D41FF">
      <w:pPr>
        <w:spacing w:after="0" w:line="240" w:lineRule="auto"/>
        <w:ind w:left="17"/>
        <w:rPr>
          <w:rFonts w:asciiTheme="minorHAnsi" w:eastAsia="Times New Roman" w:hAnsiTheme="minorHAnsi" w:cstheme="minorHAnsi"/>
          <w:lang w:eastAsia="en-GB"/>
        </w:rPr>
      </w:pPr>
      <w:r w:rsidRPr="00DE556D">
        <w:rPr>
          <w:rFonts w:asciiTheme="minorHAnsi" w:eastAsia="Times New Roman" w:hAnsiTheme="minorHAnsi" w:cstheme="minorHAnsi"/>
          <w:lang w:eastAsia="en-GB"/>
        </w:rPr>
        <w:t xml:space="preserve">América Latina y el Caribe: </w:t>
      </w:r>
      <w:r w:rsidR="002F049E" w:rsidRPr="00DE556D">
        <w:rPr>
          <w:rFonts w:asciiTheme="minorHAnsi" w:eastAsia="Times New Roman" w:hAnsiTheme="minorHAnsi" w:cstheme="minorHAnsi"/>
          <w:lang w:eastAsia="en-GB"/>
        </w:rPr>
        <w:t xml:space="preserve">Costa Rica, </w:t>
      </w:r>
      <w:r w:rsidRPr="00DE556D">
        <w:rPr>
          <w:rFonts w:asciiTheme="minorHAnsi" w:eastAsia="Times New Roman" w:hAnsiTheme="minorHAnsi" w:cstheme="minorHAnsi"/>
          <w:lang w:eastAsia="en-GB"/>
        </w:rPr>
        <w:t xml:space="preserve">República Dominicana, </w:t>
      </w:r>
      <w:r w:rsidR="002F049E" w:rsidRPr="00DE556D">
        <w:rPr>
          <w:rFonts w:asciiTheme="minorHAnsi" w:eastAsia="Times New Roman" w:hAnsiTheme="minorHAnsi" w:cstheme="minorHAnsi"/>
          <w:lang w:eastAsia="en-GB"/>
        </w:rPr>
        <w:t xml:space="preserve">Uruguay </w:t>
      </w:r>
    </w:p>
    <w:p w14:paraId="4287AD10" w14:textId="65D9B1DB" w:rsidR="002F049E" w:rsidRPr="00DE556D" w:rsidRDefault="00035093" w:rsidP="004D41FF">
      <w:pPr>
        <w:spacing w:after="0" w:line="240" w:lineRule="auto"/>
        <w:ind w:left="17"/>
        <w:rPr>
          <w:rFonts w:asciiTheme="minorHAnsi" w:eastAsia="Times New Roman" w:hAnsiTheme="minorHAnsi" w:cstheme="minorHAnsi"/>
          <w:lang w:eastAsia="en-GB"/>
        </w:rPr>
      </w:pPr>
      <w:r w:rsidRPr="00DE556D">
        <w:rPr>
          <w:rFonts w:asciiTheme="minorHAnsi" w:eastAsia="Times New Roman" w:hAnsiTheme="minorHAnsi" w:cstheme="minorHAnsi"/>
          <w:lang w:eastAsia="en-GB"/>
        </w:rPr>
        <w:t xml:space="preserve">Norte </w:t>
      </w:r>
      <w:r w:rsidR="00F23FE5" w:rsidRPr="00DE556D">
        <w:rPr>
          <w:rFonts w:asciiTheme="minorHAnsi" w:eastAsia="Times New Roman" w:hAnsiTheme="minorHAnsi" w:cstheme="minorHAnsi"/>
          <w:lang w:eastAsia="en-GB"/>
        </w:rPr>
        <w:t>América</w:t>
      </w:r>
      <w:r w:rsidRPr="00DE556D">
        <w:rPr>
          <w:rFonts w:asciiTheme="minorHAnsi" w:eastAsia="Times New Roman" w:hAnsiTheme="minorHAnsi" w:cstheme="minorHAnsi"/>
          <w:lang w:eastAsia="en-GB"/>
        </w:rPr>
        <w:t>: Mé</w:t>
      </w:r>
      <w:r w:rsidR="002F049E" w:rsidRPr="00DE556D">
        <w:rPr>
          <w:rFonts w:asciiTheme="minorHAnsi" w:eastAsia="Times New Roman" w:hAnsiTheme="minorHAnsi" w:cstheme="minorHAnsi"/>
          <w:lang w:eastAsia="en-GB"/>
        </w:rPr>
        <w:t xml:space="preserve">xico </w:t>
      </w:r>
    </w:p>
    <w:p w14:paraId="3E280663" w14:textId="24FF0A0E" w:rsidR="002F049E" w:rsidRPr="00DE556D" w:rsidRDefault="00035093" w:rsidP="004D41FF">
      <w:pPr>
        <w:spacing w:after="0" w:line="240" w:lineRule="auto"/>
        <w:ind w:left="17"/>
        <w:rPr>
          <w:rFonts w:asciiTheme="minorHAnsi" w:eastAsia="Times New Roman" w:hAnsiTheme="minorHAnsi" w:cstheme="minorHAnsi"/>
          <w:lang w:eastAsia="en-GB"/>
        </w:rPr>
      </w:pPr>
      <w:r w:rsidRPr="00DE556D">
        <w:rPr>
          <w:rFonts w:asciiTheme="minorHAnsi" w:eastAsia="Times New Roman" w:hAnsiTheme="minorHAnsi" w:cstheme="minorHAnsi"/>
          <w:lang w:eastAsia="en-GB"/>
        </w:rPr>
        <w:t>Oceaní</w:t>
      </w:r>
      <w:r w:rsidR="002F049E" w:rsidRPr="00DE556D">
        <w:rPr>
          <w:rFonts w:asciiTheme="minorHAnsi" w:eastAsia="Times New Roman" w:hAnsiTheme="minorHAnsi" w:cstheme="minorHAnsi"/>
          <w:lang w:eastAsia="en-GB"/>
        </w:rPr>
        <w:t xml:space="preserve">a: Australia </w:t>
      </w:r>
    </w:p>
    <w:p w14:paraId="192C827D" w14:textId="67F433E5" w:rsidR="002F049E" w:rsidRPr="00DE556D" w:rsidRDefault="00035093" w:rsidP="004D41FF">
      <w:pPr>
        <w:spacing w:after="0" w:line="240" w:lineRule="auto"/>
        <w:ind w:left="17"/>
        <w:rPr>
          <w:rFonts w:asciiTheme="minorHAnsi" w:eastAsia="Times New Roman" w:hAnsiTheme="minorHAnsi" w:cstheme="minorHAnsi"/>
          <w:lang w:eastAsia="en-GB"/>
        </w:rPr>
      </w:pPr>
      <w:r w:rsidRPr="00DE556D">
        <w:rPr>
          <w:rFonts w:asciiTheme="minorHAnsi" w:eastAsia="Times New Roman" w:hAnsiTheme="minorHAnsi" w:cstheme="minorHAnsi"/>
          <w:lang w:eastAsia="en-GB"/>
        </w:rPr>
        <w:t xml:space="preserve">Anfitrión de la </w:t>
      </w:r>
      <w:r w:rsidR="002F049E" w:rsidRPr="00DE556D">
        <w:rPr>
          <w:rFonts w:asciiTheme="minorHAnsi" w:eastAsia="Times New Roman" w:hAnsiTheme="minorHAnsi" w:cstheme="minorHAnsi"/>
          <w:lang w:eastAsia="en-GB"/>
        </w:rPr>
        <w:t>C</w:t>
      </w:r>
      <w:r w:rsidRPr="00DE556D">
        <w:rPr>
          <w:rFonts w:asciiTheme="minorHAnsi" w:eastAsia="Times New Roman" w:hAnsiTheme="minorHAnsi" w:cstheme="minorHAnsi"/>
          <w:lang w:eastAsia="en-GB"/>
        </w:rPr>
        <w:t>OP13</w:t>
      </w:r>
      <w:r w:rsidR="002F049E" w:rsidRPr="00DE556D">
        <w:rPr>
          <w:rFonts w:asciiTheme="minorHAnsi" w:eastAsia="Times New Roman" w:hAnsiTheme="minorHAnsi" w:cstheme="minorHAnsi"/>
          <w:lang w:eastAsia="en-GB"/>
        </w:rPr>
        <w:t xml:space="preserve">: </w:t>
      </w:r>
      <w:r w:rsidRPr="00DE556D">
        <w:rPr>
          <w:rFonts w:asciiTheme="minorHAnsi" w:eastAsia="Times New Roman" w:hAnsiTheme="minorHAnsi" w:cstheme="minorHAnsi"/>
          <w:lang w:eastAsia="en-GB"/>
        </w:rPr>
        <w:t>Emiratos Árabes Unidos (Presidente)</w:t>
      </w:r>
    </w:p>
    <w:p w14:paraId="2DE1E97D" w14:textId="1496FAE0" w:rsidR="002F049E" w:rsidRPr="00DE556D" w:rsidRDefault="00035093" w:rsidP="004D41FF">
      <w:pPr>
        <w:spacing w:after="0" w:line="240" w:lineRule="auto"/>
        <w:ind w:left="17"/>
        <w:rPr>
          <w:rFonts w:asciiTheme="minorHAnsi" w:eastAsia="Times New Roman" w:hAnsiTheme="minorHAnsi" w:cstheme="minorHAnsi"/>
          <w:lang w:eastAsia="en-GB"/>
        </w:rPr>
      </w:pPr>
      <w:r w:rsidRPr="00DE556D">
        <w:rPr>
          <w:rFonts w:asciiTheme="minorHAnsi" w:eastAsia="Times New Roman" w:hAnsiTheme="minorHAnsi" w:cstheme="minorHAnsi"/>
          <w:lang w:eastAsia="en-GB"/>
        </w:rPr>
        <w:t>Anfitrión de la COP14</w:t>
      </w:r>
      <w:r w:rsidR="002F049E" w:rsidRPr="00DE556D">
        <w:rPr>
          <w:rFonts w:asciiTheme="minorHAnsi" w:eastAsia="Times New Roman" w:hAnsiTheme="minorHAnsi" w:cstheme="minorHAnsi"/>
          <w:lang w:eastAsia="en-GB"/>
        </w:rPr>
        <w:t xml:space="preserve">: </w:t>
      </w:r>
      <w:r w:rsidR="006C43C0" w:rsidRPr="00DE556D">
        <w:rPr>
          <w:rFonts w:asciiTheme="minorHAnsi" w:eastAsia="Times New Roman" w:hAnsiTheme="minorHAnsi" w:cstheme="minorHAnsi"/>
          <w:lang w:eastAsia="en-GB"/>
        </w:rPr>
        <w:t>República Popular de China</w:t>
      </w:r>
    </w:p>
    <w:p w14:paraId="1289B046" w14:textId="77777777" w:rsidR="00CD6976" w:rsidRPr="00DE556D" w:rsidRDefault="00CD6976" w:rsidP="004D41FF">
      <w:pPr>
        <w:spacing w:after="0" w:line="240" w:lineRule="auto"/>
        <w:ind w:left="-142"/>
        <w:rPr>
          <w:rFonts w:asciiTheme="minorHAnsi" w:hAnsiTheme="minorHAnsi" w:cstheme="minorHAnsi"/>
        </w:rPr>
      </w:pPr>
    </w:p>
    <w:p w14:paraId="2B88680F" w14:textId="70B1C5A4" w:rsidR="002F049E" w:rsidRDefault="00F23FE5" w:rsidP="004D41FF">
      <w:pPr>
        <w:spacing w:after="0" w:line="240" w:lineRule="auto"/>
        <w:ind w:left="142" w:hanging="142"/>
        <w:rPr>
          <w:rFonts w:asciiTheme="minorHAnsi" w:hAnsiTheme="minorHAnsi" w:cstheme="minorHAnsi"/>
          <w:b/>
        </w:rPr>
      </w:pPr>
      <w:r w:rsidRPr="00DE556D">
        <w:rPr>
          <w:rFonts w:asciiTheme="minorHAnsi" w:hAnsiTheme="minorHAnsi" w:cstheme="minorHAnsi"/>
          <w:b/>
        </w:rPr>
        <w:t>Partes Contratantes registradas como observadores para p</w:t>
      </w:r>
      <w:r w:rsidR="00A95D7C">
        <w:rPr>
          <w:rFonts w:asciiTheme="minorHAnsi" w:hAnsiTheme="minorHAnsi" w:cstheme="minorHAnsi"/>
          <w:b/>
        </w:rPr>
        <w:t>articipar en la reunión virtual:</w:t>
      </w:r>
    </w:p>
    <w:p w14:paraId="6EF81F4F" w14:textId="77777777" w:rsidR="00A95D7C" w:rsidRPr="00DE556D" w:rsidRDefault="00A95D7C" w:rsidP="004D41FF">
      <w:pPr>
        <w:spacing w:after="0" w:line="240" w:lineRule="auto"/>
        <w:ind w:left="142" w:hanging="142"/>
        <w:rPr>
          <w:rFonts w:asciiTheme="minorHAnsi" w:hAnsiTheme="minorHAnsi" w:cstheme="minorHAnsi"/>
          <w:b/>
        </w:rPr>
      </w:pPr>
    </w:p>
    <w:p w14:paraId="75208949" w14:textId="77777777" w:rsidR="00F23FE5" w:rsidRPr="00DE556D" w:rsidRDefault="00F23FE5" w:rsidP="004D41FF">
      <w:pPr>
        <w:spacing w:after="0" w:line="240" w:lineRule="auto"/>
        <w:ind w:left="-142" w:firstLine="142"/>
        <w:rPr>
          <w:rFonts w:asciiTheme="minorHAnsi" w:hAnsiTheme="minorHAnsi" w:cstheme="minorHAnsi"/>
        </w:rPr>
      </w:pPr>
      <w:r w:rsidRPr="00DE556D">
        <w:rPr>
          <w:rFonts w:asciiTheme="minorHAnsi" w:hAnsiTheme="minorHAnsi" w:cstheme="minorHAnsi"/>
        </w:rPr>
        <w:t>Brasil</w:t>
      </w:r>
    </w:p>
    <w:p w14:paraId="7C3FA935" w14:textId="77777777" w:rsidR="00F23FE5" w:rsidRPr="00DE556D" w:rsidRDefault="00F23FE5" w:rsidP="004D41FF">
      <w:pPr>
        <w:spacing w:after="0" w:line="240" w:lineRule="auto"/>
        <w:ind w:left="-142" w:firstLine="142"/>
        <w:rPr>
          <w:rFonts w:asciiTheme="minorHAnsi" w:hAnsiTheme="minorHAnsi" w:cstheme="minorHAnsi"/>
        </w:rPr>
      </w:pPr>
      <w:r w:rsidRPr="00DE556D">
        <w:rPr>
          <w:rFonts w:asciiTheme="minorHAnsi" w:hAnsiTheme="minorHAnsi" w:cstheme="minorHAnsi"/>
        </w:rPr>
        <w:t>Colombia</w:t>
      </w:r>
    </w:p>
    <w:p w14:paraId="314B417A" w14:textId="77777777" w:rsidR="00F23FE5" w:rsidRPr="00DE556D" w:rsidRDefault="00F23FE5" w:rsidP="004D41FF">
      <w:pPr>
        <w:spacing w:after="0" w:line="240" w:lineRule="auto"/>
        <w:ind w:left="-142" w:firstLine="142"/>
        <w:rPr>
          <w:rFonts w:asciiTheme="minorHAnsi" w:hAnsiTheme="minorHAnsi" w:cstheme="minorHAnsi"/>
        </w:rPr>
      </w:pPr>
      <w:r w:rsidRPr="00DE556D">
        <w:rPr>
          <w:rFonts w:asciiTheme="minorHAnsi" w:hAnsiTheme="minorHAnsi" w:cstheme="minorHAnsi"/>
        </w:rPr>
        <w:t>Congo</w:t>
      </w:r>
    </w:p>
    <w:p w14:paraId="2F1BBC77" w14:textId="77777777" w:rsidR="00F23FE5" w:rsidRPr="00DE556D" w:rsidRDefault="00F23FE5" w:rsidP="004D41FF">
      <w:pPr>
        <w:spacing w:after="0" w:line="240" w:lineRule="auto"/>
        <w:ind w:left="-142" w:firstLine="142"/>
        <w:rPr>
          <w:rFonts w:asciiTheme="minorHAnsi" w:hAnsiTheme="minorHAnsi" w:cstheme="minorHAnsi"/>
        </w:rPr>
      </w:pPr>
      <w:r w:rsidRPr="00DE556D">
        <w:rPr>
          <w:rFonts w:asciiTheme="minorHAnsi" w:hAnsiTheme="minorHAnsi" w:cstheme="minorHAnsi"/>
        </w:rPr>
        <w:t>Fiyi</w:t>
      </w:r>
    </w:p>
    <w:p w14:paraId="5619DE39" w14:textId="77777777" w:rsidR="00F23FE5" w:rsidRPr="00DE556D" w:rsidRDefault="00F23FE5" w:rsidP="004D41FF">
      <w:pPr>
        <w:spacing w:after="0" w:line="240" w:lineRule="auto"/>
        <w:ind w:left="-142" w:firstLine="142"/>
        <w:rPr>
          <w:rFonts w:asciiTheme="minorHAnsi" w:hAnsiTheme="minorHAnsi" w:cstheme="minorHAnsi"/>
        </w:rPr>
      </w:pPr>
      <w:r w:rsidRPr="00DE556D">
        <w:rPr>
          <w:rFonts w:asciiTheme="minorHAnsi" w:hAnsiTheme="minorHAnsi" w:cstheme="minorHAnsi"/>
        </w:rPr>
        <w:t>Francia</w:t>
      </w:r>
    </w:p>
    <w:p w14:paraId="396F0501" w14:textId="77777777" w:rsidR="00F23FE5" w:rsidRPr="00DE556D" w:rsidRDefault="00F23FE5" w:rsidP="004D41FF">
      <w:pPr>
        <w:spacing w:after="0" w:line="240" w:lineRule="auto"/>
        <w:ind w:left="-142" w:firstLine="142"/>
        <w:rPr>
          <w:rFonts w:asciiTheme="minorHAnsi" w:hAnsiTheme="minorHAnsi" w:cstheme="minorHAnsi"/>
        </w:rPr>
      </w:pPr>
      <w:r w:rsidRPr="00DE556D">
        <w:rPr>
          <w:rFonts w:asciiTheme="minorHAnsi" w:hAnsiTheme="minorHAnsi" w:cstheme="minorHAnsi"/>
        </w:rPr>
        <w:t>Guatemala</w:t>
      </w:r>
    </w:p>
    <w:p w14:paraId="731FB819" w14:textId="1FD5507E" w:rsidR="00F23FE5" w:rsidRPr="00DE556D" w:rsidRDefault="00F23FE5" w:rsidP="004D41FF">
      <w:pPr>
        <w:spacing w:after="0" w:line="240" w:lineRule="auto"/>
        <w:ind w:left="-142" w:firstLine="142"/>
        <w:rPr>
          <w:rFonts w:asciiTheme="minorHAnsi" w:hAnsiTheme="minorHAnsi" w:cstheme="minorHAnsi"/>
        </w:rPr>
      </w:pPr>
      <w:r w:rsidRPr="00DE556D">
        <w:rPr>
          <w:rFonts w:asciiTheme="minorHAnsi" w:hAnsiTheme="minorHAnsi" w:cstheme="minorHAnsi"/>
        </w:rPr>
        <w:t>Irán</w:t>
      </w:r>
    </w:p>
    <w:p w14:paraId="22E694E4" w14:textId="77777777" w:rsidR="00F23FE5" w:rsidRPr="00DE556D" w:rsidRDefault="00F23FE5" w:rsidP="004D41FF">
      <w:pPr>
        <w:spacing w:after="0" w:line="240" w:lineRule="auto"/>
        <w:ind w:left="-142" w:firstLine="142"/>
        <w:rPr>
          <w:rFonts w:asciiTheme="minorHAnsi" w:hAnsiTheme="minorHAnsi" w:cstheme="minorHAnsi"/>
        </w:rPr>
      </w:pPr>
      <w:r w:rsidRPr="00DE556D">
        <w:rPr>
          <w:rFonts w:asciiTheme="minorHAnsi" w:hAnsiTheme="minorHAnsi" w:cstheme="minorHAnsi"/>
        </w:rPr>
        <w:t>Madagascar</w:t>
      </w:r>
    </w:p>
    <w:p w14:paraId="02EAA169" w14:textId="77777777" w:rsidR="00F23FE5" w:rsidRPr="00DE556D" w:rsidRDefault="00F23FE5" w:rsidP="004D41FF">
      <w:pPr>
        <w:spacing w:after="0" w:line="240" w:lineRule="auto"/>
        <w:ind w:left="-142" w:firstLine="142"/>
        <w:rPr>
          <w:rFonts w:asciiTheme="minorHAnsi" w:hAnsiTheme="minorHAnsi" w:cstheme="minorHAnsi"/>
        </w:rPr>
      </w:pPr>
      <w:r w:rsidRPr="00DE556D">
        <w:rPr>
          <w:rFonts w:asciiTheme="minorHAnsi" w:hAnsiTheme="minorHAnsi" w:cstheme="minorHAnsi"/>
        </w:rPr>
        <w:t>Mauritania</w:t>
      </w:r>
    </w:p>
    <w:p w14:paraId="7E3EDD8E" w14:textId="77777777" w:rsidR="00F23FE5" w:rsidRPr="00DE556D" w:rsidRDefault="00F23FE5" w:rsidP="004D41FF">
      <w:pPr>
        <w:spacing w:after="0" w:line="240" w:lineRule="auto"/>
        <w:ind w:left="-142" w:firstLine="142"/>
        <w:rPr>
          <w:rFonts w:asciiTheme="minorHAnsi" w:hAnsiTheme="minorHAnsi" w:cstheme="minorHAnsi"/>
        </w:rPr>
      </w:pPr>
      <w:r w:rsidRPr="00DE556D">
        <w:rPr>
          <w:rFonts w:asciiTheme="minorHAnsi" w:hAnsiTheme="minorHAnsi" w:cstheme="minorHAnsi"/>
        </w:rPr>
        <w:t>Myanmar</w:t>
      </w:r>
    </w:p>
    <w:p w14:paraId="4CC69B6E" w14:textId="77777777" w:rsidR="00F23FE5" w:rsidRPr="00DE556D" w:rsidRDefault="00F23FE5" w:rsidP="004D41FF">
      <w:pPr>
        <w:spacing w:after="0" w:line="240" w:lineRule="auto"/>
        <w:ind w:left="-142" w:firstLine="142"/>
        <w:rPr>
          <w:rFonts w:asciiTheme="minorHAnsi" w:hAnsiTheme="minorHAnsi" w:cstheme="minorHAnsi"/>
        </w:rPr>
      </w:pPr>
      <w:r w:rsidRPr="00DE556D">
        <w:rPr>
          <w:rFonts w:asciiTheme="minorHAnsi" w:hAnsiTheme="minorHAnsi" w:cstheme="minorHAnsi"/>
        </w:rPr>
        <w:t>Macedonia del norte</w:t>
      </w:r>
    </w:p>
    <w:p w14:paraId="7A45ABB1" w14:textId="77777777" w:rsidR="00F23FE5" w:rsidRPr="00DE556D" w:rsidRDefault="00F23FE5" w:rsidP="004D41FF">
      <w:pPr>
        <w:spacing w:after="0" w:line="240" w:lineRule="auto"/>
        <w:ind w:left="-142" w:firstLine="142"/>
        <w:rPr>
          <w:rFonts w:asciiTheme="minorHAnsi" w:hAnsiTheme="minorHAnsi" w:cstheme="minorHAnsi"/>
        </w:rPr>
      </w:pPr>
      <w:r w:rsidRPr="00DE556D">
        <w:rPr>
          <w:rFonts w:asciiTheme="minorHAnsi" w:hAnsiTheme="minorHAnsi" w:cstheme="minorHAnsi"/>
        </w:rPr>
        <w:t>Noruega</w:t>
      </w:r>
    </w:p>
    <w:p w14:paraId="5DD8923F" w14:textId="77777777" w:rsidR="00F23FE5" w:rsidRPr="00DE556D" w:rsidRDefault="00F23FE5" w:rsidP="004D41FF">
      <w:pPr>
        <w:spacing w:after="0" w:line="240" w:lineRule="auto"/>
        <w:ind w:left="-142" w:firstLine="142"/>
        <w:rPr>
          <w:rFonts w:asciiTheme="minorHAnsi" w:hAnsiTheme="minorHAnsi" w:cstheme="minorHAnsi"/>
        </w:rPr>
      </w:pPr>
      <w:r w:rsidRPr="00DE556D">
        <w:rPr>
          <w:rFonts w:asciiTheme="minorHAnsi" w:hAnsiTheme="minorHAnsi" w:cstheme="minorHAnsi"/>
        </w:rPr>
        <w:t>Panamá</w:t>
      </w:r>
    </w:p>
    <w:p w14:paraId="586F58EC" w14:textId="77777777" w:rsidR="00F23FE5" w:rsidRPr="00DE556D" w:rsidRDefault="00F23FE5" w:rsidP="004D41FF">
      <w:pPr>
        <w:spacing w:after="0" w:line="240" w:lineRule="auto"/>
        <w:ind w:left="-142" w:firstLine="142"/>
        <w:rPr>
          <w:rFonts w:asciiTheme="minorHAnsi" w:hAnsiTheme="minorHAnsi" w:cstheme="minorHAnsi"/>
        </w:rPr>
      </w:pPr>
      <w:r w:rsidRPr="00DE556D">
        <w:rPr>
          <w:rFonts w:asciiTheme="minorHAnsi" w:hAnsiTheme="minorHAnsi" w:cstheme="minorHAnsi"/>
        </w:rPr>
        <w:t>Perú</w:t>
      </w:r>
    </w:p>
    <w:p w14:paraId="42B32E00" w14:textId="77777777" w:rsidR="00F23FE5" w:rsidRPr="00DE556D" w:rsidRDefault="00F23FE5" w:rsidP="004D41FF">
      <w:pPr>
        <w:spacing w:after="0" w:line="240" w:lineRule="auto"/>
        <w:ind w:left="-142" w:firstLine="142"/>
        <w:rPr>
          <w:rFonts w:asciiTheme="minorHAnsi" w:hAnsiTheme="minorHAnsi" w:cstheme="minorHAnsi"/>
        </w:rPr>
      </w:pPr>
      <w:r w:rsidRPr="00DE556D">
        <w:rPr>
          <w:rFonts w:asciiTheme="minorHAnsi" w:hAnsiTheme="minorHAnsi" w:cstheme="minorHAnsi"/>
        </w:rPr>
        <w:t>Rumania</w:t>
      </w:r>
    </w:p>
    <w:p w14:paraId="6EF88ECA" w14:textId="77777777" w:rsidR="00F23FE5" w:rsidRPr="00DE556D" w:rsidRDefault="00F23FE5" w:rsidP="004D41FF">
      <w:pPr>
        <w:spacing w:after="0" w:line="240" w:lineRule="auto"/>
        <w:ind w:left="-142" w:firstLine="142"/>
        <w:rPr>
          <w:rFonts w:asciiTheme="minorHAnsi" w:hAnsiTheme="minorHAnsi" w:cstheme="minorHAnsi"/>
        </w:rPr>
      </w:pPr>
      <w:r w:rsidRPr="00DE556D">
        <w:rPr>
          <w:rFonts w:asciiTheme="minorHAnsi" w:hAnsiTheme="minorHAnsi" w:cstheme="minorHAnsi"/>
        </w:rPr>
        <w:t>Federación Rusa</w:t>
      </w:r>
    </w:p>
    <w:p w14:paraId="508ABE96" w14:textId="77777777" w:rsidR="00F23FE5" w:rsidRPr="00DE556D" w:rsidRDefault="00F23FE5" w:rsidP="004D41FF">
      <w:pPr>
        <w:spacing w:after="0" w:line="240" w:lineRule="auto"/>
        <w:ind w:left="-142" w:firstLine="142"/>
        <w:rPr>
          <w:rFonts w:asciiTheme="minorHAnsi" w:hAnsiTheme="minorHAnsi" w:cstheme="minorHAnsi"/>
        </w:rPr>
      </w:pPr>
      <w:r w:rsidRPr="00DE556D">
        <w:rPr>
          <w:rFonts w:asciiTheme="minorHAnsi" w:hAnsiTheme="minorHAnsi" w:cstheme="minorHAnsi"/>
        </w:rPr>
        <w:t>Senegal</w:t>
      </w:r>
    </w:p>
    <w:p w14:paraId="75BE6D36" w14:textId="77777777" w:rsidR="00F23FE5" w:rsidRPr="00DE556D" w:rsidRDefault="00F23FE5" w:rsidP="004D41FF">
      <w:pPr>
        <w:spacing w:after="0" w:line="240" w:lineRule="auto"/>
        <w:ind w:left="-142" w:firstLine="142"/>
        <w:rPr>
          <w:rFonts w:asciiTheme="minorHAnsi" w:hAnsiTheme="minorHAnsi" w:cstheme="minorHAnsi"/>
        </w:rPr>
      </w:pPr>
      <w:r w:rsidRPr="00DE556D">
        <w:rPr>
          <w:rFonts w:asciiTheme="minorHAnsi" w:hAnsiTheme="minorHAnsi" w:cstheme="minorHAnsi"/>
        </w:rPr>
        <w:t>Suiza: Observador permanente</w:t>
      </w:r>
    </w:p>
    <w:p w14:paraId="25709FF6" w14:textId="77777777" w:rsidR="00F23FE5" w:rsidRPr="00DE556D" w:rsidRDefault="00F23FE5" w:rsidP="004D41FF">
      <w:pPr>
        <w:spacing w:after="0" w:line="240" w:lineRule="auto"/>
        <w:ind w:left="-142" w:firstLine="142"/>
        <w:rPr>
          <w:rFonts w:asciiTheme="minorHAnsi" w:hAnsiTheme="minorHAnsi" w:cstheme="minorHAnsi"/>
        </w:rPr>
      </w:pPr>
      <w:r w:rsidRPr="00DE556D">
        <w:rPr>
          <w:rFonts w:asciiTheme="minorHAnsi" w:hAnsiTheme="minorHAnsi" w:cstheme="minorHAnsi"/>
        </w:rPr>
        <w:t>Tailandia</w:t>
      </w:r>
    </w:p>
    <w:p w14:paraId="6CB57735" w14:textId="54162D6F" w:rsidR="00F23FE5" w:rsidRPr="00DE556D" w:rsidRDefault="00F23FE5" w:rsidP="004D41FF">
      <w:pPr>
        <w:spacing w:after="0" w:line="240" w:lineRule="auto"/>
        <w:ind w:left="-142" w:firstLine="142"/>
        <w:rPr>
          <w:rFonts w:asciiTheme="minorHAnsi" w:hAnsiTheme="minorHAnsi" w:cstheme="minorHAnsi"/>
        </w:rPr>
      </w:pPr>
      <w:r w:rsidRPr="00DE556D">
        <w:rPr>
          <w:rFonts w:asciiTheme="minorHAnsi" w:hAnsiTheme="minorHAnsi" w:cstheme="minorHAnsi"/>
        </w:rPr>
        <w:t>Estados Unidos de América</w:t>
      </w:r>
    </w:p>
    <w:p w14:paraId="08AB1A1A" w14:textId="77777777" w:rsidR="00F23FE5" w:rsidRPr="00DE556D" w:rsidRDefault="00F23FE5" w:rsidP="004D41FF">
      <w:pPr>
        <w:spacing w:after="0" w:line="240" w:lineRule="auto"/>
        <w:ind w:left="-142" w:firstLine="142"/>
        <w:rPr>
          <w:rFonts w:asciiTheme="minorHAnsi" w:hAnsiTheme="minorHAnsi" w:cstheme="minorHAnsi"/>
        </w:rPr>
      </w:pPr>
      <w:r w:rsidRPr="00DE556D">
        <w:rPr>
          <w:rFonts w:asciiTheme="minorHAnsi" w:hAnsiTheme="minorHAnsi" w:cstheme="minorHAnsi"/>
        </w:rPr>
        <w:t>Uzbekistán</w:t>
      </w:r>
    </w:p>
    <w:p w14:paraId="7FF9445C" w14:textId="4577CC34" w:rsidR="00F36407" w:rsidRPr="00A95D7C" w:rsidRDefault="00F23FE5" w:rsidP="00A95D7C">
      <w:pPr>
        <w:spacing w:after="0" w:line="240" w:lineRule="auto"/>
        <w:ind w:left="-142" w:firstLine="142"/>
        <w:rPr>
          <w:rFonts w:asciiTheme="minorHAnsi" w:hAnsiTheme="minorHAnsi" w:cstheme="minorHAnsi"/>
        </w:rPr>
      </w:pPr>
      <w:r w:rsidRPr="00DE556D">
        <w:rPr>
          <w:rFonts w:asciiTheme="minorHAnsi" w:hAnsiTheme="minorHAnsi" w:cstheme="minorHAnsi"/>
        </w:rPr>
        <w:t>Venezuela</w:t>
      </w:r>
    </w:p>
    <w:sectPr w:rsidR="00F36407" w:rsidRPr="00A95D7C" w:rsidSect="006E4671">
      <w:headerReference w:type="default" r:id="rId8"/>
      <w:footerReference w:type="default" r:id="rId9"/>
      <w:pgSz w:w="11906" w:h="16838"/>
      <w:pgMar w:top="1440" w:right="1440" w:bottom="144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51FC5" w14:textId="77777777" w:rsidR="005F28C8" w:rsidRDefault="005F28C8" w:rsidP="00DF2386">
      <w:pPr>
        <w:spacing w:after="0" w:line="240" w:lineRule="auto"/>
      </w:pPr>
      <w:r>
        <w:separator/>
      </w:r>
    </w:p>
  </w:endnote>
  <w:endnote w:type="continuationSeparator" w:id="0">
    <w:p w14:paraId="286A3605" w14:textId="77777777" w:rsidR="005F28C8" w:rsidRDefault="005F28C8" w:rsidP="00DF2386">
      <w:pPr>
        <w:spacing w:after="0" w:line="240" w:lineRule="auto"/>
      </w:pPr>
      <w:r>
        <w:continuationSeparator/>
      </w:r>
    </w:p>
  </w:endnote>
  <w:endnote w:type="continuationNotice" w:id="1">
    <w:p w14:paraId="5DB3D764" w14:textId="77777777" w:rsidR="005F28C8" w:rsidRDefault="005F28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433B6" w14:textId="1E57FDD1" w:rsidR="000160BA" w:rsidRPr="002F38B2" w:rsidRDefault="000160BA" w:rsidP="002F38B2">
    <w:pPr>
      <w:pStyle w:val="Footer"/>
      <w:rPr>
        <w:sz w:val="20"/>
        <w:szCs w:val="20"/>
      </w:rPr>
    </w:pPr>
    <w:r w:rsidRPr="00BC6F24">
      <w:rPr>
        <w:sz w:val="20"/>
        <w:szCs w:val="20"/>
      </w:rPr>
      <w:tab/>
    </w:r>
    <w:r w:rsidRPr="00BC6F24">
      <w:rPr>
        <w:sz w:val="20"/>
        <w:szCs w:val="20"/>
      </w:rPr>
      <w:tab/>
    </w:r>
    <w:r w:rsidRPr="00763869">
      <w:rPr>
        <w:sz w:val="20"/>
        <w:szCs w:val="20"/>
      </w:rPr>
      <w:fldChar w:fldCharType="begin"/>
    </w:r>
    <w:r w:rsidRPr="00763869">
      <w:rPr>
        <w:sz w:val="20"/>
        <w:szCs w:val="20"/>
      </w:rPr>
      <w:instrText xml:space="preserve"> PAGE   \* MERGEFORMAT </w:instrText>
    </w:r>
    <w:r w:rsidRPr="00763869">
      <w:rPr>
        <w:sz w:val="20"/>
        <w:szCs w:val="20"/>
      </w:rPr>
      <w:fldChar w:fldCharType="separate"/>
    </w:r>
    <w:r w:rsidR="003F316F">
      <w:rPr>
        <w:noProof/>
        <w:sz w:val="20"/>
        <w:szCs w:val="20"/>
      </w:rPr>
      <w:t>2</w:t>
    </w:r>
    <w:r w:rsidRPr="00763869">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5C45F" w14:textId="77777777" w:rsidR="005F28C8" w:rsidRDefault="005F28C8" w:rsidP="00DF2386">
      <w:pPr>
        <w:spacing w:after="0" w:line="240" w:lineRule="auto"/>
      </w:pPr>
      <w:r>
        <w:separator/>
      </w:r>
    </w:p>
  </w:footnote>
  <w:footnote w:type="continuationSeparator" w:id="0">
    <w:p w14:paraId="0A71E192" w14:textId="77777777" w:rsidR="005F28C8" w:rsidRDefault="005F28C8" w:rsidP="00DF2386">
      <w:pPr>
        <w:spacing w:after="0" w:line="240" w:lineRule="auto"/>
      </w:pPr>
      <w:r>
        <w:continuationSeparator/>
      </w:r>
    </w:p>
  </w:footnote>
  <w:footnote w:type="continuationNotice" w:id="1">
    <w:p w14:paraId="3FC45464" w14:textId="77777777" w:rsidR="005F28C8" w:rsidRDefault="005F28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9FCF9" w14:textId="77777777" w:rsidR="000160BA" w:rsidRPr="00BC6F24" w:rsidRDefault="000160BA">
    <w:pPr>
      <w:pStyle w:val="Header"/>
      <w:rPr>
        <w:sz w:val="20"/>
        <w:szCs w:val="20"/>
      </w:rPr>
    </w:pPr>
  </w:p>
  <w:p w14:paraId="0E2AA9B6" w14:textId="77777777" w:rsidR="000160BA" w:rsidRDefault="000160BA">
    <w:pPr>
      <w:pStyle w:val="Header"/>
    </w:pPr>
  </w:p>
  <w:p w14:paraId="064653D3" w14:textId="77777777" w:rsidR="000160BA" w:rsidRDefault="000160B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59A"/>
    <w:multiLevelType w:val="hybridMultilevel"/>
    <w:tmpl w:val="3BEC55D2"/>
    <w:lvl w:ilvl="0" w:tplc="AC769F3A">
      <w:start w:val="1"/>
      <w:numFmt w:val="lowerRoman"/>
      <w:lvlText w:val="%1."/>
      <w:lvlJc w:val="left"/>
      <w:pPr>
        <w:ind w:left="909" w:hanging="360"/>
      </w:pPr>
      <w:rPr>
        <w:rFonts w:ascii="Calibri" w:eastAsia="Calibri" w:hAnsi="Calibri" w:hint="default"/>
        <w:spacing w:val="-1"/>
        <w:sz w:val="22"/>
        <w:szCs w:val="22"/>
      </w:rPr>
    </w:lvl>
    <w:lvl w:ilvl="1" w:tplc="0CA8C42C">
      <w:start w:val="1"/>
      <w:numFmt w:val="bullet"/>
      <w:lvlText w:val="•"/>
      <w:lvlJc w:val="left"/>
      <w:pPr>
        <w:ind w:left="1726" w:hanging="360"/>
      </w:pPr>
      <w:rPr>
        <w:rFonts w:hint="default"/>
      </w:rPr>
    </w:lvl>
    <w:lvl w:ilvl="2" w:tplc="437C5BA8">
      <w:start w:val="1"/>
      <w:numFmt w:val="bullet"/>
      <w:lvlText w:val="•"/>
      <w:lvlJc w:val="left"/>
      <w:pPr>
        <w:ind w:left="2544" w:hanging="360"/>
      </w:pPr>
      <w:rPr>
        <w:rFonts w:hint="default"/>
      </w:rPr>
    </w:lvl>
    <w:lvl w:ilvl="3" w:tplc="BFCA4CE8">
      <w:start w:val="1"/>
      <w:numFmt w:val="bullet"/>
      <w:lvlText w:val="•"/>
      <w:lvlJc w:val="left"/>
      <w:pPr>
        <w:ind w:left="3361" w:hanging="360"/>
      </w:pPr>
      <w:rPr>
        <w:rFonts w:hint="default"/>
      </w:rPr>
    </w:lvl>
    <w:lvl w:ilvl="4" w:tplc="BB9E1A08">
      <w:start w:val="1"/>
      <w:numFmt w:val="bullet"/>
      <w:lvlText w:val="•"/>
      <w:lvlJc w:val="left"/>
      <w:pPr>
        <w:ind w:left="4179" w:hanging="360"/>
      </w:pPr>
      <w:rPr>
        <w:rFonts w:hint="default"/>
      </w:rPr>
    </w:lvl>
    <w:lvl w:ilvl="5" w:tplc="FA74F5A6">
      <w:start w:val="1"/>
      <w:numFmt w:val="bullet"/>
      <w:lvlText w:val="•"/>
      <w:lvlJc w:val="left"/>
      <w:pPr>
        <w:ind w:left="4997" w:hanging="360"/>
      </w:pPr>
      <w:rPr>
        <w:rFonts w:hint="default"/>
      </w:rPr>
    </w:lvl>
    <w:lvl w:ilvl="6" w:tplc="91D0610A">
      <w:start w:val="1"/>
      <w:numFmt w:val="bullet"/>
      <w:lvlText w:val="•"/>
      <w:lvlJc w:val="left"/>
      <w:pPr>
        <w:ind w:left="5814" w:hanging="360"/>
      </w:pPr>
      <w:rPr>
        <w:rFonts w:hint="default"/>
      </w:rPr>
    </w:lvl>
    <w:lvl w:ilvl="7" w:tplc="35207A52">
      <w:start w:val="1"/>
      <w:numFmt w:val="bullet"/>
      <w:lvlText w:val="•"/>
      <w:lvlJc w:val="left"/>
      <w:pPr>
        <w:ind w:left="6632" w:hanging="360"/>
      </w:pPr>
      <w:rPr>
        <w:rFonts w:hint="default"/>
      </w:rPr>
    </w:lvl>
    <w:lvl w:ilvl="8" w:tplc="1CFEBE60">
      <w:start w:val="1"/>
      <w:numFmt w:val="bullet"/>
      <w:lvlText w:val="•"/>
      <w:lvlJc w:val="left"/>
      <w:pPr>
        <w:ind w:left="7449" w:hanging="360"/>
      </w:pPr>
      <w:rPr>
        <w:rFonts w:hint="default"/>
      </w:rPr>
    </w:lvl>
  </w:abstractNum>
  <w:abstractNum w:abstractNumId="1" w15:restartNumberingAfterBreak="0">
    <w:nsid w:val="01BE04E2"/>
    <w:multiLevelType w:val="hybridMultilevel"/>
    <w:tmpl w:val="44F84E7A"/>
    <w:lvl w:ilvl="0" w:tplc="ED30EF76">
      <w:start w:val="1"/>
      <w:numFmt w:val="lowerRoman"/>
      <w:lvlText w:val="%1."/>
      <w:lvlJc w:val="left"/>
      <w:pPr>
        <w:ind w:left="765" w:hanging="360"/>
      </w:pPr>
      <w:rPr>
        <w:rFonts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30F55DC"/>
    <w:multiLevelType w:val="multilevel"/>
    <w:tmpl w:val="21F06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Yu Gothic" w:eastAsia="Yu Gothic" w:hAnsi="Yu Gothic" w:hint="eastAsia"/>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B829DB"/>
    <w:multiLevelType w:val="hybridMultilevel"/>
    <w:tmpl w:val="539871BC"/>
    <w:lvl w:ilvl="0" w:tplc="08090017">
      <w:start w:val="1"/>
      <w:numFmt w:val="lowerLetter"/>
      <w:lvlText w:val="%1)"/>
      <w:lvlJc w:val="left"/>
      <w:pPr>
        <w:ind w:left="720" w:hanging="360"/>
      </w:pPr>
    </w:lvl>
    <w:lvl w:ilvl="1" w:tplc="D20A568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474BDE"/>
    <w:multiLevelType w:val="hybridMultilevel"/>
    <w:tmpl w:val="8D7C420A"/>
    <w:lvl w:ilvl="0" w:tplc="4286943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A22FEC"/>
    <w:multiLevelType w:val="hybridMultilevel"/>
    <w:tmpl w:val="7E609042"/>
    <w:lvl w:ilvl="0" w:tplc="4286943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B82D62"/>
    <w:multiLevelType w:val="multilevel"/>
    <w:tmpl w:val="EDC40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AE2933"/>
    <w:multiLevelType w:val="hybridMultilevel"/>
    <w:tmpl w:val="434E9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7B6D40"/>
    <w:multiLevelType w:val="hybridMultilevel"/>
    <w:tmpl w:val="3CD2A576"/>
    <w:lvl w:ilvl="0" w:tplc="1676FFB8">
      <w:start w:val="1"/>
      <w:numFmt w:val="decimal"/>
      <w:lvlText w:val="%1."/>
      <w:lvlJc w:val="left"/>
      <w:pPr>
        <w:ind w:left="814" w:hanging="360"/>
      </w:pPr>
      <w:rPr>
        <w:b w:val="0"/>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9" w15:restartNumberingAfterBreak="0">
    <w:nsid w:val="35472FC5"/>
    <w:multiLevelType w:val="hybridMultilevel"/>
    <w:tmpl w:val="12EC4346"/>
    <w:lvl w:ilvl="0" w:tplc="08090017">
      <w:start w:val="1"/>
      <w:numFmt w:val="lowerLetter"/>
      <w:lvlText w:val="%1)"/>
      <w:lvlJc w:val="left"/>
      <w:pPr>
        <w:ind w:left="720" w:hanging="360"/>
      </w:pPr>
    </w:lvl>
    <w:lvl w:ilvl="1" w:tplc="2FA4244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3A651E"/>
    <w:multiLevelType w:val="hybridMultilevel"/>
    <w:tmpl w:val="2C60AB2E"/>
    <w:lvl w:ilvl="0" w:tplc="4286943A">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234026D"/>
    <w:multiLevelType w:val="hybridMultilevel"/>
    <w:tmpl w:val="A66E6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026ECA"/>
    <w:multiLevelType w:val="hybridMultilevel"/>
    <w:tmpl w:val="9A38EE0C"/>
    <w:lvl w:ilvl="0" w:tplc="C1C4F3D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C836AF"/>
    <w:multiLevelType w:val="hybridMultilevel"/>
    <w:tmpl w:val="4C6AE3B2"/>
    <w:lvl w:ilvl="0" w:tplc="08090003">
      <w:start w:val="1"/>
      <w:numFmt w:val="bullet"/>
      <w:lvlText w:val="o"/>
      <w:lvlJc w:val="left"/>
      <w:pPr>
        <w:ind w:left="1600" w:hanging="360"/>
      </w:pPr>
      <w:rPr>
        <w:rFonts w:ascii="Courier New" w:hAnsi="Courier New" w:cs="Courier New" w:hint="default"/>
      </w:rPr>
    </w:lvl>
    <w:lvl w:ilvl="1" w:tplc="08090003" w:tentative="1">
      <w:start w:val="1"/>
      <w:numFmt w:val="bullet"/>
      <w:lvlText w:val="o"/>
      <w:lvlJc w:val="left"/>
      <w:pPr>
        <w:ind w:left="2320" w:hanging="360"/>
      </w:pPr>
      <w:rPr>
        <w:rFonts w:ascii="Courier New" w:hAnsi="Courier New" w:cs="Courier New" w:hint="default"/>
      </w:rPr>
    </w:lvl>
    <w:lvl w:ilvl="2" w:tplc="08090005" w:tentative="1">
      <w:start w:val="1"/>
      <w:numFmt w:val="bullet"/>
      <w:lvlText w:val=""/>
      <w:lvlJc w:val="left"/>
      <w:pPr>
        <w:ind w:left="3040" w:hanging="360"/>
      </w:pPr>
      <w:rPr>
        <w:rFonts w:ascii="Wingdings" w:hAnsi="Wingdings" w:hint="default"/>
      </w:rPr>
    </w:lvl>
    <w:lvl w:ilvl="3" w:tplc="08090001" w:tentative="1">
      <w:start w:val="1"/>
      <w:numFmt w:val="bullet"/>
      <w:lvlText w:val=""/>
      <w:lvlJc w:val="left"/>
      <w:pPr>
        <w:ind w:left="3760" w:hanging="360"/>
      </w:pPr>
      <w:rPr>
        <w:rFonts w:ascii="Symbol" w:hAnsi="Symbol" w:hint="default"/>
      </w:rPr>
    </w:lvl>
    <w:lvl w:ilvl="4" w:tplc="08090003" w:tentative="1">
      <w:start w:val="1"/>
      <w:numFmt w:val="bullet"/>
      <w:lvlText w:val="o"/>
      <w:lvlJc w:val="left"/>
      <w:pPr>
        <w:ind w:left="4480" w:hanging="360"/>
      </w:pPr>
      <w:rPr>
        <w:rFonts w:ascii="Courier New" w:hAnsi="Courier New" w:cs="Courier New" w:hint="default"/>
      </w:rPr>
    </w:lvl>
    <w:lvl w:ilvl="5" w:tplc="08090005" w:tentative="1">
      <w:start w:val="1"/>
      <w:numFmt w:val="bullet"/>
      <w:lvlText w:val=""/>
      <w:lvlJc w:val="left"/>
      <w:pPr>
        <w:ind w:left="5200" w:hanging="360"/>
      </w:pPr>
      <w:rPr>
        <w:rFonts w:ascii="Wingdings" w:hAnsi="Wingdings" w:hint="default"/>
      </w:rPr>
    </w:lvl>
    <w:lvl w:ilvl="6" w:tplc="08090001" w:tentative="1">
      <w:start w:val="1"/>
      <w:numFmt w:val="bullet"/>
      <w:lvlText w:val=""/>
      <w:lvlJc w:val="left"/>
      <w:pPr>
        <w:ind w:left="5920" w:hanging="360"/>
      </w:pPr>
      <w:rPr>
        <w:rFonts w:ascii="Symbol" w:hAnsi="Symbol" w:hint="default"/>
      </w:rPr>
    </w:lvl>
    <w:lvl w:ilvl="7" w:tplc="08090003" w:tentative="1">
      <w:start w:val="1"/>
      <w:numFmt w:val="bullet"/>
      <w:lvlText w:val="o"/>
      <w:lvlJc w:val="left"/>
      <w:pPr>
        <w:ind w:left="6640" w:hanging="360"/>
      </w:pPr>
      <w:rPr>
        <w:rFonts w:ascii="Courier New" w:hAnsi="Courier New" w:cs="Courier New" w:hint="default"/>
      </w:rPr>
    </w:lvl>
    <w:lvl w:ilvl="8" w:tplc="08090005" w:tentative="1">
      <w:start w:val="1"/>
      <w:numFmt w:val="bullet"/>
      <w:lvlText w:val=""/>
      <w:lvlJc w:val="left"/>
      <w:pPr>
        <w:ind w:left="7360" w:hanging="360"/>
      </w:pPr>
      <w:rPr>
        <w:rFonts w:ascii="Wingdings" w:hAnsi="Wingdings" w:hint="default"/>
      </w:rPr>
    </w:lvl>
  </w:abstractNum>
  <w:abstractNum w:abstractNumId="14" w15:restartNumberingAfterBreak="0">
    <w:nsid w:val="520667C0"/>
    <w:multiLevelType w:val="hybridMultilevel"/>
    <w:tmpl w:val="DF1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BE4B7B"/>
    <w:multiLevelType w:val="hybridMultilevel"/>
    <w:tmpl w:val="F7225AAA"/>
    <w:lvl w:ilvl="0" w:tplc="8F0AD8B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9F548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2DD7B56"/>
    <w:multiLevelType w:val="multilevel"/>
    <w:tmpl w:val="5C4A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3D6CED"/>
    <w:multiLevelType w:val="hybridMultilevel"/>
    <w:tmpl w:val="43CEC38C"/>
    <w:lvl w:ilvl="0" w:tplc="A75C135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59564C9"/>
    <w:multiLevelType w:val="hybridMultilevel"/>
    <w:tmpl w:val="C5DAE6F6"/>
    <w:lvl w:ilvl="0" w:tplc="4286943A">
      <w:start w:val="1"/>
      <w:numFmt w:val="bullet"/>
      <w:lvlText w:val="•"/>
      <w:lvlJc w:val="left"/>
      <w:pPr>
        <w:ind w:left="1440" w:hanging="360"/>
      </w:pPr>
      <w:rPr>
        <w:rFonts w:ascii="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AEE6C39"/>
    <w:multiLevelType w:val="hybridMultilevel"/>
    <w:tmpl w:val="67FA695E"/>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21" w15:restartNumberingAfterBreak="0">
    <w:nsid w:val="6F777161"/>
    <w:multiLevelType w:val="hybridMultilevel"/>
    <w:tmpl w:val="C630A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0827170"/>
    <w:multiLevelType w:val="hybridMultilevel"/>
    <w:tmpl w:val="090EB11C"/>
    <w:lvl w:ilvl="0" w:tplc="23E09A7C">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5E623E"/>
    <w:multiLevelType w:val="multilevel"/>
    <w:tmpl w:val="5E24EB5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791C17"/>
    <w:multiLevelType w:val="hybridMultilevel"/>
    <w:tmpl w:val="14EC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BB15A4"/>
    <w:multiLevelType w:val="hybridMultilevel"/>
    <w:tmpl w:val="CF20BAD6"/>
    <w:lvl w:ilvl="0" w:tplc="ED30EF76">
      <w:start w:val="1"/>
      <w:numFmt w:val="lowerRoman"/>
      <w:lvlText w:val="%1."/>
      <w:lvlJc w:val="left"/>
      <w:pPr>
        <w:ind w:left="765" w:hanging="360"/>
      </w:pPr>
      <w:rPr>
        <w:rFonts w:hint="default"/>
      </w:rPr>
    </w:lvl>
    <w:lvl w:ilvl="1" w:tplc="08090001">
      <w:start w:val="1"/>
      <w:numFmt w:val="bullet"/>
      <w:lvlText w:val=""/>
      <w:lvlJc w:val="left"/>
      <w:pPr>
        <w:ind w:left="1485" w:hanging="360"/>
      </w:pPr>
      <w:rPr>
        <w:rFonts w:ascii="Symbol" w:hAnsi="Symbol"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4"/>
  </w:num>
  <w:num w:numId="2">
    <w:abstractNumId w:val="20"/>
  </w:num>
  <w:num w:numId="3">
    <w:abstractNumId w:val="4"/>
  </w:num>
  <w:num w:numId="4">
    <w:abstractNumId w:val="5"/>
  </w:num>
  <w:num w:numId="5">
    <w:abstractNumId w:val="18"/>
  </w:num>
  <w:num w:numId="6">
    <w:abstractNumId w:val="0"/>
  </w:num>
  <w:num w:numId="7">
    <w:abstractNumId w:val="1"/>
  </w:num>
  <w:num w:numId="8">
    <w:abstractNumId w:val="25"/>
  </w:num>
  <w:num w:numId="9">
    <w:abstractNumId w:val="10"/>
  </w:num>
  <w:num w:numId="10">
    <w:abstractNumId w:val="19"/>
  </w:num>
  <w:num w:numId="11">
    <w:abstractNumId w:val="22"/>
  </w:num>
  <w:num w:numId="12">
    <w:abstractNumId w:val="15"/>
  </w:num>
  <w:num w:numId="13">
    <w:abstractNumId w:val="3"/>
  </w:num>
  <w:num w:numId="14">
    <w:abstractNumId w:val="8"/>
  </w:num>
  <w:num w:numId="15">
    <w:abstractNumId w:val="9"/>
  </w:num>
  <w:num w:numId="16">
    <w:abstractNumId w:val="7"/>
  </w:num>
  <w:num w:numId="17">
    <w:abstractNumId w:val="21"/>
  </w:num>
  <w:num w:numId="18">
    <w:abstractNumId w:val="12"/>
  </w:num>
  <w:num w:numId="19">
    <w:abstractNumId w:val="6"/>
  </w:num>
  <w:num w:numId="20">
    <w:abstractNumId w:val="11"/>
  </w:num>
  <w:num w:numId="21">
    <w:abstractNumId w:val="14"/>
  </w:num>
  <w:num w:numId="22">
    <w:abstractNumId w:val="13"/>
  </w:num>
  <w:num w:numId="23">
    <w:abstractNumId w:val="17"/>
  </w:num>
  <w:num w:numId="24">
    <w:abstractNumId w:val="23"/>
  </w:num>
  <w:num w:numId="25">
    <w:abstractNumId w:val="16"/>
  </w:num>
  <w:num w:numId="2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4515"/>
    <w:rsid w:val="00007D7E"/>
    <w:rsid w:val="00011FE9"/>
    <w:rsid w:val="0001280D"/>
    <w:rsid w:val="000160BA"/>
    <w:rsid w:val="00017A16"/>
    <w:rsid w:val="00030B1D"/>
    <w:rsid w:val="000325B1"/>
    <w:rsid w:val="00033E40"/>
    <w:rsid w:val="00034C1E"/>
    <w:rsid w:val="00035093"/>
    <w:rsid w:val="00036670"/>
    <w:rsid w:val="00037CE0"/>
    <w:rsid w:val="0004527F"/>
    <w:rsid w:val="00050008"/>
    <w:rsid w:val="000524CC"/>
    <w:rsid w:val="000525E0"/>
    <w:rsid w:val="00052EC3"/>
    <w:rsid w:val="00053929"/>
    <w:rsid w:val="000547AB"/>
    <w:rsid w:val="00057C7B"/>
    <w:rsid w:val="000602D4"/>
    <w:rsid w:val="000662FE"/>
    <w:rsid w:val="00070486"/>
    <w:rsid w:val="000715A6"/>
    <w:rsid w:val="00072571"/>
    <w:rsid w:val="00074DE8"/>
    <w:rsid w:val="0008208F"/>
    <w:rsid w:val="00082A48"/>
    <w:rsid w:val="00085666"/>
    <w:rsid w:val="00087E71"/>
    <w:rsid w:val="00090F51"/>
    <w:rsid w:val="00096665"/>
    <w:rsid w:val="000A3656"/>
    <w:rsid w:val="000A3E3E"/>
    <w:rsid w:val="000B03AB"/>
    <w:rsid w:val="000B0A7B"/>
    <w:rsid w:val="000B1148"/>
    <w:rsid w:val="000B2E45"/>
    <w:rsid w:val="000B4A65"/>
    <w:rsid w:val="000C227D"/>
    <w:rsid w:val="000C66CA"/>
    <w:rsid w:val="000D0D3E"/>
    <w:rsid w:val="000D54DD"/>
    <w:rsid w:val="000D5C76"/>
    <w:rsid w:val="000D6871"/>
    <w:rsid w:val="000D795A"/>
    <w:rsid w:val="000D7F4E"/>
    <w:rsid w:val="000E2FA0"/>
    <w:rsid w:val="000E47E9"/>
    <w:rsid w:val="000E64B4"/>
    <w:rsid w:val="000F0443"/>
    <w:rsid w:val="000F0D7C"/>
    <w:rsid w:val="000F30D7"/>
    <w:rsid w:val="000F3B55"/>
    <w:rsid w:val="000F4BF0"/>
    <w:rsid w:val="000F73E5"/>
    <w:rsid w:val="001005BA"/>
    <w:rsid w:val="00100B62"/>
    <w:rsid w:val="00110148"/>
    <w:rsid w:val="00111C1D"/>
    <w:rsid w:val="00112287"/>
    <w:rsid w:val="001200B2"/>
    <w:rsid w:val="001208BC"/>
    <w:rsid w:val="0012096C"/>
    <w:rsid w:val="00121597"/>
    <w:rsid w:val="0012693D"/>
    <w:rsid w:val="0012777A"/>
    <w:rsid w:val="00127828"/>
    <w:rsid w:val="001308F5"/>
    <w:rsid w:val="0013283B"/>
    <w:rsid w:val="0013509E"/>
    <w:rsid w:val="001365A6"/>
    <w:rsid w:val="00145080"/>
    <w:rsid w:val="00145C6A"/>
    <w:rsid w:val="00150004"/>
    <w:rsid w:val="001500B9"/>
    <w:rsid w:val="00151578"/>
    <w:rsid w:val="00160371"/>
    <w:rsid w:val="00161BDA"/>
    <w:rsid w:val="0016280B"/>
    <w:rsid w:val="00163246"/>
    <w:rsid w:val="001632F2"/>
    <w:rsid w:val="00164D68"/>
    <w:rsid w:val="00165720"/>
    <w:rsid w:val="00170956"/>
    <w:rsid w:val="0017099E"/>
    <w:rsid w:val="00171618"/>
    <w:rsid w:val="00172886"/>
    <w:rsid w:val="001762BF"/>
    <w:rsid w:val="001819B1"/>
    <w:rsid w:val="00182658"/>
    <w:rsid w:val="00182BB7"/>
    <w:rsid w:val="001868D6"/>
    <w:rsid w:val="00187BFC"/>
    <w:rsid w:val="00190197"/>
    <w:rsid w:val="0019169D"/>
    <w:rsid w:val="00192951"/>
    <w:rsid w:val="00192DDE"/>
    <w:rsid w:val="001A1CDC"/>
    <w:rsid w:val="001A46C7"/>
    <w:rsid w:val="001A48C7"/>
    <w:rsid w:val="001A7044"/>
    <w:rsid w:val="001B0870"/>
    <w:rsid w:val="001B1821"/>
    <w:rsid w:val="001C1114"/>
    <w:rsid w:val="001C291A"/>
    <w:rsid w:val="001C4484"/>
    <w:rsid w:val="001C5E41"/>
    <w:rsid w:val="001C77BC"/>
    <w:rsid w:val="001D1697"/>
    <w:rsid w:val="001D2720"/>
    <w:rsid w:val="001D3320"/>
    <w:rsid w:val="001D42C7"/>
    <w:rsid w:val="001D44B5"/>
    <w:rsid w:val="001D48BB"/>
    <w:rsid w:val="001D640A"/>
    <w:rsid w:val="001E00E3"/>
    <w:rsid w:val="001E013F"/>
    <w:rsid w:val="001E2204"/>
    <w:rsid w:val="001E7909"/>
    <w:rsid w:val="001F2349"/>
    <w:rsid w:val="001F4E9C"/>
    <w:rsid w:val="001F6F26"/>
    <w:rsid w:val="001F715E"/>
    <w:rsid w:val="001F773C"/>
    <w:rsid w:val="002005D2"/>
    <w:rsid w:val="00201663"/>
    <w:rsid w:val="0020298B"/>
    <w:rsid w:val="002053F4"/>
    <w:rsid w:val="00206111"/>
    <w:rsid w:val="002137E0"/>
    <w:rsid w:val="00217F8A"/>
    <w:rsid w:val="00223214"/>
    <w:rsid w:val="00224F8D"/>
    <w:rsid w:val="00225FB7"/>
    <w:rsid w:val="00227310"/>
    <w:rsid w:val="00230891"/>
    <w:rsid w:val="0023247B"/>
    <w:rsid w:val="00235440"/>
    <w:rsid w:val="00236A9E"/>
    <w:rsid w:val="00243A5C"/>
    <w:rsid w:val="00246E5E"/>
    <w:rsid w:val="00254E49"/>
    <w:rsid w:val="00255544"/>
    <w:rsid w:val="00261880"/>
    <w:rsid w:val="0026231C"/>
    <w:rsid w:val="00262DF0"/>
    <w:rsid w:val="00263B44"/>
    <w:rsid w:val="002655B4"/>
    <w:rsid w:val="00266037"/>
    <w:rsid w:val="00266F2F"/>
    <w:rsid w:val="00270DEF"/>
    <w:rsid w:val="00272269"/>
    <w:rsid w:val="00273463"/>
    <w:rsid w:val="002741AC"/>
    <w:rsid w:val="002743AC"/>
    <w:rsid w:val="002759BB"/>
    <w:rsid w:val="00276814"/>
    <w:rsid w:val="00276E63"/>
    <w:rsid w:val="00280BF1"/>
    <w:rsid w:val="002819C0"/>
    <w:rsid w:val="00282418"/>
    <w:rsid w:val="00282B18"/>
    <w:rsid w:val="0028719B"/>
    <w:rsid w:val="00295556"/>
    <w:rsid w:val="00295BB5"/>
    <w:rsid w:val="002A47CA"/>
    <w:rsid w:val="002A5A4D"/>
    <w:rsid w:val="002A5ED2"/>
    <w:rsid w:val="002B4262"/>
    <w:rsid w:val="002B56D5"/>
    <w:rsid w:val="002B60AB"/>
    <w:rsid w:val="002B64A4"/>
    <w:rsid w:val="002B6B2B"/>
    <w:rsid w:val="002B77B9"/>
    <w:rsid w:val="002C0750"/>
    <w:rsid w:val="002C728A"/>
    <w:rsid w:val="002C7F04"/>
    <w:rsid w:val="002D5A4D"/>
    <w:rsid w:val="002E002E"/>
    <w:rsid w:val="002E2226"/>
    <w:rsid w:val="002E22AF"/>
    <w:rsid w:val="002E398D"/>
    <w:rsid w:val="002E3F59"/>
    <w:rsid w:val="002E4240"/>
    <w:rsid w:val="002E5902"/>
    <w:rsid w:val="002E653F"/>
    <w:rsid w:val="002F049E"/>
    <w:rsid w:val="002F38B2"/>
    <w:rsid w:val="002F4041"/>
    <w:rsid w:val="002F4302"/>
    <w:rsid w:val="002F47A9"/>
    <w:rsid w:val="002F6887"/>
    <w:rsid w:val="002F6D8C"/>
    <w:rsid w:val="003022E1"/>
    <w:rsid w:val="0030261B"/>
    <w:rsid w:val="003067A9"/>
    <w:rsid w:val="00313649"/>
    <w:rsid w:val="00316C16"/>
    <w:rsid w:val="00322441"/>
    <w:rsid w:val="003238AA"/>
    <w:rsid w:val="00324398"/>
    <w:rsid w:val="00326D9C"/>
    <w:rsid w:val="00326E14"/>
    <w:rsid w:val="003309B5"/>
    <w:rsid w:val="00341697"/>
    <w:rsid w:val="00341A03"/>
    <w:rsid w:val="00345F66"/>
    <w:rsid w:val="003466CC"/>
    <w:rsid w:val="00351CCA"/>
    <w:rsid w:val="00351DB5"/>
    <w:rsid w:val="00356062"/>
    <w:rsid w:val="003576F6"/>
    <w:rsid w:val="00357C52"/>
    <w:rsid w:val="00374815"/>
    <w:rsid w:val="003767CF"/>
    <w:rsid w:val="0038070B"/>
    <w:rsid w:val="00384FC3"/>
    <w:rsid w:val="003864C3"/>
    <w:rsid w:val="003872C7"/>
    <w:rsid w:val="00390AD7"/>
    <w:rsid w:val="00391429"/>
    <w:rsid w:val="00391FEF"/>
    <w:rsid w:val="00392538"/>
    <w:rsid w:val="0039424B"/>
    <w:rsid w:val="0039481A"/>
    <w:rsid w:val="00394FD7"/>
    <w:rsid w:val="00396359"/>
    <w:rsid w:val="003A3804"/>
    <w:rsid w:val="003A4C88"/>
    <w:rsid w:val="003A52BE"/>
    <w:rsid w:val="003A5866"/>
    <w:rsid w:val="003A6E9F"/>
    <w:rsid w:val="003B7FB2"/>
    <w:rsid w:val="003C1504"/>
    <w:rsid w:val="003C3E13"/>
    <w:rsid w:val="003C44E9"/>
    <w:rsid w:val="003C55AB"/>
    <w:rsid w:val="003C6998"/>
    <w:rsid w:val="003D1784"/>
    <w:rsid w:val="003D4853"/>
    <w:rsid w:val="003D4CD6"/>
    <w:rsid w:val="003D6306"/>
    <w:rsid w:val="003D72BC"/>
    <w:rsid w:val="003E2F84"/>
    <w:rsid w:val="003E7A36"/>
    <w:rsid w:val="003F242D"/>
    <w:rsid w:val="003F316F"/>
    <w:rsid w:val="004020D4"/>
    <w:rsid w:val="0040316C"/>
    <w:rsid w:val="00404B63"/>
    <w:rsid w:val="00406861"/>
    <w:rsid w:val="004108B3"/>
    <w:rsid w:val="00410920"/>
    <w:rsid w:val="004109FA"/>
    <w:rsid w:val="00415642"/>
    <w:rsid w:val="004200D3"/>
    <w:rsid w:val="004228C7"/>
    <w:rsid w:val="00427063"/>
    <w:rsid w:val="00427605"/>
    <w:rsid w:val="0042798B"/>
    <w:rsid w:val="0043135C"/>
    <w:rsid w:val="00434913"/>
    <w:rsid w:val="004351EF"/>
    <w:rsid w:val="00436009"/>
    <w:rsid w:val="004371D1"/>
    <w:rsid w:val="004418D3"/>
    <w:rsid w:val="00442E26"/>
    <w:rsid w:val="00444B5A"/>
    <w:rsid w:val="00444D5F"/>
    <w:rsid w:val="004474F8"/>
    <w:rsid w:val="00450623"/>
    <w:rsid w:val="0045707E"/>
    <w:rsid w:val="00457CF8"/>
    <w:rsid w:val="00462A06"/>
    <w:rsid w:val="004655F6"/>
    <w:rsid w:val="004672F1"/>
    <w:rsid w:val="0047230A"/>
    <w:rsid w:val="004723BD"/>
    <w:rsid w:val="004751FC"/>
    <w:rsid w:val="00477550"/>
    <w:rsid w:val="00477ED6"/>
    <w:rsid w:val="004804F5"/>
    <w:rsid w:val="00480C8A"/>
    <w:rsid w:val="004825EE"/>
    <w:rsid w:val="004844A8"/>
    <w:rsid w:val="00484A82"/>
    <w:rsid w:val="00496803"/>
    <w:rsid w:val="00496CC4"/>
    <w:rsid w:val="00497E7C"/>
    <w:rsid w:val="004A2733"/>
    <w:rsid w:val="004A2742"/>
    <w:rsid w:val="004A44AD"/>
    <w:rsid w:val="004B4597"/>
    <w:rsid w:val="004B6688"/>
    <w:rsid w:val="004B752E"/>
    <w:rsid w:val="004C0D5B"/>
    <w:rsid w:val="004C1B3E"/>
    <w:rsid w:val="004C34EB"/>
    <w:rsid w:val="004C3CEC"/>
    <w:rsid w:val="004C70CA"/>
    <w:rsid w:val="004D2304"/>
    <w:rsid w:val="004D41FF"/>
    <w:rsid w:val="004D79F8"/>
    <w:rsid w:val="004E07C1"/>
    <w:rsid w:val="004E4CC8"/>
    <w:rsid w:val="004F497B"/>
    <w:rsid w:val="004F538A"/>
    <w:rsid w:val="004F5D62"/>
    <w:rsid w:val="004F61E4"/>
    <w:rsid w:val="004F63CB"/>
    <w:rsid w:val="004F669E"/>
    <w:rsid w:val="00502DB6"/>
    <w:rsid w:val="00504F63"/>
    <w:rsid w:val="00505585"/>
    <w:rsid w:val="00506DF9"/>
    <w:rsid w:val="00506F27"/>
    <w:rsid w:val="00510660"/>
    <w:rsid w:val="005120A5"/>
    <w:rsid w:val="00513084"/>
    <w:rsid w:val="00523786"/>
    <w:rsid w:val="005244A4"/>
    <w:rsid w:val="00525BEB"/>
    <w:rsid w:val="00526526"/>
    <w:rsid w:val="00527783"/>
    <w:rsid w:val="00531347"/>
    <w:rsid w:val="005407D6"/>
    <w:rsid w:val="00541DBC"/>
    <w:rsid w:val="00543329"/>
    <w:rsid w:val="00546DFC"/>
    <w:rsid w:val="0054729F"/>
    <w:rsid w:val="00552AB0"/>
    <w:rsid w:val="00554488"/>
    <w:rsid w:val="0056179C"/>
    <w:rsid w:val="005622E3"/>
    <w:rsid w:val="005636AE"/>
    <w:rsid w:val="00566B2F"/>
    <w:rsid w:val="00567CD0"/>
    <w:rsid w:val="00571A2F"/>
    <w:rsid w:val="005721E9"/>
    <w:rsid w:val="00575A03"/>
    <w:rsid w:val="005814B5"/>
    <w:rsid w:val="00583F39"/>
    <w:rsid w:val="00584E91"/>
    <w:rsid w:val="00585C7B"/>
    <w:rsid w:val="00597AA6"/>
    <w:rsid w:val="005A2ACC"/>
    <w:rsid w:val="005A5AE7"/>
    <w:rsid w:val="005B23A9"/>
    <w:rsid w:val="005B517C"/>
    <w:rsid w:val="005C2E4A"/>
    <w:rsid w:val="005D046D"/>
    <w:rsid w:val="005D18F7"/>
    <w:rsid w:val="005D2741"/>
    <w:rsid w:val="005D2BDB"/>
    <w:rsid w:val="005D3316"/>
    <w:rsid w:val="005D377E"/>
    <w:rsid w:val="005D3E9D"/>
    <w:rsid w:val="005E2568"/>
    <w:rsid w:val="005E4D72"/>
    <w:rsid w:val="005E51E7"/>
    <w:rsid w:val="005E55B3"/>
    <w:rsid w:val="005E5ACB"/>
    <w:rsid w:val="005E61D7"/>
    <w:rsid w:val="005F28C8"/>
    <w:rsid w:val="005F4504"/>
    <w:rsid w:val="005F4A9F"/>
    <w:rsid w:val="005F6382"/>
    <w:rsid w:val="005F77B6"/>
    <w:rsid w:val="006049EE"/>
    <w:rsid w:val="0060532F"/>
    <w:rsid w:val="00612DE0"/>
    <w:rsid w:val="0062381A"/>
    <w:rsid w:val="006242FA"/>
    <w:rsid w:val="006256D3"/>
    <w:rsid w:val="006261C9"/>
    <w:rsid w:val="00626978"/>
    <w:rsid w:val="00626FCC"/>
    <w:rsid w:val="00627BB7"/>
    <w:rsid w:val="006320CF"/>
    <w:rsid w:val="006359A5"/>
    <w:rsid w:val="00641902"/>
    <w:rsid w:val="00641CE9"/>
    <w:rsid w:val="00643EA7"/>
    <w:rsid w:val="00645426"/>
    <w:rsid w:val="00647C77"/>
    <w:rsid w:val="0065136E"/>
    <w:rsid w:val="00655DF8"/>
    <w:rsid w:val="00656BD8"/>
    <w:rsid w:val="006576F0"/>
    <w:rsid w:val="0066029D"/>
    <w:rsid w:val="006615CF"/>
    <w:rsid w:val="006616FE"/>
    <w:rsid w:val="00670D71"/>
    <w:rsid w:val="006718CE"/>
    <w:rsid w:val="0067376E"/>
    <w:rsid w:val="006739A1"/>
    <w:rsid w:val="0067421B"/>
    <w:rsid w:val="006805BB"/>
    <w:rsid w:val="00681DA4"/>
    <w:rsid w:val="0068218A"/>
    <w:rsid w:val="00682251"/>
    <w:rsid w:val="00682EF5"/>
    <w:rsid w:val="006837FF"/>
    <w:rsid w:val="00685A65"/>
    <w:rsid w:val="00686755"/>
    <w:rsid w:val="006877E3"/>
    <w:rsid w:val="0069009E"/>
    <w:rsid w:val="00690B38"/>
    <w:rsid w:val="006929A6"/>
    <w:rsid w:val="00693F16"/>
    <w:rsid w:val="00695291"/>
    <w:rsid w:val="006A3FDB"/>
    <w:rsid w:val="006A76F8"/>
    <w:rsid w:val="006B3539"/>
    <w:rsid w:val="006B3D9D"/>
    <w:rsid w:val="006B7D8E"/>
    <w:rsid w:val="006C2602"/>
    <w:rsid w:val="006C3F76"/>
    <w:rsid w:val="006C43C0"/>
    <w:rsid w:val="006C5775"/>
    <w:rsid w:val="006C7095"/>
    <w:rsid w:val="006D4B1D"/>
    <w:rsid w:val="006D4F6A"/>
    <w:rsid w:val="006E0E0F"/>
    <w:rsid w:val="006E4671"/>
    <w:rsid w:val="006E7DCE"/>
    <w:rsid w:val="006E7E35"/>
    <w:rsid w:val="006F198C"/>
    <w:rsid w:val="006F2942"/>
    <w:rsid w:val="006F3528"/>
    <w:rsid w:val="006F3781"/>
    <w:rsid w:val="006F54F5"/>
    <w:rsid w:val="00703336"/>
    <w:rsid w:val="00704E5B"/>
    <w:rsid w:val="007050FF"/>
    <w:rsid w:val="00705210"/>
    <w:rsid w:val="00706150"/>
    <w:rsid w:val="00714741"/>
    <w:rsid w:val="00715518"/>
    <w:rsid w:val="00722B7F"/>
    <w:rsid w:val="007240C5"/>
    <w:rsid w:val="00727145"/>
    <w:rsid w:val="00731C1A"/>
    <w:rsid w:val="00731CDC"/>
    <w:rsid w:val="00734713"/>
    <w:rsid w:val="007355E2"/>
    <w:rsid w:val="00737148"/>
    <w:rsid w:val="007377A5"/>
    <w:rsid w:val="00737D84"/>
    <w:rsid w:val="00743CE3"/>
    <w:rsid w:val="007442EC"/>
    <w:rsid w:val="00750A38"/>
    <w:rsid w:val="00763869"/>
    <w:rsid w:val="00766962"/>
    <w:rsid w:val="00767FDA"/>
    <w:rsid w:val="00770916"/>
    <w:rsid w:val="00771C39"/>
    <w:rsid w:val="00773812"/>
    <w:rsid w:val="00775287"/>
    <w:rsid w:val="00777988"/>
    <w:rsid w:val="00777E05"/>
    <w:rsid w:val="00781FFA"/>
    <w:rsid w:val="00782F8D"/>
    <w:rsid w:val="0079384D"/>
    <w:rsid w:val="007A23F3"/>
    <w:rsid w:val="007B11A1"/>
    <w:rsid w:val="007B29A8"/>
    <w:rsid w:val="007B31D8"/>
    <w:rsid w:val="007B53B2"/>
    <w:rsid w:val="007B7E70"/>
    <w:rsid w:val="007B7F5A"/>
    <w:rsid w:val="007C53B8"/>
    <w:rsid w:val="007C635C"/>
    <w:rsid w:val="007C743A"/>
    <w:rsid w:val="007D0F77"/>
    <w:rsid w:val="007D2A89"/>
    <w:rsid w:val="007D33F4"/>
    <w:rsid w:val="007D773F"/>
    <w:rsid w:val="007D7FB2"/>
    <w:rsid w:val="007E4419"/>
    <w:rsid w:val="007F03EE"/>
    <w:rsid w:val="007F1BE1"/>
    <w:rsid w:val="007F2437"/>
    <w:rsid w:val="007F314D"/>
    <w:rsid w:val="007F3ABE"/>
    <w:rsid w:val="007F579B"/>
    <w:rsid w:val="007F6C18"/>
    <w:rsid w:val="00800772"/>
    <w:rsid w:val="00802A92"/>
    <w:rsid w:val="00811949"/>
    <w:rsid w:val="00813D71"/>
    <w:rsid w:val="008162BD"/>
    <w:rsid w:val="00816335"/>
    <w:rsid w:val="00817559"/>
    <w:rsid w:val="0082248C"/>
    <w:rsid w:val="0082665F"/>
    <w:rsid w:val="00830BE8"/>
    <w:rsid w:val="00830E76"/>
    <w:rsid w:val="008328E9"/>
    <w:rsid w:val="00832EF9"/>
    <w:rsid w:val="00833F00"/>
    <w:rsid w:val="00835BCB"/>
    <w:rsid w:val="00835CDC"/>
    <w:rsid w:val="00840094"/>
    <w:rsid w:val="008424E2"/>
    <w:rsid w:val="0084581A"/>
    <w:rsid w:val="008507BA"/>
    <w:rsid w:val="00850B09"/>
    <w:rsid w:val="00854571"/>
    <w:rsid w:val="00854F30"/>
    <w:rsid w:val="00855B14"/>
    <w:rsid w:val="00857013"/>
    <w:rsid w:val="00857B3C"/>
    <w:rsid w:val="0086200D"/>
    <w:rsid w:val="00863B9D"/>
    <w:rsid w:val="00863BE6"/>
    <w:rsid w:val="008751EB"/>
    <w:rsid w:val="008775BC"/>
    <w:rsid w:val="00882F1B"/>
    <w:rsid w:val="00887231"/>
    <w:rsid w:val="00887520"/>
    <w:rsid w:val="00897D34"/>
    <w:rsid w:val="008A25B7"/>
    <w:rsid w:val="008A2776"/>
    <w:rsid w:val="008A67CA"/>
    <w:rsid w:val="008A70CE"/>
    <w:rsid w:val="008A7AFB"/>
    <w:rsid w:val="008B1FD6"/>
    <w:rsid w:val="008B3FED"/>
    <w:rsid w:val="008B5BA6"/>
    <w:rsid w:val="008C25E4"/>
    <w:rsid w:val="008C2DAE"/>
    <w:rsid w:val="008C603F"/>
    <w:rsid w:val="008C6BFA"/>
    <w:rsid w:val="008D4620"/>
    <w:rsid w:val="008D4652"/>
    <w:rsid w:val="008D4D9C"/>
    <w:rsid w:val="008D6247"/>
    <w:rsid w:val="008E06C2"/>
    <w:rsid w:val="008E397F"/>
    <w:rsid w:val="008E4F48"/>
    <w:rsid w:val="008F0A51"/>
    <w:rsid w:val="008F1736"/>
    <w:rsid w:val="008F1DB9"/>
    <w:rsid w:val="008F1E6B"/>
    <w:rsid w:val="008F2881"/>
    <w:rsid w:val="008F29B0"/>
    <w:rsid w:val="00901601"/>
    <w:rsid w:val="009059A9"/>
    <w:rsid w:val="00906806"/>
    <w:rsid w:val="00907158"/>
    <w:rsid w:val="009117F1"/>
    <w:rsid w:val="009118E5"/>
    <w:rsid w:val="00923724"/>
    <w:rsid w:val="00923A74"/>
    <w:rsid w:val="0092515E"/>
    <w:rsid w:val="009461E9"/>
    <w:rsid w:val="009469EE"/>
    <w:rsid w:val="009469FD"/>
    <w:rsid w:val="00946AEE"/>
    <w:rsid w:val="0094770B"/>
    <w:rsid w:val="0095183A"/>
    <w:rsid w:val="00952123"/>
    <w:rsid w:val="00952A63"/>
    <w:rsid w:val="0095501C"/>
    <w:rsid w:val="00956292"/>
    <w:rsid w:val="00956589"/>
    <w:rsid w:val="00957766"/>
    <w:rsid w:val="00963679"/>
    <w:rsid w:val="009665D9"/>
    <w:rsid w:val="00966FED"/>
    <w:rsid w:val="00972828"/>
    <w:rsid w:val="0097565A"/>
    <w:rsid w:val="00977C51"/>
    <w:rsid w:val="00986440"/>
    <w:rsid w:val="0099214A"/>
    <w:rsid w:val="0099250D"/>
    <w:rsid w:val="00993129"/>
    <w:rsid w:val="00996E40"/>
    <w:rsid w:val="00997CDA"/>
    <w:rsid w:val="009A26BD"/>
    <w:rsid w:val="009B2267"/>
    <w:rsid w:val="009B243F"/>
    <w:rsid w:val="009B4FFB"/>
    <w:rsid w:val="009B501C"/>
    <w:rsid w:val="009C0925"/>
    <w:rsid w:val="009C4D14"/>
    <w:rsid w:val="009C5CBA"/>
    <w:rsid w:val="009C7E2F"/>
    <w:rsid w:val="009D1C2C"/>
    <w:rsid w:val="009D5133"/>
    <w:rsid w:val="009D57A1"/>
    <w:rsid w:val="009D78E0"/>
    <w:rsid w:val="009E3705"/>
    <w:rsid w:val="009E3B69"/>
    <w:rsid w:val="009E5374"/>
    <w:rsid w:val="009F120C"/>
    <w:rsid w:val="009F345D"/>
    <w:rsid w:val="00A00069"/>
    <w:rsid w:val="00A05A34"/>
    <w:rsid w:val="00A06BE4"/>
    <w:rsid w:val="00A11A0A"/>
    <w:rsid w:val="00A12CC5"/>
    <w:rsid w:val="00A13218"/>
    <w:rsid w:val="00A17071"/>
    <w:rsid w:val="00A17B7B"/>
    <w:rsid w:val="00A227A3"/>
    <w:rsid w:val="00A22B21"/>
    <w:rsid w:val="00A23BE1"/>
    <w:rsid w:val="00A26418"/>
    <w:rsid w:val="00A367E2"/>
    <w:rsid w:val="00A36B95"/>
    <w:rsid w:val="00A41648"/>
    <w:rsid w:val="00A41CA7"/>
    <w:rsid w:val="00A42C70"/>
    <w:rsid w:val="00A42D73"/>
    <w:rsid w:val="00A42F3F"/>
    <w:rsid w:val="00A4397F"/>
    <w:rsid w:val="00A43C37"/>
    <w:rsid w:val="00A45BA9"/>
    <w:rsid w:val="00A47D22"/>
    <w:rsid w:val="00A5199D"/>
    <w:rsid w:val="00A521AE"/>
    <w:rsid w:val="00A60B73"/>
    <w:rsid w:val="00A63BF6"/>
    <w:rsid w:val="00A67EDF"/>
    <w:rsid w:val="00A70C4F"/>
    <w:rsid w:val="00A71A2E"/>
    <w:rsid w:val="00A80080"/>
    <w:rsid w:val="00A80241"/>
    <w:rsid w:val="00A84ECC"/>
    <w:rsid w:val="00A85181"/>
    <w:rsid w:val="00A94E0B"/>
    <w:rsid w:val="00A95D7C"/>
    <w:rsid w:val="00A95DB6"/>
    <w:rsid w:val="00AA3331"/>
    <w:rsid w:val="00AA3DB1"/>
    <w:rsid w:val="00AA3E55"/>
    <w:rsid w:val="00AB0615"/>
    <w:rsid w:val="00AB1CFD"/>
    <w:rsid w:val="00AB2579"/>
    <w:rsid w:val="00AB4639"/>
    <w:rsid w:val="00AB4951"/>
    <w:rsid w:val="00AB4D8C"/>
    <w:rsid w:val="00AC0482"/>
    <w:rsid w:val="00AC233F"/>
    <w:rsid w:val="00AC2532"/>
    <w:rsid w:val="00AC4FAD"/>
    <w:rsid w:val="00AC54FF"/>
    <w:rsid w:val="00AC5535"/>
    <w:rsid w:val="00AD280B"/>
    <w:rsid w:val="00AD3359"/>
    <w:rsid w:val="00AD501D"/>
    <w:rsid w:val="00AE0A27"/>
    <w:rsid w:val="00AE162E"/>
    <w:rsid w:val="00AE38CD"/>
    <w:rsid w:val="00AE5993"/>
    <w:rsid w:val="00AF56EC"/>
    <w:rsid w:val="00AF5C85"/>
    <w:rsid w:val="00B02469"/>
    <w:rsid w:val="00B057FC"/>
    <w:rsid w:val="00B11369"/>
    <w:rsid w:val="00B127DE"/>
    <w:rsid w:val="00B13656"/>
    <w:rsid w:val="00B201B9"/>
    <w:rsid w:val="00B20D7F"/>
    <w:rsid w:val="00B23099"/>
    <w:rsid w:val="00B23288"/>
    <w:rsid w:val="00B315A0"/>
    <w:rsid w:val="00B34A18"/>
    <w:rsid w:val="00B37B82"/>
    <w:rsid w:val="00B40119"/>
    <w:rsid w:val="00B40295"/>
    <w:rsid w:val="00B41637"/>
    <w:rsid w:val="00B41E17"/>
    <w:rsid w:val="00B468CE"/>
    <w:rsid w:val="00B46D18"/>
    <w:rsid w:val="00B52EC9"/>
    <w:rsid w:val="00B56202"/>
    <w:rsid w:val="00B56E79"/>
    <w:rsid w:val="00B579CB"/>
    <w:rsid w:val="00B62367"/>
    <w:rsid w:val="00B626CD"/>
    <w:rsid w:val="00B6355F"/>
    <w:rsid w:val="00B63903"/>
    <w:rsid w:val="00B70083"/>
    <w:rsid w:val="00B705A0"/>
    <w:rsid w:val="00B723C5"/>
    <w:rsid w:val="00B75BAE"/>
    <w:rsid w:val="00B76D15"/>
    <w:rsid w:val="00B76F1E"/>
    <w:rsid w:val="00B83A94"/>
    <w:rsid w:val="00B856EA"/>
    <w:rsid w:val="00B86558"/>
    <w:rsid w:val="00B924B2"/>
    <w:rsid w:val="00B943DB"/>
    <w:rsid w:val="00B94CD6"/>
    <w:rsid w:val="00B97D4E"/>
    <w:rsid w:val="00BA0C5A"/>
    <w:rsid w:val="00BA0F8B"/>
    <w:rsid w:val="00BA13C6"/>
    <w:rsid w:val="00BA1E7E"/>
    <w:rsid w:val="00BA3504"/>
    <w:rsid w:val="00BA5241"/>
    <w:rsid w:val="00BA603F"/>
    <w:rsid w:val="00BB1268"/>
    <w:rsid w:val="00BB28F6"/>
    <w:rsid w:val="00BB3C93"/>
    <w:rsid w:val="00BB47C9"/>
    <w:rsid w:val="00BB4D2F"/>
    <w:rsid w:val="00BB67CF"/>
    <w:rsid w:val="00BB6DD4"/>
    <w:rsid w:val="00BC09B1"/>
    <w:rsid w:val="00BC2609"/>
    <w:rsid w:val="00BC4100"/>
    <w:rsid w:val="00BC449C"/>
    <w:rsid w:val="00BC5866"/>
    <w:rsid w:val="00BC64E2"/>
    <w:rsid w:val="00BC6F24"/>
    <w:rsid w:val="00BD0DBB"/>
    <w:rsid w:val="00BE5150"/>
    <w:rsid w:val="00BE7AF7"/>
    <w:rsid w:val="00BF20AA"/>
    <w:rsid w:val="00BF3277"/>
    <w:rsid w:val="00BF3EA6"/>
    <w:rsid w:val="00C04170"/>
    <w:rsid w:val="00C06686"/>
    <w:rsid w:val="00C06CC1"/>
    <w:rsid w:val="00C10AD0"/>
    <w:rsid w:val="00C11D5A"/>
    <w:rsid w:val="00C13145"/>
    <w:rsid w:val="00C151DD"/>
    <w:rsid w:val="00C17EFC"/>
    <w:rsid w:val="00C23F1C"/>
    <w:rsid w:val="00C27C07"/>
    <w:rsid w:val="00C32D70"/>
    <w:rsid w:val="00C45D3F"/>
    <w:rsid w:val="00C47320"/>
    <w:rsid w:val="00C57E8C"/>
    <w:rsid w:val="00C63897"/>
    <w:rsid w:val="00C64192"/>
    <w:rsid w:val="00C70684"/>
    <w:rsid w:val="00C73262"/>
    <w:rsid w:val="00C807EA"/>
    <w:rsid w:val="00C8140F"/>
    <w:rsid w:val="00C82A4A"/>
    <w:rsid w:val="00C82EB2"/>
    <w:rsid w:val="00C90E4F"/>
    <w:rsid w:val="00C91725"/>
    <w:rsid w:val="00C956BD"/>
    <w:rsid w:val="00C9647C"/>
    <w:rsid w:val="00C972A3"/>
    <w:rsid w:val="00C9745A"/>
    <w:rsid w:val="00C97D83"/>
    <w:rsid w:val="00CA3F5F"/>
    <w:rsid w:val="00CB65B7"/>
    <w:rsid w:val="00CB764F"/>
    <w:rsid w:val="00CC441F"/>
    <w:rsid w:val="00CC6092"/>
    <w:rsid w:val="00CD191D"/>
    <w:rsid w:val="00CD2666"/>
    <w:rsid w:val="00CD4233"/>
    <w:rsid w:val="00CD6976"/>
    <w:rsid w:val="00CE525B"/>
    <w:rsid w:val="00CE5B1D"/>
    <w:rsid w:val="00CE7031"/>
    <w:rsid w:val="00CE744F"/>
    <w:rsid w:val="00CE750F"/>
    <w:rsid w:val="00CF75A1"/>
    <w:rsid w:val="00D015D6"/>
    <w:rsid w:val="00D01E26"/>
    <w:rsid w:val="00D02112"/>
    <w:rsid w:val="00D0406D"/>
    <w:rsid w:val="00D0530C"/>
    <w:rsid w:val="00D05F99"/>
    <w:rsid w:val="00D10C38"/>
    <w:rsid w:val="00D11142"/>
    <w:rsid w:val="00D12734"/>
    <w:rsid w:val="00D131BA"/>
    <w:rsid w:val="00D144D0"/>
    <w:rsid w:val="00D160CB"/>
    <w:rsid w:val="00D16861"/>
    <w:rsid w:val="00D17600"/>
    <w:rsid w:val="00D23042"/>
    <w:rsid w:val="00D23A96"/>
    <w:rsid w:val="00D24445"/>
    <w:rsid w:val="00D245A1"/>
    <w:rsid w:val="00D2703D"/>
    <w:rsid w:val="00D3216C"/>
    <w:rsid w:val="00D362E4"/>
    <w:rsid w:val="00D37914"/>
    <w:rsid w:val="00D407D6"/>
    <w:rsid w:val="00D415E2"/>
    <w:rsid w:val="00D42055"/>
    <w:rsid w:val="00D4308B"/>
    <w:rsid w:val="00D43390"/>
    <w:rsid w:val="00D445F3"/>
    <w:rsid w:val="00D46F74"/>
    <w:rsid w:val="00D50F55"/>
    <w:rsid w:val="00D51009"/>
    <w:rsid w:val="00D51D22"/>
    <w:rsid w:val="00D53920"/>
    <w:rsid w:val="00D56C81"/>
    <w:rsid w:val="00D60E59"/>
    <w:rsid w:val="00D647C3"/>
    <w:rsid w:val="00D664EC"/>
    <w:rsid w:val="00D721D9"/>
    <w:rsid w:val="00D72E9F"/>
    <w:rsid w:val="00D7591F"/>
    <w:rsid w:val="00D77FFD"/>
    <w:rsid w:val="00D8077D"/>
    <w:rsid w:val="00D84916"/>
    <w:rsid w:val="00D84F7B"/>
    <w:rsid w:val="00D8673D"/>
    <w:rsid w:val="00D86F2D"/>
    <w:rsid w:val="00D923FF"/>
    <w:rsid w:val="00D9322A"/>
    <w:rsid w:val="00D94203"/>
    <w:rsid w:val="00D9633A"/>
    <w:rsid w:val="00D97F28"/>
    <w:rsid w:val="00DA057C"/>
    <w:rsid w:val="00DA2823"/>
    <w:rsid w:val="00DA3A73"/>
    <w:rsid w:val="00DA7DCE"/>
    <w:rsid w:val="00DB500D"/>
    <w:rsid w:val="00DB7F8F"/>
    <w:rsid w:val="00DC43B6"/>
    <w:rsid w:val="00DC4A40"/>
    <w:rsid w:val="00DC69F3"/>
    <w:rsid w:val="00DD3DE0"/>
    <w:rsid w:val="00DD52E1"/>
    <w:rsid w:val="00DD6367"/>
    <w:rsid w:val="00DE1215"/>
    <w:rsid w:val="00DE2B38"/>
    <w:rsid w:val="00DE556D"/>
    <w:rsid w:val="00DF119A"/>
    <w:rsid w:val="00DF2386"/>
    <w:rsid w:val="00DF33AC"/>
    <w:rsid w:val="00DF33C6"/>
    <w:rsid w:val="00DF7383"/>
    <w:rsid w:val="00DF7FE7"/>
    <w:rsid w:val="00E02540"/>
    <w:rsid w:val="00E03293"/>
    <w:rsid w:val="00E036AD"/>
    <w:rsid w:val="00E05E89"/>
    <w:rsid w:val="00E06077"/>
    <w:rsid w:val="00E07ED8"/>
    <w:rsid w:val="00E210E8"/>
    <w:rsid w:val="00E246E8"/>
    <w:rsid w:val="00E26578"/>
    <w:rsid w:val="00E2745A"/>
    <w:rsid w:val="00E2765A"/>
    <w:rsid w:val="00E32F19"/>
    <w:rsid w:val="00E3420D"/>
    <w:rsid w:val="00E34BC5"/>
    <w:rsid w:val="00E414F5"/>
    <w:rsid w:val="00E43553"/>
    <w:rsid w:val="00E444C7"/>
    <w:rsid w:val="00E4515E"/>
    <w:rsid w:val="00E46367"/>
    <w:rsid w:val="00E51CE5"/>
    <w:rsid w:val="00E529C2"/>
    <w:rsid w:val="00E60A6D"/>
    <w:rsid w:val="00E611A7"/>
    <w:rsid w:val="00E62208"/>
    <w:rsid w:val="00E63F0B"/>
    <w:rsid w:val="00E64258"/>
    <w:rsid w:val="00E6570B"/>
    <w:rsid w:val="00E67F42"/>
    <w:rsid w:val="00E725B9"/>
    <w:rsid w:val="00E7386C"/>
    <w:rsid w:val="00E7421D"/>
    <w:rsid w:val="00E75002"/>
    <w:rsid w:val="00E752CF"/>
    <w:rsid w:val="00E75B3E"/>
    <w:rsid w:val="00E7755E"/>
    <w:rsid w:val="00E77F3D"/>
    <w:rsid w:val="00E8513C"/>
    <w:rsid w:val="00E875CD"/>
    <w:rsid w:val="00E91B09"/>
    <w:rsid w:val="00E9307A"/>
    <w:rsid w:val="00E9647F"/>
    <w:rsid w:val="00E964E0"/>
    <w:rsid w:val="00E96D5D"/>
    <w:rsid w:val="00EA3A7F"/>
    <w:rsid w:val="00EA4AE6"/>
    <w:rsid w:val="00EA6BF6"/>
    <w:rsid w:val="00EB0A13"/>
    <w:rsid w:val="00EB2424"/>
    <w:rsid w:val="00EB2D3E"/>
    <w:rsid w:val="00EB4358"/>
    <w:rsid w:val="00EB681E"/>
    <w:rsid w:val="00EC0E5E"/>
    <w:rsid w:val="00EC598F"/>
    <w:rsid w:val="00ED102A"/>
    <w:rsid w:val="00ED3F9B"/>
    <w:rsid w:val="00ED6811"/>
    <w:rsid w:val="00ED6C09"/>
    <w:rsid w:val="00ED7350"/>
    <w:rsid w:val="00EE1976"/>
    <w:rsid w:val="00EE1CA1"/>
    <w:rsid w:val="00EE1DA8"/>
    <w:rsid w:val="00EE3F96"/>
    <w:rsid w:val="00EE6168"/>
    <w:rsid w:val="00EE7DC6"/>
    <w:rsid w:val="00EF00A4"/>
    <w:rsid w:val="00EF1096"/>
    <w:rsid w:val="00F054AB"/>
    <w:rsid w:val="00F078F1"/>
    <w:rsid w:val="00F11B8E"/>
    <w:rsid w:val="00F141F1"/>
    <w:rsid w:val="00F15BDC"/>
    <w:rsid w:val="00F15FD8"/>
    <w:rsid w:val="00F21868"/>
    <w:rsid w:val="00F21922"/>
    <w:rsid w:val="00F2241D"/>
    <w:rsid w:val="00F23FE5"/>
    <w:rsid w:val="00F34F71"/>
    <w:rsid w:val="00F35921"/>
    <w:rsid w:val="00F36407"/>
    <w:rsid w:val="00F372B9"/>
    <w:rsid w:val="00F40029"/>
    <w:rsid w:val="00F41E45"/>
    <w:rsid w:val="00F42558"/>
    <w:rsid w:val="00F44134"/>
    <w:rsid w:val="00F47D74"/>
    <w:rsid w:val="00F518B1"/>
    <w:rsid w:val="00F55A36"/>
    <w:rsid w:val="00F564E7"/>
    <w:rsid w:val="00F636EA"/>
    <w:rsid w:val="00F669DD"/>
    <w:rsid w:val="00F6732B"/>
    <w:rsid w:val="00F7222A"/>
    <w:rsid w:val="00F73E71"/>
    <w:rsid w:val="00F76630"/>
    <w:rsid w:val="00F807D4"/>
    <w:rsid w:val="00F83DF9"/>
    <w:rsid w:val="00F86070"/>
    <w:rsid w:val="00F90892"/>
    <w:rsid w:val="00F96B3D"/>
    <w:rsid w:val="00FA573B"/>
    <w:rsid w:val="00FA74E5"/>
    <w:rsid w:val="00FB06A8"/>
    <w:rsid w:val="00FB4BD8"/>
    <w:rsid w:val="00FB66D7"/>
    <w:rsid w:val="00FC57AB"/>
    <w:rsid w:val="00FC5E60"/>
    <w:rsid w:val="00FC6104"/>
    <w:rsid w:val="00FD5C27"/>
    <w:rsid w:val="00FD74D4"/>
    <w:rsid w:val="00FD76D0"/>
    <w:rsid w:val="00FE209D"/>
    <w:rsid w:val="00FE25C2"/>
    <w:rsid w:val="00FE30AE"/>
    <w:rsid w:val="00FF34E7"/>
    <w:rsid w:val="00FF4914"/>
    <w:rsid w:val="00FF69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7783A17"/>
  <w15:docId w15:val="{48AB5AE4-B2EA-4D76-AFD1-987217C8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lang w:val="es-N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aliases w:val="Rec para"/>
    <w:basedOn w:val="Normal"/>
    <w:link w:val="ListParagraphChar"/>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pPr>
      <w:spacing w:line="240" w:lineRule="auto"/>
    </w:pPr>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table" w:styleId="TableGrid">
    <w:name w:val="Table Grid"/>
    <w:basedOn w:val="TableNormal"/>
    <w:uiPriority w:val="59"/>
    <w:rsid w:val="006A7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75A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664EC"/>
    <w:rPr>
      <w:color w:val="0000FF" w:themeColor="hyperlink"/>
      <w:u w:val="single"/>
    </w:rPr>
  </w:style>
  <w:style w:type="paragraph" w:customStyle="1" w:styleId="ColorfulList-Accent11">
    <w:name w:val="Colorful List - Accent 11"/>
    <w:basedOn w:val="Normal"/>
    <w:uiPriority w:val="34"/>
    <w:qFormat/>
    <w:rsid w:val="00D664EC"/>
    <w:pPr>
      <w:ind w:left="720"/>
      <w:contextualSpacing/>
    </w:pPr>
  </w:style>
  <w:style w:type="character" w:styleId="FollowedHyperlink">
    <w:name w:val="FollowedHyperlink"/>
    <w:basedOn w:val="DefaultParagraphFont"/>
    <w:uiPriority w:val="99"/>
    <w:semiHidden/>
    <w:unhideWhenUsed/>
    <w:rsid w:val="005E61D7"/>
    <w:rPr>
      <w:color w:val="800080" w:themeColor="followedHyperlink"/>
      <w:u w:val="single"/>
    </w:rPr>
  </w:style>
  <w:style w:type="paragraph" w:styleId="BodyText">
    <w:name w:val="Body Text"/>
    <w:basedOn w:val="Normal"/>
    <w:link w:val="BodyTextChar"/>
    <w:uiPriority w:val="1"/>
    <w:qFormat/>
    <w:rsid w:val="00DD52E1"/>
    <w:pPr>
      <w:widowControl w:val="0"/>
      <w:spacing w:after="0" w:line="240" w:lineRule="auto"/>
      <w:ind w:left="102"/>
    </w:pPr>
    <w:rPr>
      <w:rFonts w:cstheme="minorBidi"/>
      <w:lang w:val="en-US"/>
    </w:rPr>
  </w:style>
  <w:style w:type="character" w:customStyle="1" w:styleId="BodyTextChar">
    <w:name w:val="Body Text Char"/>
    <w:basedOn w:val="DefaultParagraphFont"/>
    <w:link w:val="BodyText"/>
    <w:uiPriority w:val="1"/>
    <w:rsid w:val="00DD52E1"/>
    <w:rPr>
      <w:rFonts w:ascii="Calibri" w:eastAsia="Calibri" w:hAnsi="Calibri"/>
      <w:lang w:val="en-US"/>
    </w:rPr>
  </w:style>
  <w:style w:type="character" w:customStyle="1" w:styleId="EnlacedeInternet">
    <w:name w:val="Enlace de Internet"/>
    <w:basedOn w:val="DefaultParagraphFont"/>
    <w:rsid w:val="005F6382"/>
    <w:rPr>
      <w:color w:val="0000FF"/>
      <w:u w:val="single"/>
    </w:rPr>
  </w:style>
  <w:style w:type="character" w:customStyle="1" w:styleId="ListParagraphChar">
    <w:name w:val="List Paragraph Char"/>
    <w:aliases w:val="Rec para Char"/>
    <w:link w:val="ListParagraph"/>
    <w:uiPriority w:val="34"/>
    <w:locked/>
    <w:rsid w:val="00AB1CFD"/>
    <w:rPr>
      <w:rFonts w:ascii="Calibri" w:eastAsia="Calibri" w:hAnsi="Calibri" w:cs="Times New Roman"/>
    </w:rPr>
  </w:style>
  <w:style w:type="character" w:customStyle="1" w:styleId="tlid-translation">
    <w:name w:val="tlid-translation"/>
    <w:basedOn w:val="DefaultParagraphFont"/>
    <w:rsid w:val="00AB1CFD"/>
  </w:style>
  <w:style w:type="paragraph" w:styleId="NormalWeb">
    <w:name w:val="Normal (Web)"/>
    <w:basedOn w:val="Normal"/>
    <w:uiPriority w:val="99"/>
    <w:semiHidden/>
    <w:unhideWhenUsed/>
    <w:rsid w:val="00952A63"/>
    <w:pPr>
      <w:spacing w:after="150"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99116">
      <w:bodyDiv w:val="1"/>
      <w:marLeft w:val="0"/>
      <w:marRight w:val="0"/>
      <w:marTop w:val="0"/>
      <w:marBottom w:val="0"/>
      <w:divBdr>
        <w:top w:val="none" w:sz="0" w:space="0" w:color="auto"/>
        <w:left w:val="none" w:sz="0" w:space="0" w:color="auto"/>
        <w:bottom w:val="none" w:sz="0" w:space="0" w:color="auto"/>
        <w:right w:val="none" w:sz="0" w:space="0" w:color="auto"/>
      </w:divBdr>
    </w:div>
    <w:div w:id="193464275">
      <w:bodyDiv w:val="1"/>
      <w:marLeft w:val="0"/>
      <w:marRight w:val="0"/>
      <w:marTop w:val="0"/>
      <w:marBottom w:val="0"/>
      <w:divBdr>
        <w:top w:val="none" w:sz="0" w:space="0" w:color="auto"/>
        <w:left w:val="none" w:sz="0" w:space="0" w:color="auto"/>
        <w:bottom w:val="none" w:sz="0" w:space="0" w:color="auto"/>
        <w:right w:val="none" w:sz="0" w:space="0" w:color="auto"/>
      </w:divBdr>
    </w:div>
    <w:div w:id="238683783">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10328865">
      <w:bodyDiv w:val="1"/>
      <w:marLeft w:val="0"/>
      <w:marRight w:val="0"/>
      <w:marTop w:val="0"/>
      <w:marBottom w:val="0"/>
      <w:divBdr>
        <w:top w:val="none" w:sz="0" w:space="0" w:color="auto"/>
        <w:left w:val="none" w:sz="0" w:space="0" w:color="auto"/>
        <w:bottom w:val="none" w:sz="0" w:space="0" w:color="auto"/>
        <w:right w:val="none" w:sz="0" w:space="0" w:color="auto"/>
      </w:divBdr>
    </w:div>
    <w:div w:id="322508477">
      <w:bodyDiv w:val="1"/>
      <w:marLeft w:val="0"/>
      <w:marRight w:val="0"/>
      <w:marTop w:val="0"/>
      <w:marBottom w:val="0"/>
      <w:divBdr>
        <w:top w:val="none" w:sz="0" w:space="0" w:color="auto"/>
        <w:left w:val="none" w:sz="0" w:space="0" w:color="auto"/>
        <w:bottom w:val="none" w:sz="0" w:space="0" w:color="auto"/>
        <w:right w:val="none" w:sz="0" w:space="0" w:color="auto"/>
      </w:divBdr>
    </w:div>
    <w:div w:id="359748395">
      <w:bodyDiv w:val="1"/>
      <w:marLeft w:val="0"/>
      <w:marRight w:val="0"/>
      <w:marTop w:val="0"/>
      <w:marBottom w:val="0"/>
      <w:divBdr>
        <w:top w:val="none" w:sz="0" w:space="0" w:color="auto"/>
        <w:left w:val="none" w:sz="0" w:space="0" w:color="auto"/>
        <w:bottom w:val="none" w:sz="0" w:space="0" w:color="auto"/>
        <w:right w:val="none" w:sz="0" w:space="0" w:color="auto"/>
      </w:divBdr>
    </w:div>
    <w:div w:id="524440105">
      <w:bodyDiv w:val="1"/>
      <w:marLeft w:val="0"/>
      <w:marRight w:val="0"/>
      <w:marTop w:val="0"/>
      <w:marBottom w:val="0"/>
      <w:divBdr>
        <w:top w:val="none" w:sz="0" w:space="0" w:color="auto"/>
        <w:left w:val="none" w:sz="0" w:space="0" w:color="auto"/>
        <w:bottom w:val="none" w:sz="0" w:space="0" w:color="auto"/>
        <w:right w:val="none" w:sz="0" w:space="0" w:color="auto"/>
      </w:divBdr>
    </w:div>
    <w:div w:id="530187346">
      <w:bodyDiv w:val="1"/>
      <w:marLeft w:val="0"/>
      <w:marRight w:val="0"/>
      <w:marTop w:val="0"/>
      <w:marBottom w:val="0"/>
      <w:divBdr>
        <w:top w:val="none" w:sz="0" w:space="0" w:color="auto"/>
        <w:left w:val="none" w:sz="0" w:space="0" w:color="auto"/>
        <w:bottom w:val="none" w:sz="0" w:space="0" w:color="auto"/>
        <w:right w:val="none" w:sz="0" w:space="0" w:color="auto"/>
      </w:divBdr>
    </w:div>
    <w:div w:id="552930700">
      <w:bodyDiv w:val="1"/>
      <w:marLeft w:val="0"/>
      <w:marRight w:val="0"/>
      <w:marTop w:val="0"/>
      <w:marBottom w:val="0"/>
      <w:divBdr>
        <w:top w:val="none" w:sz="0" w:space="0" w:color="auto"/>
        <w:left w:val="none" w:sz="0" w:space="0" w:color="auto"/>
        <w:bottom w:val="none" w:sz="0" w:space="0" w:color="auto"/>
        <w:right w:val="none" w:sz="0" w:space="0" w:color="auto"/>
      </w:divBdr>
    </w:div>
    <w:div w:id="590092860">
      <w:bodyDiv w:val="1"/>
      <w:marLeft w:val="0"/>
      <w:marRight w:val="0"/>
      <w:marTop w:val="0"/>
      <w:marBottom w:val="0"/>
      <w:divBdr>
        <w:top w:val="none" w:sz="0" w:space="0" w:color="auto"/>
        <w:left w:val="none" w:sz="0" w:space="0" w:color="auto"/>
        <w:bottom w:val="none" w:sz="0" w:space="0" w:color="auto"/>
        <w:right w:val="none" w:sz="0" w:space="0" w:color="auto"/>
      </w:divBdr>
      <w:divsChild>
        <w:div w:id="50813262">
          <w:marLeft w:val="0"/>
          <w:marRight w:val="0"/>
          <w:marTop w:val="0"/>
          <w:marBottom w:val="225"/>
          <w:divBdr>
            <w:top w:val="none" w:sz="0" w:space="0" w:color="auto"/>
            <w:left w:val="none" w:sz="0" w:space="0" w:color="auto"/>
            <w:bottom w:val="none" w:sz="0" w:space="0" w:color="auto"/>
            <w:right w:val="none" w:sz="0" w:space="0" w:color="auto"/>
          </w:divBdr>
          <w:divsChild>
            <w:div w:id="1874150021">
              <w:marLeft w:val="0"/>
              <w:marRight w:val="0"/>
              <w:marTop w:val="300"/>
              <w:marBottom w:val="0"/>
              <w:divBdr>
                <w:top w:val="none" w:sz="0" w:space="0" w:color="auto"/>
                <w:left w:val="none" w:sz="0" w:space="0" w:color="auto"/>
                <w:bottom w:val="none" w:sz="0" w:space="0" w:color="auto"/>
                <w:right w:val="none" w:sz="0" w:space="0" w:color="auto"/>
              </w:divBdr>
              <w:divsChild>
                <w:div w:id="1654676146">
                  <w:marLeft w:val="0"/>
                  <w:marRight w:val="0"/>
                  <w:marTop w:val="0"/>
                  <w:marBottom w:val="0"/>
                  <w:divBdr>
                    <w:top w:val="none" w:sz="0" w:space="0" w:color="auto"/>
                    <w:left w:val="none" w:sz="0" w:space="0" w:color="auto"/>
                    <w:bottom w:val="none" w:sz="0" w:space="0" w:color="auto"/>
                    <w:right w:val="none" w:sz="0" w:space="0" w:color="auto"/>
                  </w:divBdr>
                  <w:divsChild>
                    <w:div w:id="2001542355">
                      <w:marLeft w:val="0"/>
                      <w:marRight w:val="0"/>
                      <w:marTop w:val="0"/>
                      <w:marBottom w:val="0"/>
                      <w:divBdr>
                        <w:top w:val="none" w:sz="0" w:space="0" w:color="auto"/>
                        <w:left w:val="none" w:sz="0" w:space="0" w:color="auto"/>
                        <w:bottom w:val="none" w:sz="0" w:space="0" w:color="auto"/>
                        <w:right w:val="none" w:sz="0" w:space="0" w:color="auto"/>
                      </w:divBdr>
                      <w:divsChild>
                        <w:div w:id="1885170859">
                          <w:marLeft w:val="0"/>
                          <w:marRight w:val="0"/>
                          <w:marTop w:val="0"/>
                          <w:marBottom w:val="0"/>
                          <w:divBdr>
                            <w:top w:val="none" w:sz="0" w:space="0" w:color="auto"/>
                            <w:left w:val="none" w:sz="0" w:space="0" w:color="auto"/>
                            <w:bottom w:val="none" w:sz="0" w:space="0" w:color="auto"/>
                            <w:right w:val="none" w:sz="0" w:space="0" w:color="auto"/>
                          </w:divBdr>
                          <w:divsChild>
                            <w:div w:id="1398243193">
                              <w:marLeft w:val="0"/>
                              <w:marRight w:val="0"/>
                              <w:marTop w:val="0"/>
                              <w:marBottom w:val="0"/>
                              <w:divBdr>
                                <w:top w:val="none" w:sz="0" w:space="0" w:color="auto"/>
                                <w:left w:val="none" w:sz="0" w:space="0" w:color="auto"/>
                                <w:bottom w:val="none" w:sz="0" w:space="0" w:color="auto"/>
                                <w:right w:val="none" w:sz="0" w:space="0" w:color="auto"/>
                              </w:divBdr>
                              <w:divsChild>
                                <w:div w:id="1504664254">
                                  <w:marLeft w:val="0"/>
                                  <w:marRight w:val="0"/>
                                  <w:marTop w:val="0"/>
                                  <w:marBottom w:val="0"/>
                                  <w:divBdr>
                                    <w:top w:val="none" w:sz="0" w:space="0" w:color="auto"/>
                                    <w:left w:val="none" w:sz="0" w:space="0" w:color="auto"/>
                                    <w:bottom w:val="none" w:sz="0" w:space="0" w:color="auto"/>
                                    <w:right w:val="none" w:sz="0" w:space="0" w:color="auto"/>
                                  </w:divBdr>
                                  <w:divsChild>
                                    <w:div w:id="32274539">
                                      <w:marLeft w:val="0"/>
                                      <w:marRight w:val="0"/>
                                      <w:marTop w:val="0"/>
                                      <w:marBottom w:val="0"/>
                                      <w:divBdr>
                                        <w:top w:val="none" w:sz="0" w:space="0" w:color="auto"/>
                                        <w:left w:val="none" w:sz="0" w:space="0" w:color="auto"/>
                                        <w:bottom w:val="none" w:sz="0" w:space="0" w:color="auto"/>
                                        <w:right w:val="none" w:sz="0" w:space="0" w:color="auto"/>
                                      </w:divBdr>
                                      <w:divsChild>
                                        <w:div w:id="1520697437">
                                          <w:marLeft w:val="0"/>
                                          <w:marRight w:val="0"/>
                                          <w:marTop w:val="0"/>
                                          <w:marBottom w:val="0"/>
                                          <w:divBdr>
                                            <w:top w:val="none" w:sz="0" w:space="0" w:color="auto"/>
                                            <w:left w:val="none" w:sz="0" w:space="0" w:color="auto"/>
                                            <w:bottom w:val="none" w:sz="0" w:space="0" w:color="auto"/>
                                            <w:right w:val="none" w:sz="0" w:space="0" w:color="auto"/>
                                          </w:divBdr>
                                          <w:divsChild>
                                            <w:div w:id="75636540">
                                              <w:marLeft w:val="0"/>
                                              <w:marRight w:val="0"/>
                                              <w:marTop w:val="0"/>
                                              <w:marBottom w:val="0"/>
                                              <w:divBdr>
                                                <w:top w:val="none" w:sz="0" w:space="0" w:color="auto"/>
                                                <w:left w:val="none" w:sz="0" w:space="0" w:color="auto"/>
                                                <w:bottom w:val="none" w:sz="0" w:space="0" w:color="auto"/>
                                                <w:right w:val="none" w:sz="0" w:space="0" w:color="auto"/>
                                              </w:divBdr>
                                              <w:divsChild>
                                                <w:div w:id="2100253038">
                                                  <w:marLeft w:val="0"/>
                                                  <w:marRight w:val="0"/>
                                                  <w:marTop w:val="0"/>
                                                  <w:marBottom w:val="0"/>
                                                  <w:divBdr>
                                                    <w:top w:val="none" w:sz="0" w:space="0" w:color="auto"/>
                                                    <w:left w:val="none" w:sz="0" w:space="0" w:color="auto"/>
                                                    <w:bottom w:val="none" w:sz="0" w:space="0" w:color="auto"/>
                                                    <w:right w:val="none" w:sz="0" w:space="0" w:color="auto"/>
                                                  </w:divBdr>
                                                  <w:divsChild>
                                                    <w:div w:id="1522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6535940">
      <w:bodyDiv w:val="1"/>
      <w:marLeft w:val="0"/>
      <w:marRight w:val="0"/>
      <w:marTop w:val="0"/>
      <w:marBottom w:val="0"/>
      <w:divBdr>
        <w:top w:val="none" w:sz="0" w:space="0" w:color="auto"/>
        <w:left w:val="none" w:sz="0" w:space="0" w:color="auto"/>
        <w:bottom w:val="none" w:sz="0" w:space="0" w:color="auto"/>
        <w:right w:val="none" w:sz="0" w:space="0" w:color="auto"/>
      </w:divBdr>
    </w:div>
    <w:div w:id="1114709508">
      <w:bodyDiv w:val="1"/>
      <w:marLeft w:val="0"/>
      <w:marRight w:val="0"/>
      <w:marTop w:val="0"/>
      <w:marBottom w:val="0"/>
      <w:divBdr>
        <w:top w:val="none" w:sz="0" w:space="0" w:color="auto"/>
        <w:left w:val="none" w:sz="0" w:space="0" w:color="auto"/>
        <w:bottom w:val="none" w:sz="0" w:space="0" w:color="auto"/>
        <w:right w:val="none" w:sz="0" w:space="0" w:color="auto"/>
      </w:divBdr>
    </w:div>
    <w:div w:id="1397514368">
      <w:bodyDiv w:val="1"/>
      <w:marLeft w:val="0"/>
      <w:marRight w:val="0"/>
      <w:marTop w:val="0"/>
      <w:marBottom w:val="0"/>
      <w:divBdr>
        <w:top w:val="none" w:sz="0" w:space="0" w:color="auto"/>
        <w:left w:val="none" w:sz="0" w:space="0" w:color="auto"/>
        <w:bottom w:val="none" w:sz="0" w:space="0" w:color="auto"/>
        <w:right w:val="none" w:sz="0" w:space="0" w:color="auto"/>
      </w:divBdr>
    </w:div>
    <w:div w:id="1736465326">
      <w:bodyDiv w:val="1"/>
      <w:marLeft w:val="0"/>
      <w:marRight w:val="0"/>
      <w:marTop w:val="0"/>
      <w:marBottom w:val="0"/>
      <w:divBdr>
        <w:top w:val="none" w:sz="0" w:space="0" w:color="auto"/>
        <w:left w:val="none" w:sz="0" w:space="0" w:color="auto"/>
        <w:bottom w:val="none" w:sz="0" w:space="0" w:color="auto"/>
        <w:right w:val="none" w:sz="0" w:space="0" w:color="auto"/>
      </w:divBdr>
    </w:div>
    <w:div w:id="1752237166">
      <w:bodyDiv w:val="1"/>
      <w:marLeft w:val="0"/>
      <w:marRight w:val="0"/>
      <w:marTop w:val="0"/>
      <w:marBottom w:val="0"/>
      <w:divBdr>
        <w:top w:val="none" w:sz="0" w:space="0" w:color="auto"/>
        <w:left w:val="none" w:sz="0" w:space="0" w:color="auto"/>
        <w:bottom w:val="none" w:sz="0" w:space="0" w:color="auto"/>
        <w:right w:val="none" w:sz="0" w:space="0" w:color="auto"/>
      </w:divBdr>
      <w:divsChild>
        <w:div w:id="257369307">
          <w:marLeft w:val="0"/>
          <w:marRight w:val="0"/>
          <w:marTop w:val="0"/>
          <w:marBottom w:val="225"/>
          <w:divBdr>
            <w:top w:val="none" w:sz="0" w:space="0" w:color="auto"/>
            <w:left w:val="none" w:sz="0" w:space="0" w:color="auto"/>
            <w:bottom w:val="none" w:sz="0" w:space="0" w:color="auto"/>
            <w:right w:val="none" w:sz="0" w:space="0" w:color="auto"/>
          </w:divBdr>
          <w:divsChild>
            <w:div w:id="877015484">
              <w:marLeft w:val="0"/>
              <w:marRight w:val="0"/>
              <w:marTop w:val="300"/>
              <w:marBottom w:val="0"/>
              <w:divBdr>
                <w:top w:val="none" w:sz="0" w:space="0" w:color="auto"/>
                <w:left w:val="none" w:sz="0" w:space="0" w:color="auto"/>
                <w:bottom w:val="none" w:sz="0" w:space="0" w:color="auto"/>
                <w:right w:val="none" w:sz="0" w:space="0" w:color="auto"/>
              </w:divBdr>
              <w:divsChild>
                <w:div w:id="1434937576">
                  <w:marLeft w:val="0"/>
                  <w:marRight w:val="0"/>
                  <w:marTop w:val="0"/>
                  <w:marBottom w:val="0"/>
                  <w:divBdr>
                    <w:top w:val="none" w:sz="0" w:space="0" w:color="auto"/>
                    <w:left w:val="none" w:sz="0" w:space="0" w:color="auto"/>
                    <w:bottom w:val="none" w:sz="0" w:space="0" w:color="auto"/>
                    <w:right w:val="none" w:sz="0" w:space="0" w:color="auto"/>
                  </w:divBdr>
                  <w:divsChild>
                    <w:div w:id="347491546">
                      <w:marLeft w:val="0"/>
                      <w:marRight w:val="0"/>
                      <w:marTop w:val="0"/>
                      <w:marBottom w:val="0"/>
                      <w:divBdr>
                        <w:top w:val="none" w:sz="0" w:space="0" w:color="auto"/>
                        <w:left w:val="none" w:sz="0" w:space="0" w:color="auto"/>
                        <w:bottom w:val="none" w:sz="0" w:space="0" w:color="auto"/>
                        <w:right w:val="none" w:sz="0" w:space="0" w:color="auto"/>
                      </w:divBdr>
                      <w:divsChild>
                        <w:div w:id="909077068">
                          <w:marLeft w:val="0"/>
                          <w:marRight w:val="0"/>
                          <w:marTop w:val="0"/>
                          <w:marBottom w:val="0"/>
                          <w:divBdr>
                            <w:top w:val="none" w:sz="0" w:space="0" w:color="auto"/>
                            <w:left w:val="none" w:sz="0" w:space="0" w:color="auto"/>
                            <w:bottom w:val="none" w:sz="0" w:space="0" w:color="auto"/>
                            <w:right w:val="none" w:sz="0" w:space="0" w:color="auto"/>
                          </w:divBdr>
                          <w:divsChild>
                            <w:div w:id="205338819">
                              <w:marLeft w:val="0"/>
                              <w:marRight w:val="0"/>
                              <w:marTop w:val="0"/>
                              <w:marBottom w:val="0"/>
                              <w:divBdr>
                                <w:top w:val="none" w:sz="0" w:space="0" w:color="auto"/>
                                <w:left w:val="none" w:sz="0" w:space="0" w:color="auto"/>
                                <w:bottom w:val="none" w:sz="0" w:space="0" w:color="auto"/>
                                <w:right w:val="none" w:sz="0" w:space="0" w:color="auto"/>
                              </w:divBdr>
                              <w:divsChild>
                                <w:div w:id="238945374">
                                  <w:marLeft w:val="0"/>
                                  <w:marRight w:val="0"/>
                                  <w:marTop w:val="0"/>
                                  <w:marBottom w:val="0"/>
                                  <w:divBdr>
                                    <w:top w:val="none" w:sz="0" w:space="0" w:color="auto"/>
                                    <w:left w:val="none" w:sz="0" w:space="0" w:color="auto"/>
                                    <w:bottom w:val="none" w:sz="0" w:space="0" w:color="auto"/>
                                    <w:right w:val="none" w:sz="0" w:space="0" w:color="auto"/>
                                  </w:divBdr>
                                  <w:divsChild>
                                    <w:div w:id="401873308">
                                      <w:marLeft w:val="0"/>
                                      <w:marRight w:val="0"/>
                                      <w:marTop w:val="0"/>
                                      <w:marBottom w:val="0"/>
                                      <w:divBdr>
                                        <w:top w:val="none" w:sz="0" w:space="0" w:color="auto"/>
                                        <w:left w:val="none" w:sz="0" w:space="0" w:color="auto"/>
                                        <w:bottom w:val="none" w:sz="0" w:space="0" w:color="auto"/>
                                        <w:right w:val="none" w:sz="0" w:space="0" w:color="auto"/>
                                      </w:divBdr>
                                      <w:divsChild>
                                        <w:div w:id="1320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729314">
      <w:bodyDiv w:val="1"/>
      <w:marLeft w:val="0"/>
      <w:marRight w:val="0"/>
      <w:marTop w:val="0"/>
      <w:marBottom w:val="0"/>
      <w:divBdr>
        <w:top w:val="none" w:sz="0" w:space="0" w:color="auto"/>
        <w:left w:val="none" w:sz="0" w:space="0" w:color="auto"/>
        <w:bottom w:val="none" w:sz="0" w:space="0" w:color="auto"/>
        <w:right w:val="none" w:sz="0" w:space="0" w:color="auto"/>
      </w:divBdr>
    </w:div>
    <w:div w:id="1886285230">
      <w:bodyDiv w:val="1"/>
      <w:marLeft w:val="0"/>
      <w:marRight w:val="0"/>
      <w:marTop w:val="0"/>
      <w:marBottom w:val="0"/>
      <w:divBdr>
        <w:top w:val="none" w:sz="0" w:space="0" w:color="auto"/>
        <w:left w:val="none" w:sz="0" w:space="0" w:color="auto"/>
        <w:bottom w:val="none" w:sz="0" w:space="0" w:color="auto"/>
        <w:right w:val="none" w:sz="0" w:space="0" w:color="auto"/>
      </w:divBdr>
    </w:div>
    <w:div w:id="208085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DF047-9293-4C04-9617-1E829B8A3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barzdo@ramsar.org</Manager>
  <Company>Ramsar Secretariat</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Ramsar\BarzdoJ</dc:creator>
  <cp:lastModifiedBy>JENNINGS Edmund</cp:lastModifiedBy>
  <cp:revision>2</cp:revision>
  <cp:lastPrinted>2018-04-25T07:07:00Z</cp:lastPrinted>
  <dcterms:created xsi:type="dcterms:W3CDTF">2020-06-23T07:51:00Z</dcterms:created>
  <dcterms:modified xsi:type="dcterms:W3CDTF">2020-06-23T07:51:00Z</dcterms:modified>
</cp:coreProperties>
</file>