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00C5" w14:textId="7C6E640C" w:rsidR="00E319A5" w:rsidRPr="008C115E" w:rsidRDefault="008C115E"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CONVENTION SUR LES ZONES HUMIDES</w:t>
      </w:r>
    </w:p>
    <w:p w14:paraId="12CE0BAE" w14:textId="77777777" w:rsidR="008236C4" w:rsidRDefault="008236C4"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58</w:t>
      </w:r>
      <w:r>
        <w:rPr>
          <w:bCs/>
          <w:vertAlign w:val="superscript"/>
          <w:lang w:val="fr-CH"/>
        </w:rPr>
        <w:t xml:space="preserve">e </w:t>
      </w:r>
      <w:r>
        <w:rPr>
          <w:bCs/>
          <w:lang w:val="fr-CH"/>
        </w:rPr>
        <w:t>Réunion du Comité permanent</w:t>
      </w:r>
    </w:p>
    <w:p w14:paraId="249E4A21" w14:textId="59DA3C66" w:rsidR="00E319A5" w:rsidRPr="008C115E" w:rsidRDefault="00FE1697"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Séances</w:t>
      </w:r>
      <w:r w:rsidR="008236C4">
        <w:rPr>
          <w:bCs/>
          <w:lang w:val="fr-CH"/>
        </w:rPr>
        <w:t xml:space="preserve"> interse</w:t>
      </w:r>
      <w:r w:rsidR="008C115E">
        <w:rPr>
          <w:bCs/>
          <w:lang w:val="fr-CH"/>
        </w:rPr>
        <w:t>ssion</w:t>
      </w:r>
      <w:r w:rsidR="00F1255B">
        <w:rPr>
          <w:bCs/>
          <w:lang w:val="fr-CH"/>
        </w:rPr>
        <w:t>s</w:t>
      </w:r>
      <w:r w:rsidR="008C115E">
        <w:rPr>
          <w:bCs/>
          <w:lang w:val="fr-CH"/>
        </w:rPr>
        <w:t xml:space="preserve"> </w:t>
      </w:r>
      <w:r w:rsidR="008236C4">
        <w:rPr>
          <w:bCs/>
          <w:lang w:val="fr-CH"/>
        </w:rPr>
        <w:t>virtuelle</w:t>
      </w:r>
      <w:r>
        <w:rPr>
          <w:bCs/>
          <w:lang w:val="fr-CH"/>
        </w:rPr>
        <w:t>s</w:t>
      </w:r>
      <w:r w:rsidR="008236C4">
        <w:rPr>
          <w:bCs/>
          <w:lang w:val="fr-CH"/>
        </w:rPr>
        <w:t xml:space="preserve"> </w:t>
      </w:r>
    </w:p>
    <w:p w14:paraId="2CC68E91" w14:textId="65423321" w:rsidR="000D0D3E" w:rsidRPr="008C115E" w:rsidRDefault="00282418" w:rsidP="009343F2">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lang w:val="fr-CH"/>
        </w:rPr>
      </w:pPr>
      <w:r w:rsidRPr="008C115E">
        <w:rPr>
          <w:bCs/>
          <w:lang w:val="fr-CH"/>
        </w:rPr>
        <w:t>2</w:t>
      </w:r>
      <w:r w:rsidR="00FE30AE" w:rsidRPr="008C115E">
        <w:rPr>
          <w:bCs/>
          <w:lang w:val="fr-CH"/>
        </w:rPr>
        <w:t>3</w:t>
      </w:r>
      <w:r w:rsidRPr="008C115E">
        <w:rPr>
          <w:bCs/>
          <w:lang w:val="fr-CH"/>
        </w:rPr>
        <w:t xml:space="preserve"> </w:t>
      </w:r>
      <w:r w:rsidR="00FE1697">
        <w:rPr>
          <w:bCs/>
          <w:lang w:val="fr-CH"/>
        </w:rPr>
        <w:t>et</w:t>
      </w:r>
      <w:r w:rsidRPr="008C115E">
        <w:rPr>
          <w:bCs/>
          <w:lang w:val="fr-CH"/>
        </w:rPr>
        <w:t xml:space="preserve"> 2</w:t>
      </w:r>
      <w:r w:rsidR="00FE30AE" w:rsidRPr="008C115E">
        <w:rPr>
          <w:bCs/>
          <w:lang w:val="fr-CH"/>
        </w:rPr>
        <w:t>5</w:t>
      </w:r>
      <w:r w:rsidRPr="008C115E">
        <w:rPr>
          <w:bCs/>
          <w:lang w:val="fr-CH"/>
        </w:rPr>
        <w:t xml:space="preserve"> </w:t>
      </w:r>
      <w:r w:rsidR="008C115E">
        <w:rPr>
          <w:bCs/>
          <w:lang w:val="fr-CH"/>
        </w:rPr>
        <w:t>juin</w:t>
      </w:r>
      <w:r w:rsidRPr="008C115E">
        <w:rPr>
          <w:bCs/>
          <w:lang w:val="fr-CH"/>
        </w:rPr>
        <w:t xml:space="preserve"> 20</w:t>
      </w:r>
      <w:r w:rsidR="00FE30AE" w:rsidRPr="008C115E">
        <w:rPr>
          <w:bCs/>
          <w:lang w:val="fr-CH"/>
        </w:rPr>
        <w:t>20</w:t>
      </w:r>
    </w:p>
    <w:p w14:paraId="106E35B1" w14:textId="77777777" w:rsidR="00C04170" w:rsidRPr="00653D89" w:rsidRDefault="00C04170" w:rsidP="009343F2">
      <w:pPr>
        <w:spacing w:after="0" w:line="240" w:lineRule="auto"/>
        <w:jc w:val="center"/>
        <w:rPr>
          <w:rFonts w:cs="Arial"/>
          <w:b/>
          <w:sz w:val="28"/>
          <w:szCs w:val="28"/>
          <w:lang w:val="fr-FR"/>
        </w:rPr>
      </w:pPr>
    </w:p>
    <w:p w14:paraId="2B4A7189" w14:textId="54FBA89A" w:rsidR="009E3705" w:rsidRPr="008C115E" w:rsidRDefault="00001B66" w:rsidP="00FA1408">
      <w:pPr>
        <w:spacing w:after="0" w:line="240" w:lineRule="auto"/>
        <w:jc w:val="center"/>
        <w:rPr>
          <w:rFonts w:cs="Arial"/>
          <w:b/>
          <w:sz w:val="28"/>
          <w:szCs w:val="28"/>
          <w:lang w:val="fr-CH"/>
        </w:rPr>
      </w:pPr>
      <w:r w:rsidRPr="008C115E">
        <w:rPr>
          <w:rFonts w:cs="Arial"/>
          <w:b/>
          <w:sz w:val="28"/>
          <w:szCs w:val="28"/>
          <w:lang w:val="fr-CH"/>
        </w:rPr>
        <w:t>D</w:t>
      </w:r>
      <w:r w:rsidR="00A0424C" w:rsidRPr="008C115E">
        <w:rPr>
          <w:rFonts w:cs="Arial"/>
          <w:b/>
          <w:sz w:val="28"/>
          <w:szCs w:val="28"/>
          <w:lang w:val="fr-CH"/>
        </w:rPr>
        <w:t>é</w:t>
      </w:r>
      <w:r w:rsidRPr="008C115E">
        <w:rPr>
          <w:rFonts w:cs="Arial"/>
          <w:b/>
          <w:sz w:val="28"/>
          <w:szCs w:val="28"/>
          <w:lang w:val="fr-CH"/>
        </w:rPr>
        <w:t xml:space="preserve">cisions </w:t>
      </w:r>
      <w:r w:rsidR="00A0424C" w:rsidRPr="008C115E">
        <w:rPr>
          <w:rFonts w:cs="Arial"/>
          <w:b/>
          <w:sz w:val="28"/>
          <w:szCs w:val="28"/>
          <w:lang w:val="fr-CH"/>
        </w:rPr>
        <w:t>d</w:t>
      </w:r>
      <w:r w:rsidR="008236C4">
        <w:rPr>
          <w:rFonts w:cs="Arial"/>
          <w:b/>
          <w:sz w:val="28"/>
          <w:szCs w:val="28"/>
          <w:lang w:val="fr-CH"/>
        </w:rPr>
        <w:t>e la 58</w:t>
      </w:r>
      <w:r w:rsidR="008236C4" w:rsidRPr="008236C4">
        <w:rPr>
          <w:rFonts w:cs="Arial"/>
          <w:b/>
          <w:sz w:val="28"/>
          <w:szCs w:val="28"/>
          <w:vertAlign w:val="superscript"/>
          <w:lang w:val="fr-CH"/>
        </w:rPr>
        <w:t>e</w:t>
      </w:r>
      <w:r w:rsidR="008236C4">
        <w:rPr>
          <w:rFonts w:cs="Arial"/>
          <w:b/>
          <w:sz w:val="28"/>
          <w:szCs w:val="28"/>
          <w:lang w:val="fr-CH"/>
        </w:rPr>
        <w:t xml:space="preserve"> </w:t>
      </w:r>
      <w:r w:rsidR="00932D74">
        <w:rPr>
          <w:rFonts w:cs="Arial"/>
          <w:b/>
          <w:sz w:val="28"/>
          <w:szCs w:val="28"/>
          <w:lang w:val="fr-CH"/>
        </w:rPr>
        <w:t>R</w:t>
      </w:r>
      <w:r w:rsidR="002772E4">
        <w:rPr>
          <w:rFonts w:cs="Arial"/>
          <w:b/>
          <w:sz w:val="28"/>
          <w:szCs w:val="28"/>
          <w:lang w:val="fr-CH"/>
        </w:rPr>
        <w:t xml:space="preserve">éunion </w:t>
      </w:r>
      <w:r w:rsidR="00FA1408">
        <w:rPr>
          <w:rFonts w:cs="Arial"/>
          <w:b/>
          <w:sz w:val="28"/>
          <w:szCs w:val="28"/>
          <w:lang w:val="fr-CH"/>
        </w:rPr>
        <w:t xml:space="preserve">du Comité permanent lors </w:t>
      </w:r>
      <w:r w:rsidR="00FE1697">
        <w:rPr>
          <w:rFonts w:cs="Arial"/>
          <w:b/>
          <w:sz w:val="28"/>
          <w:szCs w:val="28"/>
          <w:lang w:val="fr-CH"/>
        </w:rPr>
        <w:t>d</w:t>
      </w:r>
      <w:r w:rsidR="008236C4">
        <w:rPr>
          <w:rFonts w:cs="Arial"/>
          <w:b/>
          <w:sz w:val="28"/>
          <w:szCs w:val="28"/>
          <w:lang w:val="fr-CH"/>
        </w:rPr>
        <w:t>e</w:t>
      </w:r>
      <w:r w:rsidR="00FE1697">
        <w:rPr>
          <w:rFonts w:cs="Arial"/>
          <w:b/>
          <w:sz w:val="28"/>
          <w:szCs w:val="28"/>
          <w:lang w:val="fr-CH"/>
        </w:rPr>
        <w:t xml:space="preserve"> ses séances</w:t>
      </w:r>
      <w:r w:rsidR="00A0424C" w:rsidRPr="008C115E">
        <w:rPr>
          <w:rFonts w:cs="Arial"/>
          <w:b/>
          <w:sz w:val="28"/>
          <w:szCs w:val="28"/>
          <w:lang w:val="fr-CH"/>
        </w:rPr>
        <w:t xml:space="preserve"> intersessions virtuelle</w:t>
      </w:r>
      <w:r w:rsidR="00FE1697">
        <w:rPr>
          <w:rFonts w:cs="Arial"/>
          <w:b/>
          <w:sz w:val="28"/>
          <w:szCs w:val="28"/>
          <w:lang w:val="fr-CH"/>
        </w:rPr>
        <w:t>s</w:t>
      </w:r>
      <w:r w:rsidR="008236C4">
        <w:rPr>
          <w:rFonts w:cs="Arial"/>
          <w:b/>
          <w:sz w:val="28"/>
          <w:szCs w:val="28"/>
          <w:lang w:val="fr-CH"/>
        </w:rPr>
        <w:t xml:space="preserve"> du 23 </w:t>
      </w:r>
      <w:r w:rsidR="00FE1697">
        <w:rPr>
          <w:rFonts w:cs="Arial"/>
          <w:b/>
          <w:sz w:val="28"/>
          <w:szCs w:val="28"/>
          <w:lang w:val="fr-CH"/>
        </w:rPr>
        <w:t xml:space="preserve">et du 25 </w:t>
      </w:r>
      <w:r w:rsidR="008236C4">
        <w:rPr>
          <w:rFonts w:cs="Arial"/>
          <w:b/>
          <w:sz w:val="28"/>
          <w:szCs w:val="28"/>
          <w:lang w:val="fr-CH"/>
        </w:rPr>
        <w:t>juin 2020</w:t>
      </w:r>
    </w:p>
    <w:p w14:paraId="62692807" w14:textId="77777777" w:rsidR="00001B66" w:rsidRPr="008C115E" w:rsidRDefault="00001B66" w:rsidP="00001B66">
      <w:pPr>
        <w:spacing w:after="0" w:line="240" w:lineRule="auto"/>
        <w:jc w:val="center"/>
        <w:rPr>
          <w:rFonts w:asciiTheme="minorHAnsi" w:hAnsiTheme="minorHAnsi" w:cstheme="minorHAnsi"/>
          <w:b/>
          <w:lang w:val="fr-CH"/>
        </w:rPr>
      </w:pPr>
    </w:p>
    <w:p w14:paraId="04429C42" w14:textId="06C7BAA2" w:rsidR="009E3705" w:rsidRPr="008C115E" w:rsidRDefault="008C115E" w:rsidP="00E319A5">
      <w:pPr>
        <w:spacing w:after="0" w:line="240" w:lineRule="auto"/>
        <w:rPr>
          <w:rFonts w:asciiTheme="minorHAnsi" w:hAnsiTheme="minorHAnsi" w:cstheme="minorHAnsi"/>
          <w:b/>
          <w:lang w:val="fr-CH"/>
        </w:rPr>
      </w:pPr>
      <w:r>
        <w:rPr>
          <w:rFonts w:asciiTheme="minorHAnsi" w:hAnsiTheme="minorHAnsi" w:cstheme="minorHAnsi"/>
          <w:b/>
          <w:lang w:val="fr-CH"/>
        </w:rPr>
        <w:t>Mardi</w:t>
      </w:r>
      <w:r w:rsidR="00E6570B" w:rsidRPr="008C115E">
        <w:rPr>
          <w:rFonts w:asciiTheme="minorHAnsi" w:hAnsiTheme="minorHAnsi" w:cstheme="minorHAnsi"/>
          <w:b/>
          <w:lang w:val="fr-CH"/>
        </w:rPr>
        <w:t xml:space="preserve"> </w:t>
      </w:r>
      <w:r w:rsidR="009E3705" w:rsidRPr="008C115E">
        <w:rPr>
          <w:rFonts w:asciiTheme="minorHAnsi" w:hAnsiTheme="minorHAnsi" w:cstheme="minorHAnsi"/>
          <w:b/>
          <w:lang w:val="fr-CH"/>
        </w:rPr>
        <w:t xml:space="preserve">23 </w:t>
      </w:r>
      <w:r>
        <w:rPr>
          <w:rFonts w:asciiTheme="minorHAnsi" w:hAnsiTheme="minorHAnsi" w:cstheme="minorHAnsi"/>
          <w:b/>
          <w:lang w:val="fr-CH"/>
        </w:rPr>
        <w:t>juin</w:t>
      </w:r>
      <w:r w:rsidR="009E3705" w:rsidRPr="008C115E">
        <w:rPr>
          <w:rFonts w:asciiTheme="minorHAnsi" w:hAnsiTheme="minorHAnsi" w:cstheme="minorHAnsi"/>
          <w:b/>
          <w:lang w:val="fr-CH"/>
        </w:rPr>
        <w:t xml:space="preserve"> </w:t>
      </w:r>
    </w:p>
    <w:p w14:paraId="38DE0149" w14:textId="10C95FC4" w:rsidR="00160371" w:rsidRPr="008C115E" w:rsidRDefault="00160371" w:rsidP="00E319A5">
      <w:pPr>
        <w:spacing w:after="0" w:line="240" w:lineRule="auto"/>
        <w:rPr>
          <w:rFonts w:asciiTheme="minorHAnsi" w:hAnsiTheme="minorHAnsi" w:cstheme="minorHAnsi"/>
          <w:b/>
          <w:lang w:val="fr-CH"/>
        </w:rPr>
      </w:pPr>
    </w:p>
    <w:p w14:paraId="2BBA14B7" w14:textId="0AD50D99" w:rsidR="00E6570B" w:rsidRPr="008C115E" w:rsidRDefault="00E6570B" w:rsidP="00176D2A">
      <w:pPr>
        <w:spacing w:after="0" w:line="240" w:lineRule="auto"/>
        <w:ind w:left="1701" w:hanging="1701"/>
        <w:contextualSpacing/>
        <w:rPr>
          <w:b/>
          <w:bCs/>
          <w:lang w:val="fr-CH"/>
        </w:rPr>
      </w:pPr>
      <w:r w:rsidRPr="008C115E">
        <w:rPr>
          <w:b/>
          <w:bCs/>
          <w:lang w:val="fr-CH"/>
        </w:rPr>
        <w:t>1</w:t>
      </w:r>
      <w:r w:rsidR="00E319A5" w:rsidRPr="008C115E">
        <w:rPr>
          <w:b/>
          <w:bCs/>
          <w:lang w:val="fr-CH"/>
        </w:rPr>
        <w:t>3</w:t>
      </w:r>
      <w:r w:rsidRPr="008C115E">
        <w:rPr>
          <w:b/>
          <w:bCs/>
          <w:lang w:val="fr-CH"/>
        </w:rPr>
        <w:t xml:space="preserve">:00 – </w:t>
      </w:r>
      <w:r w:rsidR="00E319A5" w:rsidRPr="008C115E">
        <w:rPr>
          <w:b/>
          <w:bCs/>
          <w:lang w:val="fr-CH"/>
        </w:rPr>
        <w:t>16</w:t>
      </w:r>
      <w:r w:rsidR="008C115E">
        <w:rPr>
          <w:b/>
          <w:bCs/>
          <w:lang w:val="fr-CH"/>
        </w:rPr>
        <w:t xml:space="preserve">:00 </w:t>
      </w:r>
      <w:r w:rsidR="008C115E">
        <w:rPr>
          <w:b/>
          <w:bCs/>
          <w:lang w:val="fr-CH"/>
        </w:rPr>
        <w:tab/>
      </w:r>
      <w:r w:rsidR="00FE1697">
        <w:rPr>
          <w:b/>
          <w:bCs/>
          <w:lang w:val="fr-CH"/>
        </w:rPr>
        <w:t>Séance</w:t>
      </w:r>
      <w:r w:rsidR="008C115E">
        <w:rPr>
          <w:b/>
          <w:bCs/>
          <w:lang w:val="fr-CH"/>
        </w:rPr>
        <w:t xml:space="preserve"> intersessions virtuelle plénière du Comité permanent </w:t>
      </w:r>
    </w:p>
    <w:p w14:paraId="0398425A" w14:textId="77777777" w:rsidR="009343F2" w:rsidRPr="008C115E" w:rsidRDefault="009343F2" w:rsidP="00E319A5">
      <w:pPr>
        <w:pStyle w:val="ListParagraph"/>
        <w:spacing w:after="0" w:line="240" w:lineRule="auto"/>
        <w:ind w:left="360"/>
        <w:rPr>
          <w:bCs/>
          <w:lang w:val="fr-CH"/>
        </w:rPr>
      </w:pPr>
    </w:p>
    <w:p w14:paraId="4BC9CB19" w14:textId="7C91986E" w:rsidR="00001B66"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 xml:space="preserve">Point 2 de l’ordre du jour </w:t>
      </w:r>
      <w:r w:rsidR="00001B66" w:rsidRPr="008C115E">
        <w:rPr>
          <w:rFonts w:cstheme="minorHAnsi"/>
          <w:bCs/>
          <w:lang w:val="fr-CH"/>
        </w:rPr>
        <w:t xml:space="preserve">: </w:t>
      </w:r>
      <w:r w:rsidRPr="008C115E">
        <w:rPr>
          <w:bCs/>
          <w:lang w:val="fr-CH"/>
        </w:rPr>
        <w:t>Adoption de l’ordre du jour provisoire</w:t>
      </w:r>
    </w:p>
    <w:p w14:paraId="6E8195A3" w14:textId="09D32F8D" w:rsidR="009343F2" w:rsidRPr="008C115E" w:rsidRDefault="009343F2" w:rsidP="008B3F43">
      <w:pPr>
        <w:spacing w:after="0" w:line="240" w:lineRule="auto"/>
        <w:rPr>
          <w:b/>
          <w:bCs/>
          <w:lang w:val="fr-CH"/>
        </w:rPr>
      </w:pPr>
    </w:p>
    <w:p w14:paraId="48E88037" w14:textId="42C847F8" w:rsidR="006015A6" w:rsidRPr="008C115E" w:rsidRDefault="006015A6" w:rsidP="006015A6">
      <w:pPr>
        <w:tabs>
          <w:tab w:val="left" w:pos="720"/>
          <w:tab w:val="center" w:pos="4680"/>
        </w:tabs>
        <w:spacing w:after="0" w:line="240" w:lineRule="auto"/>
        <w:contextualSpacing/>
        <w:rPr>
          <w:rFonts w:cstheme="minorHAnsi"/>
          <w:b/>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772E4">
        <w:rPr>
          <w:rFonts w:cstheme="minorHAnsi"/>
          <w:b/>
          <w:lang w:val="fr-CH"/>
        </w:rPr>
        <w:t>58-</w:t>
      </w:r>
      <w:r w:rsidRPr="008C115E">
        <w:rPr>
          <w:rFonts w:cstheme="minorHAnsi"/>
          <w:b/>
          <w:lang w:val="fr-CH"/>
        </w:rPr>
        <w:t>01</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Le Comité permanent adopte l’ordre du jour provisoire</w:t>
      </w:r>
      <w:r w:rsidRPr="008C115E">
        <w:rPr>
          <w:rFonts w:cstheme="minorHAnsi"/>
          <w:b/>
          <w:lang w:val="fr-CH"/>
        </w:rPr>
        <w:t>.</w:t>
      </w:r>
    </w:p>
    <w:p w14:paraId="0410A2EF" w14:textId="2E3B3AB6" w:rsidR="009343F2" w:rsidRPr="008C115E" w:rsidRDefault="009343F2" w:rsidP="008B3F43">
      <w:pPr>
        <w:spacing w:after="0" w:line="240" w:lineRule="auto"/>
        <w:rPr>
          <w:b/>
          <w:bCs/>
          <w:lang w:val="fr-CH"/>
        </w:rPr>
      </w:pPr>
    </w:p>
    <w:p w14:paraId="14B75A32" w14:textId="1BEFFA6C" w:rsidR="009343F2" w:rsidRPr="008C115E"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 xml:space="preserve">Point 5 de l’ordre du jour </w:t>
      </w:r>
      <w:r w:rsidR="00A33FB3" w:rsidRPr="008C115E">
        <w:rPr>
          <w:rFonts w:cstheme="minorHAnsi"/>
          <w:bCs/>
          <w:lang w:val="fr-CH"/>
        </w:rPr>
        <w:t xml:space="preserve">: </w:t>
      </w:r>
      <w:r w:rsidRPr="008C115E">
        <w:rPr>
          <w:bCs/>
          <w:lang w:val="fr-CH"/>
        </w:rPr>
        <w:t>Rapport du Groupe de travail sur la gestion</w:t>
      </w:r>
    </w:p>
    <w:p w14:paraId="5D99AE88" w14:textId="77777777" w:rsidR="00144975" w:rsidRPr="008C115E" w:rsidRDefault="00144975" w:rsidP="008B3F43">
      <w:pPr>
        <w:spacing w:after="0" w:line="240" w:lineRule="auto"/>
        <w:rPr>
          <w:b/>
          <w:bCs/>
          <w:lang w:val="fr-CH"/>
        </w:rPr>
      </w:pPr>
    </w:p>
    <w:p w14:paraId="387D328A" w14:textId="59B57768" w:rsidR="00253ACA" w:rsidRDefault="006015A6" w:rsidP="006015A6">
      <w:pPr>
        <w:autoSpaceDE w:val="0"/>
        <w:autoSpaceDN w:val="0"/>
        <w:adjustRightInd w:val="0"/>
        <w:spacing w:after="0" w:line="240" w:lineRule="auto"/>
        <w:rPr>
          <w:rFonts w:cstheme="minorHAnsi"/>
          <w:b/>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02</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253ACA">
        <w:rPr>
          <w:rFonts w:cstheme="minorHAnsi"/>
          <w:b/>
          <w:lang w:val="fr-CH"/>
        </w:rPr>
        <w:t>approuve le rapport du Groupe de travail sur la gestion</w:t>
      </w:r>
      <w:r w:rsidR="00466758">
        <w:rPr>
          <w:rFonts w:cstheme="minorHAnsi"/>
          <w:b/>
          <w:lang w:val="fr-CH"/>
        </w:rPr>
        <w:t>.</w:t>
      </w:r>
    </w:p>
    <w:p w14:paraId="07752590" w14:textId="77777777" w:rsidR="00253ACA" w:rsidRDefault="00253ACA" w:rsidP="006015A6">
      <w:pPr>
        <w:autoSpaceDE w:val="0"/>
        <w:autoSpaceDN w:val="0"/>
        <w:adjustRightInd w:val="0"/>
        <w:spacing w:after="0" w:line="240" w:lineRule="auto"/>
        <w:rPr>
          <w:rFonts w:cstheme="minorHAnsi"/>
          <w:b/>
          <w:lang w:val="fr-CH"/>
        </w:rPr>
      </w:pPr>
    </w:p>
    <w:p w14:paraId="46C6ED55" w14:textId="7972EDCF" w:rsidR="006015A6" w:rsidRPr="008C115E" w:rsidRDefault="00253ACA" w:rsidP="006015A6">
      <w:pPr>
        <w:autoSpaceDE w:val="0"/>
        <w:autoSpaceDN w:val="0"/>
        <w:adjustRightInd w:val="0"/>
        <w:spacing w:after="0" w:line="240" w:lineRule="auto"/>
        <w:rPr>
          <w:rFonts w:eastAsiaTheme="minorHAnsi" w:cs="Calibri"/>
          <w:b/>
          <w:color w:val="000000"/>
          <w:lang w:val="fr-CH"/>
        </w:rPr>
      </w:pPr>
      <w:r>
        <w:rPr>
          <w:rFonts w:eastAsiaTheme="minorHAnsi" w:cs="Calibri"/>
          <w:b/>
          <w:color w:val="000000"/>
          <w:lang w:val="fr-CH"/>
        </w:rPr>
        <w:t xml:space="preserve">Décision SC58-03 : Le Comité permanent </w:t>
      </w:r>
      <w:r w:rsidR="00674750" w:rsidRPr="008C115E">
        <w:rPr>
          <w:rFonts w:eastAsiaTheme="minorHAnsi" w:cs="Calibri"/>
          <w:b/>
          <w:color w:val="000000"/>
          <w:lang w:val="fr-CH"/>
        </w:rPr>
        <w:t xml:space="preserve">prend note avec satisfaction du rapport du Président du Groupe d’évaluation scientifique et technique relatant les progrès du GEST et demande que ce dernier continue de s’intéresser à ses tâches ayant la plus haute priorité et à la tâche consultative spéciale sur le Critère 6 </w:t>
      </w:r>
      <w:r w:rsidR="00FE1697">
        <w:rPr>
          <w:rFonts w:eastAsiaTheme="minorHAnsi" w:cs="Calibri"/>
          <w:b/>
          <w:color w:val="000000"/>
          <w:lang w:val="fr-CH"/>
        </w:rPr>
        <w:t>relatif à l’</w:t>
      </w:r>
      <w:r w:rsidR="00674750" w:rsidRPr="008C115E">
        <w:rPr>
          <w:rFonts w:eastAsiaTheme="minorHAnsi" w:cs="Calibri"/>
          <w:b/>
          <w:color w:val="000000"/>
          <w:lang w:val="fr-CH"/>
        </w:rPr>
        <w:t>utilisation des estimations de population</w:t>
      </w:r>
      <w:r w:rsidR="006015A6" w:rsidRPr="008C115E">
        <w:rPr>
          <w:rFonts w:eastAsiaTheme="minorHAnsi" w:cs="Calibri"/>
          <w:b/>
          <w:color w:val="000000"/>
          <w:lang w:val="fr-CH"/>
        </w:rPr>
        <w:t xml:space="preserve">. </w:t>
      </w:r>
    </w:p>
    <w:p w14:paraId="588BB004"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01EC7701" w14:textId="7204A0FE"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4</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demande au GEST de poursuivre l’élaboration des Perspectives mondiales des zones humides (édition spéciale) en attendant que le Comité permanent choisisse prochainement un thème pour le 50</w:t>
      </w:r>
      <w:r w:rsidR="00674750" w:rsidRPr="007B1166">
        <w:rPr>
          <w:rFonts w:eastAsiaTheme="minorHAnsi" w:cs="Calibri"/>
          <w:b/>
          <w:color w:val="000000"/>
          <w:vertAlign w:val="superscript"/>
          <w:lang w:val="fr-CH"/>
        </w:rPr>
        <w:t>e</w:t>
      </w:r>
      <w:r w:rsidR="00674750" w:rsidRPr="008C115E">
        <w:rPr>
          <w:rFonts w:eastAsiaTheme="minorHAnsi" w:cs="Calibri"/>
          <w:b/>
          <w:color w:val="000000"/>
          <w:lang w:val="fr-CH"/>
        </w:rPr>
        <w:t xml:space="preserve"> anniversaire et sachant que les Perspectives mondiales des zones humides (édition spéciale) peuvent être adaptées en fonction du thème choisi</w:t>
      </w:r>
      <w:r w:rsidRPr="008C115E">
        <w:rPr>
          <w:rFonts w:eastAsiaTheme="minorHAnsi" w:cs="Calibri"/>
          <w:b/>
          <w:color w:val="000000"/>
          <w:lang w:val="fr-CH"/>
        </w:rPr>
        <w:t xml:space="preserve">. </w:t>
      </w:r>
    </w:p>
    <w:p w14:paraId="679E03E7"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3408AB02" w14:textId="6336ED2B"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5</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recommande que le GEST poursuive ses travaux sur les zones humides et le carbone bleu (tâche 5.1), conformément aux termes de la Résolution XIII.14, sous</w:t>
      </w:r>
      <w:r w:rsidR="00FE1697">
        <w:rPr>
          <w:rFonts w:eastAsiaTheme="minorHAnsi" w:cs="Calibri"/>
          <w:b/>
          <w:color w:val="000000"/>
          <w:lang w:val="fr-CH"/>
        </w:rPr>
        <w:t>-</w:t>
      </w:r>
      <w:r w:rsidR="00674750" w:rsidRPr="008C115E">
        <w:rPr>
          <w:rFonts w:eastAsiaTheme="minorHAnsi" w:cs="Calibri"/>
          <w:b/>
          <w:color w:val="000000"/>
          <w:lang w:val="fr-CH"/>
        </w:rPr>
        <w:t xml:space="preserve">paragraphe 15 a), et </w:t>
      </w:r>
      <w:r w:rsidR="00FE1697">
        <w:rPr>
          <w:rFonts w:eastAsiaTheme="minorHAnsi" w:cs="Calibri"/>
          <w:b/>
          <w:color w:val="000000"/>
          <w:lang w:val="fr-CH"/>
        </w:rPr>
        <w:t>définisse</w:t>
      </w:r>
      <w:r w:rsidR="00674750" w:rsidRPr="008C115E">
        <w:rPr>
          <w:rFonts w:eastAsiaTheme="minorHAnsi" w:cs="Calibri"/>
          <w:b/>
          <w:color w:val="000000"/>
          <w:lang w:val="fr-CH"/>
        </w:rPr>
        <w:t xml:space="preserve"> la portée des travaux demandés dans les sous</w:t>
      </w:r>
      <w:r w:rsidR="00611723">
        <w:rPr>
          <w:rFonts w:eastAsiaTheme="minorHAnsi" w:cs="Calibri"/>
          <w:b/>
          <w:color w:val="000000"/>
          <w:lang w:val="fr-CH"/>
        </w:rPr>
        <w:noBreakHyphen/>
      </w:r>
      <w:r w:rsidR="00674750" w:rsidRPr="008C115E">
        <w:rPr>
          <w:rFonts w:eastAsiaTheme="minorHAnsi" w:cs="Calibri"/>
          <w:b/>
          <w:color w:val="000000"/>
          <w:lang w:val="fr-CH"/>
        </w:rPr>
        <w:t xml:space="preserve">paragraphes b), c) et d) durant la prochaine période triennale, et </w:t>
      </w:r>
      <w:r w:rsidR="00466758">
        <w:rPr>
          <w:rFonts w:eastAsiaTheme="minorHAnsi" w:cs="Calibri"/>
          <w:b/>
          <w:color w:val="000000"/>
          <w:lang w:val="fr-CH"/>
        </w:rPr>
        <w:t>prend</w:t>
      </w:r>
      <w:r w:rsidR="00674750" w:rsidRPr="008C115E">
        <w:rPr>
          <w:rFonts w:eastAsiaTheme="minorHAnsi" w:cs="Calibri"/>
          <w:b/>
          <w:color w:val="000000"/>
          <w:lang w:val="fr-CH"/>
        </w:rPr>
        <w:t xml:space="preserve"> note de l’importance du partage des résultats avec la Convention-cadre des Nations Unies sur les changements climatiques et la Convention sur la diversité biologique par les moyens appropriés, c’est-à-dire dans le contexte d’une activité parallèle, en marge de leurs COP respectives</w:t>
      </w:r>
      <w:r w:rsidRPr="008C115E">
        <w:rPr>
          <w:rFonts w:eastAsiaTheme="minorHAnsi" w:cs="Calibri"/>
          <w:b/>
          <w:color w:val="000000"/>
          <w:lang w:val="fr-CH"/>
        </w:rPr>
        <w:t xml:space="preserve">. </w:t>
      </w:r>
    </w:p>
    <w:p w14:paraId="4B954065"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37D44646" w14:textId="1FA704A0"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SC2</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6</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recommande en outre que le GEST soumette au Comité permanent une proposition de mise à jour du Critère 6 Ramsar concernant l’utilisation des estimations de population afin que le Comité puisse envisager de la présenter à la Conférence des Parties contractantes, sachant que les Parties contractantes ont besoin de disposer d’informations actualisées et dynamiques</w:t>
      </w:r>
      <w:r w:rsidRPr="008C115E">
        <w:rPr>
          <w:rFonts w:eastAsiaTheme="minorHAnsi" w:cs="Calibri"/>
          <w:b/>
          <w:color w:val="000000"/>
          <w:lang w:val="fr-CH"/>
        </w:rPr>
        <w:t xml:space="preserve">. </w:t>
      </w:r>
    </w:p>
    <w:p w14:paraId="6598AE44" w14:textId="77777777" w:rsidR="006015A6" w:rsidRPr="008C115E" w:rsidRDefault="006015A6" w:rsidP="006015A6">
      <w:pPr>
        <w:autoSpaceDE w:val="0"/>
        <w:autoSpaceDN w:val="0"/>
        <w:adjustRightInd w:val="0"/>
        <w:spacing w:after="0" w:line="240" w:lineRule="auto"/>
        <w:rPr>
          <w:rFonts w:eastAsiaTheme="minorHAnsi" w:cs="Calibri"/>
          <w:color w:val="000000"/>
          <w:lang w:val="fr-CH"/>
        </w:rPr>
      </w:pPr>
    </w:p>
    <w:p w14:paraId="2D624171" w14:textId="5B45F83D"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949FD">
        <w:rPr>
          <w:rFonts w:cstheme="minorHAnsi"/>
          <w:b/>
          <w:lang w:val="fr-CH"/>
        </w:rPr>
        <w:t>58</w:t>
      </w:r>
      <w:r w:rsidRPr="008C115E">
        <w:rPr>
          <w:rFonts w:cstheme="minorHAnsi"/>
          <w:b/>
          <w:lang w:val="fr-CH"/>
        </w:rPr>
        <w:t>-</w:t>
      </w:r>
      <w:r w:rsidR="001A123C" w:rsidRPr="008C115E">
        <w:rPr>
          <w:rFonts w:cstheme="minorHAnsi"/>
          <w:b/>
          <w:lang w:val="fr-CH"/>
        </w:rPr>
        <w:t>0</w:t>
      </w:r>
      <w:r w:rsidR="0032161D">
        <w:rPr>
          <w:rFonts w:cstheme="minorHAnsi"/>
          <w:b/>
          <w:lang w:val="fr-CH"/>
        </w:rPr>
        <w:t>7</w:t>
      </w:r>
      <w:r w:rsidR="00674750" w:rsidRPr="008C115E">
        <w:rPr>
          <w:rFonts w:cstheme="minorHAnsi"/>
          <w:b/>
          <w:lang w:val="fr-CH"/>
        </w:rPr>
        <w:t xml:space="preserve"> </w:t>
      </w:r>
      <w:r w:rsidRPr="008C115E">
        <w:rPr>
          <w:rFonts w:cstheme="minorHAnsi"/>
          <w:b/>
          <w:lang w:val="fr-CH"/>
        </w:rPr>
        <w:t xml:space="preserve">: </w:t>
      </w:r>
      <w:bookmarkStart w:id="0" w:name="_Hlk43814975"/>
      <w:r w:rsidR="00674750" w:rsidRPr="008C115E">
        <w:rPr>
          <w:rFonts w:cstheme="minorHAnsi"/>
          <w:b/>
          <w:lang w:val="fr-CH"/>
        </w:rPr>
        <w:t xml:space="preserve">Le Comité permanent </w:t>
      </w:r>
      <w:bookmarkEnd w:id="0"/>
      <w:r w:rsidR="00674750" w:rsidRPr="008C115E">
        <w:rPr>
          <w:rFonts w:eastAsiaTheme="minorHAnsi" w:cs="Calibri"/>
          <w:b/>
          <w:color w:val="000000"/>
          <w:lang w:val="fr-CH"/>
        </w:rPr>
        <w:t>demande au Secrétariat de prévoir une réunion du Groupe de travail sur la gestion dans le programme de travail de la 58</w:t>
      </w:r>
      <w:r w:rsidR="00674750" w:rsidRPr="008C115E">
        <w:rPr>
          <w:rFonts w:eastAsiaTheme="minorHAnsi" w:cs="Calibri"/>
          <w:b/>
          <w:color w:val="000000"/>
          <w:vertAlign w:val="superscript"/>
          <w:lang w:val="fr-CH"/>
        </w:rPr>
        <w:t>e</w:t>
      </w:r>
      <w:r w:rsidR="00674750" w:rsidRPr="008C115E">
        <w:rPr>
          <w:rFonts w:eastAsiaTheme="minorHAnsi" w:cs="Calibri"/>
          <w:b/>
          <w:color w:val="000000"/>
          <w:lang w:val="fr-CH"/>
        </w:rPr>
        <w:t> Réunion du Comité permanent et demande que le Président du GEST soumette un rapport sur les derniers progrès accomplis en vue de remplir le mandat du GEST, pour examen par le Groupe de travail sur la gestion à cette réunion</w:t>
      </w:r>
      <w:r w:rsidRPr="008C115E">
        <w:rPr>
          <w:rFonts w:eastAsiaTheme="minorHAnsi" w:cs="Calibri"/>
          <w:b/>
          <w:color w:val="000000"/>
          <w:lang w:val="fr-CH"/>
        </w:rPr>
        <w:t xml:space="preserve">. </w:t>
      </w:r>
    </w:p>
    <w:p w14:paraId="7E80066E" w14:textId="77777777" w:rsidR="006015A6" w:rsidRPr="008C115E" w:rsidRDefault="006015A6" w:rsidP="008B3F43">
      <w:pPr>
        <w:spacing w:after="0" w:line="240" w:lineRule="auto"/>
        <w:rPr>
          <w:b/>
          <w:bCs/>
          <w:lang w:val="fr-CH"/>
        </w:rPr>
      </w:pPr>
    </w:p>
    <w:p w14:paraId="26CCC16E" w14:textId="211F9EED" w:rsidR="009343F2" w:rsidRPr="008C115E"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 xml:space="preserve">Point 7 de l’ordre du jour </w:t>
      </w:r>
      <w:r w:rsidR="00A33FB3" w:rsidRPr="008C115E">
        <w:rPr>
          <w:rFonts w:cstheme="minorHAnsi"/>
          <w:bCs/>
          <w:lang w:val="fr-CH"/>
        </w:rPr>
        <w:t xml:space="preserve">: </w:t>
      </w:r>
      <w:r w:rsidRPr="008C115E">
        <w:rPr>
          <w:bCs/>
          <w:lang w:val="fr-CH"/>
        </w:rPr>
        <w:t>Rapport du Comité exécutif sur le point</w:t>
      </w:r>
      <w:r w:rsidRPr="008C115E">
        <w:rPr>
          <w:rFonts w:cs="Calibri"/>
          <w:lang w:val="fr-CH"/>
        </w:rPr>
        <w:t xml:space="preserve"> 20.4 de l’ordre du jour </w:t>
      </w:r>
      <w:r w:rsidRPr="008C115E">
        <w:rPr>
          <w:rFonts w:cs="Calibri"/>
          <w:i/>
          <w:lang w:val="fr-CH"/>
        </w:rPr>
        <w:t xml:space="preserve">Processus de préparation et d’examen des projets de résolutions </w:t>
      </w:r>
      <w:r w:rsidRPr="008C115E">
        <w:rPr>
          <w:rFonts w:cs="Calibri"/>
          <w:iCs/>
          <w:lang w:val="fr-CH"/>
        </w:rPr>
        <w:t>(but et calendrier des réunions régionales pré</w:t>
      </w:r>
      <w:r w:rsidRPr="008C115E">
        <w:rPr>
          <w:rFonts w:cs="Calibri"/>
          <w:iCs/>
          <w:lang w:val="fr-CH"/>
        </w:rPr>
        <w:noBreakHyphen/>
        <w:t>COP)</w:t>
      </w:r>
    </w:p>
    <w:p w14:paraId="6DC8A917" w14:textId="2E629D77" w:rsidR="002F4CE2" w:rsidRDefault="002F4CE2" w:rsidP="003768F4">
      <w:pPr>
        <w:autoSpaceDE w:val="0"/>
        <w:autoSpaceDN w:val="0"/>
        <w:adjustRightInd w:val="0"/>
        <w:spacing w:after="0" w:line="240" w:lineRule="auto"/>
        <w:rPr>
          <w:rFonts w:cstheme="minorHAnsi"/>
          <w:b/>
          <w:lang w:val="fr-FR"/>
        </w:rPr>
      </w:pPr>
    </w:p>
    <w:p w14:paraId="183FBB4B" w14:textId="015F0AFD" w:rsidR="00E37D35" w:rsidRDefault="00E37D35" w:rsidP="003768F4">
      <w:pPr>
        <w:autoSpaceDE w:val="0"/>
        <w:autoSpaceDN w:val="0"/>
        <w:adjustRightInd w:val="0"/>
        <w:spacing w:after="0" w:line="240" w:lineRule="auto"/>
        <w:rPr>
          <w:rFonts w:cstheme="minorHAnsi"/>
          <w:b/>
          <w:lang w:val="fr-FR"/>
        </w:rPr>
      </w:pPr>
      <w:r>
        <w:rPr>
          <w:rFonts w:cstheme="minorHAnsi"/>
          <w:b/>
          <w:lang w:val="fr-FR"/>
        </w:rPr>
        <w:t>Décision SC58-08 : Le Comité permanent prend note du rapport du Comité Exécutif</w:t>
      </w:r>
      <w:r w:rsidR="00466758">
        <w:rPr>
          <w:rFonts w:cstheme="minorHAnsi"/>
          <w:b/>
          <w:lang w:val="fr-FR"/>
        </w:rPr>
        <w:t>.</w:t>
      </w:r>
    </w:p>
    <w:p w14:paraId="2003264F" w14:textId="77777777" w:rsidR="00E37D35" w:rsidRPr="00653D89" w:rsidRDefault="00E37D35" w:rsidP="003768F4">
      <w:pPr>
        <w:autoSpaceDE w:val="0"/>
        <w:autoSpaceDN w:val="0"/>
        <w:adjustRightInd w:val="0"/>
        <w:spacing w:after="0" w:line="240" w:lineRule="auto"/>
        <w:rPr>
          <w:rFonts w:cstheme="minorHAnsi"/>
          <w:b/>
          <w:lang w:val="fr-FR"/>
        </w:rPr>
      </w:pPr>
    </w:p>
    <w:p w14:paraId="1BD41C3D" w14:textId="3B7C6605" w:rsidR="003768F4" w:rsidRPr="001F5359" w:rsidRDefault="003768F4" w:rsidP="003768F4">
      <w:pPr>
        <w:autoSpaceDE w:val="0"/>
        <w:autoSpaceDN w:val="0"/>
        <w:adjustRightInd w:val="0"/>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Pr="001F5359">
        <w:rPr>
          <w:rFonts w:cstheme="minorHAnsi"/>
          <w:b/>
          <w:lang w:val="fr-CH"/>
        </w:rPr>
        <w:t>cision SC2</w:t>
      </w:r>
      <w:r w:rsidR="00E37D35">
        <w:rPr>
          <w:rFonts w:cstheme="minorHAnsi"/>
          <w:b/>
          <w:lang w:val="fr-CH"/>
        </w:rPr>
        <w:t>58</w:t>
      </w:r>
      <w:r w:rsidRPr="001F5359">
        <w:rPr>
          <w:rFonts w:cstheme="minorHAnsi"/>
          <w:b/>
          <w:lang w:val="fr-CH"/>
        </w:rPr>
        <w:t>-</w:t>
      </w:r>
      <w:r w:rsidR="001A123C" w:rsidRPr="001F5359">
        <w:rPr>
          <w:rFonts w:cstheme="minorHAnsi"/>
          <w:b/>
          <w:lang w:val="fr-CH"/>
        </w:rPr>
        <w:t>0</w:t>
      </w:r>
      <w:r w:rsidR="00E37D35">
        <w:rPr>
          <w:rFonts w:cstheme="minorHAnsi"/>
          <w:b/>
          <w:lang w:val="fr-CH"/>
        </w:rPr>
        <w:t>9</w:t>
      </w:r>
      <w:r w:rsidR="000832E2" w:rsidRPr="001F5359">
        <w:rPr>
          <w:rFonts w:cstheme="minorHAnsi"/>
          <w:b/>
          <w:lang w:val="fr-CH"/>
        </w:rPr>
        <w:t xml:space="preserve"> </w:t>
      </w:r>
      <w:r w:rsidRPr="001F5359">
        <w:rPr>
          <w:rFonts w:cstheme="minorHAnsi"/>
          <w:b/>
          <w:lang w:val="fr-CH"/>
        </w:rPr>
        <w:t xml:space="preserve">: </w:t>
      </w:r>
      <w:r w:rsidR="000832E2" w:rsidRPr="001F5359">
        <w:rPr>
          <w:rFonts w:cstheme="minorHAnsi"/>
          <w:b/>
          <w:lang w:val="fr-CH"/>
        </w:rPr>
        <w:t xml:space="preserve">Le Comité permanent </w:t>
      </w:r>
      <w:r w:rsidR="0058663D">
        <w:rPr>
          <w:rFonts w:cstheme="minorHAnsi"/>
          <w:b/>
          <w:lang w:val="fr-CH"/>
        </w:rPr>
        <w:t>décide que deux jours de réunions régionales pré</w:t>
      </w:r>
      <w:r w:rsidR="0058663D">
        <w:rPr>
          <w:rFonts w:cstheme="minorHAnsi"/>
          <w:b/>
          <w:lang w:val="fr-CH"/>
        </w:rPr>
        <w:noBreakHyphen/>
        <w:t xml:space="preserve">COP devraient avoir lieu, si possible, immédiatement avant la </w:t>
      </w:r>
      <w:r w:rsidRPr="001F5359">
        <w:rPr>
          <w:rFonts w:eastAsiaTheme="minorHAnsi" w:cs="Calibri"/>
          <w:b/>
          <w:color w:val="000000"/>
          <w:lang w:val="fr-CH"/>
        </w:rPr>
        <w:t xml:space="preserve">COP14, </w:t>
      </w:r>
      <w:r w:rsidR="0058663D">
        <w:rPr>
          <w:rFonts w:eastAsiaTheme="minorHAnsi" w:cs="Calibri"/>
          <w:b/>
          <w:color w:val="000000"/>
          <w:lang w:val="fr-CH"/>
        </w:rPr>
        <w:t xml:space="preserve">sur le même lieu que la </w:t>
      </w:r>
      <w:r w:rsidRPr="001F5359">
        <w:rPr>
          <w:rFonts w:eastAsiaTheme="minorHAnsi" w:cs="Calibri"/>
          <w:b/>
          <w:color w:val="000000"/>
          <w:lang w:val="fr-CH"/>
        </w:rPr>
        <w:t xml:space="preserve">COP14, </w:t>
      </w:r>
      <w:r w:rsidR="0058663D">
        <w:rPr>
          <w:rFonts w:eastAsiaTheme="minorHAnsi" w:cs="Calibri"/>
          <w:b/>
          <w:color w:val="000000"/>
          <w:lang w:val="fr-CH"/>
        </w:rPr>
        <w:t>et donne instruction au Secrétariat de discuter avec le pays hôte des dispositions nécessaires pour</w:t>
      </w:r>
      <w:r w:rsidR="00CB15CB">
        <w:rPr>
          <w:rFonts w:eastAsiaTheme="minorHAnsi" w:cs="Calibri"/>
          <w:b/>
          <w:color w:val="000000"/>
          <w:lang w:val="fr-CH"/>
        </w:rPr>
        <w:t xml:space="preserve"> organiser</w:t>
      </w:r>
      <w:r w:rsidR="0058663D">
        <w:rPr>
          <w:rFonts w:eastAsiaTheme="minorHAnsi" w:cs="Calibri"/>
          <w:b/>
          <w:color w:val="000000"/>
          <w:lang w:val="fr-CH"/>
        </w:rPr>
        <w:t xml:space="preserve"> deux jours de réunions pré</w:t>
      </w:r>
      <w:r w:rsidR="0058663D">
        <w:rPr>
          <w:rFonts w:eastAsiaTheme="minorHAnsi" w:cs="Calibri"/>
          <w:b/>
          <w:color w:val="000000"/>
          <w:lang w:val="fr-CH"/>
        </w:rPr>
        <w:noBreakHyphen/>
        <w:t xml:space="preserve">COP immédiatement avant la </w:t>
      </w:r>
      <w:r w:rsidRPr="001F5359">
        <w:rPr>
          <w:rFonts w:eastAsiaTheme="minorHAnsi" w:cs="Calibri"/>
          <w:b/>
          <w:color w:val="000000"/>
          <w:lang w:val="fr-CH"/>
        </w:rPr>
        <w:t>COP14.</w:t>
      </w:r>
    </w:p>
    <w:p w14:paraId="269733A2" w14:textId="18A484E4" w:rsidR="003768F4" w:rsidRPr="001F5359" w:rsidRDefault="003768F4" w:rsidP="003768F4">
      <w:pPr>
        <w:autoSpaceDE w:val="0"/>
        <w:autoSpaceDN w:val="0"/>
        <w:adjustRightInd w:val="0"/>
        <w:spacing w:after="0" w:line="240" w:lineRule="auto"/>
        <w:rPr>
          <w:rFonts w:eastAsiaTheme="minorHAnsi" w:cs="Calibri"/>
          <w:b/>
          <w:color w:val="000000"/>
          <w:lang w:val="fr-CH"/>
        </w:rPr>
      </w:pPr>
    </w:p>
    <w:p w14:paraId="7A8AED6D" w14:textId="0E742229" w:rsidR="003768F4" w:rsidRPr="001F5359" w:rsidRDefault="003768F4" w:rsidP="003768F4">
      <w:pPr>
        <w:autoSpaceDE w:val="0"/>
        <w:autoSpaceDN w:val="0"/>
        <w:adjustRightInd w:val="0"/>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Pr="001F5359">
        <w:rPr>
          <w:rFonts w:cstheme="minorHAnsi"/>
          <w:b/>
          <w:lang w:val="fr-CH"/>
        </w:rPr>
        <w:t>cision SC</w:t>
      </w:r>
      <w:r w:rsidR="00E37D35">
        <w:rPr>
          <w:rFonts w:cstheme="minorHAnsi"/>
          <w:b/>
          <w:lang w:val="fr-CH"/>
        </w:rPr>
        <w:t>58-10</w:t>
      </w:r>
      <w:r w:rsidR="000832E2" w:rsidRPr="001F5359">
        <w:rPr>
          <w:rFonts w:cstheme="minorHAnsi"/>
          <w:b/>
          <w:lang w:val="fr-CH"/>
        </w:rPr>
        <w:t xml:space="preserve"> </w:t>
      </w:r>
      <w:r w:rsidRPr="001F5359">
        <w:rPr>
          <w:rFonts w:cstheme="minorHAnsi"/>
          <w:b/>
          <w:lang w:val="fr-CH"/>
        </w:rPr>
        <w:t xml:space="preserve">: </w:t>
      </w:r>
      <w:r w:rsidR="000832E2" w:rsidRPr="001F5359">
        <w:rPr>
          <w:rFonts w:cstheme="minorHAnsi"/>
          <w:b/>
          <w:lang w:val="fr-CH"/>
        </w:rPr>
        <w:t xml:space="preserve">Le Comité permanent </w:t>
      </w:r>
      <w:r w:rsidR="0058663D">
        <w:rPr>
          <w:rFonts w:cstheme="minorHAnsi"/>
          <w:b/>
          <w:lang w:val="fr-CH"/>
        </w:rPr>
        <w:t xml:space="preserve">décide que les régions devraient tenir des réunions virtuelles avant la COP14, et donne instruction au Secrétariat de faciliter leur préparation et leur </w:t>
      </w:r>
      <w:r w:rsidR="004B135B">
        <w:rPr>
          <w:rFonts w:cstheme="minorHAnsi"/>
          <w:b/>
          <w:lang w:val="fr-CH"/>
        </w:rPr>
        <w:t xml:space="preserve">mise en œuvre </w:t>
      </w:r>
      <w:r w:rsidR="0058663D">
        <w:rPr>
          <w:rFonts w:cstheme="minorHAnsi"/>
          <w:b/>
          <w:lang w:val="fr-CH"/>
        </w:rPr>
        <w:t xml:space="preserve">avec l’appui et les conseils des représentants régionaux </w:t>
      </w:r>
      <w:r w:rsidR="009B23B0">
        <w:rPr>
          <w:rFonts w:cstheme="minorHAnsi"/>
          <w:b/>
          <w:lang w:val="fr-CH"/>
        </w:rPr>
        <w:t>des Parties contractantes membres du</w:t>
      </w:r>
      <w:r w:rsidR="0058663D">
        <w:rPr>
          <w:rFonts w:cstheme="minorHAnsi"/>
          <w:b/>
          <w:lang w:val="fr-CH"/>
        </w:rPr>
        <w:t xml:space="preserve"> Comité permanent.</w:t>
      </w:r>
    </w:p>
    <w:p w14:paraId="2F60BA12" w14:textId="0DFE2F8B" w:rsidR="002F4CE2" w:rsidRPr="001F5359" w:rsidRDefault="002F4CE2" w:rsidP="003768F4">
      <w:pPr>
        <w:autoSpaceDE w:val="0"/>
        <w:autoSpaceDN w:val="0"/>
        <w:adjustRightInd w:val="0"/>
        <w:spacing w:after="0" w:line="240" w:lineRule="auto"/>
        <w:rPr>
          <w:rFonts w:eastAsiaTheme="minorHAnsi" w:cs="Calibri"/>
          <w:b/>
          <w:color w:val="000000"/>
          <w:lang w:val="fr-CH"/>
        </w:rPr>
      </w:pPr>
    </w:p>
    <w:p w14:paraId="4C705A04" w14:textId="2836C893" w:rsidR="002F4CE2" w:rsidRPr="001F5359" w:rsidRDefault="0096152A" w:rsidP="002F4CE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1F5359">
        <w:rPr>
          <w:rFonts w:cstheme="minorHAnsi"/>
          <w:bCs/>
          <w:lang w:val="fr-CH"/>
        </w:rPr>
        <w:t>Point</w:t>
      </w:r>
      <w:r w:rsidR="002F4CE2" w:rsidRPr="001F5359">
        <w:rPr>
          <w:rFonts w:cstheme="minorHAnsi"/>
          <w:bCs/>
          <w:lang w:val="fr-CH"/>
        </w:rPr>
        <w:t xml:space="preserve"> 6</w:t>
      </w:r>
      <w:r w:rsidRPr="001F5359">
        <w:rPr>
          <w:rFonts w:cstheme="minorHAnsi"/>
          <w:bCs/>
          <w:lang w:val="fr-CH"/>
        </w:rPr>
        <w:t xml:space="preserve"> de l’ordre du jour </w:t>
      </w:r>
      <w:r w:rsidR="002F4CE2" w:rsidRPr="001F5359">
        <w:rPr>
          <w:rFonts w:cstheme="minorHAnsi"/>
          <w:bCs/>
          <w:lang w:val="fr-CH"/>
        </w:rPr>
        <w:t>: R</w:t>
      </w:r>
      <w:r w:rsidRPr="001F5359">
        <w:rPr>
          <w:rFonts w:cstheme="minorHAnsi"/>
          <w:bCs/>
          <w:lang w:val="fr-CH"/>
        </w:rPr>
        <w:t>ap</w:t>
      </w:r>
      <w:r w:rsidR="002F4CE2" w:rsidRPr="001F5359">
        <w:rPr>
          <w:rFonts w:cstheme="minorHAnsi"/>
          <w:bCs/>
          <w:lang w:val="fr-CH"/>
        </w:rPr>
        <w:t xml:space="preserve">port </w:t>
      </w:r>
      <w:r w:rsidRPr="001F5359">
        <w:rPr>
          <w:rFonts w:cstheme="minorHAnsi"/>
          <w:bCs/>
          <w:lang w:val="fr-CH"/>
        </w:rPr>
        <w:t>du</w:t>
      </w:r>
      <w:r w:rsidR="002F4CE2" w:rsidRPr="001F5359">
        <w:rPr>
          <w:rFonts w:cstheme="minorHAnsi"/>
          <w:bCs/>
          <w:lang w:val="fr-CH"/>
        </w:rPr>
        <w:t xml:space="preserve"> S</w:t>
      </w:r>
      <w:r w:rsidRPr="001F5359">
        <w:rPr>
          <w:rFonts w:cstheme="minorHAnsi"/>
          <w:bCs/>
          <w:lang w:val="fr-CH"/>
        </w:rPr>
        <w:t>ous-groupe sur la</w:t>
      </w:r>
      <w:r w:rsidR="002F4CE2" w:rsidRPr="001F5359">
        <w:rPr>
          <w:rFonts w:cstheme="minorHAnsi"/>
          <w:bCs/>
          <w:lang w:val="fr-CH"/>
        </w:rPr>
        <w:t xml:space="preserve"> COP14</w:t>
      </w:r>
    </w:p>
    <w:p w14:paraId="53304C7E" w14:textId="77777777" w:rsidR="00230BAA" w:rsidRPr="001F5359" w:rsidRDefault="00230BAA" w:rsidP="002F4CE2">
      <w:pPr>
        <w:spacing w:after="0" w:line="240" w:lineRule="auto"/>
        <w:rPr>
          <w:rFonts w:cstheme="minorHAnsi"/>
          <w:b/>
          <w:lang w:val="fr-CH"/>
        </w:rPr>
      </w:pPr>
    </w:p>
    <w:p w14:paraId="0B031C6E" w14:textId="52FC5A26" w:rsidR="002F4CE2" w:rsidRPr="001F5359" w:rsidRDefault="002F4CE2" w:rsidP="002F4CE2">
      <w:pPr>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001A123C" w:rsidRPr="001F5359">
        <w:rPr>
          <w:rFonts w:cstheme="minorHAnsi"/>
          <w:b/>
          <w:lang w:val="fr-CH"/>
        </w:rPr>
        <w:t>cision SC2</w:t>
      </w:r>
      <w:r w:rsidR="00C0224F">
        <w:rPr>
          <w:rFonts w:cstheme="minorHAnsi"/>
          <w:b/>
          <w:lang w:val="fr-CH"/>
        </w:rPr>
        <w:t>58</w:t>
      </w:r>
      <w:r w:rsidR="001A123C" w:rsidRPr="001F5359">
        <w:rPr>
          <w:rFonts w:cstheme="minorHAnsi"/>
          <w:b/>
          <w:lang w:val="fr-CH"/>
        </w:rPr>
        <w:t>-</w:t>
      </w:r>
      <w:r w:rsidR="00C0224F">
        <w:rPr>
          <w:rFonts w:cstheme="minorHAnsi"/>
          <w:b/>
          <w:lang w:val="fr-CH"/>
        </w:rPr>
        <w:t xml:space="preserve">11 </w:t>
      </w:r>
      <w:r w:rsidRPr="001F5359">
        <w:rPr>
          <w:rFonts w:cstheme="minorHAnsi"/>
          <w:b/>
          <w:lang w:val="fr-CH"/>
        </w:rPr>
        <w:t xml:space="preserve">: </w:t>
      </w:r>
      <w:r w:rsidR="000832E2" w:rsidRPr="001F5359">
        <w:rPr>
          <w:rFonts w:cstheme="minorHAnsi"/>
          <w:b/>
          <w:lang w:val="fr-CH"/>
        </w:rPr>
        <w:t xml:space="preserve">Le Comité permanent </w:t>
      </w:r>
      <w:r w:rsidR="00DE67FB">
        <w:rPr>
          <w:rFonts w:cstheme="minorHAnsi"/>
          <w:b/>
          <w:lang w:val="fr-CH"/>
        </w:rPr>
        <w:t>prend</w:t>
      </w:r>
      <w:r w:rsidR="00C0224F">
        <w:rPr>
          <w:rFonts w:cstheme="minorHAnsi"/>
          <w:b/>
          <w:lang w:val="fr-CH"/>
        </w:rPr>
        <w:t xml:space="preserve"> </w:t>
      </w:r>
      <w:r w:rsidR="000832E2" w:rsidRPr="001F5359">
        <w:rPr>
          <w:rFonts w:cstheme="minorHAnsi"/>
          <w:b/>
          <w:lang w:val="fr-CH"/>
        </w:rPr>
        <w:t xml:space="preserve">note du rapport verbal </w:t>
      </w:r>
      <w:r w:rsidR="00035281" w:rsidRPr="001F5359">
        <w:rPr>
          <w:rFonts w:cstheme="minorHAnsi"/>
          <w:b/>
          <w:lang w:val="fr-CH"/>
        </w:rPr>
        <w:t>d</w:t>
      </w:r>
      <w:r w:rsidR="000832E2" w:rsidRPr="001F5359">
        <w:rPr>
          <w:rFonts w:cstheme="minorHAnsi"/>
          <w:b/>
          <w:lang w:val="fr-CH"/>
        </w:rPr>
        <w:t>u Sous-groupe sur la COP14</w:t>
      </w:r>
      <w:r w:rsidRPr="001F5359">
        <w:rPr>
          <w:rFonts w:eastAsiaTheme="minorHAnsi" w:cs="Calibri"/>
          <w:b/>
          <w:color w:val="000000"/>
          <w:lang w:val="fr-CH"/>
        </w:rPr>
        <w:t>.</w:t>
      </w:r>
    </w:p>
    <w:p w14:paraId="11665ED0" w14:textId="77777777" w:rsidR="002F4CE2" w:rsidRPr="001F5359" w:rsidRDefault="002F4CE2" w:rsidP="002F4CE2">
      <w:pPr>
        <w:spacing w:after="0" w:line="240" w:lineRule="auto"/>
        <w:rPr>
          <w:rFonts w:eastAsiaTheme="minorHAnsi" w:cs="Calibri"/>
          <w:color w:val="000000"/>
          <w:lang w:val="fr-CH"/>
        </w:rPr>
      </w:pPr>
    </w:p>
    <w:p w14:paraId="1F50038B" w14:textId="7C6CADBE" w:rsidR="002F4CE2" w:rsidRPr="001F5359" w:rsidRDefault="002D340E" w:rsidP="002F4CE2">
      <w:pPr>
        <w:spacing w:after="0" w:line="240" w:lineRule="auto"/>
        <w:rPr>
          <w:b/>
          <w:bCs/>
          <w:lang w:val="fr-CH"/>
        </w:rPr>
      </w:pPr>
      <w:r w:rsidRPr="001F5359">
        <w:rPr>
          <w:rFonts w:cstheme="minorHAnsi"/>
          <w:b/>
          <w:lang w:val="fr-CH"/>
        </w:rPr>
        <w:t>Décision</w:t>
      </w:r>
      <w:r w:rsidR="002F4CE2" w:rsidRPr="001F5359">
        <w:rPr>
          <w:rFonts w:cstheme="minorHAnsi"/>
          <w:b/>
          <w:lang w:val="fr-CH"/>
        </w:rPr>
        <w:t xml:space="preserve"> SC</w:t>
      </w:r>
      <w:r w:rsidR="008E027F">
        <w:rPr>
          <w:rFonts w:cstheme="minorHAnsi"/>
          <w:b/>
          <w:lang w:val="fr-CH"/>
        </w:rPr>
        <w:t>58</w:t>
      </w:r>
      <w:r w:rsidR="002F4CE2" w:rsidRPr="001F5359">
        <w:rPr>
          <w:rFonts w:cstheme="minorHAnsi"/>
          <w:b/>
          <w:lang w:val="fr-CH"/>
        </w:rPr>
        <w:t>-</w:t>
      </w:r>
      <w:r w:rsidR="001A123C" w:rsidRPr="001F5359">
        <w:rPr>
          <w:rFonts w:cstheme="minorHAnsi"/>
          <w:b/>
          <w:lang w:val="fr-CH"/>
        </w:rPr>
        <w:t>1</w:t>
      </w:r>
      <w:r w:rsidR="00C0224F">
        <w:rPr>
          <w:rFonts w:cstheme="minorHAnsi"/>
          <w:b/>
          <w:lang w:val="fr-CH"/>
        </w:rPr>
        <w:t>2</w:t>
      </w:r>
      <w:r>
        <w:rPr>
          <w:rFonts w:cstheme="minorHAnsi"/>
          <w:b/>
          <w:lang w:val="fr-CH"/>
        </w:rPr>
        <w:t> </w:t>
      </w:r>
      <w:r w:rsidR="002F4CE2" w:rsidRPr="001F5359">
        <w:rPr>
          <w:rFonts w:cstheme="minorHAnsi"/>
          <w:b/>
          <w:lang w:val="fr-CH"/>
        </w:rPr>
        <w:t xml:space="preserve">: </w:t>
      </w:r>
      <w:r w:rsidR="000832E2" w:rsidRPr="001F5359">
        <w:rPr>
          <w:rFonts w:cstheme="minorHAnsi"/>
          <w:b/>
          <w:lang w:val="fr-CH"/>
        </w:rPr>
        <w:t xml:space="preserve">Le Comité permanent </w:t>
      </w:r>
      <w:r>
        <w:rPr>
          <w:rFonts w:cstheme="minorHAnsi"/>
          <w:b/>
          <w:lang w:val="fr-CH"/>
        </w:rPr>
        <w:t xml:space="preserve">décide d’échanger des idées </w:t>
      </w:r>
      <w:r w:rsidR="000C3D1E">
        <w:rPr>
          <w:rFonts w:cstheme="minorHAnsi"/>
          <w:b/>
          <w:lang w:val="fr-CH"/>
        </w:rPr>
        <w:t>sur</w:t>
      </w:r>
      <w:r>
        <w:rPr>
          <w:rFonts w:cstheme="minorHAnsi"/>
          <w:b/>
          <w:lang w:val="fr-CH"/>
        </w:rPr>
        <w:t xml:space="preserve"> un thème « chapeau » amélioré pour le 50</w:t>
      </w:r>
      <w:r w:rsidRPr="002D340E">
        <w:rPr>
          <w:rFonts w:cstheme="minorHAnsi"/>
          <w:b/>
          <w:vertAlign w:val="superscript"/>
          <w:lang w:val="fr-CH"/>
        </w:rPr>
        <w:t>e</w:t>
      </w:r>
      <w:r>
        <w:rPr>
          <w:rFonts w:cstheme="minorHAnsi"/>
          <w:b/>
          <w:lang w:val="fr-CH"/>
        </w:rPr>
        <w:t> anniversaire avec le Secrétariat avant le 7 juillet</w:t>
      </w:r>
      <w:r w:rsidR="003E3DC0">
        <w:rPr>
          <w:rFonts w:cstheme="minorHAnsi"/>
          <w:b/>
          <w:lang w:val="fr-CH"/>
        </w:rPr>
        <w:t xml:space="preserve"> 2020</w:t>
      </w:r>
      <w:r>
        <w:rPr>
          <w:rFonts w:cstheme="minorHAnsi"/>
          <w:b/>
          <w:lang w:val="fr-CH"/>
        </w:rPr>
        <w:t>, et donne instruction au Secrétariat, en consultation avec le Sous</w:t>
      </w:r>
      <w:r>
        <w:rPr>
          <w:rFonts w:cstheme="minorHAnsi"/>
          <w:b/>
          <w:lang w:val="fr-CH"/>
        </w:rPr>
        <w:noBreakHyphen/>
        <w:t>groupe sur la COP14, de finaliser le thème, en tenant compte des idées reçues.</w:t>
      </w:r>
    </w:p>
    <w:p w14:paraId="5BA4A4E4" w14:textId="77777777" w:rsidR="002F4CE2" w:rsidRPr="001F5359" w:rsidRDefault="002F4CE2" w:rsidP="002F4CE2">
      <w:pPr>
        <w:spacing w:after="0" w:line="240" w:lineRule="auto"/>
        <w:rPr>
          <w:b/>
          <w:bCs/>
          <w:lang w:val="fr-CH"/>
        </w:rPr>
      </w:pPr>
    </w:p>
    <w:p w14:paraId="07C3690C" w14:textId="06846346" w:rsidR="009343F2" w:rsidRPr="003160CD"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8 de l’ordre du jour </w:t>
      </w:r>
      <w:r w:rsidR="00A33FB3" w:rsidRPr="003160CD">
        <w:rPr>
          <w:rFonts w:cstheme="minorHAnsi"/>
          <w:bCs/>
          <w:lang w:val="fr-FR"/>
        </w:rPr>
        <w:t xml:space="preserve">: </w:t>
      </w:r>
      <w:r w:rsidR="003160CD">
        <w:rPr>
          <w:rFonts w:cs="Calibri"/>
          <w:lang w:val="fr-CH"/>
        </w:rPr>
        <w:t>Point</w:t>
      </w:r>
      <w:r w:rsidR="003160CD" w:rsidRPr="0074234C">
        <w:rPr>
          <w:rFonts w:cs="Calibri"/>
          <w:lang w:val="fr-CH"/>
        </w:rPr>
        <w:t xml:space="preserve"> 8.2</w:t>
      </w:r>
      <w:r w:rsidR="003160CD">
        <w:rPr>
          <w:rFonts w:cs="Calibri"/>
          <w:lang w:val="fr-CH"/>
        </w:rPr>
        <w:t xml:space="preserve"> de l’ordre du jour</w:t>
      </w:r>
      <w:r w:rsidR="003E3DC0">
        <w:rPr>
          <w:rFonts w:cs="Calibri"/>
          <w:lang w:val="fr-CH"/>
        </w:rPr>
        <w:t xml:space="preserve"> de la 58</w:t>
      </w:r>
      <w:r w:rsidR="003E3DC0" w:rsidRPr="003E3DC0">
        <w:rPr>
          <w:rFonts w:cs="Calibri"/>
          <w:vertAlign w:val="superscript"/>
          <w:lang w:val="fr-CH"/>
        </w:rPr>
        <w:t>e</w:t>
      </w:r>
      <w:r w:rsidR="003E3DC0">
        <w:rPr>
          <w:rFonts w:cs="Calibri"/>
          <w:lang w:val="fr-CH"/>
        </w:rPr>
        <w:t xml:space="preserve"> Réunion du Comité permanent</w:t>
      </w:r>
      <w:r w:rsidR="003160CD">
        <w:rPr>
          <w:rFonts w:cs="Calibri"/>
          <w:lang w:val="fr-CH"/>
        </w:rPr>
        <w:t xml:space="preserve"> </w:t>
      </w:r>
      <w:r w:rsidR="003160CD">
        <w:rPr>
          <w:rFonts w:cs="Calibri"/>
          <w:i/>
          <w:lang w:val="fr-CH"/>
        </w:rPr>
        <w:t xml:space="preserve">Rapport sur les questions financières pour </w:t>
      </w:r>
      <w:r w:rsidR="003160CD" w:rsidRPr="002D388F">
        <w:rPr>
          <w:rFonts w:cs="Calibri"/>
          <w:i/>
          <w:lang w:val="fr-CH"/>
        </w:rPr>
        <w:t>2019 et 2020</w:t>
      </w:r>
      <w:r w:rsidR="003160CD" w:rsidRPr="0074234C">
        <w:rPr>
          <w:rFonts w:cs="Calibri"/>
          <w:lang w:val="fr-CH"/>
        </w:rPr>
        <w:t xml:space="preserve"> </w:t>
      </w:r>
      <w:r w:rsidR="003160CD">
        <w:rPr>
          <w:rFonts w:cs="Calibri"/>
          <w:lang w:val="fr-CH"/>
        </w:rPr>
        <w:t>et</w:t>
      </w:r>
      <w:r w:rsidR="003160CD" w:rsidRPr="0074234C">
        <w:rPr>
          <w:rFonts w:cs="Calibri"/>
          <w:lang w:val="fr-CH"/>
        </w:rPr>
        <w:t xml:space="preserve"> </w:t>
      </w:r>
      <w:r w:rsidR="003160CD">
        <w:rPr>
          <w:rFonts w:cs="Calibri"/>
          <w:lang w:val="fr-CH"/>
        </w:rPr>
        <w:t>point </w:t>
      </w:r>
      <w:r w:rsidR="003160CD" w:rsidRPr="0074234C">
        <w:rPr>
          <w:rFonts w:cs="Calibri"/>
          <w:lang w:val="fr-CH"/>
        </w:rPr>
        <w:t xml:space="preserve">8.3 </w:t>
      </w:r>
      <w:r w:rsidR="003160CD">
        <w:rPr>
          <w:rFonts w:cs="Calibri"/>
          <w:lang w:val="fr-CH"/>
        </w:rPr>
        <w:t xml:space="preserve">de l’ordre du jour </w:t>
      </w:r>
      <w:r w:rsidR="003E3DC0">
        <w:rPr>
          <w:rFonts w:cs="Calibri"/>
          <w:lang w:val="fr-CH"/>
        </w:rPr>
        <w:t>de la 58</w:t>
      </w:r>
      <w:r w:rsidR="003E3DC0" w:rsidRPr="003E3DC0">
        <w:rPr>
          <w:rFonts w:cs="Calibri"/>
          <w:vertAlign w:val="superscript"/>
          <w:lang w:val="fr-CH"/>
        </w:rPr>
        <w:t>e</w:t>
      </w:r>
      <w:r w:rsidR="003E3DC0">
        <w:rPr>
          <w:rFonts w:cs="Calibri"/>
          <w:lang w:val="fr-CH"/>
        </w:rPr>
        <w:t xml:space="preserve"> Réunion du Comité permanent </w:t>
      </w:r>
      <w:r w:rsidR="003160CD" w:rsidRPr="002D388F">
        <w:rPr>
          <w:rFonts w:cs="Calibri"/>
          <w:i/>
          <w:lang w:val="fr-CH"/>
        </w:rPr>
        <w:t>État des contributions annuelles</w:t>
      </w:r>
    </w:p>
    <w:p w14:paraId="517CCD8E" w14:textId="3BE6AF68" w:rsidR="00DE67FB" w:rsidRDefault="00DE67FB" w:rsidP="007426AF">
      <w:pPr>
        <w:spacing w:after="0" w:line="240" w:lineRule="auto"/>
        <w:ind w:left="567" w:hanging="567"/>
        <w:rPr>
          <w:bCs/>
          <w:lang w:val="fr-CH"/>
        </w:rPr>
      </w:pPr>
    </w:p>
    <w:p w14:paraId="1BE3F510" w14:textId="52E9ED0F" w:rsidR="00DE67FB" w:rsidRPr="00191548" w:rsidRDefault="00DE67FB" w:rsidP="00A50662">
      <w:pPr>
        <w:spacing w:after="0" w:line="240" w:lineRule="auto"/>
        <w:jc w:val="both"/>
        <w:rPr>
          <w:b/>
          <w:bCs/>
          <w:lang w:val="fr-CH"/>
        </w:rPr>
      </w:pPr>
      <w:r w:rsidRPr="00191548">
        <w:rPr>
          <w:b/>
          <w:bCs/>
          <w:lang w:val="fr-CH"/>
        </w:rPr>
        <w:t>Décision SC58-13 : Le Comité permanent approuve le rapport du Sous-groupe sur les finances</w:t>
      </w:r>
      <w:r w:rsidR="0021666A">
        <w:rPr>
          <w:b/>
          <w:bCs/>
          <w:lang w:val="fr-CH"/>
        </w:rPr>
        <w:t>,</w:t>
      </w:r>
      <w:r w:rsidR="00A50662">
        <w:rPr>
          <w:b/>
          <w:bCs/>
          <w:lang w:val="fr-CH"/>
        </w:rPr>
        <w:t xml:space="preserve"> à </w:t>
      </w:r>
      <w:r w:rsidRPr="00191548">
        <w:rPr>
          <w:b/>
          <w:bCs/>
          <w:lang w:val="fr-CH"/>
        </w:rPr>
        <w:t xml:space="preserve">l’exception des articles 1.2 et 1.3, qui seront traités </w:t>
      </w:r>
      <w:r w:rsidR="00421958">
        <w:rPr>
          <w:b/>
          <w:bCs/>
          <w:lang w:val="fr-CH"/>
        </w:rPr>
        <w:t xml:space="preserve">par le Comité permanent </w:t>
      </w:r>
      <w:r w:rsidR="00D45D81">
        <w:rPr>
          <w:b/>
          <w:bCs/>
          <w:lang w:val="fr-CH"/>
        </w:rPr>
        <w:t>ultérieurement aux</w:t>
      </w:r>
      <w:r w:rsidR="00A50662">
        <w:rPr>
          <w:b/>
          <w:bCs/>
          <w:lang w:val="fr-CH"/>
        </w:rPr>
        <w:t xml:space="preserve"> </w:t>
      </w:r>
      <w:r w:rsidRPr="00191548">
        <w:rPr>
          <w:b/>
          <w:bCs/>
          <w:lang w:val="fr-CH"/>
        </w:rPr>
        <w:t>points pertinents</w:t>
      </w:r>
      <w:r w:rsidR="0021666A">
        <w:rPr>
          <w:b/>
          <w:bCs/>
          <w:lang w:val="fr-CH"/>
        </w:rPr>
        <w:t xml:space="preserve"> de </w:t>
      </w:r>
      <w:r w:rsidR="00191548" w:rsidRPr="00191548">
        <w:rPr>
          <w:b/>
          <w:bCs/>
          <w:lang w:val="fr-CH"/>
        </w:rPr>
        <w:t>l’ordre du jour</w:t>
      </w:r>
      <w:r w:rsidR="00421958">
        <w:rPr>
          <w:b/>
          <w:bCs/>
          <w:lang w:val="fr-CH"/>
        </w:rPr>
        <w:t>.</w:t>
      </w:r>
    </w:p>
    <w:p w14:paraId="0FD3ED1F" w14:textId="77777777" w:rsidR="007426AF" w:rsidRPr="002D340E" w:rsidRDefault="007426AF" w:rsidP="008B3F43">
      <w:pPr>
        <w:spacing w:after="0" w:line="240" w:lineRule="auto"/>
        <w:rPr>
          <w:bCs/>
          <w:i/>
          <w:lang w:val="fr-CH"/>
        </w:rPr>
      </w:pPr>
    </w:p>
    <w:p w14:paraId="53D5D486" w14:textId="1F7FA4A5" w:rsidR="00E91DE3" w:rsidRPr="002D340E" w:rsidRDefault="00BC46C0" w:rsidP="00E91DE3">
      <w:pPr>
        <w:autoSpaceDE w:val="0"/>
        <w:autoSpaceDN w:val="0"/>
        <w:adjustRightInd w:val="0"/>
        <w:spacing w:after="0" w:line="240" w:lineRule="auto"/>
        <w:rPr>
          <w:rFonts w:cstheme="minorHAnsi"/>
          <w:b/>
          <w:lang w:val="fr-CH"/>
        </w:rPr>
      </w:pPr>
      <w:r w:rsidRPr="002D340E">
        <w:rPr>
          <w:rFonts w:cstheme="minorHAnsi"/>
          <w:b/>
          <w:lang w:val="fr-CH"/>
        </w:rPr>
        <w:t>D</w:t>
      </w:r>
      <w:r w:rsidR="000832E2" w:rsidRPr="002D340E">
        <w:rPr>
          <w:rFonts w:cstheme="minorHAnsi"/>
          <w:b/>
          <w:lang w:val="fr-CH"/>
        </w:rPr>
        <w:t>é</w:t>
      </w:r>
      <w:r w:rsidRPr="002D340E">
        <w:rPr>
          <w:rFonts w:cstheme="minorHAnsi"/>
          <w:b/>
          <w:lang w:val="fr-CH"/>
        </w:rPr>
        <w:t>cision SC</w:t>
      </w:r>
      <w:r w:rsidR="00DE67FB">
        <w:rPr>
          <w:rFonts w:cstheme="minorHAnsi"/>
          <w:b/>
          <w:lang w:val="fr-CH"/>
        </w:rPr>
        <w:t>58</w:t>
      </w:r>
      <w:r w:rsidRPr="002D340E">
        <w:rPr>
          <w:rFonts w:cstheme="minorHAnsi"/>
          <w:b/>
          <w:lang w:val="fr-CH"/>
        </w:rPr>
        <w:t>-</w:t>
      </w:r>
      <w:r w:rsidR="001A123C" w:rsidRPr="002D340E">
        <w:rPr>
          <w:rFonts w:cstheme="minorHAnsi"/>
          <w:b/>
          <w:lang w:val="fr-CH"/>
        </w:rPr>
        <w:t>1</w:t>
      </w:r>
      <w:r w:rsidR="00DE67FB">
        <w:rPr>
          <w:rFonts w:cstheme="minorHAnsi"/>
          <w:b/>
          <w:lang w:val="fr-CH"/>
        </w:rPr>
        <w:t>4</w:t>
      </w:r>
      <w:r w:rsidR="000832E2" w:rsidRPr="002D340E">
        <w:rPr>
          <w:rFonts w:cstheme="minorHAnsi"/>
          <w:b/>
          <w:lang w:val="fr-CH"/>
        </w:rPr>
        <w:t xml:space="preserve"> </w:t>
      </w:r>
      <w:r w:rsidRPr="002D340E">
        <w:rPr>
          <w:rFonts w:cstheme="minorHAnsi"/>
          <w:b/>
          <w:lang w:val="fr-CH"/>
        </w:rPr>
        <w:t xml:space="preserve">: </w:t>
      </w:r>
      <w:r w:rsidR="000832E2" w:rsidRPr="002D340E">
        <w:rPr>
          <w:rFonts w:cstheme="minorHAnsi"/>
          <w:b/>
          <w:lang w:val="fr-CH"/>
        </w:rPr>
        <w:t xml:space="preserve">Le Comité permanent </w:t>
      </w:r>
      <w:r w:rsidR="00E91DE3" w:rsidRPr="002D340E">
        <w:rPr>
          <w:rFonts w:cstheme="minorHAnsi"/>
          <w:b/>
          <w:lang w:val="fr-CH"/>
        </w:rPr>
        <w:t>:</w:t>
      </w:r>
    </w:p>
    <w:p w14:paraId="4D46EA6D" w14:textId="231E2080"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a</w:t>
      </w:r>
      <w:r w:rsidR="00E91DE3" w:rsidRPr="002D340E">
        <w:rPr>
          <w:rFonts w:asciiTheme="minorHAnsi" w:hAnsiTheme="minorHAnsi" w:cstheme="minorHAnsi"/>
          <w:b/>
          <w:iCs/>
          <w:sz w:val="22"/>
          <w:szCs w:val="22"/>
          <w:lang w:val="fr-CH" w:eastAsia="ja-JP"/>
        </w:rPr>
        <w:t>ccepte</w:t>
      </w:r>
      <w:r>
        <w:rPr>
          <w:rFonts w:asciiTheme="minorHAnsi" w:hAnsiTheme="minorHAnsi" w:cstheme="minorHAnsi"/>
          <w:b/>
          <w:iCs/>
          <w:sz w:val="22"/>
          <w:szCs w:val="22"/>
          <w:lang w:val="fr-CH" w:eastAsia="ja-JP"/>
        </w:rPr>
        <w:t xml:space="preserve"> les états financiers vérifiés au 31 décembre 2019 ; </w:t>
      </w:r>
      <w:r w:rsidR="00E91DE3" w:rsidRPr="002D340E">
        <w:rPr>
          <w:rFonts w:asciiTheme="minorHAnsi" w:hAnsiTheme="minorHAnsi" w:cstheme="minorHAnsi"/>
          <w:b/>
          <w:iCs/>
          <w:sz w:val="22"/>
          <w:szCs w:val="22"/>
          <w:lang w:val="fr-CH" w:eastAsia="ja-JP"/>
        </w:rPr>
        <w:t xml:space="preserve"> </w:t>
      </w:r>
    </w:p>
    <w:p w14:paraId="349C37F5" w14:textId="1EDD4B2E"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des résultats du budget administratif pour </w:t>
      </w:r>
      <w:r w:rsidR="00E91DE3" w:rsidRPr="002D340E">
        <w:rPr>
          <w:rFonts w:asciiTheme="minorHAnsi" w:hAnsiTheme="minorHAnsi" w:cstheme="minorHAnsi"/>
          <w:b/>
          <w:iCs/>
          <w:sz w:val="22"/>
          <w:szCs w:val="22"/>
          <w:lang w:val="fr-CH" w:eastAsia="ja-JP"/>
        </w:rPr>
        <w:t>2019</w:t>
      </w:r>
      <w:r>
        <w:rPr>
          <w:rFonts w:asciiTheme="minorHAnsi" w:hAnsiTheme="minorHAnsi" w:cstheme="minorHAnsi"/>
          <w:b/>
          <w:iCs/>
          <w:sz w:val="22"/>
          <w:szCs w:val="22"/>
          <w:lang w:val="fr-CH" w:eastAsia="ja-JP"/>
        </w:rPr>
        <w:t> </w:t>
      </w:r>
      <w:r w:rsidR="00E91DE3" w:rsidRPr="002D340E">
        <w:rPr>
          <w:rFonts w:asciiTheme="minorHAnsi" w:hAnsiTheme="minorHAnsi" w:cstheme="minorHAnsi"/>
          <w:b/>
          <w:iCs/>
          <w:sz w:val="22"/>
          <w:szCs w:val="22"/>
          <w:lang w:val="fr-CH" w:eastAsia="ja-JP"/>
        </w:rPr>
        <w:t>;</w:t>
      </w:r>
    </w:p>
    <w:p w14:paraId="681B7C1B" w14:textId="1A178175"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des soldes non administratifs et des contributions volontaires pour 2019 ; et </w:t>
      </w:r>
    </w:p>
    <w:p w14:paraId="300A7695" w14:textId="1B8DDB68" w:rsidR="00BC46C0" w:rsidRPr="002D340E" w:rsidRDefault="00653D89"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w:t>
      </w:r>
      <w:r w:rsidRPr="00653D89">
        <w:rPr>
          <w:rFonts w:asciiTheme="minorHAnsi" w:hAnsiTheme="minorHAnsi" w:cstheme="minorHAnsi"/>
          <w:b/>
          <w:iCs/>
          <w:sz w:val="22"/>
          <w:szCs w:val="22"/>
          <w:lang w:val="fr-CH" w:eastAsia="ja-JP"/>
        </w:rPr>
        <w:t>note de la réaffectation du budget 2019 décrite au paragraphe 14</w:t>
      </w:r>
      <w:r w:rsidR="000263AC">
        <w:rPr>
          <w:rFonts w:asciiTheme="minorHAnsi" w:hAnsiTheme="minorHAnsi" w:cstheme="minorHAnsi"/>
          <w:b/>
          <w:iCs/>
          <w:sz w:val="22"/>
          <w:szCs w:val="22"/>
          <w:lang w:val="fr-CH" w:eastAsia="ja-JP"/>
        </w:rPr>
        <w:t xml:space="preserve"> du document </w:t>
      </w:r>
      <w:r w:rsidR="00E91DE3" w:rsidRPr="002D340E">
        <w:rPr>
          <w:rFonts w:asciiTheme="minorHAnsi" w:hAnsiTheme="minorHAnsi" w:cstheme="minorHAnsi"/>
          <w:b/>
          <w:iCs/>
          <w:sz w:val="22"/>
          <w:szCs w:val="22"/>
          <w:lang w:val="fr-CH" w:eastAsia="ja-JP"/>
        </w:rPr>
        <w:t>SC58 Doc.8.2.</w:t>
      </w:r>
    </w:p>
    <w:p w14:paraId="31A27039" w14:textId="6D5D4C14" w:rsidR="00085D52" w:rsidRPr="002D340E" w:rsidRDefault="00085D52" w:rsidP="00BC46C0">
      <w:pPr>
        <w:autoSpaceDE w:val="0"/>
        <w:autoSpaceDN w:val="0"/>
        <w:adjustRightInd w:val="0"/>
        <w:spacing w:after="0" w:line="240" w:lineRule="auto"/>
        <w:rPr>
          <w:rFonts w:cstheme="minorHAnsi"/>
          <w:b/>
          <w:lang w:val="fr-CH"/>
        </w:rPr>
      </w:pPr>
    </w:p>
    <w:p w14:paraId="43B0896E" w14:textId="1589A9F9" w:rsidR="00085D52" w:rsidRPr="002D340E" w:rsidRDefault="00085D52" w:rsidP="00085D52">
      <w:pPr>
        <w:pStyle w:val="NormalWeb"/>
        <w:spacing w:after="0"/>
        <w:ind w:left="851" w:hanging="851"/>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0832E2"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 xml:space="preserve">cision </w:t>
      </w:r>
      <w:r w:rsidR="00B93B98">
        <w:rPr>
          <w:rFonts w:ascii="Calibri" w:hAnsi="Calibri" w:cstheme="minorHAnsi"/>
          <w:b/>
          <w:sz w:val="22"/>
          <w:szCs w:val="22"/>
          <w:lang w:val="fr-CH" w:eastAsia="en-US"/>
        </w:rPr>
        <w:t>SC58-15</w:t>
      </w:r>
      <w:r w:rsidR="000832E2"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0832E2" w:rsidRPr="002D340E">
        <w:rPr>
          <w:rFonts w:asciiTheme="minorHAnsi" w:hAnsiTheme="minorHAnsi" w:cstheme="minorHAnsi"/>
          <w:b/>
          <w:iCs/>
          <w:sz w:val="22"/>
          <w:szCs w:val="22"/>
          <w:lang w:val="fr-CH" w:eastAsia="ja-JP"/>
        </w:rPr>
        <w:t xml:space="preserve">Le Comité permanent </w:t>
      </w:r>
      <w:r w:rsidRPr="002D340E">
        <w:rPr>
          <w:rFonts w:asciiTheme="minorHAnsi" w:hAnsiTheme="minorHAnsi" w:cstheme="minorHAnsi"/>
          <w:b/>
          <w:iCs/>
          <w:sz w:val="22"/>
          <w:szCs w:val="22"/>
          <w:lang w:val="fr-CH" w:eastAsia="ja-JP"/>
        </w:rPr>
        <w:t xml:space="preserve">: </w:t>
      </w:r>
    </w:p>
    <w:p w14:paraId="66950DC3" w14:textId="3C4EAE77"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 l’état des contributions annuelles ; </w:t>
      </w:r>
    </w:p>
    <w:p w14:paraId="7F3DD2A5" w14:textId="79387077"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prend note des mesures énumérées dans les paragraphes 15, 17 et 18 du document SC58 </w:t>
      </w:r>
      <w:r w:rsidR="00085D52" w:rsidRPr="002D340E">
        <w:rPr>
          <w:rFonts w:asciiTheme="minorHAnsi" w:hAnsiTheme="minorHAnsi" w:cstheme="minorHAnsi"/>
          <w:b/>
          <w:iCs/>
          <w:sz w:val="22"/>
          <w:szCs w:val="22"/>
          <w:lang w:val="fr-CH" w:eastAsia="ja-JP"/>
        </w:rPr>
        <w:t xml:space="preserve">Doc.8.3 </w:t>
      </w:r>
      <w:r w:rsidR="00653D89" w:rsidRPr="00653D89">
        <w:rPr>
          <w:rFonts w:asciiTheme="minorHAnsi" w:hAnsiTheme="minorHAnsi" w:cstheme="minorHAnsi"/>
          <w:b/>
          <w:iCs/>
          <w:sz w:val="22"/>
          <w:szCs w:val="22"/>
          <w:lang w:val="fr-CH" w:eastAsia="ja-JP"/>
        </w:rPr>
        <w:t>en vue de continuer d’encourager le versement des contributions annuelles</w:t>
      </w:r>
      <w:r w:rsidR="00653D89">
        <w:rPr>
          <w:rFonts w:asciiTheme="minorHAnsi" w:hAnsiTheme="minorHAnsi" w:cstheme="minorHAnsi"/>
          <w:b/>
          <w:iCs/>
          <w:sz w:val="22"/>
          <w:szCs w:val="22"/>
          <w:lang w:val="fr-CH" w:eastAsia="ja-JP"/>
        </w:rPr>
        <w:t xml:space="preserve"> </w:t>
      </w:r>
      <w:r>
        <w:rPr>
          <w:rFonts w:asciiTheme="minorHAnsi" w:hAnsiTheme="minorHAnsi" w:cstheme="minorHAnsi"/>
          <w:b/>
          <w:iCs/>
          <w:sz w:val="22"/>
          <w:szCs w:val="22"/>
          <w:lang w:val="fr-CH" w:eastAsia="ja-JP"/>
        </w:rPr>
        <w:t xml:space="preserve">; </w:t>
      </w:r>
    </w:p>
    <w:p w14:paraId="01C6F7DC" w14:textId="51076EDC"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donne instruction au Secrétariat de continuer de publier l’état des contributions de chaque Partie sur le site web de la Convention et invite les Parties ayant des contributions </w:t>
      </w:r>
      <w:r w:rsidR="00660BC4">
        <w:rPr>
          <w:rFonts w:asciiTheme="minorHAnsi" w:hAnsiTheme="minorHAnsi" w:cstheme="minorHAnsi"/>
          <w:b/>
          <w:iCs/>
          <w:sz w:val="22"/>
          <w:szCs w:val="22"/>
          <w:lang w:val="fr-CH" w:eastAsia="ja-JP"/>
        </w:rPr>
        <w:t xml:space="preserve">impayées à </w:t>
      </w:r>
      <w:r>
        <w:rPr>
          <w:rFonts w:asciiTheme="minorHAnsi" w:hAnsiTheme="minorHAnsi" w:cstheme="minorHAnsi"/>
          <w:b/>
          <w:iCs/>
          <w:sz w:val="22"/>
          <w:szCs w:val="22"/>
          <w:lang w:val="fr-CH" w:eastAsia="ja-JP"/>
        </w:rPr>
        <w:t xml:space="preserve">accepter un plan de </w:t>
      </w:r>
      <w:r w:rsidR="00660BC4">
        <w:rPr>
          <w:rFonts w:asciiTheme="minorHAnsi" w:hAnsiTheme="minorHAnsi" w:cstheme="minorHAnsi"/>
          <w:b/>
          <w:iCs/>
          <w:sz w:val="22"/>
          <w:szCs w:val="22"/>
          <w:lang w:val="fr-CH" w:eastAsia="ja-JP"/>
        </w:rPr>
        <w:t>versement</w:t>
      </w:r>
      <w:r>
        <w:rPr>
          <w:rFonts w:asciiTheme="minorHAnsi" w:hAnsiTheme="minorHAnsi" w:cstheme="minorHAnsi"/>
          <w:b/>
          <w:iCs/>
          <w:sz w:val="22"/>
          <w:szCs w:val="22"/>
          <w:lang w:val="fr-CH" w:eastAsia="ja-JP"/>
        </w:rPr>
        <w:t xml:space="preserve"> en </w:t>
      </w:r>
      <w:r w:rsidR="00660BC4">
        <w:rPr>
          <w:rFonts w:asciiTheme="minorHAnsi" w:hAnsiTheme="minorHAnsi" w:cstheme="minorHAnsi"/>
          <w:b/>
          <w:iCs/>
          <w:sz w:val="22"/>
          <w:szCs w:val="22"/>
          <w:lang w:val="fr-CH" w:eastAsia="ja-JP"/>
        </w:rPr>
        <w:t>concertation</w:t>
      </w:r>
      <w:r>
        <w:rPr>
          <w:rFonts w:asciiTheme="minorHAnsi" w:hAnsiTheme="minorHAnsi" w:cstheme="minorHAnsi"/>
          <w:b/>
          <w:iCs/>
          <w:sz w:val="22"/>
          <w:szCs w:val="22"/>
          <w:lang w:val="fr-CH" w:eastAsia="ja-JP"/>
        </w:rPr>
        <w:t xml:space="preserve"> avec le Secrétariat ; et </w:t>
      </w:r>
    </w:p>
    <w:p w14:paraId="491F6666" w14:textId="7870C803"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donne instruction au Secrétariat de collaborer avec les Parties qui ont pu verser leurs </w:t>
      </w:r>
      <w:r>
        <w:rPr>
          <w:rFonts w:asciiTheme="minorHAnsi" w:hAnsiTheme="minorHAnsi" w:cstheme="minorHAnsi"/>
          <w:b/>
          <w:iCs/>
          <w:sz w:val="22"/>
          <w:szCs w:val="22"/>
          <w:lang w:val="fr-CH" w:eastAsia="ja-JP"/>
        </w:rPr>
        <w:lastRenderedPageBreak/>
        <w:t xml:space="preserve">contributions </w:t>
      </w:r>
      <w:r w:rsidR="00117C19">
        <w:rPr>
          <w:rFonts w:asciiTheme="minorHAnsi" w:hAnsiTheme="minorHAnsi" w:cstheme="minorHAnsi"/>
          <w:b/>
          <w:iCs/>
          <w:sz w:val="22"/>
          <w:szCs w:val="22"/>
          <w:lang w:val="fr-CH" w:eastAsia="ja-JP"/>
        </w:rPr>
        <w:t>à recevoir</w:t>
      </w:r>
      <w:r>
        <w:rPr>
          <w:rFonts w:asciiTheme="minorHAnsi" w:hAnsiTheme="minorHAnsi" w:cstheme="minorHAnsi"/>
          <w:b/>
          <w:iCs/>
          <w:sz w:val="22"/>
          <w:szCs w:val="22"/>
          <w:lang w:val="fr-CH" w:eastAsia="ja-JP"/>
        </w:rPr>
        <w:t>, en particulier depuis longtemps, afin d’identifier de bonnes pratiques et des efforts qui pourraient être partagés.</w:t>
      </w:r>
      <w:r w:rsidR="00085D52" w:rsidRPr="002D340E">
        <w:rPr>
          <w:rFonts w:asciiTheme="minorHAnsi" w:hAnsiTheme="minorHAnsi" w:cstheme="minorHAnsi"/>
          <w:b/>
          <w:iCs/>
          <w:sz w:val="22"/>
          <w:szCs w:val="22"/>
          <w:lang w:val="fr-CH" w:eastAsia="ja-JP"/>
        </w:rPr>
        <w:t xml:space="preserve"> </w:t>
      </w:r>
    </w:p>
    <w:p w14:paraId="71362E14" w14:textId="085FD23F" w:rsidR="00085D52" w:rsidRPr="002D340E" w:rsidRDefault="00085D52" w:rsidP="00085D52">
      <w:pPr>
        <w:pStyle w:val="NormalWeb"/>
        <w:widowControl w:val="0"/>
        <w:adjustRightInd w:val="0"/>
        <w:spacing w:after="0"/>
        <w:textAlignment w:val="baseline"/>
        <w:rPr>
          <w:rFonts w:asciiTheme="minorHAnsi" w:hAnsiTheme="minorHAnsi" w:cstheme="minorHAnsi"/>
          <w:b/>
          <w:iCs/>
          <w:sz w:val="22"/>
          <w:szCs w:val="22"/>
          <w:lang w:val="fr-CH" w:eastAsia="ja-JP"/>
        </w:rPr>
      </w:pPr>
    </w:p>
    <w:p w14:paraId="2D395F14" w14:textId="2F6969B8" w:rsidR="00085D52" w:rsidRPr="002D340E" w:rsidRDefault="00085D52" w:rsidP="00085D52">
      <w:pPr>
        <w:pStyle w:val="NormalWeb"/>
        <w:widowControl w:val="0"/>
        <w:adjustRightInd w:val="0"/>
        <w:spacing w:after="0"/>
        <w:textAlignment w:val="baseline"/>
        <w:rPr>
          <w:rFonts w:asciiTheme="minorHAnsi" w:hAnsiTheme="minorHAnsi" w:cstheme="minorHAnsi"/>
          <w:b/>
          <w:sz w:val="22"/>
          <w:szCs w:val="22"/>
          <w:lang w:val="fr-CH"/>
        </w:rPr>
      </w:pPr>
      <w:r w:rsidRPr="002D340E">
        <w:rPr>
          <w:rFonts w:ascii="Calibri" w:hAnsi="Calibri" w:cstheme="minorHAnsi"/>
          <w:b/>
          <w:sz w:val="22"/>
          <w:szCs w:val="22"/>
          <w:lang w:val="fr-CH" w:eastAsia="en-US"/>
        </w:rPr>
        <w:t>D</w:t>
      </w:r>
      <w:r w:rsidR="000832E2"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6</w:t>
      </w:r>
      <w:r w:rsidR="000832E2"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0832E2" w:rsidRPr="002D340E">
        <w:rPr>
          <w:rFonts w:asciiTheme="minorHAnsi" w:hAnsiTheme="minorHAnsi" w:cstheme="minorHAnsi"/>
          <w:b/>
          <w:sz w:val="22"/>
          <w:szCs w:val="22"/>
          <w:lang w:val="fr-CH"/>
        </w:rPr>
        <w:t xml:space="preserve">Le Comité permanent </w:t>
      </w:r>
      <w:r w:rsidR="001B2798" w:rsidRPr="002D340E">
        <w:rPr>
          <w:rFonts w:asciiTheme="minorHAnsi" w:hAnsiTheme="minorHAnsi" w:cstheme="minorHAnsi"/>
          <w:b/>
          <w:sz w:val="22"/>
          <w:szCs w:val="22"/>
          <w:lang w:val="fr-CH"/>
        </w:rPr>
        <w:t xml:space="preserve">prend note </w:t>
      </w:r>
      <w:r w:rsidRPr="002D340E">
        <w:rPr>
          <w:rFonts w:asciiTheme="minorHAnsi" w:hAnsiTheme="minorHAnsi" w:cstheme="minorHAnsi"/>
          <w:b/>
          <w:sz w:val="22"/>
          <w:szCs w:val="22"/>
          <w:lang w:val="fr-CH"/>
        </w:rPr>
        <w:t>:</w:t>
      </w:r>
    </w:p>
    <w:p w14:paraId="0D01573D" w14:textId="2E8ED15D" w:rsidR="00085D52" w:rsidRPr="002D340E" w:rsidRDefault="00653D89" w:rsidP="00085D52">
      <w:pPr>
        <w:pStyle w:val="Default"/>
        <w:numPr>
          <w:ilvl w:val="0"/>
          <w:numId w:val="30"/>
        </w:numPr>
        <w:ind w:left="426"/>
        <w:rPr>
          <w:rFonts w:asciiTheme="minorHAnsi" w:hAnsiTheme="minorHAnsi" w:cstheme="minorHAnsi"/>
          <w:b/>
          <w:color w:val="auto"/>
          <w:sz w:val="22"/>
          <w:szCs w:val="22"/>
          <w:lang w:val="fr-CH"/>
        </w:rPr>
      </w:pPr>
      <w:r>
        <w:rPr>
          <w:rFonts w:asciiTheme="minorHAnsi" w:hAnsiTheme="minorHAnsi" w:cstheme="minorHAnsi"/>
          <w:b/>
          <w:color w:val="auto"/>
          <w:sz w:val="22"/>
          <w:szCs w:val="22"/>
          <w:lang w:val="fr-CH"/>
        </w:rPr>
        <w:t xml:space="preserve">des </w:t>
      </w:r>
      <w:r w:rsidRPr="00653D89">
        <w:rPr>
          <w:rFonts w:asciiTheme="minorHAnsi" w:hAnsiTheme="minorHAnsi" w:cstheme="minorHAnsi"/>
          <w:b/>
          <w:color w:val="auto"/>
          <w:sz w:val="22"/>
          <w:szCs w:val="22"/>
          <w:lang w:val="fr-CH"/>
        </w:rPr>
        <w:t>changements dans les contributions annuelles à recevoir et dans les provisions annuelles pour les contributions à recevoir</w:t>
      </w:r>
      <w:r w:rsidR="000263AC">
        <w:rPr>
          <w:rFonts w:asciiTheme="minorHAnsi" w:hAnsiTheme="minorHAnsi" w:cstheme="minorHAnsi"/>
          <w:b/>
          <w:color w:val="auto"/>
          <w:sz w:val="22"/>
          <w:szCs w:val="22"/>
          <w:lang w:val="fr-CH"/>
        </w:rPr>
        <w:t> ;</w:t>
      </w:r>
    </w:p>
    <w:p w14:paraId="077C71E4" w14:textId="6BC2692F" w:rsidR="00085D52" w:rsidRPr="002D340E" w:rsidRDefault="00653D89" w:rsidP="00085D52">
      <w:pPr>
        <w:pStyle w:val="Default"/>
        <w:numPr>
          <w:ilvl w:val="0"/>
          <w:numId w:val="30"/>
        </w:numPr>
        <w:ind w:left="426"/>
        <w:rPr>
          <w:rFonts w:asciiTheme="minorHAnsi" w:hAnsiTheme="minorHAnsi" w:cstheme="minorHAnsi"/>
          <w:b/>
          <w:color w:val="auto"/>
          <w:sz w:val="22"/>
          <w:szCs w:val="22"/>
          <w:lang w:val="fr-CH"/>
        </w:rPr>
      </w:pPr>
      <w:r w:rsidRPr="00653D89">
        <w:rPr>
          <w:rFonts w:asciiTheme="minorHAnsi" w:hAnsiTheme="minorHAnsi" w:cstheme="minorHAnsi"/>
          <w:b/>
          <w:color w:val="auto"/>
          <w:sz w:val="22"/>
          <w:szCs w:val="22"/>
          <w:lang w:val="fr-CH"/>
        </w:rPr>
        <w:t>de l’état actuel des contributions volontaires de la région Afrique</w:t>
      </w:r>
      <w:r w:rsidR="000263AC">
        <w:rPr>
          <w:rFonts w:asciiTheme="minorHAnsi" w:hAnsiTheme="minorHAnsi" w:cstheme="minorHAnsi"/>
          <w:b/>
          <w:color w:val="auto"/>
          <w:sz w:val="22"/>
          <w:szCs w:val="22"/>
          <w:lang w:val="fr-CH"/>
        </w:rPr>
        <w:t xml:space="preserve">; et </w:t>
      </w:r>
    </w:p>
    <w:p w14:paraId="4C29EA2E" w14:textId="1BD2238B" w:rsidR="00085D52" w:rsidRPr="002D340E" w:rsidRDefault="000263AC" w:rsidP="00085D52">
      <w:pPr>
        <w:pStyle w:val="Default"/>
        <w:numPr>
          <w:ilvl w:val="0"/>
          <w:numId w:val="30"/>
        </w:numPr>
        <w:ind w:left="426"/>
        <w:rPr>
          <w:iCs/>
          <w:lang w:val="fr-CH" w:eastAsia="ja-JP"/>
        </w:rPr>
      </w:pPr>
      <w:r>
        <w:rPr>
          <w:rFonts w:asciiTheme="minorHAnsi" w:hAnsiTheme="minorHAnsi" w:cstheme="minorHAnsi"/>
          <w:b/>
          <w:color w:val="auto"/>
          <w:sz w:val="22"/>
          <w:szCs w:val="22"/>
          <w:lang w:val="fr-CH"/>
        </w:rPr>
        <w:t>de la décision concernant l’attribution de fonds aux Initiatives région</w:t>
      </w:r>
      <w:r w:rsidR="00935533">
        <w:rPr>
          <w:rFonts w:asciiTheme="minorHAnsi" w:hAnsiTheme="minorHAnsi" w:cstheme="minorHAnsi"/>
          <w:b/>
          <w:color w:val="auto"/>
          <w:sz w:val="22"/>
          <w:szCs w:val="22"/>
          <w:lang w:val="fr-CH"/>
        </w:rPr>
        <w:t>ales Ramsar en Afrique par les r</w:t>
      </w:r>
      <w:r>
        <w:rPr>
          <w:rFonts w:asciiTheme="minorHAnsi" w:hAnsiTheme="minorHAnsi" w:cstheme="minorHAnsi"/>
          <w:b/>
          <w:color w:val="auto"/>
          <w:sz w:val="22"/>
          <w:szCs w:val="22"/>
          <w:lang w:val="fr-CH"/>
        </w:rPr>
        <w:t xml:space="preserve">eprésentants régionaux africains, comme suit : </w:t>
      </w:r>
      <w:r w:rsidR="00085D52" w:rsidRPr="002D340E">
        <w:rPr>
          <w:rFonts w:asciiTheme="minorHAnsi" w:hAnsiTheme="minorHAnsi" w:cstheme="minorHAnsi"/>
          <w:b/>
          <w:color w:val="auto"/>
          <w:sz w:val="22"/>
          <w:szCs w:val="22"/>
          <w:lang w:val="fr-CH"/>
        </w:rPr>
        <w:t>30</w:t>
      </w:r>
      <w:r>
        <w:rPr>
          <w:rFonts w:asciiTheme="minorHAnsi" w:hAnsiTheme="minorHAnsi" w:cstheme="minorHAnsi"/>
          <w:b/>
          <w:color w:val="auto"/>
          <w:sz w:val="22"/>
          <w:szCs w:val="22"/>
          <w:lang w:val="fr-CH"/>
        </w:rPr>
        <w:t> </w:t>
      </w:r>
      <w:r w:rsidR="00085D52" w:rsidRPr="002D340E">
        <w:rPr>
          <w:rFonts w:asciiTheme="minorHAnsi" w:hAnsiTheme="minorHAnsi" w:cstheme="minorHAnsi"/>
          <w:b/>
          <w:color w:val="auto"/>
          <w:sz w:val="22"/>
          <w:szCs w:val="22"/>
          <w:lang w:val="fr-CH"/>
        </w:rPr>
        <w:t>333</w:t>
      </w:r>
      <w:r>
        <w:rPr>
          <w:rFonts w:asciiTheme="minorHAnsi" w:hAnsiTheme="minorHAnsi" w:cstheme="minorHAnsi"/>
          <w:b/>
          <w:color w:val="auto"/>
          <w:sz w:val="22"/>
          <w:szCs w:val="22"/>
          <w:lang w:val="fr-CH"/>
        </w:rPr>
        <w:t> CHF chacune</w:t>
      </w:r>
      <w:r w:rsidR="00653D89">
        <w:rPr>
          <w:rFonts w:asciiTheme="minorHAnsi" w:hAnsiTheme="minorHAnsi" w:cstheme="minorHAnsi"/>
          <w:b/>
          <w:color w:val="auto"/>
          <w:sz w:val="22"/>
          <w:szCs w:val="22"/>
          <w:lang w:val="fr-CH"/>
        </w:rPr>
        <w:t xml:space="preserve"> à</w:t>
      </w:r>
      <w:r>
        <w:rPr>
          <w:rFonts w:asciiTheme="minorHAnsi" w:hAnsiTheme="minorHAnsi" w:cstheme="minorHAnsi"/>
          <w:b/>
          <w:color w:val="auto"/>
          <w:sz w:val="22"/>
          <w:szCs w:val="22"/>
          <w:lang w:val="fr-CH"/>
        </w:rPr>
        <w:t xml:space="preserve"> </w:t>
      </w:r>
      <w:r w:rsidR="00085D52" w:rsidRPr="002D340E">
        <w:rPr>
          <w:rFonts w:asciiTheme="minorHAnsi" w:hAnsiTheme="minorHAnsi" w:cstheme="minorHAnsi"/>
          <w:b/>
          <w:color w:val="auto"/>
          <w:sz w:val="22"/>
          <w:szCs w:val="22"/>
          <w:lang w:val="fr-CH"/>
        </w:rPr>
        <w:t xml:space="preserve">RamCEA, WACoWet </w:t>
      </w:r>
      <w:r>
        <w:rPr>
          <w:rFonts w:asciiTheme="minorHAnsi" w:hAnsiTheme="minorHAnsi" w:cstheme="minorHAnsi"/>
          <w:b/>
          <w:color w:val="auto"/>
          <w:sz w:val="22"/>
          <w:szCs w:val="22"/>
          <w:lang w:val="fr-CH"/>
        </w:rPr>
        <w:t>et</w:t>
      </w:r>
      <w:r w:rsidR="00085D52" w:rsidRPr="002D340E">
        <w:rPr>
          <w:rFonts w:asciiTheme="minorHAnsi" w:hAnsiTheme="minorHAnsi" w:cstheme="minorHAnsi"/>
          <w:b/>
          <w:color w:val="auto"/>
          <w:sz w:val="22"/>
          <w:szCs w:val="22"/>
          <w:lang w:val="fr-CH"/>
        </w:rPr>
        <w:t xml:space="preserve"> NigerWet.</w:t>
      </w:r>
      <w:r w:rsidR="00085D52" w:rsidRPr="002D340E">
        <w:rPr>
          <w:iCs/>
          <w:lang w:val="fr-CH" w:eastAsia="ja-JP"/>
        </w:rPr>
        <w:tab/>
      </w:r>
    </w:p>
    <w:p w14:paraId="7F09C2F2" w14:textId="77777777" w:rsidR="00085D52" w:rsidRPr="002D340E" w:rsidRDefault="00085D52" w:rsidP="00085D52">
      <w:pPr>
        <w:pStyle w:val="NormalWeb"/>
        <w:spacing w:after="0"/>
        <w:rPr>
          <w:rFonts w:asciiTheme="minorHAnsi" w:hAnsiTheme="minorHAnsi" w:cstheme="minorHAnsi"/>
          <w:sz w:val="22"/>
          <w:szCs w:val="22"/>
          <w:lang w:val="fr-CH" w:eastAsia="ja-JP"/>
        </w:rPr>
      </w:pPr>
    </w:p>
    <w:p w14:paraId="20B0BDAE" w14:textId="434FB3E3" w:rsidR="00085D52" w:rsidRPr="002D340E" w:rsidRDefault="00E91DE3" w:rsidP="00E91DE3">
      <w:pPr>
        <w:pStyle w:val="NormalWeb"/>
        <w:spacing w:after="0"/>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1B2798"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SC2</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7</w:t>
      </w:r>
      <w:r w:rsidR="001B2798"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1B2798" w:rsidRPr="002D340E">
        <w:rPr>
          <w:rFonts w:asciiTheme="minorHAnsi" w:hAnsiTheme="minorHAnsi" w:cstheme="minorHAnsi"/>
          <w:b/>
          <w:sz w:val="22"/>
          <w:szCs w:val="22"/>
          <w:lang w:val="fr-CH"/>
        </w:rPr>
        <w:t xml:space="preserve">Le Comité permanent </w:t>
      </w:r>
      <w:r w:rsidR="000263AC">
        <w:rPr>
          <w:rFonts w:asciiTheme="minorHAnsi" w:hAnsiTheme="minorHAnsi" w:cstheme="minorHAnsi"/>
          <w:b/>
          <w:iCs/>
          <w:sz w:val="22"/>
          <w:szCs w:val="22"/>
          <w:lang w:val="fr-CH" w:eastAsia="ja-JP"/>
        </w:rPr>
        <w:t xml:space="preserve">prend </w:t>
      </w:r>
      <w:r w:rsidR="00653D89" w:rsidRPr="00653D89">
        <w:rPr>
          <w:rFonts w:asciiTheme="minorHAnsi" w:hAnsiTheme="minorHAnsi" w:cstheme="minorHAnsi"/>
          <w:b/>
          <w:iCs/>
          <w:sz w:val="22"/>
          <w:szCs w:val="22"/>
          <w:lang w:val="fr-CH" w:eastAsia="ja-JP"/>
        </w:rPr>
        <w:t xml:space="preserve">note des progrès accomplis concernant la mise en œuvre des recommandations issues de l’Examen de la gestion financière des comptes des fonds non administratifs réalisé par l’UICN </w:t>
      </w:r>
      <w:r w:rsidR="00653D89">
        <w:rPr>
          <w:rFonts w:asciiTheme="minorHAnsi" w:hAnsiTheme="minorHAnsi" w:cstheme="minorHAnsi"/>
          <w:b/>
          <w:iCs/>
          <w:sz w:val="22"/>
          <w:szCs w:val="22"/>
          <w:lang w:val="fr-CH" w:eastAsia="ja-JP"/>
        </w:rPr>
        <w:t xml:space="preserve">et </w:t>
      </w:r>
      <w:r w:rsidR="00653D89" w:rsidRPr="00653D89">
        <w:rPr>
          <w:rFonts w:asciiTheme="minorHAnsi" w:hAnsiTheme="minorHAnsi" w:cstheme="minorHAnsi"/>
          <w:b/>
          <w:iCs/>
          <w:sz w:val="22"/>
          <w:szCs w:val="22"/>
          <w:lang w:val="fr-CH" w:eastAsia="ja-JP"/>
        </w:rPr>
        <w:t>approuve la proposition relative à l’utilisation des frais de gestion, comme décrit au paragraphe 43</w:t>
      </w:r>
      <w:r w:rsidR="000263AC">
        <w:rPr>
          <w:rFonts w:asciiTheme="minorHAnsi" w:hAnsiTheme="minorHAnsi" w:cstheme="minorHAnsi"/>
          <w:b/>
          <w:iCs/>
          <w:sz w:val="22"/>
          <w:szCs w:val="22"/>
          <w:lang w:val="fr-CH" w:eastAsia="ja-JP"/>
        </w:rPr>
        <w:t xml:space="preserve"> du document </w:t>
      </w:r>
      <w:r w:rsidRPr="002D340E">
        <w:rPr>
          <w:rFonts w:ascii="Calibri" w:hAnsi="Calibri" w:cstheme="minorHAnsi"/>
          <w:b/>
          <w:sz w:val="22"/>
          <w:szCs w:val="22"/>
          <w:lang w:val="fr-CH" w:eastAsia="en-US"/>
        </w:rPr>
        <w:t>SC58 Doc.8.</w:t>
      </w:r>
      <w:r w:rsidR="00653D89">
        <w:rPr>
          <w:rFonts w:ascii="Calibri" w:hAnsi="Calibri" w:cstheme="minorHAnsi"/>
          <w:b/>
          <w:sz w:val="22"/>
          <w:szCs w:val="22"/>
          <w:lang w:val="fr-CH" w:eastAsia="en-US"/>
        </w:rPr>
        <w:t>2</w:t>
      </w:r>
      <w:r w:rsidR="00085D52" w:rsidRPr="002D340E">
        <w:rPr>
          <w:rFonts w:asciiTheme="minorHAnsi" w:hAnsiTheme="minorHAnsi" w:cstheme="minorHAnsi"/>
          <w:b/>
          <w:iCs/>
          <w:sz w:val="22"/>
          <w:szCs w:val="22"/>
          <w:lang w:val="fr-CH" w:eastAsia="ja-JP"/>
        </w:rPr>
        <w:t>.</w:t>
      </w:r>
    </w:p>
    <w:p w14:paraId="37698066" w14:textId="77777777" w:rsidR="00085D52" w:rsidRPr="002D340E" w:rsidRDefault="00085D52" w:rsidP="00085D52">
      <w:pPr>
        <w:pStyle w:val="NormalWeb"/>
        <w:spacing w:after="0"/>
        <w:rPr>
          <w:rFonts w:asciiTheme="minorHAnsi" w:hAnsiTheme="minorHAnsi"/>
          <w:b/>
          <w:sz w:val="22"/>
          <w:lang w:val="fr-CH"/>
        </w:rPr>
      </w:pPr>
    </w:p>
    <w:p w14:paraId="42B1FA28" w14:textId="69650E02" w:rsidR="00085D52" w:rsidRPr="002D340E" w:rsidRDefault="00E91DE3" w:rsidP="00E91DE3">
      <w:pPr>
        <w:pStyle w:val="NormalWeb"/>
        <w:spacing w:after="0"/>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1B2798"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SC2</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8</w:t>
      </w:r>
      <w:r w:rsidR="001B2798"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1B2798" w:rsidRPr="002D340E">
        <w:rPr>
          <w:rFonts w:asciiTheme="minorHAnsi" w:hAnsiTheme="minorHAnsi" w:cstheme="minorHAnsi"/>
          <w:b/>
          <w:sz w:val="22"/>
          <w:szCs w:val="22"/>
          <w:lang w:val="fr-CH"/>
        </w:rPr>
        <w:t xml:space="preserve">Le Comité permanent </w:t>
      </w:r>
      <w:r w:rsidR="001E2CA6">
        <w:rPr>
          <w:rFonts w:asciiTheme="minorHAnsi" w:hAnsiTheme="minorHAnsi" w:cstheme="minorHAnsi"/>
          <w:b/>
          <w:sz w:val="22"/>
          <w:szCs w:val="22"/>
          <w:lang w:val="fr-CH"/>
        </w:rPr>
        <w:t xml:space="preserve">examine </w:t>
      </w:r>
      <w:r w:rsidR="00653D89" w:rsidRPr="00653D89">
        <w:rPr>
          <w:rFonts w:asciiTheme="minorHAnsi" w:hAnsiTheme="minorHAnsi" w:cstheme="minorHAnsi"/>
          <w:b/>
          <w:sz w:val="22"/>
          <w:szCs w:val="22"/>
          <w:lang w:val="fr-CH"/>
        </w:rPr>
        <w:t>la proposition de l’auditeur externe des comptes concernant une approche de groupe pour confirmer les soldes impayés des Parties contractantes en réponse à la Décision SC57-40, et approuve la marche à suivre proposée aux paragraphes 50 et 51</w:t>
      </w:r>
      <w:r w:rsidR="00653D89">
        <w:rPr>
          <w:rFonts w:asciiTheme="minorHAnsi" w:hAnsiTheme="minorHAnsi" w:cstheme="minorHAnsi"/>
          <w:b/>
          <w:sz w:val="22"/>
          <w:szCs w:val="22"/>
          <w:lang w:val="fr-CH"/>
        </w:rPr>
        <w:t xml:space="preserve"> </w:t>
      </w:r>
      <w:r w:rsidR="004F4A7F">
        <w:rPr>
          <w:rFonts w:asciiTheme="minorHAnsi" w:hAnsiTheme="minorHAnsi" w:cstheme="minorHAnsi"/>
          <w:b/>
          <w:iCs/>
          <w:sz w:val="22"/>
          <w:szCs w:val="22"/>
          <w:lang w:val="fr-CH" w:eastAsia="ja-JP"/>
        </w:rPr>
        <w:t xml:space="preserve">du </w:t>
      </w:r>
      <w:r w:rsidRPr="002D340E">
        <w:rPr>
          <w:rFonts w:ascii="Calibri" w:hAnsi="Calibri" w:cstheme="minorHAnsi"/>
          <w:b/>
          <w:sz w:val="22"/>
          <w:szCs w:val="22"/>
          <w:lang w:val="fr-CH" w:eastAsia="en-US"/>
        </w:rPr>
        <w:t>document SC58 Doc.8.</w:t>
      </w:r>
      <w:r w:rsidR="00653D89">
        <w:rPr>
          <w:rFonts w:ascii="Calibri" w:hAnsi="Calibri" w:cstheme="minorHAnsi"/>
          <w:b/>
          <w:sz w:val="22"/>
          <w:szCs w:val="22"/>
          <w:lang w:val="fr-CH" w:eastAsia="en-US"/>
        </w:rPr>
        <w:t>2</w:t>
      </w:r>
      <w:r w:rsidR="00085D52" w:rsidRPr="002D340E">
        <w:rPr>
          <w:rFonts w:asciiTheme="minorHAnsi" w:hAnsiTheme="minorHAnsi" w:cstheme="minorHAnsi"/>
          <w:b/>
          <w:iCs/>
          <w:sz w:val="22"/>
          <w:szCs w:val="22"/>
          <w:lang w:val="fr-CH" w:eastAsia="ja-JP"/>
        </w:rPr>
        <w:t>.</w:t>
      </w:r>
    </w:p>
    <w:p w14:paraId="5F117FBF" w14:textId="77777777" w:rsidR="00085D52" w:rsidRPr="00653D89" w:rsidRDefault="00085D52" w:rsidP="00085D52">
      <w:pPr>
        <w:pStyle w:val="NormalWeb"/>
        <w:widowControl w:val="0"/>
        <w:adjustRightInd w:val="0"/>
        <w:spacing w:after="0"/>
        <w:textAlignment w:val="baseline"/>
        <w:rPr>
          <w:rFonts w:asciiTheme="minorHAnsi" w:hAnsiTheme="minorHAnsi" w:cstheme="minorHAnsi"/>
          <w:b/>
          <w:i/>
          <w:iCs/>
          <w:sz w:val="22"/>
          <w:szCs w:val="22"/>
          <w:lang w:val="fr-FR" w:eastAsia="ja-JP"/>
        </w:rPr>
      </w:pPr>
    </w:p>
    <w:p w14:paraId="5CFD250A" w14:textId="1E1B84D4" w:rsidR="001500B9" w:rsidRPr="003160CD" w:rsidRDefault="003160CD"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w:t>
      </w:r>
      <w:r>
        <w:rPr>
          <w:rFonts w:cstheme="minorHAnsi"/>
          <w:bCs/>
          <w:lang w:val="fr-FR"/>
        </w:rPr>
        <w:t>9</w:t>
      </w:r>
      <w:r w:rsidRPr="003160CD">
        <w:rPr>
          <w:rFonts w:cstheme="minorHAnsi"/>
          <w:bCs/>
          <w:lang w:val="fr-FR"/>
        </w:rPr>
        <w:t xml:space="preserve"> de l’ordre du jour</w:t>
      </w:r>
      <w:r>
        <w:rPr>
          <w:rFonts w:cstheme="minorHAnsi"/>
          <w:bCs/>
          <w:lang w:val="fr-FR"/>
        </w:rPr>
        <w:t xml:space="preserve"> </w:t>
      </w:r>
      <w:r w:rsidR="00A33FB3" w:rsidRPr="003160CD">
        <w:rPr>
          <w:rFonts w:cstheme="minorHAnsi"/>
          <w:bCs/>
          <w:lang w:val="fr-FR"/>
        </w:rPr>
        <w:t xml:space="preserve">: </w:t>
      </w:r>
      <w:r w:rsidRPr="0074234C">
        <w:rPr>
          <w:rFonts w:cs="Calibri"/>
          <w:lang w:val="fr-CH"/>
        </w:rPr>
        <w:t xml:space="preserve">Révision </w:t>
      </w:r>
      <w:r>
        <w:rPr>
          <w:rFonts w:cs="Calibri"/>
          <w:lang w:val="fr-CH"/>
        </w:rPr>
        <w:t>des décisions sur les points de l’ordre du jour discutés par courriel</w:t>
      </w:r>
    </w:p>
    <w:p w14:paraId="193E29B4" w14:textId="77777777" w:rsidR="00E26A45" w:rsidRPr="003160CD" w:rsidRDefault="00E26A45" w:rsidP="008B3F43">
      <w:pPr>
        <w:spacing w:after="0" w:line="240" w:lineRule="auto"/>
        <w:rPr>
          <w:b/>
          <w:bCs/>
          <w:lang w:val="fr-FR"/>
        </w:rPr>
      </w:pPr>
    </w:p>
    <w:p w14:paraId="0B4EDAF3" w14:textId="78D64EFE" w:rsidR="009343F2" w:rsidRPr="007C390C" w:rsidRDefault="007C390C" w:rsidP="000743FE">
      <w:pPr>
        <w:numPr>
          <w:ilvl w:val="0"/>
          <w:numId w:val="19"/>
        </w:numPr>
        <w:tabs>
          <w:tab w:val="clear" w:pos="720"/>
        </w:tabs>
        <w:spacing w:after="0" w:line="240" w:lineRule="auto"/>
        <w:ind w:left="851" w:hanging="425"/>
        <w:rPr>
          <w:lang w:val="fr-FR"/>
        </w:rPr>
      </w:pPr>
      <w:r>
        <w:rPr>
          <w:rFonts w:cs="Calibri"/>
          <w:lang w:val="fr-CH"/>
        </w:rPr>
        <w:t>Point</w:t>
      </w:r>
      <w:r w:rsidRPr="0074234C">
        <w:rPr>
          <w:rFonts w:cs="Calibri"/>
          <w:lang w:val="fr-CH"/>
        </w:rPr>
        <w:t xml:space="preserve"> 13 de</w:t>
      </w:r>
      <w:r>
        <w:rPr>
          <w:rFonts w:cs="Calibri"/>
          <w:lang w:val="fr-CH"/>
        </w:rPr>
        <w:t xml:space="preserve"> l’ordre du jour</w:t>
      </w:r>
      <w:r w:rsidRPr="007C390C">
        <w:rPr>
          <w:rFonts w:cs="Calibri"/>
          <w:lang w:val="fr-CH"/>
        </w:rPr>
        <w:t xml:space="preserve"> </w:t>
      </w:r>
      <w:r>
        <w:rPr>
          <w:rFonts w:cs="Calibri"/>
          <w:lang w:val="fr-CH"/>
        </w:rPr>
        <w:t>de la 58</w:t>
      </w:r>
      <w:r w:rsidRPr="001B2798">
        <w:rPr>
          <w:rFonts w:cs="Calibri"/>
          <w:vertAlign w:val="superscript"/>
          <w:lang w:val="fr-CH"/>
        </w:rPr>
        <w:t>e</w:t>
      </w:r>
      <w:r>
        <w:rPr>
          <w:rFonts w:cs="Calibri"/>
          <w:lang w:val="fr-CH"/>
        </w:rPr>
        <w:t xml:space="preserve"> Réunion du Comité permanent - </w:t>
      </w:r>
      <w:r>
        <w:rPr>
          <w:rFonts w:cs="Calibri"/>
          <w:i/>
          <w:iCs/>
          <w:lang w:val="fr-CH"/>
        </w:rPr>
        <w:t>Examen de toutes les résolutions et décisions précédentes</w:t>
      </w:r>
    </w:p>
    <w:p w14:paraId="4E574F76" w14:textId="77777777" w:rsidR="007426AF" w:rsidRPr="00453C63" w:rsidRDefault="007426AF" w:rsidP="0044531D">
      <w:pPr>
        <w:spacing w:after="0" w:line="240" w:lineRule="auto"/>
        <w:rPr>
          <w:rFonts w:cstheme="minorHAnsi"/>
          <w:b/>
          <w:lang w:val="fr-CH"/>
        </w:rPr>
      </w:pPr>
    </w:p>
    <w:p w14:paraId="29800CC3" w14:textId="7F21B091" w:rsidR="003753F4" w:rsidRPr="00453C63" w:rsidRDefault="001A123C" w:rsidP="0044531D">
      <w:pPr>
        <w:spacing w:after="0" w:line="240" w:lineRule="auto"/>
        <w:rPr>
          <w:rFonts w:asciiTheme="minorHAnsi" w:hAnsiTheme="minorHAnsi" w:cstheme="minorHAnsi"/>
          <w:b/>
          <w:lang w:val="fr-CH"/>
        </w:rPr>
      </w:pPr>
      <w:r w:rsidRPr="00453C63">
        <w:rPr>
          <w:rFonts w:cstheme="minorHAnsi"/>
          <w:b/>
          <w:lang w:val="fr-CH"/>
        </w:rPr>
        <w:t>D</w:t>
      </w:r>
      <w:r w:rsidR="001B2798" w:rsidRPr="00453C63">
        <w:rPr>
          <w:rFonts w:cstheme="minorHAnsi"/>
          <w:b/>
          <w:lang w:val="fr-CH"/>
        </w:rPr>
        <w:t>é</w:t>
      </w:r>
      <w:r w:rsidRPr="00453C63">
        <w:rPr>
          <w:rFonts w:cstheme="minorHAnsi"/>
          <w:b/>
          <w:lang w:val="fr-CH"/>
        </w:rPr>
        <w:t>cision SC</w:t>
      </w:r>
      <w:r w:rsidR="003C0660" w:rsidRPr="00453C63">
        <w:rPr>
          <w:rFonts w:cstheme="minorHAnsi"/>
          <w:b/>
          <w:lang w:val="fr-CH"/>
        </w:rPr>
        <w:t>58</w:t>
      </w:r>
      <w:r w:rsidRPr="00453C63">
        <w:rPr>
          <w:rFonts w:cstheme="minorHAnsi"/>
          <w:b/>
          <w:lang w:val="fr-CH"/>
        </w:rPr>
        <w:t>-1</w:t>
      </w:r>
      <w:r w:rsidR="003C0660" w:rsidRPr="00453C63">
        <w:rPr>
          <w:rFonts w:cstheme="minorHAnsi"/>
          <w:b/>
          <w:lang w:val="fr-CH"/>
        </w:rPr>
        <w:t>9</w:t>
      </w:r>
      <w:r w:rsidR="001B2798" w:rsidRPr="00453C63">
        <w:rPr>
          <w:rFonts w:cstheme="minorHAnsi"/>
          <w:b/>
          <w:lang w:val="fr-CH"/>
        </w:rPr>
        <w:t xml:space="preserve"> </w:t>
      </w:r>
      <w:r w:rsidRPr="00453C63">
        <w:rPr>
          <w:rFonts w:cstheme="minorHAnsi"/>
          <w:b/>
          <w:lang w:val="fr-CH"/>
        </w:rPr>
        <w:t xml:space="preserve">: </w:t>
      </w:r>
      <w:r w:rsidR="001B2798" w:rsidRPr="00453C63">
        <w:rPr>
          <w:rFonts w:asciiTheme="minorHAnsi" w:hAnsiTheme="minorHAnsi" w:cstheme="minorHAnsi"/>
          <w:b/>
          <w:lang w:val="fr-CH"/>
        </w:rPr>
        <w:t xml:space="preserve">Le Comité permanent </w:t>
      </w:r>
      <w:r w:rsidR="003C0660" w:rsidRPr="00453C63">
        <w:rPr>
          <w:rFonts w:asciiTheme="minorHAnsi" w:hAnsiTheme="minorHAnsi" w:cstheme="minorHAnsi"/>
          <w:b/>
          <w:lang w:val="fr-CH"/>
        </w:rPr>
        <w:t>décide</w:t>
      </w:r>
      <w:r w:rsidR="003753F4" w:rsidRPr="00453C63">
        <w:rPr>
          <w:rFonts w:asciiTheme="minorHAnsi" w:hAnsiTheme="minorHAnsi" w:cstheme="minorHAnsi"/>
          <w:b/>
          <w:lang w:val="fr-CH"/>
        </w:rPr>
        <w:t>,</w:t>
      </w:r>
      <w:r w:rsidR="003C0660" w:rsidRPr="00453C63">
        <w:rPr>
          <w:rFonts w:asciiTheme="minorHAnsi" w:hAnsiTheme="minorHAnsi" w:cstheme="minorHAnsi"/>
          <w:b/>
          <w:lang w:val="fr-CH"/>
        </w:rPr>
        <w:t xml:space="preserve"> </w:t>
      </w:r>
      <w:r w:rsidR="003753F4" w:rsidRPr="00453C63">
        <w:rPr>
          <w:rFonts w:asciiTheme="minorHAnsi" w:hAnsiTheme="minorHAnsi" w:cstheme="minorHAnsi"/>
          <w:b/>
          <w:lang w:val="fr-CH"/>
        </w:rPr>
        <w:t xml:space="preserve">en consultation </w:t>
      </w:r>
      <w:r w:rsidR="003C0660" w:rsidRPr="00453C63">
        <w:rPr>
          <w:rFonts w:asciiTheme="minorHAnsi" w:hAnsiTheme="minorHAnsi" w:cstheme="minorHAnsi"/>
          <w:b/>
          <w:lang w:val="fr-CH"/>
        </w:rPr>
        <w:t xml:space="preserve">avec le </w:t>
      </w:r>
      <w:r w:rsidR="00176ACE" w:rsidRPr="00453C63">
        <w:rPr>
          <w:rFonts w:asciiTheme="minorHAnsi" w:hAnsiTheme="minorHAnsi" w:cstheme="minorHAnsi"/>
          <w:b/>
          <w:lang w:val="fr-CH"/>
        </w:rPr>
        <w:t>G</w:t>
      </w:r>
      <w:r w:rsidR="003C0660" w:rsidRPr="00453C63">
        <w:rPr>
          <w:rFonts w:asciiTheme="minorHAnsi" w:hAnsiTheme="minorHAnsi" w:cstheme="minorHAnsi"/>
          <w:b/>
          <w:lang w:val="fr-CH"/>
        </w:rPr>
        <w:t xml:space="preserve">roupe consultatif </w:t>
      </w:r>
      <w:r w:rsidR="00176ACE" w:rsidRPr="00453C63">
        <w:rPr>
          <w:rFonts w:asciiTheme="minorHAnsi" w:hAnsiTheme="minorHAnsi" w:cstheme="minorHAnsi"/>
          <w:b/>
          <w:lang w:val="fr-CH"/>
        </w:rPr>
        <w:t xml:space="preserve">du Comité permanent </w:t>
      </w:r>
      <w:r w:rsidR="003753F4" w:rsidRPr="00453C63">
        <w:rPr>
          <w:rFonts w:asciiTheme="minorHAnsi" w:hAnsiTheme="minorHAnsi" w:cstheme="minorHAnsi"/>
          <w:b/>
          <w:lang w:val="fr-CH"/>
        </w:rPr>
        <w:t xml:space="preserve">sur l’examen des Résolutions et Décisions, </w:t>
      </w:r>
      <w:r w:rsidR="00176ACE" w:rsidRPr="00453C63">
        <w:rPr>
          <w:rFonts w:asciiTheme="minorHAnsi" w:hAnsiTheme="minorHAnsi" w:cstheme="minorHAnsi"/>
          <w:b/>
          <w:lang w:val="fr-CH"/>
        </w:rPr>
        <w:t>que le Secrétariat préparera les documents suivants pour examen par le Comité à sa 59</w:t>
      </w:r>
      <w:r w:rsidR="00176ACE" w:rsidRPr="00932D74">
        <w:rPr>
          <w:rFonts w:asciiTheme="minorHAnsi" w:hAnsiTheme="minorHAnsi" w:cstheme="minorHAnsi"/>
          <w:b/>
          <w:vertAlign w:val="superscript"/>
          <w:lang w:val="fr-CH"/>
        </w:rPr>
        <w:t>e</w:t>
      </w:r>
      <w:r w:rsidR="00176ACE" w:rsidRPr="00453C63">
        <w:rPr>
          <w:rFonts w:asciiTheme="minorHAnsi" w:hAnsiTheme="minorHAnsi" w:cstheme="minorHAnsi"/>
          <w:b/>
          <w:lang w:val="fr-CH"/>
        </w:rPr>
        <w:t xml:space="preserve"> Réunion et, le cas échéant, communication pour examen à la COP14 :</w:t>
      </w:r>
    </w:p>
    <w:p w14:paraId="457914D2" w14:textId="4930404B" w:rsidR="003753F4" w:rsidRPr="00336D4A" w:rsidRDefault="00336D4A" w:rsidP="00336D4A">
      <w:pPr>
        <w:spacing w:after="0" w:line="240" w:lineRule="auto"/>
        <w:ind w:left="426" w:hanging="426"/>
        <w:rPr>
          <w:rFonts w:asciiTheme="minorHAnsi" w:hAnsiTheme="minorHAnsi" w:cstheme="minorHAnsi"/>
          <w:b/>
          <w:lang w:val="fr-CH"/>
        </w:rPr>
      </w:pPr>
      <w:r w:rsidRPr="00336D4A">
        <w:rPr>
          <w:rFonts w:asciiTheme="minorHAnsi" w:hAnsiTheme="minorHAnsi" w:cstheme="minorHAnsi"/>
          <w:b/>
          <w:lang w:val="fr-CH"/>
        </w:rPr>
        <w:t>i.</w:t>
      </w:r>
      <w:r w:rsidRPr="00336D4A">
        <w:rPr>
          <w:rFonts w:asciiTheme="minorHAnsi" w:hAnsiTheme="minorHAnsi" w:cstheme="minorHAnsi"/>
          <w:b/>
          <w:lang w:val="fr-CH"/>
        </w:rPr>
        <w:tab/>
      </w:r>
      <w:r w:rsidR="00176ACE" w:rsidRPr="00336D4A">
        <w:rPr>
          <w:b/>
          <w:lang w:val="fr-FR"/>
        </w:rPr>
        <w:t>un projet de liste de toutes les Résolutions existantes qui sont effectivement révolues et qui devraient être supprimées d’une liste de résolutions valides ;</w:t>
      </w:r>
    </w:p>
    <w:p w14:paraId="027B8B10" w14:textId="0FADBDC0" w:rsidR="00B35C48" w:rsidRPr="00336D4A" w:rsidRDefault="00B35C48" w:rsidP="00336D4A">
      <w:pPr>
        <w:spacing w:after="0" w:line="240" w:lineRule="auto"/>
        <w:ind w:left="426" w:hanging="426"/>
        <w:rPr>
          <w:rFonts w:asciiTheme="minorHAnsi" w:hAnsiTheme="minorHAnsi" w:cstheme="minorHAnsi"/>
          <w:b/>
          <w:lang w:val="fr-CH"/>
        </w:rPr>
      </w:pPr>
      <w:r w:rsidRPr="00336D4A">
        <w:rPr>
          <w:rFonts w:asciiTheme="minorHAnsi" w:hAnsiTheme="minorHAnsi" w:cstheme="minorHAnsi"/>
          <w:b/>
          <w:lang w:val="fr-CH"/>
        </w:rPr>
        <w:t>ii.</w:t>
      </w:r>
      <w:r w:rsidRPr="00336D4A">
        <w:rPr>
          <w:rFonts w:asciiTheme="minorHAnsi" w:hAnsiTheme="minorHAnsi" w:cstheme="minorHAnsi"/>
          <w:b/>
          <w:lang w:val="fr-CH"/>
        </w:rPr>
        <w:tab/>
        <w:t xml:space="preserve">un projet </w:t>
      </w:r>
      <w:bookmarkStart w:id="1" w:name="_GoBack"/>
      <w:bookmarkEnd w:id="1"/>
      <w:r w:rsidR="00B87EDF">
        <w:rPr>
          <w:rFonts w:asciiTheme="minorHAnsi" w:hAnsiTheme="minorHAnsi" w:cstheme="minorHAnsi"/>
          <w:b/>
          <w:lang w:val="fr-CH"/>
        </w:rPr>
        <w:t xml:space="preserve">d’orientations </w:t>
      </w:r>
      <w:r w:rsidRPr="00336D4A">
        <w:rPr>
          <w:rFonts w:asciiTheme="minorHAnsi" w:hAnsiTheme="minorHAnsi" w:cstheme="minorHAnsi"/>
          <w:b/>
          <w:lang w:val="fr-CH"/>
        </w:rPr>
        <w:t xml:space="preserve">à l’intention des Parties, </w:t>
      </w:r>
      <w:r w:rsidR="00453C63" w:rsidRPr="00336D4A">
        <w:rPr>
          <w:b/>
          <w:lang w:val="fr-FR"/>
        </w:rPr>
        <w:t>pour les Parties, les présidents des comités, groupes et autres organes de la Convention et le Secrétariat, afin de préciser comment les Résolutions devraient être rédigées, adoptées et enregistrées à l’avenir, afin de garantir que le droit non contraignant de la Convention reste clair, accessible et facile à utiliser pour des questions sur lesquelles il y a eu de multiples Résolutions et/ou Recommandations de la COP</w:t>
      </w:r>
      <w:r w:rsidRPr="00336D4A">
        <w:rPr>
          <w:rFonts w:asciiTheme="minorHAnsi" w:hAnsiTheme="minorHAnsi" w:cstheme="minorHAnsi"/>
          <w:b/>
          <w:lang w:val="fr-CH"/>
        </w:rPr>
        <w:t>.</w:t>
      </w:r>
    </w:p>
    <w:p w14:paraId="5283F8F2" w14:textId="236545BD" w:rsidR="001A123C" w:rsidRPr="00336D4A" w:rsidRDefault="001A123C" w:rsidP="0044531D">
      <w:pPr>
        <w:spacing w:after="0" w:line="240" w:lineRule="auto"/>
        <w:rPr>
          <w:lang w:val="fr-FR"/>
        </w:rPr>
      </w:pPr>
    </w:p>
    <w:p w14:paraId="7F311B08" w14:textId="6ED4571B" w:rsidR="00B35C48" w:rsidRPr="00336D4A" w:rsidRDefault="00B35C48" w:rsidP="0044531D">
      <w:pPr>
        <w:spacing w:after="0" w:line="240" w:lineRule="auto"/>
        <w:rPr>
          <w:b/>
          <w:lang w:val="fr-FR"/>
        </w:rPr>
      </w:pPr>
      <w:r w:rsidRPr="00336D4A">
        <w:rPr>
          <w:b/>
          <w:lang w:val="fr-FR"/>
        </w:rPr>
        <w:t xml:space="preserve">Décision SC58-20 : Le Comité permanent demande au Secrétariat </w:t>
      </w:r>
      <w:r w:rsidR="00336D4A" w:rsidRPr="00336D4A">
        <w:rPr>
          <w:b/>
          <w:lang w:val="fr-FR"/>
        </w:rPr>
        <w:t xml:space="preserve">d’incorporer </w:t>
      </w:r>
      <w:r w:rsidR="004F7CE2" w:rsidRPr="00336D4A">
        <w:rPr>
          <w:b/>
          <w:lang w:val="fr-FR"/>
        </w:rPr>
        <w:t>les commentaires</w:t>
      </w:r>
      <w:r w:rsidRPr="00336D4A">
        <w:rPr>
          <w:b/>
          <w:lang w:val="fr-FR"/>
        </w:rPr>
        <w:t xml:space="preserve"> reçus des </w:t>
      </w:r>
      <w:r w:rsidR="004F7CE2" w:rsidRPr="00336D4A">
        <w:rPr>
          <w:b/>
          <w:lang w:val="fr-FR"/>
        </w:rPr>
        <w:t>P</w:t>
      </w:r>
      <w:r w:rsidRPr="00336D4A">
        <w:rPr>
          <w:b/>
          <w:lang w:val="fr-FR"/>
        </w:rPr>
        <w:t>arties</w:t>
      </w:r>
      <w:r w:rsidR="004F7CE2" w:rsidRPr="00336D4A">
        <w:rPr>
          <w:b/>
          <w:lang w:val="fr-FR"/>
        </w:rPr>
        <w:t>,</w:t>
      </w:r>
      <w:r w:rsidRPr="00336D4A">
        <w:rPr>
          <w:b/>
          <w:lang w:val="fr-FR"/>
        </w:rPr>
        <w:t xml:space="preserve"> avant le 10 juillet</w:t>
      </w:r>
      <w:r w:rsidR="00A50662">
        <w:rPr>
          <w:b/>
          <w:lang w:val="fr-FR"/>
        </w:rPr>
        <w:t xml:space="preserve"> 2020</w:t>
      </w:r>
      <w:r w:rsidR="004F7CE2" w:rsidRPr="00336D4A">
        <w:rPr>
          <w:b/>
          <w:lang w:val="fr-FR"/>
        </w:rPr>
        <w:t>,</w:t>
      </w:r>
      <w:r w:rsidRPr="00336D4A">
        <w:rPr>
          <w:b/>
          <w:lang w:val="fr-FR"/>
        </w:rPr>
        <w:t xml:space="preserve"> </w:t>
      </w:r>
      <w:r w:rsidR="00336D4A" w:rsidRPr="00336D4A">
        <w:rPr>
          <w:b/>
          <w:lang w:val="fr-FR"/>
        </w:rPr>
        <w:t xml:space="preserve">dans le projet de résolution regroupée </w:t>
      </w:r>
      <w:r w:rsidR="004F7CE2" w:rsidRPr="00336D4A">
        <w:rPr>
          <w:b/>
          <w:lang w:val="fr-FR"/>
        </w:rPr>
        <w:t>révisé sur les « inventaires » figurant à l’annexe 2 du document SC58 Doc. 13</w:t>
      </w:r>
      <w:r w:rsidR="00336D4A" w:rsidRPr="00336D4A">
        <w:rPr>
          <w:b/>
          <w:lang w:val="fr-FR"/>
        </w:rPr>
        <w:t>,</w:t>
      </w:r>
      <w:r w:rsidR="004F7CE2" w:rsidRPr="00336D4A">
        <w:rPr>
          <w:b/>
          <w:lang w:val="fr-FR"/>
        </w:rPr>
        <w:t xml:space="preserve"> </w:t>
      </w:r>
      <w:r w:rsidR="00336D4A" w:rsidRPr="00336D4A">
        <w:rPr>
          <w:b/>
          <w:lang w:val="fr-FR"/>
        </w:rPr>
        <w:t xml:space="preserve">pour préparer les futurs projets de résolutions </w:t>
      </w:r>
      <w:r w:rsidR="00A50662" w:rsidRPr="00336D4A">
        <w:rPr>
          <w:b/>
          <w:lang w:val="fr-FR"/>
        </w:rPr>
        <w:t>regroupées, conformément</w:t>
      </w:r>
      <w:r w:rsidR="004F7CE2" w:rsidRPr="00336D4A">
        <w:rPr>
          <w:b/>
          <w:lang w:val="fr-FR"/>
        </w:rPr>
        <w:t xml:space="preserve"> aux instructions du Comité permanent.</w:t>
      </w:r>
    </w:p>
    <w:p w14:paraId="0CD03B34" w14:textId="2B7C01C0" w:rsidR="00C2385D" w:rsidRPr="00176ACE" w:rsidRDefault="00C2385D" w:rsidP="0044531D">
      <w:pPr>
        <w:spacing w:after="0" w:line="240" w:lineRule="auto"/>
        <w:rPr>
          <w:b/>
          <w:highlight w:val="yellow"/>
          <w:lang w:val="fr-FR"/>
        </w:rPr>
      </w:pPr>
    </w:p>
    <w:p w14:paraId="4F5BDDA5" w14:textId="3B84A43D" w:rsidR="00C2385D" w:rsidRPr="008455EE" w:rsidRDefault="00C2385D" w:rsidP="0044531D">
      <w:pPr>
        <w:spacing w:after="0" w:line="240" w:lineRule="auto"/>
        <w:rPr>
          <w:b/>
          <w:lang w:val="fr-FR"/>
        </w:rPr>
      </w:pPr>
      <w:r w:rsidRPr="008455EE">
        <w:rPr>
          <w:b/>
          <w:lang w:val="fr-FR"/>
        </w:rPr>
        <w:t>Décision SC58-21</w:t>
      </w:r>
      <w:r w:rsidR="00F91E52" w:rsidRPr="008455EE">
        <w:rPr>
          <w:b/>
          <w:lang w:val="fr-FR"/>
        </w:rPr>
        <w:t xml:space="preserve"> : </w:t>
      </w:r>
      <w:r w:rsidR="00726509" w:rsidRPr="008455EE">
        <w:rPr>
          <w:b/>
          <w:lang w:val="fr-FR"/>
        </w:rPr>
        <w:t xml:space="preserve">Le Comité permanent charge le Secrétariat </w:t>
      </w:r>
      <w:r w:rsidR="008455EE" w:rsidRPr="008455EE">
        <w:rPr>
          <w:b/>
          <w:lang w:val="fr-FR"/>
        </w:rPr>
        <w:t>de préparer un document révisé (SC58 Doc.13), en collaboration avec un groupe consultatif, pour le présenter à la 58</w:t>
      </w:r>
      <w:r w:rsidR="008455EE" w:rsidRPr="008455EE">
        <w:rPr>
          <w:b/>
          <w:vertAlign w:val="superscript"/>
          <w:lang w:val="fr-FR"/>
        </w:rPr>
        <w:t>e</w:t>
      </w:r>
      <w:r w:rsidR="008455EE" w:rsidRPr="008455EE">
        <w:rPr>
          <w:b/>
          <w:lang w:val="fr-FR"/>
        </w:rPr>
        <w:t xml:space="preserve"> Réunion du Comité permanent, en octobre</w:t>
      </w:r>
      <w:r w:rsidR="00A50662">
        <w:rPr>
          <w:b/>
          <w:lang w:val="fr-FR"/>
        </w:rPr>
        <w:t xml:space="preserve"> 2020</w:t>
      </w:r>
      <w:r w:rsidR="008455EE" w:rsidRPr="008455EE">
        <w:rPr>
          <w:b/>
          <w:lang w:val="fr-FR"/>
        </w:rPr>
        <w:t xml:space="preserve">, en tenant dûment compte des commentaires des Parties contractantes sur l’approche de la mise en œuvre de la Décision SC57-19 du Comité, </w:t>
      </w:r>
      <w:r w:rsidR="00726509" w:rsidRPr="008455EE">
        <w:rPr>
          <w:b/>
          <w:lang w:val="fr-FR"/>
        </w:rPr>
        <w:t xml:space="preserve">et de demander conseil au groupe consultatif des Parties contractantes intéressées sur sa possible révision, avant la </w:t>
      </w:r>
      <w:r w:rsidR="00932D74">
        <w:rPr>
          <w:b/>
          <w:lang w:val="fr-FR"/>
        </w:rPr>
        <w:t>58</w:t>
      </w:r>
      <w:r w:rsidR="00932D74" w:rsidRPr="00932D74">
        <w:rPr>
          <w:b/>
          <w:vertAlign w:val="superscript"/>
          <w:lang w:val="fr-FR"/>
        </w:rPr>
        <w:t>e</w:t>
      </w:r>
      <w:r w:rsidR="00932D74">
        <w:rPr>
          <w:b/>
          <w:lang w:val="fr-FR"/>
        </w:rPr>
        <w:t xml:space="preserve"> Réunion du Comité permanent</w:t>
      </w:r>
      <w:r w:rsidR="00726509" w:rsidRPr="008455EE">
        <w:rPr>
          <w:b/>
          <w:lang w:val="fr-FR"/>
        </w:rPr>
        <w:t>, sous la forme d’un certain nombre de documents thématiques plus petits.</w:t>
      </w:r>
    </w:p>
    <w:p w14:paraId="2C0E94A8" w14:textId="77777777" w:rsidR="00C40AD2" w:rsidRPr="00F1226E" w:rsidRDefault="00C40AD2" w:rsidP="00C40AD2">
      <w:pPr>
        <w:spacing w:after="0" w:line="240" w:lineRule="auto"/>
        <w:rPr>
          <w:rFonts w:asciiTheme="minorHAnsi" w:hAnsiTheme="minorHAnsi" w:cstheme="minorHAnsi"/>
          <w:b/>
          <w:lang w:val="fr-CH"/>
        </w:rPr>
      </w:pPr>
      <w:r w:rsidRPr="00F1226E">
        <w:rPr>
          <w:rFonts w:asciiTheme="minorHAnsi" w:hAnsiTheme="minorHAnsi" w:cstheme="minorHAnsi"/>
          <w:b/>
          <w:lang w:val="fr-CH"/>
        </w:rPr>
        <w:lastRenderedPageBreak/>
        <w:t xml:space="preserve">Jeudi 25 juin </w:t>
      </w:r>
    </w:p>
    <w:p w14:paraId="4669C600" w14:textId="77777777" w:rsidR="00C40AD2" w:rsidRPr="00F1226E" w:rsidRDefault="00C40AD2" w:rsidP="00C40AD2">
      <w:pPr>
        <w:spacing w:after="0" w:line="240" w:lineRule="auto"/>
        <w:rPr>
          <w:rFonts w:asciiTheme="minorHAnsi" w:hAnsiTheme="minorHAnsi" w:cstheme="minorHAnsi"/>
          <w:b/>
          <w:lang w:val="fr-CH"/>
        </w:rPr>
      </w:pPr>
    </w:p>
    <w:p w14:paraId="62DDC717" w14:textId="4A4222DD" w:rsidR="00C40AD2" w:rsidRPr="00F1226E" w:rsidRDefault="00C40AD2" w:rsidP="00C40AD2">
      <w:pPr>
        <w:spacing w:after="0" w:line="240" w:lineRule="auto"/>
        <w:ind w:left="1701" w:hanging="1701"/>
        <w:contextualSpacing/>
        <w:rPr>
          <w:rFonts w:asciiTheme="minorHAnsi" w:hAnsiTheme="minorHAnsi" w:cstheme="minorHAnsi"/>
          <w:b/>
          <w:bCs/>
          <w:lang w:val="fr-CH"/>
        </w:rPr>
      </w:pPr>
      <w:r w:rsidRPr="00F1226E">
        <w:rPr>
          <w:rFonts w:asciiTheme="minorHAnsi" w:hAnsiTheme="minorHAnsi" w:cstheme="minorHAnsi"/>
          <w:b/>
          <w:bCs/>
          <w:lang w:val="fr-CH"/>
        </w:rPr>
        <w:t xml:space="preserve">13:00 – 16:00 </w:t>
      </w:r>
      <w:r w:rsidRPr="00F1226E">
        <w:rPr>
          <w:rFonts w:asciiTheme="minorHAnsi" w:hAnsiTheme="minorHAnsi" w:cstheme="minorHAnsi"/>
          <w:b/>
          <w:bCs/>
          <w:lang w:val="fr-CH"/>
        </w:rPr>
        <w:tab/>
      </w:r>
      <w:r w:rsidR="000F09D4">
        <w:rPr>
          <w:b/>
          <w:bCs/>
          <w:lang w:val="fr-CH"/>
        </w:rPr>
        <w:t>Séance</w:t>
      </w:r>
      <w:r w:rsidRPr="00F1226E">
        <w:rPr>
          <w:b/>
          <w:bCs/>
          <w:lang w:val="fr-CH"/>
        </w:rPr>
        <w:t xml:space="preserve"> intersessions virtuelle plénière du Comité permanent </w:t>
      </w:r>
    </w:p>
    <w:p w14:paraId="712B9611" w14:textId="77777777" w:rsidR="00C40AD2" w:rsidRPr="00F1226E" w:rsidRDefault="00C40AD2" w:rsidP="00C40AD2">
      <w:pPr>
        <w:spacing w:after="0" w:line="240" w:lineRule="auto"/>
        <w:rPr>
          <w:rFonts w:asciiTheme="minorHAnsi" w:hAnsiTheme="minorHAnsi" w:cstheme="minorHAnsi"/>
          <w:b/>
          <w:bCs/>
          <w:lang w:val="fr-CH"/>
        </w:rPr>
      </w:pPr>
    </w:p>
    <w:p w14:paraId="30290CC7" w14:textId="77777777" w:rsidR="00C40AD2" w:rsidRPr="00F1226E"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F1226E">
        <w:rPr>
          <w:rFonts w:cstheme="minorHAnsi"/>
          <w:bCs/>
          <w:lang w:val="fr-CH"/>
        </w:rPr>
        <w:t xml:space="preserve">Point 9 de l’ordre du jour : </w:t>
      </w:r>
      <w:r w:rsidRPr="00F1226E">
        <w:rPr>
          <w:rFonts w:cs="Calibri"/>
          <w:lang w:val="fr-CH"/>
        </w:rPr>
        <w:t>Révision des décisions sur les points de l’ordre du jour discutés par courriel</w:t>
      </w:r>
    </w:p>
    <w:p w14:paraId="31DBF8D9" w14:textId="77777777" w:rsidR="00C40AD2" w:rsidRPr="00F1226E" w:rsidRDefault="00C40AD2" w:rsidP="00C40AD2">
      <w:pPr>
        <w:spacing w:after="0" w:line="240" w:lineRule="auto"/>
        <w:rPr>
          <w:rFonts w:asciiTheme="minorHAnsi" w:hAnsiTheme="minorHAnsi" w:cstheme="minorHAnsi"/>
          <w:b/>
          <w:bCs/>
          <w:lang w:val="fr-CH"/>
        </w:rPr>
      </w:pPr>
    </w:p>
    <w:p w14:paraId="5EE66C68" w14:textId="77777777" w:rsidR="00C40AD2" w:rsidRPr="00F1226E"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F1226E">
        <w:rPr>
          <w:rFonts w:cs="Calibri"/>
          <w:lang w:val="fr-CH"/>
        </w:rPr>
        <w:t>Point 20.3 de l’ordre du jour de la 58</w:t>
      </w:r>
      <w:r w:rsidRPr="00F1226E">
        <w:rPr>
          <w:rFonts w:cs="Calibri"/>
          <w:vertAlign w:val="superscript"/>
          <w:lang w:val="fr-CH"/>
        </w:rPr>
        <w:t>e</w:t>
      </w:r>
      <w:r w:rsidRPr="00F1226E">
        <w:rPr>
          <w:rFonts w:cs="Calibri"/>
          <w:lang w:val="fr-CH"/>
        </w:rPr>
        <w:t xml:space="preserve"> Réunion du Comité permanent - </w:t>
      </w:r>
      <w:r w:rsidRPr="00F1226E">
        <w:rPr>
          <w:rFonts w:cs="Calibri"/>
          <w:i/>
          <w:iCs/>
          <w:lang w:val="fr-CH"/>
        </w:rPr>
        <w:t>Les prix Ramsar pour la conservation des zones humides</w:t>
      </w:r>
      <w:r w:rsidRPr="00F1226E">
        <w:rPr>
          <w:rFonts w:asciiTheme="minorHAnsi" w:hAnsiTheme="minorHAnsi" w:cstheme="minorHAnsi"/>
          <w:lang w:val="fr-CH"/>
        </w:rPr>
        <w:t xml:space="preserve"> (suite)</w:t>
      </w:r>
    </w:p>
    <w:p w14:paraId="1FC00D87" w14:textId="77777777" w:rsidR="00C40AD2" w:rsidRPr="00F1226E" w:rsidRDefault="00C40AD2" w:rsidP="00C40AD2">
      <w:pPr>
        <w:spacing w:after="0" w:line="240" w:lineRule="auto"/>
        <w:rPr>
          <w:rFonts w:asciiTheme="minorHAnsi" w:hAnsiTheme="minorHAnsi" w:cstheme="minorHAnsi"/>
          <w:bCs/>
          <w:lang w:val="fr-CH"/>
        </w:rPr>
      </w:pPr>
    </w:p>
    <w:p w14:paraId="25D3BCF3" w14:textId="77777777" w:rsidR="00C40AD2" w:rsidRPr="00F1226E" w:rsidRDefault="00C40AD2" w:rsidP="00C40AD2">
      <w:pPr>
        <w:pStyle w:val="BodyText"/>
        <w:widowControl/>
        <w:ind w:left="0"/>
        <w:rPr>
          <w:rFonts w:asciiTheme="minorHAnsi" w:hAnsiTheme="minorHAnsi" w:cstheme="minorHAnsi"/>
          <w:b/>
          <w:lang w:val="fr-CH"/>
        </w:rPr>
      </w:pPr>
      <w:r w:rsidRPr="00F1226E">
        <w:rPr>
          <w:rFonts w:asciiTheme="minorHAnsi" w:hAnsiTheme="minorHAnsi" w:cstheme="minorHAnsi"/>
          <w:b/>
          <w:bCs/>
          <w:lang w:val="fr-CH"/>
        </w:rPr>
        <w:t xml:space="preserve">Décision SC58-22 : </w:t>
      </w:r>
      <w:r w:rsidRPr="00F1226E">
        <w:rPr>
          <w:b/>
          <w:bCs/>
          <w:sz w:val="21"/>
          <w:szCs w:val="21"/>
          <w:lang w:val="fr-CH"/>
        </w:rPr>
        <w:t xml:space="preserve">Le Comité permanent demande au Secrétariat d’examiner les procédures proposées pour les prix Ramsar pour la conservation des zones humides pour la COP14 figurant dans le document SC58 Doc. 20.3 en fonction des commentaires reçus des Parties contractantes afin de les soumettre pour approbation à la </w:t>
      </w:r>
      <w:bookmarkStart w:id="2" w:name="_Hlk44925218"/>
      <w:r w:rsidRPr="00F1226E">
        <w:rPr>
          <w:b/>
          <w:bCs/>
          <w:sz w:val="21"/>
          <w:szCs w:val="21"/>
          <w:lang w:val="fr-CH"/>
        </w:rPr>
        <w:t>58</w:t>
      </w:r>
      <w:r w:rsidRPr="00F1226E">
        <w:rPr>
          <w:b/>
          <w:bCs/>
          <w:sz w:val="21"/>
          <w:szCs w:val="21"/>
          <w:vertAlign w:val="superscript"/>
          <w:lang w:val="fr-CH"/>
        </w:rPr>
        <w:t>e</w:t>
      </w:r>
      <w:r w:rsidRPr="00F1226E">
        <w:rPr>
          <w:b/>
          <w:bCs/>
          <w:sz w:val="21"/>
          <w:szCs w:val="21"/>
          <w:lang w:val="fr-CH"/>
        </w:rPr>
        <w:t xml:space="preserve"> Réunion du Comité permanent</w:t>
      </w:r>
      <w:bookmarkEnd w:id="2"/>
      <w:r w:rsidRPr="00F1226E">
        <w:rPr>
          <w:b/>
          <w:bCs/>
          <w:sz w:val="21"/>
          <w:szCs w:val="21"/>
          <w:lang w:val="fr-CH"/>
        </w:rPr>
        <w:t>, en octobre</w:t>
      </w:r>
      <w:r w:rsidRPr="00F1226E">
        <w:rPr>
          <w:rFonts w:asciiTheme="minorHAnsi" w:hAnsiTheme="minorHAnsi" w:cstheme="minorHAnsi"/>
          <w:b/>
          <w:lang w:val="fr-CH"/>
        </w:rPr>
        <w:t xml:space="preserve">.  </w:t>
      </w:r>
    </w:p>
    <w:p w14:paraId="47048600" w14:textId="77777777" w:rsidR="00C40AD2" w:rsidRPr="00F1226E" w:rsidRDefault="00C40AD2" w:rsidP="00C40AD2">
      <w:pPr>
        <w:spacing w:after="0" w:line="240" w:lineRule="auto"/>
        <w:ind w:left="567" w:hanging="142"/>
        <w:rPr>
          <w:rFonts w:asciiTheme="minorHAnsi" w:hAnsiTheme="minorHAnsi" w:cstheme="minorHAnsi"/>
          <w:bCs/>
          <w:lang w:val="fr-CH"/>
        </w:rPr>
      </w:pPr>
    </w:p>
    <w:p w14:paraId="13959208" w14:textId="4ED9CA05" w:rsidR="00C40AD2" w:rsidRPr="00F1226E"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F1226E">
        <w:rPr>
          <w:rFonts w:cs="Calibri"/>
          <w:lang w:val="fr-CH"/>
        </w:rPr>
        <w:t>Point 22.2 de l’ordre du jour</w:t>
      </w:r>
      <w:r w:rsidR="00A12F66">
        <w:rPr>
          <w:rFonts w:cs="Calibri"/>
          <w:lang w:val="fr-CH"/>
        </w:rPr>
        <w:t xml:space="preserve"> de la</w:t>
      </w:r>
      <w:r w:rsidRPr="00F1226E">
        <w:rPr>
          <w:rFonts w:cs="Calibri"/>
          <w:lang w:val="fr-CH"/>
        </w:rPr>
        <w:t xml:space="preserve"> </w:t>
      </w:r>
      <w:r w:rsidR="00A12F66" w:rsidRPr="00A12F66">
        <w:rPr>
          <w:rFonts w:cs="Calibri"/>
          <w:lang w:val="fr-CH"/>
        </w:rPr>
        <w:t>58</w:t>
      </w:r>
      <w:r w:rsidR="00A12F66" w:rsidRPr="00A12F66">
        <w:rPr>
          <w:rFonts w:cs="Calibri"/>
          <w:vertAlign w:val="superscript"/>
          <w:lang w:val="fr-CH"/>
        </w:rPr>
        <w:t>e</w:t>
      </w:r>
      <w:r w:rsidR="00A12F66" w:rsidRPr="00A12F66">
        <w:rPr>
          <w:rFonts w:cs="Calibri"/>
          <w:lang w:val="fr-CH"/>
        </w:rPr>
        <w:t xml:space="preserve"> Réunion du Comité permanent </w:t>
      </w:r>
      <w:r w:rsidRPr="00F1226E">
        <w:rPr>
          <w:rFonts w:cs="Calibri"/>
          <w:i/>
          <w:iCs/>
          <w:lang w:val="fr-CH"/>
        </w:rPr>
        <w:t>Rapport du Secrétariat sur les Initiatives régionales Ramsar</w:t>
      </w:r>
      <w:r w:rsidRPr="00F1226E">
        <w:rPr>
          <w:rFonts w:cs="Calibri"/>
          <w:lang w:val="fr-CH"/>
        </w:rPr>
        <w:t xml:space="preserve"> (précision sur l’appel à propositions pour les nouvelles IRR) </w:t>
      </w:r>
      <w:r w:rsidRPr="00F1226E">
        <w:rPr>
          <w:rFonts w:asciiTheme="minorHAnsi" w:hAnsiTheme="minorHAnsi" w:cstheme="minorHAnsi"/>
          <w:lang w:val="fr-CH"/>
        </w:rPr>
        <w:t xml:space="preserve"> </w:t>
      </w:r>
    </w:p>
    <w:p w14:paraId="5B945FF4" w14:textId="77777777" w:rsidR="00C40AD2" w:rsidRPr="00F1226E" w:rsidRDefault="00C40AD2" w:rsidP="00C40AD2">
      <w:pPr>
        <w:spacing w:after="0" w:line="240" w:lineRule="auto"/>
        <w:rPr>
          <w:rFonts w:asciiTheme="minorHAnsi" w:hAnsiTheme="minorHAnsi" w:cstheme="minorHAnsi"/>
          <w:i/>
          <w:lang w:val="fr-CH"/>
        </w:rPr>
      </w:pPr>
    </w:p>
    <w:p w14:paraId="6631F20C" w14:textId="2BAD35D4" w:rsidR="00C40AD2" w:rsidRPr="000E3426" w:rsidRDefault="00C40AD2" w:rsidP="00C40AD2">
      <w:pPr>
        <w:pStyle w:val="BodyText"/>
        <w:widowControl/>
        <w:ind w:left="0"/>
        <w:rPr>
          <w:rFonts w:asciiTheme="minorHAnsi" w:hAnsiTheme="minorHAnsi" w:cstheme="minorHAnsi"/>
          <w:b/>
          <w:bCs/>
          <w:lang w:val="fr-FR"/>
        </w:rPr>
      </w:pPr>
      <w:r w:rsidRPr="000E3426">
        <w:rPr>
          <w:rFonts w:asciiTheme="minorHAnsi" w:hAnsiTheme="minorHAnsi" w:cstheme="minorHAnsi"/>
          <w:b/>
          <w:bCs/>
          <w:lang w:val="fr-FR"/>
        </w:rPr>
        <w:t>D</w:t>
      </w:r>
      <w:r>
        <w:rPr>
          <w:rFonts w:asciiTheme="minorHAnsi" w:hAnsiTheme="minorHAnsi" w:cstheme="minorHAnsi"/>
          <w:b/>
          <w:bCs/>
          <w:lang w:val="fr-FR"/>
        </w:rPr>
        <w:t>é</w:t>
      </w:r>
      <w:r w:rsidRPr="000E3426">
        <w:rPr>
          <w:rFonts w:asciiTheme="minorHAnsi" w:hAnsiTheme="minorHAnsi" w:cstheme="minorHAnsi"/>
          <w:b/>
          <w:bCs/>
          <w:lang w:val="fr-FR"/>
        </w:rPr>
        <w:t>cision SC58-23</w:t>
      </w:r>
      <w:r>
        <w:rPr>
          <w:rFonts w:asciiTheme="minorHAnsi" w:hAnsiTheme="minorHAnsi" w:cstheme="minorHAnsi"/>
          <w:b/>
          <w:bCs/>
          <w:lang w:val="fr-FR"/>
        </w:rPr>
        <w:t xml:space="preserve"> </w:t>
      </w:r>
      <w:r w:rsidRPr="000E3426">
        <w:rPr>
          <w:rFonts w:asciiTheme="minorHAnsi" w:hAnsiTheme="minorHAnsi" w:cstheme="minorHAnsi"/>
          <w:b/>
          <w:bCs/>
          <w:lang w:val="fr-FR"/>
        </w:rPr>
        <w:t xml:space="preserve">: Le Comité permanent </w:t>
      </w:r>
      <w:r>
        <w:rPr>
          <w:rFonts w:asciiTheme="minorHAnsi" w:hAnsiTheme="minorHAnsi" w:cstheme="minorHAnsi"/>
          <w:b/>
          <w:bCs/>
          <w:lang w:val="fr-FR"/>
        </w:rPr>
        <w:t>donne instruction</w:t>
      </w:r>
      <w:r w:rsidRPr="000E3426">
        <w:rPr>
          <w:rFonts w:asciiTheme="minorHAnsi" w:hAnsiTheme="minorHAnsi" w:cstheme="minorHAnsi"/>
          <w:b/>
          <w:bCs/>
          <w:lang w:val="fr-FR"/>
        </w:rPr>
        <w:t xml:space="preserve"> au Secrétariat d’ouvrir l’appel à propositions pour de nouvelles I</w:t>
      </w:r>
      <w:r w:rsidR="00A12F66">
        <w:rPr>
          <w:rFonts w:asciiTheme="minorHAnsi" w:hAnsiTheme="minorHAnsi" w:cstheme="minorHAnsi"/>
          <w:b/>
          <w:bCs/>
          <w:lang w:val="fr-FR"/>
        </w:rPr>
        <w:t>nitiatives régionales Ramsar</w:t>
      </w:r>
      <w:r w:rsidRPr="000E3426">
        <w:rPr>
          <w:rFonts w:asciiTheme="minorHAnsi" w:hAnsiTheme="minorHAnsi" w:cstheme="minorHAnsi"/>
          <w:b/>
          <w:bCs/>
          <w:lang w:val="fr-FR"/>
        </w:rPr>
        <w:t>, au plus tard le 31 juillet 2</w:t>
      </w:r>
      <w:r>
        <w:rPr>
          <w:rFonts w:asciiTheme="minorHAnsi" w:hAnsiTheme="minorHAnsi" w:cstheme="minorHAnsi"/>
          <w:b/>
          <w:bCs/>
          <w:lang w:val="fr-FR"/>
        </w:rPr>
        <w:t>020, conformément au paragraphe </w:t>
      </w:r>
      <w:r w:rsidRPr="000E3426">
        <w:rPr>
          <w:rFonts w:asciiTheme="minorHAnsi" w:hAnsiTheme="minorHAnsi" w:cstheme="minorHAnsi"/>
          <w:b/>
          <w:bCs/>
          <w:lang w:val="fr-FR"/>
        </w:rPr>
        <w:t>13 de la Résolution XIII.9</w:t>
      </w:r>
      <w:r w:rsidR="00A12F66">
        <w:rPr>
          <w:rFonts w:asciiTheme="minorHAnsi" w:hAnsiTheme="minorHAnsi" w:cstheme="minorHAnsi"/>
          <w:b/>
          <w:bCs/>
          <w:lang w:val="fr-FR"/>
        </w:rPr>
        <w:t xml:space="preserve"> et demande au</w:t>
      </w:r>
      <w:r w:rsidRPr="000E3426">
        <w:rPr>
          <w:rFonts w:asciiTheme="minorHAnsi" w:hAnsiTheme="minorHAnsi" w:cstheme="minorHAnsi"/>
          <w:b/>
          <w:bCs/>
          <w:lang w:val="fr-FR"/>
        </w:rPr>
        <w:t xml:space="preserve"> Secrétariat de choisir une date butoir pour les IRR futures suggérées afin que les propositions puissent être traitées dans un délai suffisant avant la 59</w:t>
      </w:r>
      <w:r w:rsidRPr="000E3426">
        <w:rPr>
          <w:rFonts w:asciiTheme="minorHAnsi" w:hAnsiTheme="minorHAnsi" w:cstheme="minorHAnsi"/>
          <w:b/>
          <w:bCs/>
          <w:vertAlign w:val="superscript"/>
          <w:lang w:val="fr-FR"/>
        </w:rPr>
        <w:t>e</w:t>
      </w:r>
      <w:r w:rsidRPr="000E3426">
        <w:rPr>
          <w:rFonts w:asciiTheme="minorHAnsi" w:hAnsiTheme="minorHAnsi" w:cstheme="minorHAnsi"/>
          <w:b/>
          <w:bCs/>
          <w:lang w:val="fr-FR"/>
        </w:rPr>
        <w:t xml:space="preserve"> Réunion du Comité permanent qui les examinera et fera les suggestions appropriées pour examen à la COP14.</w:t>
      </w:r>
    </w:p>
    <w:p w14:paraId="251FB178" w14:textId="77777777" w:rsidR="00C40AD2" w:rsidRPr="000E3426" w:rsidRDefault="00C40AD2" w:rsidP="00C40AD2">
      <w:pPr>
        <w:spacing w:after="0" w:line="240" w:lineRule="auto"/>
        <w:rPr>
          <w:rFonts w:asciiTheme="minorHAnsi" w:hAnsiTheme="minorHAnsi" w:cstheme="minorHAnsi"/>
          <w:i/>
          <w:lang w:val="fr-FR"/>
        </w:rPr>
      </w:pPr>
    </w:p>
    <w:p w14:paraId="4BE80CC7" w14:textId="43F3919B" w:rsidR="00C40AD2" w:rsidRPr="000E3426" w:rsidRDefault="00C40AD2" w:rsidP="00C40AD2">
      <w:pPr>
        <w:numPr>
          <w:ilvl w:val="0"/>
          <w:numId w:val="19"/>
        </w:numPr>
        <w:tabs>
          <w:tab w:val="clear" w:pos="720"/>
        </w:tabs>
        <w:spacing w:after="0" w:line="240" w:lineRule="auto"/>
        <w:ind w:left="851" w:hanging="425"/>
        <w:rPr>
          <w:rFonts w:asciiTheme="minorHAnsi" w:hAnsiTheme="minorHAnsi" w:cstheme="minorHAnsi"/>
          <w:lang w:val="fr-FR"/>
        </w:rPr>
      </w:pPr>
      <w:r>
        <w:rPr>
          <w:rFonts w:cs="Calibri"/>
          <w:lang w:val="fr-CH"/>
        </w:rPr>
        <w:t>Point</w:t>
      </w:r>
      <w:r w:rsidRPr="0074234C">
        <w:rPr>
          <w:rFonts w:cs="Calibri"/>
          <w:lang w:val="fr-CH"/>
        </w:rPr>
        <w:t xml:space="preserve"> 23</w:t>
      </w:r>
      <w:r>
        <w:rPr>
          <w:rFonts w:cs="Calibri"/>
          <w:lang w:val="fr-CH"/>
        </w:rPr>
        <w:t xml:space="preserve"> de l’ordre du jour</w:t>
      </w:r>
      <w:r w:rsidR="00A12F66" w:rsidRPr="00A12F66">
        <w:rPr>
          <w:rFonts w:cs="Calibri"/>
          <w:lang w:val="fr-CH"/>
        </w:rPr>
        <w:t xml:space="preserve"> </w:t>
      </w:r>
      <w:r w:rsidR="00A12F66">
        <w:rPr>
          <w:rFonts w:cs="Calibri"/>
          <w:lang w:val="fr-CH"/>
        </w:rPr>
        <w:t>de la</w:t>
      </w:r>
      <w:r w:rsidR="00A12F66" w:rsidRPr="00F1226E">
        <w:rPr>
          <w:rFonts w:cs="Calibri"/>
          <w:lang w:val="fr-CH"/>
        </w:rPr>
        <w:t xml:space="preserve"> </w:t>
      </w:r>
      <w:r w:rsidR="00A12F66" w:rsidRPr="00A12F66">
        <w:rPr>
          <w:rFonts w:cs="Calibri"/>
          <w:lang w:val="fr-CH"/>
        </w:rPr>
        <w:t>58</w:t>
      </w:r>
      <w:r w:rsidR="00A12F66" w:rsidRPr="00A12F66">
        <w:rPr>
          <w:rFonts w:cs="Calibri"/>
          <w:vertAlign w:val="superscript"/>
          <w:lang w:val="fr-CH"/>
        </w:rPr>
        <w:t>e</w:t>
      </w:r>
      <w:r w:rsidR="00A12F66" w:rsidRPr="00A12F66">
        <w:rPr>
          <w:rFonts w:cs="Calibri"/>
          <w:lang w:val="fr-CH"/>
        </w:rPr>
        <w:t xml:space="preserve"> Réunion du Comité permanent</w:t>
      </w:r>
      <w:r w:rsidRPr="0074234C">
        <w:rPr>
          <w:rFonts w:cs="Calibri"/>
          <w:lang w:val="fr-CH"/>
        </w:rPr>
        <w:t xml:space="preserve"> </w:t>
      </w:r>
      <w:bookmarkStart w:id="3" w:name="_Hlk43817346"/>
      <w:r>
        <w:rPr>
          <w:rFonts w:cs="Calibri"/>
          <w:i/>
          <w:iCs/>
          <w:lang w:val="fr-CH"/>
        </w:rPr>
        <w:t>Rapport des coprésidents du Comité consultatif indépendant sur le label Ville des Zones Humides accréditée </w:t>
      </w:r>
      <w:bookmarkEnd w:id="3"/>
    </w:p>
    <w:p w14:paraId="5F16F26C" w14:textId="77777777" w:rsidR="00C40AD2" w:rsidRPr="007517AA" w:rsidRDefault="00C40AD2" w:rsidP="00C40AD2">
      <w:pPr>
        <w:spacing w:after="0" w:line="240" w:lineRule="auto"/>
        <w:rPr>
          <w:rFonts w:asciiTheme="minorHAnsi" w:hAnsiTheme="minorHAnsi" w:cstheme="minorHAnsi"/>
          <w:lang w:val="fr-CH"/>
        </w:rPr>
      </w:pPr>
    </w:p>
    <w:p w14:paraId="0E5EF194" w14:textId="6436ED1D" w:rsidR="00C40AD2" w:rsidRPr="00A17FEB" w:rsidRDefault="00C40AD2" w:rsidP="00C40AD2">
      <w:pPr>
        <w:spacing w:after="0" w:line="240" w:lineRule="auto"/>
        <w:rPr>
          <w:b/>
          <w:bCs/>
          <w:sz w:val="21"/>
          <w:szCs w:val="21"/>
          <w:lang w:val="fr-FR"/>
        </w:rPr>
      </w:pPr>
      <w:r w:rsidRPr="000E3426">
        <w:rPr>
          <w:rFonts w:asciiTheme="minorHAnsi" w:hAnsiTheme="minorHAnsi" w:cstheme="minorHAnsi"/>
          <w:b/>
          <w:bCs/>
          <w:lang w:val="fr-FR"/>
        </w:rPr>
        <w:t xml:space="preserve">Décision SC58-24 : </w:t>
      </w:r>
      <w:r w:rsidRPr="00A17FEB">
        <w:rPr>
          <w:b/>
          <w:bCs/>
          <w:sz w:val="21"/>
          <w:szCs w:val="21"/>
          <w:lang w:val="fr-FR"/>
        </w:rPr>
        <w:t>Le Comité permanent approuve, sous réserve des ressources disponibles, conformément à la Résolution XII.10 et avec l’approbation du Sous-groupe sur les finances, l’allocation d</w:t>
      </w:r>
      <w:r>
        <w:rPr>
          <w:b/>
          <w:bCs/>
          <w:sz w:val="21"/>
          <w:szCs w:val="21"/>
          <w:lang w:val="fr-FR"/>
        </w:rPr>
        <w:t>u nombre d</w:t>
      </w:r>
      <w:r w:rsidRPr="00A17FEB">
        <w:rPr>
          <w:b/>
          <w:bCs/>
          <w:sz w:val="21"/>
          <w:szCs w:val="21"/>
          <w:lang w:val="fr-FR"/>
        </w:rPr>
        <w:t>e jours d</w:t>
      </w:r>
      <w:r>
        <w:rPr>
          <w:b/>
          <w:bCs/>
          <w:sz w:val="21"/>
          <w:szCs w:val="21"/>
          <w:lang w:val="fr-FR"/>
        </w:rPr>
        <w:t>e</w:t>
      </w:r>
      <w:r w:rsidRPr="00A17FEB">
        <w:rPr>
          <w:b/>
          <w:bCs/>
          <w:sz w:val="21"/>
          <w:szCs w:val="21"/>
          <w:lang w:val="fr-FR"/>
        </w:rPr>
        <w:t xml:space="preserve"> temps </w:t>
      </w:r>
      <w:r>
        <w:rPr>
          <w:b/>
          <w:bCs/>
          <w:sz w:val="21"/>
          <w:szCs w:val="21"/>
          <w:lang w:val="fr-FR"/>
        </w:rPr>
        <w:t xml:space="preserve">nécessaire pour une </w:t>
      </w:r>
      <w:r w:rsidRPr="00A17FEB">
        <w:rPr>
          <w:b/>
          <w:bCs/>
          <w:sz w:val="21"/>
          <w:szCs w:val="21"/>
          <w:lang w:val="fr-FR"/>
        </w:rPr>
        <w:t xml:space="preserve">assistante administrative, pendant la période triennale en cours, pour fournir les services </w:t>
      </w:r>
      <w:r w:rsidR="00A915C4">
        <w:rPr>
          <w:b/>
          <w:bCs/>
          <w:sz w:val="21"/>
          <w:szCs w:val="21"/>
          <w:lang w:val="fr-FR"/>
        </w:rPr>
        <w:t xml:space="preserve">administratifs </w:t>
      </w:r>
      <w:r w:rsidRPr="00A17FEB">
        <w:rPr>
          <w:b/>
          <w:bCs/>
          <w:sz w:val="21"/>
          <w:szCs w:val="21"/>
          <w:lang w:val="fr-FR"/>
        </w:rPr>
        <w:t>suivants au programme du label Ville des Zones Humides :</w:t>
      </w:r>
    </w:p>
    <w:p w14:paraId="6B667429" w14:textId="77777777" w:rsidR="00C40AD2" w:rsidRPr="00A17FEB" w:rsidRDefault="00C40AD2" w:rsidP="00C40AD2">
      <w:pPr>
        <w:spacing w:after="0" w:line="240" w:lineRule="auto"/>
        <w:rPr>
          <w:b/>
          <w:bCs/>
          <w:sz w:val="21"/>
          <w:szCs w:val="21"/>
          <w:lang w:val="fr-FR"/>
        </w:rPr>
      </w:pPr>
    </w:p>
    <w:p w14:paraId="548327FA" w14:textId="77777777" w:rsidR="00C40AD2" w:rsidRPr="00A17FEB"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publication de l’appel à candidatures ;</w:t>
      </w:r>
    </w:p>
    <w:p w14:paraId="46A18EFE" w14:textId="77777777" w:rsidR="00C40AD2" w:rsidRPr="00A17FEB"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réception des candidatures et transmission des candidatures éligibles au CCI ;</w:t>
      </w:r>
    </w:p>
    <w:p w14:paraId="3EF772B3" w14:textId="77777777" w:rsidR="00C40AD2"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préparation de certificats d’accréditation et création d’une page web et de son contenu pour les villes accréditées.</w:t>
      </w:r>
    </w:p>
    <w:p w14:paraId="35F8215B" w14:textId="77777777" w:rsidR="00C40AD2" w:rsidRDefault="00C40AD2" w:rsidP="00C40AD2">
      <w:pPr>
        <w:spacing w:after="0" w:line="240" w:lineRule="auto"/>
        <w:rPr>
          <w:b/>
          <w:bCs/>
          <w:sz w:val="21"/>
          <w:szCs w:val="21"/>
          <w:lang w:val="fr-FR"/>
        </w:rPr>
      </w:pPr>
    </w:p>
    <w:p w14:paraId="0B248238" w14:textId="77777777" w:rsidR="00C40AD2" w:rsidRDefault="00C40AD2" w:rsidP="00C40AD2">
      <w:pPr>
        <w:spacing w:after="0" w:line="240" w:lineRule="auto"/>
        <w:rPr>
          <w:b/>
          <w:bCs/>
          <w:sz w:val="21"/>
          <w:szCs w:val="21"/>
          <w:lang w:val="fr-FR"/>
        </w:rPr>
      </w:pPr>
      <w:r>
        <w:rPr>
          <w:b/>
          <w:bCs/>
          <w:sz w:val="21"/>
          <w:szCs w:val="21"/>
          <w:lang w:val="fr-FR"/>
        </w:rPr>
        <w:t>Il demande en outre au Secrétariat de fournir le nombre estimé de jours requis en temps voulu.</w:t>
      </w:r>
    </w:p>
    <w:p w14:paraId="12A44FE0" w14:textId="77777777" w:rsidR="00C40AD2" w:rsidRPr="000E3426" w:rsidRDefault="00C40AD2" w:rsidP="00C40AD2">
      <w:pPr>
        <w:spacing w:after="0" w:line="240" w:lineRule="auto"/>
        <w:rPr>
          <w:rFonts w:asciiTheme="minorHAnsi" w:hAnsiTheme="minorHAnsi" w:cstheme="minorHAnsi"/>
          <w:lang w:val="fr-FR"/>
        </w:rPr>
      </w:pPr>
    </w:p>
    <w:p w14:paraId="4498FA53" w14:textId="77777777" w:rsidR="00C40AD2" w:rsidRPr="00A915C4" w:rsidRDefault="00C40AD2" w:rsidP="00C40AD2">
      <w:pPr>
        <w:numPr>
          <w:ilvl w:val="0"/>
          <w:numId w:val="19"/>
        </w:numPr>
        <w:tabs>
          <w:tab w:val="clear" w:pos="720"/>
        </w:tabs>
        <w:spacing w:after="0" w:line="240" w:lineRule="auto"/>
        <w:ind w:left="851" w:hanging="425"/>
        <w:rPr>
          <w:rFonts w:asciiTheme="minorHAnsi" w:hAnsiTheme="minorHAnsi" w:cstheme="minorHAnsi"/>
          <w:i/>
          <w:iCs/>
          <w:lang w:val="fr-FR"/>
        </w:rPr>
      </w:pPr>
      <w:r w:rsidRPr="00A915C4">
        <w:rPr>
          <w:rFonts w:cs="Calibri"/>
          <w:i/>
          <w:iCs/>
          <w:lang w:val="fr-CH"/>
        </w:rPr>
        <w:t>Éléments d’avis pour le FEM concernant le financement à l’appui des objectifs et des priorités de la Convention, pour la huitième reconstitution de la Caisse du FEM</w:t>
      </w:r>
      <w:r w:rsidRPr="00A915C4">
        <w:rPr>
          <w:rFonts w:asciiTheme="minorHAnsi" w:hAnsiTheme="minorHAnsi" w:cstheme="minorHAnsi"/>
          <w:i/>
          <w:iCs/>
          <w:lang w:val="fr-FR"/>
        </w:rPr>
        <w:t>.</w:t>
      </w:r>
    </w:p>
    <w:p w14:paraId="32FE12C1" w14:textId="445C44EB" w:rsidR="00C40AD2" w:rsidRPr="001363AC" w:rsidRDefault="00C40AD2" w:rsidP="00A46382">
      <w:pPr>
        <w:spacing w:after="0" w:line="240" w:lineRule="auto"/>
        <w:contextualSpacing/>
        <w:rPr>
          <w:rFonts w:cs="Calibri"/>
          <w:lang w:val="fr-FR"/>
        </w:rPr>
      </w:pPr>
    </w:p>
    <w:p w14:paraId="582233DB" w14:textId="77777777" w:rsidR="00C40AD2" w:rsidRPr="00942843" w:rsidRDefault="00C40AD2" w:rsidP="00C40AD2">
      <w:pPr>
        <w:keepNext/>
        <w:spacing w:after="0" w:line="240" w:lineRule="auto"/>
        <w:rPr>
          <w:b/>
          <w:bCs/>
          <w:lang w:val="fr-FR"/>
        </w:rPr>
      </w:pPr>
      <w:r w:rsidRPr="00942843">
        <w:rPr>
          <w:rFonts w:asciiTheme="minorHAnsi" w:hAnsiTheme="minorHAnsi" w:cstheme="minorHAnsi"/>
          <w:b/>
          <w:bCs/>
          <w:lang w:val="fr-FR"/>
        </w:rPr>
        <w:t xml:space="preserve">Décision SC58-25 : </w:t>
      </w:r>
      <w:r w:rsidRPr="00942843">
        <w:rPr>
          <w:b/>
          <w:bCs/>
          <w:lang w:val="fr-FR"/>
        </w:rPr>
        <w:t>Le Comité permanent décide de demander les éléments d’avis suivants à soumettre au Secrétaire exécutif de la Convention sur la diversité biologique :</w:t>
      </w:r>
    </w:p>
    <w:p w14:paraId="332C3CD0" w14:textId="77777777" w:rsidR="00C40AD2" w:rsidRPr="00942843" w:rsidRDefault="00C40AD2" w:rsidP="00C40AD2">
      <w:pPr>
        <w:keepNext/>
        <w:spacing w:after="0" w:line="240" w:lineRule="auto"/>
        <w:rPr>
          <w:b/>
          <w:bCs/>
          <w:lang w:val="fr-FR"/>
        </w:rPr>
      </w:pPr>
    </w:p>
    <w:p w14:paraId="4325D2C0" w14:textId="0B153A01" w:rsidR="00C40AD2" w:rsidRPr="00942843" w:rsidRDefault="00C40AD2" w:rsidP="00C40AD2">
      <w:pPr>
        <w:keepNext/>
        <w:spacing w:after="0" w:line="240" w:lineRule="auto"/>
        <w:rPr>
          <w:b/>
          <w:bCs/>
          <w:lang w:val="fr-FR"/>
        </w:rPr>
      </w:pPr>
      <w:r w:rsidRPr="00942843">
        <w:rPr>
          <w:b/>
          <w:bCs/>
          <w:lang w:val="fr-FR"/>
        </w:rPr>
        <w:t xml:space="preserve">La Convention sur les zones humides apprécie l’invitation de la Convention sur la diversité biologique, adressée aux organes directeurs de différentes conventions relatives à la biodiversité, </w:t>
      </w:r>
      <w:r w:rsidRPr="00942843">
        <w:rPr>
          <w:b/>
          <w:bCs/>
          <w:lang w:val="fr-FR"/>
        </w:rPr>
        <w:lastRenderedPageBreak/>
        <w:t>de fournir des contributions pour aider à élaborer des orientations stratégiques pour la huitième reconstitution de la Caisse du Fonds mondial pour l’environnement (FEM).</w:t>
      </w:r>
    </w:p>
    <w:p w14:paraId="1D12EBC4" w14:textId="77777777" w:rsidR="00C40AD2" w:rsidRPr="00942843" w:rsidRDefault="00C40AD2" w:rsidP="00C40AD2">
      <w:pPr>
        <w:keepNext/>
        <w:spacing w:after="0" w:line="240" w:lineRule="auto"/>
        <w:rPr>
          <w:b/>
          <w:bCs/>
          <w:lang w:val="fr-FR"/>
        </w:rPr>
      </w:pPr>
    </w:p>
    <w:p w14:paraId="79EB73C6" w14:textId="77777777" w:rsidR="00C40AD2" w:rsidRPr="00942843" w:rsidRDefault="00C40AD2" w:rsidP="00C40AD2">
      <w:pPr>
        <w:keepNext/>
        <w:spacing w:after="0" w:line="240" w:lineRule="auto"/>
        <w:rPr>
          <w:b/>
          <w:bCs/>
          <w:lang w:val="fr-FR"/>
        </w:rPr>
      </w:pPr>
      <w:r w:rsidRPr="00942843">
        <w:rPr>
          <w:b/>
          <w:bCs/>
          <w:lang w:val="fr-FR"/>
        </w:rPr>
        <w:t xml:space="preserve">En réponse, la Convention de Ramsar souhaite attirer l’attention de la Convention sur la diversité biologique sur les points suivants :  </w:t>
      </w:r>
    </w:p>
    <w:p w14:paraId="58C56E43" w14:textId="77777777" w:rsidR="00C40AD2" w:rsidRPr="00942843" w:rsidRDefault="00C40AD2" w:rsidP="00C40AD2">
      <w:pPr>
        <w:keepNext/>
        <w:spacing w:after="0" w:line="240" w:lineRule="auto"/>
        <w:rPr>
          <w:b/>
          <w:bCs/>
          <w:lang w:val="fr-FR"/>
        </w:rPr>
      </w:pPr>
    </w:p>
    <w:p w14:paraId="2923D995" w14:textId="77777777" w:rsidR="00C40AD2" w:rsidRPr="00942843" w:rsidRDefault="00C40AD2" w:rsidP="00C40AD2">
      <w:pPr>
        <w:pStyle w:val="Default"/>
        <w:ind w:left="426" w:hanging="426"/>
        <w:rPr>
          <w:b/>
          <w:bCs/>
          <w:color w:val="auto"/>
          <w:sz w:val="22"/>
          <w:szCs w:val="22"/>
          <w:lang w:val="fr-FR" w:eastAsia="en-GB"/>
        </w:rPr>
      </w:pPr>
      <w:r w:rsidRPr="00942843">
        <w:rPr>
          <w:b/>
          <w:bCs/>
          <w:color w:val="auto"/>
          <w:sz w:val="22"/>
          <w:szCs w:val="22"/>
          <w:lang w:val="fr-FR" w:eastAsia="en-GB"/>
        </w:rPr>
        <w:t>a)</w:t>
      </w:r>
      <w:r w:rsidRPr="00942843">
        <w:rPr>
          <w:b/>
          <w:bCs/>
          <w:color w:val="auto"/>
          <w:sz w:val="22"/>
          <w:szCs w:val="22"/>
          <w:lang w:val="fr-FR" w:eastAsia="en-GB"/>
        </w:rPr>
        <w:tab/>
        <w:t xml:space="preserve">Les zones humides sont les plus menacées de tous les écosystèmes, 87% des zones humides de la planète ayant disparu, dont 35% entre 1970 et 2015 à un rythme trois fois plus rapide que les forêts ; et 81% des populations d'espèces d'eau douce ont décliné à l'échelle mondiale, soit un pourcentage plus élevé que pour les autres espèces ; </w:t>
      </w:r>
    </w:p>
    <w:p w14:paraId="5F5EE96A" w14:textId="77777777" w:rsidR="00C40AD2" w:rsidRPr="00942843" w:rsidRDefault="00C40AD2" w:rsidP="00C40AD2">
      <w:pPr>
        <w:pStyle w:val="Default"/>
        <w:ind w:left="426"/>
        <w:rPr>
          <w:b/>
          <w:bCs/>
          <w:color w:val="auto"/>
          <w:sz w:val="22"/>
          <w:szCs w:val="22"/>
          <w:lang w:val="fr-FR" w:eastAsia="en-GB"/>
        </w:rPr>
      </w:pPr>
    </w:p>
    <w:p w14:paraId="572D81DD" w14:textId="77777777" w:rsidR="00C40AD2" w:rsidRPr="00942843" w:rsidRDefault="00C40AD2" w:rsidP="00C40AD2">
      <w:pPr>
        <w:pStyle w:val="Default"/>
        <w:tabs>
          <w:tab w:val="left" w:pos="426"/>
        </w:tabs>
        <w:ind w:left="426" w:hanging="426"/>
        <w:rPr>
          <w:b/>
          <w:bCs/>
          <w:color w:val="auto"/>
          <w:sz w:val="22"/>
          <w:szCs w:val="22"/>
          <w:lang w:val="fr-FR" w:eastAsia="en-GB"/>
        </w:rPr>
      </w:pPr>
      <w:r w:rsidRPr="00942843">
        <w:rPr>
          <w:b/>
          <w:bCs/>
          <w:color w:val="auto"/>
          <w:sz w:val="22"/>
          <w:szCs w:val="22"/>
          <w:lang w:val="fr-FR" w:eastAsia="en-GB"/>
        </w:rPr>
        <w:t>b)</w:t>
      </w:r>
      <w:r w:rsidRPr="00942843">
        <w:rPr>
          <w:b/>
          <w:bCs/>
          <w:color w:val="auto"/>
          <w:sz w:val="22"/>
          <w:szCs w:val="22"/>
          <w:lang w:val="fr-FR" w:eastAsia="en-GB"/>
        </w:rPr>
        <w:tab/>
        <w:t>Les zones humides fournissent d’importants avantages et services aux populations, notamment la plupart de l’eau douce destinée à la consommation, une protection contre les inondations, les sécheresses et autres catastrophes, des aliments et des moyens de subsistance pour des millions de personnes, et un stockage du carbone plus efficace que celui de tout autre écosystème</w:t>
      </w:r>
      <w:r>
        <w:rPr>
          <w:b/>
          <w:bCs/>
          <w:color w:val="auto"/>
          <w:sz w:val="22"/>
          <w:szCs w:val="22"/>
          <w:lang w:val="fr-FR" w:eastAsia="en-GB"/>
        </w:rPr>
        <w:t> ;</w:t>
      </w:r>
    </w:p>
    <w:p w14:paraId="07DBECE1" w14:textId="77777777" w:rsidR="00C40AD2" w:rsidRPr="00942843" w:rsidRDefault="00C40AD2" w:rsidP="00C40AD2">
      <w:pPr>
        <w:pStyle w:val="Default"/>
        <w:ind w:left="426"/>
        <w:rPr>
          <w:b/>
          <w:bCs/>
          <w:color w:val="auto"/>
          <w:sz w:val="22"/>
          <w:szCs w:val="22"/>
          <w:lang w:val="fr-FR" w:eastAsia="en-GB"/>
        </w:rPr>
      </w:pPr>
    </w:p>
    <w:p w14:paraId="1B1B354E" w14:textId="485EF9C7" w:rsidR="00C40AD2" w:rsidRPr="00942843" w:rsidRDefault="00C40AD2" w:rsidP="00C40AD2">
      <w:pPr>
        <w:pStyle w:val="Default"/>
        <w:tabs>
          <w:tab w:val="left" w:pos="426"/>
        </w:tabs>
        <w:ind w:left="426" w:hanging="426"/>
        <w:rPr>
          <w:b/>
          <w:bCs/>
          <w:sz w:val="22"/>
          <w:lang w:val="fr-FR"/>
        </w:rPr>
      </w:pPr>
      <w:r w:rsidRPr="00942843">
        <w:rPr>
          <w:b/>
          <w:bCs/>
          <w:sz w:val="22"/>
          <w:lang w:val="fr-FR"/>
        </w:rPr>
        <w:t>c)</w:t>
      </w:r>
      <w:r w:rsidRPr="00942843">
        <w:rPr>
          <w:b/>
          <w:bCs/>
          <w:sz w:val="22"/>
          <w:lang w:val="fr-FR"/>
        </w:rPr>
        <w:tab/>
        <w:t>La Convention sur les zones humides a un rôle de premier plan à jouer vis-à-vis du cadre de la biodiversité pour l’après-2020, en particulier si l’on veut atteindre l’objectif de « pas de perte nette » et assurer l'intégrité des écosystèmes d'eau douce, marins et côtiers, entre autres buts et objectifs.</w:t>
      </w:r>
    </w:p>
    <w:p w14:paraId="7DD8A256" w14:textId="77777777" w:rsidR="00C40AD2" w:rsidRPr="00942843" w:rsidRDefault="00C40AD2" w:rsidP="00C40AD2">
      <w:pPr>
        <w:pStyle w:val="Default"/>
        <w:tabs>
          <w:tab w:val="left" w:pos="426"/>
        </w:tabs>
        <w:ind w:left="426" w:hanging="426"/>
        <w:rPr>
          <w:b/>
          <w:bCs/>
          <w:sz w:val="22"/>
          <w:lang w:val="fr-FR"/>
        </w:rPr>
      </w:pPr>
    </w:p>
    <w:p w14:paraId="7AD8B580" w14:textId="1ADC21FC" w:rsidR="00C40AD2" w:rsidRPr="00942843" w:rsidRDefault="00C40AD2" w:rsidP="00C40AD2">
      <w:pPr>
        <w:pStyle w:val="Default"/>
        <w:rPr>
          <w:b/>
          <w:bCs/>
          <w:lang w:val="fr-FR"/>
        </w:rPr>
      </w:pPr>
      <w:r w:rsidRPr="00942843">
        <w:rPr>
          <w:b/>
          <w:bCs/>
          <w:sz w:val="22"/>
          <w:szCs w:val="22"/>
          <w:lang w:val="fr-FR"/>
        </w:rPr>
        <w:t xml:space="preserve">À la lumière de ces considérations, la Convention </w:t>
      </w:r>
      <w:r w:rsidR="00A915C4">
        <w:rPr>
          <w:b/>
          <w:bCs/>
          <w:sz w:val="22"/>
          <w:szCs w:val="22"/>
          <w:lang w:val="fr-FR"/>
        </w:rPr>
        <w:t>sur les zones humides</w:t>
      </w:r>
      <w:r w:rsidRPr="00942843">
        <w:rPr>
          <w:b/>
          <w:bCs/>
          <w:sz w:val="22"/>
          <w:szCs w:val="22"/>
          <w:lang w:val="fr-FR"/>
        </w:rPr>
        <w:t xml:space="preserve"> invite la CDB à inclure, dans les orientations de la CdP15 au Mécanisme financier :  </w:t>
      </w:r>
    </w:p>
    <w:p w14:paraId="66B7DDDE" w14:textId="77777777" w:rsidR="00C40AD2" w:rsidRPr="00942843" w:rsidRDefault="00C40AD2" w:rsidP="00C40AD2">
      <w:pPr>
        <w:pStyle w:val="Default"/>
        <w:ind w:left="426"/>
        <w:rPr>
          <w:b/>
          <w:bCs/>
          <w:lang w:val="fr-FR"/>
        </w:rPr>
      </w:pPr>
    </w:p>
    <w:p w14:paraId="36C77CEB" w14:textId="0A107CCB" w:rsidR="00C40AD2" w:rsidRPr="00942843" w:rsidRDefault="00C40AD2" w:rsidP="00C40AD2">
      <w:pPr>
        <w:pStyle w:val="Default"/>
        <w:ind w:left="426" w:hanging="426"/>
        <w:rPr>
          <w:rFonts w:eastAsia="Calibri"/>
          <w:b/>
          <w:bCs/>
          <w:sz w:val="22"/>
          <w:szCs w:val="22"/>
          <w:lang w:val="fr-FR"/>
        </w:rPr>
      </w:pPr>
      <w:r w:rsidRPr="00942843">
        <w:rPr>
          <w:rFonts w:asciiTheme="minorHAnsi" w:hAnsiTheme="minorHAnsi" w:cstheme="minorHAnsi"/>
          <w:b/>
          <w:bCs/>
          <w:sz w:val="22"/>
          <w:szCs w:val="22"/>
          <w:lang w:val="fr-FR"/>
        </w:rPr>
        <w:t>i)</w:t>
      </w:r>
      <w:r w:rsidRPr="00942843">
        <w:rPr>
          <w:rFonts w:asciiTheme="minorHAnsi" w:hAnsiTheme="minorHAnsi" w:cstheme="minorHAnsi"/>
          <w:b/>
          <w:bCs/>
          <w:sz w:val="22"/>
          <w:szCs w:val="22"/>
          <w:lang w:val="fr-FR"/>
        </w:rPr>
        <w:tab/>
        <w:t xml:space="preserve">une invitation à continuer de soutenir des projets, dans le domaine d’intervention pour la biodiversité, qui intègrent les zones humides et </w:t>
      </w:r>
      <w:r>
        <w:rPr>
          <w:rFonts w:asciiTheme="minorHAnsi" w:hAnsiTheme="minorHAnsi" w:cstheme="minorHAnsi"/>
          <w:b/>
          <w:bCs/>
          <w:sz w:val="22"/>
          <w:szCs w:val="22"/>
          <w:lang w:val="fr-FR"/>
        </w:rPr>
        <w:t>leur</w:t>
      </w:r>
      <w:r w:rsidRPr="00942843">
        <w:rPr>
          <w:rFonts w:asciiTheme="minorHAnsi" w:hAnsiTheme="minorHAnsi" w:cstheme="minorHAnsi"/>
          <w:b/>
          <w:bCs/>
          <w:sz w:val="22"/>
          <w:szCs w:val="22"/>
          <w:lang w:val="fr-FR"/>
        </w:rPr>
        <w:t xml:space="preserve"> biodiversité dans tous les secteurs, paysages</w:t>
      </w:r>
      <w:r>
        <w:rPr>
          <w:rFonts w:asciiTheme="minorHAnsi" w:hAnsiTheme="minorHAnsi" w:cstheme="minorHAnsi"/>
          <w:b/>
          <w:bCs/>
          <w:sz w:val="22"/>
          <w:szCs w:val="22"/>
          <w:lang w:val="fr-FR"/>
        </w:rPr>
        <w:t xml:space="preserve"> terrestres</w:t>
      </w:r>
      <w:r w:rsidRPr="00942843">
        <w:rPr>
          <w:rFonts w:asciiTheme="minorHAnsi" w:hAnsiTheme="minorHAnsi" w:cstheme="minorHAnsi"/>
          <w:b/>
          <w:bCs/>
          <w:sz w:val="22"/>
          <w:szCs w:val="22"/>
          <w:lang w:val="fr-FR"/>
        </w:rPr>
        <w:t xml:space="preserve"> - y compris les eaux intérieures</w:t>
      </w:r>
      <w:r>
        <w:rPr>
          <w:rFonts w:asciiTheme="minorHAnsi" w:hAnsiTheme="minorHAnsi" w:cstheme="minorHAnsi"/>
          <w:b/>
          <w:bCs/>
          <w:sz w:val="22"/>
          <w:szCs w:val="22"/>
          <w:lang w:val="fr-FR"/>
        </w:rPr>
        <w:t xml:space="preserve"> -</w:t>
      </w:r>
      <w:r w:rsidRPr="00942843">
        <w:rPr>
          <w:rFonts w:asciiTheme="minorHAnsi" w:hAnsiTheme="minorHAnsi" w:cstheme="minorHAnsi"/>
          <w:b/>
          <w:bCs/>
          <w:sz w:val="22"/>
          <w:szCs w:val="22"/>
          <w:lang w:val="fr-FR"/>
        </w:rPr>
        <w:t xml:space="preserve"> et paysages marins</w:t>
      </w:r>
      <w:r>
        <w:rPr>
          <w:rFonts w:asciiTheme="minorHAnsi" w:hAnsiTheme="minorHAnsi" w:cstheme="minorHAnsi"/>
          <w:b/>
          <w:bCs/>
          <w:sz w:val="22"/>
          <w:szCs w:val="22"/>
          <w:lang w:val="fr-FR"/>
        </w:rPr>
        <w:t xml:space="preserve"> </w:t>
      </w:r>
      <w:r w:rsidRPr="00942843">
        <w:rPr>
          <w:rFonts w:asciiTheme="minorHAnsi" w:hAnsiTheme="minorHAnsi" w:cstheme="minorHAnsi"/>
          <w:b/>
          <w:bCs/>
          <w:sz w:val="22"/>
          <w:szCs w:val="22"/>
          <w:lang w:val="fr-FR"/>
        </w:rPr>
        <w:t xml:space="preserve">; </w:t>
      </w:r>
      <w:r>
        <w:rPr>
          <w:rFonts w:asciiTheme="minorHAnsi" w:hAnsiTheme="minorHAnsi" w:cstheme="minorHAnsi"/>
          <w:b/>
          <w:bCs/>
          <w:sz w:val="22"/>
          <w:szCs w:val="22"/>
          <w:lang w:val="fr-FR"/>
        </w:rPr>
        <w:t>à lutter contre les</w:t>
      </w:r>
      <w:r w:rsidRPr="00942843">
        <w:rPr>
          <w:rFonts w:asciiTheme="minorHAnsi" w:hAnsiTheme="minorHAnsi" w:cstheme="minorHAnsi"/>
          <w:b/>
          <w:bCs/>
          <w:sz w:val="22"/>
          <w:szCs w:val="22"/>
          <w:lang w:val="fr-FR"/>
        </w:rPr>
        <w:t xml:space="preserve"> facteurs</w:t>
      </w:r>
      <w:r>
        <w:rPr>
          <w:rFonts w:asciiTheme="minorHAnsi" w:hAnsiTheme="minorHAnsi" w:cstheme="minorHAnsi"/>
          <w:b/>
          <w:bCs/>
          <w:sz w:val="22"/>
          <w:szCs w:val="22"/>
          <w:lang w:val="fr-FR"/>
        </w:rPr>
        <w:t xml:space="preserve"> directs pour protéger les</w:t>
      </w:r>
      <w:r w:rsidRPr="00942843">
        <w:rPr>
          <w:rFonts w:asciiTheme="minorHAnsi" w:hAnsiTheme="minorHAnsi" w:cstheme="minorHAnsi"/>
          <w:b/>
          <w:bCs/>
          <w:sz w:val="22"/>
          <w:szCs w:val="22"/>
          <w:lang w:val="fr-FR"/>
        </w:rPr>
        <w:t xml:space="preserve"> habitats et </w:t>
      </w:r>
      <w:r>
        <w:rPr>
          <w:rFonts w:asciiTheme="minorHAnsi" w:hAnsiTheme="minorHAnsi" w:cstheme="minorHAnsi"/>
          <w:b/>
          <w:bCs/>
          <w:sz w:val="22"/>
          <w:szCs w:val="22"/>
          <w:lang w:val="fr-FR"/>
        </w:rPr>
        <w:t>l</w:t>
      </w:r>
      <w:r w:rsidRPr="00942843">
        <w:rPr>
          <w:rFonts w:asciiTheme="minorHAnsi" w:hAnsiTheme="minorHAnsi" w:cstheme="minorHAnsi"/>
          <w:b/>
          <w:bCs/>
          <w:sz w:val="22"/>
          <w:szCs w:val="22"/>
          <w:lang w:val="fr-FR"/>
        </w:rPr>
        <w:t xml:space="preserve">es espèces des zones humides, notamment par le biais de </w:t>
      </w:r>
      <w:r>
        <w:rPr>
          <w:rFonts w:asciiTheme="minorHAnsi" w:hAnsiTheme="minorHAnsi" w:cstheme="minorHAnsi"/>
          <w:b/>
          <w:bCs/>
          <w:sz w:val="22"/>
          <w:szCs w:val="22"/>
          <w:lang w:val="fr-FR"/>
        </w:rPr>
        <w:t>réseaux</w:t>
      </w:r>
      <w:r w:rsidRPr="00942843">
        <w:rPr>
          <w:rFonts w:asciiTheme="minorHAnsi" w:hAnsiTheme="minorHAnsi" w:cstheme="minorHAnsi"/>
          <w:b/>
          <w:bCs/>
          <w:sz w:val="22"/>
          <w:szCs w:val="22"/>
          <w:lang w:val="fr-FR"/>
        </w:rPr>
        <w:t xml:space="preserve"> d'aires protégées tels que les zones humides d'importance internationale inscrites par les Parties contractantes au titre de la Convention sur les zones humides ; et </w:t>
      </w:r>
      <w:r>
        <w:rPr>
          <w:rFonts w:asciiTheme="minorHAnsi" w:hAnsiTheme="minorHAnsi" w:cstheme="minorHAnsi"/>
          <w:b/>
          <w:bCs/>
          <w:sz w:val="22"/>
          <w:szCs w:val="22"/>
          <w:lang w:val="fr-FR"/>
        </w:rPr>
        <w:t>à améliorer</w:t>
      </w:r>
      <w:r w:rsidRPr="00942843">
        <w:rPr>
          <w:rFonts w:asciiTheme="minorHAnsi" w:hAnsiTheme="minorHAnsi" w:cstheme="minorHAnsi"/>
          <w:b/>
          <w:bCs/>
          <w:sz w:val="22"/>
          <w:szCs w:val="22"/>
          <w:lang w:val="fr-FR"/>
        </w:rPr>
        <w:t xml:space="preserve"> la politique et le</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cadre</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institutionnel</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de la biodiversité, y compris </w:t>
      </w:r>
      <w:r>
        <w:rPr>
          <w:rFonts w:asciiTheme="minorHAnsi" w:hAnsiTheme="minorHAnsi" w:cstheme="minorHAnsi"/>
          <w:b/>
          <w:bCs/>
          <w:sz w:val="22"/>
          <w:szCs w:val="22"/>
          <w:lang w:val="fr-FR"/>
        </w:rPr>
        <w:t>l’élaboration et la révision des</w:t>
      </w:r>
      <w:r w:rsidRPr="00942843">
        <w:rPr>
          <w:rFonts w:asciiTheme="minorHAnsi" w:hAnsiTheme="minorHAnsi" w:cstheme="minorHAnsi"/>
          <w:b/>
          <w:bCs/>
          <w:sz w:val="22"/>
          <w:szCs w:val="22"/>
          <w:lang w:val="fr-FR"/>
        </w:rPr>
        <w:t xml:space="preserve"> </w:t>
      </w:r>
      <w:r w:rsidRPr="00942843">
        <w:rPr>
          <w:rFonts w:eastAsia="Calibri"/>
          <w:b/>
          <w:bCs/>
          <w:sz w:val="22"/>
          <w:szCs w:val="22"/>
          <w:lang w:val="fr-FR"/>
        </w:rPr>
        <w:t>politique</w:t>
      </w:r>
      <w:r>
        <w:rPr>
          <w:rFonts w:eastAsia="Calibri"/>
          <w:b/>
          <w:bCs/>
          <w:sz w:val="22"/>
          <w:szCs w:val="22"/>
          <w:lang w:val="fr-FR"/>
        </w:rPr>
        <w:t>s</w:t>
      </w:r>
      <w:r w:rsidRPr="00942843">
        <w:rPr>
          <w:rFonts w:eastAsia="Calibri"/>
          <w:b/>
          <w:bCs/>
          <w:sz w:val="22"/>
          <w:szCs w:val="22"/>
          <w:lang w:val="fr-FR"/>
        </w:rPr>
        <w:t xml:space="preserve">, le suivi, l'aménagement du territoire, les </w:t>
      </w:r>
      <w:r>
        <w:rPr>
          <w:rFonts w:eastAsia="Calibri"/>
          <w:b/>
          <w:bCs/>
          <w:sz w:val="22"/>
          <w:szCs w:val="22"/>
          <w:lang w:val="fr-FR"/>
        </w:rPr>
        <w:t>mesures d’</w:t>
      </w:r>
      <w:r w:rsidRPr="00942843">
        <w:rPr>
          <w:rFonts w:eastAsia="Calibri"/>
          <w:b/>
          <w:bCs/>
          <w:sz w:val="22"/>
          <w:szCs w:val="22"/>
          <w:lang w:val="fr-FR"/>
        </w:rPr>
        <w:t>incitation, la création stratégique d’aires protégées</w:t>
      </w:r>
      <w:r>
        <w:rPr>
          <w:rFonts w:eastAsia="Calibri"/>
          <w:b/>
          <w:bCs/>
          <w:sz w:val="22"/>
          <w:szCs w:val="22"/>
          <w:lang w:val="fr-FR"/>
        </w:rPr>
        <w:t xml:space="preserve">, </w:t>
      </w:r>
      <w:r w:rsidRPr="00942843">
        <w:rPr>
          <w:rFonts w:eastAsia="Calibri"/>
          <w:b/>
          <w:bCs/>
          <w:sz w:val="22"/>
          <w:szCs w:val="22"/>
          <w:lang w:val="fr-FR"/>
        </w:rPr>
        <w:t xml:space="preserve">la gestion </w:t>
      </w:r>
      <w:r>
        <w:rPr>
          <w:rFonts w:eastAsia="Calibri"/>
          <w:b/>
          <w:bCs/>
          <w:sz w:val="22"/>
          <w:szCs w:val="22"/>
          <w:lang w:val="fr-FR"/>
        </w:rPr>
        <w:t xml:space="preserve">des aires protégées </w:t>
      </w:r>
      <w:r w:rsidRPr="00942843">
        <w:rPr>
          <w:rFonts w:eastAsia="Calibri"/>
          <w:b/>
          <w:bCs/>
          <w:sz w:val="22"/>
          <w:szCs w:val="22"/>
          <w:lang w:val="fr-FR"/>
        </w:rPr>
        <w:t>et la restauration</w:t>
      </w:r>
      <w:r>
        <w:rPr>
          <w:rFonts w:eastAsia="Calibri"/>
          <w:b/>
          <w:bCs/>
          <w:sz w:val="22"/>
          <w:szCs w:val="22"/>
          <w:lang w:val="fr-FR"/>
        </w:rPr>
        <w:t xml:space="preserve"> </w:t>
      </w:r>
      <w:r w:rsidRPr="00942843">
        <w:rPr>
          <w:rFonts w:eastAsia="Calibri"/>
          <w:b/>
          <w:bCs/>
          <w:sz w:val="22"/>
          <w:szCs w:val="22"/>
          <w:lang w:val="fr-FR"/>
        </w:rPr>
        <w:t>;</w:t>
      </w:r>
    </w:p>
    <w:p w14:paraId="1E101319" w14:textId="77777777" w:rsidR="00C40AD2" w:rsidRPr="00942843" w:rsidRDefault="00C40AD2" w:rsidP="00C40AD2">
      <w:pPr>
        <w:pStyle w:val="Default"/>
        <w:ind w:left="426"/>
        <w:rPr>
          <w:rFonts w:eastAsia="Calibri"/>
          <w:b/>
          <w:bCs/>
          <w:sz w:val="22"/>
          <w:szCs w:val="22"/>
          <w:lang w:val="fr-FR"/>
        </w:rPr>
      </w:pPr>
    </w:p>
    <w:p w14:paraId="69B963BF" w14:textId="77777777" w:rsidR="00C40AD2" w:rsidRPr="00942843" w:rsidRDefault="00C40AD2" w:rsidP="00C40AD2">
      <w:pPr>
        <w:pStyle w:val="Default"/>
        <w:ind w:left="426" w:hanging="426"/>
        <w:rPr>
          <w:rFonts w:eastAsia="Calibri"/>
          <w:b/>
          <w:bCs/>
          <w:sz w:val="22"/>
          <w:szCs w:val="22"/>
          <w:lang w:val="fr-FR"/>
        </w:rPr>
      </w:pPr>
      <w:r w:rsidRPr="00942843">
        <w:rPr>
          <w:rFonts w:eastAsia="Calibri"/>
          <w:b/>
          <w:bCs/>
          <w:sz w:val="22"/>
          <w:szCs w:val="22"/>
          <w:lang w:val="fr-FR"/>
        </w:rPr>
        <w:t>ii)</w:t>
      </w:r>
      <w:r w:rsidRPr="00942843">
        <w:rPr>
          <w:rFonts w:eastAsia="Calibri"/>
          <w:b/>
          <w:bCs/>
          <w:sz w:val="22"/>
          <w:szCs w:val="22"/>
          <w:lang w:val="fr-FR"/>
        </w:rPr>
        <w:tab/>
        <w:t>une invitation au FEM à continuer de s'attaquer aux facteurs causant la perte de</w:t>
      </w:r>
      <w:r>
        <w:rPr>
          <w:rFonts w:eastAsia="Calibri"/>
          <w:b/>
          <w:bCs/>
          <w:sz w:val="22"/>
          <w:szCs w:val="22"/>
          <w:lang w:val="fr-FR"/>
        </w:rPr>
        <w:t xml:space="preserve">s </w:t>
      </w:r>
      <w:r w:rsidRPr="00942843">
        <w:rPr>
          <w:rFonts w:eastAsia="Calibri"/>
          <w:b/>
          <w:bCs/>
          <w:sz w:val="22"/>
          <w:szCs w:val="22"/>
          <w:lang w:val="fr-FR"/>
        </w:rPr>
        <w:t>habitat</w:t>
      </w:r>
      <w:r>
        <w:rPr>
          <w:rFonts w:eastAsia="Calibri"/>
          <w:b/>
          <w:bCs/>
          <w:sz w:val="22"/>
          <w:szCs w:val="22"/>
          <w:lang w:val="fr-FR"/>
        </w:rPr>
        <w:t>s</w:t>
      </w:r>
      <w:r w:rsidRPr="00942843">
        <w:rPr>
          <w:rFonts w:eastAsia="Calibri"/>
          <w:b/>
          <w:bCs/>
          <w:sz w:val="22"/>
          <w:szCs w:val="22"/>
          <w:lang w:val="fr-FR"/>
        </w:rPr>
        <w:t xml:space="preserve"> et des espèces et </w:t>
      </w:r>
      <w:r>
        <w:rPr>
          <w:rFonts w:eastAsia="Calibri"/>
          <w:b/>
          <w:bCs/>
          <w:sz w:val="22"/>
          <w:szCs w:val="22"/>
          <w:lang w:val="fr-FR"/>
        </w:rPr>
        <w:t xml:space="preserve">à </w:t>
      </w:r>
      <w:r w:rsidRPr="00942843">
        <w:rPr>
          <w:rFonts w:eastAsia="Calibri"/>
          <w:b/>
          <w:bCs/>
          <w:sz w:val="22"/>
          <w:szCs w:val="22"/>
          <w:lang w:val="fr-FR"/>
        </w:rPr>
        <w:t>inclure</w:t>
      </w:r>
      <w:r>
        <w:rPr>
          <w:rFonts w:eastAsia="Calibri"/>
          <w:b/>
          <w:bCs/>
          <w:sz w:val="22"/>
          <w:szCs w:val="22"/>
          <w:lang w:val="fr-FR"/>
        </w:rPr>
        <w:t>,</w:t>
      </w:r>
      <w:r w:rsidRPr="00942843">
        <w:rPr>
          <w:rFonts w:eastAsia="Calibri"/>
          <w:b/>
          <w:bCs/>
          <w:sz w:val="22"/>
          <w:szCs w:val="22"/>
          <w:lang w:val="fr-FR"/>
        </w:rPr>
        <w:t xml:space="preserve"> dans le groupe de priorités actuel </w:t>
      </w:r>
      <w:r>
        <w:rPr>
          <w:rFonts w:eastAsia="Calibri"/>
          <w:b/>
          <w:bCs/>
          <w:sz w:val="22"/>
          <w:szCs w:val="22"/>
          <w:lang w:val="fr-FR"/>
        </w:rPr>
        <w:t>relatif à la lutte contre les</w:t>
      </w:r>
      <w:r w:rsidRPr="00942843">
        <w:rPr>
          <w:rFonts w:eastAsia="Calibri"/>
          <w:b/>
          <w:bCs/>
          <w:sz w:val="22"/>
          <w:szCs w:val="22"/>
          <w:lang w:val="fr-FR"/>
        </w:rPr>
        <w:t xml:space="preserve"> facteurs directs </w:t>
      </w:r>
      <w:r>
        <w:rPr>
          <w:rFonts w:eastAsia="Calibri"/>
          <w:b/>
          <w:bCs/>
          <w:sz w:val="22"/>
          <w:szCs w:val="22"/>
          <w:lang w:val="fr-FR"/>
        </w:rPr>
        <w:t>pour</w:t>
      </w:r>
      <w:r w:rsidRPr="00942843">
        <w:rPr>
          <w:rFonts w:eastAsia="Calibri"/>
          <w:b/>
          <w:bCs/>
          <w:sz w:val="22"/>
          <w:szCs w:val="22"/>
          <w:lang w:val="fr-FR"/>
        </w:rPr>
        <w:t xml:space="preserve"> prot</w:t>
      </w:r>
      <w:r>
        <w:rPr>
          <w:rFonts w:eastAsia="Calibri"/>
          <w:b/>
          <w:bCs/>
          <w:sz w:val="22"/>
          <w:szCs w:val="22"/>
          <w:lang w:val="fr-FR"/>
        </w:rPr>
        <w:t>éger les</w:t>
      </w:r>
      <w:r w:rsidRPr="00942843">
        <w:rPr>
          <w:rFonts w:eastAsia="Calibri"/>
          <w:b/>
          <w:bCs/>
          <w:sz w:val="22"/>
          <w:szCs w:val="22"/>
          <w:lang w:val="fr-FR"/>
        </w:rPr>
        <w:t xml:space="preserve"> habitats et </w:t>
      </w:r>
      <w:r>
        <w:rPr>
          <w:rFonts w:eastAsia="Calibri"/>
          <w:b/>
          <w:bCs/>
          <w:sz w:val="22"/>
          <w:szCs w:val="22"/>
          <w:lang w:val="fr-FR"/>
        </w:rPr>
        <w:t>l</w:t>
      </w:r>
      <w:r w:rsidRPr="00942843">
        <w:rPr>
          <w:rFonts w:eastAsia="Calibri"/>
          <w:b/>
          <w:bCs/>
          <w:sz w:val="22"/>
          <w:szCs w:val="22"/>
          <w:lang w:val="fr-FR"/>
        </w:rPr>
        <w:t>es espèces</w:t>
      </w:r>
      <w:r>
        <w:rPr>
          <w:rFonts w:eastAsia="Calibri"/>
          <w:b/>
          <w:bCs/>
          <w:sz w:val="22"/>
          <w:szCs w:val="22"/>
          <w:lang w:val="fr-FR"/>
        </w:rPr>
        <w:t>,</w:t>
      </w:r>
      <w:r w:rsidRPr="00942843">
        <w:rPr>
          <w:rFonts w:eastAsia="Calibri"/>
          <w:b/>
          <w:bCs/>
          <w:sz w:val="22"/>
          <w:szCs w:val="22"/>
          <w:lang w:val="fr-FR"/>
        </w:rPr>
        <w:t xml:space="preserve"> une priorité de programme </w:t>
      </w:r>
      <w:r>
        <w:rPr>
          <w:rFonts w:eastAsia="Calibri"/>
          <w:b/>
          <w:bCs/>
          <w:sz w:val="22"/>
          <w:szCs w:val="22"/>
          <w:lang w:val="fr-FR"/>
        </w:rPr>
        <w:t>sur la</w:t>
      </w:r>
      <w:r w:rsidRPr="00942843">
        <w:rPr>
          <w:rFonts w:eastAsia="Calibri"/>
          <w:b/>
          <w:bCs/>
          <w:sz w:val="22"/>
          <w:szCs w:val="22"/>
          <w:lang w:val="fr-FR"/>
        </w:rPr>
        <w:t xml:space="preserve"> « rédu</w:t>
      </w:r>
      <w:r>
        <w:rPr>
          <w:rFonts w:eastAsia="Calibri"/>
          <w:b/>
          <w:bCs/>
          <w:sz w:val="22"/>
          <w:szCs w:val="22"/>
          <w:lang w:val="fr-FR"/>
        </w:rPr>
        <w:t>ction des</w:t>
      </w:r>
      <w:r w:rsidRPr="00942843">
        <w:rPr>
          <w:rFonts w:eastAsia="Calibri"/>
          <w:b/>
          <w:bCs/>
          <w:sz w:val="22"/>
          <w:szCs w:val="22"/>
          <w:lang w:val="fr-FR"/>
        </w:rPr>
        <w:t xml:space="preserve"> pressions sur les écosystèmes d'eau douce » en plus de </w:t>
      </w:r>
      <w:r>
        <w:rPr>
          <w:rFonts w:eastAsia="Calibri"/>
          <w:b/>
          <w:bCs/>
          <w:sz w:val="22"/>
          <w:szCs w:val="22"/>
          <w:lang w:val="fr-FR"/>
        </w:rPr>
        <w:t>la priorité de</w:t>
      </w:r>
      <w:r w:rsidRPr="00942843">
        <w:rPr>
          <w:rFonts w:eastAsia="Calibri"/>
          <w:b/>
          <w:bCs/>
          <w:sz w:val="22"/>
          <w:szCs w:val="22"/>
          <w:lang w:val="fr-FR"/>
        </w:rPr>
        <w:t xml:space="preserve"> « rédu</w:t>
      </w:r>
      <w:r>
        <w:rPr>
          <w:rFonts w:eastAsia="Calibri"/>
          <w:b/>
          <w:bCs/>
          <w:sz w:val="22"/>
          <w:szCs w:val="22"/>
          <w:lang w:val="fr-FR"/>
        </w:rPr>
        <w:t>ction</w:t>
      </w:r>
      <w:r w:rsidRPr="00942843">
        <w:rPr>
          <w:rFonts w:eastAsia="Calibri"/>
          <w:b/>
          <w:bCs/>
          <w:sz w:val="22"/>
          <w:szCs w:val="22"/>
          <w:lang w:val="fr-FR"/>
        </w:rPr>
        <w:t xml:space="preserve"> </w:t>
      </w:r>
      <w:r>
        <w:rPr>
          <w:rFonts w:eastAsia="Calibri"/>
          <w:b/>
          <w:bCs/>
          <w:sz w:val="22"/>
          <w:szCs w:val="22"/>
          <w:lang w:val="fr-FR"/>
        </w:rPr>
        <w:t xml:space="preserve">de </w:t>
      </w:r>
      <w:r w:rsidRPr="00942843">
        <w:rPr>
          <w:rFonts w:eastAsia="Calibri"/>
          <w:b/>
          <w:bCs/>
          <w:sz w:val="22"/>
          <w:szCs w:val="22"/>
          <w:lang w:val="fr-FR"/>
        </w:rPr>
        <w:t xml:space="preserve">la pression sur les récifs coralliens et autres écosystèmes côtiers et marins vulnérables ». </w:t>
      </w:r>
      <w:r>
        <w:rPr>
          <w:rFonts w:eastAsia="Calibri"/>
          <w:b/>
          <w:bCs/>
          <w:sz w:val="22"/>
          <w:szCs w:val="22"/>
          <w:lang w:val="fr-FR"/>
        </w:rPr>
        <w:t xml:space="preserve">Ces priorités </w:t>
      </w:r>
      <w:r w:rsidRPr="00942843">
        <w:rPr>
          <w:rFonts w:eastAsia="Calibri"/>
          <w:b/>
          <w:bCs/>
          <w:sz w:val="22"/>
          <w:szCs w:val="22"/>
          <w:lang w:val="fr-FR"/>
        </w:rPr>
        <w:t>refléterai</w:t>
      </w:r>
      <w:r>
        <w:rPr>
          <w:rFonts w:eastAsia="Calibri"/>
          <w:b/>
          <w:bCs/>
          <w:sz w:val="22"/>
          <w:szCs w:val="22"/>
          <w:lang w:val="fr-FR"/>
        </w:rPr>
        <w:t>en</w:t>
      </w:r>
      <w:r w:rsidRPr="00942843">
        <w:rPr>
          <w:rFonts w:eastAsia="Calibri"/>
          <w:b/>
          <w:bCs/>
          <w:sz w:val="22"/>
          <w:szCs w:val="22"/>
          <w:lang w:val="fr-FR"/>
        </w:rPr>
        <w:t xml:space="preserve">t le niveau de menace et les multiples avantages dérivés des zones humides, y compris les zones humides d'eau douce qui ne sont pas actuellement couvertes par le portefeuille des eaux internationales, telles que les tourbières </w:t>
      </w:r>
      <w:r>
        <w:rPr>
          <w:rFonts w:eastAsia="Calibri"/>
          <w:b/>
          <w:bCs/>
          <w:sz w:val="22"/>
          <w:szCs w:val="22"/>
          <w:lang w:val="fr-FR"/>
        </w:rPr>
        <w:t>présentes</w:t>
      </w:r>
      <w:r w:rsidRPr="00942843">
        <w:rPr>
          <w:rFonts w:eastAsia="Calibri"/>
          <w:b/>
          <w:bCs/>
          <w:sz w:val="22"/>
          <w:szCs w:val="22"/>
          <w:lang w:val="fr-FR"/>
        </w:rPr>
        <w:t xml:space="preserve"> sur le territoire nationa</w:t>
      </w:r>
      <w:r>
        <w:rPr>
          <w:rFonts w:eastAsia="Calibri"/>
          <w:b/>
          <w:bCs/>
          <w:sz w:val="22"/>
          <w:szCs w:val="22"/>
          <w:lang w:val="fr-FR"/>
        </w:rPr>
        <w:t>l ;</w:t>
      </w:r>
    </w:p>
    <w:p w14:paraId="08348309" w14:textId="77777777" w:rsidR="00C40AD2" w:rsidRPr="00942843" w:rsidRDefault="00C40AD2" w:rsidP="00C40AD2">
      <w:pPr>
        <w:pStyle w:val="Default"/>
        <w:ind w:left="426" w:hanging="426"/>
        <w:rPr>
          <w:rFonts w:eastAsia="Calibri"/>
          <w:b/>
          <w:bCs/>
          <w:sz w:val="22"/>
          <w:szCs w:val="22"/>
          <w:lang w:val="fr-FR"/>
        </w:rPr>
      </w:pPr>
    </w:p>
    <w:p w14:paraId="6193B248" w14:textId="77777777" w:rsidR="00C40AD2" w:rsidRPr="00942843" w:rsidRDefault="00C40AD2" w:rsidP="00C40AD2">
      <w:pPr>
        <w:pStyle w:val="Default"/>
        <w:ind w:left="426" w:hanging="426"/>
        <w:rPr>
          <w:rFonts w:eastAsia="Calibri"/>
          <w:b/>
          <w:bCs/>
          <w:sz w:val="22"/>
          <w:szCs w:val="22"/>
          <w:lang w:val="fr-FR"/>
        </w:rPr>
      </w:pPr>
      <w:r w:rsidRPr="00942843">
        <w:rPr>
          <w:rFonts w:eastAsia="Calibri"/>
          <w:b/>
          <w:bCs/>
          <w:sz w:val="22"/>
          <w:szCs w:val="22"/>
          <w:lang w:val="fr-FR"/>
        </w:rPr>
        <w:t>iii)</w:t>
      </w:r>
      <w:r w:rsidRPr="00942843">
        <w:rPr>
          <w:rFonts w:eastAsia="Calibri"/>
          <w:b/>
          <w:bCs/>
          <w:sz w:val="22"/>
          <w:szCs w:val="22"/>
          <w:lang w:val="fr-FR"/>
        </w:rPr>
        <w:tab/>
        <w:t>une invitation au FEM à renforcer son soutien à l'intégration des zones humides dans la révision ou la mise à jour des stratégies et plans d'action nationaux pour la diversité biologique, et autres plans de développement nationaux, budgets et priorités nationaux ;</w:t>
      </w:r>
    </w:p>
    <w:p w14:paraId="7A2B4EF7" w14:textId="77777777" w:rsidR="00C40AD2" w:rsidRPr="00942843" w:rsidRDefault="00C40AD2" w:rsidP="00C40AD2">
      <w:pPr>
        <w:pStyle w:val="Default"/>
        <w:ind w:left="426"/>
        <w:rPr>
          <w:rFonts w:asciiTheme="minorHAnsi" w:hAnsiTheme="minorHAnsi"/>
          <w:b/>
          <w:bCs/>
          <w:sz w:val="22"/>
          <w:lang w:val="fr-FR"/>
        </w:rPr>
      </w:pPr>
    </w:p>
    <w:p w14:paraId="6A815FA0" w14:textId="72AFB731" w:rsidR="00C40AD2" w:rsidRPr="00942843" w:rsidRDefault="00C40AD2" w:rsidP="00C40AD2">
      <w:pPr>
        <w:pStyle w:val="Default"/>
        <w:ind w:left="426" w:hanging="426"/>
        <w:rPr>
          <w:rFonts w:asciiTheme="minorHAnsi" w:hAnsiTheme="minorHAnsi" w:cstheme="minorHAnsi"/>
          <w:b/>
          <w:bCs/>
          <w:iCs/>
          <w:sz w:val="22"/>
          <w:szCs w:val="22"/>
          <w:lang w:val="fr-FR"/>
        </w:rPr>
      </w:pPr>
      <w:r w:rsidRPr="00942843">
        <w:rPr>
          <w:rFonts w:eastAsia="Calibri"/>
          <w:b/>
          <w:bCs/>
          <w:sz w:val="22"/>
          <w:szCs w:val="22"/>
          <w:lang w:val="fr-FR"/>
        </w:rPr>
        <w:t>iv)</w:t>
      </w:r>
      <w:r w:rsidRPr="00942843">
        <w:rPr>
          <w:rFonts w:eastAsia="Calibri"/>
          <w:b/>
          <w:bCs/>
          <w:sz w:val="22"/>
          <w:szCs w:val="22"/>
          <w:lang w:val="fr-FR"/>
        </w:rPr>
        <w:tab/>
        <w:t xml:space="preserve">une invitation au </w:t>
      </w:r>
      <w:r w:rsidRPr="00942843">
        <w:rPr>
          <w:rFonts w:asciiTheme="minorHAnsi" w:hAnsiTheme="minorHAnsi" w:cstheme="minorHAnsi"/>
          <w:b/>
          <w:bCs/>
          <w:iCs/>
          <w:sz w:val="22"/>
          <w:szCs w:val="22"/>
          <w:lang w:val="fr-FR"/>
        </w:rPr>
        <w:t>FEM, dans le cadre du domaine d’intervention pour les eaux internationales, à continuer de soutenir le</w:t>
      </w:r>
      <w:r w:rsidR="00936645">
        <w:rPr>
          <w:rFonts w:asciiTheme="minorHAnsi" w:hAnsiTheme="minorHAnsi" w:cstheme="minorHAnsi"/>
          <w:b/>
          <w:bCs/>
          <w:iCs/>
          <w:sz w:val="22"/>
          <w:szCs w:val="22"/>
          <w:lang w:val="fr-FR"/>
        </w:rPr>
        <w:t>s</w:t>
      </w:r>
      <w:r w:rsidRPr="00942843">
        <w:rPr>
          <w:rFonts w:asciiTheme="minorHAnsi" w:hAnsiTheme="minorHAnsi" w:cstheme="minorHAnsi"/>
          <w:b/>
          <w:bCs/>
          <w:iCs/>
          <w:sz w:val="22"/>
          <w:szCs w:val="22"/>
          <w:lang w:val="fr-FR"/>
        </w:rPr>
        <w:t xml:space="preserve"> projet</w:t>
      </w:r>
      <w:r w:rsidR="00936645">
        <w:rPr>
          <w:rFonts w:asciiTheme="minorHAnsi" w:hAnsiTheme="minorHAnsi" w:cstheme="minorHAnsi"/>
          <w:b/>
          <w:bCs/>
          <w:iCs/>
          <w:sz w:val="22"/>
          <w:szCs w:val="22"/>
          <w:lang w:val="fr-FR"/>
        </w:rPr>
        <w:t>s</w:t>
      </w:r>
      <w:r w:rsidRPr="00942843">
        <w:rPr>
          <w:rFonts w:asciiTheme="minorHAnsi" w:hAnsiTheme="minorHAnsi" w:cstheme="minorHAnsi"/>
          <w:b/>
          <w:bCs/>
          <w:iCs/>
          <w:sz w:val="22"/>
          <w:szCs w:val="22"/>
          <w:lang w:val="fr-FR"/>
        </w:rPr>
        <w:t xml:space="preserve"> et activités visant à maintenir des écosystèmes côtiers et </w:t>
      </w:r>
      <w:r w:rsidRPr="00942843">
        <w:rPr>
          <w:rFonts w:asciiTheme="minorHAnsi" w:hAnsiTheme="minorHAnsi" w:cstheme="minorHAnsi"/>
          <w:b/>
          <w:bCs/>
          <w:iCs/>
          <w:sz w:val="22"/>
          <w:szCs w:val="22"/>
          <w:lang w:val="fr-FR"/>
        </w:rPr>
        <w:lastRenderedPageBreak/>
        <w:t>marins sains, des pêcheries durables et à renforcer la coopération régionale et nationale sur les bassins communs d'eau de surface et souterraine ;</w:t>
      </w:r>
    </w:p>
    <w:p w14:paraId="003E6DBF" w14:textId="77777777" w:rsidR="00C40AD2" w:rsidRPr="00942843" w:rsidRDefault="00C40AD2" w:rsidP="00C40AD2">
      <w:pPr>
        <w:pStyle w:val="Default"/>
        <w:ind w:left="426"/>
        <w:rPr>
          <w:rFonts w:asciiTheme="minorHAnsi" w:hAnsiTheme="minorHAnsi" w:cstheme="minorBidi"/>
          <w:b/>
          <w:bCs/>
          <w:snapToGrid w:val="0"/>
          <w:color w:val="auto"/>
          <w:kern w:val="22"/>
          <w:sz w:val="22"/>
          <w:szCs w:val="22"/>
          <w:lang w:val="fr-FR"/>
        </w:rPr>
      </w:pPr>
    </w:p>
    <w:p w14:paraId="7604EC16" w14:textId="77777777" w:rsidR="00C40AD2" w:rsidRPr="00942843" w:rsidRDefault="00C40AD2" w:rsidP="00C40AD2">
      <w:pPr>
        <w:pStyle w:val="Default"/>
        <w:ind w:left="426" w:hanging="426"/>
        <w:rPr>
          <w:rFonts w:asciiTheme="minorHAnsi" w:hAnsiTheme="minorHAnsi" w:cstheme="minorBidi"/>
          <w:b/>
          <w:bCs/>
          <w:snapToGrid w:val="0"/>
          <w:color w:val="auto"/>
          <w:kern w:val="22"/>
          <w:sz w:val="22"/>
          <w:szCs w:val="22"/>
          <w:lang w:val="fr-FR"/>
        </w:rPr>
      </w:pPr>
      <w:r w:rsidRPr="00942843">
        <w:rPr>
          <w:rFonts w:asciiTheme="minorHAnsi" w:hAnsiTheme="minorHAnsi" w:cstheme="minorBidi"/>
          <w:b/>
          <w:bCs/>
          <w:snapToGrid w:val="0"/>
          <w:color w:val="auto"/>
          <w:kern w:val="22"/>
          <w:sz w:val="22"/>
          <w:szCs w:val="22"/>
          <w:lang w:val="fr-FR"/>
        </w:rPr>
        <w:t>v)</w:t>
      </w:r>
      <w:r w:rsidRPr="00942843">
        <w:rPr>
          <w:rFonts w:asciiTheme="minorHAnsi" w:hAnsiTheme="minorHAnsi" w:cstheme="minorBidi"/>
          <w:b/>
          <w:bCs/>
          <w:snapToGrid w:val="0"/>
          <w:color w:val="auto"/>
          <w:kern w:val="22"/>
          <w:sz w:val="22"/>
          <w:szCs w:val="22"/>
          <w:lang w:val="fr-FR"/>
        </w:rPr>
        <w:tab/>
      </w:r>
      <w:r w:rsidRPr="00942843">
        <w:rPr>
          <w:rFonts w:eastAsia="Calibri"/>
          <w:b/>
          <w:bCs/>
          <w:sz w:val="22"/>
          <w:szCs w:val="22"/>
          <w:lang w:val="fr-FR"/>
        </w:rPr>
        <w:t>une invitation au FEM à continuer d’entreprendre</w:t>
      </w:r>
      <w:r w:rsidRPr="00942843">
        <w:rPr>
          <w:rFonts w:asciiTheme="minorHAnsi" w:hAnsiTheme="minorHAnsi" w:cstheme="minorBidi"/>
          <w:b/>
          <w:bCs/>
          <w:snapToGrid w:val="0"/>
          <w:color w:val="auto"/>
          <w:kern w:val="22"/>
          <w:sz w:val="22"/>
          <w:szCs w:val="22"/>
          <w:lang w:val="fr-FR"/>
        </w:rPr>
        <w:t xml:space="preserve"> de nouveaux projets dans les programmes des zones multifocales pour les zones humides, qui traitent de l’importance critique des zones humides pour les multiples avantages que ces écosystèmes apportent à la nature et à l’humanité et la rentabilité des investissements qui atteignent les objectifs de biodiversité, d'eau, de climat et de moyens de subsistance, tout en abordant l'inclusion systématique de l'égalité des sexes, que les Parties à la Convention s’efforcent </w:t>
      </w:r>
      <w:r>
        <w:rPr>
          <w:rFonts w:asciiTheme="minorHAnsi" w:hAnsiTheme="minorHAnsi" w:cstheme="minorBidi"/>
          <w:b/>
          <w:bCs/>
          <w:snapToGrid w:val="0"/>
          <w:color w:val="auto"/>
          <w:kern w:val="22"/>
          <w:sz w:val="22"/>
          <w:szCs w:val="22"/>
          <w:lang w:val="fr-FR"/>
        </w:rPr>
        <w:t>de respecter conformément à la R</w:t>
      </w:r>
      <w:r w:rsidRPr="00942843">
        <w:rPr>
          <w:rFonts w:asciiTheme="minorHAnsi" w:hAnsiTheme="minorHAnsi" w:cstheme="minorBidi"/>
          <w:b/>
          <w:bCs/>
          <w:snapToGrid w:val="0"/>
          <w:color w:val="auto"/>
          <w:kern w:val="22"/>
          <w:sz w:val="22"/>
          <w:szCs w:val="22"/>
          <w:lang w:val="fr-FR"/>
        </w:rPr>
        <w:t>ésolution XIII.18 ;</w:t>
      </w:r>
    </w:p>
    <w:p w14:paraId="35E1EE92" w14:textId="77777777" w:rsidR="00C40AD2" w:rsidRPr="00942843" w:rsidRDefault="00C40AD2" w:rsidP="00C40AD2">
      <w:pPr>
        <w:pStyle w:val="Default"/>
        <w:ind w:left="426"/>
        <w:rPr>
          <w:b/>
          <w:bCs/>
          <w:sz w:val="22"/>
          <w:szCs w:val="22"/>
          <w:lang w:val="fr-FR"/>
        </w:rPr>
      </w:pPr>
    </w:p>
    <w:p w14:paraId="378A3287" w14:textId="77777777" w:rsidR="00C40AD2" w:rsidRPr="00942843" w:rsidRDefault="00C40AD2" w:rsidP="00C40AD2">
      <w:pPr>
        <w:pStyle w:val="Default"/>
        <w:ind w:left="426" w:hanging="426"/>
        <w:rPr>
          <w:rFonts w:asciiTheme="minorHAnsi" w:hAnsiTheme="minorHAnsi" w:cstheme="minorHAnsi"/>
          <w:b/>
          <w:bCs/>
          <w:iCs/>
          <w:sz w:val="22"/>
          <w:szCs w:val="22"/>
          <w:lang w:val="fr-FR"/>
        </w:rPr>
      </w:pPr>
      <w:r w:rsidRPr="00942843">
        <w:rPr>
          <w:rFonts w:asciiTheme="minorHAnsi" w:hAnsiTheme="minorHAnsi" w:cstheme="minorHAnsi"/>
          <w:b/>
          <w:bCs/>
          <w:iCs/>
          <w:sz w:val="22"/>
          <w:szCs w:val="22"/>
          <w:lang w:val="fr-FR"/>
        </w:rPr>
        <w:t>vi)</w:t>
      </w:r>
      <w:r w:rsidRPr="00942843">
        <w:rPr>
          <w:rFonts w:asciiTheme="minorHAnsi" w:hAnsiTheme="minorHAnsi" w:cstheme="minorHAnsi"/>
          <w:b/>
          <w:bCs/>
          <w:iCs/>
          <w:sz w:val="22"/>
          <w:szCs w:val="22"/>
          <w:lang w:val="fr-FR"/>
        </w:rPr>
        <w:tab/>
      </w:r>
      <w:r w:rsidRPr="00942843">
        <w:rPr>
          <w:rFonts w:eastAsia="Calibri"/>
          <w:b/>
          <w:bCs/>
          <w:sz w:val="22"/>
          <w:szCs w:val="22"/>
          <w:lang w:val="fr-FR"/>
        </w:rPr>
        <w:t xml:space="preserve">une invitation au FEM </w:t>
      </w:r>
      <w:r w:rsidRPr="00942843">
        <w:rPr>
          <w:rFonts w:asciiTheme="minorHAnsi" w:hAnsiTheme="minorHAnsi" w:cstheme="minorHAnsi"/>
          <w:b/>
          <w:bCs/>
          <w:sz w:val="22"/>
          <w:szCs w:val="22"/>
          <w:lang w:val="fr-FR"/>
        </w:rPr>
        <w:t xml:space="preserve">à inclure </w:t>
      </w:r>
      <w:r w:rsidRPr="00942843">
        <w:rPr>
          <w:rFonts w:asciiTheme="minorHAnsi" w:hAnsiTheme="minorHAnsi" w:cstheme="minorHAnsi"/>
          <w:b/>
          <w:bCs/>
          <w:iCs/>
          <w:sz w:val="22"/>
          <w:szCs w:val="22"/>
          <w:lang w:val="fr-FR"/>
        </w:rPr>
        <w:t>les contributions aux conventions relatives à la biodiversité dans les domaines d'intervention du cadre quadriennal axé sur les résultats des priorités de programme pour la huitième période de reconstitution (juillet 2022 à juin 2026).</w:t>
      </w:r>
    </w:p>
    <w:p w14:paraId="4BC13691" w14:textId="77777777" w:rsidR="00C40AD2" w:rsidRPr="00942843" w:rsidRDefault="00C40AD2" w:rsidP="00C40AD2">
      <w:pPr>
        <w:pStyle w:val="Default"/>
        <w:ind w:left="851" w:hanging="426"/>
        <w:rPr>
          <w:rFonts w:asciiTheme="minorHAnsi" w:hAnsiTheme="minorHAnsi" w:cstheme="minorHAnsi"/>
          <w:b/>
          <w:bCs/>
          <w:iCs/>
          <w:sz w:val="22"/>
          <w:szCs w:val="22"/>
          <w:lang w:val="fr-FR"/>
        </w:rPr>
      </w:pPr>
    </w:p>
    <w:p w14:paraId="4E572421" w14:textId="52DEC796" w:rsidR="00C40AD2" w:rsidRPr="00942843" w:rsidRDefault="00C40AD2" w:rsidP="00C40AD2">
      <w:pPr>
        <w:spacing w:after="0" w:line="240" w:lineRule="auto"/>
        <w:rPr>
          <w:b/>
          <w:bCs/>
          <w:sz w:val="21"/>
          <w:szCs w:val="21"/>
          <w:lang w:val="fr-FR"/>
        </w:rPr>
      </w:pPr>
      <w:r w:rsidRPr="00942843">
        <w:rPr>
          <w:rFonts w:asciiTheme="minorHAnsi" w:hAnsiTheme="minorHAnsi" w:cstheme="minorHAnsi"/>
          <w:b/>
          <w:bCs/>
          <w:iCs/>
          <w:lang w:val="fr-FR"/>
        </w:rPr>
        <w:t xml:space="preserve">La Convention </w:t>
      </w:r>
      <w:r w:rsidR="00936645">
        <w:rPr>
          <w:rFonts w:asciiTheme="minorHAnsi" w:hAnsiTheme="minorHAnsi" w:cstheme="minorHAnsi"/>
          <w:b/>
          <w:bCs/>
          <w:iCs/>
          <w:lang w:val="fr-FR"/>
        </w:rPr>
        <w:t>sur les zones humides</w:t>
      </w:r>
      <w:r w:rsidRPr="00942843">
        <w:rPr>
          <w:rFonts w:asciiTheme="minorHAnsi" w:hAnsiTheme="minorHAnsi" w:cstheme="minorHAnsi"/>
          <w:b/>
          <w:bCs/>
          <w:iCs/>
          <w:lang w:val="fr-FR"/>
        </w:rPr>
        <w:t xml:space="preserve"> apprécie le soutien de la Convention sur la diversité biologique en faveur de ces domaines d’intérêt commun et d’avantage mutuel pour les Parties des deux conventions et l’environnement.</w:t>
      </w:r>
    </w:p>
    <w:p w14:paraId="0011DC76" w14:textId="77777777" w:rsidR="00C40AD2" w:rsidRPr="00942843" w:rsidRDefault="00C40AD2" w:rsidP="00C40AD2">
      <w:pPr>
        <w:spacing w:after="0" w:line="240" w:lineRule="auto"/>
        <w:rPr>
          <w:rFonts w:asciiTheme="minorHAnsi" w:hAnsiTheme="minorHAnsi" w:cstheme="minorHAnsi"/>
          <w:lang w:val="fr-FR"/>
        </w:rPr>
      </w:pPr>
    </w:p>
    <w:p w14:paraId="48433F82" w14:textId="30083C50" w:rsidR="00C40AD2" w:rsidRPr="00D57B06" w:rsidRDefault="00C40AD2" w:rsidP="00C40AD2">
      <w:pPr>
        <w:keepNext/>
        <w:numPr>
          <w:ilvl w:val="0"/>
          <w:numId w:val="19"/>
        </w:numPr>
        <w:tabs>
          <w:tab w:val="clear" w:pos="720"/>
        </w:tabs>
        <w:spacing w:after="0" w:line="240" w:lineRule="auto"/>
        <w:ind w:left="851" w:hanging="425"/>
        <w:rPr>
          <w:rFonts w:asciiTheme="minorHAnsi" w:hAnsiTheme="minorHAnsi" w:cstheme="minorHAnsi"/>
          <w:lang w:val="fr-FR"/>
        </w:rPr>
      </w:pPr>
      <w:r>
        <w:rPr>
          <w:rFonts w:cs="Calibri"/>
          <w:lang w:val="fr-CH"/>
        </w:rPr>
        <w:t>Point</w:t>
      </w:r>
      <w:r w:rsidRPr="0074234C">
        <w:rPr>
          <w:rFonts w:cs="Calibri"/>
          <w:lang w:val="fr-CH"/>
        </w:rPr>
        <w:t xml:space="preserve"> 16</w:t>
      </w:r>
      <w:r>
        <w:rPr>
          <w:rFonts w:cs="Calibri"/>
          <w:lang w:val="fr-CH"/>
        </w:rPr>
        <w:t xml:space="preserve"> de l’ordre du jour</w:t>
      </w:r>
      <w:r w:rsidRPr="0074234C">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 </w:t>
      </w:r>
      <w:r>
        <w:rPr>
          <w:rFonts w:cs="Calibri"/>
          <w:i/>
          <w:iCs/>
          <w:lang w:val="fr-CH"/>
        </w:rPr>
        <w:t>Plan de t</w:t>
      </w:r>
      <w:r w:rsidR="00A46382">
        <w:rPr>
          <w:rFonts w:cs="Calibri"/>
          <w:i/>
          <w:iCs/>
          <w:lang w:val="fr-CH"/>
        </w:rPr>
        <w:t>ravail du Secrétariat pour 2020</w:t>
      </w:r>
    </w:p>
    <w:p w14:paraId="297CFEB7" w14:textId="77777777" w:rsidR="00C40AD2" w:rsidRPr="001363AC" w:rsidRDefault="00C40AD2" w:rsidP="00C40AD2">
      <w:pPr>
        <w:spacing w:after="0" w:line="240" w:lineRule="auto"/>
        <w:rPr>
          <w:rFonts w:asciiTheme="minorHAnsi" w:hAnsiTheme="minorHAnsi" w:cstheme="minorHAnsi"/>
          <w:lang w:val="fr-FR"/>
        </w:rPr>
      </w:pPr>
    </w:p>
    <w:p w14:paraId="3B447A1D" w14:textId="77777777" w:rsidR="00C40AD2" w:rsidRPr="00D57B06" w:rsidRDefault="00C40AD2" w:rsidP="00C40AD2">
      <w:pPr>
        <w:pStyle w:val="BodyText"/>
        <w:widowControl/>
        <w:ind w:left="0"/>
        <w:rPr>
          <w:rFonts w:asciiTheme="minorHAnsi" w:hAnsiTheme="minorHAnsi" w:cstheme="minorHAnsi"/>
          <w:b/>
          <w:bCs/>
          <w:lang w:val="fr-FR"/>
        </w:rPr>
      </w:pPr>
      <w:r w:rsidRPr="00D57B06">
        <w:rPr>
          <w:rFonts w:asciiTheme="minorHAnsi" w:hAnsiTheme="minorHAnsi" w:cstheme="minorHAnsi"/>
          <w:b/>
          <w:bCs/>
          <w:lang w:val="fr-FR"/>
        </w:rPr>
        <w:t>Décision SC58-26</w:t>
      </w:r>
      <w:r>
        <w:rPr>
          <w:rFonts w:asciiTheme="minorHAnsi" w:hAnsiTheme="minorHAnsi" w:cstheme="minorHAnsi"/>
          <w:b/>
          <w:bCs/>
          <w:lang w:val="fr-FR"/>
        </w:rPr>
        <w:t xml:space="preserve"> </w:t>
      </w:r>
      <w:r w:rsidRPr="00D57B06">
        <w:rPr>
          <w:rFonts w:asciiTheme="minorHAnsi" w:hAnsiTheme="minorHAnsi" w:cstheme="minorHAnsi"/>
          <w:b/>
          <w:bCs/>
          <w:lang w:val="fr-FR"/>
        </w:rPr>
        <w:t xml:space="preserve">: </w:t>
      </w:r>
      <w:r w:rsidRPr="00D57B06">
        <w:rPr>
          <w:b/>
          <w:bCs/>
          <w:sz w:val="21"/>
          <w:szCs w:val="21"/>
          <w:lang w:val="fr-FR"/>
        </w:rPr>
        <w:t>Le Comité permanent décide d’approuver le Plan annuel intégré du Secrétariat pour 2020 dans le cadre du Plan triennal pour 2019-2021 approuvé dans la Décision SC57-21</w:t>
      </w:r>
      <w:r w:rsidRPr="00D57B06">
        <w:rPr>
          <w:rFonts w:asciiTheme="minorHAnsi" w:hAnsiTheme="minorHAnsi" w:cstheme="minorHAnsi"/>
          <w:b/>
          <w:bCs/>
          <w:lang w:val="fr-FR"/>
        </w:rPr>
        <w:t>.</w:t>
      </w:r>
    </w:p>
    <w:p w14:paraId="4D0D76E3" w14:textId="77777777" w:rsidR="00C40AD2" w:rsidRPr="00D57B06" w:rsidRDefault="00C40AD2" w:rsidP="00C40AD2">
      <w:pPr>
        <w:spacing w:after="0" w:line="240" w:lineRule="auto"/>
        <w:rPr>
          <w:rFonts w:asciiTheme="minorHAnsi" w:hAnsiTheme="minorHAnsi" w:cstheme="minorHAnsi"/>
          <w:lang w:val="fr-FR"/>
        </w:rPr>
      </w:pPr>
    </w:p>
    <w:p w14:paraId="1896BFD4" w14:textId="40BFDA6B" w:rsidR="00C40AD2" w:rsidRPr="003160CD"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8 de l’ordre du jour : </w:t>
      </w:r>
      <w:r>
        <w:rPr>
          <w:rFonts w:cs="Calibri"/>
          <w:lang w:val="fr-CH"/>
        </w:rPr>
        <w:t>Point</w:t>
      </w:r>
      <w:r w:rsidRPr="0074234C">
        <w:rPr>
          <w:rFonts w:cs="Calibri"/>
          <w:lang w:val="fr-CH"/>
        </w:rPr>
        <w:t xml:space="preserve"> 8.2</w:t>
      </w:r>
      <w:r>
        <w:rPr>
          <w:rFonts w:cs="Calibri"/>
          <w:lang w:val="fr-CH"/>
        </w:rPr>
        <w:t xml:space="preserve"> de l’ordre du jour</w:t>
      </w:r>
      <w:r w:rsidR="00936645" w:rsidRPr="00936645">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w:t>
      </w:r>
      <w:r>
        <w:rPr>
          <w:rFonts w:cs="Calibri"/>
          <w:lang w:val="fr-CH"/>
        </w:rPr>
        <w:t xml:space="preserve"> </w:t>
      </w:r>
      <w:r>
        <w:rPr>
          <w:rFonts w:cs="Calibri"/>
          <w:i/>
          <w:lang w:val="fr-CH"/>
        </w:rPr>
        <w:t xml:space="preserve">Rapport sur les questions financières pour </w:t>
      </w:r>
      <w:r w:rsidRPr="002D388F">
        <w:rPr>
          <w:rFonts w:cs="Calibri"/>
          <w:i/>
          <w:lang w:val="fr-CH"/>
        </w:rPr>
        <w:t>2019 et 2020</w:t>
      </w:r>
      <w:r w:rsidRPr="0074234C">
        <w:rPr>
          <w:rFonts w:cs="Calibri"/>
          <w:lang w:val="fr-CH"/>
        </w:rPr>
        <w:t xml:space="preserve"> </w:t>
      </w:r>
      <w:r>
        <w:rPr>
          <w:rFonts w:cs="Calibri"/>
          <w:lang w:val="fr-CH"/>
        </w:rPr>
        <w:t>et</w:t>
      </w:r>
      <w:r w:rsidRPr="0074234C">
        <w:rPr>
          <w:rFonts w:cs="Calibri"/>
          <w:lang w:val="fr-CH"/>
        </w:rPr>
        <w:t xml:space="preserve"> </w:t>
      </w:r>
      <w:r>
        <w:rPr>
          <w:rFonts w:cs="Calibri"/>
          <w:lang w:val="fr-CH"/>
        </w:rPr>
        <w:t>point </w:t>
      </w:r>
      <w:r w:rsidRPr="0074234C">
        <w:rPr>
          <w:rFonts w:cs="Calibri"/>
          <w:lang w:val="fr-CH"/>
        </w:rPr>
        <w:t xml:space="preserve">8.3 </w:t>
      </w:r>
      <w:r>
        <w:rPr>
          <w:rFonts w:cs="Calibri"/>
          <w:lang w:val="fr-CH"/>
        </w:rPr>
        <w:t>de l’ordre du jour</w:t>
      </w:r>
      <w:r w:rsidR="00936645" w:rsidRPr="00936645">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w:t>
      </w:r>
      <w:r>
        <w:rPr>
          <w:rFonts w:cs="Calibri"/>
          <w:lang w:val="fr-CH"/>
        </w:rPr>
        <w:t xml:space="preserve"> </w:t>
      </w:r>
      <w:r w:rsidRPr="002D388F">
        <w:rPr>
          <w:rFonts w:cs="Calibri"/>
          <w:i/>
          <w:lang w:val="fr-CH"/>
        </w:rPr>
        <w:t>État des contributions annuelles</w:t>
      </w:r>
    </w:p>
    <w:p w14:paraId="6065827B" w14:textId="77777777" w:rsidR="00C40AD2" w:rsidRPr="00A31438" w:rsidRDefault="00C40AD2" w:rsidP="00C40AD2">
      <w:pPr>
        <w:spacing w:after="0" w:line="240" w:lineRule="auto"/>
        <w:rPr>
          <w:rFonts w:asciiTheme="minorHAnsi" w:hAnsiTheme="minorHAnsi" w:cstheme="minorHAnsi"/>
          <w:lang w:val="fr-CH"/>
        </w:rPr>
      </w:pPr>
    </w:p>
    <w:p w14:paraId="314B8AFE" w14:textId="77777777" w:rsidR="00C40AD2" w:rsidRPr="008E7097" w:rsidRDefault="00C40AD2" w:rsidP="00C40AD2">
      <w:pPr>
        <w:spacing w:after="0" w:line="240" w:lineRule="auto"/>
        <w:rPr>
          <w:rFonts w:asciiTheme="minorHAnsi" w:hAnsiTheme="minorHAnsi" w:cstheme="minorHAnsi"/>
          <w:lang w:val="fr-FR"/>
        </w:rPr>
      </w:pPr>
      <w:r w:rsidRPr="008E7097">
        <w:rPr>
          <w:rFonts w:asciiTheme="minorHAnsi" w:hAnsiTheme="minorHAnsi" w:cstheme="minorHAnsi"/>
          <w:b/>
          <w:bCs/>
          <w:lang w:val="fr-FR"/>
        </w:rPr>
        <w:t xml:space="preserve">Décision SC58-27 : </w:t>
      </w:r>
      <w:r>
        <w:rPr>
          <w:rFonts w:asciiTheme="minorHAnsi" w:hAnsiTheme="minorHAnsi" w:cstheme="minorHAnsi"/>
          <w:b/>
          <w:bCs/>
          <w:lang w:val="fr-FR"/>
        </w:rPr>
        <w:t>Le</w:t>
      </w:r>
      <w:r w:rsidRPr="008E7097">
        <w:rPr>
          <w:rFonts w:asciiTheme="minorHAnsi" w:hAnsiTheme="minorHAnsi" w:cstheme="minorHAnsi"/>
          <w:b/>
          <w:bCs/>
          <w:lang w:val="fr-FR"/>
        </w:rPr>
        <w:t xml:space="preserve"> </w:t>
      </w:r>
      <w:r w:rsidRPr="008E7097">
        <w:rPr>
          <w:rFonts w:asciiTheme="minorHAnsi" w:hAnsiTheme="minorHAnsi"/>
          <w:b/>
          <w:bCs/>
          <w:lang w:val="fr-FR"/>
        </w:rPr>
        <w:t>Comité permanent approuve l’affectation de 6 000 CHF provenant des économies réalisées sur le report de 2019 des services juridiques dans le budget a</w:t>
      </w:r>
      <w:r>
        <w:rPr>
          <w:rFonts w:asciiTheme="minorHAnsi" w:hAnsiTheme="minorHAnsi"/>
          <w:b/>
          <w:bCs/>
          <w:lang w:val="fr-FR"/>
        </w:rPr>
        <w:t xml:space="preserve">dministratif pour </w:t>
      </w:r>
      <w:r w:rsidRPr="00DB7BE7">
        <w:rPr>
          <w:rFonts w:asciiTheme="minorHAnsi" w:hAnsiTheme="minorHAnsi"/>
          <w:b/>
          <w:bCs/>
          <w:lang w:val="fr-FR"/>
        </w:rPr>
        <w:t>l’Examen des résolutions</w:t>
      </w:r>
      <w:r w:rsidRPr="008E7097">
        <w:rPr>
          <w:rFonts w:asciiTheme="minorHAnsi" w:hAnsiTheme="minorHAnsi"/>
          <w:b/>
          <w:bCs/>
          <w:lang w:val="fr-FR"/>
        </w:rPr>
        <w:t>, pour un montant total de 26 000 CHF combiné avec les fonds précédemment attribués. Cette allocation serait transférée à la ligne budgétaire « Examen des résolutions » sous « Services au Comité permanent ».</w:t>
      </w:r>
    </w:p>
    <w:p w14:paraId="10A0E0EA" w14:textId="5FC064C3" w:rsidR="00C40AD2" w:rsidRPr="001363AC" w:rsidRDefault="00C40AD2" w:rsidP="00C40AD2">
      <w:pPr>
        <w:spacing w:after="0" w:line="240" w:lineRule="auto"/>
        <w:rPr>
          <w:rFonts w:cs="Calibri"/>
          <w:lang w:val="fr-FR"/>
        </w:rPr>
      </w:pPr>
    </w:p>
    <w:p w14:paraId="06E1313A" w14:textId="77777777" w:rsidR="00C40AD2" w:rsidRPr="00DD1870" w:rsidRDefault="00C40AD2" w:rsidP="00C40AD2">
      <w:pPr>
        <w:autoSpaceDE w:val="0"/>
        <w:autoSpaceDN w:val="0"/>
        <w:adjustRightInd w:val="0"/>
        <w:spacing w:after="0" w:line="240" w:lineRule="auto"/>
        <w:rPr>
          <w:rFonts w:eastAsiaTheme="minorHAnsi" w:cs="Calibri"/>
          <w:color w:val="000000"/>
          <w:lang w:val="fr-FR"/>
        </w:rPr>
      </w:pPr>
      <w:r w:rsidRPr="00DD1870">
        <w:rPr>
          <w:rFonts w:asciiTheme="minorHAnsi" w:hAnsiTheme="minorHAnsi" w:cstheme="minorHAnsi"/>
          <w:b/>
          <w:bCs/>
          <w:lang w:val="fr-FR"/>
        </w:rPr>
        <w:t xml:space="preserve">Décision SC58-28 : Le </w:t>
      </w:r>
      <w:r w:rsidRPr="00DD1870">
        <w:rPr>
          <w:rFonts w:asciiTheme="minorHAnsi" w:hAnsiTheme="minorHAnsi"/>
          <w:b/>
          <w:bCs/>
          <w:lang w:val="fr-FR"/>
        </w:rPr>
        <w:t xml:space="preserve">Comité permanent approuve l’affectation de </w:t>
      </w:r>
      <w:r w:rsidRPr="00DD1870">
        <w:rPr>
          <w:rFonts w:eastAsiaTheme="minorHAnsi" w:cs="Calibri"/>
          <w:b/>
          <w:bCs/>
          <w:iCs/>
          <w:color w:val="000000"/>
          <w:lang w:val="fr-FR"/>
        </w:rPr>
        <w:t xml:space="preserve">15 000 CHF </w:t>
      </w:r>
      <w:r w:rsidRPr="00DD1870">
        <w:rPr>
          <w:b/>
          <w:bCs/>
          <w:color w:val="000000"/>
          <w:lang w:val="fr-FR"/>
        </w:rPr>
        <w:t>sur une proposition originale de 25 000, à chacune des quatre Initiatives régionales Ramsar éligibles pour leurs activités en 2020 à partir de la ligne D « Appui aux initiatives régionales » du budget administratif, en tenant compte des reports de 2019 et de la situation pandémique susceptible d’entraîner une limitation des activités pendant le reste de 2020</w:t>
      </w:r>
      <w:r w:rsidRPr="00DD1870">
        <w:rPr>
          <w:rFonts w:eastAsiaTheme="minorHAnsi" w:cs="Calibri"/>
          <w:b/>
          <w:bCs/>
          <w:iCs/>
          <w:color w:val="000000"/>
          <w:lang w:val="fr-FR"/>
        </w:rPr>
        <w:t xml:space="preserve">, et note que les membres du </w:t>
      </w:r>
      <w:r>
        <w:rPr>
          <w:rFonts w:eastAsiaTheme="minorHAnsi" w:cs="Calibri"/>
          <w:b/>
          <w:bCs/>
          <w:iCs/>
          <w:color w:val="000000"/>
          <w:lang w:val="fr-FR"/>
        </w:rPr>
        <w:t>Sous-groupe sur les finances sont prêts à examiner, lors de leur réunion d’octobre, une demande supplémentaire de 10 000 CHF de la part des IRR éligibles</w:t>
      </w:r>
      <w:r w:rsidRPr="00DD1870">
        <w:rPr>
          <w:rFonts w:eastAsiaTheme="minorHAnsi" w:cs="Calibri"/>
          <w:b/>
          <w:bCs/>
          <w:iCs/>
          <w:color w:val="000000"/>
          <w:lang w:val="fr-FR"/>
        </w:rPr>
        <w:t xml:space="preserve">. </w:t>
      </w:r>
    </w:p>
    <w:p w14:paraId="082A24BD" w14:textId="77777777" w:rsidR="00C40AD2" w:rsidRPr="00DD1870" w:rsidRDefault="00C40AD2" w:rsidP="00C40AD2">
      <w:pPr>
        <w:autoSpaceDE w:val="0"/>
        <w:autoSpaceDN w:val="0"/>
        <w:adjustRightInd w:val="0"/>
        <w:spacing w:after="0" w:line="240" w:lineRule="auto"/>
        <w:rPr>
          <w:rFonts w:eastAsiaTheme="minorHAnsi" w:cs="Calibri"/>
          <w:b/>
          <w:bCs/>
          <w:iCs/>
          <w:color w:val="000000"/>
          <w:lang w:val="fr-FR"/>
        </w:rPr>
      </w:pPr>
    </w:p>
    <w:p w14:paraId="53D00FA5" w14:textId="77777777" w:rsidR="00C40AD2" w:rsidRPr="005C642F" w:rsidRDefault="00C40AD2" w:rsidP="00C40AD2">
      <w:pPr>
        <w:autoSpaceDE w:val="0"/>
        <w:autoSpaceDN w:val="0"/>
        <w:adjustRightInd w:val="0"/>
        <w:spacing w:after="0" w:line="240" w:lineRule="auto"/>
        <w:rPr>
          <w:b/>
          <w:bCs/>
          <w:color w:val="000000"/>
          <w:lang w:val="fr-FR"/>
        </w:rPr>
      </w:pPr>
      <w:r w:rsidRPr="00DD1870">
        <w:rPr>
          <w:rFonts w:asciiTheme="minorHAnsi" w:hAnsiTheme="minorHAnsi" w:cstheme="minorHAnsi"/>
          <w:b/>
          <w:bCs/>
          <w:lang w:val="fr-FR"/>
        </w:rPr>
        <w:t xml:space="preserve">Décision SC58-29 : Le </w:t>
      </w:r>
      <w:r w:rsidRPr="00DD1870">
        <w:rPr>
          <w:rFonts w:asciiTheme="minorHAnsi" w:hAnsiTheme="minorHAnsi"/>
          <w:b/>
          <w:bCs/>
          <w:lang w:val="fr-FR"/>
        </w:rPr>
        <w:t xml:space="preserve">Comité permanent </w:t>
      </w:r>
      <w:r w:rsidRPr="00DD1870">
        <w:rPr>
          <w:rFonts w:eastAsiaTheme="minorHAnsi" w:cs="Calibri"/>
          <w:b/>
          <w:bCs/>
          <w:iCs/>
          <w:color w:val="000000"/>
          <w:lang w:val="fr-FR"/>
        </w:rPr>
        <w:t xml:space="preserve">prend note de la recommandation du Sous-groupe sur les finances, à savoir d’accorder </w:t>
      </w:r>
      <w:r w:rsidRPr="005C642F">
        <w:rPr>
          <w:b/>
          <w:bCs/>
          <w:color w:val="000000"/>
          <w:lang w:val="fr-FR"/>
        </w:rPr>
        <w:t>une attention spéciale à l’application de la Décision SC57-11 et aux progrès du Groupe de travail sur les Initiatives régionales Ramsar ainsi qu’aux tâches confiées dans la Résolution XIII.9, notamment les mesures visant à améliorer la transparence dans le cadre de nouvelles directives opérationnelles. Il examine ensuite les mesures suivantes qui ont pour objet d’améliorer les capacités de prise de décisions et de supervision du Sous-groupe sur les finances sur les questions liées aux IRR :</w:t>
      </w:r>
    </w:p>
    <w:p w14:paraId="6FF5147D" w14:textId="77777777" w:rsidR="00C40AD2" w:rsidRPr="005C642F" w:rsidRDefault="00C40AD2" w:rsidP="00C40AD2">
      <w:pPr>
        <w:spacing w:after="0" w:line="240" w:lineRule="auto"/>
        <w:ind w:left="426" w:hanging="426"/>
        <w:rPr>
          <w:b/>
          <w:bCs/>
          <w:color w:val="000000"/>
          <w:lang w:val="fr-FR"/>
        </w:rPr>
      </w:pPr>
      <w:r w:rsidRPr="005C642F">
        <w:rPr>
          <w:b/>
          <w:bCs/>
          <w:color w:val="000000"/>
          <w:lang w:val="fr-FR"/>
        </w:rPr>
        <w:lastRenderedPageBreak/>
        <w:t>1.</w:t>
      </w:r>
      <w:r w:rsidRPr="005C642F">
        <w:rPr>
          <w:b/>
          <w:bCs/>
          <w:color w:val="000000"/>
          <w:lang w:val="fr-FR"/>
        </w:rPr>
        <w:tab/>
        <w:t>Renforcer les exigences en matière de rapports afin d’améliorer leur responsabilité et leurs bonnes pratiques de gestion financière, dans le cadre de l’examen du point 22.2 de l’ordre du jour par le Comité permanent à sa 58</w:t>
      </w:r>
      <w:r w:rsidRPr="005C642F">
        <w:rPr>
          <w:b/>
          <w:bCs/>
          <w:color w:val="000000"/>
          <w:vertAlign w:val="superscript"/>
          <w:lang w:val="fr-FR"/>
        </w:rPr>
        <w:t>e</w:t>
      </w:r>
      <w:r w:rsidRPr="005C642F">
        <w:rPr>
          <w:b/>
          <w:bCs/>
          <w:color w:val="000000"/>
          <w:lang w:val="fr-FR"/>
        </w:rPr>
        <w:t xml:space="preserve"> Réunion ; et</w:t>
      </w:r>
    </w:p>
    <w:p w14:paraId="282000AA" w14:textId="77777777" w:rsidR="00C40AD2" w:rsidRPr="005C642F" w:rsidRDefault="00C40AD2" w:rsidP="00C40AD2">
      <w:pPr>
        <w:spacing w:after="0" w:line="240" w:lineRule="auto"/>
        <w:ind w:left="426" w:hanging="426"/>
        <w:rPr>
          <w:b/>
          <w:bCs/>
          <w:color w:val="000000"/>
          <w:lang w:val="fr-FR"/>
        </w:rPr>
      </w:pPr>
      <w:r w:rsidRPr="005C642F">
        <w:rPr>
          <w:b/>
          <w:bCs/>
          <w:color w:val="000000"/>
          <w:lang w:val="fr-FR"/>
        </w:rPr>
        <w:t>2.</w:t>
      </w:r>
      <w:r w:rsidRPr="005C642F">
        <w:rPr>
          <w:b/>
          <w:bCs/>
          <w:color w:val="000000"/>
          <w:lang w:val="fr-FR"/>
        </w:rPr>
        <w:tab/>
        <w:t xml:space="preserve">Entreprendre une étude des IRR pour mieux comprendre leurs effets, leurs progrès et leur efficacité pour ce qui est d’aider les Parties contractantes à appliquer la Convention, en tenant compte du rapport sur le statut juridique des IRR et de l’examen des </w:t>
      </w:r>
      <w:r w:rsidRPr="001817B0">
        <w:rPr>
          <w:b/>
          <w:bCs/>
          <w:color w:val="000000"/>
          <w:lang w:val="fr-FR"/>
        </w:rPr>
        <w:t>Résolutions et Décisions</w:t>
      </w:r>
      <w:r w:rsidRPr="005C642F">
        <w:rPr>
          <w:b/>
          <w:bCs/>
          <w:color w:val="000000"/>
          <w:lang w:val="fr-FR"/>
        </w:rPr>
        <w:t xml:space="preserve"> sur les IRR qui seront examinés par le Comité permanent à sa 58</w:t>
      </w:r>
      <w:r w:rsidRPr="005C642F">
        <w:rPr>
          <w:b/>
          <w:bCs/>
          <w:color w:val="000000"/>
          <w:vertAlign w:val="superscript"/>
          <w:lang w:val="fr-FR"/>
        </w:rPr>
        <w:t>e</w:t>
      </w:r>
      <w:r w:rsidRPr="005C642F">
        <w:rPr>
          <w:b/>
          <w:bCs/>
          <w:color w:val="000000"/>
          <w:lang w:val="fr-FR"/>
        </w:rPr>
        <w:t xml:space="preserve"> Réunion sous les points 22.3 et 22.4, respectivement, de l’ordre du jour, afin d’éviter le double emploi.</w:t>
      </w:r>
    </w:p>
    <w:p w14:paraId="18A1656A" w14:textId="77777777" w:rsidR="00C40AD2" w:rsidRPr="00E46BD8" w:rsidRDefault="00C40AD2" w:rsidP="00C40AD2">
      <w:pPr>
        <w:spacing w:after="0" w:line="240" w:lineRule="auto"/>
        <w:rPr>
          <w:rFonts w:eastAsiaTheme="minorHAnsi" w:cs="Calibri"/>
          <w:bCs/>
          <w:iCs/>
          <w:color w:val="000000"/>
          <w:lang w:val="fr-CH"/>
        </w:rPr>
      </w:pPr>
    </w:p>
    <w:p w14:paraId="02BC53A7" w14:textId="6E84FC3B" w:rsidR="00C40AD2" w:rsidRPr="005C642F" w:rsidRDefault="00C40AD2" w:rsidP="00C40AD2">
      <w:pPr>
        <w:autoSpaceDE w:val="0"/>
        <w:autoSpaceDN w:val="0"/>
        <w:adjustRightInd w:val="0"/>
        <w:spacing w:after="0" w:line="240" w:lineRule="auto"/>
        <w:rPr>
          <w:rFonts w:asciiTheme="minorHAnsi" w:hAnsiTheme="minorHAnsi" w:cstheme="minorHAnsi"/>
          <w:b/>
          <w:bCs/>
          <w:lang w:val="fr-FR"/>
        </w:rPr>
      </w:pPr>
      <w:r w:rsidRPr="005C642F">
        <w:rPr>
          <w:rFonts w:asciiTheme="minorHAnsi" w:hAnsiTheme="minorHAnsi" w:cstheme="minorHAnsi"/>
          <w:b/>
          <w:bCs/>
          <w:lang w:val="fr-FR"/>
        </w:rPr>
        <w:t xml:space="preserve">Décision SC58-30 : </w:t>
      </w:r>
      <w:r>
        <w:rPr>
          <w:rFonts w:asciiTheme="minorHAnsi" w:hAnsiTheme="minorHAnsi" w:cstheme="minorHAnsi"/>
          <w:b/>
          <w:bCs/>
          <w:lang w:val="fr-FR"/>
        </w:rPr>
        <w:t>Le</w:t>
      </w:r>
      <w:r w:rsidRPr="005C642F">
        <w:rPr>
          <w:rFonts w:asciiTheme="minorHAnsi" w:hAnsiTheme="minorHAnsi" w:cstheme="minorHAnsi"/>
          <w:b/>
          <w:bCs/>
          <w:lang w:val="fr-FR"/>
        </w:rPr>
        <w:t xml:space="preserve"> </w:t>
      </w:r>
      <w:r w:rsidRPr="005C642F">
        <w:rPr>
          <w:rFonts w:asciiTheme="minorHAnsi" w:hAnsiTheme="minorHAnsi"/>
          <w:b/>
          <w:bCs/>
          <w:lang w:val="fr-FR"/>
        </w:rPr>
        <w:t xml:space="preserve">Comité permanent approuve le budget ajusté pour 2020, figurant à </w:t>
      </w:r>
      <w:r w:rsidRPr="001817B0">
        <w:rPr>
          <w:rFonts w:asciiTheme="minorHAnsi" w:hAnsiTheme="minorHAnsi"/>
          <w:b/>
          <w:bCs/>
          <w:lang w:val="fr-FR"/>
        </w:rPr>
        <w:t>l’</w:t>
      </w:r>
      <w:r>
        <w:rPr>
          <w:rFonts w:asciiTheme="minorHAnsi" w:hAnsiTheme="minorHAnsi"/>
          <w:b/>
          <w:bCs/>
          <w:lang w:val="fr-FR"/>
        </w:rPr>
        <w:t>A</w:t>
      </w:r>
      <w:r w:rsidRPr="001817B0">
        <w:rPr>
          <w:rFonts w:asciiTheme="minorHAnsi" w:hAnsiTheme="minorHAnsi"/>
          <w:b/>
          <w:bCs/>
          <w:lang w:val="fr-FR"/>
        </w:rPr>
        <w:t>nnexe </w:t>
      </w:r>
      <w:r w:rsidR="00936645">
        <w:rPr>
          <w:rFonts w:asciiTheme="minorHAnsi" w:hAnsiTheme="minorHAnsi"/>
          <w:b/>
          <w:bCs/>
          <w:lang w:val="fr-FR"/>
        </w:rPr>
        <w:t>4</w:t>
      </w:r>
      <w:r w:rsidRPr="005C642F">
        <w:rPr>
          <w:rFonts w:asciiTheme="minorHAnsi" w:hAnsiTheme="minorHAnsi"/>
          <w:b/>
          <w:bCs/>
          <w:lang w:val="fr-FR"/>
        </w:rPr>
        <w:t xml:space="preserve"> du présent rapport. Le Sous-groupe sur les finances suivra l’exécution du budget et procédera aux ajustements nécessaires.</w:t>
      </w:r>
      <w:r w:rsidRPr="005C642F">
        <w:rPr>
          <w:rFonts w:asciiTheme="minorHAnsi" w:hAnsiTheme="minorHAnsi" w:cstheme="minorHAnsi"/>
          <w:b/>
          <w:bCs/>
          <w:lang w:val="fr-FR"/>
        </w:rPr>
        <w:t xml:space="preserve"> </w:t>
      </w:r>
    </w:p>
    <w:p w14:paraId="0DE1CD5E" w14:textId="77777777" w:rsidR="00C40AD2" w:rsidRPr="005C642F" w:rsidRDefault="00C40AD2" w:rsidP="00C40AD2">
      <w:pPr>
        <w:autoSpaceDE w:val="0"/>
        <w:autoSpaceDN w:val="0"/>
        <w:adjustRightInd w:val="0"/>
        <w:spacing w:after="0" w:line="240" w:lineRule="auto"/>
        <w:rPr>
          <w:rFonts w:asciiTheme="minorHAnsi" w:hAnsiTheme="minorHAnsi" w:cstheme="minorHAnsi"/>
          <w:b/>
          <w:bCs/>
          <w:lang w:val="fr-FR"/>
        </w:rPr>
      </w:pPr>
    </w:p>
    <w:p w14:paraId="1463ADA6" w14:textId="77777777" w:rsidR="00EE1556" w:rsidRDefault="00EE1556" w:rsidP="00EE1556">
      <w:pPr>
        <w:autoSpaceDE w:val="0"/>
        <w:autoSpaceDN w:val="0"/>
        <w:adjustRightInd w:val="0"/>
        <w:spacing w:after="0" w:line="240" w:lineRule="auto"/>
        <w:rPr>
          <w:rFonts w:asciiTheme="minorHAnsi" w:hAnsiTheme="minorHAnsi" w:cstheme="minorHAnsi"/>
          <w:b/>
          <w:bCs/>
          <w:lang w:val="fr-FR"/>
        </w:rPr>
      </w:pPr>
      <w:r w:rsidRPr="000B1B3C">
        <w:rPr>
          <w:rFonts w:asciiTheme="minorHAnsi" w:hAnsiTheme="minorHAnsi" w:cstheme="minorHAnsi"/>
          <w:b/>
          <w:bCs/>
          <w:lang w:val="fr-FR"/>
        </w:rPr>
        <w:t>Décision SC58-31 : Le Comité permanent demande la création de deux lignes budgétaires distinctes dans les futurs budgets pour les provisions pour : 1)  les arriérés de contributions et 2) les dépenses de personnel.</w:t>
      </w:r>
    </w:p>
    <w:p w14:paraId="1A53C82C" w14:textId="3E39F083" w:rsidR="00F76395" w:rsidRDefault="00F76395" w:rsidP="00C40AD2">
      <w:pPr>
        <w:spacing w:after="0" w:line="240" w:lineRule="auto"/>
        <w:ind w:left="567" w:hanging="567"/>
        <w:rPr>
          <w:rFonts w:asciiTheme="minorHAnsi" w:hAnsiTheme="minorHAnsi" w:cstheme="minorHAnsi"/>
          <w:bCs/>
          <w:lang w:val="fr-CH"/>
        </w:rPr>
      </w:pPr>
    </w:p>
    <w:p w14:paraId="754864E4" w14:textId="66DF25EF" w:rsidR="00777F7E" w:rsidRPr="00777F7E" w:rsidRDefault="00777F7E" w:rsidP="00BB46CE">
      <w:pPr>
        <w:rPr>
          <w:rFonts w:cstheme="minorHAnsi"/>
          <w:lang w:val="fr-FR"/>
        </w:rPr>
      </w:pPr>
    </w:p>
    <w:sectPr w:rsidR="00777F7E" w:rsidRPr="00777F7E" w:rsidSect="00BB46CE">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A272" w14:textId="77777777" w:rsidR="00C7406E" w:rsidRDefault="00C7406E" w:rsidP="00DF2386">
      <w:pPr>
        <w:spacing w:after="0" w:line="240" w:lineRule="auto"/>
      </w:pPr>
      <w:r>
        <w:separator/>
      </w:r>
    </w:p>
  </w:endnote>
  <w:endnote w:type="continuationSeparator" w:id="0">
    <w:p w14:paraId="3AD980D0" w14:textId="77777777" w:rsidR="00C7406E" w:rsidRDefault="00C7406E" w:rsidP="00DF2386">
      <w:pPr>
        <w:spacing w:after="0" w:line="240" w:lineRule="auto"/>
      </w:pPr>
      <w:r>
        <w:continuationSeparator/>
      </w:r>
    </w:p>
  </w:endnote>
  <w:endnote w:type="continuationNotice" w:id="1">
    <w:p w14:paraId="4B684EBA" w14:textId="77777777" w:rsidR="00C7406E" w:rsidRDefault="00C7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2018" w14:textId="3F2D6A1B" w:rsidR="00777F7E" w:rsidRPr="009A6DFA" w:rsidRDefault="00777F7E" w:rsidP="001B6D9C">
    <w:pPr>
      <w:pStyle w:val="NormalWeb"/>
      <w:tabs>
        <w:tab w:val="left" w:pos="8789"/>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B87EDF">
      <w:rPr>
        <w:rFonts w:asciiTheme="minorHAnsi" w:hAnsiTheme="minorHAnsi" w:cstheme="minorHAnsi"/>
        <w:noProof/>
        <w:sz w:val="20"/>
        <w:szCs w:val="20"/>
        <w:lang w:val="fr-FR"/>
      </w:rPr>
      <w:t>6</w:t>
    </w:r>
    <w:r w:rsidRPr="008536A9">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2E02" w14:textId="77777777" w:rsidR="00C7406E" w:rsidRDefault="00C7406E" w:rsidP="00DF2386">
      <w:pPr>
        <w:spacing w:after="0" w:line="240" w:lineRule="auto"/>
      </w:pPr>
      <w:r>
        <w:separator/>
      </w:r>
    </w:p>
  </w:footnote>
  <w:footnote w:type="continuationSeparator" w:id="0">
    <w:p w14:paraId="716A4DDF" w14:textId="77777777" w:rsidR="00C7406E" w:rsidRDefault="00C7406E" w:rsidP="00DF2386">
      <w:pPr>
        <w:spacing w:after="0" w:line="240" w:lineRule="auto"/>
      </w:pPr>
      <w:r>
        <w:continuationSeparator/>
      </w:r>
    </w:p>
  </w:footnote>
  <w:footnote w:type="continuationNotice" w:id="1">
    <w:p w14:paraId="550A3301" w14:textId="77777777" w:rsidR="00C7406E" w:rsidRDefault="00C740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9"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17"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8"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6927A6"/>
    <w:multiLevelType w:val="hybridMultilevel"/>
    <w:tmpl w:val="E03E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lang w:val="en-GB" w:eastAsia="en-GB" w:bidi="en-GB"/>
      </w:rPr>
    </w:lvl>
    <w:lvl w:ilvl="3" w:tplc="B84A831E">
      <w:numFmt w:val="bullet"/>
      <w:lvlText w:val="•"/>
      <w:lvlJc w:val="left"/>
      <w:pPr>
        <w:ind w:left="2976" w:hanging="425"/>
      </w:pPr>
      <w:rPr>
        <w:lang w:val="en-GB" w:eastAsia="en-GB" w:bidi="en-GB"/>
      </w:rPr>
    </w:lvl>
    <w:lvl w:ilvl="4" w:tplc="A46E9150">
      <w:numFmt w:val="bullet"/>
      <w:lvlText w:val="•"/>
      <w:lvlJc w:val="left"/>
      <w:pPr>
        <w:ind w:left="3935" w:hanging="425"/>
      </w:pPr>
      <w:rPr>
        <w:lang w:val="en-GB" w:eastAsia="en-GB" w:bidi="en-GB"/>
      </w:rPr>
    </w:lvl>
    <w:lvl w:ilvl="5" w:tplc="49F49DEA">
      <w:numFmt w:val="bullet"/>
      <w:lvlText w:val="•"/>
      <w:lvlJc w:val="left"/>
      <w:pPr>
        <w:ind w:left="4893" w:hanging="425"/>
      </w:pPr>
      <w:rPr>
        <w:lang w:val="en-GB" w:eastAsia="en-GB" w:bidi="en-GB"/>
      </w:rPr>
    </w:lvl>
    <w:lvl w:ilvl="6" w:tplc="8E62A74A">
      <w:numFmt w:val="bullet"/>
      <w:lvlText w:val="•"/>
      <w:lvlJc w:val="left"/>
      <w:pPr>
        <w:ind w:left="5852" w:hanging="425"/>
      </w:pPr>
      <w:rPr>
        <w:lang w:val="en-GB" w:eastAsia="en-GB" w:bidi="en-GB"/>
      </w:rPr>
    </w:lvl>
    <w:lvl w:ilvl="7" w:tplc="55DA25E6">
      <w:numFmt w:val="bullet"/>
      <w:lvlText w:val="•"/>
      <w:lvlJc w:val="left"/>
      <w:pPr>
        <w:ind w:left="6810" w:hanging="425"/>
      </w:pPr>
      <w:rPr>
        <w:lang w:val="en-GB" w:eastAsia="en-GB" w:bidi="en-GB"/>
      </w:rPr>
    </w:lvl>
    <w:lvl w:ilvl="8" w:tplc="5B261692">
      <w:numFmt w:val="bullet"/>
      <w:lvlText w:val="•"/>
      <w:lvlJc w:val="left"/>
      <w:pPr>
        <w:ind w:left="7769" w:hanging="425"/>
      </w:pPr>
      <w:rPr>
        <w:lang w:val="en-GB" w:eastAsia="en-GB" w:bidi="en-GB"/>
      </w:rPr>
    </w:lvl>
  </w:abstractNum>
  <w:abstractNum w:abstractNumId="29"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26"/>
  </w:num>
  <w:num w:numId="3">
    <w:abstractNumId w:val="3"/>
  </w:num>
  <w:num w:numId="4">
    <w:abstractNumId w:val="4"/>
  </w:num>
  <w:num w:numId="5">
    <w:abstractNumId w:val="22"/>
  </w:num>
  <w:num w:numId="6">
    <w:abstractNumId w:val="0"/>
  </w:num>
  <w:num w:numId="7">
    <w:abstractNumId w:val="1"/>
  </w:num>
  <w:num w:numId="8">
    <w:abstractNumId w:val="34"/>
  </w:num>
  <w:num w:numId="9">
    <w:abstractNumId w:val="11"/>
  </w:num>
  <w:num w:numId="10">
    <w:abstractNumId w:val="25"/>
  </w:num>
  <w:num w:numId="11">
    <w:abstractNumId w:val="31"/>
  </w:num>
  <w:num w:numId="12">
    <w:abstractNumId w:val="19"/>
  </w:num>
  <w:num w:numId="13">
    <w:abstractNumId w:val="2"/>
  </w:num>
  <w:num w:numId="14">
    <w:abstractNumId w:val="7"/>
  </w:num>
  <w:num w:numId="15">
    <w:abstractNumId w:val="10"/>
  </w:num>
  <w:num w:numId="16">
    <w:abstractNumId w:val="6"/>
  </w:num>
  <w:num w:numId="17">
    <w:abstractNumId w:val="30"/>
  </w:num>
  <w:num w:numId="18">
    <w:abstractNumId w:val="14"/>
  </w:num>
  <w:num w:numId="19">
    <w:abstractNumId w:val="5"/>
  </w:num>
  <w:num w:numId="20">
    <w:abstractNumId w:val="13"/>
  </w:num>
  <w:num w:numId="21">
    <w:abstractNumId w:val="18"/>
  </w:num>
  <w:num w:numId="22">
    <w:abstractNumId w:val="17"/>
  </w:num>
  <w:num w:numId="23">
    <w:abstractNumId w:val="21"/>
  </w:num>
  <w:num w:numId="24">
    <w:abstractNumId w:val="32"/>
  </w:num>
  <w:num w:numId="25">
    <w:abstractNumId w:val="27"/>
  </w:num>
  <w:num w:numId="26">
    <w:abstractNumId w:val="15"/>
  </w:num>
  <w:num w:numId="27">
    <w:abstractNumId w:val="9"/>
  </w:num>
  <w:num w:numId="28">
    <w:abstractNumId w:val="29"/>
  </w:num>
  <w:num w:numId="29">
    <w:abstractNumId w:val="24"/>
  </w:num>
  <w:num w:numId="30">
    <w:abstractNumId w:val="12"/>
  </w:num>
  <w:num w:numId="31">
    <w:abstractNumId w:val="2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16"/>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263AC"/>
    <w:rsid w:val="00030B1D"/>
    <w:rsid w:val="000311C7"/>
    <w:rsid w:val="000325B1"/>
    <w:rsid w:val="000329D6"/>
    <w:rsid w:val="00033E40"/>
    <w:rsid w:val="00034C1E"/>
    <w:rsid w:val="00035281"/>
    <w:rsid w:val="00036670"/>
    <w:rsid w:val="00037CE0"/>
    <w:rsid w:val="0004527F"/>
    <w:rsid w:val="00050008"/>
    <w:rsid w:val="000524CC"/>
    <w:rsid w:val="000525E0"/>
    <w:rsid w:val="00052EC3"/>
    <w:rsid w:val="00053929"/>
    <w:rsid w:val="000547AB"/>
    <w:rsid w:val="0005784A"/>
    <w:rsid w:val="00057C7B"/>
    <w:rsid w:val="000602D4"/>
    <w:rsid w:val="000662FE"/>
    <w:rsid w:val="00070486"/>
    <w:rsid w:val="00072571"/>
    <w:rsid w:val="000743FE"/>
    <w:rsid w:val="00074DE8"/>
    <w:rsid w:val="000816E7"/>
    <w:rsid w:val="0008208F"/>
    <w:rsid w:val="00082A48"/>
    <w:rsid w:val="000832E2"/>
    <w:rsid w:val="00085666"/>
    <w:rsid w:val="00085D52"/>
    <w:rsid w:val="00087E71"/>
    <w:rsid w:val="00090F51"/>
    <w:rsid w:val="00096665"/>
    <w:rsid w:val="00096F49"/>
    <w:rsid w:val="000A3656"/>
    <w:rsid w:val="000A3E3E"/>
    <w:rsid w:val="000B03AB"/>
    <w:rsid w:val="000B0A7B"/>
    <w:rsid w:val="000B1148"/>
    <w:rsid w:val="000B2E45"/>
    <w:rsid w:val="000B4A65"/>
    <w:rsid w:val="000C0DF0"/>
    <w:rsid w:val="000C227D"/>
    <w:rsid w:val="000C3D1E"/>
    <w:rsid w:val="000C66CA"/>
    <w:rsid w:val="000D0D3E"/>
    <w:rsid w:val="000D54DD"/>
    <w:rsid w:val="000D5C76"/>
    <w:rsid w:val="000D6871"/>
    <w:rsid w:val="000D795A"/>
    <w:rsid w:val="000D7F4E"/>
    <w:rsid w:val="000E2FA0"/>
    <w:rsid w:val="000E47E9"/>
    <w:rsid w:val="000E64B4"/>
    <w:rsid w:val="000F0443"/>
    <w:rsid w:val="000F09D4"/>
    <w:rsid w:val="000F0D7C"/>
    <w:rsid w:val="000F30D7"/>
    <w:rsid w:val="000F4BF0"/>
    <w:rsid w:val="000F73E5"/>
    <w:rsid w:val="001005BA"/>
    <w:rsid w:val="00100B62"/>
    <w:rsid w:val="00110148"/>
    <w:rsid w:val="00111C1D"/>
    <w:rsid w:val="00112287"/>
    <w:rsid w:val="00115322"/>
    <w:rsid w:val="00116A9E"/>
    <w:rsid w:val="00117C19"/>
    <w:rsid w:val="001200B2"/>
    <w:rsid w:val="001208BC"/>
    <w:rsid w:val="0012096C"/>
    <w:rsid w:val="00121597"/>
    <w:rsid w:val="0012693D"/>
    <w:rsid w:val="0012777A"/>
    <w:rsid w:val="00127828"/>
    <w:rsid w:val="001308F5"/>
    <w:rsid w:val="0013283B"/>
    <w:rsid w:val="0013509E"/>
    <w:rsid w:val="00135D51"/>
    <w:rsid w:val="001365A6"/>
    <w:rsid w:val="00144975"/>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ACE"/>
    <w:rsid w:val="00176D2A"/>
    <w:rsid w:val="001819B1"/>
    <w:rsid w:val="00182658"/>
    <w:rsid w:val="00182BB7"/>
    <w:rsid w:val="001868D6"/>
    <w:rsid w:val="00187BFC"/>
    <w:rsid w:val="00190197"/>
    <w:rsid w:val="00191548"/>
    <w:rsid w:val="0019169D"/>
    <w:rsid w:val="00192951"/>
    <w:rsid w:val="00192DDE"/>
    <w:rsid w:val="00193FE5"/>
    <w:rsid w:val="00195A8C"/>
    <w:rsid w:val="001A123C"/>
    <w:rsid w:val="001A1CDC"/>
    <w:rsid w:val="001A46C7"/>
    <w:rsid w:val="001A48C7"/>
    <w:rsid w:val="001A7044"/>
    <w:rsid w:val="001B0870"/>
    <w:rsid w:val="001B1821"/>
    <w:rsid w:val="001B2798"/>
    <w:rsid w:val="001B6D9C"/>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2CA6"/>
    <w:rsid w:val="001E4C05"/>
    <w:rsid w:val="001E7909"/>
    <w:rsid w:val="001F2349"/>
    <w:rsid w:val="001F4E9C"/>
    <w:rsid w:val="001F5359"/>
    <w:rsid w:val="001F6F26"/>
    <w:rsid w:val="001F715E"/>
    <w:rsid w:val="001F773C"/>
    <w:rsid w:val="002005D2"/>
    <w:rsid w:val="00201663"/>
    <w:rsid w:val="0020298B"/>
    <w:rsid w:val="002053F4"/>
    <w:rsid w:val="00206111"/>
    <w:rsid w:val="002137E0"/>
    <w:rsid w:val="0021666A"/>
    <w:rsid w:val="00217F8A"/>
    <w:rsid w:val="00223214"/>
    <w:rsid w:val="00224F8D"/>
    <w:rsid w:val="00225FB7"/>
    <w:rsid w:val="00227310"/>
    <w:rsid w:val="00230891"/>
    <w:rsid w:val="00230BAA"/>
    <w:rsid w:val="0023247B"/>
    <w:rsid w:val="00235440"/>
    <w:rsid w:val="00235E86"/>
    <w:rsid w:val="00236A9E"/>
    <w:rsid w:val="00243A5C"/>
    <w:rsid w:val="00246E5E"/>
    <w:rsid w:val="00247375"/>
    <w:rsid w:val="00253ACA"/>
    <w:rsid w:val="00254E49"/>
    <w:rsid w:val="00255544"/>
    <w:rsid w:val="00261880"/>
    <w:rsid w:val="0026231C"/>
    <w:rsid w:val="00262DF0"/>
    <w:rsid w:val="00263B44"/>
    <w:rsid w:val="002655B4"/>
    <w:rsid w:val="00266F2F"/>
    <w:rsid w:val="00270DEF"/>
    <w:rsid w:val="00271C5B"/>
    <w:rsid w:val="00272269"/>
    <w:rsid w:val="00272AFF"/>
    <w:rsid w:val="00273463"/>
    <w:rsid w:val="002741AC"/>
    <w:rsid w:val="002743AC"/>
    <w:rsid w:val="002759BB"/>
    <w:rsid w:val="00276814"/>
    <w:rsid w:val="00276E63"/>
    <w:rsid w:val="002772E4"/>
    <w:rsid w:val="00280BF1"/>
    <w:rsid w:val="002819C0"/>
    <w:rsid w:val="00282418"/>
    <w:rsid w:val="00282B18"/>
    <w:rsid w:val="0028719B"/>
    <w:rsid w:val="002949FD"/>
    <w:rsid w:val="00295556"/>
    <w:rsid w:val="00295BB5"/>
    <w:rsid w:val="002A47CA"/>
    <w:rsid w:val="002A5A4D"/>
    <w:rsid w:val="002A5ED2"/>
    <w:rsid w:val="002B17DF"/>
    <w:rsid w:val="002B3BEF"/>
    <w:rsid w:val="002B4262"/>
    <w:rsid w:val="002B60AB"/>
    <w:rsid w:val="002B64A4"/>
    <w:rsid w:val="002B6B2B"/>
    <w:rsid w:val="002B77B9"/>
    <w:rsid w:val="002C0750"/>
    <w:rsid w:val="002C728A"/>
    <w:rsid w:val="002C7F04"/>
    <w:rsid w:val="002D340E"/>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67A9"/>
    <w:rsid w:val="00313649"/>
    <w:rsid w:val="003160CD"/>
    <w:rsid w:val="003170EB"/>
    <w:rsid w:val="0032161D"/>
    <w:rsid w:val="00322441"/>
    <w:rsid w:val="00324398"/>
    <w:rsid w:val="00326D9C"/>
    <w:rsid w:val="00326E14"/>
    <w:rsid w:val="003309B5"/>
    <w:rsid w:val="00336D4A"/>
    <w:rsid w:val="00341A03"/>
    <w:rsid w:val="00345F66"/>
    <w:rsid w:val="003466CC"/>
    <w:rsid w:val="00351CCA"/>
    <w:rsid w:val="00351DB5"/>
    <w:rsid w:val="00356062"/>
    <w:rsid w:val="003576F6"/>
    <w:rsid w:val="00357C52"/>
    <w:rsid w:val="0036078D"/>
    <w:rsid w:val="00374815"/>
    <w:rsid w:val="003753F4"/>
    <w:rsid w:val="003767CF"/>
    <w:rsid w:val="003768F4"/>
    <w:rsid w:val="0038070B"/>
    <w:rsid w:val="00384FC3"/>
    <w:rsid w:val="003864C3"/>
    <w:rsid w:val="003872C7"/>
    <w:rsid w:val="00390AD7"/>
    <w:rsid w:val="00391429"/>
    <w:rsid w:val="00391FEF"/>
    <w:rsid w:val="00392538"/>
    <w:rsid w:val="0039424B"/>
    <w:rsid w:val="0039481A"/>
    <w:rsid w:val="00394FD7"/>
    <w:rsid w:val="00396359"/>
    <w:rsid w:val="003A1CD7"/>
    <w:rsid w:val="003A3804"/>
    <w:rsid w:val="003A4C88"/>
    <w:rsid w:val="003A52BE"/>
    <w:rsid w:val="003A5866"/>
    <w:rsid w:val="003A6839"/>
    <w:rsid w:val="003A6E9F"/>
    <w:rsid w:val="003A6EFA"/>
    <w:rsid w:val="003B7FB2"/>
    <w:rsid w:val="003C01A2"/>
    <w:rsid w:val="003C0660"/>
    <w:rsid w:val="003C1504"/>
    <w:rsid w:val="003C3E13"/>
    <w:rsid w:val="003C55AB"/>
    <w:rsid w:val="003C6998"/>
    <w:rsid w:val="003D1784"/>
    <w:rsid w:val="003D356C"/>
    <w:rsid w:val="003D4853"/>
    <w:rsid w:val="003D4CD6"/>
    <w:rsid w:val="003D6306"/>
    <w:rsid w:val="003D72BC"/>
    <w:rsid w:val="003E2F84"/>
    <w:rsid w:val="003E3DC0"/>
    <w:rsid w:val="003E7A36"/>
    <w:rsid w:val="003F0567"/>
    <w:rsid w:val="003F10A4"/>
    <w:rsid w:val="003F242D"/>
    <w:rsid w:val="004020D4"/>
    <w:rsid w:val="0040316C"/>
    <w:rsid w:val="00404B63"/>
    <w:rsid w:val="00406861"/>
    <w:rsid w:val="00406F3B"/>
    <w:rsid w:val="004108B3"/>
    <w:rsid w:val="00410920"/>
    <w:rsid w:val="004109FA"/>
    <w:rsid w:val="00415642"/>
    <w:rsid w:val="004200D3"/>
    <w:rsid w:val="00421958"/>
    <w:rsid w:val="004228C7"/>
    <w:rsid w:val="00427063"/>
    <w:rsid w:val="00427605"/>
    <w:rsid w:val="0042798B"/>
    <w:rsid w:val="004279F8"/>
    <w:rsid w:val="0043135C"/>
    <w:rsid w:val="00434913"/>
    <w:rsid w:val="004351EF"/>
    <w:rsid w:val="00436009"/>
    <w:rsid w:val="004371D1"/>
    <w:rsid w:val="004418D3"/>
    <w:rsid w:val="00442E26"/>
    <w:rsid w:val="00444B5A"/>
    <w:rsid w:val="00444D5F"/>
    <w:rsid w:val="0044531D"/>
    <w:rsid w:val="004474F8"/>
    <w:rsid w:val="00450623"/>
    <w:rsid w:val="004513BE"/>
    <w:rsid w:val="00453C63"/>
    <w:rsid w:val="0045707E"/>
    <w:rsid w:val="00457CF8"/>
    <w:rsid w:val="00462A06"/>
    <w:rsid w:val="004655F6"/>
    <w:rsid w:val="00466758"/>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135B"/>
    <w:rsid w:val="004B2DCE"/>
    <w:rsid w:val="004B4597"/>
    <w:rsid w:val="004B6688"/>
    <w:rsid w:val="004B752E"/>
    <w:rsid w:val="004C0D5B"/>
    <w:rsid w:val="004C1B3E"/>
    <w:rsid w:val="004C34EB"/>
    <w:rsid w:val="004C3CEC"/>
    <w:rsid w:val="004C70CA"/>
    <w:rsid w:val="004D0B83"/>
    <w:rsid w:val="004D10E9"/>
    <w:rsid w:val="004D2304"/>
    <w:rsid w:val="004E4CC8"/>
    <w:rsid w:val="004F497B"/>
    <w:rsid w:val="004F4A7F"/>
    <w:rsid w:val="004F538A"/>
    <w:rsid w:val="004F5D62"/>
    <w:rsid w:val="004F61E4"/>
    <w:rsid w:val="004F63CB"/>
    <w:rsid w:val="004F669E"/>
    <w:rsid w:val="004F7CE2"/>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33F35"/>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5C4B"/>
    <w:rsid w:val="005765FF"/>
    <w:rsid w:val="005814B5"/>
    <w:rsid w:val="00583F39"/>
    <w:rsid w:val="00584E91"/>
    <w:rsid w:val="00585C7B"/>
    <w:rsid w:val="0058663D"/>
    <w:rsid w:val="00597AA6"/>
    <w:rsid w:val="005A2ACC"/>
    <w:rsid w:val="005A5AE7"/>
    <w:rsid w:val="005A5CC4"/>
    <w:rsid w:val="005A716C"/>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15A6"/>
    <w:rsid w:val="006049EE"/>
    <w:rsid w:val="0060532F"/>
    <w:rsid w:val="00611723"/>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3D89"/>
    <w:rsid w:val="00655DF8"/>
    <w:rsid w:val="00656BD8"/>
    <w:rsid w:val="006576F0"/>
    <w:rsid w:val="0066029D"/>
    <w:rsid w:val="00660BC4"/>
    <w:rsid w:val="006615CF"/>
    <w:rsid w:val="006616FE"/>
    <w:rsid w:val="006639CD"/>
    <w:rsid w:val="00670D71"/>
    <w:rsid w:val="006718CE"/>
    <w:rsid w:val="0067376E"/>
    <w:rsid w:val="006739A1"/>
    <w:rsid w:val="0067421B"/>
    <w:rsid w:val="00674750"/>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1383"/>
    <w:rsid w:val="006E4671"/>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6509"/>
    <w:rsid w:val="00727145"/>
    <w:rsid w:val="00731C1A"/>
    <w:rsid w:val="00731CDC"/>
    <w:rsid w:val="007355E2"/>
    <w:rsid w:val="00737148"/>
    <w:rsid w:val="007377A5"/>
    <w:rsid w:val="00737D84"/>
    <w:rsid w:val="007426AF"/>
    <w:rsid w:val="00743CE3"/>
    <w:rsid w:val="00743D75"/>
    <w:rsid w:val="007442EC"/>
    <w:rsid w:val="00750A38"/>
    <w:rsid w:val="00763869"/>
    <w:rsid w:val="00766962"/>
    <w:rsid w:val="007671E0"/>
    <w:rsid w:val="00767FDA"/>
    <w:rsid w:val="00770916"/>
    <w:rsid w:val="00771C39"/>
    <w:rsid w:val="00773812"/>
    <w:rsid w:val="00775287"/>
    <w:rsid w:val="00777988"/>
    <w:rsid w:val="00777E05"/>
    <w:rsid w:val="00777F7E"/>
    <w:rsid w:val="00781FFA"/>
    <w:rsid w:val="00782F8D"/>
    <w:rsid w:val="00783EF9"/>
    <w:rsid w:val="0079414D"/>
    <w:rsid w:val="007A151B"/>
    <w:rsid w:val="007A23F3"/>
    <w:rsid w:val="007B0034"/>
    <w:rsid w:val="007B1166"/>
    <w:rsid w:val="007B11A1"/>
    <w:rsid w:val="007B29A8"/>
    <w:rsid w:val="007B31D8"/>
    <w:rsid w:val="007B53B2"/>
    <w:rsid w:val="007B7E70"/>
    <w:rsid w:val="007B7F5A"/>
    <w:rsid w:val="007C259F"/>
    <w:rsid w:val="007C390C"/>
    <w:rsid w:val="007C53B8"/>
    <w:rsid w:val="007C743A"/>
    <w:rsid w:val="007D0F77"/>
    <w:rsid w:val="007D0F80"/>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36C4"/>
    <w:rsid w:val="0082665F"/>
    <w:rsid w:val="00830BE8"/>
    <w:rsid w:val="00830E76"/>
    <w:rsid w:val="008328E9"/>
    <w:rsid w:val="00832EF9"/>
    <w:rsid w:val="00833F00"/>
    <w:rsid w:val="00835BCB"/>
    <w:rsid w:val="00835CDC"/>
    <w:rsid w:val="00840094"/>
    <w:rsid w:val="008424E2"/>
    <w:rsid w:val="008455EE"/>
    <w:rsid w:val="0084581A"/>
    <w:rsid w:val="008507BA"/>
    <w:rsid w:val="00850B09"/>
    <w:rsid w:val="00850BC0"/>
    <w:rsid w:val="008536A9"/>
    <w:rsid w:val="00854F30"/>
    <w:rsid w:val="00855B14"/>
    <w:rsid w:val="00857013"/>
    <w:rsid w:val="00857B3C"/>
    <w:rsid w:val="0086200D"/>
    <w:rsid w:val="00863B9D"/>
    <w:rsid w:val="00863BE6"/>
    <w:rsid w:val="008751EB"/>
    <w:rsid w:val="008775BC"/>
    <w:rsid w:val="008815A3"/>
    <w:rsid w:val="00882F1B"/>
    <w:rsid w:val="00884310"/>
    <w:rsid w:val="00887231"/>
    <w:rsid w:val="00887520"/>
    <w:rsid w:val="00897D34"/>
    <w:rsid w:val="008A25B7"/>
    <w:rsid w:val="008A2776"/>
    <w:rsid w:val="008A67CA"/>
    <w:rsid w:val="008A6D52"/>
    <w:rsid w:val="008A70CE"/>
    <w:rsid w:val="008A7AFB"/>
    <w:rsid w:val="008B1FD6"/>
    <w:rsid w:val="008B3F43"/>
    <w:rsid w:val="008B3FED"/>
    <w:rsid w:val="008B5BA6"/>
    <w:rsid w:val="008C115E"/>
    <w:rsid w:val="008C25E4"/>
    <w:rsid w:val="008C2DAE"/>
    <w:rsid w:val="008C603F"/>
    <w:rsid w:val="008C6BFA"/>
    <w:rsid w:val="008D4620"/>
    <w:rsid w:val="008D4652"/>
    <w:rsid w:val="008D4D9C"/>
    <w:rsid w:val="008D6247"/>
    <w:rsid w:val="008E027F"/>
    <w:rsid w:val="008E06C2"/>
    <w:rsid w:val="008E426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2D74"/>
    <w:rsid w:val="009343F2"/>
    <w:rsid w:val="00935533"/>
    <w:rsid w:val="00936645"/>
    <w:rsid w:val="00936AC6"/>
    <w:rsid w:val="009461E9"/>
    <w:rsid w:val="009469EE"/>
    <w:rsid w:val="009469FD"/>
    <w:rsid w:val="00946AEE"/>
    <w:rsid w:val="0094770B"/>
    <w:rsid w:val="00950C67"/>
    <w:rsid w:val="0095183A"/>
    <w:rsid w:val="00952123"/>
    <w:rsid w:val="00952A63"/>
    <w:rsid w:val="0095501C"/>
    <w:rsid w:val="00956292"/>
    <w:rsid w:val="00956589"/>
    <w:rsid w:val="00957766"/>
    <w:rsid w:val="0096152A"/>
    <w:rsid w:val="00962005"/>
    <w:rsid w:val="00964FD1"/>
    <w:rsid w:val="009665D9"/>
    <w:rsid w:val="00966FED"/>
    <w:rsid w:val="00972828"/>
    <w:rsid w:val="0097565A"/>
    <w:rsid w:val="00977C51"/>
    <w:rsid w:val="0099214A"/>
    <w:rsid w:val="0099250D"/>
    <w:rsid w:val="00993129"/>
    <w:rsid w:val="00996E40"/>
    <w:rsid w:val="00997CDA"/>
    <w:rsid w:val="009A26BD"/>
    <w:rsid w:val="009A3ABF"/>
    <w:rsid w:val="009A6DFA"/>
    <w:rsid w:val="009B2267"/>
    <w:rsid w:val="009B23B0"/>
    <w:rsid w:val="009B243F"/>
    <w:rsid w:val="009B4FFB"/>
    <w:rsid w:val="009C0925"/>
    <w:rsid w:val="009C1211"/>
    <w:rsid w:val="009C2D7E"/>
    <w:rsid w:val="009C4D14"/>
    <w:rsid w:val="009C5CBA"/>
    <w:rsid w:val="009C7E2F"/>
    <w:rsid w:val="009D1C2C"/>
    <w:rsid w:val="009D5133"/>
    <w:rsid w:val="009D57A1"/>
    <w:rsid w:val="009D78E0"/>
    <w:rsid w:val="009E3705"/>
    <w:rsid w:val="009E3B69"/>
    <w:rsid w:val="009E5374"/>
    <w:rsid w:val="009F120C"/>
    <w:rsid w:val="009F345D"/>
    <w:rsid w:val="009F420A"/>
    <w:rsid w:val="00A00069"/>
    <w:rsid w:val="00A0424C"/>
    <w:rsid w:val="00A05A34"/>
    <w:rsid w:val="00A06BE4"/>
    <w:rsid w:val="00A11A0A"/>
    <w:rsid w:val="00A12CC5"/>
    <w:rsid w:val="00A12F66"/>
    <w:rsid w:val="00A13218"/>
    <w:rsid w:val="00A17071"/>
    <w:rsid w:val="00A175D8"/>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6382"/>
    <w:rsid w:val="00A47D22"/>
    <w:rsid w:val="00A50662"/>
    <w:rsid w:val="00A5199D"/>
    <w:rsid w:val="00A521AE"/>
    <w:rsid w:val="00A60B73"/>
    <w:rsid w:val="00A63BF6"/>
    <w:rsid w:val="00A67EDF"/>
    <w:rsid w:val="00A70C4F"/>
    <w:rsid w:val="00A71A2E"/>
    <w:rsid w:val="00A77723"/>
    <w:rsid w:val="00A80080"/>
    <w:rsid w:val="00A80241"/>
    <w:rsid w:val="00A84ECC"/>
    <w:rsid w:val="00A85181"/>
    <w:rsid w:val="00A915C4"/>
    <w:rsid w:val="00A94E0B"/>
    <w:rsid w:val="00A95DB6"/>
    <w:rsid w:val="00AA3331"/>
    <w:rsid w:val="00AA3DB1"/>
    <w:rsid w:val="00AA3E55"/>
    <w:rsid w:val="00AB0615"/>
    <w:rsid w:val="00AB1CFD"/>
    <w:rsid w:val="00AB2579"/>
    <w:rsid w:val="00AB4639"/>
    <w:rsid w:val="00AB4951"/>
    <w:rsid w:val="00AB4D8C"/>
    <w:rsid w:val="00AB555D"/>
    <w:rsid w:val="00AC0482"/>
    <w:rsid w:val="00AC233F"/>
    <w:rsid w:val="00AC2532"/>
    <w:rsid w:val="00AC4FAD"/>
    <w:rsid w:val="00AC54FF"/>
    <w:rsid w:val="00AC5535"/>
    <w:rsid w:val="00AD280B"/>
    <w:rsid w:val="00AD3359"/>
    <w:rsid w:val="00AD47BB"/>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26CFE"/>
    <w:rsid w:val="00B315A0"/>
    <w:rsid w:val="00B33CD8"/>
    <w:rsid w:val="00B34A18"/>
    <w:rsid w:val="00B3556B"/>
    <w:rsid w:val="00B35C48"/>
    <w:rsid w:val="00B37B82"/>
    <w:rsid w:val="00B40119"/>
    <w:rsid w:val="00B40295"/>
    <w:rsid w:val="00B41637"/>
    <w:rsid w:val="00B41E17"/>
    <w:rsid w:val="00B42DC9"/>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87EDF"/>
    <w:rsid w:val="00B924B2"/>
    <w:rsid w:val="00B93B98"/>
    <w:rsid w:val="00B943DB"/>
    <w:rsid w:val="00B94CD6"/>
    <w:rsid w:val="00B97D4E"/>
    <w:rsid w:val="00BA0C5A"/>
    <w:rsid w:val="00BA0F8B"/>
    <w:rsid w:val="00BA13C6"/>
    <w:rsid w:val="00BA1E7E"/>
    <w:rsid w:val="00BA3504"/>
    <w:rsid w:val="00BA5241"/>
    <w:rsid w:val="00BA603F"/>
    <w:rsid w:val="00BB1268"/>
    <w:rsid w:val="00BB28F6"/>
    <w:rsid w:val="00BB3C93"/>
    <w:rsid w:val="00BB46CE"/>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224F"/>
    <w:rsid w:val="00C04170"/>
    <w:rsid w:val="00C06686"/>
    <w:rsid w:val="00C06CC1"/>
    <w:rsid w:val="00C10AD0"/>
    <w:rsid w:val="00C11D5A"/>
    <w:rsid w:val="00C13145"/>
    <w:rsid w:val="00C151DD"/>
    <w:rsid w:val="00C17EFC"/>
    <w:rsid w:val="00C2385D"/>
    <w:rsid w:val="00C23F1C"/>
    <w:rsid w:val="00C27C07"/>
    <w:rsid w:val="00C32D70"/>
    <w:rsid w:val="00C40AD2"/>
    <w:rsid w:val="00C45D3F"/>
    <w:rsid w:val="00C47320"/>
    <w:rsid w:val="00C57E8C"/>
    <w:rsid w:val="00C63897"/>
    <w:rsid w:val="00C64192"/>
    <w:rsid w:val="00C70684"/>
    <w:rsid w:val="00C73262"/>
    <w:rsid w:val="00C7406E"/>
    <w:rsid w:val="00C776BA"/>
    <w:rsid w:val="00C807EA"/>
    <w:rsid w:val="00C8140F"/>
    <w:rsid w:val="00C82A4A"/>
    <w:rsid w:val="00C82EB2"/>
    <w:rsid w:val="00C90E4F"/>
    <w:rsid w:val="00C91725"/>
    <w:rsid w:val="00C956BD"/>
    <w:rsid w:val="00C95D0E"/>
    <w:rsid w:val="00C9647C"/>
    <w:rsid w:val="00C972A3"/>
    <w:rsid w:val="00C97D83"/>
    <w:rsid w:val="00CA3F5F"/>
    <w:rsid w:val="00CA547C"/>
    <w:rsid w:val="00CB15CB"/>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17ACA"/>
    <w:rsid w:val="00D20917"/>
    <w:rsid w:val="00D23042"/>
    <w:rsid w:val="00D23A96"/>
    <w:rsid w:val="00D24445"/>
    <w:rsid w:val="00D245A1"/>
    <w:rsid w:val="00D25F2F"/>
    <w:rsid w:val="00D2703D"/>
    <w:rsid w:val="00D3216C"/>
    <w:rsid w:val="00D33535"/>
    <w:rsid w:val="00D362E4"/>
    <w:rsid w:val="00D37914"/>
    <w:rsid w:val="00D407D6"/>
    <w:rsid w:val="00D415E2"/>
    <w:rsid w:val="00D42055"/>
    <w:rsid w:val="00D4308B"/>
    <w:rsid w:val="00D43390"/>
    <w:rsid w:val="00D445F3"/>
    <w:rsid w:val="00D45D81"/>
    <w:rsid w:val="00D46F74"/>
    <w:rsid w:val="00D50F55"/>
    <w:rsid w:val="00D51009"/>
    <w:rsid w:val="00D51D22"/>
    <w:rsid w:val="00D53121"/>
    <w:rsid w:val="00D53920"/>
    <w:rsid w:val="00D56C81"/>
    <w:rsid w:val="00D60E59"/>
    <w:rsid w:val="00D647C3"/>
    <w:rsid w:val="00D664EC"/>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BBC"/>
    <w:rsid w:val="00DA7DCE"/>
    <w:rsid w:val="00DB7936"/>
    <w:rsid w:val="00DB7F8F"/>
    <w:rsid w:val="00DC23CC"/>
    <w:rsid w:val="00DC3F2C"/>
    <w:rsid w:val="00DC43B6"/>
    <w:rsid w:val="00DC4A40"/>
    <w:rsid w:val="00DC69F3"/>
    <w:rsid w:val="00DD3DE0"/>
    <w:rsid w:val="00DD52E1"/>
    <w:rsid w:val="00DD6367"/>
    <w:rsid w:val="00DE0ADA"/>
    <w:rsid w:val="00DE1215"/>
    <w:rsid w:val="00DE2B38"/>
    <w:rsid w:val="00DE67FB"/>
    <w:rsid w:val="00DF119A"/>
    <w:rsid w:val="00DF2386"/>
    <w:rsid w:val="00DF33AC"/>
    <w:rsid w:val="00DF33C6"/>
    <w:rsid w:val="00DF7383"/>
    <w:rsid w:val="00DF7FE7"/>
    <w:rsid w:val="00E02540"/>
    <w:rsid w:val="00E03293"/>
    <w:rsid w:val="00E036AD"/>
    <w:rsid w:val="00E05E89"/>
    <w:rsid w:val="00E06077"/>
    <w:rsid w:val="00E07ED8"/>
    <w:rsid w:val="00E146F2"/>
    <w:rsid w:val="00E14AE6"/>
    <w:rsid w:val="00E210E8"/>
    <w:rsid w:val="00E246E8"/>
    <w:rsid w:val="00E26578"/>
    <w:rsid w:val="00E26A45"/>
    <w:rsid w:val="00E2765A"/>
    <w:rsid w:val="00E319A5"/>
    <w:rsid w:val="00E32F19"/>
    <w:rsid w:val="00E3420D"/>
    <w:rsid w:val="00E34BC5"/>
    <w:rsid w:val="00E37D35"/>
    <w:rsid w:val="00E414F5"/>
    <w:rsid w:val="00E41FB9"/>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A3A7F"/>
    <w:rsid w:val="00EA4AE6"/>
    <w:rsid w:val="00EA59BA"/>
    <w:rsid w:val="00EA6BF6"/>
    <w:rsid w:val="00EB0A13"/>
    <w:rsid w:val="00EB2424"/>
    <w:rsid w:val="00EB2D3E"/>
    <w:rsid w:val="00EB4358"/>
    <w:rsid w:val="00EB7EC2"/>
    <w:rsid w:val="00EC0E5E"/>
    <w:rsid w:val="00EC598F"/>
    <w:rsid w:val="00EC668F"/>
    <w:rsid w:val="00ED0A15"/>
    <w:rsid w:val="00ED102A"/>
    <w:rsid w:val="00ED2A29"/>
    <w:rsid w:val="00ED3F9B"/>
    <w:rsid w:val="00ED6811"/>
    <w:rsid w:val="00ED6C09"/>
    <w:rsid w:val="00ED7350"/>
    <w:rsid w:val="00EE1556"/>
    <w:rsid w:val="00EE1976"/>
    <w:rsid w:val="00EE1CA1"/>
    <w:rsid w:val="00EE1DA8"/>
    <w:rsid w:val="00EE3F96"/>
    <w:rsid w:val="00EE6168"/>
    <w:rsid w:val="00EE7DC6"/>
    <w:rsid w:val="00EF00A4"/>
    <w:rsid w:val="00EF1096"/>
    <w:rsid w:val="00EF771F"/>
    <w:rsid w:val="00F054AB"/>
    <w:rsid w:val="00F078F1"/>
    <w:rsid w:val="00F11B8E"/>
    <w:rsid w:val="00F1255B"/>
    <w:rsid w:val="00F13140"/>
    <w:rsid w:val="00F141F1"/>
    <w:rsid w:val="00F15BDC"/>
    <w:rsid w:val="00F15FD8"/>
    <w:rsid w:val="00F21868"/>
    <w:rsid w:val="00F21922"/>
    <w:rsid w:val="00F2241D"/>
    <w:rsid w:val="00F3186F"/>
    <w:rsid w:val="00F321A0"/>
    <w:rsid w:val="00F32BE1"/>
    <w:rsid w:val="00F34F71"/>
    <w:rsid w:val="00F35921"/>
    <w:rsid w:val="00F36407"/>
    <w:rsid w:val="00F40029"/>
    <w:rsid w:val="00F41E45"/>
    <w:rsid w:val="00F42558"/>
    <w:rsid w:val="00F44134"/>
    <w:rsid w:val="00F47D74"/>
    <w:rsid w:val="00F518B1"/>
    <w:rsid w:val="00F55A36"/>
    <w:rsid w:val="00F564E7"/>
    <w:rsid w:val="00F6317F"/>
    <w:rsid w:val="00F636EA"/>
    <w:rsid w:val="00F669DD"/>
    <w:rsid w:val="00F6732B"/>
    <w:rsid w:val="00F715E1"/>
    <w:rsid w:val="00F7222A"/>
    <w:rsid w:val="00F73E71"/>
    <w:rsid w:val="00F76395"/>
    <w:rsid w:val="00F76630"/>
    <w:rsid w:val="00F807D4"/>
    <w:rsid w:val="00F83DF9"/>
    <w:rsid w:val="00F86070"/>
    <w:rsid w:val="00F90892"/>
    <w:rsid w:val="00F90AA5"/>
    <w:rsid w:val="00F91E52"/>
    <w:rsid w:val="00F96B3D"/>
    <w:rsid w:val="00FA1408"/>
    <w:rsid w:val="00FA573B"/>
    <w:rsid w:val="00FA74E5"/>
    <w:rsid w:val="00FB06A8"/>
    <w:rsid w:val="00FB3657"/>
    <w:rsid w:val="00FB4BD8"/>
    <w:rsid w:val="00FB66D7"/>
    <w:rsid w:val="00FC0057"/>
    <w:rsid w:val="00FC57AB"/>
    <w:rsid w:val="00FC5E60"/>
    <w:rsid w:val="00FC6104"/>
    <w:rsid w:val="00FD5C27"/>
    <w:rsid w:val="00FD74D4"/>
    <w:rsid w:val="00FD76D0"/>
    <w:rsid w:val="00FE1697"/>
    <w:rsid w:val="00FE209D"/>
    <w:rsid w:val="00FE25C2"/>
    <w:rsid w:val="00FE30AE"/>
    <w:rsid w:val="00FE3CBD"/>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3A17"/>
  <w15:docId w15:val="{6A95EC33-3D18-4E47-997E-E7F907D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76395"/>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76395"/>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76395"/>
    <w:rPr>
      <w:rFonts w:ascii="Calibri" w:eastAsia="Times New Roman" w:hAnsi="Calibri" w:cs="Calibri"/>
      <w:b/>
      <w:bCs/>
      <w:lang w:val="en-US"/>
    </w:rPr>
  </w:style>
  <w:style w:type="character" w:customStyle="1" w:styleId="Heading2Char">
    <w:name w:val="Heading 2 Char"/>
    <w:basedOn w:val="DefaultParagraphFont"/>
    <w:link w:val="Heading2"/>
    <w:uiPriority w:val="9"/>
    <w:rsid w:val="00F76395"/>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02F-A8B7-438D-AEE9-5B5968A0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17137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JENNINGS Edmund</cp:lastModifiedBy>
  <cp:revision>2</cp:revision>
  <cp:lastPrinted>2020-06-23T07:32:00Z</cp:lastPrinted>
  <dcterms:created xsi:type="dcterms:W3CDTF">2020-07-15T08:17:00Z</dcterms:created>
  <dcterms:modified xsi:type="dcterms:W3CDTF">2020-07-15T08:17:00Z</dcterms:modified>
</cp:coreProperties>
</file>