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00C5" w14:textId="7C6E640C" w:rsidR="00E319A5" w:rsidRPr="008C115E" w:rsidRDefault="008C115E"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CONVENTION SUR LES ZONES HUMIDES</w:t>
      </w:r>
    </w:p>
    <w:p w14:paraId="12CE0BAE" w14:textId="77777777" w:rsidR="008236C4" w:rsidRDefault="008236C4"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58</w:t>
      </w:r>
      <w:r>
        <w:rPr>
          <w:bCs/>
          <w:vertAlign w:val="superscript"/>
          <w:lang w:val="fr-CH"/>
        </w:rPr>
        <w:t xml:space="preserve">e </w:t>
      </w:r>
      <w:r>
        <w:rPr>
          <w:bCs/>
          <w:lang w:val="fr-CH"/>
        </w:rPr>
        <w:t>Réunion du Comité permanent</w:t>
      </w:r>
    </w:p>
    <w:p w14:paraId="249E4A21" w14:textId="59DA3C66" w:rsidR="00E319A5" w:rsidRPr="008C115E" w:rsidRDefault="00FE1697"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Séances</w:t>
      </w:r>
      <w:r w:rsidR="008236C4">
        <w:rPr>
          <w:bCs/>
          <w:lang w:val="fr-CH"/>
        </w:rPr>
        <w:t xml:space="preserve"> interse</w:t>
      </w:r>
      <w:r w:rsidR="008C115E">
        <w:rPr>
          <w:bCs/>
          <w:lang w:val="fr-CH"/>
        </w:rPr>
        <w:t>ssion</w:t>
      </w:r>
      <w:r w:rsidR="00F1255B">
        <w:rPr>
          <w:bCs/>
          <w:lang w:val="fr-CH"/>
        </w:rPr>
        <w:t>s</w:t>
      </w:r>
      <w:r w:rsidR="008C115E">
        <w:rPr>
          <w:bCs/>
          <w:lang w:val="fr-CH"/>
        </w:rPr>
        <w:t xml:space="preserve"> </w:t>
      </w:r>
      <w:r w:rsidR="008236C4">
        <w:rPr>
          <w:bCs/>
          <w:lang w:val="fr-CH"/>
        </w:rPr>
        <w:t>virtuelle</w:t>
      </w:r>
      <w:r>
        <w:rPr>
          <w:bCs/>
          <w:lang w:val="fr-CH"/>
        </w:rPr>
        <w:t>s</w:t>
      </w:r>
      <w:r w:rsidR="008236C4">
        <w:rPr>
          <w:bCs/>
          <w:lang w:val="fr-CH"/>
        </w:rPr>
        <w:t xml:space="preserve"> </w:t>
      </w:r>
    </w:p>
    <w:p w14:paraId="2CC68E91" w14:textId="65423321" w:rsidR="000D0D3E" w:rsidRPr="008C115E" w:rsidRDefault="00282418" w:rsidP="009343F2">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lang w:val="fr-CH"/>
        </w:rPr>
      </w:pPr>
      <w:r w:rsidRPr="008C115E">
        <w:rPr>
          <w:bCs/>
          <w:lang w:val="fr-CH"/>
        </w:rPr>
        <w:t>2</w:t>
      </w:r>
      <w:r w:rsidR="00FE30AE" w:rsidRPr="008C115E">
        <w:rPr>
          <w:bCs/>
          <w:lang w:val="fr-CH"/>
        </w:rPr>
        <w:t>3</w:t>
      </w:r>
      <w:r w:rsidRPr="008C115E">
        <w:rPr>
          <w:bCs/>
          <w:lang w:val="fr-CH"/>
        </w:rPr>
        <w:t xml:space="preserve"> </w:t>
      </w:r>
      <w:r w:rsidR="00FE1697">
        <w:rPr>
          <w:bCs/>
          <w:lang w:val="fr-CH"/>
        </w:rPr>
        <w:t>et</w:t>
      </w:r>
      <w:r w:rsidRPr="008C115E">
        <w:rPr>
          <w:bCs/>
          <w:lang w:val="fr-CH"/>
        </w:rPr>
        <w:t xml:space="preserve"> 2</w:t>
      </w:r>
      <w:r w:rsidR="00FE30AE" w:rsidRPr="008C115E">
        <w:rPr>
          <w:bCs/>
          <w:lang w:val="fr-CH"/>
        </w:rPr>
        <w:t>5</w:t>
      </w:r>
      <w:r w:rsidRPr="008C115E">
        <w:rPr>
          <w:bCs/>
          <w:lang w:val="fr-CH"/>
        </w:rPr>
        <w:t xml:space="preserve"> </w:t>
      </w:r>
      <w:r w:rsidR="008C115E">
        <w:rPr>
          <w:bCs/>
          <w:lang w:val="fr-CH"/>
        </w:rPr>
        <w:t>juin</w:t>
      </w:r>
      <w:r w:rsidRPr="008C115E">
        <w:rPr>
          <w:bCs/>
          <w:lang w:val="fr-CH"/>
        </w:rPr>
        <w:t xml:space="preserve"> 20</w:t>
      </w:r>
      <w:r w:rsidR="00FE30AE" w:rsidRPr="008C115E">
        <w:rPr>
          <w:bCs/>
          <w:lang w:val="fr-CH"/>
        </w:rPr>
        <w:t>20</w:t>
      </w:r>
    </w:p>
    <w:p w14:paraId="106E35B1" w14:textId="77777777" w:rsidR="00C04170" w:rsidRPr="00653D89" w:rsidRDefault="00C04170" w:rsidP="009343F2">
      <w:pPr>
        <w:spacing w:after="0" w:line="240" w:lineRule="auto"/>
        <w:jc w:val="center"/>
        <w:rPr>
          <w:rFonts w:cs="Arial"/>
          <w:b/>
          <w:sz w:val="28"/>
          <w:szCs w:val="28"/>
          <w:lang w:val="fr-FR"/>
        </w:rPr>
      </w:pPr>
    </w:p>
    <w:p w14:paraId="7779955E" w14:textId="07DA61D2" w:rsidR="008236C4" w:rsidRDefault="00001B66" w:rsidP="00001B66">
      <w:pPr>
        <w:spacing w:after="0" w:line="240" w:lineRule="auto"/>
        <w:jc w:val="center"/>
        <w:rPr>
          <w:rFonts w:cs="Arial"/>
          <w:b/>
          <w:sz w:val="28"/>
          <w:szCs w:val="28"/>
          <w:lang w:val="fr-CH"/>
        </w:rPr>
      </w:pPr>
      <w:r w:rsidRPr="008C115E">
        <w:rPr>
          <w:rFonts w:cs="Arial"/>
          <w:b/>
          <w:sz w:val="28"/>
          <w:szCs w:val="28"/>
          <w:lang w:val="fr-CH"/>
        </w:rPr>
        <w:t>R</w:t>
      </w:r>
      <w:r w:rsidR="00A0424C" w:rsidRPr="008C115E">
        <w:rPr>
          <w:rFonts w:cs="Arial"/>
          <w:b/>
          <w:sz w:val="28"/>
          <w:szCs w:val="28"/>
          <w:lang w:val="fr-CH"/>
        </w:rPr>
        <w:t>ap</w:t>
      </w:r>
      <w:r w:rsidRPr="008C115E">
        <w:rPr>
          <w:rFonts w:cs="Arial"/>
          <w:b/>
          <w:sz w:val="28"/>
          <w:szCs w:val="28"/>
          <w:lang w:val="fr-CH"/>
        </w:rPr>
        <w:t xml:space="preserve">port </w:t>
      </w:r>
      <w:r w:rsidR="00A0424C" w:rsidRPr="008C115E">
        <w:rPr>
          <w:rFonts w:cs="Arial"/>
          <w:b/>
          <w:sz w:val="28"/>
          <w:szCs w:val="28"/>
          <w:lang w:val="fr-CH"/>
        </w:rPr>
        <w:t>et</w:t>
      </w:r>
      <w:r w:rsidRPr="008C115E">
        <w:rPr>
          <w:rFonts w:cs="Arial"/>
          <w:b/>
          <w:sz w:val="28"/>
          <w:szCs w:val="28"/>
          <w:lang w:val="fr-CH"/>
        </w:rPr>
        <w:t xml:space="preserve"> D</w:t>
      </w:r>
      <w:r w:rsidR="00A0424C" w:rsidRPr="008C115E">
        <w:rPr>
          <w:rFonts w:cs="Arial"/>
          <w:b/>
          <w:sz w:val="28"/>
          <w:szCs w:val="28"/>
          <w:lang w:val="fr-CH"/>
        </w:rPr>
        <w:t>é</w:t>
      </w:r>
      <w:r w:rsidRPr="008C115E">
        <w:rPr>
          <w:rFonts w:cs="Arial"/>
          <w:b/>
          <w:sz w:val="28"/>
          <w:szCs w:val="28"/>
          <w:lang w:val="fr-CH"/>
        </w:rPr>
        <w:t xml:space="preserve">cisions </w:t>
      </w:r>
      <w:r w:rsidR="00A0424C" w:rsidRPr="008C115E">
        <w:rPr>
          <w:rFonts w:cs="Arial"/>
          <w:b/>
          <w:sz w:val="28"/>
          <w:szCs w:val="28"/>
          <w:lang w:val="fr-CH"/>
        </w:rPr>
        <w:t>d</w:t>
      </w:r>
      <w:r w:rsidR="008236C4">
        <w:rPr>
          <w:rFonts w:cs="Arial"/>
          <w:b/>
          <w:sz w:val="28"/>
          <w:szCs w:val="28"/>
          <w:lang w:val="fr-CH"/>
        </w:rPr>
        <w:t>e la 58</w:t>
      </w:r>
      <w:r w:rsidR="008236C4" w:rsidRPr="008236C4">
        <w:rPr>
          <w:rFonts w:cs="Arial"/>
          <w:b/>
          <w:sz w:val="28"/>
          <w:szCs w:val="28"/>
          <w:vertAlign w:val="superscript"/>
          <w:lang w:val="fr-CH"/>
        </w:rPr>
        <w:t>e</w:t>
      </w:r>
      <w:r w:rsidR="008236C4">
        <w:rPr>
          <w:rFonts w:cs="Arial"/>
          <w:b/>
          <w:sz w:val="28"/>
          <w:szCs w:val="28"/>
          <w:lang w:val="fr-CH"/>
        </w:rPr>
        <w:t xml:space="preserve"> </w:t>
      </w:r>
      <w:r w:rsidR="00932D74">
        <w:rPr>
          <w:rFonts w:cs="Arial"/>
          <w:b/>
          <w:sz w:val="28"/>
          <w:szCs w:val="28"/>
          <w:lang w:val="fr-CH"/>
        </w:rPr>
        <w:t>R</w:t>
      </w:r>
      <w:r w:rsidR="002772E4">
        <w:rPr>
          <w:rFonts w:cs="Arial"/>
          <w:b/>
          <w:sz w:val="28"/>
          <w:szCs w:val="28"/>
          <w:lang w:val="fr-CH"/>
        </w:rPr>
        <w:t xml:space="preserve">éunion </w:t>
      </w:r>
      <w:r w:rsidR="008236C4">
        <w:rPr>
          <w:rFonts w:cs="Arial"/>
          <w:b/>
          <w:sz w:val="28"/>
          <w:szCs w:val="28"/>
          <w:lang w:val="fr-CH"/>
        </w:rPr>
        <w:t xml:space="preserve">du Comité permanent lors </w:t>
      </w:r>
    </w:p>
    <w:p w14:paraId="2B4A7189" w14:textId="489CB1B9" w:rsidR="009E3705" w:rsidRPr="008C115E" w:rsidRDefault="00FE1697" w:rsidP="00001B66">
      <w:pPr>
        <w:spacing w:after="0" w:line="240" w:lineRule="auto"/>
        <w:jc w:val="center"/>
        <w:rPr>
          <w:rFonts w:cs="Arial"/>
          <w:b/>
          <w:sz w:val="28"/>
          <w:szCs w:val="28"/>
          <w:lang w:val="fr-CH"/>
        </w:rPr>
      </w:pPr>
      <w:r>
        <w:rPr>
          <w:rFonts w:cs="Arial"/>
          <w:b/>
          <w:sz w:val="28"/>
          <w:szCs w:val="28"/>
          <w:lang w:val="fr-CH"/>
        </w:rPr>
        <w:t>d</w:t>
      </w:r>
      <w:r w:rsidR="008236C4">
        <w:rPr>
          <w:rFonts w:cs="Arial"/>
          <w:b/>
          <w:sz w:val="28"/>
          <w:szCs w:val="28"/>
          <w:lang w:val="fr-CH"/>
        </w:rPr>
        <w:t>e</w:t>
      </w:r>
      <w:r>
        <w:rPr>
          <w:rFonts w:cs="Arial"/>
          <w:b/>
          <w:sz w:val="28"/>
          <w:szCs w:val="28"/>
          <w:lang w:val="fr-CH"/>
        </w:rPr>
        <w:t xml:space="preserve"> ses séances</w:t>
      </w:r>
      <w:r w:rsidR="00A0424C" w:rsidRPr="008C115E">
        <w:rPr>
          <w:rFonts w:cs="Arial"/>
          <w:b/>
          <w:sz w:val="28"/>
          <w:szCs w:val="28"/>
          <w:lang w:val="fr-CH"/>
        </w:rPr>
        <w:t xml:space="preserve"> intersessions virtuelle</w:t>
      </w:r>
      <w:r>
        <w:rPr>
          <w:rFonts w:cs="Arial"/>
          <w:b/>
          <w:sz w:val="28"/>
          <w:szCs w:val="28"/>
          <w:lang w:val="fr-CH"/>
        </w:rPr>
        <w:t>s</w:t>
      </w:r>
      <w:r w:rsidR="008236C4">
        <w:rPr>
          <w:rFonts w:cs="Arial"/>
          <w:b/>
          <w:sz w:val="28"/>
          <w:szCs w:val="28"/>
          <w:lang w:val="fr-CH"/>
        </w:rPr>
        <w:t xml:space="preserve"> du 23 </w:t>
      </w:r>
      <w:r>
        <w:rPr>
          <w:rFonts w:cs="Arial"/>
          <w:b/>
          <w:sz w:val="28"/>
          <w:szCs w:val="28"/>
          <w:lang w:val="fr-CH"/>
        </w:rPr>
        <w:t xml:space="preserve">et du 25 </w:t>
      </w:r>
      <w:r w:rsidR="008236C4">
        <w:rPr>
          <w:rFonts w:cs="Arial"/>
          <w:b/>
          <w:sz w:val="28"/>
          <w:szCs w:val="28"/>
          <w:lang w:val="fr-CH"/>
        </w:rPr>
        <w:t>juin 2020</w:t>
      </w:r>
    </w:p>
    <w:p w14:paraId="62692807" w14:textId="77777777" w:rsidR="00001B66" w:rsidRPr="008C115E" w:rsidRDefault="00001B66" w:rsidP="00001B66">
      <w:pPr>
        <w:spacing w:after="0" w:line="240" w:lineRule="auto"/>
        <w:jc w:val="center"/>
        <w:rPr>
          <w:rFonts w:asciiTheme="minorHAnsi" w:hAnsiTheme="minorHAnsi" w:cstheme="minorHAnsi"/>
          <w:b/>
          <w:lang w:val="fr-CH"/>
        </w:rPr>
      </w:pPr>
    </w:p>
    <w:p w14:paraId="04429C42" w14:textId="06C7BAA2" w:rsidR="009E3705" w:rsidRPr="008C115E" w:rsidRDefault="008C115E" w:rsidP="00E319A5">
      <w:pPr>
        <w:spacing w:after="0" w:line="240" w:lineRule="auto"/>
        <w:rPr>
          <w:rFonts w:asciiTheme="minorHAnsi" w:hAnsiTheme="minorHAnsi" w:cstheme="minorHAnsi"/>
          <w:b/>
          <w:lang w:val="fr-CH"/>
        </w:rPr>
      </w:pPr>
      <w:r>
        <w:rPr>
          <w:rFonts w:asciiTheme="minorHAnsi" w:hAnsiTheme="minorHAnsi" w:cstheme="minorHAnsi"/>
          <w:b/>
          <w:lang w:val="fr-CH"/>
        </w:rPr>
        <w:t>Mardi</w:t>
      </w:r>
      <w:r w:rsidR="00E6570B" w:rsidRPr="008C115E">
        <w:rPr>
          <w:rFonts w:asciiTheme="minorHAnsi" w:hAnsiTheme="minorHAnsi" w:cstheme="minorHAnsi"/>
          <w:b/>
          <w:lang w:val="fr-CH"/>
        </w:rPr>
        <w:t xml:space="preserve"> </w:t>
      </w:r>
      <w:r w:rsidR="009E3705" w:rsidRPr="008C115E">
        <w:rPr>
          <w:rFonts w:asciiTheme="minorHAnsi" w:hAnsiTheme="minorHAnsi" w:cstheme="minorHAnsi"/>
          <w:b/>
          <w:lang w:val="fr-CH"/>
        </w:rPr>
        <w:t xml:space="preserve">23 </w:t>
      </w:r>
      <w:r>
        <w:rPr>
          <w:rFonts w:asciiTheme="minorHAnsi" w:hAnsiTheme="minorHAnsi" w:cstheme="minorHAnsi"/>
          <w:b/>
          <w:lang w:val="fr-CH"/>
        </w:rPr>
        <w:t>juin</w:t>
      </w:r>
      <w:r w:rsidR="009E3705" w:rsidRPr="008C115E">
        <w:rPr>
          <w:rFonts w:asciiTheme="minorHAnsi" w:hAnsiTheme="minorHAnsi" w:cstheme="minorHAnsi"/>
          <w:b/>
          <w:lang w:val="fr-CH"/>
        </w:rPr>
        <w:t xml:space="preserve"> </w:t>
      </w:r>
    </w:p>
    <w:p w14:paraId="38DE0149" w14:textId="10C95FC4" w:rsidR="00160371" w:rsidRPr="008C115E" w:rsidRDefault="00160371" w:rsidP="00E319A5">
      <w:pPr>
        <w:spacing w:after="0" w:line="240" w:lineRule="auto"/>
        <w:rPr>
          <w:rFonts w:asciiTheme="minorHAnsi" w:hAnsiTheme="minorHAnsi" w:cstheme="minorHAnsi"/>
          <w:b/>
          <w:lang w:val="fr-CH"/>
        </w:rPr>
      </w:pPr>
    </w:p>
    <w:p w14:paraId="2BBA14B7" w14:textId="0AD50D99" w:rsidR="00E6570B" w:rsidRPr="008C115E" w:rsidRDefault="00E6570B" w:rsidP="00176D2A">
      <w:pPr>
        <w:spacing w:after="0" w:line="240" w:lineRule="auto"/>
        <w:ind w:left="1701" w:hanging="1701"/>
        <w:contextualSpacing/>
        <w:rPr>
          <w:b/>
          <w:bCs/>
          <w:lang w:val="fr-CH"/>
        </w:rPr>
      </w:pPr>
      <w:r w:rsidRPr="008C115E">
        <w:rPr>
          <w:b/>
          <w:bCs/>
          <w:lang w:val="fr-CH"/>
        </w:rPr>
        <w:t>1</w:t>
      </w:r>
      <w:r w:rsidR="00E319A5" w:rsidRPr="008C115E">
        <w:rPr>
          <w:b/>
          <w:bCs/>
          <w:lang w:val="fr-CH"/>
        </w:rPr>
        <w:t>3</w:t>
      </w:r>
      <w:r w:rsidRPr="008C115E">
        <w:rPr>
          <w:b/>
          <w:bCs/>
          <w:lang w:val="fr-CH"/>
        </w:rPr>
        <w:t xml:space="preserve">:00 – </w:t>
      </w:r>
      <w:r w:rsidR="00E319A5" w:rsidRPr="008C115E">
        <w:rPr>
          <w:b/>
          <w:bCs/>
          <w:lang w:val="fr-CH"/>
        </w:rPr>
        <w:t>16</w:t>
      </w:r>
      <w:r w:rsidR="008C115E">
        <w:rPr>
          <w:b/>
          <w:bCs/>
          <w:lang w:val="fr-CH"/>
        </w:rPr>
        <w:t xml:space="preserve">:00 </w:t>
      </w:r>
      <w:r w:rsidR="008C115E">
        <w:rPr>
          <w:b/>
          <w:bCs/>
          <w:lang w:val="fr-CH"/>
        </w:rPr>
        <w:tab/>
      </w:r>
      <w:r w:rsidR="00FE1697">
        <w:rPr>
          <w:b/>
          <w:bCs/>
          <w:lang w:val="fr-CH"/>
        </w:rPr>
        <w:t>Séance</w:t>
      </w:r>
      <w:r w:rsidR="008C115E">
        <w:rPr>
          <w:b/>
          <w:bCs/>
          <w:lang w:val="fr-CH"/>
        </w:rPr>
        <w:t xml:space="preserve"> intersessions virtuelle plénière du Comité permanent </w:t>
      </w:r>
    </w:p>
    <w:p w14:paraId="76C759C2" w14:textId="78EB6182" w:rsidR="009E3705" w:rsidRPr="008C115E" w:rsidRDefault="009E3705" w:rsidP="00E319A5">
      <w:pPr>
        <w:spacing w:after="0" w:line="240" w:lineRule="auto"/>
        <w:contextualSpacing/>
        <w:rPr>
          <w:b/>
          <w:bCs/>
          <w:lang w:val="fr-CH"/>
        </w:rPr>
      </w:pPr>
    </w:p>
    <w:p w14:paraId="4AA096FA" w14:textId="3E158B62" w:rsidR="00001B66"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Point</w:t>
      </w:r>
      <w:r w:rsidR="00001B66" w:rsidRPr="008C115E">
        <w:rPr>
          <w:rFonts w:cstheme="minorHAnsi"/>
          <w:bCs/>
          <w:lang w:val="fr-CH"/>
        </w:rPr>
        <w:t xml:space="preserve"> 1</w:t>
      </w:r>
      <w:r w:rsidRPr="008C115E">
        <w:rPr>
          <w:rFonts w:cstheme="minorHAnsi"/>
          <w:bCs/>
          <w:lang w:val="fr-CH"/>
        </w:rPr>
        <w:t xml:space="preserve"> de l’ordre du jour </w:t>
      </w:r>
      <w:r w:rsidR="00001B66" w:rsidRPr="008C115E">
        <w:rPr>
          <w:rFonts w:cstheme="minorHAnsi"/>
          <w:bCs/>
          <w:lang w:val="fr-CH"/>
        </w:rPr>
        <w:t xml:space="preserve">: </w:t>
      </w:r>
      <w:r w:rsidRPr="008C115E">
        <w:rPr>
          <w:rFonts w:cstheme="minorHAnsi"/>
          <w:bCs/>
          <w:lang w:val="fr-CH"/>
        </w:rPr>
        <w:t>Allocutions d’ouverture</w:t>
      </w:r>
    </w:p>
    <w:p w14:paraId="0FE01331" w14:textId="77777777" w:rsidR="00001B66" w:rsidRPr="008C115E" w:rsidRDefault="00001B66" w:rsidP="00E319A5">
      <w:pPr>
        <w:spacing w:after="0" w:line="240" w:lineRule="auto"/>
        <w:contextualSpacing/>
        <w:rPr>
          <w:b/>
          <w:bCs/>
          <w:lang w:val="fr-CH"/>
        </w:rPr>
      </w:pPr>
    </w:p>
    <w:p w14:paraId="6FDF64AB" w14:textId="1C4BB41A" w:rsidR="002B17DF" w:rsidRPr="008C115E" w:rsidRDefault="002B17DF" w:rsidP="002B17DF">
      <w:pPr>
        <w:spacing w:after="0" w:line="240" w:lineRule="auto"/>
        <w:ind w:left="567" w:hanging="567"/>
        <w:rPr>
          <w:lang w:val="fr-CH"/>
        </w:rPr>
      </w:pPr>
      <w:r w:rsidRPr="008C115E">
        <w:rPr>
          <w:bCs/>
          <w:lang w:val="fr-CH"/>
        </w:rPr>
        <w:t>1.</w:t>
      </w:r>
      <w:r w:rsidRPr="008C115E">
        <w:rPr>
          <w:bCs/>
          <w:lang w:val="fr-CH"/>
        </w:rPr>
        <w:tab/>
      </w:r>
      <w:r w:rsidR="008C115E">
        <w:rPr>
          <w:bCs/>
          <w:lang w:val="fr-CH"/>
        </w:rPr>
        <w:t>Le</w:t>
      </w:r>
      <w:r w:rsidRPr="008C115E">
        <w:rPr>
          <w:bCs/>
          <w:lang w:val="fr-CH"/>
        </w:rPr>
        <w:t xml:space="preserve"> </w:t>
      </w:r>
      <w:r w:rsidR="008C115E">
        <w:rPr>
          <w:b/>
          <w:bCs/>
          <w:lang w:val="fr-CH"/>
        </w:rPr>
        <w:t>Président du Comité permanent</w:t>
      </w:r>
      <w:r w:rsidR="00690B38" w:rsidRPr="008C115E">
        <w:rPr>
          <w:bCs/>
          <w:lang w:val="fr-CH"/>
        </w:rPr>
        <w:t xml:space="preserve"> (</w:t>
      </w:r>
      <w:r w:rsidR="008C115E">
        <w:rPr>
          <w:bCs/>
          <w:lang w:val="fr-CH"/>
        </w:rPr>
        <w:t xml:space="preserve">Émirats arabes unis) </w:t>
      </w:r>
      <w:r w:rsidR="00AB555D">
        <w:rPr>
          <w:bCs/>
          <w:lang w:val="fr-CH"/>
        </w:rPr>
        <w:t>ouvre</w:t>
      </w:r>
      <w:r w:rsidR="008C115E">
        <w:rPr>
          <w:bCs/>
          <w:lang w:val="fr-CH"/>
        </w:rPr>
        <w:t xml:space="preserve"> la </w:t>
      </w:r>
      <w:r w:rsidR="00FE1697">
        <w:rPr>
          <w:bCs/>
          <w:lang w:val="fr-CH"/>
        </w:rPr>
        <w:t>séance</w:t>
      </w:r>
      <w:r w:rsidR="008C115E">
        <w:rPr>
          <w:bCs/>
          <w:lang w:val="fr-CH"/>
        </w:rPr>
        <w:t xml:space="preserve">. </w:t>
      </w:r>
    </w:p>
    <w:p w14:paraId="5D77AAE6" w14:textId="77777777" w:rsidR="002B17DF" w:rsidRPr="008C115E" w:rsidRDefault="002B17DF" w:rsidP="002B17DF">
      <w:pPr>
        <w:spacing w:after="0" w:line="240" w:lineRule="auto"/>
        <w:rPr>
          <w:rFonts w:cs="Calibri"/>
          <w:bCs/>
          <w:lang w:val="fr-CH"/>
        </w:rPr>
      </w:pPr>
    </w:p>
    <w:p w14:paraId="71105962" w14:textId="737E1695" w:rsidR="006E4671" w:rsidRPr="008C115E" w:rsidRDefault="008C115E" w:rsidP="002B17DF">
      <w:pPr>
        <w:spacing w:after="0" w:line="240" w:lineRule="auto"/>
        <w:ind w:left="567" w:hanging="567"/>
        <w:rPr>
          <w:bCs/>
          <w:lang w:val="fr-CH"/>
        </w:rPr>
      </w:pPr>
      <w:r>
        <w:rPr>
          <w:bCs/>
          <w:lang w:val="fr-CH"/>
        </w:rPr>
        <w:t>2.</w:t>
      </w:r>
      <w:r>
        <w:rPr>
          <w:bCs/>
          <w:lang w:val="fr-CH"/>
        </w:rPr>
        <w:tab/>
        <w:t>La</w:t>
      </w:r>
      <w:r w:rsidR="002B17DF" w:rsidRPr="008C115E">
        <w:rPr>
          <w:bCs/>
          <w:lang w:val="fr-CH"/>
        </w:rPr>
        <w:t xml:space="preserve"> </w:t>
      </w:r>
      <w:r w:rsidR="00690B38" w:rsidRPr="008C115E">
        <w:rPr>
          <w:b/>
          <w:bCs/>
          <w:lang w:val="fr-CH"/>
        </w:rPr>
        <w:t>Secr</w:t>
      </w:r>
      <w:r>
        <w:rPr>
          <w:b/>
          <w:bCs/>
          <w:lang w:val="fr-CH"/>
        </w:rPr>
        <w:t>étaire générale</w:t>
      </w:r>
      <w:r>
        <w:rPr>
          <w:bCs/>
          <w:lang w:val="fr-CH"/>
        </w:rPr>
        <w:t xml:space="preserve"> de la</w:t>
      </w:r>
      <w:r w:rsidR="00690B38" w:rsidRPr="008C115E">
        <w:rPr>
          <w:bCs/>
          <w:lang w:val="fr-CH"/>
        </w:rPr>
        <w:t xml:space="preserve"> Convention</w:t>
      </w:r>
      <w:r w:rsidR="002B17DF" w:rsidRPr="008C115E">
        <w:rPr>
          <w:bCs/>
          <w:lang w:val="fr-CH"/>
        </w:rPr>
        <w:t xml:space="preserve"> </w:t>
      </w:r>
      <w:r>
        <w:rPr>
          <w:bCs/>
          <w:lang w:val="fr-CH"/>
        </w:rPr>
        <w:t>souhaite la bienvenue aux participants et les remercie pour leur engagement</w:t>
      </w:r>
      <w:r w:rsidR="00AB555D">
        <w:rPr>
          <w:bCs/>
          <w:lang w:val="fr-CH"/>
        </w:rPr>
        <w:t>, à ce jour,</w:t>
      </w:r>
      <w:r>
        <w:rPr>
          <w:bCs/>
          <w:lang w:val="fr-CH"/>
        </w:rPr>
        <w:t xml:space="preserve"> dans le processus intersessions.</w:t>
      </w:r>
    </w:p>
    <w:p w14:paraId="0398425A" w14:textId="77777777" w:rsidR="009343F2" w:rsidRPr="008C115E" w:rsidRDefault="009343F2" w:rsidP="00E319A5">
      <w:pPr>
        <w:pStyle w:val="ListParagraph"/>
        <w:spacing w:after="0" w:line="240" w:lineRule="auto"/>
        <w:ind w:left="360"/>
        <w:rPr>
          <w:bCs/>
          <w:lang w:val="fr-CH"/>
        </w:rPr>
      </w:pPr>
    </w:p>
    <w:p w14:paraId="4BC9CB19" w14:textId="7C91986E" w:rsidR="00001B66"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 xml:space="preserve">Point 2 de l’ordre du jour </w:t>
      </w:r>
      <w:r w:rsidR="00001B66" w:rsidRPr="008C115E">
        <w:rPr>
          <w:rFonts w:cstheme="minorHAnsi"/>
          <w:bCs/>
          <w:lang w:val="fr-CH"/>
        </w:rPr>
        <w:t xml:space="preserve">: </w:t>
      </w:r>
      <w:r w:rsidRPr="008C115E">
        <w:rPr>
          <w:bCs/>
          <w:lang w:val="fr-CH"/>
        </w:rPr>
        <w:t>Adoption de l’ordre du jour provisoire</w:t>
      </w:r>
    </w:p>
    <w:p w14:paraId="6E8195A3" w14:textId="09D32F8D" w:rsidR="009343F2" w:rsidRPr="008C115E" w:rsidRDefault="009343F2" w:rsidP="008B3F43">
      <w:pPr>
        <w:spacing w:after="0" w:line="240" w:lineRule="auto"/>
        <w:rPr>
          <w:b/>
          <w:bCs/>
          <w:lang w:val="fr-CH"/>
        </w:rPr>
      </w:pPr>
    </w:p>
    <w:p w14:paraId="48E88037" w14:textId="42C847F8" w:rsidR="006015A6" w:rsidRPr="008C115E" w:rsidRDefault="006015A6" w:rsidP="006015A6">
      <w:pPr>
        <w:tabs>
          <w:tab w:val="left" w:pos="720"/>
          <w:tab w:val="center" w:pos="4680"/>
        </w:tabs>
        <w:spacing w:after="0" w:line="240" w:lineRule="auto"/>
        <w:contextualSpacing/>
        <w:rPr>
          <w:rFonts w:cstheme="minorHAnsi"/>
          <w:b/>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772E4">
        <w:rPr>
          <w:rFonts w:cstheme="minorHAnsi"/>
          <w:b/>
          <w:lang w:val="fr-CH"/>
        </w:rPr>
        <w:t>58-</w:t>
      </w:r>
      <w:r w:rsidRPr="008C115E">
        <w:rPr>
          <w:rFonts w:cstheme="minorHAnsi"/>
          <w:b/>
          <w:lang w:val="fr-CH"/>
        </w:rPr>
        <w:t>01</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Le Comité permanent adopte l’ordre du jour provisoire</w:t>
      </w:r>
      <w:r w:rsidRPr="008C115E">
        <w:rPr>
          <w:rFonts w:cstheme="minorHAnsi"/>
          <w:b/>
          <w:lang w:val="fr-CH"/>
        </w:rPr>
        <w:t>.</w:t>
      </w:r>
    </w:p>
    <w:p w14:paraId="05D3F5CA" w14:textId="77777777" w:rsidR="006015A6" w:rsidRPr="008C115E" w:rsidRDefault="006015A6" w:rsidP="008B3F43">
      <w:pPr>
        <w:spacing w:after="0" w:line="240" w:lineRule="auto"/>
        <w:rPr>
          <w:b/>
          <w:bCs/>
          <w:lang w:val="fr-CH"/>
        </w:rPr>
      </w:pPr>
    </w:p>
    <w:p w14:paraId="177DEAFC" w14:textId="258B300C" w:rsidR="00001B66"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Point 3 de l’ordre du jour :</w:t>
      </w:r>
      <w:r w:rsidR="00001B66" w:rsidRPr="008C115E">
        <w:rPr>
          <w:rFonts w:cstheme="minorHAnsi"/>
          <w:bCs/>
          <w:lang w:val="fr-CH"/>
        </w:rPr>
        <w:t xml:space="preserve"> </w:t>
      </w:r>
      <w:r w:rsidRPr="008C115E">
        <w:rPr>
          <w:rFonts w:cs="Calibri"/>
          <w:bCs/>
          <w:lang w:val="fr-CH"/>
        </w:rPr>
        <w:t>Information sur le processus intersessions du Comité permanent</w:t>
      </w:r>
    </w:p>
    <w:p w14:paraId="3DAE356C" w14:textId="259C68FE" w:rsidR="00A33FB3"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i/>
          <w:lang w:val="fr-CH"/>
        </w:rPr>
      </w:pPr>
      <w:r w:rsidRPr="008C115E">
        <w:rPr>
          <w:rFonts w:cstheme="minorHAnsi"/>
          <w:bCs/>
          <w:i/>
          <w:lang w:val="fr-CH"/>
        </w:rPr>
        <w:t>et</w:t>
      </w:r>
    </w:p>
    <w:p w14:paraId="4D872A60" w14:textId="53A551BE" w:rsidR="00A33FB3" w:rsidRPr="008C115E" w:rsidRDefault="0096152A" w:rsidP="00001B66">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Point 4 de l’ordre du jour :</w:t>
      </w:r>
      <w:r w:rsidR="00A33FB3" w:rsidRPr="008C115E">
        <w:rPr>
          <w:rFonts w:cstheme="minorHAnsi"/>
          <w:bCs/>
          <w:lang w:val="fr-CH"/>
        </w:rPr>
        <w:t xml:space="preserve"> </w:t>
      </w:r>
      <w:r w:rsidRPr="008C115E">
        <w:rPr>
          <w:rFonts w:cs="Calibri"/>
          <w:bCs/>
          <w:lang w:val="fr-CH"/>
        </w:rPr>
        <w:t>Participation au Comité permanent</w:t>
      </w:r>
    </w:p>
    <w:p w14:paraId="2F2BC37A" w14:textId="77777777" w:rsidR="009343F2" w:rsidRPr="008C115E" w:rsidRDefault="009343F2" w:rsidP="008B3F43">
      <w:pPr>
        <w:spacing w:after="0" w:line="240" w:lineRule="auto"/>
        <w:rPr>
          <w:b/>
          <w:bCs/>
          <w:lang w:val="fr-CH"/>
        </w:rPr>
      </w:pPr>
    </w:p>
    <w:p w14:paraId="19FC6C9A" w14:textId="3DD57F4F" w:rsidR="002B17DF" w:rsidRPr="008C115E" w:rsidRDefault="00E14AE6" w:rsidP="002B17DF">
      <w:pPr>
        <w:spacing w:after="0" w:line="240" w:lineRule="auto"/>
        <w:ind w:left="567" w:hanging="567"/>
        <w:rPr>
          <w:bCs/>
          <w:lang w:val="fr-CH"/>
        </w:rPr>
      </w:pPr>
      <w:r w:rsidRPr="008C115E">
        <w:rPr>
          <w:bCs/>
          <w:lang w:val="fr-CH"/>
        </w:rPr>
        <w:t>3</w:t>
      </w:r>
      <w:r w:rsidR="002B17DF" w:rsidRPr="008C115E">
        <w:rPr>
          <w:bCs/>
          <w:lang w:val="fr-CH"/>
        </w:rPr>
        <w:t>.</w:t>
      </w:r>
      <w:r w:rsidR="002B17DF" w:rsidRPr="008C115E">
        <w:rPr>
          <w:bCs/>
          <w:lang w:val="fr-CH"/>
        </w:rPr>
        <w:tab/>
      </w:r>
      <w:r w:rsidR="008C115E">
        <w:rPr>
          <w:bCs/>
          <w:lang w:val="fr-CH"/>
        </w:rPr>
        <w:t>Le</w:t>
      </w:r>
      <w:r w:rsidR="002B17DF" w:rsidRPr="008C115E">
        <w:rPr>
          <w:bCs/>
          <w:lang w:val="fr-CH"/>
        </w:rPr>
        <w:t xml:space="preserve"> </w:t>
      </w:r>
      <w:r w:rsidR="008E4262" w:rsidRPr="008C115E">
        <w:rPr>
          <w:b/>
          <w:bCs/>
          <w:lang w:val="fr-CH"/>
        </w:rPr>
        <w:t>Secr</w:t>
      </w:r>
      <w:r w:rsidR="008C115E">
        <w:rPr>
          <w:b/>
          <w:bCs/>
          <w:lang w:val="fr-CH"/>
        </w:rPr>
        <w:t xml:space="preserve">étariat </w:t>
      </w:r>
      <w:r w:rsidR="008C115E">
        <w:rPr>
          <w:bCs/>
          <w:lang w:val="fr-CH"/>
        </w:rPr>
        <w:t>résume le processus à ce jour, depuis la décision prise par le Comité permanent de reporter la 58</w:t>
      </w:r>
      <w:r w:rsidR="008C115E" w:rsidRPr="008C115E">
        <w:rPr>
          <w:bCs/>
          <w:vertAlign w:val="superscript"/>
          <w:lang w:val="fr-CH"/>
        </w:rPr>
        <w:t>e</w:t>
      </w:r>
      <w:r w:rsidR="008C115E">
        <w:rPr>
          <w:bCs/>
          <w:lang w:val="fr-CH"/>
        </w:rPr>
        <w:t xml:space="preserve"> Réunion du Comité permanent à octobre 2020. Les Parties contractantes ont </w:t>
      </w:r>
      <w:r w:rsidR="00AB555D">
        <w:rPr>
          <w:bCs/>
          <w:lang w:val="fr-CH"/>
        </w:rPr>
        <w:t>identifié</w:t>
      </w:r>
      <w:r w:rsidR="008C115E">
        <w:rPr>
          <w:bCs/>
          <w:lang w:val="fr-CH"/>
        </w:rPr>
        <w:t xml:space="preserve"> des questions sensibles au facteur temps nécessitant des décisions avant octobre ; certaines </w:t>
      </w:r>
      <w:r w:rsidR="00AB555D">
        <w:rPr>
          <w:bCs/>
          <w:lang w:val="fr-CH"/>
        </w:rPr>
        <w:t>à</w:t>
      </w:r>
      <w:r w:rsidR="008C115E">
        <w:rPr>
          <w:bCs/>
          <w:lang w:val="fr-CH"/>
        </w:rPr>
        <w:t xml:space="preserve"> trait</w:t>
      </w:r>
      <w:r w:rsidR="00AB555D">
        <w:rPr>
          <w:bCs/>
          <w:lang w:val="fr-CH"/>
        </w:rPr>
        <w:t>er</w:t>
      </w:r>
      <w:r w:rsidR="008C115E">
        <w:rPr>
          <w:bCs/>
          <w:lang w:val="fr-CH"/>
        </w:rPr>
        <w:t xml:space="preserve"> dans le cadre d’un processus de consultation par courriel et d’autres dans des réunions de groupes de travail du Comité permanent, à savoir le Groupe de travail sur la gestion (voir le rapport dans l’annexe 1), le Sous</w:t>
      </w:r>
      <w:r w:rsidR="008C115E">
        <w:rPr>
          <w:bCs/>
          <w:lang w:val="fr-CH"/>
        </w:rPr>
        <w:noBreakHyphen/>
        <w:t xml:space="preserve">groupe sur la </w:t>
      </w:r>
      <w:r w:rsidR="00850BC0" w:rsidRPr="008C115E">
        <w:rPr>
          <w:bCs/>
          <w:lang w:val="fr-CH"/>
        </w:rPr>
        <w:t xml:space="preserve">COP14, </w:t>
      </w:r>
      <w:r w:rsidR="008C115E">
        <w:rPr>
          <w:bCs/>
          <w:lang w:val="fr-CH"/>
        </w:rPr>
        <w:t>le Sous</w:t>
      </w:r>
      <w:r w:rsidR="008C115E">
        <w:rPr>
          <w:bCs/>
          <w:lang w:val="fr-CH"/>
        </w:rPr>
        <w:noBreakHyphen/>
        <w:t>groupe sur les finances (voir le rapport dans l’</w:t>
      </w:r>
      <w:r w:rsidR="00FE1697">
        <w:rPr>
          <w:bCs/>
          <w:lang w:val="fr-CH"/>
        </w:rPr>
        <w:t>A</w:t>
      </w:r>
      <w:r w:rsidR="008C115E">
        <w:rPr>
          <w:bCs/>
          <w:lang w:val="fr-CH"/>
        </w:rPr>
        <w:t>nnexe 2) et le Comité exécutif (voir le rapport dans l’</w:t>
      </w:r>
      <w:r w:rsidR="00FE1697">
        <w:rPr>
          <w:bCs/>
          <w:lang w:val="fr-CH"/>
        </w:rPr>
        <w:t>A</w:t>
      </w:r>
      <w:r w:rsidR="008C115E">
        <w:rPr>
          <w:bCs/>
          <w:lang w:val="fr-CH"/>
        </w:rPr>
        <w:t xml:space="preserve">nnexe 3). </w:t>
      </w:r>
    </w:p>
    <w:p w14:paraId="14CEA647" w14:textId="4CF61186" w:rsidR="00850BC0" w:rsidRPr="008C115E" w:rsidRDefault="00850BC0" w:rsidP="002B17DF">
      <w:pPr>
        <w:spacing w:after="0" w:line="240" w:lineRule="auto"/>
        <w:ind w:left="567" w:hanging="567"/>
        <w:rPr>
          <w:bCs/>
          <w:lang w:val="fr-CH"/>
        </w:rPr>
      </w:pPr>
    </w:p>
    <w:p w14:paraId="57C3AB28" w14:textId="7E375709" w:rsidR="00E14AE6" w:rsidRPr="008C115E" w:rsidRDefault="00A37010" w:rsidP="002B17DF">
      <w:pPr>
        <w:spacing w:after="0" w:line="240" w:lineRule="auto"/>
        <w:ind w:left="567" w:hanging="567"/>
        <w:rPr>
          <w:lang w:val="fr-CH"/>
        </w:rPr>
      </w:pPr>
      <w:r w:rsidRPr="008C115E">
        <w:rPr>
          <w:lang w:val="fr-CH"/>
        </w:rPr>
        <w:t>4.</w:t>
      </w:r>
      <w:r w:rsidRPr="008C115E">
        <w:rPr>
          <w:lang w:val="fr-CH"/>
        </w:rPr>
        <w:tab/>
      </w:r>
      <w:r w:rsidR="008C115E">
        <w:rPr>
          <w:lang w:val="fr-CH"/>
        </w:rPr>
        <w:t>Le</w:t>
      </w:r>
      <w:r w:rsidR="003170EB" w:rsidRPr="008C115E">
        <w:rPr>
          <w:lang w:val="fr-CH"/>
        </w:rPr>
        <w:t xml:space="preserve"> </w:t>
      </w:r>
      <w:r w:rsidR="008C115E">
        <w:rPr>
          <w:b/>
          <w:bCs/>
          <w:lang w:val="fr-CH"/>
        </w:rPr>
        <w:t>Président du Comité permanent</w:t>
      </w:r>
      <w:r w:rsidRPr="008C115E">
        <w:rPr>
          <w:bCs/>
          <w:lang w:val="fr-CH"/>
        </w:rPr>
        <w:t xml:space="preserve"> </w:t>
      </w:r>
      <w:r w:rsidR="003170EB" w:rsidRPr="008C115E">
        <w:rPr>
          <w:lang w:val="fr-CH"/>
        </w:rPr>
        <w:t>note</w:t>
      </w:r>
      <w:r w:rsidR="008C115E">
        <w:rPr>
          <w:lang w:val="fr-CH"/>
        </w:rPr>
        <w:t xml:space="preserve"> que les rapports et le texte des projets de décisions ont été communiqués aux Parties contractantes, étant entendu que s’il n’y avait pas de commentaires </w:t>
      </w:r>
      <w:r w:rsidR="00AB555D">
        <w:rPr>
          <w:lang w:val="fr-CH"/>
        </w:rPr>
        <w:t>sur</w:t>
      </w:r>
      <w:r w:rsidR="008C115E">
        <w:rPr>
          <w:lang w:val="fr-CH"/>
        </w:rPr>
        <w:t xml:space="preserve"> un texte de décision</w:t>
      </w:r>
      <w:r w:rsidR="00932D74">
        <w:rPr>
          <w:lang w:val="fr-CH"/>
        </w:rPr>
        <w:t>,</w:t>
      </w:r>
      <w:r w:rsidR="008C115E">
        <w:rPr>
          <w:lang w:val="fr-CH"/>
        </w:rPr>
        <w:t xml:space="preserve"> </w:t>
      </w:r>
      <w:r w:rsidR="002772E4">
        <w:rPr>
          <w:lang w:val="fr-CH"/>
        </w:rPr>
        <w:t xml:space="preserve">reçus dans le délai imparti </w:t>
      </w:r>
      <w:r w:rsidR="008C115E">
        <w:rPr>
          <w:lang w:val="fr-CH"/>
        </w:rPr>
        <w:t xml:space="preserve">avant la </w:t>
      </w:r>
      <w:r w:rsidR="00932D74">
        <w:rPr>
          <w:lang w:val="fr-CH"/>
        </w:rPr>
        <w:t>séance</w:t>
      </w:r>
      <w:r w:rsidR="008C115E">
        <w:rPr>
          <w:lang w:val="fr-CH"/>
        </w:rPr>
        <w:t xml:space="preserve">, </w:t>
      </w:r>
      <w:r w:rsidR="00962005">
        <w:rPr>
          <w:lang w:val="fr-CH"/>
        </w:rPr>
        <w:t>cette décision</w:t>
      </w:r>
      <w:r w:rsidR="008C115E">
        <w:rPr>
          <w:lang w:val="fr-CH"/>
        </w:rPr>
        <w:t xml:space="preserve"> serait considéré</w:t>
      </w:r>
      <w:r w:rsidR="00962005">
        <w:rPr>
          <w:lang w:val="fr-CH"/>
        </w:rPr>
        <w:t>e</w:t>
      </w:r>
      <w:r w:rsidR="008C115E">
        <w:rPr>
          <w:lang w:val="fr-CH"/>
        </w:rPr>
        <w:t xml:space="preserve"> comme approuvé</w:t>
      </w:r>
      <w:r w:rsidR="00962005">
        <w:rPr>
          <w:lang w:val="fr-CH"/>
        </w:rPr>
        <w:t>e</w:t>
      </w:r>
      <w:r w:rsidR="008C115E">
        <w:rPr>
          <w:lang w:val="fr-CH"/>
        </w:rPr>
        <w:t xml:space="preserve"> et adopté</w:t>
      </w:r>
      <w:r w:rsidR="00962005">
        <w:rPr>
          <w:lang w:val="fr-CH"/>
        </w:rPr>
        <w:t>e</w:t>
      </w:r>
      <w:r w:rsidR="008C115E">
        <w:rPr>
          <w:lang w:val="fr-CH"/>
        </w:rPr>
        <w:t xml:space="preserve">. </w:t>
      </w:r>
      <w:r w:rsidR="003170EB" w:rsidRPr="008C115E">
        <w:rPr>
          <w:lang w:val="fr-CH"/>
        </w:rPr>
        <w:t xml:space="preserve"> </w:t>
      </w:r>
    </w:p>
    <w:p w14:paraId="2BF2E960" w14:textId="77777777" w:rsidR="00A37010" w:rsidRPr="008C115E" w:rsidRDefault="00A37010" w:rsidP="002B17DF">
      <w:pPr>
        <w:spacing w:after="0" w:line="240" w:lineRule="auto"/>
        <w:ind w:left="567" w:hanging="567"/>
        <w:rPr>
          <w:bCs/>
          <w:lang w:val="fr-CH"/>
        </w:rPr>
      </w:pPr>
    </w:p>
    <w:p w14:paraId="54090A13" w14:textId="1E622368" w:rsidR="00E14AE6" w:rsidRPr="008C115E" w:rsidRDefault="00E14AE6" w:rsidP="002B17DF">
      <w:pPr>
        <w:spacing w:after="0" w:line="240" w:lineRule="auto"/>
        <w:ind w:left="567" w:hanging="567"/>
        <w:rPr>
          <w:bCs/>
          <w:lang w:val="fr-CH"/>
        </w:rPr>
      </w:pPr>
      <w:r w:rsidRPr="008C115E">
        <w:rPr>
          <w:bCs/>
          <w:lang w:val="fr-CH"/>
        </w:rPr>
        <w:t>5.</w:t>
      </w:r>
      <w:r w:rsidRPr="008C115E">
        <w:rPr>
          <w:bCs/>
          <w:lang w:val="fr-CH"/>
        </w:rPr>
        <w:tab/>
      </w:r>
      <w:r w:rsidR="008C115E">
        <w:rPr>
          <w:bCs/>
          <w:lang w:val="fr-CH"/>
        </w:rPr>
        <w:t>Le</w:t>
      </w:r>
      <w:r w:rsidRPr="008C115E">
        <w:rPr>
          <w:bCs/>
          <w:lang w:val="fr-CH"/>
        </w:rPr>
        <w:t xml:space="preserve"> </w:t>
      </w:r>
      <w:r w:rsidR="008E4262" w:rsidRPr="008C115E">
        <w:rPr>
          <w:b/>
          <w:bCs/>
          <w:lang w:val="fr-CH"/>
        </w:rPr>
        <w:t>Secr</w:t>
      </w:r>
      <w:r w:rsidR="008C115E">
        <w:rPr>
          <w:b/>
          <w:bCs/>
          <w:lang w:val="fr-CH"/>
        </w:rPr>
        <w:t>étariat</w:t>
      </w:r>
      <w:r w:rsidRPr="008C115E">
        <w:rPr>
          <w:bCs/>
          <w:lang w:val="fr-CH"/>
        </w:rPr>
        <w:t xml:space="preserve"> note</w:t>
      </w:r>
      <w:r w:rsidR="008C115E">
        <w:rPr>
          <w:bCs/>
          <w:lang w:val="fr-CH"/>
        </w:rPr>
        <w:t xml:space="preserve"> que la </w:t>
      </w:r>
      <w:r w:rsidR="00932D74">
        <w:rPr>
          <w:bCs/>
          <w:lang w:val="fr-CH"/>
        </w:rPr>
        <w:t>séance</w:t>
      </w:r>
      <w:r w:rsidR="008C115E">
        <w:rPr>
          <w:bCs/>
          <w:lang w:val="fr-CH"/>
        </w:rPr>
        <w:t xml:space="preserve"> </w:t>
      </w:r>
      <w:r w:rsidR="00AB555D">
        <w:rPr>
          <w:bCs/>
          <w:lang w:val="fr-CH"/>
        </w:rPr>
        <w:t>a lieu</w:t>
      </w:r>
      <w:r w:rsidR="008C115E">
        <w:rPr>
          <w:bCs/>
          <w:lang w:val="fr-CH"/>
        </w:rPr>
        <w:t xml:space="preserve"> à hui</w:t>
      </w:r>
      <w:r w:rsidR="00FB3657">
        <w:rPr>
          <w:bCs/>
          <w:lang w:val="fr-CH"/>
        </w:rPr>
        <w:t>s</w:t>
      </w:r>
      <w:r w:rsidR="008C115E">
        <w:rPr>
          <w:bCs/>
          <w:lang w:val="fr-CH"/>
        </w:rPr>
        <w:t xml:space="preserve"> clos et que le rapport compre</w:t>
      </w:r>
      <w:r w:rsidR="00FB3657">
        <w:rPr>
          <w:bCs/>
          <w:lang w:val="fr-CH"/>
        </w:rPr>
        <w:t xml:space="preserve">ndra la liste des participants. </w:t>
      </w:r>
      <w:r w:rsidRPr="008C115E">
        <w:rPr>
          <w:bCs/>
          <w:lang w:val="fr-CH"/>
        </w:rPr>
        <w:t xml:space="preserve"> </w:t>
      </w:r>
    </w:p>
    <w:p w14:paraId="0410A2EF" w14:textId="2E3B3AB6" w:rsidR="009343F2" w:rsidRPr="008C115E" w:rsidRDefault="009343F2" w:rsidP="008B3F43">
      <w:pPr>
        <w:spacing w:after="0" w:line="240" w:lineRule="auto"/>
        <w:rPr>
          <w:b/>
          <w:bCs/>
          <w:lang w:val="fr-CH"/>
        </w:rPr>
      </w:pPr>
    </w:p>
    <w:p w14:paraId="14B75A32" w14:textId="1BEFFA6C" w:rsidR="009343F2" w:rsidRPr="008C115E"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t xml:space="preserve">Point 5 de l’ordre du jour </w:t>
      </w:r>
      <w:r w:rsidR="00A33FB3" w:rsidRPr="008C115E">
        <w:rPr>
          <w:rFonts w:cstheme="minorHAnsi"/>
          <w:bCs/>
          <w:lang w:val="fr-CH"/>
        </w:rPr>
        <w:t xml:space="preserve">: </w:t>
      </w:r>
      <w:r w:rsidRPr="008C115E">
        <w:rPr>
          <w:bCs/>
          <w:lang w:val="fr-CH"/>
        </w:rPr>
        <w:t>Rapport du Groupe de travail sur la gestion</w:t>
      </w:r>
    </w:p>
    <w:p w14:paraId="22852EB3" w14:textId="57C6BF4A" w:rsidR="006015A6" w:rsidRPr="008C115E" w:rsidRDefault="006015A6" w:rsidP="002E1520">
      <w:pPr>
        <w:spacing w:after="0" w:line="240" w:lineRule="auto"/>
        <w:ind w:left="567" w:hanging="567"/>
        <w:rPr>
          <w:bCs/>
          <w:lang w:val="fr-CH"/>
        </w:rPr>
      </w:pPr>
    </w:p>
    <w:p w14:paraId="5F45A3C8" w14:textId="2DD729E7" w:rsidR="00E14AE6" w:rsidRPr="008C115E" w:rsidRDefault="002E1520" w:rsidP="002E1520">
      <w:pPr>
        <w:spacing w:after="0" w:line="240" w:lineRule="auto"/>
        <w:ind w:left="567" w:hanging="567"/>
        <w:rPr>
          <w:bCs/>
          <w:lang w:val="fr-CH"/>
        </w:rPr>
      </w:pPr>
      <w:r w:rsidRPr="008C115E">
        <w:rPr>
          <w:bCs/>
          <w:lang w:val="fr-CH"/>
        </w:rPr>
        <w:t>6.</w:t>
      </w:r>
      <w:r w:rsidRPr="008C115E">
        <w:rPr>
          <w:bCs/>
          <w:lang w:val="fr-CH"/>
        </w:rPr>
        <w:tab/>
      </w:r>
      <w:r w:rsidR="00FB3657">
        <w:rPr>
          <w:bCs/>
          <w:lang w:val="fr-CH"/>
        </w:rPr>
        <w:t>L</w:t>
      </w:r>
      <w:r w:rsidR="00DA7BBC" w:rsidRPr="008C115E">
        <w:rPr>
          <w:rFonts w:cs="Calibri"/>
          <w:lang w:val="fr-CH"/>
        </w:rPr>
        <w:t xml:space="preserve">e Groupe de travail sur la gestion s’est réuni le 10 juin </w:t>
      </w:r>
      <w:r w:rsidR="00FE1697">
        <w:rPr>
          <w:rFonts w:cs="Calibri"/>
          <w:lang w:val="fr-CH"/>
        </w:rPr>
        <w:t xml:space="preserve">2020 </w:t>
      </w:r>
      <w:r w:rsidR="00DA7BBC" w:rsidRPr="008C115E">
        <w:rPr>
          <w:rFonts w:cs="Calibri"/>
          <w:lang w:val="fr-CH"/>
        </w:rPr>
        <w:t xml:space="preserve">pour examiner le point 19 de l’ordre du jour </w:t>
      </w:r>
      <w:r w:rsidR="00DA7BBC" w:rsidRPr="008C115E">
        <w:rPr>
          <w:rFonts w:cs="Calibri"/>
          <w:i/>
          <w:iCs/>
          <w:lang w:val="fr-CH"/>
        </w:rPr>
        <w:t>Rapport du Président du Groupe d’évaluation scientifique et technique</w:t>
      </w:r>
      <w:r w:rsidR="00DA7BBC" w:rsidRPr="008C115E">
        <w:rPr>
          <w:rFonts w:cs="Calibri"/>
          <w:lang w:val="fr-CH"/>
        </w:rPr>
        <w:t xml:space="preserve">. Son </w:t>
      </w:r>
      <w:r w:rsidR="00DA7BBC" w:rsidRPr="008C115E">
        <w:rPr>
          <w:rFonts w:cs="Calibri"/>
          <w:lang w:val="fr-CH"/>
        </w:rPr>
        <w:lastRenderedPageBreak/>
        <w:t>rapport a été communiqué le 19 juin aux membres du Comité permanent et aux Parties contractantes inscrites comme observateurs</w:t>
      </w:r>
      <w:r w:rsidR="00E14AE6" w:rsidRPr="008C115E">
        <w:rPr>
          <w:bCs/>
          <w:lang w:val="fr-CH"/>
        </w:rPr>
        <w:t>.</w:t>
      </w:r>
    </w:p>
    <w:p w14:paraId="0DA91DE1" w14:textId="77777777" w:rsidR="00E14AE6" w:rsidRPr="008C115E" w:rsidRDefault="00E14AE6" w:rsidP="00E14AE6">
      <w:pPr>
        <w:spacing w:after="0" w:line="240" w:lineRule="auto"/>
        <w:rPr>
          <w:lang w:val="fr-CH"/>
        </w:rPr>
      </w:pPr>
    </w:p>
    <w:p w14:paraId="5D99AE88" w14:textId="1B5082BB" w:rsidR="00144975" w:rsidRDefault="00E54340" w:rsidP="00E54340">
      <w:pPr>
        <w:spacing w:after="0" w:line="240" w:lineRule="auto"/>
        <w:ind w:left="567" w:hanging="567"/>
        <w:rPr>
          <w:bCs/>
          <w:lang w:val="fr-CH"/>
        </w:rPr>
      </w:pPr>
      <w:r w:rsidRPr="00E54340">
        <w:rPr>
          <w:bCs/>
          <w:lang w:val="fr-CH"/>
        </w:rPr>
        <w:t xml:space="preserve">7.        La </w:t>
      </w:r>
      <w:r w:rsidRPr="00E54340">
        <w:rPr>
          <w:b/>
          <w:bCs/>
          <w:lang w:val="fr-CH"/>
        </w:rPr>
        <w:t>Secrétaire générale</w:t>
      </w:r>
      <w:r w:rsidRPr="00E54340">
        <w:rPr>
          <w:bCs/>
          <w:lang w:val="fr-CH"/>
        </w:rPr>
        <w:t xml:space="preserve"> note qu’une suggestion a été reçue après la réunion du Groupe de travail sur la gestion, à savoir que le GEST devrait, à la lumière de la pandémie de COVID 19 actuelle, envisager d’ajouter une section dans l’édition spéciale des Perspectives mondiales des zones humides sur les liens entre les pandémies et la perte de biodiversité, en particulier concernant les zones humides, soulignant l’importance pour les pays de mettre au point un plan de rétablissement environnemental parallèlement à leurs plans de rétablissement économique, dans le sillage de la pandémie, afin d’illustrer que la pertinence de la Convention sur la scène mondiale va de pair avec celle d’autres accords multilatéraux sur l’environnement. Comme cette idée lui est parvenue après sa réunion, le Groupe de travail sur la gestion n’a pas eu l’occasion de débattre du concept et n’a fait aucune recommandation au GEST à ce sujet.</w:t>
      </w:r>
    </w:p>
    <w:p w14:paraId="48AF1E61" w14:textId="77777777" w:rsidR="00E54340" w:rsidRPr="008C115E" w:rsidRDefault="00E54340" w:rsidP="008B3F43">
      <w:pPr>
        <w:spacing w:after="0" w:line="240" w:lineRule="auto"/>
        <w:rPr>
          <w:b/>
          <w:bCs/>
          <w:lang w:val="fr-CH"/>
        </w:rPr>
      </w:pPr>
    </w:p>
    <w:p w14:paraId="387D328A" w14:textId="59B57768" w:rsidR="00253ACA" w:rsidRDefault="006015A6" w:rsidP="006015A6">
      <w:pPr>
        <w:autoSpaceDE w:val="0"/>
        <w:autoSpaceDN w:val="0"/>
        <w:adjustRightInd w:val="0"/>
        <w:spacing w:after="0" w:line="240" w:lineRule="auto"/>
        <w:rPr>
          <w:rFonts w:cstheme="minorHAnsi"/>
          <w:b/>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02</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253ACA">
        <w:rPr>
          <w:rFonts w:cstheme="minorHAnsi"/>
          <w:b/>
          <w:lang w:val="fr-CH"/>
        </w:rPr>
        <w:t>approuve le rapport du Groupe de travail sur la gestion</w:t>
      </w:r>
      <w:r w:rsidR="00466758">
        <w:rPr>
          <w:rFonts w:cstheme="minorHAnsi"/>
          <w:b/>
          <w:lang w:val="fr-CH"/>
        </w:rPr>
        <w:t>.</w:t>
      </w:r>
    </w:p>
    <w:p w14:paraId="07752590" w14:textId="77777777" w:rsidR="00253ACA" w:rsidRDefault="00253ACA" w:rsidP="006015A6">
      <w:pPr>
        <w:autoSpaceDE w:val="0"/>
        <w:autoSpaceDN w:val="0"/>
        <w:adjustRightInd w:val="0"/>
        <w:spacing w:after="0" w:line="240" w:lineRule="auto"/>
        <w:rPr>
          <w:rFonts w:cstheme="minorHAnsi"/>
          <w:b/>
          <w:lang w:val="fr-CH"/>
        </w:rPr>
      </w:pPr>
    </w:p>
    <w:p w14:paraId="46C6ED55" w14:textId="7972EDCF" w:rsidR="006015A6" w:rsidRPr="008C115E" w:rsidRDefault="00253ACA" w:rsidP="006015A6">
      <w:pPr>
        <w:autoSpaceDE w:val="0"/>
        <w:autoSpaceDN w:val="0"/>
        <w:adjustRightInd w:val="0"/>
        <w:spacing w:after="0" w:line="240" w:lineRule="auto"/>
        <w:rPr>
          <w:rFonts w:eastAsiaTheme="minorHAnsi" w:cs="Calibri"/>
          <w:b/>
          <w:color w:val="000000"/>
          <w:lang w:val="fr-CH"/>
        </w:rPr>
      </w:pPr>
      <w:r>
        <w:rPr>
          <w:rFonts w:eastAsiaTheme="minorHAnsi" w:cs="Calibri"/>
          <w:b/>
          <w:color w:val="000000"/>
          <w:lang w:val="fr-CH"/>
        </w:rPr>
        <w:t xml:space="preserve">Décision SC58-03 : Le Comité permanent </w:t>
      </w:r>
      <w:r w:rsidR="00674750" w:rsidRPr="008C115E">
        <w:rPr>
          <w:rFonts w:eastAsiaTheme="minorHAnsi" w:cs="Calibri"/>
          <w:b/>
          <w:color w:val="000000"/>
          <w:lang w:val="fr-CH"/>
        </w:rPr>
        <w:t xml:space="preserve">prend note avec satisfaction du rapport du Président du Groupe d’évaluation scientifique et technique relatant les progrès du GEST et demande que ce dernier continue de s’intéresser à ses tâches ayant la plus haute priorité et à la tâche consultative spéciale sur le Critère 6 </w:t>
      </w:r>
      <w:r w:rsidR="00FE1697">
        <w:rPr>
          <w:rFonts w:eastAsiaTheme="minorHAnsi" w:cs="Calibri"/>
          <w:b/>
          <w:color w:val="000000"/>
          <w:lang w:val="fr-CH"/>
        </w:rPr>
        <w:t>relatif à l’</w:t>
      </w:r>
      <w:r w:rsidR="00674750" w:rsidRPr="008C115E">
        <w:rPr>
          <w:rFonts w:eastAsiaTheme="minorHAnsi" w:cs="Calibri"/>
          <w:b/>
          <w:color w:val="000000"/>
          <w:lang w:val="fr-CH"/>
        </w:rPr>
        <w:t>utilisation des estimations de population</w:t>
      </w:r>
      <w:r w:rsidR="006015A6" w:rsidRPr="008C115E">
        <w:rPr>
          <w:rFonts w:eastAsiaTheme="minorHAnsi" w:cs="Calibri"/>
          <w:b/>
          <w:color w:val="000000"/>
          <w:lang w:val="fr-CH"/>
        </w:rPr>
        <w:t xml:space="preserve">. </w:t>
      </w:r>
    </w:p>
    <w:p w14:paraId="588BB004"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01EC7701" w14:textId="7204A0FE"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4</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demande au GEST de poursuivre l’élaboration des Perspectives mondiales des zones humides (édition spéciale) en attendant que le Comité permanent choisisse prochainement un thème pour le 50</w:t>
      </w:r>
      <w:r w:rsidR="00674750" w:rsidRPr="007B1166">
        <w:rPr>
          <w:rFonts w:eastAsiaTheme="minorHAnsi" w:cs="Calibri"/>
          <w:b/>
          <w:color w:val="000000"/>
          <w:vertAlign w:val="superscript"/>
          <w:lang w:val="fr-CH"/>
        </w:rPr>
        <w:t>e</w:t>
      </w:r>
      <w:r w:rsidR="00674750" w:rsidRPr="008C115E">
        <w:rPr>
          <w:rFonts w:eastAsiaTheme="minorHAnsi" w:cs="Calibri"/>
          <w:b/>
          <w:color w:val="000000"/>
          <w:lang w:val="fr-CH"/>
        </w:rPr>
        <w:t xml:space="preserve"> anniversaire et sachant que les Perspectives mondiales des zones humides (édition spéciale) peuvent être adaptées en fonction du thème choisi</w:t>
      </w:r>
      <w:r w:rsidRPr="008C115E">
        <w:rPr>
          <w:rFonts w:eastAsiaTheme="minorHAnsi" w:cs="Calibri"/>
          <w:b/>
          <w:color w:val="000000"/>
          <w:lang w:val="fr-CH"/>
        </w:rPr>
        <w:t xml:space="preserve">. </w:t>
      </w:r>
    </w:p>
    <w:p w14:paraId="679E03E7"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3408AB02" w14:textId="6336ED2B"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5</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recommande que le GEST poursuive ses travaux sur les zones humides et le carbone bleu (tâche 5.1), conformément aux termes de la Résolution XIII.14, sous</w:t>
      </w:r>
      <w:r w:rsidR="00FE1697">
        <w:rPr>
          <w:rFonts w:eastAsiaTheme="minorHAnsi" w:cs="Calibri"/>
          <w:b/>
          <w:color w:val="000000"/>
          <w:lang w:val="fr-CH"/>
        </w:rPr>
        <w:t>-</w:t>
      </w:r>
      <w:r w:rsidR="00674750" w:rsidRPr="008C115E">
        <w:rPr>
          <w:rFonts w:eastAsiaTheme="minorHAnsi" w:cs="Calibri"/>
          <w:b/>
          <w:color w:val="000000"/>
          <w:lang w:val="fr-CH"/>
        </w:rPr>
        <w:t xml:space="preserve">paragraphe 15 a), et </w:t>
      </w:r>
      <w:r w:rsidR="00FE1697">
        <w:rPr>
          <w:rFonts w:eastAsiaTheme="minorHAnsi" w:cs="Calibri"/>
          <w:b/>
          <w:color w:val="000000"/>
          <w:lang w:val="fr-CH"/>
        </w:rPr>
        <w:t>définisse</w:t>
      </w:r>
      <w:r w:rsidR="00674750" w:rsidRPr="008C115E">
        <w:rPr>
          <w:rFonts w:eastAsiaTheme="minorHAnsi" w:cs="Calibri"/>
          <w:b/>
          <w:color w:val="000000"/>
          <w:lang w:val="fr-CH"/>
        </w:rPr>
        <w:t xml:space="preserve"> la portée des travaux demandés dans les sous</w:t>
      </w:r>
      <w:r w:rsidR="00611723">
        <w:rPr>
          <w:rFonts w:eastAsiaTheme="minorHAnsi" w:cs="Calibri"/>
          <w:b/>
          <w:color w:val="000000"/>
          <w:lang w:val="fr-CH"/>
        </w:rPr>
        <w:noBreakHyphen/>
      </w:r>
      <w:r w:rsidR="00674750" w:rsidRPr="008C115E">
        <w:rPr>
          <w:rFonts w:eastAsiaTheme="minorHAnsi" w:cs="Calibri"/>
          <w:b/>
          <w:color w:val="000000"/>
          <w:lang w:val="fr-CH"/>
        </w:rPr>
        <w:t xml:space="preserve">paragraphes b), c) et d) durant la prochaine période triennale, et </w:t>
      </w:r>
      <w:r w:rsidR="00466758">
        <w:rPr>
          <w:rFonts w:eastAsiaTheme="minorHAnsi" w:cs="Calibri"/>
          <w:b/>
          <w:color w:val="000000"/>
          <w:lang w:val="fr-CH"/>
        </w:rPr>
        <w:t>prend</w:t>
      </w:r>
      <w:r w:rsidR="00674750" w:rsidRPr="008C115E">
        <w:rPr>
          <w:rFonts w:eastAsiaTheme="minorHAnsi" w:cs="Calibri"/>
          <w:b/>
          <w:color w:val="000000"/>
          <w:lang w:val="fr-CH"/>
        </w:rPr>
        <w:t xml:space="preserve"> note de l’importance du partage des résultats avec la Convention-cadre des Nations Unies sur les changements climatiques et la Convention sur la diversité biologique par les moyens appropriés, c’est-à-dire dans le contexte d’une activité parallèle, en marge de leurs COP respectives</w:t>
      </w:r>
      <w:r w:rsidRPr="008C115E">
        <w:rPr>
          <w:rFonts w:eastAsiaTheme="minorHAnsi" w:cs="Calibri"/>
          <w:b/>
          <w:color w:val="000000"/>
          <w:lang w:val="fr-CH"/>
        </w:rPr>
        <w:t xml:space="preserve">. </w:t>
      </w:r>
    </w:p>
    <w:p w14:paraId="4B954065" w14:textId="77777777" w:rsidR="006015A6" w:rsidRPr="008C115E" w:rsidRDefault="006015A6" w:rsidP="006015A6">
      <w:pPr>
        <w:autoSpaceDE w:val="0"/>
        <w:autoSpaceDN w:val="0"/>
        <w:adjustRightInd w:val="0"/>
        <w:spacing w:after="0" w:line="240" w:lineRule="auto"/>
        <w:rPr>
          <w:rFonts w:eastAsiaTheme="minorHAnsi" w:cs="Calibri"/>
          <w:b/>
          <w:color w:val="000000"/>
          <w:lang w:val="fr-CH"/>
        </w:rPr>
      </w:pPr>
    </w:p>
    <w:p w14:paraId="37D44646" w14:textId="1FA704A0"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SC2</w:t>
      </w:r>
      <w:r w:rsidR="00253ACA">
        <w:rPr>
          <w:rFonts w:cstheme="minorHAnsi"/>
          <w:b/>
          <w:lang w:val="fr-CH"/>
        </w:rPr>
        <w:t>58</w:t>
      </w:r>
      <w:r w:rsidRPr="008C115E">
        <w:rPr>
          <w:rFonts w:cstheme="minorHAnsi"/>
          <w:b/>
          <w:lang w:val="fr-CH"/>
        </w:rPr>
        <w:t>-</w:t>
      </w:r>
      <w:r w:rsidR="001A123C" w:rsidRPr="008C115E">
        <w:rPr>
          <w:rFonts w:cstheme="minorHAnsi"/>
          <w:b/>
          <w:lang w:val="fr-CH"/>
        </w:rPr>
        <w:t>0</w:t>
      </w:r>
      <w:r w:rsidR="00253ACA">
        <w:rPr>
          <w:rFonts w:cstheme="minorHAnsi"/>
          <w:b/>
          <w:lang w:val="fr-CH"/>
        </w:rPr>
        <w:t>6</w:t>
      </w:r>
      <w:r w:rsidR="00674750" w:rsidRPr="008C115E">
        <w:rPr>
          <w:rFonts w:cstheme="minorHAnsi"/>
          <w:b/>
          <w:lang w:val="fr-CH"/>
        </w:rPr>
        <w:t xml:space="preserve"> </w:t>
      </w:r>
      <w:r w:rsidRPr="008C115E">
        <w:rPr>
          <w:rFonts w:cstheme="minorHAnsi"/>
          <w:b/>
          <w:lang w:val="fr-CH"/>
        </w:rPr>
        <w:t xml:space="preserve">: </w:t>
      </w:r>
      <w:r w:rsidR="00674750" w:rsidRPr="008C115E">
        <w:rPr>
          <w:rFonts w:cstheme="minorHAnsi"/>
          <w:b/>
          <w:lang w:val="fr-CH"/>
        </w:rPr>
        <w:t xml:space="preserve">Le Comité permanent </w:t>
      </w:r>
      <w:r w:rsidR="00674750" w:rsidRPr="008C115E">
        <w:rPr>
          <w:rFonts w:eastAsiaTheme="minorHAnsi" w:cs="Calibri"/>
          <w:b/>
          <w:color w:val="000000"/>
          <w:lang w:val="fr-CH"/>
        </w:rPr>
        <w:t>recommande en outre que le GEST soumette au Comité permanent une proposition de mise à jour du Critère 6 Ramsar concernant l’utilisation des estimations de population afin que le Comité puisse envisager de la présenter à la Conférence des Parties contractantes, sachant que les Parties contractantes ont besoin de disposer d’informations actualisées et dynamiques</w:t>
      </w:r>
      <w:r w:rsidRPr="008C115E">
        <w:rPr>
          <w:rFonts w:eastAsiaTheme="minorHAnsi" w:cs="Calibri"/>
          <w:b/>
          <w:color w:val="000000"/>
          <w:lang w:val="fr-CH"/>
        </w:rPr>
        <w:t xml:space="preserve">. </w:t>
      </w:r>
    </w:p>
    <w:p w14:paraId="6598AE44" w14:textId="77777777" w:rsidR="006015A6" w:rsidRPr="008C115E" w:rsidRDefault="006015A6" w:rsidP="006015A6">
      <w:pPr>
        <w:autoSpaceDE w:val="0"/>
        <w:autoSpaceDN w:val="0"/>
        <w:adjustRightInd w:val="0"/>
        <w:spacing w:after="0" w:line="240" w:lineRule="auto"/>
        <w:rPr>
          <w:rFonts w:eastAsiaTheme="minorHAnsi" w:cs="Calibri"/>
          <w:color w:val="000000"/>
          <w:lang w:val="fr-CH"/>
        </w:rPr>
      </w:pPr>
    </w:p>
    <w:p w14:paraId="2D624171" w14:textId="5B45F83D" w:rsidR="006015A6" w:rsidRPr="008C115E" w:rsidRDefault="006015A6" w:rsidP="006015A6">
      <w:pPr>
        <w:autoSpaceDE w:val="0"/>
        <w:autoSpaceDN w:val="0"/>
        <w:adjustRightInd w:val="0"/>
        <w:spacing w:after="0" w:line="240" w:lineRule="auto"/>
        <w:rPr>
          <w:rFonts w:eastAsiaTheme="minorHAnsi" w:cs="Calibri"/>
          <w:b/>
          <w:color w:val="000000"/>
          <w:lang w:val="fr-CH"/>
        </w:rPr>
      </w:pPr>
      <w:r w:rsidRPr="008C115E">
        <w:rPr>
          <w:rFonts w:cstheme="minorHAnsi"/>
          <w:b/>
          <w:lang w:val="fr-CH"/>
        </w:rPr>
        <w:t>D</w:t>
      </w:r>
      <w:r w:rsidR="00674750" w:rsidRPr="008C115E">
        <w:rPr>
          <w:rFonts w:cstheme="minorHAnsi"/>
          <w:b/>
          <w:lang w:val="fr-CH"/>
        </w:rPr>
        <w:t>é</w:t>
      </w:r>
      <w:r w:rsidRPr="008C115E">
        <w:rPr>
          <w:rFonts w:cstheme="minorHAnsi"/>
          <w:b/>
          <w:lang w:val="fr-CH"/>
        </w:rPr>
        <w:t>cision SC</w:t>
      </w:r>
      <w:r w:rsidR="002949FD">
        <w:rPr>
          <w:rFonts w:cstheme="minorHAnsi"/>
          <w:b/>
          <w:lang w:val="fr-CH"/>
        </w:rPr>
        <w:t>58</w:t>
      </w:r>
      <w:r w:rsidRPr="008C115E">
        <w:rPr>
          <w:rFonts w:cstheme="minorHAnsi"/>
          <w:b/>
          <w:lang w:val="fr-CH"/>
        </w:rPr>
        <w:t>-</w:t>
      </w:r>
      <w:r w:rsidR="001A123C" w:rsidRPr="008C115E">
        <w:rPr>
          <w:rFonts w:cstheme="minorHAnsi"/>
          <w:b/>
          <w:lang w:val="fr-CH"/>
        </w:rPr>
        <w:t>0</w:t>
      </w:r>
      <w:r w:rsidR="0032161D">
        <w:rPr>
          <w:rFonts w:cstheme="minorHAnsi"/>
          <w:b/>
          <w:lang w:val="fr-CH"/>
        </w:rPr>
        <w:t>7</w:t>
      </w:r>
      <w:r w:rsidR="00674750" w:rsidRPr="008C115E">
        <w:rPr>
          <w:rFonts w:cstheme="minorHAnsi"/>
          <w:b/>
          <w:lang w:val="fr-CH"/>
        </w:rPr>
        <w:t xml:space="preserve"> </w:t>
      </w:r>
      <w:r w:rsidRPr="008C115E">
        <w:rPr>
          <w:rFonts w:cstheme="minorHAnsi"/>
          <w:b/>
          <w:lang w:val="fr-CH"/>
        </w:rPr>
        <w:t xml:space="preserve">: </w:t>
      </w:r>
      <w:bookmarkStart w:id="0" w:name="_Hlk43814975"/>
      <w:r w:rsidR="00674750" w:rsidRPr="008C115E">
        <w:rPr>
          <w:rFonts w:cstheme="minorHAnsi"/>
          <w:b/>
          <w:lang w:val="fr-CH"/>
        </w:rPr>
        <w:t xml:space="preserve">Le Comité permanent </w:t>
      </w:r>
      <w:bookmarkEnd w:id="0"/>
      <w:r w:rsidR="00674750" w:rsidRPr="008C115E">
        <w:rPr>
          <w:rFonts w:eastAsiaTheme="minorHAnsi" w:cs="Calibri"/>
          <w:b/>
          <w:color w:val="000000"/>
          <w:lang w:val="fr-CH"/>
        </w:rPr>
        <w:t>demande au Secrétariat de prévoir une réunion du Groupe de travail sur la gestion dans le programme de travail de la 58</w:t>
      </w:r>
      <w:r w:rsidR="00674750" w:rsidRPr="008C115E">
        <w:rPr>
          <w:rFonts w:eastAsiaTheme="minorHAnsi" w:cs="Calibri"/>
          <w:b/>
          <w:color w:val="000000"/>
          <w:vertAlign w:val="superscript"/>
          <w:lang w:val="fr-CH"/>
        </w:rPr>
        <w:t>e</w:t>
      </w:r>
      <w:r w:rsidR="00674750" w:rsidRPr="008C115E">
        <w:rPr>
          <w:rFonts w:eastAsiaTheme="minorHAnsi" w:cs="Calibri"/>
          <w:b/>
          <w:color w:val="000000"/>
          <w:lang w:val="fr-CH"/>
        </w:rPr>
        <w:t> Réunion du Comité permanent et demande que le Président du GEST soumette un rapport sur les derniers progrès accomplis en vue de remplir le mandat du GEST, pour examen par le Groupe de travail sur la gestion à cette réunion</w:t>
      </w:r>
      <w:r w:rsidRPr="008C115E">
        <w:rPr>
          <w:rFonts w:eastAsiaTheme="minorHAnsi" w:cs="Calibri"/>
          <w:b/>
          <w:color w:val="000000"/>
          <w:lang w:val="fr-CH"/>
        </w:rPr>
        <w:t xml:space="preserve">. </w:t>
      </w:r>
    </w:p>
    <w:p w14:paraId="7E80066E" w14:textId="77777777" w:rsidR="006015A6" w:rsidRPr="008C115E" w:rsidRDefault="006015A6" w:rsidP="008B3F43">
      <w:pPr>
        <w:spacing w:after="0" w:line="240" w:lineRule="auto"/>
        <w:rPr>
          <w:b/>
          <w:bCs/>
          <w:lang w:val="fr-CH"/>
        </w:rPr>
      </w:pPr>
    </w:p>
    <w:p w14:paraId="26CCC16E" w14:textId="211F9EED" w:rsidR="009343F2" w:rsidRPr="008C115E"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C115E">
        <w:rPr>
          <w:rFonts w:cstheme="minorHAnsi"/>
          <w:bCs/>
          <w:lang w:val="fr-CH"/>
        </w:rPr>
        <w:lastRenderedPageBreak/>
        <w:t xml:space="preserve">Point 7 de l’ordre du jour </w:t>
      </w:r>
      <w:r w:rsidR="00A33FB3" w:rsidRPr="008C115E">
        <w:rPr>
          <w:rFonts w:cstheme="minorHAnsi"/>
          <w:bCs/>
          <w:lang w:val="fr-CH"/>
        </w:rPr>
        <w:t xml:space="preserve">: </w:t>
      </w:r>
      <w:r w:rsidRPr="008C115E">
        <w:rPr>
          <w:bCs/>
          <w:lang w:val="fr-CH"/>
        </w:rPr>
        <w:t>Rapport du Comité exécutif sur le point</w:t>
      </w:r>
      <w:r w:rsidRPr="008C115E">
        <w:rPr>
          <w:rFonts w:cs="Calibri"/>
          <w:lang w:val="fr-CH"/>
        </w:rPr>
        <w:t xml:space="preserve"> 20.4 de l’ordre du jour </w:t>
      </w:r>
      <w:r w:rsidRPr="008C115E">
        <w:rPr>
          <w:rFonts w:cs="Calibri"/>
          <w:i/>
          <w:lang w:val="fr-CH"/>
        </w:rPr>
        <w:t xml:space="preserve">Processus de préparation et d’examen des projets de résolutions </w:t>
      </w:r>
      <w:r w:rsidRPr="008C115E">
        <w:rPr>
          <w:rFonts w:cs="Calibri"/>
          <w:iCs/>
          <w:lang w:val="fr-CH"/>
        </w:rPr>
        <w:t>(but et calendrier des réunions régionales pré</w:t>
      </w:r>
      <w:r w:rsidRPr="008C115E">
        <w:rPr>
          <w:rFonts w:cs="Calibri"/>
          <w:iCs/>
          <w:lang w:val="fr-CH"/>
        </w:rPr>
        <w:noBreakHyphen/>
        <w:t>COP)</w:t>
      </w:r>
    </w:p>
    <w:p w14:paraId="382F3623" w14:textId="7D75B809" w:rsidR="003768F4" w:rsidRPr="008C115E" w:rsidRDefault="003768F4" w:rsidP="003768F4">
      <w:pPr>
        <w:spacing w:after="0" w:line="240" w:lineRule="auto"/>
        <w:rPr>
          <w:rFonts w:eastAsiaTheme="minorHAnsi" w:cs="Calibri"/>
          <w:color w:val="000000"/>
          <w:sz w:val="24"/>
          <w:szCs w:val="24"/>
          <w:lang w:val="fr-CH"/>
        </w:rPr>
      </w:pPr>
    </w:p>
    <w:p w14:paraId="285BAACB" w14:textId="5FCA5199" w:rsidR="002F4CE2" w:rsidRPr="008C115E" w:rsidRDefault="002F4CE2" w:rsidP="002F4CE2">
      <w:pPr>
        <w:spacing w:after="0" w:line="240" w:lineRule="auto"/>
        <w:ind w:left="567" w:hanging="567"/>
        <w:rPr>
          <w:bCs/>
          <w:lang w:val="fr-CH"/>
        </w:rPr>
      </w:pPr>
      <w:r w:rsidRPr="008C115E">
        <w:rPr>
          <w:bCs/>
          <w:lang w:val="fr-CH"/>
        </w:rPr>
        <w:t>8.</w:t>
      </w:r>
      <w:r w:rsidRPr="008C115E">
        <w:rPr>
          <w:bCs/>
          <w:lang w:val="fr-CH"/>
        </w:rPr>
        <w:tab/>
      </w:r>
      <w:r w:rsidR="00E41FB9">
        <w:rPr>
          <w:bCs/>
          <w:lang w:val="fr-CH"/>
        </w:rPr>
        <w:t>Le Comité exécutif s’est réuni le 17 juin 2020 et a recommandé que deux journées supplémentaires soient réservées</w:t>
      </w:r>
      <w:r w:rsidR="00AB555D" w:rsidRPr="00AB555D">
        <w:rPr>
          <w:bCs/>
          <w:lang w:val="fr-CH"/>
        </w:rPr>
        <w:t xml:space="preserve"> </w:t>
      </w:r>
      <w:r w:rsidR="00AB555D">
        <w:rPr>
          <w:bCs/>
          <w:lang w:val="fr-CH"/>
        </w:rPr>
        <w:t>à la tenue de réunions régionales,</w:t>
      </w:r>
      <w:r w:rsidR="00E41FB9">
        <w:rPr>
          <w:bCs/>
          <w:lang w:val="fr-CH"/>
        </w:rPr>
        <w:t xml:space="preserve"> avant la COP14</w:t>
      </w:r>
      <w:r w:rsidR="00AB555D">
        <w:rPr>
          <w:bCs/>
          <w:lang w:val="fr-CH"/>
        </w:rPr>
        <w:t>,</w:t>
      </w:r>
      <w:r w:rsidR="00E41FB9">
        <w:rPr>
          <w:bCs/>
          <w:lang w:val="fr-CH"/>
        </w:rPr>
        <w:t xml:space="preserve"> afin </w:t>
      </w:r>
      <w:r w:rsidR="00AB555D">
        <w:rPr>
          <w:bCs/>
          <w:lang w:val="fr-CH"/>
        </w:rPr>
        <w:t>de remplacer les</w:t>
      </w:r>
      <w:r w:rsidR="00E41FB9">
        <w:rPr>
          <w:bCs/>
          <w:lang w:val="fr-CH"/>
        </w:rPr>
        <w:t xml:space="preserve"> réunions qui auraient dû avoir lieu dans les régions respectives. </w:t>
      </w:r>
      <w:r w:rsidR="00AB555D" w:rsidRPr="00AB555D">
        <w:rPr>
          <w:bCs/>
          <w:lang w:val="fr-CH"/>
        </w:rPr>
        <w:t>Le Comité exécutif a examiné les incidences et les difficultés posées par le report de la 58</w:t>
      </w:r>
      <w:r w:rsidR="00AB555D" w:rsidRPr="00AB555D">
        <w:rPr>
          <w:bCs/>
          <w:vertAlign w:val="superscript"/>
          <w:lang w:val="fr-CH"/>
        </w:rPr>
        <w:t>e</w:t>
      </w:r>
      <w:r w:rsidR="00AB555D" w:rsidRPr="00AB555D">
        <w:rPr>
          <w:bCs/>
          <w:lang w:val="fr-CH"/>
        </w:rPr>
        <w:t xml:space="preserve"> Réunion du Comité permanent dans la chronologie des réunions précédant la COP14 et en particulier le rôle et la faisabilité, notamment financière, des réunions régionales pré</w:t>
      </w:r>
      <w:r w:rsidR="004B135B">
        <w:rPr>
          <w:bCs/>
          <w:lang w:val="fr-CH"/>
        </w:rPr>
        <w:t>-</w:t>
      </w:r>
      <w:r w:rsidR="00AB555D" w:rsidRPr="00AB555D">
        <w:rPr>
          <w:bCs/>
          <w:lang w:val="fr-CH"/>
        </w:rPr>
        <w:t>COP. Le Comité exécutif a discuté de la difficulté, pour le Secrétariat, d’organiser</w:t>
      </w:r>
      <w:r w:rsidR="00936AC6">
        <w:rPr>
          <w:bCs/>
          <w:lang w:val="fr-CH"/>
        </w:rPr>
        <w:t xml:space="preserve"> sept réunions</w:t>
      </w:r>
      <w:r w:rsidR="00E41FB9">
        <w:rPr>
          <w:bCs/>
          <w:lang w:val="fr-CH"/>
        </w:rPr>
        <w:t xml:space="preserve"> (une</w:t>
      </w:r>
      <w:r w:rsidR="000816E7">
        <w:rPr>
          <w:bCs/>
          <w:lang w:val="fr-CH"/>
        </w:rPr>
        <w:t> </w:t>
      </w:r>
      <w:r w:rsidR="00E41FB9">
        <w:rPr>
          <w:bCs/>
          <w:lang w:val="fr-CH"/>
        </w:rPr>
        <w:t>réunion du GEST, cinq réunions régionales pré</w:t>
      </w:r>
      <w:r w:rsidR="00E41FB9">
        <w:rPr>
          <w:bCs/>
          <w:lang w:val="fr-CH"/>
        </w:rPr>
        <w:noBreakHyphen/>
        <w:t xml:space="preserve">COP et une réunion du Comité permanent) en 2021 avant la COP14 (et la COP14 la même année) </w:t>
      </w:r>
      <w:r w:rsidR="004B135B">
        <w:rPr>
          <w:bCs/>
          <w:lang w:val="fr-CH"/>
        </w:rPr>
        <w:t xml:space="preserve">dans le </w:t>
      </w:r>
      <w:r w:rsidR="00936AC6">
        <w:rPr>
          <w:lang w:val="fr-CH"/>
        </w:rPr>
        <w:t>contexte actuel de la pandémie de COVID</w:t>
      </w:r>
      <w:r w:rsidR="00936AC6">
        <w:rPr>
          <w:lang w:val="fr-CH"/>
        </w:rPr>
        <w:noBreakHyphen/>
        <w:t>19 et des difficultés de voyager qui en découlent, ainsi que du calendrier chargé des réunions</w:t>
      </w:r>
      <w:r w:rsidR="001F5359">
        <w:rPr>
          <w:lang w:val="fr-CH"/>
        </w:rPr>
        <w:t>. Il a noté en outre qu’aucune résolution ne rend obligatoires les réunions régionales pré</w:t>
      </w:r>
      <w:r w:rsidR="001F5359">
        <w:rPr>
          <w:lang w:val="fr-CH"/>
        </w:rPr>
        <w:noBreakHyphen/>
        <w:t>COP et que celles</w:t>
      </w:r>
      <w:r w:rsidR="001F5359">
        <w:rPr>
          <w:lang w:val="fr-CH"/>
        </w:rPr>
        <w:noBreakHyphen/>
        <w:t>ci ne sont pas mentionnées dans le règlement intérieur. Il a enfin souligné la difficulté de trouver un appui financier pour ces réunions.</w:t>
      </w:r>
      <w:r w:rsidR="00F13140" w:rsidRPr="008C115E">
        <w:rPr>
          <w:lang w:val="fr-CH"/>
        </w:rPr>
        <w:t xml:space="preserve"> </w:t>
      </w:r>
    </w:p>
    <w:p w14:paraId="5FB402DD" w14:textId="77777777" w:rsidR="002F4CE2" w:rsidRPr="008C115E" w:rsidRDefault="002F4CE2" w:rsidP="002F4CE2">
      <w:pPr>
        <w:spacing w:after="0" w:line="240" w:lineRule="auto"/>
        <w:ind w:left="567" w:hanging="567"/>
        <w:rPr>
          <w:bCs/>
          <w:lang w:val="fr-CH"/>
        </w:rPr>
      </w:pPr>
    </w:p>
    <w:p w14:paraId="17DEBF50" w14:textId="37866ED6" w:rsidR="002F4CE2" w:rsidRPr="008C115E" w:rsidRDefault="002F4CE2" w:rsidP="002F4CE2">
      <w:pPr>
        <w:spacing w:after="0" w:line="240" w:lineRule="auto"/>
        <w:ind w:left="567" w:hanging="567"/>
        <w:rPr>
          <w:bCs/>
          <w:lang w:val="fr-CH"/>
        </w:rPr>
      </w:pPr>
      <w:r w:rsidRPr="008C115E">
        <w:rPr>
          <w:bCs/>
          <w:lang w:val="fr-CH"/>
        </w:rPr>
        <w:t>9.</w:t>
      </w:r>
      <w:r w:rsidRPr="008C115E">
        <w:rPr>
          <w:bCs/>
          <w:lang w:val="fr-CH"/>
        </w:rPr>
        <w:tab/>
      </w:r>
      <w:r w:rsidR="001F5359">
        <w:rPr>
          <w:bCs/>
          <w:lang w:val="fr-CH"/>
        </w:rPr>
        <w:t xml:space="preserve">Dans la discussion, plusieurs Parties contractantes expriment l’importance des réunions régionales qui permettent des débats </w:t>
      </w:r>
      <w:r w:rsidR="00CB15CB">
        <w:rPr>
          <w:bCs/>
          <w:lang w:val="fr-CH"/>
        </w:rPr>
        <w:t>utiles</w:t>
      </w:r>
      <w:r w:rsidR="001F5359">
        <w:rPr>
          <w:bCs/>
          <w:lang w:val="fr-CH"/>
        </w:rPr>
        <w:t xml:space="preserve"> sur l’ordre du jour proposé pour la COP à venir. D’autres </w:t>
      </w:r>
      <w:r w:rsidR="00CB15CB">
        <w:rPr>
          <w:bCs/>
          <w:lang w:val="fr-CH"/>
        </w:rPr>
        <w:t>recommandent d’organiser</w:t>
      </w:r>
      <w:r w:rsidR="001F5359">
        <w:rPr>
          <w:bCs/>
          <w:lang w:val="fr-CH"/>
        </w:rPr>
        <w:t xml:space="preserve"> des réunions virtuelles avant la COP14 comme moyen productif de progresser.</w:t>
      </w:r>
      <w:r w:rsidRPr="008C115E">
        <w:rPr>
          <w:bCs/>
          <w:lang w:val="fr-CH"/>
        </w:rPr>
        <w:t xml:space="preserve"> </w:t>
      </w:r>
    </w:p>
    <w:p w14:paraId="575E3089" w14:textId="77777777" w:rsidR="002F4CE2" w:rsidRPr="008C115E" w:rsidRDefault="002F4CE2" w:rsidP="002F4CE2">
      <w:pPr>
        <w:spacing w:after="0" w:line="240" w:lineRule="auto"/>
        <w:ind w:left="567" w:hanging="567"/>
        <w:rPr>
          <w:bCs/>
          <w:lang w:val="fr-CH"/>
        </w:rPr>
      </w:pPr>
    </w:p>
    <w:p w14:paraId="5378D4C1" w14:textId="43F811AF" w:rsidR="002F4CE2" w:rsidRPr="008C115E" w:rsidRDefault="002F4CE2" w:rsidP="002F4CE2">
      <w:pPr>
        <w:spacing w:after="0" w:line="240" w:lineRule="auto"/>
        <w:ind w:left="567" w:hanging="567"/>
        <w:rPr>
          <w:bCs/>
          <w:lang w:val="fr-CH"/>
        </w:rPr>
      </w:pPr>
      <w:r w:rsidRPr="008C115E">
        <w:rPr>
          <w:bCs/>
          <w:lang w:val="fr-CH"/>
        </w:rPr>
        <w:t>10.</w:t>
      </w:r>
      <w:r w:rsidRPr="008C115E">
        <w:rPr>
          <w:bCs/>
          <w:lang w:val="fr-CH"/>
        </w:rPr>
        <w:tab/>
      </w:r>
      <w:r w:rsidR="001F5359">
        <w:rPr>
          <w:bCs/>
          <w:lang w:val="fr-CH"/>
        </w:rPr>
        <w:t>Le</w:t>
      </w:r>
      <w:r w:rsidRPr="008C115E">
        <w:rPr>
          <w:bCs/>
          <w:lang w:val="fr-CH"/>
        </w:rPr>
        <w:t xml:space="preserve"> </w:t>
      </w:r>
      <w:r w:rsidR="001F5359">
        <w:rPr>
          <w:b/>
          <w:bCs/>
          <w:lang w:val="fr-CH"/>
        </w:rPr>
        <w:t>pays hôte de la</w:t>
      </w:r>
      <w:r w:rsidRPr="008C115E">
        <w:rPr>
          <w:b/>
          <w:bCs/>
          <w:lang w:val="fr-CH"/>
        </w:rPr>
        <w:t xml:space="preserve"> COP14</w:t>
      </w:r>
      <w:r w:rsidRPr="008C115E">
        <w:rPr>
          <w:bCs/>
          <w:lang w:val="fr-CH"/>
        </w:rPr>
        <w:t xml:space="preserve"> (</w:t>
      </w:r>
      <w:r w:rsidRPr="008C115E">
        <w:rPr>
          <w:b/>
          <w:bCs/>
          <w:lang w:val="fr-CH"/>
        </w:rPr>
        <w:t>Chin</w:t>
      </w:r>
      <w:r w:rsidR="001F5359">
        <w:rPr>
          <w:b/>
          <w:bCs/>
          <w:lang w:val="fr-CH"/>
        </w:rPr>
        <w:t>e</w:t>
      </w:r>
      <w:r w:rsidRPr="008C115E">
        <w:rPr>
          <w:bCs/>
          <w:lang w:val="fr-CH"/>
        </w:rPr>
        <w:t>) note</w:t>
      </w:r>
      <w:r w:rsidR="001F5359">
        <w:rPr>
          <w:bCs/>
          <w:lang w:val="fr-CH"/>
        </w:rPr>
        <w:t xml:space="preserve"> qu’organiser deux jours supplémentaires de réunions </w:t>
      </w:r>
      <w:r w:rsidR="00CB15CB">
        <w:rPr>
          <w:bCs/>
          <w:lang w:val="fr-CH"/>
        </w:rPr>
        <w:t>n’était</w:t>
      </w:r>
      <w:r w:rsidR="001F5359">
        <w:rPr>
          <w:bCs/>
          <w:lang w:val="fr-CH"/>
        </w:rPr>
        <w:t xml:space="preserve"> pas prévu à l’origine et que des consultations </w:t>
      </w:r>
      <w:r w:rsidR="00CB15CB">
        <w:rPr>
          <w:bCs/>
          <w:lang w:val="fr-CH"/>
        </w:rPr>
        <w:t>doivent</w:t>
      </w:r>
      <w:r w:rsidR="001F5359">
        <w:rPr>
          <w:bCs/>
          <w:lang w:val="fr-CH"/>
        </w:rPr>
        <w:t xml:space="preserve"> avoir lieu au sein du gouvernement hôte avant qu’un engagement définitif puisse être pris. </w:t>
      </w:r>
      <w:r w:rsidRPr="008C115E">
        <w:rPr>
          <w:bCs/>
          <w:lang w:val="fr-CH"/>
        </w:rPr>
        <w:t xml:space="preserve">  </w:t>
      </w:r>
    </w:p>
    <w:p w14:paraId="5D86D9E9" w14:textId="77777777" w:rsidR="002F4CE2" w:rsidRPr="008C115E" w:rsidRDefault="002F4CE2" w:rsidP="002F4CE2">
      <w:pPr>
        <w:spacing w:after="0" w:line="240" w:lineRule="auto"/>
        <w:ind w:left="567" w:hanging="567"/>
        <w:rPr>
          <w:bCs/>
          <w:lang w:val="fr-CH"/>
        </w:rPr>
      </w:pPr>
    </w:p>
    <w:p w14:paraId="1962ABC5" w14:textId="7ED7DDEF" w:rsidR="002F4CE2" w:rsidRPr="008C115E" w:rsidRDefault="002F4CE2" w:rsidP="002F4CE2">
      <w:pPr>
        <w:spacing w:after="0" w:line="240" w:lineRule="auto"/>
        <w:ind w:left="567" w:hanging="567"/>
        <w:rPr>
          <w:bCs/>
          <w:lang w:val="fr-CH"/>
        </w:rPr>
      </w:pPr>
      <w:r w:rsidRPr="008C115E">
        <w:rPr>
          <w:bCs/>
          <w:lang w:val="fr-CH"/>
        </w:rPr>
        <w:t>11.</w:t>
      </w:r>
      <w:r w:rsidRPr="008C115E">
        <w:rPr>
          <w:bCs/>
          <w:lang w:val="fr-CH"/>
        </w:rPr>
        <w:tab/>
      </w:r>
      <w:r w:rsidR="001F5359">
        <w:rPr>
          <w:bCs/>
          <w:lang w:val="fr-CH"/>
        </w:rPr>
        <w:t>L’</w:t>
      </w:r>
      <w:r w:rsidR="001F5359">
        <w:rPr>
          <w:b/>
          <w:bCs/>
          <w:lang w:val="fr-CH"/>
        </w:rPr>
        <w:t>Arménie</w:t>
      </w:r>
      <w:r w:rsidR="001F5359" w:rsidRPr="001F5359">
        <w:rPr>
          <w:bCs/>
          <w:lang w:val="fr-CH"/>
        </w:rPr>
        <w:t>,</w:t>
      </w:r>
      <w:r w:rsidR="001F5359">
        <w:rPr>
          <w:b/>
          <w:bCs/>
          <w:lang w:val="fr-CH"/>
        </w:rPr>
        <w:t xml:space="preserve"> </w:t>
      </w:r>
      <w:r w:rsidR="001F5359" w:rsidRPr="001F5359">
        <w:rPr>
          <w:bCs/>
          <w:lang w:val="fr-CH"/>
        </w:rPr>
        <w:t>la</w:t>
      </w:r>
      <w:r w:rsidR="001F5359">
        <w:rPr>
          <w:b/>
          <w:bCs/>
          <w:lang w:val="fr-CH"/>
        </w:rPr>
        <w:t xml:space="preserve"> Chine</w:t>
      </w:r>
      <w:r w:rsidR="001F5359" w:rsidRPr="001F5359">
        <w:rPr>
          <w:bCs/>
          <w:lang w:val="fr-CH"/>
        </w:rPr>
        <w:t>,</w:t>
      </w:r>
      <w:r w:rsidR="001F5359">
        <w:rPr>
          <w:b/>
          <w:bCs/>
          <w:lang w:val="fr-CH"/>
        </w:rPr>
        <w:t xml:space="preserve"> </w:t>
      </w:r>
      <w:r w:rsidR="001F5359" w:rsidRPr="001F5359">
        <w:rPr>
          <w:bCs/>
          <w:lang w:val="fr-CH"/>
        </w:rPr>
        <w:t>le</w:t>
      </w:r>
      <w:r w:rsidR="001F5359">
        <w:rPr>
          <w:b/>
          <w:bCs/>
          <w:lang w:val="fr-CH"/>
        </w:rPr>
        <w:t xml:space="preserve"> </w:t>
      </w:r>
      <w:r w:rsidRPr="008C115E">
        <w:rPr>
          <w:b/>
          <w:bCs/>
          <w:lang w:val="fr-CH"/>
        </w:rPr>
        <w:t>Costa Rica</w:t>
      </w:r>
      <w:r w:rsidRPr="008C115E">
        <w:rPr>
          <w:bCs/>
          <w:lang w:val="fr-CH"/>
        </w:rPr>
        <w:t xml:space="preserve">, </w:t>
      </w:r>
      <w:r w:rsidR="001F5359">
        <w:rPr>
          <w:bCs/>
          <w:lang w:val="fr-CH"/>
        </w:rPr>
        <w:t xml:space="preserve">les </w:t>
      </w:r>
      <w:r w:rsidR="001F5359" w:rsidRPr="001F5359">
        <w:rPr>
          <w:b/>
          <w:bCs/>
          <w:lang w:val="fr-CH"/>
        </w:rPr>
        <w:t>États</w:t>
      </w:r>
      <w:r w:rsidR="001F5359" w:rsidRPr="001F5359">
        <w:rPr>
          <w:b/>
          <w:bCs/>
          <w:lang w:val="fr-CH"/>
        </w:rPr>
        <w:noBreakHyphen/>
        <w:t>Unis d’Amérique</w:t>
      </w:r>
      <w:r w:rsidR="001F5359">
        <w:rPr>
          <w:bCs/>
          <w:lang w:val="fr-CH"/>
        </w:rPr>
        <w:t xml:space="preserve">, le </w:t>
      </w:r>
      <w:r w:rsidRPr="008C115E">
        <w:rPr>
          <w:b/>
          <w:bCs/>
          <w:lang w:val="fr-CH"/>
        </w:rPr>
        <w:t>Mexi</w:t>
      </w:r>
      <w:r w:rsidR="001F5359">
        <w:rPr>
          <w:b/>
          <w:bCs/>
          <w:lang w:val="fr-CH"/>
        </w:rPr>
        <w:t>que</w:t>
      </w:r>
      <w:r w:rsidRPr="008C115E">
        <w:rPr>
          <w:bCs/>
          <w:lang w:val="fr-CH"/>
        </w:rPr>
        <w:t xml:space="preserve">, </w:t>
      </w:r>
      <w:r w:rsidR="001F5359">
        <w:rPr>
          <w:bCs/>
          <w:lang w:val="fr-CH"/>
        </w:rPr>
        <w:t xml:space="preserve">la </w:t>
      </w:r>
      <w:r w:rsidRPr="008C115E">
        <w:rPr>
          <w:b/>
          <w:bCs/>
          <w:lang w:val="fr-CH"/>
        </w:rPr>
        <w:t>S</w:t>
      </w:r>
      <w:r w:rsidR="001F5359">
        <w:rPr>
          <w:b/>
          <w:bCs/>
          <w:lang w:val="fr-CH"/>
        </w:rPr>
        <w:t>uède</w:t>
      </w:r>
      <w:r w:rsidRPr="008C115E">
        <w:rPr>
          <w:bCs/>
          <w:lang w:val="fr-CH"/>
        </w:rPr>
        <w:t xml:space="preserve">, </w:t>
      </w:r>
      <w:r w:rsidR="001F5359">
        <w:rPr>
          <w:bCs/>
          <w:lang w:val="fr-CH"/>
        </w:rPr>
        <w:t xml:space="preserve">la </w:t>
      </w:r>
      <w:r w:rsidR="001F5359" w:rsidRPr="001F5359">
        <w:rPr>
          <w:b/>
          <w:bCs/>
          <w:lang w:val="fr-CH"/>
        </w:rPr>
        <w:t>Suisse</w:t>
      </w:r>
      <w:r w:rsidR="001F5359">
        <w:rPr>
          <w:bCs/>
          <w:lang w:val="fr-CH"/>
        </w:rPr>
        <w:t xml:space="preserve"> et l’</w:t>
      </w:r>
      <w:r w:rsidR="001F5359" w:rsidRPr="001F5359">
        <w:rPr>
          <w:b/>
          <w:bCs/>
          <w:lang w:val="fr-CH"/>
        </w:rPr>
        <w:t>Uruguay</w:t>
      </w:r>
      <w:r w:rsidR="001F5359">
        <w:rPr>
          <w:bCs/>
          <w:lang w:val="fr-CH"/>
        </w:rPr>
        <w:t xml:space="preserve"> interviennent dans la discussion. </w:t>
      </w:r>
    </w:p>
    <w:p w14:paraId="6DC8A917" w14:textId="2E629D77" w:rsidR="002F4CE2" w:rsidRDefault="002F4CE2" w:rsidP="003768F4">
      <w:pPr>
        <w:autoSpaceDE w:val="0"/>
        <w:autoSpaceDN w:val="0"/>
        <w:adjustRightInd w:val="0"/>
        <w:spacing w:after="0" w:line="240" w:lineRule="auto"/>
        <w:rPr>
          <w:rFonts w:cstheme="minorHAnsi"/>
          <w:b/>
          <w:lang w:val="fr-FR"/>
        </w:rPr>
      </w:pPr>
    </w:p>
    <w:p w14:paraId="183FBB4B" w14:textId="015F0AFD" w:rsidR="00E37D35" w:rsidRDefault="00E37D35" w:rsidP="003768F4">
      <w:pPr>
        <w:autoSpaceDE w:val="0"/>
        <w:autoSpaceDN w:val="0"/>
        <w:adjustRightInd w:val="0"/>
        <w:spacing w:after="0" w:line="240" w:lineRule="auto"/>
        <w:rPr>
          <w:rFonts w:cstheme="minorHAnsi"/>
          <w:b/>
          <w:lang w:val="fr-FR"/>
        </w:rPr>
      </w:pPr>
      <w:r>
        <w:rPr>
          <w:rFonts w:cstheme="minorHAnsi"/>
          <w:b/>
          <w:lang w:val="fr-FR"/>
        </w:rPr>
        <w:t>Décision SC58-08 : Le Comité permanent prend note du rapport du Comité Exécutif</w:t>
      </w:r>
      <w:r w:rsidR="00466758">
        <w:rPr>
          <w:rFonts w:cstheme="minorHAnsi"/>
          <w:b/>
          <w:lang w:val="fr-FR"/>
        </w:rPr>
        <w:t>.</w:t>
      </w:r>
    </w:p>
    <w:p w14:paraId="2003264F" w14:textId="77777777" w:rsidR="00E37D35" w:rsidRPr="00653D89" w:rsidRDefault="00E37D35" w:rsidP="003768F4">
      <w:pPr>
        <w:autoSpaceDE w:val="0"/>
        <w:autoSpaceDN w:val="0"/>
        <w:adjustRightInd w:val="0"/>
        <w:spacing w:after="0" w:line="240" w:lineRule="auto"/>
        <w:rPr>
          <w:rFonts w:cstheme="minorHAnsi"/>
          <w:b/>
          <w:lang w:val="fr-FR"/>
        </w:rPr>
      </w:pPr>
    </w:p>
    <w:p w14:paraId="1BD41C3D" w14:textId="3B7C6605" w:rsidR="003768F4" w:rsidRPr="001F5359" w:rsidRDefault="003768F4" w:rsidP="003768F4">
      <w:pPr>
        <w:autoSpaceDE w:val="0"/>
        <w:autoSpaceDN w:val="0"/>
        <w:adjustRightInd w:val="0"/>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Pr="001F5359">
        <w:rPr>
          <w:rFonts w:cstheme="minorHAnsi"/>
          <w:b/>
          <w:lang w:val="fr-CH"/>
        </w:rPr>
        <w:t>cision SC2</w:t>
      </w:r>
      <w:r w:rsidR="00E37D35">
        <w:rPr>
          <w:rFonts w:cstheme="minorHAnsi"/>
          <w:b/>
          <w:lang w:val="fr-CH"/>
        </w:rPr>
        <w:t>58</w:t>
      </w:r>
      <w:r w:rsidRPr="001F5359">
        <w:rPr>
          <w:rFonts w:cstheme="minorHAnsi"/>
          <w:b/>
          <w:lang w:val="fr-CH"/>
        </w:rPr>
        <w:t>-</w:t>
      </w:r>
      <w:r w:rsidR="001A123C" w:rsidRPr="001F5359">
        <w:rPr>
          <w:rFonts w:cstheme="minorHAnsi"/>
          <w:b/>
          <w:lang w:val="fr-CH"/>
        </w:rPr>
        <w:t>0</w:t>
      </w:r>
      <w:r w:rsidR="00E37D35">
        <w:rPr>
          <w:rFonts w:cstheme="minorHAnsi"/>
          <w:b/>
          <w:lang w:val="fr-CH"/>
        </w:rPr>
        <w:t>9</w:t>
      </w:r>
      <w:r w:rsidR="000832E2" w:rsidRPr="001F5359">
        <w:rPr>
          <w:rFonts w:cstheme="minorHAnsi"/>
          <w:b/>
          <w:lang w:val="fr-CH"/>
        </w:rPr>
        <w:t xml:space="preserve"> </w:t>
      </w:r>
      <w:r w:rsidRPr="001F5359">
        <w:rPr>
          <w:rFonts w:cstheme="minorHAnsi"/>
          <w:b/>
          <w:lang w:val="fr-CH"/>
        </w:rPr>
        <w:t xml:space="preserve">: </w:t>
      </w:r>
      <w:r w:rsidR="000832E2" w:rsidRPr="001F5359">
        <w:rPr>
          <w:rFonts w:cstheme="minorHAnsi"/>
          <w:b/>
          <w:lang w:val="fr-CH"/>
        </w:rPr>
        <w:t xml:space="preserve">Le Comité permanent </w:t>
      </w:r>
      <w:r w:rsidR="0058663D">
        <w:rPr>
          <w:rFonts w:cstheme="minorHAnsi"/>
          <w:b/>
          <w:lang w:val="fr-CH"/>
        </w:rPr>
        <w:t>décide que deux jours de réunions régionales pré</w:t>
      </w:r>
      <w:r w:rsidR="0058663D">
        <w:rPr>
          <w:rFonts w:cstheme="minorHAnsi"/>
          <w:b/>
          <w:lang w:val="fr-CH"/>
        </w:rPr>
        <w:noBreakHyphen/>
        <w:t xml:space="preserve">COP devraient avoir lieu, si possible, immédiatement avant la </w:t>
      </w:r>
      <w:r w:rsidRPr="001F5359">
        <w:rPr>
          <w:rFonts w:eastAsiaTheme="minorHAnsi" w:cs="Calibri"/>
          <w:b/>
          <w:color w:val="000000"/>
          <w:lang w:val="fr-CH"/>
        </w:rPr>
        <w:t xml:space="preserve">COP14, </w:t>
      </w:r>
      <w:r w:rsidR="0058663D">
        <w:rPr>
          <w:rFonts w:eastAsiaTheme="minorHAnsi" w:cs="Calibri"/>
          <w:b/>
          <w:color w:val="000000"/>
          <w:lang w:val="fr-CH"/>
        </w:rPr>
        <w:t xml:space="preserve">sur le même lieu que la </w:t>
      </w:r>
      <w:r w:rsidRPr="001F5359">
        <w:rPr>
          <w:rFonts w:eastAsiaTheme="minorHAnsi" w:cs="Calibri"/>
          <w:b/>
          <w:color w:val="000000"/>
          <w:lang w:val="fr-CH"/>
        </w:rPr>
        <w:t xml:space="preserve">COP14, </w:t>
      </w:r>
      <w:r w:rsidR="0058663D">
        <w:rPr>
          <w:rFonts w:eastAsiaTheme="minorHAnsi" w:cs="Calibri"/>
          <w:b/>
          <w:color w:val="000000"/>
          <w:lang w:val="fr-CH"/>
        </w:rPr>
        <w:t>et donne instruction au Secrétariat de discuter avec le pays hôte des dispositions nécessaires pour</w:t>
      </w:r>
      <w:r w:rsidR="00CB15CB">
        <w:rPr>
          <w:rFonts w:eastAsiaTheme="minorHAnsi" w:cs="Calibri"/>
          <w:b/>
          <w:color w:val="000000"/>
          <w:lang w:val="fr-CH"/>
        </w:rPr>
        <w:t xml:space="preserve"> organiser</w:t>
      </w:r>
      <w:r w:rsidR="0058663D">
        <w:rPr>
          <w:rFonts w:eastAsiaTheme="minorHAnsi" w:cs="Calibri"/>
          <w:b/>
          <w:color w:val="000000"/>
          <w:lang w:val="fr-CH"/>
        </w:rPr>
        <w:t xml:space="preserve"> deux jours de réunions pré</w:t>
      </w:r>
      <w:r w:rsidR="0058663D">
        <w:rPr>
          <w:rFonts w:eastAsiaTheme="minorHAnsi" w:cs="Calibri"/>
          <w:b/>
          <w:color w:val="000000"/>
          <w:lang w:val="fr-CH"/>
        </w:rPr>
        <w:noBreakHyphen/>
        <w:t xml:space="preserve">COP immédiatement avant la </w:t>
      </w:r>
      <w:r w:rsidRPr="001F5359">
        <w:rPr>
          <w:rFonts w:eastAsiaTheme="minorHAnsi" w:cs="Calibri"/>
          <w:b/>
          <w:color w:val="000000"/>
          <w:lang w:val="fr-CH"/>
        </w:rPr>
        <w:t>COP14.</w:t>
      </w:r>
    </w:p>
    <w:p w14:paraId="269733A2" w14:textId="18A484E4" w:rsidR="003768F4" w:rsidRPr="001F5359" w:rsidRDefault="003768F4" w:rsidP="003768F4">
      <w:pPr>
        <w:autoSpaceDE w:val="0"/>
        <w:autoSpaceDN w:val="0"/>
        <w:adjustRightInd w:val="0"/>
        <w:spacing w:after="0" w:line="240" w:lineRule="auto"/>
        <w:rPr>
          <w:rFonts w:eastAsiaTheme="minorHAnsi" w:cs="Calibri"/>
          <w:b/>
          <w:color w:val="000000"/>
          <w:lang w:val="fr-CH"/>
        </w:rPr>
      </w:pPr>
    </w:p>
    <w:p w14:paraId="7A8AED6D" w14:textId="0E742229" w:rsidR="003768F4" w:rsidRPr="001F5359" w:rsidRDefault="003768F4" w:rsidP="003768F4">
      <w:pPr>
        <w:autoSpaceDE w:val="0"/>
        <w:autoSpaceDN w:val="0"/>
        <w:adjustRightInd w:val="0"/>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Pr="001F5359">
        <w:rPr>
          <w:rFonts w:cstheme="minorHAnsi"/>
          <w:b/>
          <w:lang w:val="fr-CH"/>
        </w:rPr>
        <w:t>cision SC</w:t>
      </w:r>
      <w:r w:rsidR="00E37D35">
        <w:rPr>
          <w:rFonts w:cstheme="minorHAnsi"/>
          <w:b/>
          <w:lang w:val="fr-CH"/>
        </w:rPr>
        <w:t>58-10</w:t>
      </w:r>
      <w:r w:rsidR="000832E2" w:rsidRPr="001F5359">
        <w:rPr>
          <w:rFonts w:cstheme="minorHAnsi"/>
          <w:b/>
          <w:lang w:val="fr-CH"/>
        </w:rPr>
        <w:t xml:space="preserve"> </w:t>
      </w:r>
      <w:r w:rsidRPr="001F5359">
        <w:rPr>
          <w:rFonts w:cstheme="minorHAnsi"/>
          <w:b/>
          <w:lang w:val="fr-CH"/>
        </w:rPr>
        <w:t xml:space="preserve">: </w:t>
      </w:r>
      <w:r w:rsidR="000832E2" w:rsidRPr="001F5359">
        <w:rPr>
          <w:rFonts w:cstheme="minorHAnsi"/>
          <w:b/>
          <w:lang w:val="fr-CH"/>
        </w:rPr>
        <w:t xml:space="preserve">Le Comité permanent </w:t>
      </w:r>
      <w:r w:rsidR="0058663D">
        <w:rPr>
          <w:rFonts w:cstheme="minorHAnsi"/>
          <w:b/>
          <w:lang w:val="fr-CH"/>
        </w:rPr>
        <w:t xml:space="preserve">décide que les régions devraient tenir des réunions virtuelles avant la COP14, et donne instruction au Secrétariat de faciliter leur préparation et leur </w:t>
      </w:r>
      <w:r w:rsidR="004B135B">
        <w:rPr>
          <w:rFonts w:cstheme="minorHAnsi"/>
          <w:b/>
          <w:lang w:val="fr-CH"/>
        </w:rPr>
        <w:t xml:space="preserve">mise en œuvre </w:t>
      </w:r>
      <w:r w:rsidR="0058663D">
        <w:rPr>
          <w:rFonts w:cstheme="minorHAnsi"/>
          <w:b/>
          <w:lang w:val="fr-CH"/>
        </w:rPr>
        <w:t xml:space="preserve">avec l’appui et les conseils des représentants régionaux </w:t>
      </w:r>
      <w:r w:rsidR="009B23B0">
        <w:rPr>
          <w:rFonts w:cstheme="minorHAnsi"/>
          <w:b/>
          <w:lang w:val="fr-CH"/>
        </w:rPr>
        <w:t>des Parties contractantes membres du</w:t>
      </w:r>
      <w:r w:rsidR="0058663D">
        <w:rPr>
          <w:rFonts w:cstheme="minorHAnsi"/>
          <w:b/>
          <w:lang w:val="fr-CH"/>
        </w:rPr>
        <w:t xml:space="preserve"> Comité permanent.</w:t>
      </w:r>
    </w:p>
    <w:p w14:paraId="2F60BA12" w14:textId="0DFE2F8B" w:rsidR="002F4CE2" w:rsidRPr="001F5359" w:rsidRDefault="002F4CE2" w:rsidP="003768F4">
      <w:pPr>
        <w:autoSpaceDE w:val="0"/>
        <w:autoSpaceDN w:val="0"/>
        <w:adjustRightInd w:val="0"/>
        <w:spacing w:after="0" w:line="240" w:lineRule="auto"/>
        <w:rPr>
          <w:rFonts w:eastAsiaTheme="minorHAnsi" w:cs="Calibri"/>
          <w:b/>
          <w:color w:val="000000"/>
          <w:lang w:val="fr-CH"/>
        </w:rPr>
      </w:pPr>
    </w:p>
    <w:p w14:paraId="4C705A04" w14:textId="2836C893" w:rsidR="002F4CE2" w:rsidRPr="001F5359" w:rsidRDefault="0096152A" w:rsidP="002F4CE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1F5359">
        <w:rPr>
          <w:rFonts w:cstheme="minorHAnsi"/>
          <w:bCs/>
          <w:lang w:val="fr-CH"/>
        </w:rPr>
        <w:t>Point</w:t>
      </w:r>
      <w:r w:rsidR="002F4CE2" w:rsidRPr="001F5359">
        <w:rPr>
          <w:rFonts w:cstheme="minorHAnsi"/>
          <w:bCs/>
          <w:lang w:val="fr-CH"/>
        </w:rPr>
        <w:t xml:space="preserve"> 6</w:t>
      </w:r>
      <w:r w:rsidRPr="001F5359">
        <w:rPr>
          <w:rFonts w:cstheme="minorHAnsi"/>
          <w:bCs/>
          <w:lang w:val="fr-CH"/>
        </w:rPr>
        <w:t xml:space="preserve"> de l’ordre du jour </w:t>
      </w:r>
      <w:r w:rsidR="002F4CE2" w:rsidRPr="001F5359">
        <w:rPr>
          <w:rFonts w:cstheme="minorHAnsi"/>
          <w:bCs/>
          <w:lang w:val="fr-CH"/>
        </w:rPr>
        <w:t>: R</w:t>
      </w:r>
      <w:r w:rsidRPr="001F5359">
        <w:rPr>
          <w:rFonts w:cstheme="minorHAnsi"/>
          <w:bCs/>
          <w:lang w:val="fr-CH"/>
        </w:rPr>
        <w:t>ap</w:t>
      </w:r>
      <w:r w:rsidR="002F4CE2" w:rsidRPr="001F5359">
        <w:rPr>
          <w:rFonts w:cstheme="minorHAnsi"/>
          <w:bCs/>
          <w:lang w:val="fr-CH"/>
        </w:rPr>
        <w:t xml:space="preserve">port </w:t>
      </w:r>
      <w:r w:rsidRPr="001F5359">
        <w:rPr>
          <w:rFonts w:cstheme="minorHAnsi"/>
          <w:bCs/>
          <w:lang w:val="fr-CH"/>
        </w:rPr>
        <w:t>du</w:t>
      </w:r>
      <w:r w:rsidR="002F4CE2" w:rsidRPr="001F5359">
        <w:rPr>
          <w:rFonts w:cstheme="minorHAnsi"/>
          <w:bCs/>
          <w:lang w:val="fr-CH"/>
        </w:rPr>
        <w:t xml:space="preserve"> S</w:t>
      </w:r>
      <w:r w:rsidRPr="001F5359">
        <w:rPr>
          <w:rFonts w:cstheme="minorHAnsi"/>
          <w:bCs/>
          <w:lang w:val="fr-CH"/>
        </w:rPr>
        <w:t>ous-groupe sur la</w:t>
      </w:r>
      <w:r w:rsidR="002F4CE2" w:rsidRPr="001F5359">
        <w:rPr>
          <w:rFonts w:cstheme="minorHAnsi"/>
          <w:bCs/>
          <w:lang w:val="fr-CH"/>
        </w:rPr>
        <w:t xml:space="preserve"> COP14</w:t>
      </w:r>
    </w:p>
    <w:p w14:paraId="0D3A2752" w14:textId="77777777" w:rsidR="002F4CE2" w:rsidRPr="001F5359" w:rsidRDefault="002F4CE2" w:rsidP="002F4CE2">
      <w:pPr>
        <w:pStyle w:val="ListParagraph"/>
        <w:spacing w:after="0" w:line="240" w:lineRule="auto"/>
        <w:ind w:left="360"/>
        <w:rPr>
          <w:b/>
          <w:bCs/>
          <w:lang w:val="fr-CH"/>
        </w:rPr>
      </w:pPr>
    </w:p>
    <w:p w14:paraId="0B5EEB83" w14:textId="58E905C9" w:rsidR="00230BAA" w:rsidRPr="001F5359" w:rsidRDefault="00230BAA" w:rsidP="00230BAA">
      <w:pPr>
        <w:spacing w:after="0" w:line="240" w:lineRule="auto"/>
        <w:ind w:left="567" w:hanging="567"/>
        <w:rPr>
          <w:bCs/>
          <w:lang w:val="fr-CH"/>
        </w:rPr>
      </w:pPr>
      <w:r w:rsidRPr="001F5359">
        <w:rPr>
          <w:bCs/>
          <w:lang w:val="fr-CH"/>
        </w:rPr>
        <w:t>12.</w:t>
      </w:r>
      <w:r w:rsidRPr="001F5359">
        <w:rPr>
          <w:bCs/>
          <w:lang w:val="fr-CH"/>
        </w:rPr>
        <w:tab/>
      </w:r>
      <w:r w:rsidR="0058663D">
        <w:rPr>
          <w:bCs/>
          <w:lang w:val="fr-CH"/>
        </w:rPr>
        <w:t>Le</w:t>
      </w:r>
      <w:r w:rsidRPr="001F5359">
        <w:rPr>
          <w:bCs/>
          <w:lang w:val="fr-CH"/>
        </w:rPr>
        <w:t xml:space="preserve"> </w:t>
      </w:r>
      <w:r w:rsidR="0058663D">
        <w:rPr>
          <w:b/>
          <w:bCs/>
          <w:lang w:val="fr-CH"/>
        </w:rPr>
        <w:t xml:space="preserve">pays hôte de la </w:t>
      </w:r>
      <w:r w:rsidRPr="001F5359">
        <w:rPr>
          <w:b/>
          <w:bCs/>
          <w:lang w:val="fr-CH"/>
        </w:rPr>
        <w:t>COP14</w:t>
      </w:r>
      <w:r w:rsidR="0058663D">
        <w:rPr>
          <w:bCs/>
          <w:lang w:val="fr-CH"/>
        </w:rPr>
        <w:t xml:space="preserve"> présente une mise à jour verbale </w:t>
      </w:r>
      <w:r w:rsidR="00F90AA5">
        <w:rPr>
          <w:bCs/>
          <w:lang w:val="fr-CH"/>
        </w:rPr>
        <w:t>sur les</w:t>
      </w:r>
      <w:r w:rsidR="0058663D">
        <w:rPr>
          <w:bCs/>
          <w:lang w:val="fr-CH"/>
        </w:rPr>
        <w:t xml:space="preserve"> préparatifs à ce jour, notant </w:t>
      </w:r>
      <w:r w:rsidR="00FE1697">
        <w:rPr>
          <w:bCs/>
          <w:lang w:val="fr-CH"/>
        </w:rPr>
        <w:t>que le Sous-groupe a discuté d</w:t>
      </w:r>
      <w:r w:rsidR="0058663D">
        <w:rPr>
          <w:bCs/>
          <w:lang w:val="fr-CH"/>
        </w:rPr>
        <w:t xml:space="preserve">’un calendrier </w:t>
      </w:r>
      <w:r w:rsidR="003E3DC0">
        <w:rPr>
          <w:bCs/>
          <w:lang w:val="fr-CH"/>
        </w:rPr>
        <w:t xml:space="preserve">et d’un lieu </w:t>
      </w:r>
      <w:r w:rsidR="0058663D">
        <w:rPr>
          <w:bCs/>
          <w:lang w:val="fr-CH"/>
        </w:rPr>
        <w:t>provisoire</w:t>
      </w:r>
      <w:r w:rsidR="00F90AA5">
        <w:rPr>
          <w:bCs/>
          <w:lang w:val="fr-CH"/>
        </w:rPr>
        <w:t>,</w:t>
      </w:r>
      <w:r w:rsidR="0058663D">
        <w:rPr>
          <w:bCs/>
          <w:lang w:val="fr-CH"/>
        </w:rPr>
        <w:t xml:space="preserve"> </w:t>
      </w:r>
      <w:r w:rsidR="00F90AA5">
        <w:rPr>
          <w:bCs/>
          <w:lang w:val="fr-CH"/>
        </w:rPr>
        <w:t>ainsi que</w:t>
      </w:r>
      <w:r w:rsidR="0079414D">
        <w:rPr>
          <w:bCs/>
          <w:lang w:val="fr-CH"/>
        </w:rPr>
        <w:t xml:space="preserve"> </w:t>
      </w:r>
      <w:r w:rsidR="00F90AA5">
        <w:rPr>
          <w:bCs/>
          <w:lang w:val="fr-CH"/>
        </w:rPr>
        <w:t>d</w:t>
      </w:r>
      <w:r w:rsidR="0079414D">
        <w:rPr>
          <w:bCs/>
          <w:lang w:val="fr-CH"/>
        </w:rPr>
        <w:t>es thèmes provisoires pour la COP14 et pour le 50</w:t>
      </w:r>
      <w:r w:rsidR="0079414D" w:rsidRPr="0079414D">
        <w:rPr>
          <w:bCs/>
          <w:vertAlign w:val="superscript"/>
          <w:lang w:val="fr-CH"/>
        </w:rPr>
        <w:t>e</w:t>
      </w:r>
      <w:r w:rsidR="0079414D">
        <w:rPr>
          <w:bCs/>
          <w:lang w:val="fr-CH"/>
        </w:rPr>
        <w:t xml:space="preserve"> anniversaire de la Convention qui </w:t>
      </w:r>
      <w:r w:rsidR="00F90AA5">
        <w:rPr>
          <w:bCs/>
          <w:lang w:val="fr-CH"/>
        </w:rPr>
        <w:t>sera célébré</w:t>
      </w:r>
      <w:r w:rsidR="0079414D">
        <w:rPr>
          <w:bCs/>
          <w:lang w:val="fr-CH"/>
        </w:rPr>
        <w:t xml:space="preserve"> en 2021. Différentes propositions </w:t>
      </w:r>
      <w:r w:rsidR="00F90AA5">
        <w:rPr>
          <w:bCs/>
          <w:lang w:val="fr-CH"/>
        </w:rPr>
        <w:t>pour la</w:t>
      </w:r>
      <w:r w:rsidR="0079414D">
        <w:rPr>
          <w:bCs/>
          <w:lang w:val="fr-CH"/>
        </w:rPr>
        <w:t xml:space="preserve"> célébration de l’anniversaire à l’occasion de la COP sont à l’examen, </w:t>
      </w:r>
      <w:r w:rsidR="00F90AA5">
        <w:rPr>
          <w:bCs/>
          <w:lang w:val="fr-CH"/>
        </w:rPr>
        <w:t>notamment</w:t>
      </w:r>
      <w:r w:rsidR="0079414D">
        <w:rPr>
          <w:bCs/>
          <w:lang w:val="fr-CH"/>
        </w:rPr>
        <w:t xml:space="preserve"> une exposition, une réunion de haut niveau et un dîner, une déclaration non contraignante et la création d’un parc du mémorial des zones humides. Un thème spécifique pour la COP14 : « </w:t>
      </w:r>
      <w:r w:rsidR="00F90AA5">
        <w:rPr>
          <w:bCs/>
          <w:lang w:val="fr-CH"/>
        </w:rPr>
        <w:t>Agir</w:t>
      </w:r>
      <w:r w:rsidR="0079414D">
        <w:rPr>
          <w:bCs/>
          <w:lang w:val="fr-CH"/>
        </w:rPr>
        <w:t xml:space="preserve"> pour les zones humides</w:t>
      </w:r>
      <w:r w:rsidR="00F90AA5">
        <w:rPr>
          <w:bCs/>
          <w:lang w:val="fr-CH"/>
        </w:rPr>
        <w:t>, c’est agir</w:t>
      </w:r>
      <w:r w:rsidR="0079414D">
        <w:rPr>
          <w:bCs/>
          <w:lang w:val="fr-CH"/>
        </w:rPr>
        <w:t xml:space="preserve"> pour l’homme et la </w:t>
      </w:r>
      <w:r w:rsidR="0079414D">
        <w:rPr>
          <w:bCs/>
          <w:lang w:val="fr-CH"/>
        </w:rPr>
        <w:lastRenderedPageBreak/>
        <w:t xml:space="preserve">nature » a été proposé pour </w:t>
      </w:r>
      <w:r w:rsidR="003E3DC0">
        <w:rPr>
          <w:bCs/>
          <w:lang w:val="fr-CH"/>
        </w:rPr>
        <w:t>aval</w:t>
      </w:r>
      <w:r w:rsidR="0079414D">
        <w:rPr>
          <w:bCs/>
          <w:lang w:val="fr-CH"/>
        </w:rPr>
        <w:t xml:space="preserve"> par le gouvernement hôte. Le Sous</w:t>
      </w:r>
      <w:r w:rsidR="0079414D">
        <w:rPr>
          <w:bCs/>
          <w:lang w:val="fr-CH"/>
        </w:rPr>
        <w:noBreakHyphen/>
        <w:t>groupe a discuté de moyens de garantir une conférence durable et a exprimé le vœu que celle</w:t>
      </w:r>
      <w:r w:rsidR="0079414D">
        <w:rPr>
          <w:bCs/>
          <w:lang w:val="fr-CH"/>
        </w:rPr>
        <w:noBreakHyphen/>
        <w:t xml:space="preserve">ci soit neutre en carbone. </w:t>
      </w:r>
    </w:p>
    <w:p w14:paraId="537DA6E1" w14:textId="77777777" w:rsidR="00230BAA" w:rsidRPr="001F5359" w:rsidRDefault="00230BAA" w:rsidP="00230BAA">
      <w:pPr>
        <w:spacing w:after="0" w:line="240" w:lineRule="auto"/>
        <w:ind w:left="567" w:hanging="567"/>
        <w:rPr>
          <w:bCs/>
          <w:lang w:val="fr-CH"/>
        </w:rPr>
      </w:pPr>
    </w:p>
    <w:p w14:paraId="1677D89D" w14:textId="1B5393C6" w:rsidR="00230BAA" w:rsidRPr="001F5359" w:rsidRDefault="003F10A4" w:rsidP="00230BAA">
      <w:pPr>
        <w:spacing w:after="0" w:line="240" w:lineRule="auto"/>
        <w:ind w:left="567" w:hanging="567"/>
        <w:rPr>
          <w:bCs/>
          <w:lang w:val="fr-CH"/>
        </w:rPr>
      </w:pPr>
      <w:r w:rsidRPr="001F5359">
        <w:rPr>
          <w:bCs/>
          <w:lang w:val="fr-CH"/>
        </w:rPr>
        <w:t>13.</w:t>
      </w:r>
      <w:r w:rsidRPr="001F5359">
        <w:rPr>
          <w:bCs/>
          <w:lang w:val="fr-CH"/>
        </w:rPr>
        <w:tab/>
      </w:r>
      <w:r w:rsidR="0079414D">
        <w:rPr>
          <w:bCs/>
          <w:lang w:val="fr-CH"/>
        </w:rPr>
        <w:t>Le</w:t>
      </w:r>
      <w:r w:rsidRPr="001F5359">
        <w:rPr>
          <w:bCs/>
          <w:lang w:val="fr-CH"/>
        </w:rPr>
        <w:t xml:space="preserve"> </w:t>
      </w:r>
      <w:r w:rsidR="0079414D">
        <w:rPr>
          <w:b/>
          <w:bCs/>
          <w:lang w:val="fr-CH"/>
        </w:rPr>
        <w:t>Secréta</w:t>
      </w:r>
      <w:r w:rsidR="003E3DC0">
        <w:rPr>
          <w:b/>
          <w:bCs/>
          <w:lang w:val="fr-CH"/>
        </w:rPr>
        <w:t>r</w:t>
      </w:r>
      <w:r w:rsidR="0079414D">
        <w:rPr>
          <w:b/>
          <w:bCs/>
          <w:lang w:val="fr-CH"/>
        </w:rPr>
        <w:t>i</w:t>
      </w:r>
      <w:r w:rsidR="003E3DC0">
        <w:rPr>
          <w:b/>
          <w:bCs/>
          <w:lang w:val="fr-CH"/>
        </w:rPr>
        <w:t>at</w:t>
      </w:r>
      <w:r w:rsidR="0079414D">
        <w:rPr>
          <w:b/>
          <w:bCs/>
          <w:lang w:val="fr-CH"/>
        </w:rPr>
        <w:t xml:space="preserve"> </w:t>
      </w:r>
      <w:r w:rsidR="00F90AA5">
        <w:rPr>
          <w:bCs/>
          <w:lang w:val="fr-CH"/>
        </w:rPr>
        <w:t>ajoute</w:t>
      </w:r>
      <w:r w:rsidR="0079414D">
        <w:rPr>
          <w:bCs/>
          <w:lang w:val="fr-CH"/>
        </w:rPr>
        <w:t>, concernant les thèmes généraux proposés pour le 50</w:t>
      </w:r>
      <w:r w:rsidR="0079414D" w:rsidRPr="0079414D">
        <w:rPr>
          <w:bCs/>
          <w:vertAlign w:val="superscript"/>
          <w:lang w:val="fr-CH"/>
        </w:rPr>
        <w:t>e</w:t>
      </w:r>
      <w:r w:rsidR="0079414D">
        <w:rPr>
          <w:bCs/>
          <w:lang w:val="fr-CH"/>
        </w:rPr>
        <w:t xml:space="preserve"> anniversaire de la Convention, </w:t>
      </w:r>
      <w:r w:rsidR="00F90AA5">
        <w:rPr>
          <w:bCs/>
          <w:lang w:val="fr-CH"/>
        </w:rPr>
        <w:t xml:space="preserve">que </w:t>
      </w:r>
      <w:r w:rsidR="0079414D">
        <w:rPr>
          <w:bCs/>
          <w:lang w:val="fr-CH"/>
        </w:rPr>
        <w:t xml:space="preserve">deux </w:t>
      </w:r>
      <w:r w:rsidR="00F90AA5">
        <w:rPr>
          <w:bCs/>
          <w:lang w:val="fr-CH"/>
        </w:rPr>
        <w:t xml:space="preserve">thèmes </w:t>
      </w:r>
      <w:r w:rsidR="0079414D">
        <w:rPr>
          <w:bCs/>
          <w:lang w:val="fr-CH"/>
        </w:rPr>
        <w:t>ont été sélectionnés pour plus amples discussions : « L</w:t>
      </w:r>
      <w:r w:rsidR="00A175D8">
        <w:rPr>
          <w:bCs/>
          <w:lang w:val="fr-CH"/>
        </w:rPr>
        <w:t>’importance des</w:t>
      </w:r>
      <w:r w:rsidR="0079414D">
        <w:rPr>
          <w:bCs/>
          <w:lang w:val="fr-CH"/>
        </w:rPr>
        <w:t xml:space="preserve"> zones humides</w:t>
      </w:r>
      <w:r w:rsidR="00A175D8">
        <w:rPr>
          <w:bCs/>
          <w:lang w:val="fr-CH"/>
        </w:rPr>
        <w:t xml:space="preserve"> </w:t>
      </w:r>
      <w:r w:rsidR="0079414D">
        <w:rPr>
          <w:bCs/>
          <w:lang w:val="fr-CH"/>
        </w:rPr>
        <w:t>» et « </w:t>
      </w:r>
      <w:r w:rsidR="00F90AA5">
        <w:rPr>
          <w:bCs/>
          <w:lang w:val="fr-CH"/>
        </w:rPr>
        <w:t>Les</w:t>
      </w:r>
      <w:r w:rsidR="0079414D">
        <w:rPr>
          <w:bCs/>
          <w:lang w:val="fr-CH"/>
        </w:rPr>
        <w:t xml:space="preserve"> zones humides</w:t>
      </w:r>
      <w:r w:rsidR="004B135B">
        <w:rPr>
          <w:bCs/>
          <w:lang w:val="fr-CH"/>
        </w:rPr>
        <w:t xml:space="preserve"> – </w:t>
      </w:r>
      <w:r w:rsidR="00660BC4">
        <w:rPr>
          <w:bCs/>
          <w:lang w:val="fr-CH"/>
        </w:rPr>
        <w:t>des</w:t>
      </w:r>
      <w:r w:rsidR="004B135B">
        <w:rPr>
          <w:bCs/>
          <w:lang w:val="fr-CH"/>
        </w:rPr>
        <w:t xml:space="preserve"> solution</w:t>
      </w:r>
      <w:r w:rsidR="00660BC4">
        <w:rPr>
          <w:bCs/>
          <w:lang w:val="fr-CH"/>
        </w:rPr>
        <w:t>s</w:t>
      </w:r>
      <w:r w:rsidR="004B135B">
        <w:rPr>
          <w:bCs/>
          <w:lang w:val="fr-CH"/>
        </w:rPr>
        <w:t xml:space="preserve"> multi</w:t>
      </w:r>
      <w:r w:rsidR="00660BC4">
        <w:rPr>
          <w:bCs/>
          <w:lang w:val="fr-CH"/>
        </w:rPr>
        <w:t>ples</w:t>
      </w:r>
      <w:r w:rsidR="0079414D">
        <w:rPr>
          <w:bCs/>
          <w:lang w:val="fr-CH"/>
        </w:rPr>
        <w:t xml:space="preserve"> ». Il s’agit là du résultat de discussions avec un professionnel de la communication et d’une recherche de marché </w:t>
      </w:r>
      <w:r w:rsidR="00F90AA5">
        <w:rPr>
          <w:bCs/>
          <w:lang w:val="fr-CH"/>
        </w:rPr>
        <w:t xml:space="preserve">sur </w:t>
      </w:r>
      <w:r w:rsidR="0079414D">
        <w:rPr>
          <w:bCs/>
          <w:lang w:val="fr-CH"/>
        </w:rPr>
        <w:t xml:space="preserve">la compréhension plus générale des questions relatives aux zones humides. Ces thèmes n’ont pas </w:t>
      </w:r>
      <w:r w:rsidR="00F90AA5">
        <w:rPr>
          <w:bCs/>
          <w:lang w:val="fr-CH"/>
        </w:rPr>
        <w:t>vocation à</w:t>
      </w:r>
      <w:r w:rsidR="0079414D">
        <w:rPr>
          <w:bCs/>
          <w:lang w:val="fr-CH"/>
        </w:rPr>
        <w:t xml:space="preserve"> être des slogans mais plutôt des </w:t>
      </w:r>
      <w:r w:rsidR="00F90AA5">
        <w:rPr>
          <w:bCs/>
          <w:lang w:val="fr-CH"/>
        </w:rPr>
        <w:t>« </w:t>
      </w:r>
      <w:r w:rsidR="0079414D">
        <w:rPr>
          <w:bCs/>
          <w:lang w:val="fr-CH"/>
        </w:rPr>
        <w:t>chapeaux</w:t>
      </w:r>
      <w:r w:rsidR="00F90AA5">
        <w:rPr>
          <w:bCs/>
          <w:lang w:val="fr-CH"/>
        </w:rPr>
        <w:t> »</w:t>
      </w:r>
      <w:r w:rsidR="0079414D">
        <w:rPr>
          <w:bCs/>
          <w:lang w:val="fr-CH"/>
        </w:rPr>
        <w:t xml:space="preserve"> qui pourraient être adaptés et appliqués dans différents contextes et permettre à toute une gamme </w:t>
      </w:r>
      <w:r w:rsidR="00F90AA5">
        <w:rPr>
          <w:bCs/>
          <w:lang w:val="fr-CH"/>
        </w:rPr>
        <w:t>de personnes</w:t>
      </w:r>
      <w:r w:rsidR="0079414D">
        <w:rPr>
          <w:bCs/>
          <w:lang w:val="fr-CH"/>
        </w:rPr>
        <w:t xml:space="preserve">, d’organisations et de pays d’adapter la campagne </w:t>
      </w:r>
      <w:r w:rsidR="00F90AA5">
        <w:rPr>
          <w:bCs/>
          <w:lang w:val="fr-CH"/>
        </w:rPr>
        <w:t>à la mesure de</w:t>
      </w:r>
      <w:r w:rsidR="0079414D">
        <w:rPr>
          <w:bCs/>
          <w:lang w:val="fr-CH"/>
        </w:rPr>
        <w:t xml:space="preserve"> leurs propres intérêts. Il </w:t>
      </w:r>
      <w:r w:rsidR="00F90AA5">
        <w:rPr>
          <w:bCs/>
          <w:lang w:val="fr-CH"/>
        </w:rPr>
        <w:t>est</w:t>
      </w:r>
      <w:r w:rsidR="0079414D">
        <w:rPr>
          <w:bCs/>
          <w:lang w:val="fr-CH"/>
        </w:rPr>
        <w:t xml:space="preserve"> également noté </w:t>
      </w:r>
      <w:r w:rsidR="000C3D1E">
        <w:rPr>
          <w:bCs/>
          <w:lang w:val="fr-CH"/>
        </w:rPr>
        <w:t xml:space="preserve">qu’il importe de trouver </w:t>
      </w:r>
      <w:r w:rsidR="0079414D">
        <w:rPr>
          <w:bCs/>
          <w:lang w:val="fr-CH"/>
        </w:rPr>
        <w:t xml:space="preserve">un langage </w:t>
      </w:r>
      <w:r w:rsidR="000C3D1E">
        <w:rPr>
          <w:bCs/>
          <w:lang w:val="fr-CH"/>
        </w:rPr>
        <w:t>traduisible en</w:t>
      </w:r>
      <w:r w:rsidR="0079414D">
        <w:rPr>
          <w:bCs/>
          <w:lang w:val="fr-CH"/>
        </w:rPr>
        <w:t xml:space="preserve"> </w:t>
      </w:r>
      <w:r w:rsidR="00230BAA" w:rsidRPr="001F5359">
        <w:rPr>
          <w:bCs/>
          <w:lang w:val="fr-CH"/>
        </w:rPr>
        <w:t>hashtags</w:t>
      </w:r>
      <w:r w:rsidR="000C0DF0" w:rsidRPr="001F5359">
        <w:rPr>
          <w:bCs/>
          <w:lang w:val="fr-CH"/>
        </w:rPr>
        <w:t xml:space="preserve"> </w:t>
      </w:r>
      <w:r w:rsidR="0079414D">
        <w:rPr>
          <w:bCs/>
          <w:lang w:val="fr-CH"/>
        </w:rPr>
        <w:t>simples car une bonne partie de l</w:t>
      </w:r>
      <w:r w:rsidR="000C3D1E">
        <w:rPr>
          <w:bCs/>
          <w:lang w:val="fr-CH"/>
        </w:rPr>
        <w:t>’</w:t>
      </w:r>
      <w:r w:rsidR="0079414D">
        <w:rPr>
          <w:bCs/>
          <w:lang w:val="fr-CH"/>
        </w:rPr>
        <w:t xml:space="preserve">impact </w:t>
      </w:r>
      <w:r w:rsidR="000C3D1E">
        <w:rPr>
          <w:bCs/>
          <w:lang w:val="fr-CH"/>
        </w:rPr>
        <w:t>se fera sur</w:t>
      </w:r>
      <w:r w:rsidR="0079414D">
        <w:rPr>
          <w:bCs/>
          <w:lang w:val="fr-CH"/>
        </w:rPr>
        <w:t xml:space="preserve"> les réseaux sociaux. </w:t>
      </w:r>
    </w:p>
    <w:p w14:paraId="0EBDAE78" w14:textId="77777777" w:rsidR="00230BAA" w:rsidRPr="001F5359" w:rsidRDefault="00230BAA" w:rsidP="00230BAA">
      <w:pPr>
        <w:spacing w:after="0" w:line="240" w:lineRule="auto"/>
        <w:ind w:left="567" w:hanging="567"/>
        <w:rPr>
          <w:bCs/>
          <w:lang w:val="fr-CH"/>
        </w:rPr>
      </w:pPr>
    </w:p>
    <w:p w14:paraId="1DDAE43F" w14:textId="2A6F5C17" w:rsidR="00230BAA" w:rsidRPr="001F5359" w:rsidRDefault="003F10A4" w:rsidP="00230BAA">
      <w:pPr>
        <w:spacing w:after="0" w:line="240" w:lineRule="auto"/>
        <w:ind w:left="567" w:hanging="567"/>
        <w:rPr>
          <w:bCs/>
          <w:lang w:val="fr-CH"/>
        </w:rPr>
      </w:pPr>
      <w:r w:rsidRPr="001F5359">
        <w:rPr>
          <w:bCs/>
          <w:lang w:val="fr-CH"/>
        </w:rPr>
        <w:t>14.</w:t>
      </w:r>
      <w:r w:rsidRPr="001F5359">
        <w:rPr>
          <w:bCs/>
          <w:lang w:val="fr-CH"/>
        </w:rPr>
        <w:tab/>
      </w:r>
      <w:r w:rsidR="002D340E">
        <w:rPr>
          <w:bCs/>
          <w:lang w:val="fr-CH"/>
        </w:rPr>
        <w:t xml:space="preserve">Dans la </w:t>
      </w:r>
      <w:r w:rsidR="00230BAA" w:rsidRPr="001F5359">
        <w:rPr>
          <w:bCs/>
          <w:lang w:val="fr-CH"/>
        </w:rPr>
        <w:t>discussion</w:t>
      </w:r>
      <w:r w:rsidR="002D340E">
        <w:rPr>
          <w:bCs/>
          <w:lang w:val="fr-CH"/>
        </w:rPr>
        <w:t xml:space="preserve">, plusieurs Parties contractantes notent que les thèmes ne </w:t>
      </w:r>
      <w:r w:rsidR="000C3D1E">
        <w:rPr>
          <w:bCs/>
          <w:lang w:val="fr-CH"/>
        </w:rPr>
        <w:t>sont</w:t>
      </w:r>
      <w:r w:rsidR="002D340E">
        <w:rPr>
          <w:bCs/>
          <w:lang w:val="fr-CH"/>
        </w:rPr>
        <w:t xml:space="preserve"> pas particulièrement </w:t>
      </w:r>
      <w:r w:rsidR="000C3D1E">
        <w:rPr>
          <w:bCs/>
          <w:lang w:val="fr-CH"/>
        </w:rPr>
        <w:t>parlants ou</w:t>
      </w:r>
      <w:r w:rsidR="002D340E">
        <w:rPr>
          <w:bCs/>
          <w:lang w:val="fr-CH"/>
        </w:rPr>
        <w:t xml:space="preserve"> « </w:t>
      </w:r>
      <w:r w:rsidR="000C3D1E">
        <w:rPr>
          <w:bCs/>
          <w:lang w:val="fr-CH"/>
        </w:rPr>
        <w:t>accrocheurs</w:t>
      </w:r>
      <w:r w:rsidR="002D340E">
        <w:rPr>
          <w:bCs/>
          <w:lang w:val="fr-CH"/>
        </w:rPr>
        <w:t xml:space="preserve"> », ce qui à leur avis pourrait </w:t>
      </w:r>
      <w:r w:rsidR="000C3D1E">
        <w:rPr>
          <w:bCs/>
          <w:lang w:val="fr-CH"/>
        </w:rPr>
        <w:t>diminuer</w:t>
      </w:r>
      <w:r w:rsidR="002D340E">
        <w:rPr>
          <w:bCs/>
          <w:lang w:val="fr-CH"/>
        </w:rPr>
        <w:t xml:space="preserve"> leur impact, mais </w:t>
      </w:r>
      <w:r w:rsidR="003E3DC0">
        <w:rPr>
          <w:bCs/>
          <w:lang w:val="fr-CH"/>
        </w:rPr>
        <w:t>d’autres</w:t>
      </w:r>
      <w:r w:rsidR="002D340E">
        <w:rPr>
          <w:bCs/>
          <w:lang w:val="fr-CH"/>
        </w:rPr>
        <w:t xml:space="preserve"> se </w:t>
      </w:r>
      <w:r w:rsidR="000C3D1E">
        <w:rPr>
          <w:bCs/>
          <w:lang w:val="fr-CH"/>
        </w:rPr>
        <w:t xml:space="preserve">déclarent satisfaites </w:t>
      </w:r>
      <w:r w:rsidR="003E3DC0">
        <w:rPr>
          <w:bCs/>
          <w:lang w:val="fr-CH"/>
        </w:rPr>
        <w:t xml:space="preserve">des différentes propositions et suggèrent </w:t>
      </w:r>
      <w:r w:rsidR="000C3D1E">
        <w:rPr>
          <w:bCs/>
          <w:lang w:val="fr-CH"/>
        </w:rPr>
        <w:t xml:space="preserve">de s’en remettre </w:t>
      </w:r>
      <w:r w:rsidR="002D340E">
        <w:rPr>
          <w:bCs/>
          <w:lang w:val="fr-CH"/>
        </w:rPr>
        <w:t xml:space="preserve">à </w:t>
      </w:r>
      <w:r w:rsidR="003E3DC0">
        <w:rPr>
          <w:bCs/>
          <w:lang w:val="fr-CH"/>
        </w:rPr>
        <w:t>l’avis de spécialistes de la communication</w:t>
      </w:r>
      <w:r w:rsidR="002D340E">
        <w:rPr>
          <w:bCs/>
          <w:lang w:val="fr-CH"/>
        </w:rPr>
        <w:t>.</w:t>
      </w:r>
    </w:p>
    <w:p w14:paraId="717316A1" w14:textId="77777777" w:rsidR="00230BAA" w:rsidRPr="001F5359" w:rsidRDefault="00230BAA" w:rsidP="00230BAA">
      <w:pPr>
        <w:spacing w:after="0" w:line="240" w:lineRule="auto"/>
        <w:ind w:left="567" w:hanging="567"/>
        <w:rPr>
          <w:bCs/>
          <w:lang w:val="fr-CH"/>
        </w:rPr>
      </w:pPr>
    </w:p>
    <w:p w14:paraId="6E07B573" w14:textId="1896FBDE" w:rsidR="00230BAA" w:rsidRPr="001F5359" w:rsidRDefault="003F10A4" w:rsidP="00230BAA">
      <w:pPr>
        <w:spacing w:after="0" w:line="240" w:lineRule="auto"/>
        <w:ind w:left="567" w:hanging="567"/>
        <w:rPr>
          <w:bCs/>
          <w:lang w:val="fr-CH"/>
        </w:rPr>
      </w:pPr>
      <w:r w:rsidRPr="001F5359">
        <w:rPr>
          <w:bCs/>
          <w:lang w:val="fr-CH"/>
        </w:rPr>
        <w:t>15.</w:t>
      </w:r>
      <w:r w:rsidRPr="001F5359">
        <w:rPr>
          <w:bCs/>
          <w:lang w:val="fr-CH"/>
        </w:rPr>
        <w:tab/>
      </w:r>
      <w:r w:rsidR="002D340E">
        <w:rPr>
          <w:bCs/>
          <w:lang w:val="fr-CH"/>
        </w:rPr>
        <w:t>La</w:t>
      </w:r>
      <w:r w:rsidR="00230BAA" w:rsidRPr="001F5359">
        <w:rPr>
          <w:bCs/>
          <w:lang w:val="fr-CH"/>
        </w:rPr>
        <w:t xml:space="preserve"> </w:t>
      </w:r>
      <w:r w:rsidR="00230BAA" w:rsidRPr="001F5359">
        <w:rPr>
          <w:b/>
          <w:bCs/>
          <w:lang w:val="fr-CH"/>
        </w:rPr>
        <w:t>Chin</w:t>
      </w:r>
      <w:r w:rsidR="002D340E">
        <w:rPr>
          <w:b/>
          <w:bCs/>
          <w:lang w:val="fr-CH"/>
        </w:rPr>
        <w:t>e</w:t>
      </w:r>
      <w:r w:rsidR="00230BAA" w:rsidRPr="001F5359">
        <w:rPr>
          <w:bCs/>
          <w:lang w:val="fr-CH"/>
        </w:rPr>
        <w:t>,</w:t>
      </w:r>
      <w:r w:rsidR="002D340E">
        <w:rPr>
          <w:bCs/>
          <w:lang w:val="fr-CH"/>
        </w:rPr>
        <w:t xml:space="preserve"> les </w:t>
      </w:r>
      <w:r w:rsidR="002D340E" w:rsidRPr="002D340E">
        <w:rPr>
          <w:b/>
          <w:bCs/>
          <w:lang w:val="fr-CH"/>
        </w:rPr>
        <w:t>États</w:t>
      </w:r>
      <w:r w:rsidR="002D340E" w:rsidRPr="002D340E">
        <w:rPr>
          <w:b/>
          <w:bCs/>
          <w:lang w:val="fr-CH"/>
        </w:rPr>
        <w:noBreakHyphen/>
        <w:t>Unis d’Amérique</w:t>
      </w:r>
      <w:r w:rsidR="002D340E">
        <w:rPr>
          <w:bCs/>
          <w:lang w:val="fr-CH"/>
        </w:rPr>
        <w:t>, le</w:t>
      </w:r>
      <w:r w:rsidR="00230BAA" w:rsidRPr="001F5359">
        <w:rPr>
          <w:bCs/>
          <w:lang w:val="fr-CH"/>
        </w:rPr>
        <w:t xml:space="preserve"> </w:t>
      </w:r>
      <w:r w:rsidR="00230BAA" w:rsidRPr="001F5359">
        <w:rPr>
          <w:b/>
          <w:bCs/>
          <w:lang w:val="fr-CH"/>
        </w:rPr>
        <w:t>S</w:t>
      </w:r>
      <w:r w:rsidR="002D340E">
        <w:rPr>
          <w:b/>
          <w:bCs/>
          <w:lang w:val="fr-CH"/>
        </w:rPr>
        <w:t>énégal</w:t>
      </w:r>
      <w:r w:rsidR="00230BAA" w:rsidRPr="001F5359">
        <w:rPr>
          <w:bCs/>
          <w:lang w:val="fr-CH"/>
        </w:rPr>
        <w:t>,</w:t>
      </w:r>
      <w:r w:rsidR="002D340E">
        <w:rPr>
          <w:bCs/>
          <w:lang w:val="fr-CH"/>
        </w:rPr>
        <w:t xml:space="preserve"> la</w:t>
      </w:r>
      <w:r w:rsidR="00230BAA" w:rsidRPr="001F5359">
        <w:rPr>
          <w:bCs/>
          <w:lang w:val="fr-CH"/>
        </w:rPr>
        <w:t xml:space="preserve"> </w:t>
      </w:r>
      <w:r w:rsidR="00230BAA" w:rsidRPr="001F5359">
        <w:rPr>
          <w:b/>
          <w:bCs/>
          <w:lang w:val="fr-CH"/>
        </w:rPr>
        <w:t>S</w:t>
      </w:r>
      <w:r w:rsidR="002D340E">
        <w:rPr>
          <w:b/>
          <w:bCs/>
          <w:lang w:val="fr-CH"/>
        </w:rPr>
        <w:t>uède</w:t>
      </w:r>
      <w:r w:rsidR="002D340E">
        <w:rPr>
          <w:bCs/>
          <w:lang w:val="fr-CH"/>
        </w:rPr>
        <w:t xml:space="preserve"> et la</w:t>
      </w:r>
      <w:r w:rsidR="00230BAA" w:rsidRPr="001F5359">
        <w:rPr>
          <w:bCs/>
          <w:lang w:val="fr-CH"/>
        </w:rPr>
        <w:t xml:space="preserve"> </w:t>
      </w:r>
      <w:r w:rsidR="002D340E">
        <w:rPr>
          <w:b/>
          <w:bCs/>
          <w:lang w:val="fr-CH"/>
        </w:rPr>
        <w:t xml:space="preserve">Suisse </w:t>
      </w:r>
      <w:r w:rsidR="002D340E" w:rsidRPr="002D340E">
        <w:rPr>
          <w:bCs/>
          <w:lang w:val="fr-CH"/>
        </w:rPr>
        <w:t>interviennent dans la discussion.</w:t>
      </w:r>
      <w:r w:rsidR="002D340E">
        <w:rPr>
          <w:b/>
          <w:bCs/>
          <w:lang w:val="fr-CH"/>
        </w:rPr>
        <w:t xml:space="preserve"> </w:t>
      </w:r>
    </w:p>
    <w:p w14:paraId="53304C7E" w14:textId="77777777" w:rsidR="00230BAA" w:rsidRPr="001F5359" w:rsidRDefault="00230BAA" w:rsidP="002F4CE2">
      <w:pPr>
        <w:spacing w:after="0" w:line="240" w:lineRule="auto"/>
        <w:rPr>
          <w:rFonts w:cstheme="minorHAnsi"/>
          <w:b/>
          <w:lang w:val="fr-CH"/>
        </w:rPr>
      </w:pPr>
    </w:p>
    <w:p w14:paraId="0B031C6E" w14:textId="52FC5A26" w:rsidR="002F4CE2" w:rsidRPr="001F5359" w:rsidRDefault="002F4CE2" w:rsidP="002F4CE2">
      <w:pPr>
        <w:spacing w:after="0" w:line="240" w:lineRule="auto"/>
        <w:rPr>
          <w:rFonts w:eastAsiaTheme="minorHAnsi" w:cs="Calibri"/>
          <w:b/>
          <w:color w:val="000000"/>
          <w:lang w:val="fr-CH"/>
        </w:rPr>
      </w:pPr>
      <w:r w:rsidRPr="001F5359">
        <w:rPr>
          <w:rFonts w:cstheme="minorHAnsi"/>
          <w:b/>
          <w:lang w:val="fr-CH"/>
        </w:rPr>
        <w:t>D</w:t>
      </w:r>
      <w:r w:rsidR="000832E2" w:rsidRPr="001F5359">
        <w:rPr>
          <w:rFonts w:cstheme="minorHAnsi"/>
          <w:b/>
          <w:lang w:val="fr-CH"/>
        </w:rPr>
        <w:t>é</w:t>
      </w:r>
      <w:r w:rsidR="001A123C" w:rsidRPr="001F5359">
        <w:rPr>
          <w:rFonts w:cstheme="minorHAnsi"/>
          <w:b/>
          <w:lang w:val="fr-CH"/>
        </w:rPr>
        <w:t>cision SC2</w:t>
      </w:r>
      <w:r w:rsidR="00C0224F">
        <w:rPr>
          <w:rFonts w:cstheme="minorHAnsi"/>
          <w:b/>
          <w:lang w:val="fr-CH"/>
        </w:rPr>
        <w:t>58</w:t>
      </w:r>
      <w:r w:rsidR="001A123C" w:rsidRPr="001F5359">
        <w:rPr>
          <w:rFonts w:cstheme="minorHAnsi"/>
          <w:b/>
          <w:lang w:val="fr-CH"/>
        </w:rPr>
        <w:t>-</w:t>
      </w:r>
      <w:r w:rsidR="00C0224F">
        <w:rPr>
          <w:rFonts w:cstheme="minorHAnsi"/>
          <w:b/>
          <w:lang w:val="fr-CH"/>
        </w:rPr>
        <w:t xml:space="preserve">11 </w:t>
      </w:r>
      <w:r w:rsidRPr="001F5359">
        <w:rPr>
          <w:rFonts w:cstheme="minorHAnsi"/>
          <w:b/>
          <w:lang w:val="fr-CH"/>
        </w:rPr>
        <w:t xml:space="preserve">: </w:t>
      </w:r>
      <w:r w:rsidR="000832E2" w:rsidRPr="001F5359">
        <w:rPr>
          <w:rFonts w:cstheme="minorHAnsi"/>
          <w:b/>
          <w:lang w:val="fr-CH"/>
        </w:rPr>
        <w:t xml:space="preserve">Le Comité permanent </w:t>
      </w:r>
      <w:r w:rsidR="00DE67FB">
        <w:rPr>
          <w:rFonts w:cstheme="minorHAnsi"/>
          <w:b/>
          <w:lang w:val="fr-CH"/>
        </w:rPr>
        <w:t>prend</w:t>
      </w:r>
      <w:r w:rsidR="00C0224F">
        <w:rPr>
          <w:rFonts w:cstheme="minorHAnsi"/>
          <w:b/>
          <w:lang w:val="fr-CH"/>
        </w:rPr>
        <w:t xml:space="preserve"> </w:t>
      </w:r>
      <w:r w:rsidR="000832E2" w:rsidRPr="001F5359">
        <w:rPr>
          <w:rFonts w:cstheme="minorHAnsi"/>
          <w:b/>
          <w:lang w:val="fr-CH"/>
        </w:rPr>
        <w:t xml:space="preserve">note du rapport verbal </w:t>
      </w:r>
      <w:r w:rsidR="00035281" w:rsidRPr="001F5359">
        <w:rPr>
          <w:rFonts w:cstheme="minorHAnsi"/>
          <w:b/>
          <w:lang w:val="fr-CH"/>
        </w:rPr>
        <w:t>d</w:t>
      </w:r>
      <w:r w:rsidR="000832E2" w:rsidRPr="001F5359">
        <w:rPr>
          <w:rFonts w:cstheme="minorHAnsi"/>
          <w:b/>
          <w:lang w:val="fr-CH"/>
        </w:rPr>
        <w:t>u Sous-groupe sur la COP14</w:t>
      </w:r>
      <w:r w:rsidRPr="001F5359">
        <w:rPr>
          <w:rFonts w:eastAsiaTheme="minorHAnsi" w:cs="Calibri"/>
          <w:b/>
          <w:color w:val="000000"/>
          <w:lang w:val="fr-CH"/>
        </w:rPr>
        <w:t>.</w:t>
      </w:r>
    </w:p>
    <w:p w14:paraId="11665ED0" w14:textId="77777777" w:rsidR="002F4CE2" w:rsidRPr="001F5359" w:rsidRDefault="002F4CE2" w:rsidP="002F4CE2">
      <w:pPr>
        <w:spacing w:after="0" w:line="240" w:lineRule="auto"/>
        <w:rPr>
          <w:rFonts w:eastAsiaTheme="minorHAnsi" w:cs="Calibri"/>
          <w:color w:val="000000"/>
          <w:lang w:val="fr-CH"/>
        </w:rPr>
      </w:pPr>
    </w:p>
    <w:p w14:paraId="1F50038B" w14:textId="7C6CADBE" w:rsidR="002F4CE2" w:rsidRPr="001F5359" w:rsidRDefault="002D340E" w:rsidP="002F4CE2">
      <w:pPr>
        <w:spacing w:after="0" w:line="240" w:lineRule="auto"/>
        <w:rPr>
          <w:b/>
          <w:bCs/>
          <w:lang w:val="fr-CH"/>
        </w:rPr>
      </w:pPr>
      <w:r w:rsidRPr="001F5359">
        <w:rPr>
          <w:rFonts w:cstheme="minorHAnsi"/>
          <w:b/>
          <w:lang w:val="fr-CH"/>
        </w:rPr>
        <w:t>Décision</w:t>
      </w:r>
      <w:r w:rsidR="002F4CE2" w:rsidRPr="001F5359">
        <w:rPr>
          <w:rFonts w:cstheme="minorHAnsi"/>
          <w:b/>
          <w:lang w:val="fr-CH"/>
        </w:rPr>
        <w:t xml:space="preserve"> SC</w:t>
      </w:r>
      <w:r w:rsidR="008E027F">
        <w:rPr>
          <w:rFonts w:cstheme="minorHAnsi"/>
          <w:b/>
          <w:lang w:val="fr-CH"/>
        </w:rPr>
        <w:t>58</w:t>
      </w:r>
      <w:r w:rsidR="002F4CE2" w:rsidRPr="001F5359">
        <w:rPr>
          <w:rFonts w:cstheme="minorHAnsi"/>
          <w:b/>
          <w:lang w:val="fr-CH"/>
        </w:rPr>
        <w:t>-</w:t>
      </w:r>
      <w:r w:rsidR="001A123C" w:rsidRPr="001F5359">
        <w:rPr>
          <w:rFonts w:cstheme="minorHAnsi"/>
          <w:b/>
          <w:lang w:val="fr-CH"/>
        </w:rPr>
        <w:t>1</w:t>
      </w:r>
      <w:r w:rsidR="00C0224F">
        <w:rPr>
          <w:rFonts w:cstheme="minorHAnsi"/>
          <w:b/>
          <w:lang w:val="fr-CH"/>
        </w:rPr>
        <w:t>2</w:t>
      </w:r>
      <w:r>
        <w:rPr>
          <w:rFonts w:cstheme="minorHAnsi"/>
          <w:b/>
          <w:lang w:val="fr-CH"/>
        </w:rPr>
        <w:t> </w:t>
      </w:r>
      <w:r w:rsidR="002F4CE2" w:rsidRPr="001F5359">
        <w:rPr>
          <w:rFonts w:cstheme="minorHAnsi"/>
          <w:b/>
          <w:lang w:val="fr-CH"/>
        </w:rPr>
        <w:t xml:space="preserve">: </w:t>
      </w:r>
      <w:r w:rsidR="000832E2" w:rsidRPr="001F5359">
        <w:rPr>
          <w:rFonts w:cstheme="minorHAnsi"/>
          <w:b/>
          <w:lang w:val="fr-CH"/>
        </w:rPr>
        <w:t xml:space="preserve">Le Comité permanent </w:t>
      </w:r>
      <w:r>
        <w:rPr>
          <w:rFonts w:cstheme="minorHAnsi"/>
          <w:b/>
          <w:lang w:val="fr-CH"/>
        </w:rPr>
        <w:t xml:space="preserve">décide d’échanger des idées </w:t>
      </w:r>
      <w:r w:rsidR="000C3D1E">
        <w:rPr>
          <w:rFonts w:cstheme="minorHAnsi"/>
          <w:b/>
          <w:lang w:val="fr-CH"/>
        </w:rPr>
        <w:t>sur</w:t>
      </w:r>
      <w:r>
        <w:rPr>
          <w:rFonts w:cstheme="minorHAnsi"/>
          <w:b/>
          <w:lang w:val="fr-CH"/>
        </w:rPr>
        <w:t xml:space="preserve"> un thème « chapeau » amélioré pour le 50</w:t>
      </w:r>
      <w:r w:rsidRPr="002D340E">
        <w:rPr>
          <w:rFonts w:cstheme="minorHAnsi"/>
          <w:b/>
          <w:vertAlign w:val="superscript"/>
          <w:lang w:val="fr-CH"/>
        </w:rPr>
        <w:t>e</w:t>
      </w:r>
      <w:r>
        <w:rPr>
          <w:rFonts w:cstheme="minorHAnsi"/>
          <w:b/>
          <w:lang w:val="fr-CH"/>
        </w:rPr>
        <w:t> anniversaire avec le Secrétariat avant le 7 juillet</w:t>
      </w:r>
      <w:r w:rsidR="003E3DC0">
        <w:rPr>
          <w:rFonts w:cstheme="minorHAnsi"/>
          <w:b/>
          <w:lang w:val="fr-CH"/>
        </w:rPr>
        <w:t xml:space="preserve"> 2020</w:t>
      </w:r>
      <w:r>
        <w:rPr>
          <w:rFonts w:cstheme="minorHAnsi"/>
          <w:b/>
          <w:lang w:val="fr-CH"/>
        </w:rPr>
        <w:t>, et donne instruction au Secrétariat, en consultation avec le Sous</w:t>
      </w:r>
      <w:r>
        <w:rPr>
          <w:rFonts w:cstheme="minorHAnsi"/>
          <w:b/>
          <w:lang w:val="fr-CH"/>
        </w:rPr>
        <w:noBreakHyphen/>
        <w:t>groupe sur la COP14, de finaliser le thème, en tenant compte des idées reçues.</w:t>
      </w:r>
    </w:p>
    <w:p w14:paraId="5BA4A4E4" w14:textId="77777777" w:rsidR="002F4CE2" w:rsidRPr="001F5359" w:rsidRDefault="002F4CE2" w:rsidP="002F4CE2">
      <w:pPr>
        <w:spacing w:after="0" w:line="240" w:lineRule="auto"/>
        <w:rPr>
          <w:b/>
          <w:bCs/>
          <w:lang w:val="fr-CH"/>
        </w:rPr>
      </w:pPr>
    </w:p>
    <w:p w14:paraId="07C3690C" w14:textId="06846346" w:rsidR="009343F2" w:rsidRPr="003160CD" w:rsidRDefault="0096152A"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8 de l’ordre du jour </w:t>
      </w:r>
      <w:r w:rsidR="00A33FB3" w:rsidRPr="003160CD">
        <w:rPr>
          <w:rFonts w:cstheme="minorHAnsi"/>
          <w:bCs/>
          <w:lang w:val="fr-FR"/>
        </w:rPr>
        <w:t xml:space="preserve">: </w:t>
      </w:r>
      <w:r w:rsidR="003160CD">
        <w:rPr>
          <w:rFonts w:cs="Calibri"/>
          <w:lang w:val="fr-CH"/>
        </w:rPr>
        <w:t>Point</w:t>
      </w:r>
      <w:r w:rsidR="003160CD" w:rsidRPr="0074234C">
        <w:rPr>
          <w:rFonts w:cs="Calibri"/>
          <w:lang w:val="fr-CH"/>
        </w:rPr>
        <w:t xml:space="preserve"> 8.2</w:t>
      </w:r>
      <w:r w:rsidR="003160CD">
        <w:rPr>
          <w:rFonts w:cs="Calibri"/>
          <w:lang w:val="fr-CH"/>
        </w:rPr>
        <w:t xml:space="preserve"> de l’ordre du jour</w:t>
      </w:r>
      <w:r w:rsidR="003E3DC0">
        <w:rPr>
          <w:rFonts w:cs="Calibri"/>
          <w:lang w:val="fr-CH"/>
        </w:rPr>
        <w:t xml:space="preserve"> de la 58</w:t>
      </w:r>
      <w:r w:rsidR="003E3DC0" w:rsidRPr="003E3DC0">
        <w:rPr>
          <w:rFonts w:cs="Calibri"/>
          <w:vertAlign w:val="superscript"/>
          <w:lang w:val="fr-CH"/>
        </w:rPr>
        <w:t>e</w:t>
      </w:r>
      <w:r w:rsidR="003E3DC0">
        <w:rPr>
          <w:rFonts w:cs="Calibri"/>
          <w:lang w:val="fr-CH"/>
        </w:rPr>
        <w:t xml:space="preserve"> Réunion du Comité permanent</w:t>
      </w:r>
      <w:r w:rsidR="003160CD">
        <w:rPr>
          <w:rFonts w:cs="Calibri"/>
          <w:lang w:val="fr-CH"/>
        </w:rPr>
        <w:t xml:space="preserve"> </w:t>
      </w:r>
      <w:r w:rsidR="003160CD">
        <w:rPr>
          <w:rFonts w:cs="Calibri"/>
          <w:i/>
          <w:lang w:val="fr-CH"/>
        </w:rPr>
        <w:t xml:space="preserve">Rapport sur les questions financières pour </w:t>
      </w:r>
      <w:r w:rsidR="003160CD" w:rsidRPr="002D388F">
        <w:rPr>
          <w:rFonts w:cs="Calibri"/>
          <w:i/>
          <w:lang w:val="fr-CH"/>
        </w:rPr>
        <w:t>2019 et 2020</w:t>
      </w:r>
      <w:r w:rsidR="003160CD" w:rsidRPr="0074234C">
        <w:rPr>
          <w:rFonts w:cs="Calibri"/>
          <w:lang w:val="fr-CH"/>
        </w:rPr>
        <w:t xml:space="preserve"> </w:t>
      </w:r>
      <w:r w:rsidR="003160CD">
        <w:rPr>
          <w:rFonts w:cs="Calibri"/>
          <w:lang w:val="fr-CH"/>
        </w:rPr>
        <w:t>et</w:t>
      </w:r>
      <w:r w:rsidR="003160CD" w:rsidRPr="0074234C">
        <w:rPr>
          <w:rFonts w:cs="Calibri"/>
          <w:lang w:val="fr-CH"/>
        </w:rPr>
        <w:t xml:space="preserve"> </w:t>
      </w:r>
      <w:r w:rsidR="003160CD">
        <w:rPr>
          <w:rFonts w:cs="Calibri"/>
          <w:lang w:val="fr-CH"/>
        </w:rPr>
        <w:t>point </w:t>
      </w:r>
      <w:r w:rsidR="003160CD" w:rsidRPr="0074234C">
        <w:rPr>
          <w:rFonts w:cs="Calibri"/>
          <w:lang w:val="fr-CH"/>
        </w:rPr>
        <w:t xml:space="preserve">8.3 </w:t>
      </w:r>
      <w:r w:rsidR="003160CD">
        <w:rPr>
          <w:rFonts w:cs="Calibri"/>
          <w:lang w:val="fr-CH"/>
        </w:rPr>
        <w:t xml:space="preserve">de l’ordre du jour </w:t>
      </w:r>
      <w:r w:rsidR="003E3DC0">
        <w:rPr>
          <w:rFonts w:cs="Calibri"/>
          <w:lang w:val="fr-CH"/>
        </w:rPr>
        <w:t>de la 58</w:t>
      </w:r>
      <w:r w:rsidR="003E3DC0" w:rsidRPr="003E3DC0">
        <w:rPr>
          <w:rFonts w:cs="Calibri"/>
          <w:vertAlign w:val="superscript"/>
          <w:lang w:val="fr-CH"/>
        </w:rPr>
        <w:t>e</w:t>
      </w:r>
      <w:r w:rsidR="003E3DC0">
        <w:rPr>
          <w:rFonts w:cs="Calibri"/>
          <w:lang w:val="fr-CH"/>
        </w:rPr>
        <w:t xml:space="preserve"> Réunion du Comité permanent </w:t>
      </w:r>
      <w:r w:rsidR="003160CD" w:rsidRPr="002D388F">
        <w:rPr>
          <w:rFonts w:cs="Calibri"/>
          <w:i/>
          <w:lang w:val="fr-CH"/>
        </w:rPr>
        <w:t>État des contributions annuelles</w:t>
      </w:r>
    </w:p>
    <w:p w14:paraId="2506AF36" w14:textId="05A20238" w:rsidR="009343F2" w:rsidRPr="003160CD" w:rsidRDefault="009343F2" w:rsidP="008B3F43">
      <w:pPr>
        <w:spacing w:after="0" w:line="240" w:lineRule="auto"/>
        <w:rPr>
          <w:b/>
          <w:bCs/>
          <w:lang w:val="fr-FR"/>
        </w:rPr>
      </w:pPr>
    </w:p>
    <w:p w14:paraId="7E1BA08B" w14:textId="0A2DAAB0" w:rsidR="007426AF" w:rsidRPr="002D340E" w:rsidRDefault="007426AF" w:rsidP="007426AF">
      <w:pPr>
        <w:spacing w:after="0" w:line="240" w:lineRule="auto"/>
        <w:ind w:left="567" w:hanging="567"/>
        <w:rPr>
          <w:bCs/>
          <w:lang w:val="fr-CH"/>
        </w:rPr>
      </w:pPr>
      <w:r w:rsidRPr="002D340E">
        <w:rPr>
          <w:bCs/>
          <w:lang w:val="fr-CH"/>
        </w:rPr>
        <w:t>16.</w:t>
      </w:r>
      <w:r w:rsidRPr="002D340E">
        <w:rPr>
          <w:bCs/>
          <w:lang w:val="fr-CH"/>
        </w:rPr>
        <w:tab/>
      </w:r>
      <w:r w:rsidR="002D340E">
        <w:rPr>
          <w:bCs/>
          <w:lang w:val="fr-CH"/>
        </w:rPr>
        <w:t>Le</w:t>
      </w:r>
      <w:r w:rsidRPr="002D340E">
        <w:rPr>
          <w:bCs/>
          <w:lang w:val="fr-CH"/>
        </w:rPr>
        <w:t xml:space="preserve"> </w:t>
      </w:r>
      <w:r w:rsidR="002D340E">
        <w:rPr>
          <w:b/>
          <w:bCs/>
          <w:lang w:val="fr-CH"/>
        </w:rPr>
        <w:t>Président du Sous-groupe sur les finances</w:t>
      </w:r>
      <w:r w:rsidRPr="002D340E">
        <w:rPr>
          <w:bCs/>
          <w:lang w:val="fr-CH"/>
        </w:rPr>
        <w:t xml:space="preserve"> (</w:t>
      </w:r>
      <w:r w:rsidRPr="002D340E">
        <w:rPr>
          <w:b/>
          <w:bCs/>
          <w:lang w:val="fr-CH"/>
        </w:rPr>
        <w:t>Mexi</w:t>
      </w:r>
      <w:r w:rsidR="002D340E">
        <w:rPr>
          <w:b/>
          <w:bCs/>
          <w:lang w:val="fr-CH"/>
        </w:rPr>
        <w:t>que</w:t>
      </w:r>
      <w:r w:rsidRPr="002D340E">
        <w:rPr>
          <w:bCs/>
          <w:lang w:val="fr-CH"/>
        </w:rPr>
        <w:t xml:space="preserve">) note </w:t>
      </w:r>
      <w:r w:rsidR="002D340E">
        <w:rPr>
          <w:bCs/>
          <w:lang w:val="fr-CH"/>
        </w:rPr>
        <w:t>que le Sous</w:t>
      </w:r>
      <w:r w:rsidR="002D340E">
        <w:rPr>
          <w:bCs/>
          <w:lang w:val="fr-CH"/>
        </w:rPr>
        <w:noBreakHyphen/>
        <w:t xml:space="preserve">groupe s’est réuni le 15 juin </w:t>
      </w:r>
      <w:r w:rsidR="003E3DC0">
        <w:rPr>
          <w:bCs/>
          <w:lang w:val="fr-CH"/>
        </w:rPr>
        <w:t xml:space="preserve">2020 </w:t>
      </w:r>
      <w:r w:rsidR="002D340E">
        <w:rPr>
          <w:bCs/>
          <w:lang w:val="fr-CH"/>
        </w:rPr>
        <w:t xml:space="preserve">et que son rapport a été communiqué à tous les participants à la </w:t>
      </w:r>
      <w:r w:rsidR="00932D74">
        <w:rPr>
          <w:bCs/>
          <w:lang w:val="fr-CH"/>
        </w:rPr>
        <w:t>séance</w:t>
      </w:r>
      <w:r w:rsidR="002D340E">
        <w:rPr>
          <w:bCs/>
          <w:lang w:val="fr-CH"/>
        </w:rPr>
        <w:t xml:space="preserve">. </w:t>
      </w:r>
      <w:r w:rsidR="000C3D1E">
        <w:rPr>
          <w:bCs/>
          <w:lang w:val="fr-CH"/>
        </w:rPr>
        <w:t>L’</w:t>
      </w:r>
      <w:r w:rsidR="002D340E">
        <w:rPr>
          <w:bCs/>
          <w:lang w:val="fr-CH"/>
        </w:rPr>
        <w:t xml:space="preserve">accord </w:t>
      </w:r>
      <w:r w:rsidR="000C3D1E">
        <w:rPr>
          <w:bCs/>
          <w:lang w:val="fr-CH"/>
        </w:rPr>
        <w:t>s’est fait</w:t>
      </w:r>
      <w:r w:rsidR="002D340E">
        <w:rPr>
          <w:bCs/>
          <w:lang w:val="fr-CH"/>
        </w:rPr>
        <w:t xml:space="preserve"> sur tous les thèmes sauf deux : point d’action vi)</w:t>
      </w:r>
      <w:r w:rsidR="00A50662">
        <w:rPr>
          <w:bCs/>
          <w:lang w:val="fr-CH"/>
        </w:rPr>
        <w:t xml:space="preserve"> sur l</w:t>
      </w:r>
      <w:r w:rsidR="008E027F">
        <w:rPr>
          <w:bCs/>
          <w:lang w:val="fr-CH"/>
        </w:rPr>
        <w:t xml:space="preserve">es </w:t>
      </w:r>
      <w:r w:rsidR="002D340E">
        <w:rPr>
          <w:bCs/>
          <w:lang w:val="fr-CH"/>
        </w:rPr>
        <w:t>attributions pour les Initiatives régionales Ramsar ; et point d’action vii) </w:t>
      </w:r>
      <w:r w:rsidR="00A50662">
        <w:rPr>
          <w:bCs/>
          <w:lang w:val="fr-CH"/>
        </w:rPr>
        <w:t xml:space="preserve">sur les </w:t>
      </w:r>
      <w:r w:rsidR="002D340E">
        <w:rPr>
          <w:bCs/>
          <w:lang w:val="fr-CH"/>
        </w:rPr>
        <w:t>attributions pour l’</w:t>
      </w:r>
      <w:r w:rsidR="000C3D1E">
        <w:rPr>
          <w:bCs/>
          <w:lang w:val="fr-CH"/>
        </w:rPr>
        <w:t>e</w:t>
      </w:r>
      <w:r w:rsidR="002D340E">
        <w:rPr>
          <w:bCs/>
          <w:lang w:val="fr-CH"/>
        </w:rPr>
        <w:t xml:space="preserve">xamen des résolutions. </w:t>
      </w:r>
    </w:p>
    <w:p w14:paraId="04EAF394" w14:textId="77777777" w:rsidR="007426AF" w:rsidRPr="002D340E" w:rsidRDefault="007426AF" w:rsidP="007426AF">
      <w:pPr>
        <w:spacing w:after="0" w:line="240" w:lineRule="auto"/>
        <w:ind w:left="567" w:hanging="567"/>
        <w:rPr>
          <w:bCs/>
          <w:lang w:val="fr-CH"/>
        </w:rPr>
      </w:pPr>
    </w:p>
    <w:p w14:paraId="448F2AA4" w14:textId="28E1F3B1" w:rsidR="007426AF" w:rsidRPr="002D340E" w:rsidRDefault="007426AF" w:rsidP="007426AF">
      <w:pPr>
        <w:spacing w:after="0" w:line="240" w:lineRule="auto"/>
        <w:ind w:left="567" w:hanging="567"/>
        <w:rPr>
          <w:bCs/>
          <w:lang w:val="fr-CH"/>
        </w:rPr>
      </w:pPr>
      <w:r w:rsidRPr="002D340E">
        <w:rPr>
          <w:bCs/>
          <w:lang w:val="fr-CH"/>
        </w:rPr>
        <w:t>17.</w:t>
      </w:r>
      <w:r w:rsidRPr="002D340E">
        <w:rPr>
          <w:bCs/>
          <w:lang w:val="fr-CH"/>
        </w:rPr>
        <w:tab/>
      </w:r>
      <w:r w:rsidR="002D340E">
        <w:rPr>
          <w:bCs/>
          <w:lang w:val="fr-CH"/>
        </w:rPr>
        <w:t>Après discussion, il est décidé que le rapport du Sous</w:t>
      </w:r>
      <w:r w:rsidR="002D340E">
        <w:rPr>
          <w:bCs/>
          <w:lang w:val="fr-CH"/>
        </w:rPr>
        <w:noBreakHyphen/>
        <w:t>groupe sur les finances p</w:t>
      </w:r>
      <w:r w:rsidR="000C3D1E">
        <w:rPr>
          <w:bCs/>
          <w:lang w:val="fr-CH"/>
        </w:rPr>
        <w:t>eut</w:t>
      </w:r>
      <w:r w:rsidR="002D340E">
        <w:rPr>
          <w:bCs/>
          <w:lang w:val="fr-CH"/>
        </w:rPr>
        <w:t xml:space="preserve"> être adopté à l’exception de ces deux questions, qui seront examinées de manière plus approfondie</w:t>
      </w:r>
      <w:r w:rsidR="00F321A0">
        <w:rPr>
          <w:bCs/>
          <w:lang w:val="fr-CH"/>
        </w:rPr>
        <w:t xml:space="preserve"> après que les points pertinents de l’ordre du jour auront été traités par le Comité permanent au cours de </w:t>
      </w:r>
      <w:r w:rsidR="00A50662">
        <w:rPr>
          <w:bCs/>
          <w:lang w:val="fr-CH"/>
        </w:rPr>
        <w:t>ces séances</w:t>
      </w:r>
      <w:r w:rsidR="00F321A0">
        <w:rPr>
          <w:bCs/>
          <w:lang w:val="fr-CH"/>
        </w:rPr>
        <w:t>.</w:t>
      </w:r>
    </w:p>
    <w:p w14:paraId="4363A00F" w14:textId="77777777" w:rsidR="007426AF" w:rsidRPr="002D340E" w:rsidRDefault="007426AF" w:rsidP="007426AF">
      <w:pPr>
        <w:spacing w:after="0" w:line="240" w:lineRule="auto"/>
        <w:ind w:left="567" w:hanging="567"/>
        <w:rPr>
          <w:bCs/>
          <w:lang w:val="fr-CH"/>
        </w:rPr>
      </w:pPr>
    </w:p>
    <w:p w14:paraId="6000280E" w14:textId="361B5446" w:rsidR="007426AF" w:rsidRDefault="007426AF" w:rsidP="007426AF">
      <w:pPr>
        <w:spacing w:after="0" w:line="240" w:lineRule="auto"/>
        <w:ind w:left="567" w:hanging="567"/>
        <w:rPr>
          <w:bCs/>
          <w:lang w:val="fr-CH"/>
        </w:rPr>
      </w:pPr>
      <w:r w:rsidRPr="002D340E">
        <w:rPr>
          <w:bCs/>
          <w:lang w:val="fr-CH"/>
        </w:rPr>
        <w:t>18.</w:t>
      </w:r>
      <w:r w:rsidRPr="002D340E">
        <w:rPr>
          <w:bCs/>
          <w:lang w:val="fr-CH"/>
        </w:rPr>
        <w:tab/>
      </w:r>
      <w:r w:rsidR="002D340E">
        <w:rPr>
          <w:bCs/>
          <w:lang w:val="fr-CH"/>
        </w:rPr>
        <w:t>Le</w:t>
      </w:r>
      <w:r w:rsidRPr="002D340E">
        <w:rPr>
          <w:bCs/>
          <w:lang w:val="fr-CH"/>
        </w:rPr>
        <w:t xml:space="preserve"> </w:t>
      </w:r>
      <w:r w:rsidRPr="002D340E">
        <w:rPr>
          <w:b/>
          <w:bCs/>
          <w:lang w:val="fr-CH"/>
        </w:rPr>
        <w:t>Costa Rica</w:t>
      </w:r>
      <w:r w:rsidRPr="002D340E">
        <w:rPr>
          <w:bCs/>
          <w:lang w:val="fr-CH"/>
        </w:rPr>
        <w:t>,</w:t>
      </w:r>
      <w:r w:rsidR="002D340E">
        <w:rPr>
          <w:bCs/>
          <w:lang w:val="fr-CH"/>
        </w:rPr>
        <w:t xml:space="preserve"> </w:t>
      </w:r>
      <w:r w:rsidR="00DB7936">
        <w:rPr>
          <w:bCs/>
          <w:lang w:val="fr-CH"/>
        </w:rPr>
        <w:t xml:space="preserve">les </w:t>
      </w:r>
      <w:r w:rsidR="00DB7936" w:rsidRPr="00DB7936">
        <w:rPr>
          <w:b/>
          <w:bCs/>
          <w:lang w:val="fr-CH"/>
        </w:rPr>
        <w:t>États</w:t>
      </w:r>
      <w:r w:rsidR="00DB7936" w:rsidRPr="00DB7936">
        <w:rPr>
          <w:b/>
          <w:bCs/>
          <w:lang w:val="fr-CH"/>
        </w:rPr>
        <w:noBreakHyphen/>
        <w:t>Unis d’Amérique</w:t>
      </w:r>
      <w:r w:rsidR="00DB7936">
        <w:rPr>
          <w:bCs/>
          <w:lang w:val="fr-CH"/>
        </w:rPr>
        <w:t xml:space="preserve">, </w:t>
      </w:r>
      <w:r w:rsidR="002D340E">
        <w:rPr>
          <w:bCs/>
          <w:lang w:val="fr-CH"/>
        </w:rPr>
        <w:t>le</w:t>
      </w:r>
      <w:r w:rsidRPr="002D340E">
        <w:rPr>
          <w:bCs/>
          <w:lang w:val="fr-CH"/>
        </w:rPr>
        <w:t xml:space="preserve"> </w:t>
      </w:r>
      <w:r w:rsidRPr="002D340E">
        <w:rPr>
          <w:b/>
          <w:bCs/>
          <w:lang w:val="fr-CH"/>
        </w:rPr>
        <w:t>Jap</w:t>
      </w:r>
      <w:r w:rsidR="002D340E">
        <w:rPr>
          <w:b/>
          <w:bCs/>
          <w:lang w:val="fr-CH"/>
        </w:rPr>
        <w:t>o</w:t>
      </w:r>
      <w:r w:rsidRPr="002D340E">
        <w:rPr>
          <w:b/>
          <w:bCs/>
          <w:lang w:val="fr-CH"/>
        </w:rPr>
        <w:t>n</w:t>
      </w:r>
      <w:r w:rsidRPr="002D340E">
        <w:rPr>
          <w:bCs/>
          <w:lang w:val="fr-CH"/>
        </w:rPr>
        <w:t>,</w:t>
      </w:r>
      <w:r w:rsidR="002D340E">
        <w:rPr>
          <w:bCs/>
          <w:lang w:val="fr-CH"/>
        </w:rPr>
        <w:t xml:space="preserve"> le</w:t>
      </w:r>
      <w:r w:rsidRPr="002D340E">
        <w:rPr>
          <w:bCs/>
          <w:lang w:val="fr-CH"/>
        </w:rPr>
        <w:t xml:space="preserve"> </w:t>
      </w:r>
      <w:r w:rsidRPr="002D340E">
        <w:rPr>
          <w:b/>
          <w:bCs/>
          <w:lang w:val="fr-CH"/>
        </w:rPr>
        <w:t>S</w:t>
      </w:r>
      <w:r w:rsidR="002D340E">
        <w:rPr>
          <w:b/>
          <w:bCs/>
          <w:lang w:val="fr-CH"/>
        </w:rPr>
        <w:t>énégal</w:t>
      </w:r>
      <w:r w:rsidRPr="002D340E">
        <w:rPr>
          <w:bCs/>
          <w:lang w:val="fr-CH"/>
        </w:rPr>
        <w:t>,</w:t>
      </w:r>
      <w:r w:rsidR="002D340E">
        <w:rPr>
          <w:bCs/>
          <w:lang w:val="fr-CH"/>
        </w:rPr>
        <w:t xml:space="preserve"> la</w:t>
      </w:r>
      <w:r w:rsidRPr="002D340E">
        <w:rPr>
          <w:bCs/>
          <w:lang w:val="fr-CH"/>
        </w:rPr>
        <w:t xml:space="preserve"> </w:t>
      </w:r>
      <w:r w:rsidR="002D340E">
        <w:rPr>
          <w:b/>
          <w:bCs/>
          <w:lang w:val="fr-CH"/>
        </w:rPr>
        <w:t>Suède</w:t>
      </w:r>
      <w:r w:rsidR="002D340E">
        <w:rPr>
          <w:bCs/>
          <w:lang w:val="fr-CH"/>
        </w:rPr>
        <w:t xml:space="preserve"> </w:t>
      </w:r>
      <w:r w:rsidR="00DB7936">
        <w:rPr>
          <w:bCs/>
          <w:lang w:val="fr-CH"/>
        </w:rPr>
        <w:t xml:space="preserve">et </w:t>
      </w:r>
      <w:r w:rsidR="002D340E">
        <w:rPr>
          <w:bCs/>
          <w:lang w:val="fr-CH"/>
        </w:rPr>
        <w:t>la</w:t>
      </w:r>
      <w:r w:rsidRPr="002D340E">
        <w:rPr>
          <w:bCs/>
          <w:lang w:val="fr-CH"/>
        </w:rPr>
        <w:t xml:space="preserve"> </w:t>
      </w:r>
      <w:r w:rsidRPr="002D340E">
        <w:rPr>
          <w:b/>
          <w:bCs/>
          <w:lang w:val="fr-CH"/>
        </w:rPr>
        <w:t>S</w:t>
      </w:r>
      <w:r w:rsidR="002D340E">
        <w:rPr>
          <w:b/>
          <w:bCs/>
          <w:lang w:val="fr-CH"/>
        </w:rPr>
        <w:t>uisse</w:t>
      </w:r>
      <w:r w:rsidRPr="002D340E">
        <w:rPr>
          <w:bCs/>
          <w:lang w:val="fr-CH"/>
        </w:rPr>
        <w:t xml:space="preserve"> </w:t>
      </w:r>
      <w:r w:rsidR="00DB7936">
        <w:rPr>
          <w:bCs/>
          <w:lang w:val="fr-CH"/>
        </w:rPr>
        <w:t>interviennent dans la discussion</w:t>
      </w:r>
      <w:r w:rsidRPr="002D340E">
        <w:rPr>
          <w:bCs/>
          <w:lang w:val="fr-CH"/>
        </w:rPr>
        <w:t xml:space="preserve">. </w:t>
      </w:r>
    </w:p>
    <w:p w14:paraId="517CCD8E" w14:textId="3BE6AF68" w:rsidR="00DE67FB" w:rsidRDefault="00DE67FB" w:rsidP="007426AF">
      <w:pPr>
        <w:spacing w:after="0" w:line="240" w:lineRule="auto"/>
        <w:ind w:left="567" w:hanging="567"/>
        <w:rPr>
          <w:bCs/>
          <w:lang w:val="fr-CH"/>
        </w:rPr>
      </w:pPr>
    </w:p>
    <w:p w14:paraId="1BE3F510" w14:textId="52E9ED0F" w:rsidR="00DE67FB" w:rsidRPr="00191548" w:rsidRDefault="00DE67FB" w:rsidP="00A50662">
      <w:pPr>
        <w:spacing w:after="0" w:line="240" w:lineRule="auto"/>
        <w:jc w:val="both"/>
        <w:rPr>
          <w:b/>
          <w:bCs/>
          <w:lang w:val="fr-CH"/>
        </w:rPr>
      </w:pPr>
      <w:r w:rsidRPr="00191548">
        <w:rPr>
          <w:b/>
          <w:bCs/>
          <w:lang w:val="fr-CH"/>
        </w:rPr>
        <w:lastRenderedPageBreak/>
        <w:t>Décision SC58-13 : Le Comité permanent approuve le rapport du Sous-groupe sur les finances</w:t>
      </w:r>
      <w:r w:rsidR="0021666A">
        <w:rPr>
          <w:b/>
          <w:bCs/>
          <w:lang w:val="fr-CH"/>
        </w:rPr>
        <w:t>,</w:t>
      </w:r>
      <w:r w:rsidR="00A50662">
        <w:rPr>
          <w:b/>
          <w:bCs/>
          <w:lang w:val="fr-CH"/>
        </w:rPr>
        <w:t xml:space="preserve"> à </w:t>
      </w:r>
      <w:r w:rsidRPr="00191548">
        <w:rPr>
          <w:b/>
          <w:bCs/>
          <w:lang w:val="fr-CH"/>
        </w:rPr>
        <w:t xml:space="preserve">l’exception des articles 1.2 et 1.3, qui seront traités </w:t>
      </w:r>
      <w:r w:rsidR="00421958">
        <w:rPr>
          <w:b/>
          <w:bCs/>
          <w:lang w:val="fr-CH"/>
        </w:rPr>
        <w:t xml:space="preserve">par le Comité permanent </w:t>
      </w:r>
      <w:r w:rsidR="00D45D81">
        <w:rPr>
          <w:b/>
          <w:bCs/>
          <w:lang w:val="fr-CH"/>
        </w:rPr>
        <w:t>ultérieurement aux</w:t>
      </w:r>
      <w:r w:rsidR="00A50662">
        <w:rPr>
          <w:b/>
          <w:bCs/>
          <w:lang w:val="fr-CH"/>
        </w:rPr>
        <w:t xml:space="preserve"> </w:t>
      </w:r>
      <w:r w:rsidRPr="00191548">
        <w:rPr>
          <w:b/>
          <w:bCs/>
          <w:lang w:val="fr-CH"/>
        </w:rPr>
        <w:t>points pertinents</w:t>
      </w:r>
      <w:r w:rsidR="0021666A">
        <w:rPr>
          <w:b/>
          <w:bCs/>
          <w:lang w:val="fr-CH"/>
        </w:rPr>
        <w:t xml:space="preserve"> de </w:t>
      </w:r>
      <w:r w:rsidR="00191548" w:rsidRPr="00191548">
        <w:rPr>
          <w:b/>
          <w:bCs/>
          <w:lang w:val="fr-CH"/>
        </w:rPr>
        <w:t>l’ordre du jour</w:t>
      </w:r>
      <w:r w:rsidR="00421958">
        <w:rPr>
          <w:b/>
          <w:bCs/>
          <w:lang w:val="fr-CH"/>
        </w:rPr>
        <w:t>.</w:t>
      </w:r>
    </w:p>
    <w:p w14:paraId="0FD3ED1F" w14:textId="77777777" w:rsidR="007426AF" w:rsidRPr="002D340E" w:rsidRDefault="007426AF" w:rsidP="008B3F43">
      <w:pPr>
        <w:spacing w:after="0" w:line="240" w:lineRule="auto"/>
        <w:rPr>
          <w:bCs/>
          <w:i/>
          <w:lang w:val="fr-CH"/>
        </w:rPr>
      </w:pPr>
    </w:p>
    <w:p w14:paraId="53D5D486" w14:textId="1F7FA4A5" w:rsidR="00E91DE3" w:rsidRPr="002D340E" w:rsidRDefault="00BC46C0" w:rsidP="00E91DE3">
      <w:pPr>
        <w:autoSpaceDE w:val="0"/>
        <w:autoSpaceDN w:val="0"/>
        <w:adjustRightInd w:val="0"/>
        <w:spacing w:after="0" w:line="240" w:lineRule="auto"/>
        <w:rPr>
          <w:rFonts w:cstheme="minorHAnsi"/>
          <w:b/>
          <w:lang w:val="fr-CH"/>
        </w:rPr>
      </w:pPr>
      <w:r w:rsidRPr="002D340E">
        <w:rPr>
          <w:rFonts w:cstheme="minorHAnsi"/>
          <w:b/>
          <w:lang w:val="fr-CH"/>
        </w:rPr>
        <w:t>D</w:t>
      </w:r>
      <w:r w:rsidR="000832E2" w:rsidRPr="002D340E">
        <w:rPr>
          <w:rFonts w:cstheme="minorHAnsi"/>
          <w:b/>
          <w:lang w:val="fr-CH"/>
        </w:rPr>
        <w:t>é</w:t>
      </w:r>
      <w:r w:rsidRPr="002D340E">
        <w:rPr>
          <w:rFonts w:cstheme="minorHAnsi"/>
          <w:b/>
          <w:lang w:val="fr-CH"/>
        </w:rPr>
        <w:t>cision SC</w:t>
      </w:r>
      <w:r w:rsidR="00DE67FB">
        <w:rPr>
          <w:rFonts w:cstheme="minorHAnsi"/>
          <w:b/>
          <w:lang w:val="fr-CH"/>
        </w:rPr>
        <w:t>58</w:t>
      </w:r>
      <w:r w:rsidRPr="002D340E">
        <w:rPr>
          <w:rFonts w:cstheme="minorHAnsi"/>
          <w:b/>
          <w:lang w:val="fr-CH"/>
        </w:rPr>
        <w:t>-</w:t>
      </w:r>
      <w:r w:rsidR="001A123C" w:rsidRPr="002D340E">
        <w:rPr>
          <w:rFonts w:cstheme="minorHAnsi"/>
          <w:b/>
          <w:lang w:val="fr-CH"/>
        </w:rPr>
        <w:t>1</w:t>
      </w:r>
      <w:r w:rsidR="00DE67FB">
        <w:rPr>
          <w:rFonts w:cstheme="minorHAnsi"/>
          <w:b/>
          <w:lang w:val="fr-CH"/>
        </w:rPr>
        <w:t>4</w:t>
      </w:r>
      <w:r w:rsidR="000832E2" w:rsidRPr="002D340E">
        <w:rPr>
          <w:rFonts w:cstheme="minorHAnsi"/>
          <w:b/>
          <w:lang w:val="fr-CH"/>
        </w:rPr>
        <w:t xml:space="preserve"> </w:t>
      </w:r>
      <w:r w:rsidRPr="002D340E">
        <w:rPr>
          <w:rFonts w:cstheme="minorHAnsi"/>
          <w:b/>
          <w:lang w:val="fr-CH"/>
        </w:rPr>
        <w:t xml:space="preserve">: </w:t>
      </w:r>
      <w:r w:rsidR="000832E2" w:rsidRPr="002D340E">
        <w:rPr>
          <w:rFonts w:cstheme="minorHAnsi"/>
          <w:b/>
          <w:lang w:val="fr-CH"/>
        </w:rPr>
        <w:t xml:space="preserve">Le Comité permanent </w:t>
      </w:r>
      <w:r w:rsidR="00E91DE3" w:rsidRPr="002D340E">
        <w:rPr>
          <w:rFonts w:cstheme="minorHAnsi"/>
          <w:b/>
          <w:lang w:val="fr-CH"/>
        </w:rPr>
        <w:t>:</w:t>
      </w:r>
    </w:p>
    <w:p w14:paraId="4D46EA6D" w14:textId="231E2080"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a</w:t>
      </w:r>
      <w:r w:rsidR="00E91DE3" w:rsidRPr="002D340E">
        <w:rPr>
          <w:rFonts w:asciiTheme="minorHAnsi" w:hAnsiTheme="minorHAnsi" w:cstheme="minorHAnsi"/>
          <w:b/>
          <w:iCs/>
          <w:sz w:val="22"/>
          <w:szCs w:val="22"/>
          <w:lang w:val="fr-CH" w:eastAsia="ja-JP"/>
        </w:rPr>
        <w:t>ccepte</w:t>
      </w:r>
      <w:r>
        <w:rPr>
          <w:rFonts w:asciiTheme="minorHAnsi" w:hAnsiTheme="minorHAnsi" w:cstheme="minorHAnsi"/>
          <w:b/>
          <w:iCs/>
          <w:sz w:val="22"/>
          <w:szCs w:val="22"/>
          <w:lang w:val="fr-CH" w:eastAsia="ja-JP"/>
        </w:rPr>
        <w:t xml:space="preserve"> les états financiers vérifiés au 31 décembre 2019 ; </w:t>
      </w:r>
      <w:r w:rsidR="00E91DE3" w:rsidRPr="002D340E">
        <w:rPr>
          <w:rFonts w:asciiTheme="minorHAnsi" w:hAnsiTheme="minorHAnsi" w:cstheme="minorHAnsi"/>
          <w:b/>
          <w:iCs/>
          <w:sz w:val="22"/>
          <w:szCs w:val="22"/>
          <w:lang w:val="fr-CH" w:eastAsia="ja-JP"/>
        </w:rPr>
        <w:t xml:space="preserve"> </w:t>
      </w:r>
    </w:p>
    <w:p w14:paraId="349C37F5" w14:textId="1EDD4B2E"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des résultats du budget administratif pour </w:t>
      </w:r>
      <w:r w:rsidR="00E91DE3" w:rsidRPr="002D340E">
        <w:rPr>
          <w:rFonts w:asciiTheme="minorHAnsi" w:hAnsiTheme="minorHAnsi" w:cstheme="minorHAnsi"/>
          <w:b/>
          <w:iCs/>
          <w:sz w:val="22"/>
          <w:szCs w:val="22"/>
          <w:lang w:val="fr-CH" w:eastAsia="ja-JP"/>
        </w:rPr>
        <w:t>2019</w:t>
      </w:r>
      <w:r>
        <w:rPr>
          <w:rFonts w:asciiTheme="minorHAnsi" w:hAnsiTheme="minorHAnsi" w:cstheme="minorHAnsi"/>
          <w:b/>
          <w:iCs/>
          <w:sz w:val="22"/>
          <w:szCs w:val="22"/>
          <w:lang w:val="fr-CH" w:eastAsia="ja-JP"/>
        </w:rPr>
        <w:t> </w:t>
      </w:r>
      <w:r w:rsidR="00E91DE3" w:rsidRPr="002D340E">
        <w:rPr>
          <w:rFonts w:asciiTheme="minorHAnsi" w:hAnsiTheme="minorHAnsi" w:cstheme="minorHAnsi"/>
          <w:b/>
          <w:iCs/>
          <w:sz w:val="22"/>
          <w:szCs w:val="22"/>
          <w:lang w:val="fr-CH" w:eastAsia="ja-JP"/>
        </w:rPr>
        <w:t>;</w:t>
      </w:r>
    </w:p>
    <w:p w14:paraId="681B7C1B" w14:textId="1A178175" w:rsidR="00E91DE3" w:rsidRPr="002D340E" w:rsidRDefault="000263AC"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des soldes non administratifs et des contributions volontaires pour 2019 ; et </w:t>
      </w:r>
    </w:p>
    <w:p w14:paraId="300A7695" w14:textId="1B8DDB68" w:rsidR="00BC46C0" w:rsidRPr="002D340E" w:rsidRDefault="00653D89" w:rsidP="00E91DE3">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w:t>
      </w:r>
      <w:r w:rsidRPr="00653D89">
        <w:rPr>
          <w:rFonts w:asciiTheme="minorHAnsi" w:hAnsiTheme="minorHAnsi" w:cstheme="minorHAnsi"/>
          <w:b/>
          <w:iCs/>
          <w:sz w:val="22"/>
          <w:szCs w:val="22"/>
          <w:lang w:val="fr-CH" w:eastAsia="ja-JP"/>
        </w:rPr>
        <w:t>note de la réaffectation du budget 2019 décrite au paragraphe 14</w:t>
      </w:r>
      <w:r w:rsidR="000263AC">
        <w:rPr>
          <w:rFonts w:asciiTheme="minorHAnsi" w:hAnsiTheme="minorHAnsi" w:cstheme="minorHAnsi"/>
          <w:b/>
          <w:iCs/>
          <w:sz w:val="22"/>
          <w:szCs w:val="22"/>
          <w:lang w:val="fr-CH" w:eastAsia="ja-JP"/>
        </w:rPr>
        <w:t xml:space="preserve"> du document </w:t>
      </w:r>
      <w:r w:rsidR="00E91DE3" w:rsidRPr="002D340E">
        <w:rPr>
          <w:rFonts w:asciiTheme="minorHAnsi" w:hAnsiTheme="minorHAnsi" w:cstheme="minorHAnsi"/>
          <w:b/>
          <w:iCs/>
          <w:sz w:val="22"/>
          <w:szCs w:val="22"/>
          <w:lang w:val="fr-CH" w:eastAsia="ja-JP"/>
        </w:rPr>
        <w:t>SC58 Doc.8.2.</w:t>
      </w:r>
    </w:p>
    <w:p w14:paraId="31A27039" w14:textId="6D5D4C14" w:rsidR="00085D52" w:rsidRPr="002D340E" w:rsidRDefault="00085D52" w:rsidP="00BC46C0">
      <w:pPr>
        <w:autoSpaceDE w:val="0"/>
        <w:autoSpaceDN w:val="0"/>
        <w:adjustRightInd w:val="0"/>
        <w:spacing w:after="0" w:line="240" w:lineRule="auto"/>
        <w:rPr>
          <w:rFonts w:cstheme="minorHAnsi"/>
          <w:b/>
          <w:lang w:val="fr-CH"/>
        </w:rPr>
      </w:pPr>
    </w:p>
    <w:p w14:paraId="43B0896E" w14:textId="1589A9F9" w:rsidR="00085D52" w:rsidRPr="002D340E" w:rsidRDefault="00085D52" w:rsidP="00085D52">
      <w:pPr>
        <w:pStyle w:val="NormalWeb"/>
        <w:spacing w:after="0"/>
        <w:ind w:left="851" w:hanging="851"/>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0832E2"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 xml:space="preserve">cision </w:t>
      </w:r>
      <w:r w:rsidR="00B93B98">
        <w:rPr>
          <w:rFonts w:ascii="Calibri" w:hAnsi="Calibri" w:cstheme="minorHAnsi"/>
          <w:b/>
          <w:sz w:val="22"/>
          <w:szCs w:val="22"/>
          <w:lang w:val="fr-CH" w:eastAsia="en-US"/>
        </w:rPr>
        <w:t>SC58-15</w:t>
      </w:r>
      <w:r w:rsidR="000832E2"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0832E2" w:rsidRPr="002D340E">
        <w:rPr>
          <w:rFonts w:asciiTheme="minorHAnsi" w:hAnsiTheme="minorHAnsi" w:cstheme="minorHAnsi"/>
          <w:b/>
          <w:iCs/>
          <w:sz w:val="22"/>
          <w:szCs w:val="22"/>
          <w:lang w:val="fr-CH" w:eastAsia="ja-JP"/>
        </w:rPr>
        <w:t xml:space="preserve">Le Comité permanent </w:t>
      </w:r>
      <w:r w:rsidRPr="002D340E">
        <w:rPr>
          <w:rFonts w:asciiTheme="minorHAnsi" w:hAnsiTheme="minorHAnsi" w:cstheme="minorHAnsi"/>
          <w:b/>
          <w:iCs/>
          <w:sz w:val="22"/>
          <w:szCs w:val="22"/>
          <w:lang w:val="fr-CH" w:eastAsia="ja-JP"/>
        </w:rPr>
        <w:t xml:space="preserve">: </w:t>
      </w:r>
    </w:p>
    <w:p w14:paraId="66950DC3" w14:textId="3C4EAE77"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prend note de l’état des contributions annuelles ; </w:t>
      </w:r>
    </w:p>
    <w:p w14:paraId="7F3DD2A5" w14:textId="79387077"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prend note des mesures énumérées dans les paragraphes 15, 17 et 18 du document SC58 </w:t>
      </w:r>
      <w:r w:rsidR="00085D52" w:rsidRPr="002D340E">
        <w:rPr>
          <w:rFonts w:asciiTheme="minorHAnsi" w:hAnsiTheme="minorHAnsi" w:cstheme="minorHAnsi"/>
          <w:b/>
          <w:iCs/>
          <w:sz w:val="22"/>
          <w:szCs w:val="22"/>
          <w:lang w:val="fr-CH" w:eastAsia="ja-JP"/>
        </w:rPr>
        <w:t xml:space="preserve">Doc.8.3 </w:t>
      </w:r>
      <w:r w:rsidR="00653D89" w:rsidRPr="00653D89">
        <w:rPr>
          <w:rFonts w:asciiTheme="minorHAnsi" w:hAnsiTheme="minorHAnsi" w:cstheme="minorHAnsi"/>
          <w:b/>
          <w:iCs/>
          <w:sz w:val="22"/>
          <w:szCs w:val="22"/>
          <w:lang w:val="fr-CH" w:eastAsia="ja-JP"/>
        </w:rPr>
        <w:t>en vue de continuer d’encourager le versement des contributions annuelles</w:t>
      </w:r>
      <w:r w:rsidR="00653D89">
        <w:rPr>
          <w:rFonts w:asciiTheme="minorHAnsi" w:hAnsiTheme="minorHAnsi" w:cstheme="minorHAnsi"/>
          <w:b/>
          <w:iCs/>
          <w:sz w:val="22"/>
          <w:szCs w:val="22"/>
          <w:lang w:val="fr-CH" w:eastAsia="ja-JP"/>
        </w:rPr>
        <w:t xml:space="preserve"> </w:t>
      </w:r>
      <w:r>
        <w:rPr>
          <w:rFonts w:asciiTheme="minorHAnsi" w:hAnsiTheme="minorHAnsi" w:cstheme="minorHAnsi"/>
          <w:b/>
          <w:iCs/>
          <w:sz w:val="22"/>
          <w:szCs w:val="22"/>
          <w:lang w:val="fr-CH" w:eastAsia="ja-JP"/>
        </w:rPr>
        <w:t xml:space="preserve">; </w:t>
      </w:r>
    </w:p>
    <w:p w14:paraId="01C6F7DC" w14:textId="51076EDC"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donne instruction au Secrétariat de continuer de publier l’état des contributions de chaque Partie sur le site web de la Convention et invite les Parties ayant des contributions </w:t>
      </w:r>
      <w:r w:rsidR="00660BC4">
        <w:rPr>
          <w:rFonts w:asciiTheme="minorHAnsi" w:hAnsiTheme="minorHAnsi" w:cstheme="minorHAnsi"/>
          <w:b/>
          <w:iCs/>
          <w:sz w:val="22"/>
          <w:szCs w:val="22"/>
          <w:lang w:val="fr-CH" w:eastAsia="ja-JP"/>
        </w:rPr>
        <w:t xml:space="preserve">impayées à </w:t>
      </w:r>
      <w:r>
        <w:rPr>
          <w:rFonts w:asciiTheme="minorHAnsi" w:hAnsiTheme="minorHAnsi" w:cstheme="minorHAnsi"/>
          <w:b/>
          <w:iCs/>
          <w:sz w:val="22"/>
          <w:szCs w:val="22"/>
          <w:lang w:val="fr-CH" w:eastAsia="ja-JP"/>
        </w:rPr>
        <w:t xml:space="preserve">accepter un plan de </w:t>
      </w:r>
      <w:r w:rsidR="00660BC4">
        <w:rPr>
          <w:rFonts w:asciiTheme="minorHAnsi" w:hAnsiTheme="minorHAnsi" w:cstheme="minorHAnsi"/>
          <w:b/>
          <w:iCs/>
          <w:sz w:val="22"/>
          <w:szCs w:val="22"/>
          <w:lang w:val="fr-CH" w:eastAsia="ja-JP"/>
        </w:rPr>
        <w:t>versement</w:t>
      </w:r>
      <w:r>
        <w:rPr>
          <w:rFonts w:asciiTheme="minorHAnsi" w:hAnsiTheme="minorHAnsi" w:cstheme="minorHAnsi"/>
          <w:b/>
          <w:iCs/>
          <w:sz w:val="22"/>
          <w:szCs w:val="22"/>
          <w:lang w:val="fr-CH" w:eastAsia="ja-JP"/>
        </w:rPr>
        <w:t xml:space="preserve"> en </w:t>
      </w:r>
      <w:r w:rsidR="00660BC4">
        <w:rPr>
          <w:rFonts w:asciiTheme="minorHAnsi" w:hAnsiTheme="minorHAnsi" w:cstheme="minorHAnsi"/>
          <w:b/>
          <w:iCs/>
          <w:sz w:val="22"/>
          <w:szCs w:val="22"/>
          <w:lang w:val="fr-CH" w:eastAsia="ja-JP"/>
        </w:rPr>
        <w:t>concertation</w:t>
      </w:r>
      <w:r>
        <w:rPr>
          <w:rFonts w:asciiTheme="minorHAnsi" w:hAnsiTheme="minorHAnsi" w:cstheme="minorHAnsi"/>
          <w:b/>
          <w:iCs/>
          <w:sz w:val="22"/>
          <w:szCs w:val="22"/>
          <w:lang w:val="fr-CH" w:eastAsia="ja-JP"/>
        </w:rPr>
        <w:t xml:space="preserve"> avec le Secrétariat ; et </w:t>
      </w:r>
    </w:p>
    <w:p w14:paraId="491F6666" w14:textId="7870C803" w:rsidR="00085D52" w:rsidRPr="002D340E" w:rsidRDefault="000263AC" w:rsidP="00085D52">
      <w:pPr>
        <w:pStyle w:val="NormalWeb"/>
        <w:widowControl w:val="0"/>
        <w:numPr>
          <w:ilvl w:val="0"/>
          <w:numId w:val="28"/>
        </w:numPr>
        <w:adjustRightInd w:val="0"/>
        <w:spacing w:after="0"/>
        <w:ind w:left="426"/>
        <w:textAlignment w:val="baseline"/>
        <w:rPr>
          <w:rFonts w:asciiTheme="minorHAnsi" w:hAnsiTheme="minorHAnsi" w:cstheme="minorHAnsi"/>
          <w:b/>
          <w:iCs/>
          <w:sz w:val="22"/>
          <w:szCs w:val="22"/>
          <w:lang w:val="fr-CH" w:eastAsia="ja-JP"/>
        </w:rPr>
      </w:pPr>
      <w:r>
        <w:rPr>
          <w:rFonts w:asciiTheme="minorHAnsi" w:hAnsiTheme="minorHAnsi" w:cstheme="minorHAnsi"/>
          <w:b/>
          <w:iCs/>
          <w:sz w:val="22"/>
          <w:szCs w:val="22"/>
          <w:lang w:val="fr-CH" w:eastAsia="ja-JP"/>
        </w:rPr>
        <w:t xml:space="preserve">donne instruction au Secrétariat de collaborer avec les Parties qui ont pu verser leurs contributions </w:t>
      </w:r>
      <w:r w:rsidR="00117C19">
        <w:rPr>
          <w:rFonts w:asciiTheme="minorHAnsi" w:hAnsiTheme="minorHAnsi" w:cstheme="minorHAnsi"/>
          <w:b/>
          <w:iCs/>
          <w:sz w:val="22"/>
          <w:szCs w:val="22"/>
          <w:lang w:val="fr-CH" w:eastAsia="ja-JP"/>
        </w:rPr>
        <w:t>à recevoir</w:t>
      </w:r>
      <w:r>
        <w:rPr>
          <w:rFonts w:asciiTheme="minorHAnsi" w:hAnsiTheme="minorHAnsi" w:cstheme="minorHAnsi"/>
          <w:b/>
          <w:iCs/>
          <w:sz w:val="22"/>
          <w:szCs w:val="22"/>
          <w:lang w:val="fr-CH" w:eastAsia="ja-JP"/>
        </w:rPr>
        <w:t>, en particulier depuis longtemps, afin d’identifier de bonnes pratiques et des efforts qui pourraient être partagés.</w:t>
      </w:r>
      <w:r w:rsidR="00085D52" w:rsidRPr="002D340E">
        <w:rPr>
          <w:rFonts w:asciiTheme="minorHAnsi" w:hAnsiTheme="minorHAnsi" w:cstheme="minorHAnsi"/>
          <w:b/>
          <w:iCs/>
          <w:sz w:val="22"/>
          <w:szCs w:val="22"/>
          <w:lang w:val="fr-CH" w:eastAsia="ja-JP"/>
        </w:rPr>
        <w:t xml:space="preserve"> </w:t>
      </w:r>
    </w:p>
    <w:p w14:paraId="71362E14" w14:textId="085FD23F" w:rsidR="00085D52" w:rsidRPr="002D340E" w:rsidRDefault="00085D52" w:rsidP="00085D52">
      <w:pPr>
        <w:pStyle w:val="NormalWeb"/>
        <w:widowControl w:val="0"/>
        <w:adjustRightInd w:val="0"/>
        <w:spacing w:after="0"/>
        <w:textAlignment w:val="baseline"/>
        <w:rPr>
          <w:rFonts w:asciiTheme="minorHAnsi" w:hAnsiTheme="minorHAnsi" w:cstheme="minorHAnsi"/>
          <w:b/>
          <w:iCs/>
          <w:sz w:val="22"/>
          <w:szCs w:val="22"/>
          <w:lang w:val="fr-CH" w:eastAsia="ja-JP"/>
        </w:rPr>
      </w:pPr>
    </w:p>
    <w:p w14:paraId="2D395F14" w14:textId="2F6969B8" w:rsidR="00085D52" w:rsidRPr="002D340E" w:rsidRDefault="00085D52" w:rsidP="00085D52">
      <w:pPr>
        <w:pStyle w:val="NormalWeb"/>
        <w:widowControl w:val="0"/>
        <w:adjustRightInd w:val="0"/>
        <w:spacing w:after="0"/>
        <w:textAlignment w:val="baseline"/>
        <w:rPr>
          <w:rFonts w:asciiTheme="minorHAnsi" w:hAnsiTheme="minorHAnsi" w:cstheme="minorHAnsi"/>
          <w:b/>
          <w:sz w:val="22"/>
          <w:szCs w:val="22"/>
          <w:lang w:val="fr-CH"/>
        </w:rPr>
      </w:pPr>
      <w:r w:rsidRPr="002D340E">
        <w:rPr>
          <w:rFonts w:ascii="Calibri" w:hAnsi="Calibri" w:cstheme="minorHAnsi"/>
          <w:b/>
          <w:sz w:val="22"/>
          <w:szCs w:val="22"/>
          <w:lang w:val="fr-CH" w:eastAsia="en-US"/>
        </w:rPr>
        <w:t>D</w:t>
      </w:r>
      <w:r w:rsidR="000832E2"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6</w:t>
      </w:r>
      <w:r w:rsidR="000832E2"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0832E2" w:rsidRPr="002D340E">
        <w:rPr>
          <w:rFonts w:asciiTheme="minorHAnsi" w:hAnsiTheme="minorHAnsi" w:cstheme="minorHAnsi"/>
          <w:b/>
          <w:sz w:val="22"/>
          <w:szCs w:val="22"/>
          <w:lang w:val="fr-CH"/>
        </w:rPr>
        <w:t xml:space="preserve">Le Comité permanent </w:t>
      </w:r>
      <w:r w:rsidR="001B2798" w:rsidRPr="002D340E">
        <w:rPr>
          <w:rFonts w:asciiTheme="minorHAnsi" w:hAnsiTheme="minorHAnsi" w:cstheme="minorHAnsi"/>
          <w:b/>
          <w:sz w:val="22"/>
          <w:szCs w:val="22"/>
          <w:lang w:val="fr-CH"/>
        </w:rPr>
        <w:t xml:space="preserve">prend note </w:t>
      </w:r>
      <w:r w:rsidRPr="002D340E">
        <w:rPr>
          <w:rFonts w:asciiTheme="minorHAnsi" w:hAnsiTheme="minorHAnsi" w:cstheme="minorHAnsi"/>
          <w:b/>
          <w:sz w:val="22"/>
          <w:szCs w:val="22"/>
          <w:lang w:val="fr-CH"/>
        </w:rPr>
        <w:t>:</w:t>
      </w:r>
    </w:p>
    <w:p w14:paraId="0D01573D" w14:textId="2E8ED15D" w:rsidR="00085D52" w:rsidRPr="002D340E" w:rsidRDefault="00653D89" w:rsidP="00085D52">
      <w:pPr>
        <w:pStyle w:val="Default"/>
        <w:numPr>
          <w:ilvl w:val="0"/>
          <w:numId w:val="30"/>
        </w:numPr>
        <w:ind w:left="426"/>
        <w:rPr>
          <w:rFonts w:asciiTheme="minorHAnsi" w:hAnsiTheme="minorHAnsi" w:cstheme="minorHAnsi"/>
          <w:b/>
          <w:color w:val="auto"/>
          <w:sz w:val="22"/>
          <w:szCs w:val="22"/>
          <w:lang w:val="fr-CH"/>
        </w:rPr>
      </w:pPr>
      <w:r>
        <w:rPr>
          <w:rFonts w:asciiTheme="minorHAnsi" w:hAnsiTheme="minorHAnsi" w:cstheme="minorHAnsi"/>
          <w:b/>
          <w:color w:val="auto"/>
          <w:sz w:val="22"/>
          <w:szCs w:val="22"/>
          <w:lang w:val="fr-CH"/>
        </w:rPr>
        <w:t xml:space="preserve">des </w:t>
      </w:r>
      <w:r w:rsidRPr="00653D89">
        <w:rPr>
          <w:rFonts w:asciiTheme="minorHAnsi" w:hAnsiTheme="minorHAnsi" w:cstheme="minorHAnsi"/>
          <w:b/>
          <w:color w:val="auto"/>
          <w:sz w:val="22"/>
          <w:szCs w:val="22"/>
          <w:lang w:val="fr-CH"/>
        </w:rPr>
        <w:t>changements dans les contributions annuelles à recevoir et dans les provisions annuelles pour les contributions à recevoir</w:t>
      </w:r>
      <w:r w:rsidR="000263AC">
        <w:rPr>
          <w:rFonts w:asciiTheme="minorHAnsi" w:hAnsiTheme="minorHAnsi" w:cstheme="minorHAnsi"/>
          <w:b/>
          <w:color w:val="auto"/>
          <w:sz w:val="22"/>
          <w:szCs w:val="22"/>
          <w:lang w:val="fr-CH"/>
        </w:rPr>
        <w:t> ;</w:t>
      </w:r>
    </w:p>
    <w:p w14:paraId="077C71E4" w14:textId="6BC2692F" w:rsidR="00085D52" w:rsidRPr="002D340E" w:rsidRDefault="00653D89" w:rsidP="00085D52">
      <w:pPr>
        <w:pStyle w:val="Default"/>
        <w:numPr>
          <w:ilvl w:val="0"/>
          <w:numId w:val="30"/>
        </w:numPr>
        <w:ind w:left="426"/>
        <w:rPr>
          <w:rFonts w:asciiTheme="minorHAnsi" w:hAnsiTheme="minorHAnsi" w:cstheme="minorHAnsi"/>
          <w:b/>
          <w:color w:val="auto"/>
          <w:sz w:val="22"/>
          <w:szCs w:val="22"/>
          <w:lang w:val="fr-CH"/>
        </w:rPr>
      </w:pPr>
      <w:r w:rsidRPr="00653D89">
        <w:rPr>
          <w:rFonts w:asciiTheme="minorHAnsi" w:hAnsiTheme="minorHAnsi" w:cstheme="minorHAnsi"/>
          <w:b/>
          <w:color w:val="auto"/>
          <w:sz w:val="22"/>
          <w:szCs w:val="22"/>
          <w:lang w:val="fr-CH"/>
        </w:rPr>
        <w:t>de l’état actuel des contributions volontaires de la région Afrique</w:t>
      </w:r>
      <w:r w:rsidR="000263AC">
        <w:rPr>
          <w:rFonts w:asciiTheme="minorHAnsi" w:hAnsiTheme="minorHAnsi" w:cstheme="minorHAnsi"/>
          <w:b/>
          <w:color w:val="auto"/>
          <w:sz w:val="22"/>
          <w:szCs w:val="22"/>
          <w:lang w:val="fr-CH"/>
        </w:rPr>
        <w:t xml:space="preserve">; et </w:t>
      </w:r>
    </w:p>
    <w:p w14:paraId="4C29EA2E" w14:textId="1BD2238B" w:rsidR="00085D52" w:rsidRPr="002D340E" w:rsidRDefault="000263AC" w:rsidP="00085D52">
      <w:pPr>
        <w:pStyle w:val="Default"/>
        <w:numPr>
          <w:ilvl w:val="0"/>
          <w:numId w:val="30"/>
        </w:numPr>
        <w:ind w:left="426"/>
        <w:rPr>
          <w:iCs/>
          <w:lang w:val="fr-CH" w:eastAsia="ja-JP"/>
        </w:rPr>
      </w:pPr>
      <w:r>
        <w:rPr>
          <w:rFonts w:asciiTheme="minorHAnsi" w:hAnsiTheme="minorHAnsi" w:cstheme="minorHAnsi"/>
          <w:b/>
          <w:color w:val="auto"/>
          <w:sz w:val="22"/>
          <w:szCs w:val="22"/>
          <w:lang w:val="fr-CH"/>
        </w:rPr>
        <w:t>de la décision concernant l’attribution de fonds aux Initiatives région</w:t>
      </w:r>
      <w:r w:rsidR="00935533">
        <w:rPr>
          <w:rFonts w:asciiTheme="minorHAnsi" w:hAnsiTheme="minorHAnsi" w:cstheme="minorHAnsi"/>
          <w:b/>
          <w:color w:val="auto"/>
          <w:sz w:val="22"/>
          <w:szCs w:val="22"/>
          <w:lang w:val="fr-CH"/>
        </w:rPr>
        <w:t>ales Ramsar en Afrique par les r</w:t>
      </w:r>
      <w:r>
        <w:rPr>
          <w:rFonts w:asciiTheme="minorHAnsi" w:hAnsiTheme="minorHAnsi" w:cstheme="minorHAnsi"/>
          <w:b/>
          <w:color w:val="auto"/>
          <w:sz w:val="22"/>
          <w:szCs w:val="22"/>
          <w:lang w:val="fr-CH"/>
        </w:rPr>
        <w:t xml:space="preserve">eprésentants régionaux africains, comme suit : </w:t>
      </w:r>
      <w:r w:rsidR="00085D52" w:rsidRPr="002D340E">
        <w:rPr>
          <w:rFonts w:asciiTheme="minorHAnsi" w:hAnsiTheme="minorHAnsi" w:cstheme="minorHAnsi"/>
          <w:b/>
          <w:color w:val="auto"/>
          <w:sz w:val="22"/>
          <w:szCs w:val="22"/>
          <w:lang w:val="fr-CH"/>
        </w:rPr>
        <w:t>30</w:t>
      </w:r>
      <w:r>
        <w:rPr>
          <w:rFonts w:asciiTheme="minorHAnsi" w:hAnsiTheme="minorHAnsi" w:cstheme="minorHAnsi"/>
          <w:b/>
          <w:color w:val="auto"/>
          <w:sz w:val="22"/>
          <w:szCs w:val="22"/>
          <w:lang w:val="fr-CH"/>
        </w:rPr>
        <w:t> </w:t>
      </w:r>
      <w:r w:rsidR="00085D52" w:rsidRPr="002D340E">
        <w:rPr>
          <w:rFonts w:asciiTheme="minorHAnsi" w:hAnsiTheme="minorHAnsi" w:cstheme="minorHAnsi"/>
          <w:b/>
          <w:color w:val="auto"/>
          <w:sz w:val="22"/>
          <w:szCs w:val="22"/>
          <w:lang w:val="fr-CH"/>
        </w:rPr>
        <w:t>333</w:t>
      </w:r>
      <w:r>
        <w:rPr>
          <w:rFonts w:asciiTheme="minorHAnsi" w:hAnsiTheme="minorHAnsi" w:cstheme="minorHAnsi"/>
          <w:b/>
          <w:color w:val="auto"/>
          <w:sz w:val="22"/>
          <w:szCs w:val="22"/>
          <w:lang w:val="fr-CH"/>
        </w:rPr>
        <w:t> CHF chacune</w:t>
      </w:r>
      <w:r w:rsidR="00653D89">
        <w:rPr>
          <w:rFonts w:asciiTheme="minorHAnsi" w:hAnsiTheme="minorHAnsi" w:cstheme="minorHAnsi"/>
          <w:b/>
          <w:color w:val="auto"/>
          <w:sz w:val="22"/>
          <w:szCs w:val="22"/>
          <w:lang w:val="fr-CH"/>
        </w:rPr>
        <w:t xml:space="preserve"> à</w:t>
      </w:r>
      <w:r>
        <w:rPr>
          <w:rFonts w:asciiTheme="minorHAnsi" w:hAnsiTheme="minorHAnsi" w:cstheme="minorHAnsi"/>
          <w:b/>
          <w:color w:val="auto"/>
          <w:sz w:val="22"/>
          <w:szCs w:val="22"/>
          <w:lang w:val="fr-CH"/>
        </w:rPr>
        <w:t xml:space="preserve"> </w:t>
      </w:r>
      <w:r w:rsidR="00085D52" w:rsidRPr="002D340E">
        <w:rPr>
          <w:rFonts w:asciiTheme="minorHAnsi" w:hAnsiTheme="minorHAnsi" w:cstheme="minorHAnsi"/>
          <w:b/>
          <w:color w:val="auto"/>
          <w:sz w:val="22"/>
          <w:szCs w:val="22"/>
          <w:lang w:val="fr-CH"/>
        </w:rPr>
        <w:t xml:space="preserve">RamCEA, WACoWet </w:t>
      </w:r>
      <w:r>
        <w:rPr>
          <w:rFonts w:asciiTheme="minorHAnsi" w:hAnsiTheme="minorHAnsi" w:cstheme="minorHAnsi"/>
          <w:b/>
          <w:color w:val="auto"/>
          <w:sz w:val="22"/>
          <w:szCs w:val="22"/>
          <w:lang w:val="fr-CH"/>
        </w:rPr>
        <w:t>et</w:t>
      </w:r>
      <w:r w:rsidR="00085D52" w:rsidRPr="002D340E">
        <w:rPr>
          <w:rFonts w:asciiTheme="minorHAnsi" w:hAnsiTheme="minorHAnsi" w:cstheme="minorHAnsi"/>
          <w:b/>
          <w:color w:val="auto"/>
          <w:sz w:val="22"/>
          <w:szCs w:val="22"/>
          <w:lang w:val="fr-CH"/>
        </w:rPr>
        <w:t xml:space="preserve"> NigerWet.</w:t>
      </w:r>
      <w:r w:rsidR="00085D52" w:rsidRPr="002D340E">
        <w:rPr>
          <w:iCs/>
          <w:lang w:val="fr-CH" w:eastAsia="ja-JP"/>
        </w:rPr>
        <w:tab/>
      </w:r>
    </w:p>
    <w:p w14:paraId="7F09C2F2" w14:textId="77777777" w:rsidR="00085D52" w:rsidRPr="002D340E" w:rsidRDefault="00085D52" w:rsidP="00085D52">
      <w:pPr>
        <w:pStyle w:val="NormalWeb"/>
        <w:spacing w:after="0"/>
        <w:rPr>
          <w:rFonts w:asciiTheme="minorHAnsi" w:hAnsiTheme="minorHAnsi" w:cstheme="minorHAnsi"/>
          <w:sz w:val="22"/>
          <w:szCs w:val="22"/>
          <w:lang w:val="fr-CH" w:eastAsia="ja-JP"/>
        </w:rPr>
      </w:pPr>
    </w:p>
    <w:p w14:paraId="20B0BDAE" w14:textId="434FB3E3" w:rsidR="00085D52" w:rsidRPr="002D340E" w:rsidRDefault="00E91DE3" w:rsidP="00E91DE3">
      <w:pPr>
        <w:pStyle w:val="NormalWeb"/>
        <w:spacing w:after="0"/>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1B2798"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SC2</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7</w:t>
      </w:r>
      <w:r w:rsidR="001B2798"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1B2798" w:rsidRPr="002D340E">
        <w:rPr>
          <w:rFonts w:asciiTheme="minorHAnsi" w:hAnsiTheme="minorHAnsi" w:cstheme="minorHAnsi"/>
          <w:b/>
          <w:sz w:val="22"/>
          <w:szCs w:val="22"/>
          <w:lang w:val="fr-CH"/>
        </w:rPr>
        <w:t xml:space="preserve">Le Comité permanent </w:t>
      </w:r>
      <w:r w:rsidR="000263AC">
        <w:rPr>
          <w:rFonts w:asciiTheme="minorHAnsi" w:hAnsiTheme="minorHAnsi" w:cstheme="minorHAnsi"/>
          <w:b/>
          <w:iCs/>
          <w:sz w:val="22"/>
          <w:szCs w:val="22"/>
          <w:lang w:val="fr-CH" w:eastAsia="ja-JP"/>
        </w:rPr>
        <w:t xml:space="preserve">prend </w:t>
      </w:r>
      <w:r w:rsidR="00653D89" w:rsidRPr="00653D89">
        <w:rPr>
          <w:rFonts w:asciiTheme="minorHAnsi" w:hAnsiTheme="minorHAnsi" w:cstheme="minorHAnsi"/>
          <w:b/>
          <w:iCs/>
          <w:sz w:val="22"/>
          <w:szCs w:val="22"/>
          <w:lang w:val="fr-CH" w:eastAsia="ja-JP"/>
        </w:rPr>
        <w:t xml:space="preserve">note des progrès accomplis concernant la mise en œuvre des recommandations issues de l’Examen de la gestion financière des comptes des fonds non administratifs réalisé par l’UICN </w:t>
      </w:r>
      <w:r w:rsidR="00653D89">
        <w:rPr>
          <w:rFonts w:asciiTheme="minorHAnsi" w:hAnsiTheme="minorHAnsi" w:cstheme="minorHAnsi"/>
          <w:b/>
          <w:iCs/>
          <w:sz w:val="22"/>
          <w:szCs w:val="22"/>
          <w:lang w:val="fr-CH" w:eastAsia="ja-JP"/>
        </w:rPr>
        <w:t xml:space="preserve">et </w:t>
      </w:r>
      <w:r w:rsidR="00653D89" w:rsidRPr="00653D89">
        <w:rPr>
          <w:rFonts w:asciiTheme="minorHAnsi" w:hAnsiTheme="minorHAnsi" w:cstheme="minorHAnsi"/>
          <w:b/>
          <w:iCs/>
          <w:sz w:val="22"/>
          <w:szCs w:val="22"/>
          <w:lang w:val="fr-CH" w:eastAsia="ja-JP"/>
        </w:rPr>
        <w:t>approuve la proposition relative à l’utilisation des frais de gestion, comme décrit au paragraphe 43</w:t>
      </w:r>
      <w:r w:rsidR="000263AC">
        <w:rPr>
          <w:rFonts w:asciiTheme="minorHAnsi" w:hAnsiTheme="minorHAnsi" w:cstheme="minorHAnsi"/>
          <w:b/>
          <w:iCs/>
          <w:sz w:val="22"/>
          <w:szCs w:val="22"/>
          <w:lang w:val="fr-CH" w:eastAsia="ja-JP"/>
        </w:rPr>
        <w:t xml:space="preserve"> du document </w:t>
      </w:r>
      <w:r w:rsidRPr="002D340E">
        <w:rPr>
          <w:rFonts w:ascii="Calibri" w:hAnsi="Calibri" w:cstheme="minorHAnsi"/>
          <w:b/>
          <w:sz w:val="22"/>
          <w:szCs w:val="22"/>
          <w:lang w:val="fr-CH" w:eastAsia="en-US"/>
        </w:rPr>
        <w:t>SC58 Doc.8.</w:t>
      </w:r>
      <w:r w:rsidR="00653D89">
        <w:rPr>
          <w:rFonts w:ascii="Calibri" w:hAnsi="Calibri" w:cstheme="minorHAnsi"/>
          <w:b/>
          <w:sz w:val="22"/>
          <w:szCs w:val="22"/>
          <w:lang w:val="fr-CH" w:eastAsia="en-US"/>
        </w:rPr>
        <w:t>2</w:t>
      </w:r>
      <w:r w:rsidR="00085D52" w:rsidRPr="002D340E">
        <w:rPr>
          <w:rFonts w:asciiTheme="minorHAnsi" w:hAnsiTheme="minorHAnsi" w:cstheme="minorHAnsi"/>
          <w:b/>
          <w:iCs/>
          <w:sz w:val="22"/>
          <w:szCs w:val="22"/>
          <w:lang w:val="fr-CH" w:eastAsia="ja-JP"/>
        </w:rPr>
        <w:t>.</w:t>
      </w:r>
    </w:p>
    <w:p w14:paraId="37698066" w14:textId="77777777" w:rsidR="00085D52" w:rsidRPr="002D340E" w:rsidRDefault="00085D52" w:rsidP="00085D52">
      <w:pPr>
        <w:pStyle w:val="NormalWeb"/>
        <w:spacing w:after="0"/>
        <w:rPr>
          <w:rFonts w:asciiTheme="minorHAnsi" w:hAnsiTheme="minorHAnsi"/>
          <w:b/>
          <w:sz w:val="22"/>
          <w:lang w:val="fr-CH"/>
        </w:rPr>
      </w:pPr>
    </w:p>
    <w:p w14:paraId="42B1FA28" w14:textId="69650E02" w:rsidR="00085D52" w:rsidRPr="002D340E" w:rsidRDefault="00E91DE3" w:rsidP="00E91DE3">
      <w:pPr>
        <w:pStyle w:val="NormalWeb"/>
        <w:spacing w:after="0"/>
        <w:rPr>
          <w:rFonts w:asciiTheme="minorHAnsi" w:hAnsiTheme="minorHAnsi" w:cstheme="minorHAnsi"/>
          <w:b/>
          <w:iCs/>
          <w:sz w:val="22"/>
          <w:szCs w:val="22"/>
          <w:lang w:val="fr-CH" w:eastAsia="ja-JP"/>
        </w:rPr>
      </w:pPr>
      <w:r w:rsidRPr="002D340E">
        <w:rPr>
          <w:rFonts w:ascii="Calibri" w:hAnsi="Calibri" w:cstheme="minorHAnsi"/>
          <w:b/>
          <w:sz w:val="22"/>
          <w:szCs w:val="22"/>
          <w:lang w:val="fr-CH" w:eastAsia="en-US"/>
        </w:rPr>
        <w:t>D</w:t>
      </w:r>
      <w:r w:rsidR="001B2798" w:rsidRPr="002D340E">
        <w:rPr>
          <w:rFonts w:ascii="Calibri" w:hAnsi="Calibri" w:cstheme="minorHAnsi"/>
          <w:b/>
          <w:sz w:val="22"/>
          <w:szCs w:val="22"/>
          <w:lang w:val="fr-CH" w:eastAsia="en-US"/>
        </w:rPr>
        <w:t>é</w:t>
      </w:r>
      <w:r w:rsidRPr="002D340E">
        <w:rPr>
          <w:rFonts w:ascii="Calibri" w:hAnsi="Calibri" w:cstheme="minorHAnsi"/>
          <w:b/>
          <w:sz w:val="22"/>
          <w:szCs w:val="22"/>
          <w:lang w:val="fr-CH" w:eastAsia="en-US"/>
        </w:rPr>
        <w:t>cision SC2</w:t>
      </w:r>
      <w:r w:rsidR="00406F3B">
        <w:rPr>
          <w:rFonts w:ascii="Calibri" w:hAnsi="Calibri" w:cstheme="minorHAnsi"/>
          <w:b/>
          <w:sz w:val="22"/>
          <w:szCs w:val="22"/>
          <w:lang w:val="fr-CH" w:eastAsia="en-US"/>
        </w:rPr>
        <w:t>58</w:t>
      </w:r>
      <w:r w:rsidRPr="002D340E">
        <w:rPr>
          <w:rFonts w:ascii="Calibri" w:hAnsi="Calibri" w:cstheme="minorHAnsi"/>
          <w:b/>
          <w:sz w:val="22"/>
          <w:szCs w:val="22"/>
          <w:lang w:val="fr-CH" w:eastAsia="en-US"/>
        </w:rPr>
        <w:t>-</w:t>
      </w:r>
      <w:r w:rsidR="001A123C" w:rsidRPr="002D340E">
        <w:rPr>
          <w:rFonts w:ascii="Calibri" w:hAnsi="Calibri" w:cstheme="minorHAnsi"/>
          <w:b/>
          <w:sz w:val="22"/>
          <w:szCs w:val="22"/>
          <w:lang w:val="fr-CH" w:eastAsia="en-US"/>
        </w:rPr>
        <w:t>1</w:t>
      </w:r>
      <w:r w:rsidR="00406F3B">
        <w:rPr>
          <w:rFonts w:ascii="Calibri" w:hAnsi="Calibri" w:cstheme="minorHAnsi"/>
          <w:b/>
          <w:sz w:val="22"/>
          <w:szCs w:val="22"/>
          <w:lang w:val="fr-CH" w:eastAsia="en-US"/>
        </w:rPr>
        <w:t>8</w:t>
      </w:r>
      <w:r w:rsidR="001B2798" w:rsidRPr="002D340E">
        <w:rPr>
          <w:rFonts w:ascii="Calibri" w:hAnsi="Calibri" w:cstheme="minorHAnsi"/>
          <w:b/>
          <w:sz w:val="22"/>
          <w:szCs w:val="22"/>
          <w:lang w:val="fr-CH" w:eastAsia="en-US"/>
        </w:rPr>
        <w:t xml:space="preserve"> </w:t>
      </w:r>
      <w:r w:rsidRPr="002D340E">
        <w:rPr>
          <w:rFonts w:ascii="Calibri" w:hAnsi="Calibri" w:cstheme="minorHAnsi"/>
          <w:b/>
          <w:sz w:val="22"/>
          <w:szCs w:val="22"/>
          <w:lang w:val="fr-CH" w:eastAsia="en-US"/>
        </w:rPr>
        <w:t xml:space="preserve">: </w:t>
      </w:r>
      <w:r w:rsidR="001B2798" w:rsidRPr="002D340E">
        <w:rPr>
          <w:rFonts w:asciiTheme="minorHAnsi" w:hAnsiTheme="minorHAnsi" w:cstheme="minorHAnsi"/>
          <w:b/>
          <w:sz w:val="22"/>
          <w:szCs w:val="22"/>
          <w:lang w:val="fr-CH"/>
        </w:rPr>
        <w:t xml:space="preserve">Le Comité permanent </w:t>
      </w:r>
      <w:r w:rsidR="001E2CA6">
        <w:rPr>
          <w:rFonts w:asciiTheme="minorHAnsi" w:hAnsiTheme="minorHAnsi" w:cstheme="minorHAnsi"/>
          <w:b/>
          <w:sz w:val="22"/>
          <w:szCs w:val="22"/>
          <w:lang w:val="fr-CH"/>
        </w:rPr>
        <w:t xml:space="preserve">examine </w:t>
      </w:r>
      <w:r w:rsidR="00653D89" w:rsidRPr="00653D89">
        <w:rPr>
          <w:rFonts w:asciiTheme="minorHAnsi" w:hAnsiTheme="minorHAnsi" w:cstheme="minorHAnsi"/>
          <w:b/>
          <w:sz w:val="22"/>
          <w:szCs w:val="22"/>
          <w:lang w:val="fr-CH"/>
        </w:rPr>
        <w:t>la proposition de l’auditeur externe des comptes concernant une approche de groupe pour confirmer les soldes impayés des Parties contractantes en réponse à la Décision SC57-40, et approuve la marche à suivre proposée aux paragraphes 50 et 51</w:t>
      </w:r>
      <w:r w:rsidR="00653D89">
        <w:rPr>
          <w:rFonts w:asciiTheme="minorHAnsi" w:hAnsiTheme="minorHAnsi" w:cstheme="minorHAnsi"/>
          <w:b/>
          <w:sz w:val="22"/>
          <w:szCs w:val="22"/>
          <w:lang w:val="fr-CH"/>
        </w:rPr>
        <w:t xml:space="preserve"> </w:t>
      </w:r>
      <w:r w:rsidR="004F4A7F">
        <w:rPr>
          <w:rFonts w:asciiTheme="minorHAnsi" w:hAnsiTheme="minorHAnsi" w:cstheme="minorHAnsi"/>
          <w:b/>
          <w:iCs/>
          <w:sz w:val="22"/>
          <w:szCs w:val="22"/>
          <w:lang w:val="fr-CH" w:eastAsia="ja-JP"/>
        </w:rPr>
        <w:t xml:space="preserve">du </w:t>
      </w:r>
      <w:r w:rsidRPr="002D340E">
        <w:rPr>
          <w:rFonts w:ascii="Calibri" w:hAnsi="Calibri" w:cstheme="minorHAnsi"/>
          <w:b/>
          <w:sz w:val="22"/>
          <w:szCs w:val="22"/>
          <w:lang w:val="fr-CH" w:eastAsia="en-US"/>
        </w:rPr>
        <w:t>document SC58 Doc.8.</w:t>
      </w:r>
      <w:r w:rsidR="00653D89">
        <w:rPr>
          <w:rFonts w:ascii="Calibri" w:hAnsi="Calibri" w:cstheme="minorHAnsi"/>
          <w:b/>
          <w:sz w:val="22"/>
          <w:szCs w:val="22"/>
          <w:lang w:val="fr-CH" w:eastAsia="en-US"/>
        </w:rPr>
        <w:t>2</w:t>
      </w:r>
      <w:r w:rsidR="00085D52" w:rsidRPr="002D340E">
        <w:rPr>
          <w:rFonts w:asciiTheme="minorHAnsi" w:hAnsiTheme="minorHAnsi" w:cstheme="minorHAnsi"/>
          <w:b/>
          <w:iCs/>
          <w:sz w:val="22"/>
          <w:szCs w:val="22"/>
          <w:lang w:val="fr-CH" w:eastAsia="ja-JP"/>
        </w:rPr>
        <w:t>.</w:t>
      </w:r>
    </w:p>
    <w:p w14:paraId="5F117FBF" w14:textId="77777777" w:rsidR="00085D52" w:rsidRPr="00653D89" w:rsidRDefault="00085D52" w:rsidP="00085D52">
      <w:pPr>
        <w:pStyle w:val="NormalWeb"/>
        <w:widowControl w:val="0"/>
        <w:adjustRightInd w:val="0"/>
        <w:spacing w:after="0"/>
        <w:textAlignment w:val="baseline"/>
        <w:rPr>
          <w:rFonts w:asciiTheme="minorHAnsi" w:hAnsiTheme="minorHAnsi" w:cstheme="minorHAnsi"/>
          <w:b/>
          <w:i/>
          <w:iCs/>
          <w:sz w:val="22"/>
          <w:szCs w:val="22"/>
          <w:lang w:val="fr-FR" w:eastAsia="ja-JP"/>
        </w:rPr>
      </w:pPr>
    </w:p>
    <w:p w14:paraId="5CFD250A" w14:textId="1E1B84D4" w:rsidR="001500B9" w:rsidRPr="003160CD" w:rsidRDefault="003160CD" w:rsidP="00A33FB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w:t>
      </w:r>
      <w:r>
        <w:rPr>
          <w:rFonts w:cstheme="minorHAnsi"/>
          <w:bCs/>
          <w:lang w:val="fr-FR"/>
        </w:rPr>
        <w:t>9</w:t>
      </w:r>
      <w:r w:rsidRPr="003160CD">
        <w:rPr>
          <w:rFonts w:cstheme="minorHAnsi"/>
          <w:bCs/>
          <w:lang w:val="fr-FR"/>
        </w:rPr>
        <w:t xml:space="preserve"> de l’ordre du jour</w:t>
      </w:r>
      <w:r>
        <w:rPr>
          <w:rFonts w:cstheme="minorHAnsi"/>
          <w:bCs/>
          <w:lang w:val="fr-FR"/>
        </w:rPr>
        <w:t xml:space="preserve"> </w:t>
      </w:r>
      <w:r w:rsidR="00A33FB3" w:rsidRPr="003160CD">
        <w:rPr>
          <w:rFonts w:cstheme="minorHAnsi"/>
          <w:bCs/>
          <w:lang w:val="fr-FR"/>
        </w:rPr>
        <w:t xml:space="preserve">: </w:t>
      </w:r>
      <w:r w:rsidRPr="0074234C">
        <w:rPr>
          <w:rFonts w:cs="Calibri"/>
          <w:lang w:val="fr-CH"/>
        </w:rPr>
        <w:t xml:space="preserve">Révision </w:t>
      </w:r>
      <w:r>
        <w:rPr>
          <w:rFonts w:cs="Calibri"/>
          <w:lang w:val="fr-CH"/>
        </w:rPr>
        <w:t>des décisions sur les points de l’ordre du jour discutés par courriel</w:t>
      </w:r>
    </w:p>
    <w:p w14:paraId="193E29B4" w14:textId="77777777" w:rsidR="00E26A45" w:rsidRPr="003160CD" w:rsidRDefault="00E26A45" w:rsidP="008B3F43">
      <w:pPr>
        <w:spacing w:after="0" w:line="240" w:lineRule="auto"/>
        <w:rPr>
          <w:b/>
          <w:bCs/>
          <w:lang w:val="fr-FR"/>
        </w:rPr>
      </w:pPr>
    </w:p>
    <w:p w14:paraId="0B4EDAF3" w14:textId="78D64EFE" w:rsidR="009343F2" w:rsidRPr="007C390C" w:rsidRDefault="007C390C" w:rsidP="000743FE">
      <w:pPr>
        <w:numPr>
          <w:ilvl w:val="0"/>
          <w:numId w:val="19"/>
        </w:numPr>
        <w:tabs>
          <w:tab w:val="clear" w:pos="720"/>
        </w:tabs>
        <w:spacing w:after="0" w:line="240" w:lineRule="auto"/>
        <w:ind w:left="851" w:hanging="425"/>
        <w:rPr>
          <w:lang w:val="fr-FR"/>
        </w:rPr>
      </w:pPr>
      <w:r>
        <w:rPr>
          <w:rFonts w:cs="Calibri"/>
          <w:lang w:val="fr-CH"/>
        </w:rPr>
        <w:t>Point</w:t>
      </w:r>
      <w:r w:rsidRPr="0074234C">
        <w:rPr>
          <w:rFonts w:cs="Calibri"/>
          <w:lang w:val="fr-CH"/>
        </w:rPr>
        <w:t xml:space="preserve"> 13 de</w:t>
      </w:r>
      <w:r>
        <w:rPr>
          <w:rFonts w:cs="Calibri"/>
          <w:lang w:val="fr-CH"/>
        </w:rPr>
        <w:t xml:space="preserve"> l’ordre du jour</w:t>
      </w:r>
      <w:r w:rsidRPr="007C390C">
        <w:rPr>
          <w:rFonts w:cs="Calibri"/>
          <w:lang w:val="fr-CH"/>
        </w:rPr>
        <w:t xml:space="preserve"> </w:t>
      </w:r>
      <w:r>
        <w:rPr>
          <w:rFonts w:cs="Calibri"/>
          <w:lang w:val="fr-CH"/>
        </w:rPr>
        <w:t>de la 58</w:t>
      </w:r>
      <w:r w:rsidRPr="001B2798">
        <w:rPr>
          <w:rFonts w:cs="Calibri"/>
          <w:vertAlign w:val="superscript"/>
          <w:lang w:val="fr-CH"/>
        </w:rPr>
        <w:t>e</w:t>
      </w:r>
      <w:r>
        <w:rPr>
          <w:rFonts w:cs="Calibri"/>
          <w:lang w:val="fr-CH"/>
        </w:rPr>
        <w:t xml:space="preserve"> Réunion du Comité permanent - </w:t>
      </w:r>
      <w:r>
        <w:rPr>
          <w:rFonts w:cs="Calibri"/>
          <w:i/>
          <w:iCs/>
          <w:lang w:val="fr-CH"/>
        </w:rPr>
        <w:t>Examen de toutes les résolutions et décisions précédentes</w:t>
      </w:r>
    </w:p>
    <w:p w14:paraId="0B605A18" w14:textId="77777777" w:rsidR="0044531D" w:rsidRPr="007C390C" w:rsidRDefault="0044531D" w:rsidP="0044531D">
      <w:pPr>
        <w:spacing w:after="0" w:line="240" w:lineRule="auto"/>
        <w:rPr>
          <w:rFonts w:cs="Calibri"/>
          <w:i/>
          <w:iCs/>
          <w:lang w:val="fr-FR"/>
        </w:rPr>
      </w:pPr>
    </w:p>
    <w:p w14:paraId="38089284" w14:textId="54A88187" w:rsidR="007426AF" w:rsidRPr="004F4A7F" w:rsidRDefault="007426AF" w:rsidP="007426AF">
      <w:pPr>
        <w:spacing w:after="0" w:line="240" w:lineRule="auto"/>
        <w:ind w:left="567" w:hanging="567"/>
        <w:rPr>
          <w:bCs/>
          <w:lang w:val="fr-CH"/>
        </w:rPr>
      </w:pPr>
      <w:r w:rsidRPr="004F4A7F">
        <w:rPr>
          <w:bCs/>
          <w:lang w:val="fr-CH"/>
        </w:rPr>
        <w:t>19.</w:t>
      </w:r>
      <w:r w:rsidRPr="004F4A7F">
        <w:rPr>
          <w:bCs/>
          <w:lang w:val="fr-CH"/>
        </w:rPr>
        <w:tab/>
      </w:r>
      <w:r w:rsidR="004F4A7F">
        <w:rPr>
          <w:bCs/>
          <w:lang w:val="fr-CH"/>
        </w:rPr>
        <w:t>Le</w:t>
      </w:r>
      <w:r w:rsidR="003170EB" w:rsidRPr="004F4A7F">
        <w:rPr>
          <w:bCs/>
          <w:lang w:val="fr-CH"/>
        </w:rPr>
        <w:t xml:space="preserve"> </w:t>
      </w:r>
      <w:r w:rsidR="004F4A7F">
        <w:rPr>
          <w:b/>
          <w:bCs/>
          <w:lang w:val="fr-CH"/>
        </w:rPr>
        <w:t>Secrétaire général adjoint</w:t>
      </w:r>
      <w:r w:rsidR="004F4A7F">
        <w:rPr>
          <w:bCs/>
          <w:lang w:val="fr-CH"/>
        </w:rPr>
        <w:t xml:space="preserve"> décrit le processus à ce jour. Des commentaires des Parties contractantes ont été reçus et distribués aux participants à la </w:t>
      </w:r>
      <w:r w:rsidR="00932D74">
        <w:rPr>
          <w:bCs/>
          <w:lang w:val="fr-CH"/>
        </w:rPr>
        <w:t>séance</w:t>
      </w:r>
      <w:r w:rsidR="004F4A7F">
        <w:rPr>
          <w:bCs/>
          <w:lang w:val="fr-CH"/>
        </w:rPr>
        <w:t xml:space="preserve">. Celles qui ont participé à la discussion reconnaissent la valeur des travaux déjà entrepris et estiment qu’il est important que ces travaux se poursuivent. Il est souligné que l’intention n’a jamais été de procéder à un </w:t>
      </w:r>
      <w:r w:rsidR="004F4A7F">
        <w:rPr>
          <w:bCs/>
          <w:lang w:val="fr-CH"/>
        </w:rPr>
        <w:lastRenderedPageBreak/>
        <w:t>examen complet</w:t>
      </w:r>
      <w:r w:rsidR="00117C19">
        <w:rPr>
          <w:bCs/>
          <w:lang w:val="fr-CH"/>
        </w:rPr>
        <w:t>,</w:t>
      </w:r>
      <w:r w:rsidR="004F4A7F">
        <w:rPr>
          <w:bCs/>
          <w:lang w:val="fr-CH"/>
        </w:rPr>
        <w:t xml:space="preserve"> à termine</w:t>
      </w:r>
      <w:r w:rsidR="005A716C">
        <w:rPr>
          <w:bCs/>
          <w:lang w:val="fr-CH"/>
        </w:rPr>
        <w:t>r</w:t>
      </w:r>
      <w:r w:rsidR="004F4A7F">
        <w:rPr>
          <w:bCs/>
          <w:lang w:val="fr-CH"/>
        </w:rPr>
        <w:t xml:space="preserve"> avant la COP14, mais qu’il faut des orientations claires sur la manière de procéder.  </w:t>
      </w:r>
    </w:p>
    <w:p w14:paraId="3BE9B396" w14:textId="77777777" w:rsidR="007426AF" w:rsidRPr="004F4A7F" w:rsidRDefault="007426AF" w:rsidP="007426AF">
      <w:pPr>
        <w:spacing w:after="0" w:line="240" w:lineRule="auto"/>
        <w:ind w:left="567" w:hanging="567"/>
        <w:rPr>
          <w:bCs/>
          <w:lang w:val="fr-CH"/>
        </w:rPr>
      </w:pPr>
    </w:p>
    <w:p w14:paraId="0F9B4EF9" w14:textId="59276D16" w:rsidR="007426AF" w:rsidRPr="00453C63" w:rsidRDefault="00006745" w:rsidP="007426AF">
      <w:pPr>
        <w:spacing w:after="0" w:line="240" w:lineRule="auto"/>
        <w:ind w:left="567" w:hanging="567"/>
        <w:rPr>
          <w:bCs/>
          <w:lang w:val="fr-CH"/>
        </w:rPr>
      </w:pPr>
      <w:r w:rsidRPr="004F4A7F">
        <w:rPr>
          <w:bCs/>
          <w:lang w:val="fr-CH"/>
        </w:rPr>
        <w:t>20.</w:t>
      </w:r>
      <w:r w:rsidRPr="004F4A7F">
        <w:rPr>
          <w:bCs/>
          <w:lang w:val="fr-CH"/>
        </w:rPr>
        <w:tab/>
      </w:r>
      <w:r w:rsidR="00FC0057">
        <w:rPr>
          <w:bCs/>
          <w:lang w:val="fr-CH"/>
        </w:rPr>
        <w:t>L</w:t>
      </w:r>
      <w:r w:rsidR="00FC0057" w:rsidRPr="00FC0057">
        <w:rPr>
          <w:bCs/>
          <w:lang w:val="fr-CH"/>
        </w:rPr>
        <w:t>es</w:t>
      </w:r>
      <w:r w:rsidR="00FC0057">
        <w:rPr>
          <w:b/>
          <w:bCs/>
          <w:lang w:val="fr-CH"/>
        </w:rPr>
        <w:t xml:space="preserve"> États</w:t>
      </w:r>
      <w:r w:rsidR="00FC0057">
        <w:rPr>
          <w:b/>
          <w:bCs/>
          <w:lang w:val="fr-CH"/>
        </w:rPr>
        <w:noBreakHyphen/>
        <w:t>Unis d’Amérique</w:t>
      </w:r>
      <w:r w:rsidR="00FC0057">
        <w:rPr>
          <w:bCs/>
          <w:lang w:val="fr-CH"/>
        </w:rPr>
        <w:t>,</w:t>
      </w:r>
      <w:r w:rsidR="00FC0057">
        <w:rPr>
          <w:b/>
          <w:bCs/>
          <w:lang w:val="fr-CH"/>
        </w:rPr>
        <w:t xml:space="preserve"> </w:t>
      </w:r>
      <w:r w:rsidR="00FC0057">
        <w:rPr>
          <w:bCs/>
          <w:lang w:val="fr-CH"/>
        </w:rPr>
        <w:t xml:space="preserve">le </w:t>
      </w:r>
      <w:r w:rsidR="007426AF" w:rsidRPr="004F4A7F">
        <w:rPr>
          <w:b/>
          <w:bCs/>
          <w:lang w:val="fr-CH"/>
        </w:rPr>
        <w:t>Jap</w:t>
      </w:r>
      <w:r w:rsidR="00FC0057">
        <w:rPr>
          <w:b/>
          <w:bCs/>
          <w:lang w:val="fr-CH"/>
        </w:rPr>
        <w:t>o</w:t>
      </w:r>
      <w:r w:rsidR="007426AF" w:rsidRPr="004F4A7F">
        <w:rPr>
          <w:b/>
          <w:bCs/>
          <w:lang w:val="fr-CH"/>
        </w:rPr>
        <w:t>n</w:t>
      </w:r>
      <w:r w:rsidR="007426AF" w:rsidRPr="004F4A7F">
        <w:rPr>
          <w:bCs/>
          <w:lang w:val="fr-CH"/>
        </w:rPr>
        <w:t>,</w:t>
      </w:r>
      <w:r w:rsidR="00FC0057">
        <w:rPr>
          <w:bCs/>
          <w:lang w:val="fr-CH"/>
        </w:rPr>
        <w:t xml:space="preserve"> le </w:t>
      </w:r>
      <w:r w:rsidR="00FC0057">
        <w:rPr>
          <w:b/>
          <w:bCs/>
          <w:lang w:val="fr-CH"/>
        </w:rPr>
        <w:t xml:space="preserve">Royaume-Uni de Grande-Bretagne et d’Irlande </w:t>
      </w:r>
      <w:r w:rsidR="00FC0057" w:rsidRPr="00453C63">
        <w:rPr>
          <w:b/>
          <w:bCs/>
          <w:lang w:val="fr-CH"/>
        </w:rPr>
        <w:t>du Nord</w:t>
      </w:r>
      <w:r w:rsidR="00FC0057" w:rsidRPr="00453C63">
        <w:rPr>
          <w:bCs/>
          <w:lang w:val="fr-CH"/>
        </w:rPr>
        <w:t>,</w:t>
      </w:r>
      <w:r w:rsidR="00FC0057" w:rsidRPr="00453C63">
        <w:rPr>
          <w:b/>
          <w:bCs/>
          <w:lang w:val="fr-CH"/>
        </w:rPr>
        <w:t xml:space="preserve"> </w:t>
      </w:r>
      <w:r w:rsidR="00FC0057" w:rsidRPr="00453C63">
        <w:rPr>
          <w:bCs/>
          <w:lang w:val="fr-CH"/>
        </w:rPr>
        <w:t>la</w:t>
      </w:r>
      <w:r w:rsidR="007426AF" w:rsidRPr="00453C63">
        <w:rPr>
          <w:bCs/>
          <w:lang w:val="fr-CH"/>
        </w:rPr>
        <w:t xml:space="preserve"> </w:t>
      </w:r>
      <w:r w:rsidR="007426AF" w:rsidRPr="00453C63">
        <w:rPr>
          <w:b/>
          <w:bCs/>
          <w:lang w:val="fr-CH"/>
        </w:rPr>
        <w:t>S</w:t>
      </w:r>
      <w:r w:rsidR="00FC0057" w:rsidRPr="00453C63">
        <w:rPr>
          <w:b/>
          <w:bCs/>
          <w:lang w:val="fr-CH"/>
        </w:rPr>
        <w:t>uède</w:t>
      </w:r>
      <w:r w:rsidR="00FC0057" w:rsidRPr="00453C63">
        <w:rPr>
          <w:bCs/>
          <w:lang w:val="fr-CH"/>
        </w:rPr>
        <w:t xml:space="preserve"> et la</w:t>
      </w:r>
      <w:r w:rsidR="007426AF" w:rsidRPr="00453C63">
        <w:rPr>
          <w:bCs/>
          <w:lang w:val="fr-CH"/>
        </w:rPr>
        <w:t xml:space="preserve"> </w:t>
      </w:r>
      <w:r w:rsidR="007426AF" w:rsidRPr="00453C63">
        <w:rPr>
          <w:b/>
          <w:bCs/>
          <w:lang w:val="fr-CH"/>
        </w:rPr>
        <w:t>S</w:t>
      </w:r>
      <w:r w:rsidR="00FC0057" w:rsidRPr="00453C63">
        <w:rPr>
          <w:b/>
          <w:bCs/>
          <w:lang w:val="fr-CH"/>
        </w:rPr>
        <w:t xml:space="preserve">uisse </w:t>
      </w:r>
      <w:r w:rsidR="00FC0057" w:rsidRPr="00453C63">
        <w:rPr>
          <w:bCs/>
          <w:lang w:val="fr-CH"/>
        </w:rPr>
        <w:t>interviennent dans la discussion.</w:t>
      </w:r>
      <w:r w:rsidR="00FC0057" w:rsidRPr="00453C63">
        <w:rPr>
          <w:b/>
          <w:bCs/>
          <w:lang w:val="fr-CH"/>
        </w:rPr>
        <w:t xml:space="preserve"> </w:t>
      </w:r>
    </w:p>
    <w:p w14:paraId="4E574F76" w14:textId="77777777" w:rsidR="007426AF" w:rsidRPr="00453C63" w:rsidRDefault="007426AF" w:rsidP="0044531D">
      <w:pPr>
        <w:spacing w:after="0" w:line="240" w:lineRule="auto"/>
        <w:rPr>
          <w:rFonts w:cstheme="minorHAnsi"/>
          <w:b/>
          <w:lang w:val="fr-CH"/>
        </w:rPr>
      </w:pPr>
    </w:p>
    <w:p w14:paraId="29800CC3" w14:textId="7F21B091" w:rsidR="003753F4" w:rsidRPr="00453C63" w:rsidRDefault="001A123C" w:rsidP="0044531D">
      <w:pPr>
        <w:spacing w:after="0" w:line="240" w:lineRule="auto"/>
        <w:rPr>
          <w:rFonts w:asciiTheme="minorHAnsi" w:hAnsiTheme="minorHAnsi" w:cstheme="minorHAnsi"/>
          <w:b/>
          <w:lang w:val="fr-CH"/>
        </w:rPr>
      </w:pPr>
      <w:r w:rsidRPr="00453C63">
        <w:rPr>
          <w:rFonts w:cstheme="minorHAnsi"/>
          <w:b/>
          <w:lang w:val="fr-CH"/>
        </w:rPr>
        <w:t>D</w:t>
      </w:r>
      <w:r w:rsidR="001B2798" w:rsidRPr="00453C63">
        <w:rPr>
          <w:rFonts w:cstheme="minorHAnsi"/>
          <w:b/>
          <w:lang w:val="fr-CH"/>
        </w:rPr>
        <w:t>é</w:t>
      </w:r>
      <w:r w:rsidRPr="00453C63">
        <w:rPr>
          <w:rFonts w:cstheme="minorHAnsi"/>
          <w:b/>
          <w:lang w:val="fr-CH"/>
        </w:rPr>
        <w:t>cision SC</w:t>
      </w:r>
      <w:r w:rsidR="003C0660" w:rsidRPr="00453C63">
        <w:rPr>
          <w:rFonts w:cstheme="minorHAnsi"/>
          <w:b/>
          <w:lang w:val="fr-CH"/>
        </w:rPr>
        <w:t>58</w:t>
      </w:r>
      <w:r w:rsidRPr="00453C63">
        <w:rPr>
          <w:rFonts w:cstheme="minorHAnsi"/>
          <w:b/>
          <w:lang w:val="fr-CH"/>
        </w:rPr>
        <w:t>-1</w:t>
      </w:r>
      <w:r w:rsidR="003C0660" w:rsidRPr="00453C63">
        <w:rPr>
          <w:rFonts w:cstheme="minorHAnsi"/>
          <w:b/>
          <w:lang w:val="fr-CH"/>
        </w:rPr>
        <w:t>9</w:t>
      </w:r>
      <w:r w:rsidR="001B2798" w:rsidRPr="00453C63">
        <w:rPr>
          <w:rFonts w:cstheme="minorHAnsi"/>
          <w:b/>
          <w:lang w:val="fr-CH"/>
        </w:rPr>
        <w:t xml:space="preserve"> </w:t>
      </w:r>
      <w:r w:rsidRPr="00453C63">
        <w:rPr>
          <w:rFonts w:cstheme="minorHAnsi"/>
          <w:b/>
          <w:lang w:val="fr-CH"/>
        </w:rPr>
        <w:t xml:space="preserve">: </w:t>
      </w:r>
      <w:r w:rsidR="001B2798" w:rsidRPr="00453C63">
        <w:rPr>
          <w:rFonts w:asciiTheme="minorHAnsi" w:hAnsiTheme="minorHAnsi" w:cstheme="minorHAnsi"/>
          <w:b/>
          <w:lang w:val="fr-CH"/>
        </w:rPr>
        <w:t xml:space="preserve">Le Comité permanent </w:t>
      </w:r>
      <w:r w:rsidR="003C0660" w:rsidRPr="00453C63">
        <w:rPr>
          <w:rFonts w:asciiTheme="minorHAnsi" w:hAnsiTheme="minorHAnsi" w:cstheme="minorHAnsi"/>
          <w:b/>
          <w:lang w:val="fr-CH"/>
        </w:rPr>
        <w:t>décide</w:t>
      </w:r>
      <w:r w:rsidR="003753F4" w:rsidRPr="00453C63">
        <w:rPr>
          <w:rFonts w:asciiTheme="minorHAnsi" w:hAnsiTheme="minorHAnsi" w:cstheme="minorHAnsi"/>
          <w:b/>
          <w:lang w:val="fr-CH"/>
        </w:rPr>
        <w:t>,</w:t>
      </w:r>
      <w:r w:rsidR="003C0660" w:rsidRPr="00453C63">
        <w:rPr>
          <w:rFonts w:asciiTheme="minorHAnsi" w:hAnsiTheme="minorHAnsi" w:cstheme="minorHAnsi"/>
          <w:b/>
          <w:lang w:val="fr-CH"/>
        </w:rPr>
        <w:t xml:space="preserve"> </w:t>
      </w:r>
      <w:r w:rsidR="003753F4" w:rsidRPr="00453C63">
        <w:rPr>
          <w:rFonts w:asciiTheme="minorHAnsi" w:hAnsiTheme="minorHAnsi" w:cstheme="minorHAnsi"/>
          <w:b/>
          <w:lang w:val="fr-CH"/>
        </w:rPr>
        <w:t xml:space="preserve">en consultation </w:t>
      </w:r>
      <w:r w:rsidR="003C0660" w:rsidRPr="00453C63">
        <w:rPr>
          <w:rFonts w:asciiTheme="minorHAnsi" w:hAnsiTheme="minorHAnsi" w:cstheme="minorHAnsi"/>
          <w:b/>
          <w:lang w:val="fr-CH"/>
        </w:rPr>
        <w:t xml:space="preserve">avec le </w:t>
      </w:r>
      <w:r w:rsidR="00176ACE" w:rsidRPr="00453C63">
        <w:rPr>
          <w:rFonts w:asciiTheme="minorHAnsi" w:hAnsiTheme="minorHAnsi" w:cstheme="minorHAnsi"/>
          <w:b/>
          <w:lang w:val="fr-CH"/>
        </w:rPr>
        <w:t>G</w:t>
      </w:r>
      <w:r w:rsidR="003C0660" w:rsidRPr="00453C63">
        <w:rPr>
          <w:rFonts w:asciiTheme="minorHAnsi" w:hAnsiTheme="minorHAnsi" w:cstheme="minorHAnsi"/>
          <w:b/>
          <w:lang w:val="fr-CH"/>
        </w:rPr>
        <w:t xml:space="preserve">roupe consultatif </w:t>
      </w:r>
      <w:r w:rsidR="00176ACE" w:rsidRPr="00453C63">
        <w:rPr>
          <w:rFonts w:asciiTheme="minorHAnsi" w:hAnsiTheme="minorHAnsi" w:cstheme="minorHAnsi"/>
          <w:b/>
          <w:lang w:val="fr-CH"/>
        </w:rPr>
        <w:t xml:space="preserve">du Comité permanent </w:t>
      </w:r>
      <w:r w:rsidR="003753F4" w:rsidRPr="00453C63">
        <w:rPr>
          <w:rFonts w:asciiTheme="minorHAnsi" w:hAnsiTheme="minorHAnsi" w:cstheme="minorHAnsi"/>
          <w:b/>
          <w:lang w:val="fr-CH"/>
        </w:rPr>
        <w:t xml:space="preserve">sur l’examen des Résolutions et Décisions, </w:t>
      </w:r>
      <w:r w:rsidR="00176ACE" w:rsidRPr="00453C63">
        <w:rPr>
          <w:rFonts w:asciiTheme="minorHAnsi" w:hAnsiTheme="minorHAnsi" w:cstheme="minorHAnsi"/>
          <w:b/>
          <w:lang w:val="fr-CH"/>
        </w:rPr>
        <w:t>que le Secrétariat préparera les documents suivants pour examen par le Comité à sa 59</w:t>
      </w:r>
      <w:r w:rsidR="00176ACE" w:rsidRPr="00932D74">
        <w:rPr>
          <w:rFonts w:asciiTheme="minorHAnsi" w:hAnsiTheme="minorHAnsi" w:cstheme="minorHAnsi"/>
          <w:b/>
          <w:vertAlign w:val="superscript"/>
          <w:lang w:val="fr-CH"/>
        </w:rPr>
        <w:t>e</w:t>
      </w:r>
      <w:r w:rsidR="00176ACE" w:rsidRPr="00453C63">
        <w:rPr>
          <w:rFonts w:asciiTheme="minorHAnsi" w:hAnsiTheme="minorHAnsi" w:cstheme="minorHAnsi"/>
          <w:b/>
          <w:lang w:val="fr-CH"/>
        </w:rPr>
        <w:t xml:space="preserve"> Réunion et, le cas échéant, communication pour examen à la COP14 :</w:t>
      </w:r>
    </w:p>
    <w:p w14:paraId="457914D2" w14:textId="4930404B" w:rsidR="003753F4" w:rsidRPr="00336D4A" w:rsidRDefault="00336D4A" w:rsidP="00336D4A">
      <w:pPr>
        <w:spacing w:after="0" w:line="240" w:lineRule="auto"/>
        <w:ind w:left="426" w:hanging="426"/>
        <w:rPr>
          <w:rFonts w:asciiTheme="minorHAnsi" w:hAnsiTheme="minorHAnsi" w:cstheme="minorHAnsi"/>
          <w:b/>
          <w:lang w:val="fr-CH"/>
        </w:rPr>
      </w:pPr>
      <w:r w:rsidRPr="00336D4A">
        <w:rPr>
          <w:rFonts w:asciiTheme="minorHAnsi" w:hAnsiTheme="minorHAnsi" w:cstheme="minorHAnsi"/>
          <w:b/>
          <w:lang w:val="fr-CH"/>
        </w:rPr>
        <w:t>i.</w:t>
      </w:r>
      <w:r w:rsidRPr="00336D4A">
        <w:rPr>
          <w:rFonts w:asciiTheme="minorHAnsi" w:hAnsiTheme="minorHAnsi" w:cstheme="minorHAnsi"/>
          <w:b/>
          <w:lang w:val="fr-CH"/>
        </w:rPr>
        <w:tab/>
      </w:r>
      <w:r w:rsidR="00176ACE" w:rsidRPr="00336D4A">
        <w:rPr>
          <w:b/>
          <w:lang w:val="fr-FR"/>
        </w:rPr>
        <w:t>un projet de liste de toutes les Résolutions existantes qui sont effectivement révolues et qui devraient être supprimées d’une liste de résolutions valides ;</w:t>
      </w:r>
    </w:p>
    <w:p w14:paraId="027B8B10" w14:textId="60AB41F3" w:rsidR="00B35C48" w:rsidRPr="00336D4A" w:rsidRDefault="00B35C48" w:rsidP="00336D4A">
      <w:pPr>
        <w:spacing w:after="0" w:line="240" w:lineRule="auto"/>
        <w:ind w:left="426" w:hanging="426"/>
        <w:rPr>
          <w:rFonts w:asciiTheme="minorHAnsi" w:hAnsiTheme="minorHAnsi" w:cstheme="minorHAnsi"/>
          <w:b/>
          <w:lang w:val="fr-CH"/>
        </w:rPr>
      </w:pPr>
      <w:r w:rsidRPr="00336D4A">
        <w:rPr>
          <w:rFonts w:asciiTheme="minorHAnsi" w:hAnsiTheme="minorHAnsi" w:cstheme="minorHAnsi"/>
          <w:b/>
          <w:lang w:val="fr-CH"/>
        </w:rPr>
        <w:t>ii.</w:t>
      </w:r>
      <w:r w:rsidRPr="00336D4A">
        <w:rPr>
          <w:rFonts w:asciiTheme="minorHAnsi" w:hAnsiTheme="minorHAnsi" w:cstheme="minorHAnsi"/>
          <w:b/>
          <w:lang w:val="fr-CH"/>
        </w:rPr>
        <w:tab/>
        <w:t xml:space="preserve">un projet </w:t>
      </w:r>
      <w:r w:rsidR="00E54340">
        <w:rPr>
          <w:rFonts w:asciiTheme="minorHAnsi" w:hAnsiTheme="minorHAnsi" w:cstheme="minorHAnsi"/>
          <w:b/>
          <w:lang w:val="fr-CH"/>
        </w:rPr>
        <w:t>d’orientations</w:t>
      </w:r>
      <w:r w:rsidRPr="00336D4A">
        <w:rPr>
          <w:rFonts w:asciiTheme="minorHAnsi" w:hAnsiTheme="minorHAnsi" w:cstheme="minorHAnsi"/>
          <w:b/>
          <w:lang w:val="fr-CH"/>
        </w:rPr>
        <w:t xml:space="preserve"> à l’intention des Parties, </w:t>
      </w:r>
      <w:r w:rsidR="00453C63" w:rsidRPr="00336D4A">
        <w:rPr>
          <w:b/>
          <w:lang w:val="fr-FR"/>
        </w:rPr>
        <w:t>pour les Parties, les présidents des comités, groupes et autres organes de la Convention et le Secrétariat, afin de préciser comment les Résolutions devraient être rédigées, adoptées et enregistrées à l’avenir, afin de garantir que le droit non contraignant de la Convention reste clair, accessible et facile à utiliser pour des questions sur lesquelles il y a eu de multiples Résolutions et/ou Recommandations de la COP</w:t>
      </w:r>
      <w:r w:rsidRPr="00336D4A">
        <w:rPr>
          <w:rFonts w:asciiTheme="minorHAnsi" w:hAnsiTheme="minorHAnsi" w:cstheme="minorHAnsi"/>
          <w:b/>
          <w:lang w:val="fr-CH"/>
        </w:rPr>
        <w:t>.</w:t>
      </w:r>
    </w:p>
    <w:p w14:paraId="5283F8F2" w14:textId="236545BD" w:rsidR="001A123C" w:rsidRPr="00336D4A" w:rsidRDefault="001A123C" w:rsidP="0044531D">
      <w:pPr>
        <w:spacing w:after="0" w:line="240" w:lineRule="auto"/>
        <w:rPr>
          <w:lang w:val="fr-FR"/>
        </w:rPr>
      </w:pPr>
    </w:p>
    <w:p w14:paraId="7F311B08" w14:textId="6ED4571B" w:rsidR="00B35C48" w:rsidRPr="00336D4A" w:rsidRDefault="00B35C48" w:rsidP="0044531D">
      <w:pPr>
        <w:spacing w:after="0" w:line="240" w:lineRule="auto"/>
        <w:rPr>
          <w:b/>
          <w:lang w:val="fr-FR"/>
        </w:rPr>
      </w:pPr>
      <w:r w:rsidRPr="00336D4A">
        <w:rPr>
          <w:b/>
          <w:lang w:val="fr-FR"/>
        </w:rPr>
        <w:t xml:space="preserve">Décision SC58-20 : Le Comité permanent demande au Secrétariat </w:t>
      </w:r>
      <w:r w:rsidR="00336D4A" w:rsidRPr="00336D4A">
        <w:rPr>
          <w:b/>
          <w:lang w:val="fr-FR"/>
        </w:rPr>
        <w:t xml:space="preserve">d’incorporer </w:t>
      </w:r>
      <w:r w:rsidR="004F7CE2" w:rsidRPr="00336D4A">
        <w:rPr>
          <w:b/>
          <w:lang w:val="fr-FR"/>
        </w:rPr>
        <w:t>les commentaires</w:t>
      </w:r>
      <w:r w:rsidRPr="00336D4A">
        <w:rPr>
          <w:b/>
          <w:lang w:val="fr-FR"/>
        </w:rPr>
        <w:t xml:space="preserve"> reçus des </w:t>
      </w:r>
      <w:r w:rsidR="004F7CE2" w:rsidRPr="00336D4A">
        <w:rPr>
          <w:b/>
          <w:lang w:val="fr-FR"/>
        </w:rPr>
        <w:t>P</w:t>
      </w:r>
      <w:r w:rsidRPr="00336D4A">
        <w:rPr>
          <w:b/>
          <w:lang w:val="fr-FR"/>
        </w:rPr>
        <w:t>arties</w:t>
      </w:r>
      <w:r w:rsidR="004F7CE2" w:rsidRPr="00336D4A">
        <w:rPr>
          <w:b/>
          <w:lang w:val="fr-FR"/>
        </w:rPr>
        <w:t>,</w:t>
      </w:r>
      <w:r w:rsidRPr="00336D4A">
        <w:rPr>
          <w:b/>
          <w:lang w:val="fr-FR"/>
        </w:rPr>
        <w:t xml:space="preserve"> avant le 10 juillet</w:t>
      </w:r>
      <w:r w:rsidR="00A50662">
        <w:rPr>
          <w:b/>
          <w:lang w:val="fr-FR"/>
        </w:rPr>
        <w:t xml:space="preserve"> 2020</w:t>
      </w:r>
      <w:r w:rsidR="004F7CE2" w:rsidRPr="00336D4A">
        <w:rPr>
          <w:b/>
          <w:lang w:val="fr-FR"/>
        </w:rPr>
        <w:t>,</w:t>
      </w:r>
      <w:r w:rsidRPr="00336D4A">
        <w:rPr>
          <w:b/>
          <w:lang w:val="fr-FR"/>
        </w:rPr>
        <w:t xml:space="preserve"> </w:t>
      </w:r>
      <w:r w:rsidR="00336D4A" w:rsidRPr="00336D4A">
        <w:rPr>
          <w:b/>
          <w:lang w:val="fr-FR"/>
        </w:rPr>
        <w:t xml:space="preserve">dans le projet de résolution regroupée </w:t>
      </w:r>
      <w:r w:rsidR="004F7CE2" w:rsidRPr="00336D4A">
        <w:rPr>
          <w:b/>
          <w:lang w:val="fr-FR"/>
        </w:rPr>
        <w:t>révisé sur les « inventaires » figurant à l’annexe 2 du document SC58 Doc. 13</w:t>
      </w:r>
      <w:r w:rsidR="00336D4A" w:rsidRPr="00336D4A">
        <w:rPr>
          <w:b/>
          <w:lang w:val="fr-FR"/>
        </w:rPr>
        <w:t>,</w:t>
      </w:r>
      <w:r w:rsidR="004F7CE2" w:rsidRPr="00336D4A">
        <w:rPr>
          <w:b/>
          <w:lang w:val="fr-FR"/>
        </w:rPr>
        <w:t xml:space="preserve"> </w:t>
      </w:r>
      <w:r w:rsidR="00336D4A" w:rsidRPr="00336D4A">
        <w:rPr>
          <w:b/>
          <w:lang w:val="fr-FR"/>
        </w:rPr>
        <w:t xml:space="preserve">pour préparer les futurs projets de résolutions </w:t>
      </w:r>
      <w:r w:rsidR="00A50662" w:rsidRPr="00336D4A">
        <w:rPr>
          <w:b/>
          <w:lang w:val="fr-FR"/>
        </w:rPr>
        <w:t>regroupées, conformément</w:t>
      </w:r>
      <w:r w:rsidR="004F7CE2" w:rsidRPr="00336D4A">
        <w:rPr>
          <w:b/>
          <w:lang w:val="fr-FR"/>
        </w:rPr>
        <w:t xml:space="preserve"> aux instructions du Comité permanent.</w:t>
      </w:r>
    </w:p>
    <w:p w14:paraId="0CD03B34" w14:textId="2B7C01C0" w:rsidR="00C2385D" w:rsidRPr="00176ACE" w:rsidRDefault="00C2385D" w:rsidP="0044531D">
      <w:pPr>
        <w:spacing w:after="0" w:line="240" w:lineRule="auto"/>
        <w:rPr>
          <w:b/>
          <w:highlight w:val="yellow"/>
          <w:lang w:val="fr-FR"/>
        </w:rPr>
      </w:pPr>
      <w:bookmarkStart w:id="1" w:name="_GoBack"/>
      <w:bookmarkEnd w:id="1"/>
    </w:p>
    <w:p w14:paraId="4F5BDDA5" w14:textId="3B84A43D" w:rsidR="00C2385D" w:rsidRPr="008455EE" w:rsidRDefault="00C2385D" w:rsidP="0044531D">
      <w:pPr>
        <w:spacing w:after="0" w:line="240" w:lineRule="auto"/>
        <w:rPr>
          <w:b/>
          <w:lang w:val="fr-FR"/>
        </w:rPr>
      </w:pPr>
      <w:r w:rsidRPr="008455EE">
        <w:rPr>
          <w:b/>
          <w:lang w:val="fr-FR"/>
        </w:rPr>
        <w:t>Décision SC58-21</w:t>
      </w:r>
      <w:r w:rsidR="00F91E52" w:rsidRPr="008455EE">
        <w:rPr>
          <w:b/>
          <w:lang w:val="fr-FR"/>
        </w:rPr>
        <w:t xml:space="preserve"> : </w:t>
      </w:r>
      <w:r w:rsidR="00726509" w:rsidRPr="008455EE">
        <w:rPr>
          <w:b/>
          <w:lang w:val="fr-FR"/>
        </w:rPr>
        <w:t xml:space="preserve">Le Comité permanent charge le Secrétariat </w:t>
      </w:r>
      <w:r w:rsidR="008455EE" w:rsidRPr="008455EE">
        <w:rPr>
          <w:b/>
          <w:lang w:val="fr-FR"/>
        </w:rPr>
        <w:t>de préparer un document révisé (SC58 Doc.13), en collaboration avec un groupe consultatif, pour le présenter à la 58</w:t>
      </w:r>
      <w:r w:rsidR="008455EE" w:rsidRPr="008455EE">
        <w:rPr>
          <w:b/>
          <w:vertAlign w:val="superscript"/>
          <w:lang w:val="fr-FR"/>
        </w:rPr>
        <w:t>e</w:t>
      </w:r>
      <w:r w:rsidR="008455EE" w:rsidRPr="008455EE">
        <w:rPr>
          <w:b/>
          <w:lang w:val="fr-FR"/>
        </w:rPr>
        <w:t xml:space="preserve"> Réunion du Comité permanent, en octobre</w:t>
      </w:r>
      <w:r w:rsidR="00A50662">
        <w:rPr>
          <w:b/>
          <w:lang w:val="fr-FR"/>
        </w:rPr>
        <w:t xml:space="preserve"> 2020</w:t>
      </w:r>
      <w:r w:rsidR="008455EE" w:rsidRPr="008455EE">
        <w:rPr>
          <w:b/>
          <w:lang w:val="fr-FR"/>
        </w:rPr>
        <w:t xml:space="preserve">, en tenant dûment compte des commentaires des Parties contractantes sur l’approche de la mise en œuvre de la Décision SC57-19 du Comité, </w:t>
      </w:r>
      <w:r w:rsidR="00726509" w:rsidRPr="008455EE">
        <w:rPr>
          <w:b/>
          <w:lang w:val="fr-FR"/>
        </w:rPr>
        <w:t xml:space="preserve">et de demander conseil au groupe consultatif des Parties contractantes intéressées sur sa possible révision, avant la </w:t>
      </w:r>
      <w:r w:rsidR="00932D74">
        <w:rPr>
          <w:b/>
          <w:lang w:val="fr-FR"/>
        </w:rPr>
        <w:t>58</w:t>
      </w:r>
      <w:r w:rsidR="00932D74" w:rsidRPr="00932D74">
        <w:rPr>
          <w:b/>
          <w:vertAlign w:val="superscript"/>
          <w:lang w:val="fr-FR"/>
        </w:rPr>
        <w:t>e</w:t>
      </w:r>
      <w:r w:rsidR="00932D74">
        <w:rPr>
          <w:b/>
          <w:lang w:val="fr-FR"/>
        </w:rPr>
        <w:t xml:space="preserve"> Réunion du Comité permanent</w:t>
      </w:r>
      <w:r w:rsidR="00726509" w:rsidRPr="008455EE">
        <w:rPr>
          <w:b/>
          <w:lang w:val="fr-FR"/>
        </w:rPr>
        <w:t>, sous la forme d’un certain nombre de documents thématiques plus petits.</w:t>
      </w:r>
    </w:p>
    <w:p w14:paraId="3C7786E2" w14:textId="77777777" w:rsidR="00B35C48" w:rsidRPr="00653D89" w:rsidRDefault="00B35C48" w:rsidP="0044531D">
      <w:pPr>
        <w:spacing w:after="0" w:line="240" w:lineRule="auto"/>
        <w:rPr>
          <w:lang w:val="fr-FR"/>
        </w:rPr>
      </w:pPr>
    </w:p>
    <w:p w14:paraId="63DED5F2" w14:textId="09310F41" w:rsidR="009343F2" w:rsidRPr="001B2798" w:rsidRDefault="001B2798" w:rsidP="000743FE">
      <w:pPr>
        <w:numPr>
          <w:ilvl w:val="0"/>
          <w:numId w:val="19"/>
        </w:numPr>
        <w:tabs>
          <w:tab w:val="clear" w:pos="720"/>
        </w:tabs>
        <w:spacing w:after="0" w:line="240" w:lineRule="auto"/>
        <w:ind w:left="851" w:hanging="425"/>
        <w:rPr>
          <w:lang w:val="fr-FR"/>
        </w:rPr>
      </w:pPr>
      <w:r>
        <w:rPr>
          <w:rFonts w:cs="Calibri"/>
          <w:lang w:val="fr-CH"/>
        </w:rPr>
        <w:t>Point</w:t>
      </w:r>
      <w:r w:rsidRPr="0074234C">
        <w:rPr>
          <w:rFonts w:cs="Calibri"/>
          <w:lang w:val="fr-CH"/>
        </w:rPr>
        <w:t xml:space="preserve"> 16</w:t>
      </w:r>
      <w:r>
        <w:rPr>
          <w:rFonts w:cs="Calibri"/>
          <w:lang w:val="fr-CH"/>
        </w:rPr>
        <w:t xml:space="preserve"> de l’ordre du jour de la 58</w:t>
      </w:r>
      <w:r w:rsidRPr="001B2798">
        <w:rPr>
          <w:rFonts w:cs="Calibri"/>
          <w:vertAlign w:val="superscript"/>
          <w:lang w:val="fr-CH"/>
        </w:rPr>
        <w:t>e</w:t>
      </w:r>
      <w:r>
        <w:rPr>
          <w:rFonts w:cs="Calibri"/>
          <w:lang w:val="fr-CH"/>
        </w:rPr>
        <w:t xml:space="preserve"> Réunion du Comité permanent -</w:t>
      </w:r>
      <w:r w:rsidRPr="0074234C">
        <w:rPr>
          <w:rFonts w:cs="Calibri"/>
          <w:lang w:val="fr-CH"/>
        </w:rPr>
        <w:t xml:space="preserve"> </w:t>
      </w:r>
      <w:r>
        <w:rPr>
          <w:rFonts w:cs="Calibri"/>
          <w:i/>
          <w:iCs/>
          <w:lang w:val="fr-CH"/>
        </w:rPr>
        <w:t>Plan de travail du Secrétariat pour 2020 </w:t>
      </w:r>
    </w:p>
    <w:p w14:paraId="69335546" w14:textId="3BB8EA9B" w:rsidR="00272AFF" w:rsidRPr="001B2798" w:rsidRDefault="00272AFF" w:rsidP="00272AFF">
      <w:pPr>
        <w:spacing w:after="0" w:line="240" w:lineRule="auto"/>
        <w:rPr>
          <w:lang w:val="fr-FR"/>
        </w:rPr>
      </w:pPr>
    </w:p>
    <w:p w14:paraId="33536D47" w14:textId="1629237C" w:rsidR="00C40AD2" w:rsidRPr="008E027F" w:rsidRDefault="00C40AD2" w:rsidP="00C40AD2">
      <w:pPr>
        <w:spacing w:after="0" w:line="240" w:lineRule="auto"/>
        <w:ind w:left="567" w:hanging="567"/>
        <w:rPr>
          <w:rFonts w:asciiTheme="minorHAnsi" w:hAnsiTheme="minorHAnsi" w:cstheme="minorHAnsi"/>
          <w:bCs/>
          <w:lang w:val="fr-CH"/>
        </w:rPr>
      </w:pPr>
      <w:r w:rsidRPr="001363AC">
        <w:rPr>
          <w:rFonts w:asciiTheme="minorHAnsi" w:hAnsiTheme="minorHAnsi" w:cstheme="minorHAnsi"/>
          <w:bCs/>
          <w:lang w:val="fr-FR"/>
        </w:rPr>
        <w:t>21.</w:t>
      </w:r>
      <w:r w:rsidRPr="001363AC">
        <w:rPr>
          <w:rFonts w:asciiTheme="minorHAnsi" w:hAnsiTheme="minorHAnsi" w:cstheme="minorHAnsi"/>
          <w:bCs/>
          <w:lang w:val="fr-FR"/>
        </w:rPr>
        <w:tab/>
      </w:r>
      <w:r w:rsidRPr="001363AC">
        <w:rPr>
          <w:bCs/>
          <w:lang w:val="fr-CH"/>
        </w:rPr>
        <w:t xml:space="preserve">La </w:t>
      </w:r>
      <w:r w:rsidRPr="001363AC">
        <w:rPr>
          <w:b/>
          <w:bCs/>
          <w:lang w:val="fr-CH"/>
        </w:rPr>
        <w:t>Secrétaire générale</w:t>
      </w:r>
      <w:r w:rsidRPr="001363AC">
        <w:rPr>
          <w:bCs/>
          <w:lang w:val="fr-CH"/>
        </w:rPr>
        <w:t xml:space="preserve"> prend note des commentaires et questions reçus sur les points du</w:t>
      </w:r>
      <w:r>
        <w:rPr>
          <w:bCs/>
          <w:lang w:val="fr-CH"/>
        </w:rPr>
        <w:t xml:space="preserve"> projet de plan de travail pour </w:t>
      </w:r>
      <w:r w:rsidRPr="00F1226E">
        <w:rPr>
          <w:bCs/>
          <w:lang w:val="fr-CH"/>
        </w:rPr>
        <w:t>2020</w:t>
      </w:r>
      <w:r w:rsidRPr="001363AC">
        <w:rPr>
          <w:rFonts w:asciiTheme="minorHAnsi" w:hAnsiTheme="minorHAnsi" w:cstheme="minorHAnsi"/>
          <w:bCs/>
          <w:lang w:val="fr-CH"/>
        </w:rPr>
        <w:t xml:space="preserve">. Ils concernent la demande d’appui de 30 jours du Secrétariat présentée par le Comité consultatif indépendant pour le label Ville des Zones Humides accréditée, un changement concernant le soutien au Groupe de surveillance des activités de CESP et une question concernant les prix Ramsar. Deux Parties demandent aussi si la situation pandémique nécessite une révision du plan de travail et des délais prévus. Concernant les incidences des contributions du Secrétariat au label Ville des Zones Humides accréditée, la Secrétaire générale </w:t>
      </w:r>
      <w:r>
        <w:rPr>
          <w:rFonts w:asciiTheme="minorHAnsi" w:hAnsiTheme="minorHAnsi" w:cstheme="minorHAnsi"/>
          <w:bCs/>
          <w:lang w:val="fr-CH"/>
        </w:rPr>
        <w:t xml:space="preserve">souligne la nécessité d’obtenir des orientations claires de Parties et </w:t>
      </w:r>
      <w:r w:rsidRPr="001363AC">
        <w:rPr>
          <w:rFonts w:asciiTheme="minorHAnsi" w:hAnsiTheme="minorHAnsi" w:cstheme="minorHAnsi"/>
          <w:bCs/>
          <w:lang w:val="fr-CH"/>
        </w:rPr>
        <w:t>précise que les mesures demandées soutiennent l’application de la Résolution XII.10</w:t>
      </w:r>
      <w:r w:rsidRPr="008E027F">
        <w:rPr>
          <w:rFonts w:asciiTheme="minorHAnsi" w:hAnsiTheme="minorHAnsi" w:cstheme="minorHAnsi"/>
          <w:bCs/>
          <w:lang w:val="fr-CH"/>
        </w:rPr>
        <w:t xml:space="preserve">. </w:t>
      </w:r>
      <w:r w:rsidR="00A50662" w:rsidRPr="008E027F">
        <w:rPr>
          <w:rFonts w:asciiTheme="minorHAnsi" w:hAnsiTheme="minorHAnsi" w:cstheme="minorHAnsi"/>
          <w:bCs/>
          <w:lang w:val="fr-CH"/>
        </w:rPr>
        <w:t xml:space="preserve">Le Secrétariat a vérifié que les propositions avaient été envoyées par les Correspondants nationaux avant de les communiquer au CCI. Pour la cérémonie d’accréditation, le Secrétariat </w:t>
      </w:r>
      <w:r w:rsidR="006E1383" w:rsidRPr="008E027F">
        <w:rPr>
          <w:rFonts w:asciiTheme="minorHAnsi" w:hAnsiTheme="minorHAnsi" w:cstheme="minorHAnsi"/>
          <w:bCs/>
          <w:lang w:val="fr-CH"/>
        </w:rPr>
        <w:t xml:space="preserve">a dû préparer et présenter les certificats et, à la COP13, il a assuré la liaison avec le CCI, qui organisait la cérémonie, pour veiller à la coordination avec l’événement dans son ensemble et accueillir les maires des villes accréditées. Le Secrétariat siégeait aussi au CCI, conformément au cahier des charges approuvé ; auparavant, il avait demandé des éclaircissements sur son rôle, ce à quoi le Comité permanent avait répondu que ce rôle était symbolique. La Secrétaire générale explique que les 30 jours sont une estimation </w:t>
      </w:r>
      <w:r w:rsidR="006E1383" w:rsidRPr="008E027F">
        <w:rPr>
          <w:rFonts w:asciiTheme="minorHAnsi" w:hAnsiTheme="minorHAnsi" w:cstheme="minorHAnsi"/>
          <w:bCs/>
          <w:lang w:val="fr-CH"/>
        </w:rPr>
        <w:lastRenderedPageBreak/>
        <w:t xml:space="preserve">du CCI. De l’avis du Secrétariat, il n’est pas nécessaire </w:t>
      </w:r>
      <w:r w:rsidRPr="008E027F">
        <w:rPr>
          <w:rFonts w:asciiTheme="minorHAnsi" w:hAnsiTheme="minorHAnsi" w:cstheme="minorHAnsi"/>
          <w:bCs/>
          <w:lang w:val="fr-CH"/>
        </w:rPr>
        <w:t>de supprimer d’autres tâches d</w:t>
      </w:r>
      <w:r w:rsidR="006E1383" w:rsidRPr="008E027F">
        <w:rPr>
          <w:rFonts w:asciiTheme="minorHAnsi" w:hAnsiTheme="minorHAnsi" w:cstheme="minorHAnsi"/>
          <w:bCs/>
          <w:lang w:val="fr-CH"/>
        </w:rPr>
        <w:t>e son</w:t>
      </w:r>
      <w:r w:rsidRPr="008E027F">
        <w:rPr>
          <w:rFonts w:asciiTheme="minorHAnsi" w:hAnsiTheme="minorHAnsi" w:cstheme="minorHAnsi"/>
          <w:bCs/>
          <w:lang w:val="fr-CH"/>
        </w:rPr>
        <w:t xml:space="preserve"> plan de travail</w:t>
      </w:r>
      <w:r w:rsidR="006E1383" w:rsidRPr="008E027F">
        <w:rPr>
          <w:rFonts w:asciiTheme="minorHAnsi" w:hAnsiTheme="minorHAnsi" w:cstheme="minorHAnsi"/>
          <w:bCs/>
          <w:lang w:val="fr-CH"/>
        </w:rPr>
        <w:t xml:space="preserve"> proposé</w:t>
      </w:r>
      <w:r w:rsidRPr="008E027F">
        <w:rPr>
          <w:rFonts w:asciiTheme="minorHAnsi" w:hAnsiTheme="minorHAnsi" w:cstheme="minorHAnsi"/>
          <w:bCs/>
          <w:lang w:val="fr-CH"/>
        </w:rPr>
        <w:t xml:space="preserve">. </w:t>
      </w:r>
    </w:p>
    <w:p w14:paraId="229412AA" w14:textId="77777777" w:rsidR="00C40AD2" w:rsidRPr="00F1226E" w:rsidRDefault="00C40AD2" w:rsidP="00C40AD2">
      <w:pPr>
        <w:spacing w:after="0" w:line="240" w:lineRule="auto"/>
        <w:ind w:left="567" w:hanging="567"/>
        <w:rPr>
          <w:rFonts w:asciiTheme="minorHAnsi" w:hAnsiTheme="minorHAnsi" w:cstheme="minorHAnsi"/>
          <w:bCs/>
          <w:highlight w:val="lightGray"/>
          <w:lang w:val="fr-CH"/>
        </w:rPr>
      </w:pPr>
    </w:p>
    <w:p w14:paraId="259CBD61" w14:textId="633E116D" w:rsidR="00C40AD2" w:rsidRPr="00F1226E" w:rsidRDefault="00C40AD2" w:rsidP="00C40AD2">
      <w:pPr>
        <w:spacing w:after="0" w:line="240" w:lineRule="auto"/>
        <w:ind w:left="567" w:hanging="567"/>
        <w:rPr>
          <w:rFonts w:asciiTheme="minorHAnsi" w:hAnsiTheme="minorHAnsi" w:cstheme="minorHAnsi"/>
          <w:bCs/>
          <w:lang w:val="fr-CH"/>
        </w:rPr>
      </w:pPr>
      <w:r w:rsidRPr="00F1226E">
        <w:rPr>
          <w:rFonts w:asciiTheme="minorHAnsi" w:hAnsiTheme="minorHAnsi" w:cstheme="minorHAnsi"/>
          <w:bCs/>
          <w:lang w:val="fr-CH"/>
        </w:rPr>
        <w:t>22.</w:t>
      </w:r>
      <w:r w:rsidRPr="00F1226E">
        <w:rPr>
          <w:rFonts w:asciiTheme="minorHAnsi" w:hAnsiTheme="minorHAnsi" w:cstheme="minorHAnsi"/>
          <w:bCs/>
          <w:lang w:val="fr-CH"/>
        </w:rPr>
        <w:tab/>
      </w:r>
      <w:r w:rsidRPr="00F1226E">
        <w:rPr>
          <w:bCs/>
          <w:lang w:val="fr-CH"/>
        </w:rPr>
        <w:t xml:space="preserve">Les participants décident de </w:t>
      </w:r>
      <w:r>
        <w:rPr>
          <w:bCs/>
          <w:lang w:val="fr-CH"/>
        </w:rPr>
        <w:t xml:space="preserve">continuer d’examiner </w:t>
      </w:r>
      <w:r w:rsidRPr="00F1226E">
        <w:rPr>
          <w:bCs/>
          <w:lang w:val="fr-CH"/>
        </w:rPr>
        <w:t>si le Secrétariat doit modifier le plan si nécessaire, ou mener un</w:t>
      </w:r>
      <w:r>
        <w:rPr>
          <w:bCs/>
          <w:lang w:val="fr-CH"/>
        </w:rPr>
        <w:t>e</w:t>
      </w:r>
      <w:r w:rsidRPr="00F1226E">
        <w:rPr>
          <w:bCs/>
          <w:lang w:val="fr-CH"/>
        </w:rPr>
        <w:t xml:space="preserve"> </w:t>
      </w:r>
      <w:r>
        <w:rPr>
          <w:bCs/>
          <w:lang w:val="fr-CH"/>
        </w:rPr>
        <w:t>révision</w:t>
      </w:r>
      <w:r w:rsidRPr="00F1226E">
        <w:rPr>
          <w:bCs/>
          <w:lang w:val="fr-CH"/>
        </w:rPr>
        <w:t xml:space="preserve"> compl</w:t>
      </w:r>
      <w:r>
        <w:rPr>
          <w:bCs/>
          <w:lang w:val="fr-CH"/>
        </w:rPr>
        <w:t>ète</w:t>
      </w:r>
      <w:r w:rsidRPr="00F1226E">
        <w:rPr>
          <w:bCs/>
          <w:lang w:val="fr-CH"/>
        </w:rPr>
        <w:t xml:space="preserve"> des calendriers, en tenant compte de</w:t>
      </w:r>
      <w:r>
        <w:rPr>
          <w:bCs/>
          <w:lang w:val="fr-CH"/>
        </w:rPr>
        <w:t>s incidences</w:t>
      </w:r>
      <w:r w:rsidRPr="00F1226E">
        <w:rPr>
          <w:bCs/>
          <w:lang w:val="fr-CH"/>
        </w:rPr>
        <w:t xml:space="preserve"> de la pandémie, lorsque le point 23 de l’ordre du jour</w:t>
      </w:r>
      <w:r w:rsidR="006E1383">
        <w:rPr>
          <w:bCs/>
          <w:lang w:val="fr-CH"/>
        </w:rPr>
        <w:t xml:space="preserve"> de la 58</w:t>
      </w:r>
      <w:r w:rsidR="006E1383" w:rsidRPr="006E1383">
        <w:rPr>
          <w:bCs/>
          <w:vertAlign w:val="superscript"/>
          <w:lang w:val="fr-CH"/>
        </w:rPr>
        <w:t>e</w:t>
      </w:r>
      <w:r w:rsidR="006E1383">
        <w:rPr>
          <w:bCs/>
          <w:lang w:val="fr-CH"/>
        </w:rPr>
        <w:t xml:space="preserve"> Réunion du Comité permanent</w:t>
      </w:r>
      <w:r w:rsidRPr="00F1226E">
        <w:rPr>
          <w:bCs/>
          <w:lang w:val="fr-CH"/>
        </w:rPr>
        <w:t xml:space="preserve"> (</w:t>
      </w:r>
      <w:r w:rsidRPr="00F1226E">
        <w:rPr>
          <w:rFonts w:cs="Calibri"/>
          <w:i/>
          <w:iCs/>
          <w:lang w:val="fr-CH"/>
        </w:rPr>
        <w:t>Rapport des coprésidents du Comité consultatif indépendant sur le label Ville des Zones Humides accréditée</w:t>
      </w:r>
      <w:r w:rsidRPr="00F1226E">
        <w:rPr>
          <w:bCs/>
          <w:lang w:val="fr-CH"/>
        </w:rPr>
        <w:t>) aura été traité</w:t>
      </w:r>
      <w:r w:rsidRPr="00F1226E">
        <w:rPr>
          <w:rFonts w:asciiTheme="minorHAnsi" w:hAnsiTheme="minorHAnsi" w:cstheme="minorHAnsi"/>
          <w:bCs/>
          <w:lang w:val="fr-CH"/>
        </w:rPr>
        <w:t>.</w:t>
      </w:r>
    </w:p>
    <w:p w14:paraId="0919FFDE"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4579A204" w14:textId="77777777" w:rsidR="00C40AD2" w:rsidRPr="00F1226E" w:rsidRDefault="00C40AD2" w:rsidP="00C40AD2">
      <w:pPr>
        <w:spacing w:after="0" w:line="240" w:lineRule="auto"/>
        <w:ind w:left="567" w:hanging="567"/>
        <w:rPr>
          <w:rFonts w:asciiTheme="minorHAnsi" w:hAnsiTheme="minorHAnsi" w:cstheme="minorHAnsi"/>
          <w:bCs/>
          <w:lang w:val="fr-CH"/>
        </w:rPr>
      </w:pPr>
      <w:r w:rsidRPr="00F1226E">
        <w:rPr>
          <w:rFonts w:asciiTheme="minorHAnsi" w:hAnsiTheme="minorHAnsi" w:cstheme="minorHAnsi"/>
          <w:bCs/>
          <w:lang w:val="fr-CH"/>
        </w:rPr>
        <w:t>23.</w:t>
      </w:r>
      <w:r w:rsidRPr="00F1226E">
        <w:rPr>
          <w:rFonts w:asciiTheme="minorHAnsi" w:hAnsiTheme="minorHAnsi" w:cstheme="minorHAnsi"/>
          <w:bCs/>
          <w:lang w:val="fr-CH"/>
        </w:rPr>
        <w:tab/>
      </w:r>
      <w:r w:rsidRPr="00F1226E">
        <w:rPr>
          <w:bCs/>
          <w:lang w:val="fr-CH"/>
        </w:rPr>
        <w:t xml:space="preserve">Les </w:t>
      </w:r>
      <w:r w:rsidRPr="00F1226E">
        <w:rPr>
          <w:b/>
          <w:bCs/>
          <w:lang w:val="fr-CH"/>
        </w:rPr>
        <w:t>États-Unis d’Amérique</w:t>
      </w:r>
      <w:r w:rsidRPr="00F1226E">
        <w:rPr>
          <w:bCs/>
          <w:lang w:val="fr-CH"/>
        </w:rPr>
        <w:t xml:space="preserve"> et le </w:t>
      </w:r>
      <w:r w:rsidRPr="00F1226E">
        <w:rPr>
          <w:b/>
          <w:bCs/>
          <w:lang w:val="fr-CH"/>
        </w:rPr>
        <w:t>Japon</w:t>
      </w:r>
      <w:r w:rsidRPr="00F1226E">
        <w:rPr>
          <w:bCs/>
          <w:lang w:val="fr-CH"/>
        </w:rPr>
        <w:t xml:space="preserve"> interviennent dans la discussion</w:t>
      </w:r>
      <w:r w:rsidRPr="00F1226E">
        <w:rPr>
          <w:rFonts w:asciiTheme="minorHAnsi" w:hAnsiTheme="minorHAnsi" w:cstheme="minorHAnsi"/>
          <w:bCs/>
          <w:lang w:val="fr-CH"/>
        </w:rPr>
        <w:t>.</w:t>
      </w:r>
    </w:p>
    <w:p w14:paraId="66496066" w14:textId="77777777" w:rsidR="00C40AD2" w:rsidRPr="00F1226E" w:rsidRDefault="00C40AD2" w:rsidP="00C40AD2">
      <w:pPr>
        <w:spacing w:after="0" w:line="240" w:lineRule="auto"/>
        <w:rPr>
          <w:rFonts w:asciiTheme="minorHAnsi" w:hAnsiTheme="minorHAnsi" w:cstheme="minorHAnsi"/>
          <w:lang w:val="fr-CH"/>
        </w:rPr>
      </w:pPr>
    </w:p>
    <w:p w14:paraId="280406F1" w14:textId="77777777" w:rsidR="00C40AD2" w:rsidRPr="00F1226E"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F1226E">
        <w:rPr>
          <w:rFonts w:cs="Calibri"/>
          <w:lang w:val="fr-CH"/>
        </w:rPr>
        <w:t>Point 20.3 de l’ordre du jour de la 58</w:t>
      </w:r>
      <w:r w:rsidRPr="00F1226E">
        <w:rPr>
          <w:rFonts w:cs="Calibri"/>
          <w:vertAlign w:val="superscript"/>
          <w:lang w:val="fr-CH"/>
        </w:rPr>
        <w:t>e</w:t>
      </w:r>
      <w:r w:rsidRPr="00F1226E">
        <w:rPr>
          <w:rFonts w:cs="Calibri"/>
          <w:lang w:val="fr-CH"/>
        </w:rPr>
        <w:t xml:space="preserve"> Réunion du Comité permanent - </w:t>
      </w:r>
      <w:r w:rsidRPr="00F1226E">
        <w:rPr>
          <w:rFonts w:cs="Calibri"/>
          <w:i/>
          <w:iCs/>
          <w:lang w:val="fr-CH"/>
        </w:rPr>
        <w:t>Les prix Ramsar pour la conservation des zones humides</w:t>
      </w:r>
      <w:r w:rsidRPr="00F1226E">
        <w:rPr>
          <w:rFonts w:asciiTheme="minorHAnsi" w:hAnsiTheme="minorHAnsi" w:cstheme="minorHAnsi"/>
          <w:lang w:val="fr-CH"/>
        </w:rPr>
        <w:t xml:space="preserve"> </w:t>
      </w:r>
    </w:p>
    <w:p w14:paraId="3D8B15E1" w14:textId="77777777" w:rsidR="00C40AD2" w:rsidRPr="00F1226E" w:rsidRDefault="00C40AD2" w:rsidP="00C40AD2">
      <w:pPr>
        <w:spacing w:after="0" w:line="240" w:lineRule="auto"/>
        <w:rPr>
          <w:rFonts w:asciiTheme="minorHAnsi" w:hAnsiTheme="minorHAnsi" w:cstheme="minorHAnsi"/>
          <w:lang w:val="fr-CH"/>
        </w:rPr>
      </w:pPr>
    </w:p>
    <w:p w14:paraId="1BD339C6" w14:textId="77777777" w:rsidR="00C40AD2" w:rsidRDefault="00C40AD2" w:rsidP="00C40AD2">
      <w:pPr>
        <w:spacing w:after="0" w:line="240" w:lineRule="auto"/>
        <w:ind w:left="567" w:hanging="567"/>
        <w:rPr>
          <w:bCs/>
          <w:lang w:val="fr-CH"/>
        </w:rPr>
      </w:pPr>
      <w:r w:rsidRPr="00F1226E">
        <w:rPr>
          <w:rFonts w:asciiTheme="minorHAnsi" w:hAnsiTheme="minorHAnsi" w:cstheme="minorHAnsi"/>
          <w:bCs/>
          <w:lang w:val="fr-CH"/>
        </w:rPr>
        <w:t>24.</w:t>
      </w:r>
      <w:r w:rsidRPr="00F1226E">
        <w:rPr>
          <w:rFonts w:asciiTheme="minorHAnsi" w:hAnsiTheme="minorHAnsi" w:cstheme="minorHAnsi"/>
          <w:bCs/>
          <w:lang w:val="fr-CH"/>
        </w:rPr>
        <w:tab/>
        <w:t xml:space="preserve">Le </w:t>
      </w:r>
      <w:r w:rsidRPr="00F1226E">
        <w:rPr>
          <w:rFonts w:cs="Calibri"/>
          <w:lang w:val="fr-CH"/>
        </w:rPr>
        <w:t xml:space="preserve">Secrétariat </w:t>
      </w:r>
      <w:r w:rsidRPr="00F1226E">
        <w:rPr>
          <w:bCs/>
          <w:lang w:val="fr-CH"/>
        </w:rPr>
        <w:t xml:space="preserve">note que le parrainage futur de Danone pour les prix pour la conservation des zones humides est en discussion et n’a pas </w:t>
      </w:r>
      <w:r>
        <w:rPr>
          <w:bCs/>
          <w:lang w:val="fr-CH"/>
        </w:rPr>
        <w:t xml:space="preserve">encore </w:t>
      </w:r>
      <w:r w:rsidRPr="00F1226E">
        <w:rPr>
          <w:bCs/>
          <w:lang w:val="fr-CH"/>
        </w:rPr>
        <w:t>été finalisé pour les prix de 2021.</w:t>
      </w:r>
    </w:p>
    <w:p w14:paraId="115C1D06"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15D23C95" w14:textId="2F9DD0D1" w:rsidR="00C40AD2" w:rsidRPr="00F1226E" w:rsidRDefault="00C40AD2" w:rsidP="00C40AD2">
      <w:pPr>
        <w:spacing w:after="0" w:line="240" w:lineRule="auto"/>
        <w:ind w:left="567" w:hanging="567"/>
        <w:rPr>
          <w:rFonts w:asciiTheme="minorHAnsi" w:hAnsiTheme="minorHAnsi" w:cstheme="minorHAnsi"/>
          <w:bCs/>
          <w:highlight w:val="lightGray"/>
          <w:lang w:val="fr-CH"/>
        </w:rPr>
      </w:pPr>
      <w:r w:rsidRPr="00F1226E">
        <w:rPr>
          <w:rFonts w:asciiTheme="minorHAnsi" w:hAnsiTheme="minorHAnsi" w:cstheme="minorHAnsi"/>
          <w:bCs/>
          <w:lang w:val="fr-CH"/>
        </w:rPr>
        <w:t>25.</w:t>
      </w:r>
      <w:r w:rsidRPr="00F1226E">
        <w:rPr>
          <w:rFonts w:asciiTheme="minorHAnsi" w:hAnsiTheme="minorHAnsi" w:cstheme="minorHAnsi"/>
          <w:bCs/>
          <w:lang w:val="fr-CH"/>
        </w:rPr>
        <w:tab/>
      </w:r>
      <w:r>
        <w:rPr>
          <w:bCs/>
          <w:lang w:val="fr-CH"/>
        </w:rPr>
        <w:t>Au cours de</w:t>
      </w:r>
      <w:r w:rsidRPr="00F1226E">
        <w:rPr>
          <w:bCs/>
          <w:lang w:val="fr-CH"/>
        </w:rPr>
        <w:t xml:space="preserve"> la discussion, les participants estiment que plusieurs questions méritent d’être examinées plus à fond par le Comité permanent : l’introduction éventuelle d’une quatrième catégorie de prix sur la participation communautaire ; le bien-fondé d’inclure le critère</w:t>
      </w:r>
      <w:r w:rsidR="006E1383">
        <w:rPr>
          <w:bCs/>
          <w:lang w:val="fr-CH"/>
        </w:rPr>
        <w:t xml:space="preserve"> de candidature </w:t>
      </w:r>
      <w:r w:rsidRPr="00F1226E">
        <w:rPr>
          <w:bCs/>
          <w:lang w:val="fr-CH"/>
        </w:rPr>
        <w:t>5 relatif à l’éligibilité, sachant que la Convention n’a pas mandat de rejeter les candidats engagés dans des poursuites judiciaires ; le bien-fondé d’aller de l’avant avec le processus de nomination avant d’avoir obtenu un financement ; la possibilité d’éliminer les prix en espèces si aucun financement n’est obtenu ; et la révision du calendrier du processus pour tenir compte de la pandémie de COVID-19.</w:t>
      </w:r>
    </w:p>
    <w:p w14:paraId="3D6AEBF5"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49EAE8F3" w14:textId="77777777" w:rsidR="00C40AD2" w:rsidRPr="00F1226E" w:rsidRDefault="00C40AD2" w:rsidP="00C40AD2">
      <w:pPr>
        <w:spacing w:after="0" w:line="240" w:lineRule="auto"/>
        <w:ind w:left="567" w:hanging="567"/>
        <w:rPr>
          <w:rFonts w:asciiTheme="minorHAnsi" w:hAnsiTheme="minorHAnsi" w:cstheme="minorHAnsi"/>
          <w:bCs/>
          <w:lang w:val="fr-CH"/>
        </w:rPr>
      </w:pPr>
      <w:r w:rsidRPr="00F1226E">
        <w:rPr>
          <w:rFonts w:asciiTheme="minorHAnsi" w:hAnsiTheme="minorHAnsi" w:cstheme="minorHAnsi"/>
          <w:bCs/>
          <w:lang w:val="fr-CH"/>
        </w:rPr>
        <w:t>26.</w:t>
      </w:r>
      <w:r w:rsidRPr="00F1226E">
        <w:rPr>
          <w:rFonts w:asciiTheme="minorHAnsi" w:hAnsiTheme="minorHAnsi" w:cstheme="minorHAnsi"/>
          <w:bCs/>
          <w:lang w:val="fr-CH"/>
        </w:rPr>
        <w:tab/>
      </w:r>
      <w:r w:rsidRPr="00F1226E">
        <w:rPr>
          <w:bCs/>
          <w:lang w:val="fr-CH"/>
        </w:rPr>
        <w:t xml:space="preserve">La </w:t>
      </w:r>
      <w:r w:rsidRPr="00F1226E">
        <w:rPr>
          <w:b/>
          <w:bCs/>
          <w:lang w:val="fr-CH"/>
        </w:rPr>
        <w:t>Colombie</w:t>
      </w:r>
      <w:r w:rsidRPr="00F1226E">
        <w:rPr>
          <w:bCs/>
          <w:lang w:val="fr-CH"/>
        </w:rPr>
        <w:t xml:space="preserve">, le </w:t>
      </w:r>
      <w:r w:rsidRPr="00F1226E">
        <w:rPr>
          <w:b/>
          <w:bCs/>
          <w:lang w:val="fr-CH"/>
        </w:rPr>
        <w:t>Costa Rica</w:t>
      </w:r>
      <w:r w:rsidRPr="00F1226E">
        <w:rPr>
          <w:bCs/>
          <w:lang w:val="fr-CH"/>
        </w:rPr>
        <w:t xml:space="preserve">, les </w:t>
      </w:r>
      <w:r w:rsidRPr="00F1226E">
        <w:rPr>
          <w:b/>
          <w:bCs/>
          <w:lang w:val="fr-CH"/>
        </w:rPr>
        <w:t>Émirats arabes unis</w:t>
      </w:r>
      <w:r w:rsidRPr="00F1226E">
        <w:rPr>
          <w:bCs/>
          <w:lang w:val="fr-CH"/>
        </w:rPr>
        <w:t>, la</w:t>
      </w:r>
      <w:r w:rsidRPr="00F1226E">
        <w:rPr>
          <w:b/>
          <w:bCs/>
          <w:lang w:val="fr-CH"/>
        </w:rPr>
        <w:t xml:space="preserve"> République dominicaine</w:t>
      </w:r>
      <w:r w:rsidRPr="00F1226E">
        <w:rPr>
          <w:bCs/>
          <w:lang w:val="fr-CH"/>
        </w:rPr>
        <w:t xml:space="preserve"> et la </w:t>
      </w:r>
      <w:r w:rsidRPr="00F1226E">
        <w:rPr>
          <w:b/>
          <w:bCs/>
          <w:lang w:val="fr-CH"/>
        </w:rPr>
        <w:t xml:space="preserve">Suède </w:t>
      </w:r>
      <w:r w:rsidRPr="00F1226E">
        <w:rPr>
          <w:bCs/>
          <w:lang w:val="fr-CH"/>
        </w:rPr>
        <w:t>interviennent dans la discussion.</w:t>
      </w:r>
    </w:p>
    <w:p w14:paraId="53F78F0A"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5B374786" w14:textId="214D6CAE" w:rsidR="00C40AD2" w:rsidRPr="00F1226E" w:rsidRDefault="00C40AD2" w:rsidP="00C40AD2">
      <w:pPr>
        <w:spacing w:after="0" w:line="240" w:lineRule="auto"/>
        <w:ind w:left="567" w:hanging="567"/>
        <w:rPr>
          <w:rFonts w:asciiTheme="minorHAnsi" w:hAnsiTheme="minorHAnsi" w:cstheme="minorHAnsi"/>
          <w:bCs/>
          <w:lang w:val="fr-CH"/>
        </w:rPr>
      </w:pPr>
      <w:r w:rsidRPr="00F1226E">
        <w:rPr>
          <w:rFonts w:asciiTheme="minorHAnsi" w:hAnsiTheme="minorHAnsi" w:cstheme="minorHAnsi"/>
          <w:bCs/>
          <w:lang w:val="fr-CH"/>
        </w:rPr>
        <w:t xml:space="preserve">27. </w:t>
      </w:r>
      <w:r w:rsidRPr="00F1226E">
        <w:rPr>
          <w:rFonts w:asciiTheme="minorHAnsi" w:hAnsiTheme="minorHAnsi" w:cstheme="minorHAnsi"/>
          <w:bCs/>
          <w:lang w:val="fr-CH"/>
        </w:rPr>
        <w:tab/>
      </w:r>
      <w:r w:rsidRPr="00F1226E">
        <w:rPr>
          <w:bCs/>
          <w:lang w:val="fr-CH"/>
        </w:rPr>
        <w:t xml:space="preserve">Il est décidé de poursuivre les discussions lors de la </w:t>
      </w:r>
      <w:r w:rsidR="00932D74">
        <w:rPr>
          <w:bCs/>
          <w:lang w:val="fr-CH"/>
        </w:rPr>
        <w:t>séance</w:t>
      </w:r>
      <w:r w:rsidRPr="00F1226E">
        <w:rPr>
          <w:bCs/>
          <w:lang w:val="fr-CH"/>
        </w:rPr>
        <w:t xml:space="preserve"> suivante, le jeudi 25 juin. La </w:t>
      </w:r>
      <w:r w:rsidR="00932D74">
        <w:rPr>
          <w:bCs/>
          <w:lang w:val="fr-CH"/>
        </w:rPr>
        <w:t>séance</w:t>
      </w:r>
      <w:r w:rsidRPr="00F1226E">
        <w:rPr>
          <w:bCs/>
          <w:lang w:val="fr-CH"/>
        </w:rPr>
        <w:t xml:space="preserve"> est ajournée à 16:00.</w:t>
      </w:r>
    </w:p>
    <w:p w14:paraId="72BFD829"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44D4A018" w14:textId="77777777" w:rsidR="00C40AD2" w:rsidRPr="00F1226E" w:rsidRDefault="00C40AD2" w:rsidP="00C40AD2">
      <w:pPr>
        <w:spacing w:after="0" w:line="240" w:lineRule="auto"/>
        <w:ind w:left="567" w:hanging="567"/>
        <w:rPr>
          <w:rFonts w:asciiTheme="minorHAnsi" w:hAnsiTheme="minorHAnsi" w:cstheme="minorHAnsi"/>
          <w:bCs/>
          <w:lang w:val="fr-CH"/>
        </w:rPr>
      </w:pPr>
    </w:p>
    <w:p w14:paraId="2C0E94A8" w14:textId="77777777" w:rsidR="00C40AD2" w:rsidRPr="00F1226E" w:rsidRDefault="00C40AD2" w:rsidP="00C40AD2">
      <w:pPr>
        <w:spacing w:after="0" w:line="240" w:lineRule="auto"/>
        <w:rPr>
          <w:rFonts w:asciiTheme="minorHAnsi" w:hAnsiTheme="minorHAnsi" w:cstheme="minorHAnsi"/>
          <w:b/>
          <w:lang w:val="fr-CH"/>
        </w:rPr>
      </w:pPr>
      <w:r w:rsidRPr="00F1226E">
        <w:rPr>
          <w:rFonts w:asciiTheme="minorHAnsi" w:hAnsiTheme="minorHAnsi" w:cstheme="minorHAnsi"/>
          <w:b/>
          <w:lang w:val="fr-CH"/>
        </w:rPr>
        <w:t xml:space="preserve">Jeudi 25 juin </w:t>
      </w:r>
    </w:p>
    <w:p w14:paraId="4669C600" w14:textId="77777777" w:rsidR="00C40AD2" w:rsidRPr="00F1226E" w:rsidRDefault="00C40AD2" w:rsidP="00C40AD2">
      <w:pPr>
        <w:spacing w:after="0" w:line="240" w:lineRule="auto"/>
        <w:rPr>
          <w:rFonts w:asciiTheme="minorHAnsi" w:hAnsiTheme="minorHAnsi" w:cstheme="minorHAnsi"/>
          <w:b/>
          <w:lang w:val="fr-CH"/>
        </w:rPr>
      </w:pPr>
    </w:p>
    <w:p w14:paraId="62DDC717" w14:textId="4A4222DD" w:rsidR="00C40AD2" w:rsidRPr="00F1226E" w:rsidRDefault="00C40AD2" w:rsidP="00C40AD2">
      <w:pPr>
        <w:spacing w:after="0" w:line="240" w:lineRule="auto"/>
        <w:ind w:left="1701" w:hanging="1701"/>
        <w:contextualSpacing/>
        <w:rPr>
          <w:rFonts w:asciiTheme="minorHAnsi" w:hAnsiTheme="minorHAnsi" w:cstheme="minorHAnsi"/>
          <w:b/>
          <w:bCs/>
          <w:lang w:val="fr-CH"/>
        </w:rPr>
      </w:pPr>
      <w:r w:rsidRPr="00F1226E">
        <w:rPr>
          <w:rFonts w:asciiTheme="minorHAnsi" w:hAnsiTheme="minorHAnsi" w:cstheme="minorHAnsi"/>
          <w:b/>
          <w:bCs/>
          <w:lang w:val="fr-CH"/>
        </w:rPr>
        <w:t xml:space="preserve">13:00 – 16:00 </w:t>
      </w:r>
      <w:r w:rsidRPr="00F1226E">
        <w:rPr>
          <w:rFonts w:asciiTheme="minorHAnsi" w:hAnsiTheme="minorHAnsi" w:cstheme="minorHAnsi"/>
          <w:b/>
          <w:bCs/>
          <w:lang w:val="fr-CH"/>
        </w:rPr>
        <w:tab/>
      </w:r>
      <w:r w:rsidR="000F09D4">
        <w:rPr>
          <w:b/>
          <w:bCs/>
          <w:lang w:val="fr-CH"/>
        </w:rPr>
        <w:t>Séance</w:t>
      </w:r>
      <w:r w:rsidRPr="00F1226E">
        <w:rPr>
          <w:b/>
          <w:bCs/>
          <w:lang w:val="fr-CH"/>
        </w:rPr>
        <w:t xml:space="preserve"> intersessions virtuelle plénière du Comité permanent </w:t>
      </w:r>
    </w:p>
    <w:p w14:paraId="712B9611" w14:textId="77777777" w:rsidR="00C40AD2" w:rsidRPr="00F1226E" w:rsidRDefault="00C40AD2" w:rsidP="00C40AD2">
      <w:pPr>
        <w:spacing w:after="0" w:line="240" w:lineRule="auto"/>
        <w:rPr>
          <w:rFonts w:asciiTheme="minorHAnsi" w:hAnsiTheme="minorHAnsi" w:cstheme="minorHAnsi"/>
          <w:b/>
          <w:bCs/>
          <w:lang w:val="fr-CH"/>
        </w:rPr>
      </w:pPr>
    </w:p>
    <w:p w14:paraId="30290CC7" w14:textId="77777777" w:rsidR="00C40AD2" w:rsidRPr="00F1226E"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F1226E">
        <w:rPr>
          <w:rFonts w:cstheme="minorHAnsi"/>
          <w:bCs/>
          <w:lang w:val="fr-CH"/>
        </w:rPr>
        <w:t xml:space="preserve">Point 9 de l’ordre du jour : </w:t>
      </w:r>
      <w:r w:rsidRPr="00F1226E">
        <w:rPr>
          <w:rFonts w:cs="Calibri"/>
          <w:lang w:val="fr-CH"/>
        </w:rPr>
        <w:t>Révision des décisions sur les points de l’ordre du jour discutés par courriel</w:t>
      </w:r>
    </w:p>
    <w:p w14:paraId="31DBF8D9" w14:textId="77777777" w:rsidR="00C40AD2" w:rsidRPr="00F1226E" w:rsidRDefault="00C40AD2" w:rsidP="00C40AD2">
      <w:pPr>
        <w:spacing w:after="0" w:line="240" w:lineRule="auto"/>
        <w:rPr>
          <w:rFonts w:asciiTheme="minorHAnsi" w:hAnsiTheme="minorHAnsi" w:cstheme="minorHAnsi"/>
          <w:b/>
          <w:bCs/>
          <w:lang w:val="fr-CH"/>
        </w:rPr>
      </w:pPr>
    </w:p>
    <w:p w14:paraId="5EE66C68" w14:textId="77777777" w:rsidR="00C40AD2" w:rsidRPr="00F1226E"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F1226E">
        <w:rPr>
          <w:rFonts w:cs="Calibri"/>
          <w:lang w:val="fr-CH"/>
        </w:rPr>
        <w:t>Point 20.3 de l’ordre du jour de la 58</w:t>
      </w:r>
      <w:r w:rsidRPr="00F1226E">
        <w:rPr>
          <w:rFonts w:cs="Calibri"/>
          <w:vertAlign w:val="superscript"/>
          <w:lang w:val="fr-CH"/>
        </w:rPr>
        <w:t>e</w:t>
      </w:r>
      <w:r w:rsidRPr="00F1226E">
        <w:rPr>
          <w:rFonts w:cs="Calibri"/>
          <w:lang w:val="fr-CH"/>
        </w:rPr>
        <w:t xml:space="preserve"> Réunion du Comité permanent - </w:t>
      </w:r>
      <w:r w:rsidRPr="00F1226E">
        <w:rPr>
          <w:rFonts w:cs="Calibri"/>
          <w:i/>
          <w:iCs/>
          <w:lang w:val="fr-CH"/>
        </w:rPr>
        <w:t>Les prix Ramsar pour la conservation des zones humides</w:t>
      </w:r>
      <w:r w:rsidRPr="00F1226E">
        <w:rPr>
          <w:rFonts w:asciiTheme="minorHAnsi" w:hAnsiTheme="minorHAnsi" w:cstheme="minorHAnsi"/>
          <w:lang w:val="fr-CH"/>
        </w:rPr>
        <w:t xml:space="preserve"> (suite)</w:t>
      </w:r>
    </w:p>
    <w:p w14:paraId="48D9A7E0" w14:textId="77777777" w:rsidR="00C40AD2" w:rsidRPr="00F1226E" w:rsidRDefault="00C40AD2" w:rsidP="00C40AD2">
      <w:pPr>
        <w:spacing w:after="0" w:line="240" w:lineRule="auto"/>
        <w:rPr>
          <w:rFonts w:asciiTheme="minorHAnsi" w:hAnsiTheme="minorHAnsi" w:cstheme="minorHAnsi"/>
          <w:color w:val="BFBFBF" w:themeColor="background1" w:themeShade="BF"/>
          <w:lang w:val="fr-CH"/>
        </w:rPr>
      </w:pPr>
    </w:p>
    <w:p w14:paraId="610A0AE6" w14:textId="5E40A0BE" w:rsidR="00C40AD2" w:rsidRPr="00F1226E" w:rsidRDefault="00C40AD2" w:rsidP="00C40AD2">
      <w:pPr>
        <w:spacing w:after="0" w:line="240" w:lineRule="auto"/>
        <w:ind w:left="567" w:hanging="567"/>
        <w:contextualSpacing/>
        <w:rPr>
          <w:rFonts w:cs="Calibri"/>
          <w:lang w:val="fr-CH"/>
        </w:rPr>
      </w:pPr>
      <w:r w:rsidRPr="00F1226E">
        <w:rPr>
          <w:rFonts w:cs="Calibri"/>
          <w:lang w:val="fr-CH"/>
        </w:rPr>
        <w:t>28.</w:t>
      </w:r>
      <w:r w:rsidRPr="00F1226E">
        <w:rPr>
          <w:rFonts w:cs="Calibri"/>
          <w:lang w:val="fr-CH"/>
        </w:rPr>
        <w:tab/>
      </w:r>
      <w:r>
        <w:rPr>
          <w:rFonts w:cs="Calibri"/>
          <w:lang w:val="fr-CH"/>
        </w:rPr>
        <w:t xml:space="preserve">Le Secrétariat </w:t>
      </w:r>
      <w:r w:rsidR="000F09D4">
        <w:rPr>
          <w:rFonts w:cs="Calibri"/>
          <w:lang w:val="fr-CH"/>
        </w:rPr>
        <w:t>rappelle</w:t>
      </w:r>
      <w:r>
        <w:rPr>
          <w:rFonts w:cs="Calibri"/>
          <w:lang w:val="fr-CH"/>
        </w:rPr>
        <w:t xml:space="preserve"> que les discussions sur le parrainage de Danone pour les prix pour la conservation des zones humides 2021 n’est pas encore finalisé.</w:t>
      </w:r>
    </w:p>
    <w:p w14:paraId="5951012E" w14:textId="77777777" w:rsidR="00C40AD2" w:rsidRPr="00F1226E" w:rsidRDefault="00C40AD2" w:rsidP="00C40AD2">
      <w:pPr>
        <w:spacing w:after="0" w:line="240" w:lineRule="auto"/>
        <w:ind w:left="567" w:hanging="567"/>
        <w:contextualSpacing/>
        <w:rPr>
          <w:rFonts w:cs="Calibri"/>
          <w:lang w:val="fr-CH"/>
        </w:rPr>
      </w:pPr>
    </w:p>
    <w:p w14:paraId="13A72392" w14:textId="735EBB77" w:rsidR="00C40AD2" w:rsidRPr="00F1226E" w:rsidRDefault="00C40AD2" w:rsidP="00C40AD2">
      <w:pPr>
        <w:spacing w:after="0" w:line="240" w:lineRule="auto"/>
        <w:ind w:left="567" w:hanging="567"/>
        <w:contextualSpacing/>
        <w:rPr>
          <w:rFonts w:cs="Calibri"/>
          <w:lang w:val="fr-CH"/>
        </w:rPr>
      </w:pPr>
      <w:r w:rsidRPr="00F1226E">
        <w:rPr>
          <w:rFonts w:cs="Calibri"/>
          <w:lang w:val="fr-CH"/>
        </w:rPr>
        <w:t>29.</w:t>
      </w:r>
      <w:r w:rsidRPr="00F1226E">
        <w:rPr>
          <w:rFonts w:cs="Calibri"/>
          <w:lang w:val="fr-CH"/>
        </w:rPr>
        <w:tab/>
      </w:r>
      <w:r>
        <w:rPr>
          <w:rFonts w:cs="Calibri"/>
          <w:lang w:val="fr-CH"/>
        </w:rPr>
        <w:t xml:space="preserve">Il rappelle que la possibilité d’introduire une nouvelle catégorie de prix pour la participation communautaire a été soulevée au cours de la </w:t>
      </w:r>
      <w:r w:rsidR="00932D74">
        <w:rPr>
          <w:rFonts w:cs="Calibri"/>
          <w:lang w:val="fr-CH"/>
        </w:rPr>
        <w:t>séance</w:t>
      </w:r>
      <w:r>
        <w:rPr>
          <w:rFonts w:cs="Calibri"/>
          <w:lang w:val="fr-CH"/>
        </w:rPr>
        <w:t xml:space="preserve"> précédente, de même qu’une objection à la suppression du critère 5 relatif à l’éligibilité. Les participants se sont également demandé s’il convient d’aller de l’avant avec le processus de candidature avant d’avoir obtenu un </w:t>
      </w:r>
      <w:r>
        <w:rPr>
          <w:rFonts w:cs="Calibri"/>
          <w:lang w:val="fr-CH"/>
        </w:rPr>
        <w:lastRenderedPageBreak/>
        <w:t xml:space="preserve">financement, et ont examiné la possibilité d’éliminer les prix en espèces et de revoir le calendrier du processus en tenant compte de la pandémie de </w:t>
      </w:r>
      <w:r w:rsidRPr="00F1226E">
        <w:rPr>
          <w:rFonts w:cs="Calibri"/>
          <w:lang w:val="fr-CH"/>
        </w:rPr>
        <w:t>COVID-19.</w:t>
      </w:r>
    </w:p>
    <w:p w14:paraId="0E0C540F" w14:textId="77777777" w:rsidR="00C40AD2" w:rsidRPr="00F1226E" w:rsidRDefault="00C40AD2" w:rsidP="00C40AD2">
      <w:pPr>
        <w:spacing w:after="0" w:line="240" w:lineRule="auto"/>
        <w:ind w:left="567" w:hanging="567"/>
        <w:rPr>
          <w:rFonts w:cs="Calibri"/>
          <w:lang w:val="fr-CH"/>
        </w:rPr>
      </w:pPr>
    </w:p>
    <w:p w14:paraId="0A0189E3" w14:textId="2939DCED" w:rsidR="00C40AD2" w:rsidRPr="00F1226E" w:rsidRDefault="00C40AD2" w:rsidP="00C40AD2">
      <w:pPr>
        <w:spacing w:after="0" w:line="240" w:lineRule="auto"/>
        <w:ind w:left="567" w:hanging="567"/>
        <w:contextualSpacing/>
        <w:rPr>
          <w:rFonts w:cs="Calibri"/>
          <w:lang w:val="fr-CH"/>
        </w:rPr>
      </w:pPr>
      <w:r w:rsidRPr="000F09D4">
        <w:rPr>
          <w:rFonts w:cs="Calibri"/>
          <w:lang w:val="fr-CH"/>
        </w:rPr>
        <w:t>30.</w:t>
      </w:r>
      <w:r w:rsidRPr="000F09D4">
        <w:rPr>
          <w:rFonts w:cs="Calibri"/>
          <w:lang w:val="fr-CH"/>
        </w:rPr>
        <w:tab/>
        <w:t xml:space="preserve">Le </w:t>
      </w:r>
      <w:r w:rsidRPr="008E027F">
        <w:rPr>
          <w:rFonts w:cs="Calibri"/>
          <w:lang w:val="fr-CH"/>
        </w:rPr>
        <w:t>Secrétariat note que deux éventuels projets de décisions du Comité permanent ont été distribués</w:t>
      </w:r>
      <w:r w:rsidR="000F09D4" w:rsidRPr="008E027F">
        <w:rPr>
          <w:rFonts w:cs="Calibri"/>
          <w:lang w:val="fr-CH"/>
        </w:rPr>
        <w:t xml:space="preserve"> : option 1 – approuver les procédures proposées pour les prix, pour la COP14 et demander au Secrétariat de préparer un projet de résolution pour la COP14, actualisant et remplaçant la Résolution VI.18 ; et option 2 – demander au Secrétariat de revoir les procédures proposées en fonction des commentaires reçus et de les soumettre à nouveau pour approbation à la </w:t>
      </w:r>
      <w:r w:rsidR="00A12F66" w:rsidRPr="008E027F">
        <w:rPr>
          <w:rFonts w:cs="Calibri"/>
          <w:lang w:val="fr-CH"/>
        </w:rPr>
        <w:t>58</w:t>
      </w:r>
      <w:r w:rsidR="00A12F66" w:rsidRPr="008E027F">
        <w:rPr>
          <w:rFonts w:cs="Calibri"/>
          <w:vertAlign w:val="superscript"/>
          <w:lang w:val="fr-CH"/>
        </w:rPr>
        <w:t>e</w:t>
      </w:r>
      <w:r w:rsidR="00A12F66" w:rsidRPr="008E027F">
        <w:rPr>
          <w:rFonts w:cs="Calibri"/>
          <w:lang w:val="fr-CH"/>
        </w:rPr>
        <w:t xml:space="preserve"> Réunion du Comité permanent</w:t>
      </w:r>
      <w:r w:rsidR="000F09D4" w:rsidRPr="008E027F">
        <w:rPr>
          <w:rFonts w:cs="Calibri"/>
          <w:lang w:val="fr-CH"/>
        </w:rPr>
        <w:t xml:space="preserve">. </w:t>
      </w:r>
      <w:r w:rsidRPr="008E027F">
        <w:rPr>
          <w:rFonts w:cs="Calibri"/>
          <w:lang w:val="fr-CH"/>
        </w:rPr>
        <w:t xml:space="preserve"> </w:t>
      </w:r>
      <w:r w:rsidR="000F09D4" w:rsidRPr="008E027F">
        <w:rPr>
          <w:rFonts w:cs="Calibri"/>
          <w:lang w:val="fr-CH"/>
        </w:rPr>
        <w:t>Quatre</w:t>
      </w:r>
      <w:r>
        <w:rPr>
          <w:rFonts w:cs="Calibri"/>
          <w:lang w:val="fr-CH"/>
        </w:rPr>
        <w:t xml:space="preserve"> Parties contractantes ont fait des commentaires qui ont été intégrés et le document a été distribué aux participants avant la </w:t>
      </w:r>
      <w:r w:rsidR="00A12F66">
        <w:rPr>
          <w:rFonts w:cs="Calibri"/>
          <w:lang w:val="fr-CH"/>
        </w:rPr>
        <w:t>séance</w:t>
      </w:r>
      <w:r>
        <w:rPr>
          <w:rFonts w:cs="Calibri"/>
          <w:lang w:val="fr-CH"/>
        </w:rPr>
        <w:t xml:space="preserve">. </w:t>
      </w:r>
      <w:r w:rsidR="00A12F66">
        <w:rPr>
          <w:rFonts w:cs="Calibri"/>
          <w:lang w:val="fr-CH"/>
        </w:rPr>
        <w:t>L</w:t>
      </w:r>
      <w:r>
        <w:rPr>
          <w:rFonts w:cs="Calibri"/>
          <w:lang w:val="fr-CH"/>
        </w:rPr>
        <w:t xml:space="preserve">e Secrétariat a </w:t>
      </w:r>
      <w:r w:rsidR="00A12F66">
        <w:rPr>
          <w:rFonts w:cs="Calibri"/>
          <w:lang w:val="fr-CH"/>
        </w:rPr>
        <w:t>recommandé</w:t>
      </w:r>
      <w:r>
        <w:rPr>
          <w:rFonts w:cs="Calibri"/>
          <w:lang w:val="fr-CH"/>
        </w:rPr>
        <w:t xml:space="preserve"> l’option 2 qui laisserait suffisamment de temps pour examiner la possibilité d’ajouter une nouvelle catégorie de prix, pour préparer un nouveau projet de résolution si la 58</w:t>
      </w:r>
      <w:r w:rsidRPr="001D0391">
        <w:rPr>
          <w:rFonts w:cs="Calibri"/>
          <w:vertAlign w:val="superscript"/>
          <w:lang w:val="fr-CH"/>
        </w:rPr>
        <w:t>e</w:t>
      </w:r>
      <w:r>
        <w:rPr>
          <w:rFonts w:cs="Calibri"/>
          <w:lang w:val="fr-CH"/>
        </w:rPr>
        <w:t> Réunion du Comité permanent le décide et pour que le Sous</w:t>
      </w:r>
      <w:r>
        <w:rPr>
          <w:rFonts w:cs="Calibri"/>
          <w:lang w:val="fr-CH"/>
        </w:rPr>
        <w:noBreakHyphen/>
        <w:t>groupe sur la COP14 puisse réviser les candidatures en vue de faire des</w:t>
      </w:r>
      <w:r w:rsidR="00A12F66">
        <w:rPr>
          <w:rFonts w:cs="Calibri"/>
          <w:lang w:val="fr-CH"/>
        </w:rPr>
        <w:t xml:space="preserve"> </w:t>
      </w:r>
      <w:r>
        <w:rPr>
          <w:rFonts w:cs="Calibri"/>
          <w:lang w:val="fr-CH"/>
        </w:rPr>
        <w:t>recommandations finales à la 59</w:t>
      </w:r>
      <w:r w:rsidRPr="001D0391">
        <w:rPr>
          <w:rFonts w:cs="Calibri"/>
          <w:vertAlign w:val="superscript"/>
          <w:lang w:val="fr-CH"/>
        </w:rPr>
        <w:t>e</w:t>
      </w:r>
      <w:r>
        <w:rPr>
          <w:rFonts w:cs="Calibri"/>
          <w:lang w:val="fr-CH"/>
        </w:rPr>
        <w:t xml:space="preserve"> Réunion du Comité permanent. </w:t>
      </w:r>
    </w:p>
    <w:p w14:paraId="7813730C" w14:textId="77777777" w:rsidR="00C40AD2" w:rsidRPr="00F1226E" w:rsidRDefault="00C40AD2" w:rsidP="00C40AD2">
      <w:pPr>
        <w:spacing w:after="0" w:line="240" w:lineRule="auto"/>
        <w:ind w:left="567" w:hanging="567"/>
        <w:rPr>
          <w:rFonts w:cs="Calibri"/>
          <w:lang w:val="fr-CH"/>
        </w:rPr>
      </w:pPr>
    </w:p>
    <w:p w14:paraId="1D318C4C" w14:textId="77777777" w:rsidR="00C40AD2" w:rsidRPr="00F1226E" w:rsidRDefault="00C40AD2" w:rsidP="00C40AD2">
      <w:pPr>
        <w:spacing w:after="0" w:line="240" w:lineRule="auto"/>
        <w:ind w:left="567" w:hanging="567"/>
        <w:contextualSpacing/>
        <w:rPr>
          <w:rFonts w:cs="Calibri"/>
          <w:lang w:val="fr-CH"/>
        </w:rPr>
      </w:pPr>
      <w:r w:rsidRPr="00F1226E">
        <w:rPr>
          <w:rFonts w:cs="Calibri"/>
          <w:lang w:val="fr-CH"/>
        </w:rPr>
        <w:t>31.</w:t>
      </w:r>
      <w:r w:rsidRPr="00F1226E">
        <w:rPr>
          <w:rFonts w:cs="Calibri"/>
          <w:lang w:val="fr-CH"/>
        </w:rPr>
        <w:tab/>
      </w:r>
      <w:r>
        <w:rPr>
          <w:rFonts w:cs="Calibri"/>
          <w:lang w:val="fr-CH"/>
        </w:rPr>
        <w:t xml:space="preserve">Dans la discussion qui suit, un appui général s’exprime en faveur de l’option 2. Il est noté que le critère 5 sur l’éligibilité devrait être retenu entre crochets car sa suppression pourrait avoir des incidences sur la réputation de la Convention. </w:t>
      </w:r>
    </w:p>
    <w:p w14:paraId="10DFF9AF" w14:textId="77777777" w:rsidR="00C40AD2" w:rsidRPr="00F1226E" w:rsidRDefault="00C40AD2" w:rsidP="00C40AD2">
      <w:pPr>
        <w:spacing w:after="0" w:line="240" w:lineRule="auto"/>
        <w:ind w:left="567" w:hanging="567"/>
        <w:rPr>
          <w:rFonts w:cs="Calibri"/>
          <w:lang w:val="fr-CH"/>
        </w:rPr>
      </w:pPr>
    </w:p>
    <w:p w14:paraId="7B7A5948" w14:textId="77777777" w:rsidR="00C40AD2" w:rsidRPr="008926AF" w:rsidRDefault="00C40AD2" w:rsidP="00C40AD2">
      <w:pPr>
        <w:spacing w:after="0" w:line="240" w:lineRule="auto"/>
        <w:ind w:left="567" w:hanging="567"/>
        <w:contextualSpacing/>
        <w:rPr>
          <w:rFonts w:cs="Calibri"/>
          <w:lang w:val="fr-CH"/>
        </w:rPr>
      </w:pPr>
      <w:r w:rsidRPr="00F1226E">
        <w:rPr>
          <w:rFonts w:cs="Calibri"/>
          <w:lang w:val="fr-CH"/>
        </w:rPr>
        <w:t>32.</w:t>
      </w:r>
      <w:r w:rsidRPr="00F1226E">
        <w:rPr>
          <w:rFonts w:cs="Calibri"/>
          <w:lang w:val="fr-CH"/>
        </w:rPr>
        <w:tab/>
      </w:r>
      <w:r>
        <w:rPr>
          <w:rFonts w:cs="Calibri"/>
          <w:lang w:val="fr-CH"/>
        </w:rPr>
        <w:t xml:space="preserve">La </w:t>
      </w:r>
      <w:r w:rsidRPr="00F1226E">
        <w:rPr>
          <w:rFonts w:cs="Calibri"/>
          <w:b/>
          <w:bCs/>
          <w:lang w:val="fr-CH"/>
        </w:rPr>
        <w:t>Colombi</w:t>
      </w:r>
      <w:r>
        <w:rPr>
          <w:rFonts w:cs="Calibri"/>
          <w:b/>
          <w:bCs/>
          <w:lang w:val="fr-CH"/>
        </w:rPr>
        <w:t>e</w:t>
      </w:r>
      <w:r w:rsidRPr="00F1226E">
        <w:rPr>
          <w:rFonts w:cs="Calibri"/>
          <w:lang w:val="fr-CH"/>
        </w:rPr>
        <w:t>,</w:t>
      </w:r>
      <w:r>
        <w:rPr>
          <w:rFonts w:cs="Calibri"/>
          <w:lang w:val="fr-CH"/>
        </w:rPr>
        <w:t xml:space="preserve"> le</w:t>
      </w:r>
      <w:r w:rsidRPr="00F1226E">
        <w:rPr>
          <w:rFonts w:cs="Calibri"/>
          <w:lang w:val="fr-CH"/>
        </w:rPr>
        <w:t xml:space="preserve"> </w:t>
      </w:r>
      <w:r w:rsidRPr="00F1226E">
        <w:rPr>
          <w:rFonts w:cs="Calibri"/>
          <w:b/>
          <w:bCs/>
          <w:lang w:val="fr-CH"/>
        </w:rPr>
        <w:t>Costa Rica</w:t>
      </w:r>
      <w:r w:rsidRPr="00F1226E">
        <w:rPr>
          <w:rFonts w:cs="Calibri"/>
          <w:lang w:val="fr-CH"/>
        </w:rPr>
        <w:t xml:space="preserve">, </w:t>
      </w:r>
      <w:r>
        <w:rPr>
          <w:rFonts w:cs="Calibri"/>
          <w:bCs/>
          <w:lang w:val="fr-CH"/>
        </w:rPr>
        <w:t>les</w:t>
      </w:r>
      <w:r w:rsidRPr="00F1226E">
        <w:rPr>
          <w:rFonts w:cs="Calibri"/>
          <w:lang w:val="fr-CH"/>
        </w:rPr>
        <w:t xml:space="preserve"> </w:t>
      </w:r>
      <w:r>
        <w:rPr>
          <w:rFonts w:cs="Calibri"/>
          <w:b/>
          <w:bCs/>
          <w:lang w:val="fr-CH"/>
        </w:rPr>
        <w:t>Émirats arabes unis</w:t>
      </w:r>
      <w:r>
        <w:rPr>
          <w:rFonts w:cs="Calibri"/>
          <w:bCs/>
          <w:lang w:val="fr-CH"/>
        </w:rPr>
        <w:t xml:space="preserve">, </w:t>
      </w:r>
      <w:r>
        <w:rPr>
          <w:rFonts w:cs="Calibri"/>
          <w:lang w:val="fr-CH"/>
        </w:rPr>
        <w:t>les</w:t>
      </w:r>
      <w:r w:rsidRPr="00F1226E">
        <w:rPr>
          <w:rFonts w:cs="Calibri"/>
          <w:lang w:val="fr-CH"/>
        </w:rPr>
        <w:t xml:space="preserve"> </w:t>
      </w:r>
      <w:r>
        <w:rPr>
          <w:rFonts w:cs="Calibri"/>
          <w:b/>
          <w:bCs/>
          <w:lang w:val="fr-CH"/>
        </w:rPr>
        <w:t>États</w:t>
      </w:r>
      <w:r>
        <w:rPr>
          <w:rFonts w:cs="Calibri"/>
          <w:b/>
          <w:bCs/>
          <w:lang w:val="fr-CH"/>
        </w:rPr>
        <w:noBreakHyphen/>
        <w:t>Unis d’Amérique</w:t>
      </w:r>
      <w:r>
        <w:rPr>
          <w:rFonts w:cs="Calibri"/>
          <w:lang w:val="fr-CH"/>
        </w:rPr>
        <w:t xml:space="preserve">, la </w:t>
      </w:r>
      <w:r>
        <w:rPr>
          <w:rFonts w:cs="Calibri"/>
          <w:b/>
          <w:bCs/>
          <w:lang w:val="fr-CH"/>
        </w:rPr>
        <w:t>République dominicaine</w:t>
      </w:r>
      <w:r w:rsidRPr="00F1226E">
        <w:rPr>
          <w:rFonts w:cs="Calibri"/>
          <w:bCs/>
          <w:lang w:val="fr-CH"/>
        </w:rPr>
        <w:t>,</w:t>
      </w:r>
      <w:r>
        <w:rPr>
          <w:rFonts w:cs="Calibri"/>
          <w:bCs/>
          <w:lang w:val="fr-CH"/>
        </w:rPr>
        <w:t xml:space="preserve"> l</w:t>
      </w:r>
      <w:r w:rsidRPr="00F1226E">
        <w:rPr>
          <w:rFonts w:cs="Calibri"/>
          <w:bCs/>
          <w:lang w:val="fr-CH"/>
        </w:rPr>
        <w:t>e</w:t>
      </w:r>
      <w:r>
        <w:rPr>
          <w:rFonts w:cs="Calibri"/>
          <w:b/>
          <w:bCs/>
          <w:lang w:val="fr-CH"/>
        </w:rPr>
        <w:t xml:space="preserve"> Royaume-Uni de Grande-Bretagne et d’Irlande du Nord</w:t>
      </w:r>
      <w:r w:rsidRPr="00F1226E">
        <w:rPr>
          <w:rFonts w:cs="Calibri"/>
          <w:b/>
          <w:bCs/>
          <w:lang w:val="fr-CH"/>
        </w:rPr>
        <w:t xml:space="preserve"> </w:t>
      </w:r>
      <w:r w:rsidRPr="008926AF">
        <w:rPr>
          <w:rFonts w:cs="Calibri"/>
          <w:bCs/>
          <w:lang w:val="fr-CH"/>
        </w:rPr>
        <w:t xml:space="preserve">et </w:t>
      </w:r>
      <w:r>
        <w:rPr>
          <w:rFonts w:cs="Calibri"/>
          <w:bCs/>
          <w:lang w:val="fr-CH"/>
        </w:rPr>
        <w:t>la</w:t>
      </w:r>
      <w:r>
        <w:rPr>
          <w:rFonts w:cs="Calibri"/>
          <w:b/>
          <w:bCs/>
          <w:lang w:val="fr-CH"/>
        </w:rPr>
        <w:t xml:space="preserve"> Suède </w:t>
      </w:r>
      <w:r>
        <w:rPr>
          <w:rFonts w:cs="Calibri"/>
          <w:bCs/>
          <w:lang w:val="fr-CH"/>
        </w:rPr>
        <w:t>interviennent dans la discussion.</w:t>
      </w:r>
    </w:p>
    <w:p w14:paraId="1FC00D87" w14:textId="77777777" w:rsidR="00C40AD2" w:rsidRPr="00F1226E" w:rsidRDefault="00C40AD2" w:rsidP="00C40AD2">
      <w:pPr>
        <w:spacing w:after="0" w:line="240" w:lineRule="auto"/>
        <w:rPr>
          <w:rFonts w:asciiTheme="minorHAnsi" w:hAnsiTheme="minorHAnsi" w:cstheme="minorHAnsi"/>
          <w:bCs/>
          <w:lang w:val="fr-CH"/>
        </w:rPr>
      </w:pPr>
    </w:p>
    <w:p w14:paraId="25D3BCF3" w14:textId="77777777" w:rsidR="00C40AD2" w:rsidRPr="00F1226E" w:rsidRDefault="00C40AD2" w:rsidP="00C40AD2">
      <w:pPr>
        <w:pStyle w:val="BodyText"/>
        <w:widowControl/>
        <w:ind w:left="0"/>
        <w:rPr>
          <w:rFonts w:asciiTheme="minorHAnsi" w:hAnsiTheme="minorHAnsi" w:cstheme="minorHAnsi"/>
          <w:b/>
          <w:lang w:val="fr-CH"/>
        </w:rPr>
      </w:pPr>
      <w:r w:rsidRPr="00F1226E">
        <w:rPr>
          <w:rFonts w:asciiTheme="minorHAnsi" w:hAnsiTheme="minorHAnsi" w:cstheme="minorHAnsi"/>
          <w:b/>
          <w:bCs/>
          <w:lang w:val="fr-CH"/>
        </w:rPr>
        <w:t xml:space="preserve">Décision SC58-22 : </w:t>
      </w:r>
      <w:r w:rsidRPr="00F1226E">
        <w:rPr>
          <w:b/>
          <w:bCs/>
          <w:sz w:val="21"/>
          <w:szCs w:val="21"/>
          <w:lang w:val="fr-CH"/>
        </w:rPr>
        <w:t xml:space="preserve">Le Comité permanent demande au Secrétariat d’examiner les procédures proposées pour les prix Ramsar pour la conservation des zones humides pour la COP14 figurant dans le document SC58 Doc. 20.3 en fonction des commentaires reçus des Parties contractantes afin de les soumettre pour approbation à la </w:t>
      </w:r>
      <w:bookmarkStart w:id="2" w:name="_Hlk44925218"/>
      <w:r w:rsidRPr="00F1226E">
        <w:rPr>
          <w:b/>
          <w:bCs/>
          <w:sz w:val="21"/>
          <w:szCs w:val="21"/>
          <w:lang w:val="fr-CH"/>
        </w:rPr>
        <w:t>58</w:t>
      </w:r>
      <w:r w:rsidRPr="00F1226E">
        <w:rPr>
          <w:b/>
          <w:bCs/>
          <w:sz w:val="21"/>
          <w:szCs w:val="21"/>
          <w:vertAlign w:val="superscript"/>
          <w:lang w:val="fr-CH"/>
        </w:rPr>
        <w:t>e</w:t>
      </w:r>
      <w:r w:rsidRPr="00F1226E">
        <w:rPr>
          <w:b/>
          <w:bCs/>
          <w:sz w:val="21"/>
          <w:szCs w:val="21"/>
          <w:lang w:val="fr-CH"/>
        </w:rPr>
        <w:t xml:space="preserve"> Réunion du Comité permanent</w:t>
      </w:r>
      <w:bookmarkEnd w:id="2"/>
      <w:r w:rsidRPr="00F1226E">
        <w:rPr>
          <w:b/>
          <w:bCs/>
          <w:sz w:val="21"/>
          <w:szCs w:val="21"/>
          <w:lang w:val="fr-CH"/>
        </w:rPr>
        <w:t>, en octobre</w:t>
      </w:r>
      <w:r w:rsidRPr="00F1226E">
        <w:rPr>
          <w:rFonts w:asciiTheme="minorHAnsi" w:hAnsiTheme="minorHAnsi" w:cstheme="minorHAnsi"/>
          <w:b/>
          <w:lang w:val="fr-CH"/>
        </w:rPr>
        <w:t xml:space="preserve">.  </w:t>
      </w:r>
    </w:p>
    <w:p w14:paraId="47048600" w14:textId="77777777" w:rsidR="00C40AD2" w:rsidRPr="00F1226E" w:rsidRDefault="00C40AD2" w:rsidP="00C40AD2">
      <w:pPr>
        <w:spacing w:after="0" w:line="240" w:lineRule="auto"/>
        <w:ind w:left="567" w:hanging="142"/>
        <w:rPr>
          <w:rFonts w:asciiTheme="minorHAnsi" w:hAnsiTheme="minorHAnsi" w:cstheme="minorHAnsi"/>
          <w:bCs/>
          <w:lang w:val="fr-CH"/>
        </w:rPr>
      </w:pPr>
    </w:p>
    <w:p w14:paraId="13959208" w14:textId="4ED9CA05" w:rsidR="00C40AD2" w:rsidRPr="00F1226E"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F1226E">
        <w:rPr>
          <w:rFonts w:cs="Calibri"/>
          <w:lang w:val="fr-CH"/>
        </w:rPr>
        <w:t>Point 22.2 de l’ordre du jour</w:t>
      </w:r>
      <w:r w:rsidR="00A12F66">
        <w:rPr>
          <w:rFonts w:cs="Calibri"/>
          <w:lang w:val="fr-CH"/>
        </w:rPr>
        <w:t xml:space="preserve"> de la</w:t>
      </w:r>
      <w:r w:rsidRPr="00F1226E">
        <w:rPr>
          <w:rFonts w:cs="Calibri"/>
          <w:lang w:val="fr-CH"/>
        </w:rPr>
        <w:t xml:space="preserve"> </w:t>
      </w:r>
      <w:r w:rsidR="00A12F66" w:rsidRPr="00A12F66">
        <w:rPr>
          <w:rFonts w:cs="Calibri"/>
          <w:lang w:val="fr-CH"/>
        </w:rPr>
        <w:t>58</w:t>
      </w:r>
      <w:r w:rsidR="00A12F66" w:rsidRPr="00A12F66">
        <w:rPr>
          <w:rFonts w:cs="Calibri"/>
          <w:vertAlign w:val="superscript"/>
          <w:lang w:val="fr-CH"/>
        </w:rPr>
        <w:t>e</w:t>
      </w:r>
      <w:r w:rsidR="00A12F66" w:rsidRPr="00A12F66">
        <w:rPr>
          <w:rFonts w:cs="Calibri"/>
          <w:lang w:val="fr-CH"/>
        </w:rPr>
        <w:t xml:space="preserve"> Réunion du Comité permanent </w:t>
      </w:r>
      <w:r w:rsidRPr="00F1226E">
        <w:rPr>
          <w:rFonts w:cs="Calibri"/>
          <w:i/>
          <w:iCs/>
          <w:lang w:val="fr-CH"/>
        </w:rPr>
        <w:t>Rapport du Secrétariat sur les Initiatives régionales Ramsar</w:t>
      </w:r>
      <w:r w:rsidRPr="00F1226E">
        <w:rPr>
          <w:rFonts w:cs="Calibri"/>
          <w:lang w:val="fr-CH"/>
        </w:rPr>
        <w:t xml:space="preserve"> (précision sur l’appel à propositions pour les nouvelles IRR) </w:t>
      </w:r>
      <w:r w:rsidRPr="00F1226E">
        <w:rPr>
          <w:rFonts w:asciiTheme="minorHAnsi" w:hAnsiTheme="minorHAnsi" w:cstheme="minorHAnsi"/>
          <w:lang w:val="fr-CH"/>
        </w:rPr>
        <w:t xml:space="preserve"> </w:t>
      </w:r>
    </w:p>
    <w:p w14:paraId="6C100330" w14:textId="77777777" w:rsidR="00C40AD2" w:rsidRPr="00F1226E" w:rsidRDefault="00C40AD2" w:rsidP="00C40AD2">
      <w:pPr>
        <w:spacing w:after="0" w:line="240" w:lineRule="auto"/>
        <w:rPr>
          <w:rFonts w:asciiTheme="minorHAnsi" w:hAnsiTheme="minorHAnsi" w:cstheme="minorHAnsi"/>
          <w:lang w:val="fr-CH"/>
        </w:rPr>
      </w:pPr>
    </w:p>
    <w:p w14:paraId="3D5730D0" w14:textId="77777777" w:rsidR="00C40AD2" w:rsidRPr="00F1226E" w:rsidRDefault="00C40AD2" w:rsidP="00C40AD2">
      <w:pPr>
        <w:spacing w:after="0" w:line="240" w:lineRule="auto"/>
        <w:ind w:left="567" w:hanging="567"/>
        <w:contextualSpacing/>
        <w:rPr>
          <w:rFonts w:cs="Calibri"/>
          <w:lang w:val="fr-CH"/>
        </w:rPr>
      </w:pPr>
      <w:r w:rsidRPr="00F1226E">
        <w:rPr>
          <w:rFonts w:cs="Calibri"/>
          <w:lang w:val="fr-CH"/>
        </w:rPr>
        <w:t>33.</w:t>
      </w:r>
      <w:r w:rsidRPr="00F1226E">
        <w:rPr>
          <w:rFonts w:cs="Calibri"/>
          <w:lang w:val="fr-CH"/>
        </w:rPr>
        <w:tab/>
      </w:r>
      <w:r>
        <w:rPr>
          <w:rFonts w:cs="Calibri"/>
          <w:lang w:val="fr-CH"/>
        </w:rPr>
        <w:t>Le Secrétariat indique qu’il s’agit d’une demande d’éclaircissement concernant le paragraphe 13 de la Résolution </w:t>
      </w:r>
      <w:r w:rsidRPr="00F1226E">
        <w:rPr>
          <w:rFonts w:cs="Calibri"/>
          <w:lang w:val="fr-CH"/>
        </w:rPr>
        <w:t xml:space="preserve">XIII.9, </w:t>
      </w:r>
      <w:r>
        <w:rPr>
          <w:rFonts w:cs="Calibri"/>
          <w:lang w:val="fr-CH"/>
        </w:rPr>
        <w:t>qui donne instruction au Secrétariat d’ouvrir l’appel à propositions pour de nouvelles Initiatives régionales Ramsar mais ne donne aucune orientation sur la manière de le faire. Le Secrétariat estime que le processus devrait être terminé avant la 59</w:t>
      </w:r>
      <w:r w:rsidRPr="006756F4">
        <w:rPr>
          <w:rFonts w:cs="Calibri"/>
          <w:vertAlign w:val="superscript"/>
          <w:lang w:val="fr-CH"/>
        </w:rPr>
        <w:t>e</w:t>
      </w:r>
      <w:r>
        <w:rPr>
          <w:rFonts w:cs="Calibri"/>
          <w:lang w:val="fr-CH"/>
        </w:rPr>
        <w:t> Réunion du Comité permanent afin que les propositions soient prêtes pour adoption par la COP14 ; en conséquence, il propose la date du 31 juillet 2020.</w:t>
      </w:r>
      <w:r w:rsidRPr="00F1226E">
        <w:rPr>
          <w:rFonts w:cs="Calibri"/>
          <w:lang w:val="fr-CH"/>
        </w:rPr>
        <w:t xml:space="preserve"> </w:t>
      </w:r>
    </w:p>
    <w:p w14:paraId="54F87673" w14:textId="77777777" w:rsidR="00C40AD2" w:rsidRPr="00F1226E" w:rsidRDefault="00C40AD2" w:rsidP="00C40AD2">
      <w:pPr>
        <w:spacing w:after="0" w:line="240" w:lineRule="auto"/>
        <w:ind w:left="567" w:hanging="567"/>
        <w:contextualSpacing/>
        <w:rPr>
          <w:rFonts w:cs="Calibri"/>
          <w:lang w:val="fr-CH"/>
        </w:rPr>
      </w:pPr>
    </w:p>
    <w:p w14:paraId="5AE50047" w14:textId="5FABF42A" w:rsidR="00C40AD2" w:rsidRPr="00F1226E" w:rsidRDefault="00C40AD2" w:rsidP="00C40AD2">
      <w:pPr>
        <w:spacing w:after="0" w:line="240" w:lineRule="auto"/>
        <w:ind w:left="567" w:hanging="567"/>
        <w:contextualSpacing/>
        <w:rPr>
          <w:rFonts w:cs="Calibri"/>
          <w:lang w:val="fr-CH"/>
        </w:rPr>
      </w:pPr>
      <w:r w:rsidRPr="00F1226E">
        <w:rPr>
          <w:rFonts w:cs="Calibri"/>
          <w:lang w:val="fr-CH"/>
        </w:rPr>
        <w:t>34.</w:t>
      </w:r>
      <w:r w:rsidRPr="00F1226E">
        <w:rPr>
          <w:rFonts w:cs="Calibri"/>
          <w:lang w:val="fr-CH"/>
        </w:rPr>
        <w:tab/>
      </w:r>
      <w:r>
        <w:rPr>
          <w:rFonts w:cs="Calibri"/>
          <w:lang w:val="fr-CH"/>
        </w:rPr>
        <w:t>Un participant pose une question sur la date de clôture des candidatures, sachant qu’un temps suffisant doit être prévu pour examiner les candidatures avant la 59</w:t>
      </w:r>
      <w:r w:rsidRPr="006756F4">
        <w:rPr>
          <w:rFonts w:cs="Calibri"/>
          <w:vertAlign w:val="superscript"/>
          <w:lang w:val="fr-CH"/>
        </w:rPr>
        <w:t>e</w:t>
      </w:r>
      <w:r>
        <w:rPr>
          <w:rFonts w:cs="Calibri"/>
          <w:lang w:val="fr-CH"/>
        </w:rPr>
        <w:t> Réunion du Comité permanent. En réponse, le Secrétariat note que la date de la 59</w:t>
      </w:r>
      <w:r w:rsidRPr="006756F4">
        <w:rPr>
          <w:rFonts w:cs="Calibri"/>
          <w:vertAlign w:val="superscript"/>
          <w:lang w:val="fr-CH"/>
        </w:rPr>
        <w:t>e</w:t>
      </w:r>
      <w:r>
        <w:rPr>
          <w:rFonts w:cs="Calibri"/>
          <w:lang w:val="fr-CH"/>
        </w:rPr>
        <w:t xml:space="preserve"> Réunion du Comité permanent n’est pas encore arrêtée. Cependant, si l’on présume qu’elle aura lieu en avril ou mai 2021, et que les documents devraient être distribués trois mois avant, on peut s’attendre à ce que le délai fixé pour les candidatures soit </w:t>
      </w:r>
      <w:r w:rsidR="00A12F66">
        <w:rPr>
          <w:rFonts w:cs="Calibri"/>
          <w:lang w:val="fr-CH"/>
        </w:rPr>
        <w:t>octobre ou novembre</w:t>
      </w:r>
      <w:r>
        <w:rPr>
          <w:rFonts w:cs="Calibri"/>
          <w:lang w:val="fr-CH"/>
        </w:rPr>
        <w:t> 2020.</w:t>
      </w:r>
    </w:p>
    <w:p w14:paraId="1E489037" w14:textId="77777777" w:rsidR="00C40AD2" w:rsidRPr="00F1226E" w:rsidRDefault="00C40AD2" w:rsidP="00C40AD2">
      <w:pPr>
        <w:spacing w:after="0" w:line="240" w:lineRule="auto"/>
        <w:ind w:left="567" w:hanging="567"/>
        <w:contextualSpacing/>
        <w:rPr>
          <w:rFonts w:cs="Calibri"/>
          <w:lang w:val="fr-CH"/>
        </w:rPr>
      </w:pPr>
    </w:p>
    <w:p w14:paraId="60D16173" w14:textId="77777777" w:rsidR="00C40AD2" w:rsidRPr="00F1226E" w:rsidRDefault="00C40AD2" w:rsidP="00C40AD2">
      <w:pPr>
        <w:spacing w:after="0" w:line="240" w:lineRule="auto"/>
        <w:ind w:left="567" w:hanging="567"/>
        <w:contextualSpacing/>
        <w:rPr>
          <w:rFonts w:cs="Calibri"/>
          <w:lang w:val="fr-CH"/>
        </w:rPr>
      </w:pPr>
      <w:r w:rsidRPr="00F1226E">
        <w:rPr>
          <w:rFonts w:cs="Calibri"/>
          <w:lang w:val="fr-CH"/>
        </w:rPr>
        <w:t>35.</w:t>
      </w:r>
      <w:r w:rsidRPr="00F1226E">
        <w:rPr>
          <w:rFonts w:cs="Calibri"/>
          <w:lang w:val="fr-CH"/>
        </w:rPr>
        <w:tab/>
      </w:r>
      <w:r>
        <w:rPr>
          <w:rFonts w:cs="Calibri"/>
          <w:lang w:val="fr-CH"/>
        </w:rPr>
        <w:t>L’</w:t>
      </w:r>
      <w:r w:rsidRPr="00F1226E">
        <w:rPr>
          <w:rFonts w:cs="Calibri"/>
          <w:b/>
          <w:lang w:val="fr-CH"/>
        </w:rPr>
        <w:t>Australi</w:t>
      </w:r>
      <w:r>
        <w:rPr>
          <w:rFonts w:cs="Calibri"/>
          <w:b/>
          <w:lang w:val="fr-CH"/>
        </w:rPr>
        <w:t>e</w:t>
      </w:r>
      <w:r>
        <w:rPr>
          <w:rFonts w:cs="Calibri"/>
          <w:lang w:val="fr-CH"/>
        </w:rPr>
        <w:t xml:space="preserve"> fait une intervention dans la discussion. </w:t>
      </w:r>
    </w:p>
    <w:p w14:paraId="5B945FF4" w14:textId="77777777" w:rsidR="00C40AD2" w:rsidRPr="00F1226E" w:rsidRDefault="00C40AD2" w:rsidP="00C40AD2">
      <w:pPr>
        <w:spacing w:after="0" w:line="240" w:lineRule="auto"/>
        <w:rPr>
          <w:rFonts w:asciiTheme="minorHAnsi" w:hAnsiTheme="minorHAnsi" w:cstheme="minorHAnsi"/>
          <w:i/>
          <w:lang w:val="fr-CH"/>
        </w:rPr>
      </w:pPr>
    </w:p>
    <w:p w14:paraId="6631F20C" w14:textId="2BAD35D4" w:rsidR="00C40AD2" w:rsidRPr="000E3426" w:rsidRDefault="00C40AD2" w:rsidP="00C40AD2">
      <w:pPr>
        <w:pStyle w:val="BodyText"/>
        <w:widowControl/>
        <w:ind w:left="0"/>
        <w:rPr>
          <w:rFonts w:asciiTheme="minorHAnsi" w:hAnsiTheme="minorHAnsi" w:cstheme="minorHAnsi"/>
          <w:b/>
          <w:bCs/>
          <w:lang w:val="fr-FR"/>
        </w:rPr>
      </w:pPr>
      <w:r w:rsidRPr="000E3426">
        <w:rPr>
          <w:rFonts w:asciiTheme="minorHAnsi" w:hAnsiTheme="minorHAnsi" w:cstheme="minorHAnsi"/>
          <w:b/>
          <w:bCs/>
          <w:lang w:val="fr-FR"/>
        </w:rPr>
        <w:t>D</w:t>
      </w:r>
      <w:r>
        <w:rPr>
          <w:rFonts w:asciiTheme="minorHAnsi" w:hAnsiTheme="minorHAnsi" w:cstheme="minorHAnsi"/>
          <w:b/>
          <w:bCs/>
          <w:lang w:val="fr-FR"/>
        </w:rPr>
        <w:t>é</w:t>
      </w:r>
      <w:r w:rsidRPr="000E3426">
        <w:rPr>
          <w:rFonts w:asciiTheme="minorHAnsi" w:hAnsiTheme="minorHAnsi" w:cstheme="minorHAnsi"/>
          <w:b/>
          <w:bCs/>
          <w:lang w:val="fr-FR"/>
        </w:rPr>
        <w:t>cision SC58-23</w:t>
      </w:r>
      <w:r>
        <w:rPr>
          <w:rFonts w:asciiTheme="minorHAnsi" w:hAnsiTheme="minorHAnsi" w:cstheme="minorHAnsi"/>
          <w:b/>
          <w:bCs/>
          <w:lang w:val="fr-FR"/>
        </w:rPr>
        <w:t xml:space="preserve"> </w:t>
      </w:r>
      <w:r w:rsidRPr="000E3426">
        <w:rPr>
          <w:rFonts w:asciiTheme="minorHAnsi" w:hAnsiTheme="minorHAnsi" w:cstheme="minorHAnsi"/>
          <w:b/>
          <w:bCs/>
          <w:lang w:val="fr-FR"/>
        </w:rPr>
        <w:t xml:space="preserve">: Le Comité permanent </w:t>
      </w:r>
      <w:r>
        <w:rPr>
          <w:rFonts w:asciiTheme="minorHAnsi" w:hAnsiTheme="minorHAnsi" w:cstheme="minorHAnsi"/>
          <w:b/>
          <w:bCs/>
          <w:lang w:val="fr-FR"/>
        </w:rPr>
        <w:t>donne instruction</w:t>
      </w:r>
      <w:r w:rsidRPr="000E3426">
        <w:rPr>
          <w:rFonts w:asciiTheme="minorHAnsi" w:hAnsiTheme="minorHAnsi" w:cstheme="minorHAnsi"/>
          <w:b/>
          <w:bCs/>
          <w:lang w:val="fr-FR"/>
        </w:rPr>
        <w:t xml:space="preserve"> au Secrétariat d’ouvrir l’appel à propositions pour de nouvelles I</w:t>
      </w:r>
      <w:r w:rsidR="00A12F66">
        <w:rPr>
          <w:rFonts w:asciiTheme="minorHAnsi" w:hAnsiTheme="minorHAnsi" w:cstheme="minorHAnsi"/>
          <w:b/>
          <w:bCs/>
          <w:lang w:val="fr-FR"/>
        </w:rPr>
        <w:t>nitiatives régionales Ramsar</w:t>
      </w:r>
      <w:r w:rsidRPr="000E3426">
        <w:rPr>
          <w:rFonts w:asciiTheme="minorHAnsi" w:hAnsiTheme="minorHAnsi" w:cstheme="minorHAnsi"/>
          <w:b/>
          <w:bCs/>
          <w:lang w:val="fr-FR"/>
        </w:rPr>
        <w:t>, au plus tard le 31 juillet 2</w:t>
      </w:r>
      <w:r>
        <w:rPr>
          <w:rFonts w:asciiTheme="minorHAnsi" w:hAnsiTheme="minorHAnsi" w:cstheme="minorHAnsi"/>
          <w:b/>
          <w:bCs/>
          <w:lang w:val="fr-FR"/>
        </w:rPr>
        <w:t>020, conformément au paragraphe </w:t>
      </w:r>
      <w:r w:rsidRPr="000E3426">
        <w:rPr>
          <w:rFonts w:asciiTheme="minorHAnsi" w:hAnsiTheme="minorHAnsi" w:cstheme="minorHAnsi"/>
          <w:b/>
          <w:bCs/>
          <w:lang w:val="fr-FR"/>
        </w:rPr>
        <w:t>13 de la Résolution XIII.9</w:t>
      </w:r>
      <w:r w:rsidR="00A12F66">
        <w:rPr>
          <w:rFonts w:asciiTheme="minorHAnsi" w:hAnsiTheme="minorHAnsi" w:cstheme="minorHAnsi"/>
          <w:b/>
          <w:bCs/>
          <w:lang w:val="fr-FR"/>
        </w:rPr>
        <w:t xml:space="preserve"> et demande au</w:t>
      </w:r>
      <w:r w:rsidRPr="000E3426">
        <w:rPr>
          <w:rFonts w:asciiTheme="minorHAnsi" w:hAnsiTheme="minorHAnsi" w:cstheme="minorHAnsi"/>
          <w:b/>
          <w:bCs/>
          <w:lang w:val="fr-FR"/>
        </w:rPr>
        <w:t xml:space="preserve"> Secrétariat de choisir une </w:t>
      </w:r>
      <w:r w:rsidRPr="000E3426">
        <w:rPr>
          <w:rFonts w:asciiTheme="minorHAnsi" w:hAnsiTheme="minorHAnsi" w:cstheme="minorHAnsi"/>
          <w:b/>
          <w:bCs/>
          <w:lang w:val="fr-FR"/>
        </w:rPr>
        <w:lastRenderedPageBreak/>
        <w:t>date butoir pour les IRR futures suggérées afin que les propositions puissent être traitées dans un délai suffisant avant la 59</w:t>
      </w:r>
      <w:r w:rsidRPr="000E3426">
        <w:rPr>
          <w:rFonts w:asciiTheme="minorHAnsi" w:hAnsiTheme="minorHAnsi" w:cstheme="minorHAnsi"/>
          <w:b/>
          <w:bCs/>
          <w:vertAlign w:val="superscript"/>
          <w:lang w:val="fr-FR"/>
        </w:rPr>
        <w:t>e</w:t>
      </w:r>
      <w:r w:rsidRPr="000E3426">
        <w:rPr>
          <w:rFonts w:asciiTheme="minorHAnsi" w:hAnsiTheme="minorHAnsi" w:cstheme="minorHAnsi"/>
          <w:b/>
          <w:bCs/>
          <w:lang w:val="fr-FR"/>
        </w:rPr>
        <w:t xml:space="preserve"> Réunion du Comité permanent qui les examinera et fera les suggestions appropriées pour examen à la COP14.</w:t>
      </w:r>
    </w:p>
    <w:p w14:paraId="251FB178" w14:textId="77777777" w:rsidR="00C40AD2" w:rsidRPr="000E3426" w:rsidRDefault="00C40AD2" w:rsidP="00C40AD2">
      <w:pPr>
        <w:spacing w:after="0" w:line="240" w:lineRule="auto"/>
        <w:rPr>
          <w:rFonts w:asciiTheme="minorHAnsi" w:hAnsiTheme="minorHAnsi" w:cstheme="minorHAnsi"/>
          <w:i/>
          <w:lang w:val="fr-FR"/>
        </w:rPr>
      </w:pPr>
    </w:p>
    <w:p w14:paraId="4BE80CC7" w14:textId="43F3919B" w:rsidR="00C40AD2" w:rsidRPr="000E3426" w:rsidRDefault="00C40AD2" w:rsidP="00C40AD2">
      <w:pPr>
        <w:numPr>
          <w:ilvl w:val="0"/>
          <w:numId w:val="19"/>
        </w:numPr>
        <w:tabs>
          <w:tab w:val="clear" w:pos="720"/>
        </w:tabs>
        <w:spacing w:after="0" w:line="240" w:lineRule="auto"/>
        <w:ind w:left="851" w:hanging="425"/>
        <w:rPr>
          <w:rFonts w:asciiTheme="minorHAnsi" w:hAnsiTheme="minorHAnsi" w:cstheme="minorHAnsi"/>
          <w:lang w:val="fr-FR"/>
        </w:rPr>
      </w:pPr>
      <w:r>
        <w:rPr>
          <w:rFonts w:cs="Calibri"/>
          <w:lang w:val="fr-CH"/>
        </w:rPr>
        <w:t>Point</w:t>
      </w:r>
      <w:r w:rsidRPr="0074234C">
        <w:rPr>
          <w:rFonts w:cs="Calibri"/>
          <w:lang w:val="fr-CH"/>
        </w:rPr>
        <w:t xml:space="preserve"> 23</w:t>
      </w:r>
      <w:r>
        <w:rPr>
          <w:rFonts w:cs="Calibri"/>
          <w:lang w:val="fr-CH"/>
        </w:rPr>
        <w:t xml:space="preserve"> de l’ordre du jour</w:t>
      </w:r>
      <w:r w:rsidR="00A12F66" w:rsidRPr="00A12F66">
        <w:rPr>
          <w:rFonts w:cs="Calibri"/>
          <w:lang w:val="fr-CH"/>
        </w:rPr>
        <w:t xml:space="preserve"> </w:t>
      </w:r>
      <w:r w:rsidR="00A12F66">
        <w:rPr>
          <w:rFonts w:cs="Calibri"/>
          <w:lang w:val="fr-CH"/>
        </w:rPr>
        <w:t>de la</w:t>
      </w:r>
      <w:r w:rsidR="00A12F66" w:rsidRPr="00F1226E">
        <w:rPr>
          <w:rFonts w:cs="Calibri"/>
          <w:lang w:val="fr-CH"/>
        </w:rPr>
        <w:t xml:space="preserve"> </w:t>
      </w:r>
      <w:r w:rsidR="00A12F66" w:rsidRPr="00A12F66">
        <w:rPr>
          <w:rFonts w:cs="Calibri"/>
          <w:lang w:val="fr-CH"/>
        </w:rPr>
        <w:t>58</w:t>
      </w:r>
      <w:r w:rsidR="00A12F66" w:rsidRPr="00A12F66">
        <w:rPr>
          <w:rFonts w:cs="Calibri"/>
          <w:vertAlign w:val="superscript"/>
          <w:lang w:val="fr-CH"/>
        </w:rPr>
        <w:t>e</w:t>
      </w:r>
      <w:r w:rsidR="00A12F66" w:rsidRPr="00A12F66">
        <w:rPr>
          <w:rFonts w:cs="Calibri"/>
          <w:lang w:val="fr-CH"/>
        </w:rPr>
        <w:t xml:space="preserve"> Réunion du Comité permanent</w:t>
      </w:r>
      <w:r w:rsidRPr="0074234C">
        <w:rPr>
          <w:rFonts w:cs="Calibri"/>
          <w:lang w:val="fr-CH"/>
        </w:rPr>
        <w:t xml:space="preserve"> </w:t>
      </w:r>
      <w:bookmarkStart w:id="3" w:name="_Hlk43817346"/>
      <w:r>
        <w:rPr>
          <w:rFonts w:cs="Calibri"/>
          <w:i/>
          <w:iCs/>
          <w:lang w:val="fr-CH"/>
        </w:rPr>
        <w:t>Rapport des coprésidents du Comité consultatif indépendant sur le label Ville des Zones Humides accréditée </w:t>
      </w:r>
      <w:bookmarkEnd w:id="3"/>
    </w:p>
    <w:p w14:paraId="203F1360" w14:textId="77777777" w:rsidR="00C40AD2" w:rsidRPr="000E3426" w:rsidRDefault="00C40AD2" w:rsidP="00C40AD2">
      <w:pPr>
        <w:spacing w:after="0" w:line="240" w:lineRule="auto"/>
        <w:rPr>
          <w:rFonts w:asciiTheme="minorHAnsi" w:hAnsiTheme="minorHAnsi" w:cstheme="minorHAnsi"/>
          <w:lang w:val="fr-FR"/>
        </w:rPr>
      </w:pPr>
    </w:p>
    <w:p w14:paraId="2ED6FEA0" w14:textId="6F0E6FF4" w:rsidR="00C40AD2" w:rsidRPr="00670D7B" w:rsidRDefault="00C40AD2" w:rsidP="00C40AD2">
      <w:pPr>
        <w:spacing w:after="0" w:line="240" w:lineRule="auto"/>
        <w:ind w:left="567" w:hanging="567"/>
        <w:contextualSpacing/>
        <w:rPr>
          <w:rFonts w:cs="Calibri"/>
          <w:lang w:val="fr-CH"/>
        </w:rPr>
      </w:pPr>
      <w:r w:rsidRPr="00670D7B">
        <w:rPr>
          <w:rFonts w:cs="Calibri"/>
          <w:lang w:val="fr-CH"/>
        </w:rPr>
        <w:t>36.</w:t>
      </w:r>
      <w:r w:rsidRPr="00670D7B">
        <w:rPr>
          <w:rFonts w:cs="Calibri"/>
          <w:lang w:val="fr-CH"/>
        </w:rPr>
        <w:tab/>
        <w:t xml:space="preserve">Le Secrétariat note </w:t>
      </w:r>
      <w:r>
        <w:rPr>
          <w:rFonts w:cs="Calibri"/>
          <w:lang w:val="fr-CH"/>
        </w:rPr>
        <w:t>qu’il souhaiterait des orientations sur l’application de la Résolution </w:t>
      </w:r>
      <w:r w:rsidRPr="00670D7B">
        <w:rPr>
          <w:rFonts w:cs="Calibri"/>
          <w:lang w:val="fr-CH"/>
        </w:rPr>
        <w:t xml:space="preserve">XII.10, </w:t>
      </w:r>
      <w:r>
        <w:rPr>
          <w:rFonts w:cs="Calibri"/>
          <w:lang w:val="fr-CH"/>
        </w:rPr>
        <w:t>à la lumière de la demande figurant dans le rapport du Comité consultatif indépendant</w:t>
      </w:r>
      <w:r w:rsidR="00A12F66">
        <w:rPr>
          <w:rFonts w:cs="Calibri"/>
          <w:lang w:val="fr-CH"/>
        </w:rPr>
        <w:t xml:space="preserve"> (CCI)</w:t>
      </w:r>
      <w:r>
        <w:rPr>
          <w:rFonts w:cs="Calibri"/>
          <w:lang w:val="fr-CH"/>
        </w:rPr>
        <w:t xml:space="preserve"> à la 58</w:t>
      </w:r>
      <w:r w:rsidRPr="00670D7B">
        <w:rPr>
          <w:rFonts w:cs="Calibri"/>
          <w:vertAlign w:val="superscript"/>
          <w:lang w:val="fr-CH"/>
        </w:rPr>
        <w:t>e</w:t>
      </w:r>
      <w:r>
        <w:rPr>
          <w:rFonts w:cs="Calibri"/>
          <w:lang w:val="fr-CH"/>
        </w:rPr>
        <w:t> Réunion du Comité permanent (document SC58 </w:t>
      </w:r>
      <w:r w:rsidRPr="00670D7B">
        <w:rPr>
          <w:rFonts w:cs="Calibri"/>
          <w:lang w:val="fr-CH"/>
        </w:rPr>
        <w:t xml:space="preserve">Doc.23) </w:t>
      </w:r>
      <w:r>
        <w:rPr>
          <w:rFonts w:cs="Calibri"/>
          <w:lang w:val="fr-CH"/>
        </w:rPr>
        <w:t>concernant l’allocation de 30 jours du Secrétariat pour fournir des services administratifs. Les mesures requises pour soutenir l’application de la Résolution </w:t>
      </w:r>
      <w:r w:rsidRPr="00670D7B">
        <w:rPr>
          <w:rFonts w:cs="Calibri"/>
          <w:lang w:val="fr-CH"/>
        </w:rPr>
        <w:t xml:space="preserve">XII.10 </w:t>
      </w:r>
      <w:r>
        <w:rPr>
          <w:rFonts w:cs="Calibri"/>
          <w:lang w:val="fr-CH"/>
        </w:rPr>
        <w:t xml:space="preserve">comprennent la réception de candidatures, la vérification de leur approbation et leur communication au CCI, la réponse à toute question ; la préparation de certificats d’accréditation, la publication d’un article web et la création d’une page web pour les villes accréditées ; et la communication, la préparation et l’organisation de la cérémonie d’accréditation. </w:t>
      </w:r>
      <w:r w:rsidR="00A12F66">
        <w:rPr>
          <w:rFonts w:cs="Calibri"/>
          <w:lang w:val="fr-CH"/>
        </w:rPr>
        <w:t>Le Secrétariat indique que c</w:t>
      </w:r>
      <w:r>
        <w:rPr>
          <w:rFonts w:cs="Calibri"/>
          <w:lang w:val="fr-CH"/>
        </w:rPr>
        <w:t xml:space="preserve">ertaines de ces tâches pourraient </w:t>
      </w:r>
      <w:r w:rsidR="00A12F66">
        <w:rPr>
          <w:rFonts w:cs="Calibri"/>
          <w:lang w:val="fr-CH"/>
        </w:rPr>
        <w:t xml:space="preserve">ne pas relever </w:t>
      </w:r>
      <w:r>
        <w:rPr>
          <w:rFonts w:cs="Calibri"/>
          <w:lang w:val="fr-CH"/>
        </w:rPr>
        <w:t xml:space="preserve">du mandat d’un assistant administratif. Le Secrétariat note que l’intention de présenter un nouveau projet de résolution sur le label Ville des Zones Humides accréditée pour examen à la COP14 pourrait être l’occasion de résoudre les dernières questions relatives au financement. </w:t>
      </w:r>
    </w:p>
    <w:p w14:paraId="08F3152C" w14:textId="77777777" w:rsidR="00C40AD2" w:rsidRPr="007517AA" w:rsidRDefault="00C40AD2" w:rsidP="00C40AD2">
      <w:pPr>
        <w:spacing w:after="0" w:line="240" w:lineRule="auto"/>
        <w:ind w:left="567" w:hanging="567"/>
        <w:contextualSpacing/>
        <w:rPr>
          <w:rFonts w:cs="Calibri"/>
          <w:lang w:val="fr-CH"/>
        </w:rPr>
      </w:pPr>
    </w:p>
    <w:p w14:paraId="28B76C0F" w14:textId="64F61DA4" w:rsidR="00A915C4" w:rsidRPr="008E027F" w:rsidRDefault="00C40AD2" w:rsidP="00C40AD2">
      <w:pPr>
        <w:spacing w:after="0" w:line="240" w:lineRule="auto"/>
        <w:ind w:left="567" w:hanging="567"/>
        <w:contextualSpacing/>
        <w:rPr>
          <w:rFonts w:cs="Calibri"/>
          <w:lang w:val="fr-CH"/>
        </w:rPr>
      </w:pPr>
      <w:r w:rsidRPr="007517AA">
        <w:rPr>
          <w:rFonts w:cs="Calibri"/>
          <w:lang w:val="fr-CH"/>
        </w:rPr>
        <w:t>37.</w:t>
      </w:r>
      <w:r w:rsidRPr="007517AA">
        <w:rPr>
          <w:rFonts w:cs="Calibri"/>
          <w:lang w:val="fr-CH"/>
        </w:rPr>
        <w:tab/>
      </w:r>
      <w:r>
        <w:rPr>
          <w:rFonts w:cs="Calibri"/>
          <w:lang w:val="fr-CH"/>
        </w:rPr>
        <w:t>Dans la discussion qui suit, certaines Parties contracta</w:t>
      </w:r>
      <w:r w:rsidRPr="007517AA">
        <w:rPr>
          <w:rFonts w:cs="Calibri"/>
          <w:lang w:val="fr-CH"/>
        </w:rPr>
        <w:t>n</w:t>
      </w:r>
      <w:r>
        <w:rPr>
          <w:rFonts w:cs="Calibri"/>
          <w:lang w:val="fr-CH"/>
        </w:rPr>
        <w:t xml:space="preserve">tes notent que selon la </w:t>
      </w:r>
      <w:r w:rsidRPr="008E027F">
        <w:rPr>
          <w:rFonts w:cs="Calibri"/>
          <w:lang w:val="fr-CH"/>
        </w:rPr>
        <w:t>Résolution XII.10, les fonds administratifs ne doivent pas être utilisés pour l’application de la résolution</w:t>
      </w:r>
      <w:r w:rsidR="00A12F66" w:rsidRPr="008E027F">
        <w:rPr>
          <w:rFonts w:cs="Calibri"/>
          <w:lang w:val="fr-CH"/>
        </w:rPr>
        <w:t>. Elles</w:t>
      </w:r>
      <w:r w:rsidRPr="008E027F">
        <w:rPr>
          <w:rFonts w:cs="Calibri"/>
          <w:lang w:val="fr-CH"/>
        </w:rPr>
        <w:t xml:space="preserve"> soulignent qu’il importe d’adhérer étroitement à la résolution actuelle</w:t>
      </w:r>
      <w:r w:rsidR="00A12F66" w:rsidRPr="008E027F">
        <w:rPr>
          <w:rFonts w:cs="Calibri"/>
          <w:lang w:val="fr-CH"/>
        </w:rPr>
        <w:t xml:space="preserve"> et</w:t>
      </w:r>
      <w:r w:rsidR="00932D74" w:rsidRPr="008E027F">
        <w:rPr>
          <w:rFonts w:cs="Calibri"/>
          <w:lang w:val="fr-CH"/>
        </w:rPr>
        <w:t xml:space="preserve"> que le Comité permanent ne devrait</w:t>
      </w:r>
      <w:r w:rsidR="00A12F66" w:rsidRPr="008E027F">
        <w:rPr>
          <w:rFonts w:cs="Calibri"/>
          <w:lang w:val="fr-CH"/>
        </w:rPr>
        <w:t xml:space="preserve"> pas créer de précédent en allant à l’encontre d’une </w:t>
      </w:r>
      <w:r w:rsidR="00A915C4" w:rsidRPr="008E027F">
        <w:rPr>
          <w:rFonts w:cs="Calibri"/>
          <w:lang w:val="fr-CH"/>
        </w:rPr>
        <w:t>r</w:t>
      </w:r>
      <w:r w:rsidR="00A12F66" w:rsidRPr="008E027F">
        <w:rPr>
          <w:rFonts w:cs="Calibri"/>
          <w:lang w:val="fr-CH"/>
        </w:rPr>
        <w:t>ésolution de la COP</w:t>
      </w:r>
      <w:r w:rsidRPr="008E027F">
        <w:rPr>
          <w:rFonts w:cs="Calibri"/>
          <w:lang w:val="fr-CH"/>
        </w:rPr>
        <w:t xml:space="preserve">, </w:t>
      </w:r>
      <w:r w:rsidR="00A915C4" w:rsidRPr="008E027F">
        <w:rPr>
          <w:rFonts w:cs="Calibri"/>
          <w:lang w:val="fr-CH"/>
        </w:rPr>
        <w:t>et ajoutent qu’en réalité,</w:t>
      </w:r>
      <w:r w:rsidRPr="008E027F">
        <w:rPr>
          <w:rFonts w:cs="Calibri"/>
          <w:lang w:val="fr-CH"/>
        </w:rPr>
        <w:t xml:space="preserve"> les ressources financières pourraient être sévèrement limitées</w:t>
      </w:r>
      <w:r w:rsidR="00A915C4" w:rsidRPr="008E027F">
        <w:rPr>
          <w:rFonts w:cs="Calibri"/>
          <w:lang w:val="fr-CH"/>
        </w:rPr>
        <w:t xml:space="preserve"> du fait de la pandémie</w:t>
      </w:r>
      <w:r w:rsidRPr="008E027F">
        <w:rPr>
          <w:rFonts w:cs="Calibri"/>
          <w:lang w:val="fr-CH"/>
        </w:rPr>
        <w:t>. Ces Parties proposent que le langage de la décision soit plus étroitement harmonisé avec celui de la résolution et que le temps requis du Secrétariat soit revu en conséquence. Elles observent que plusieurs des tâches identifiées, par exemple organiser une cérémonie d’accréditation, devraient incomber au Comité consultatif indépendant.</w:t>
      </w:r>
      <w:r w:rsidR="00A915C4" w:rsidRPr="008E027F">
        <w:rPr>
          <w:rFonts w:cs="Calibri"/>
          <w:lang w:val="fr-CH"/>
        </w:rPr>
        <w:t xml:space="preserve"> Une Partie estime que l’aide du Secrétariat est nécessaire pour inscrire la cérémonie d’accréditation des Villes des Zones Humides dans le calendrier de la COP.</w:t>
      </w:r>
    </w:p>
    <w:p w14:paraId="707FF2AD" w14:textId="10DDD169" w:rsidR="00C40AD2" w:rsidRPr="008E027F" w:rsidRDefault="00C40AD2" w:rsidP="00C40AD2">
      <w:pPr>
        <w:spacing w:after="0" w:line="240" w:lineRule="auto"/>
        <w:ind w:left="567" w:hanging="567"/>
        <w:contextualSpacing/>
        <w:rPr>
          <w:rFonts w:cs="Calibri"/>
          <w:lang w:val="fr-CH"/>
        </w:rPr>
      </w:pPr>
      <w:r w:rsidRPr="008E027F">
        <w:rPr>
          <w:rFonts w:cs="Calibri"/>
          <w:lang w:val="fr-CH"/>
        </w:rPr>
        <w:t xml:space="preserve"> </w:t>
      </w:r>
    </w:p>
    <w:p w14:paraId="778DD1CD" w14:textId="734D163D" w:rsidR="00C40AD2" w:rsidRPr="007517AA" w:rsidRDefault="00C40AD2" w:rsidP="00C40AD2">
      <w:pPr>
        <w:spacing w:after="0" w:line="240" w:lineRule="auto"/>
        <w:ind w:left="567" w:hanging="567"/>
        <w:contextualSpacing/>
        <w:rPr>
          <w:rFonts w:cs="Calibri"/>
          <w:lang w:val="fr-CH"/>
        </w:rPr>
      </w:pPr>
      <w:r w:rsidRPr="008E027F">
        <w:rPr>
          <w:rFonts w:cs="Calibri"/>
          <w:lang w:val="fr-CH"/>
        </w:rPr>
        <w:t>38.</w:t>
      </w:r>
      <w:r w:rsidRPr="008E027F">
        <w:rPr>
          <w:rFonts w:cs="Calibri"/>
          <w:lang w:val="fr-CH"/>
        </w:rPr>
        <w:tab/>
        <w:t xml:space="preserve">D’autres Parties, tout en reconnaissant la nécessité de faire preuve de prudence du point de vue budgétaire, </w:t>
      </w:r>
      <w:r w:rsidR="00A915C4" w:rsidRPr="008E027F">
        <w:rPr>
          <w:rFonts w:cs="Calibri"/>
          <w:lang w:val="fr-CH"/>
        </w:rPr>
        <w:t xml:space="preserve">entre autres, </w:t>
      </w:r>
      <w:r w:rsidRPr="008E027F">
        <w:rPr>
          <w:rFonts w:cs="Calibri"/>
          <w:lang w:val="fr-CH"/>
        </w:rPr>
        <w:t>insistent sur la très grande valeur du label comme instrument permettant de rehausser le prestige de la Convention et notent qu’il devrait occuper une place de choix dans les futurs plans de communication</w:t>
      </w:r>
      <w:r w:rsidR="00A915C4" w:rsidRPr="008E027F">
        <w:rPr>
          <w:rFonts w:cs="Calibri"/>
          <w:lang w:val="fr-CH"/>
        </w:rPr>
        <w:t xml:space="preserve"> pour discussion à la prochaine COP</w:t>
      </w:r>
      <w:r w:rsidRPr="008E027F">
        <w:rPr>
          <w:rFonts w:cs="Calibri"/>
          <w:lang w:val="fr-CH"/>
        </w:rPr>
        <w:t>.</w:t>
      </w:r>
    </w:p>
    <w:p w14:paraId="16B6A886" w14:textId="77777777" w:rsidR="00C40AD2" w:rsidRPr="007517AA" w:rsidRDefault="00C40AD2" w:rsidP="00C40AD2">
      <w:pPr>
        <w:spacing w:after="0" w:line="240" w:lineRule="auto"/>
        <w:ind w:left="567" w:hanging="567"/>
        <w:contextualSpacing/>
        <w:rPr>
          <w:rFonts w:cs="Calibri"/>
          <w:lang w:val="fr-CH"/>
        </w:rPr>
      </w:pPr>
    </w:p>
    <w:p w14:paraId="786BEAAD" w14:textId="77777777" w:rsidR="00C40AD2" w:rsidRPr="00912FF0" w:rsidRDefault="00C40AD2" w:rsidP="00C40AD2">
      <w:pPr>
        <w:spacing w:after="0" w:line="240" w:lineRule="auto"/>
        <w:ind w:left="567" w:hanging="567"/>
        <w:contextualSpacing/>
        <w:rPr>
          <w:rFonts w:cs="Calibri"/>
          <w:lang w:val="fr-CH"/>
        </w:rPr>
      </w:pPr>
      <w:r w:rsidRPr="007517AA">
        <w:rPr>
          <w:rFonts w:cs="Calibri"/>
          <w:lang w:val="fr-CH"/>
        </w:rPr>
        <w:t>39.</w:t>
      </w:r>
      <w:r w:rsidRPr="007517AA">
        <w:rPr>
          <w:rFonts w:cs="Calibri"/>
          <w:lang w:val="fr-CH"/>
        </w:rPr>
        <w:tab/>
      </w:r>
      <w:r>
        <w:rPr>
          <w:rFonts w:cs="Calibri"/>
          <w:lang w:val="fr-CH"/>
        </w:rPr>
        <w:t xml:space="preserve">Les </w:t>
      </w:r>
      <w:r>
        <w:rPr>
          <w:rFonts w:cs="Calibri"/>
          <w:b/>
          <w:lang w:val="fr-CH"/>
        </w:rPr>
        <w:t>États</w:t>
      </w:r>
      <w:r>
        <w:rPr>
          <w:rFonts w:cs="Calibri"/>
          <w:b/>
          <w:lang w:val="fr-CH"/>
        </w:rPr>
        <w:noBreakHyphen/>
        <w:t>Unis d’Amérique</w:t>
      </w:r>
      <w:r>
        <w:rPr>
          <w:rFonts w:cs="Calibri"/>
          <w:lang w:val="fr-CH"/>
        </w:rPr>
        <w:t xml:space="preserve">, le </w:t>
      </w:r>
      <w:r w:rsidRPr="007517AA">
        <w:rPr>
          <w:rFonts w:cs="Calibri"/>
          <w:b/>
          <w:lang w:val="fr-CH"/>
        </w:rPr>
        <w:t>Jap</w:t>
      </w:r>
      <w:r>
        <w:rPr>
          <w:rFonts w:cs="Calibri"/>
          <w:b/>
          <w:lang w:val="fr-CH"/>
        </w:rPr>
        <w:t>o</w:t>
      </w:r>
      <w:r w:rsidRPr="007517AA">
        <w:rPr>
          <w:rFonts w:cs="Calibri"/>
          <w:b/>
          <w:lang w:val="fr-CH"/>
        </w:rPr>
        <w:t>n</w:t>
      </w:r>
      <w:r w:rsidRPr="007517AA">
        <w:rPr>
          <w:rFonts w:cs="Calibri"/>
          <w:lang w:val="fr-CH"/>
        </w:rPr>
        <w:t>,</w:t>
      </w:r>
      <w:r>
        <w:rPr>
          <w:rFonts w:cs="Calibri"/>
          <w:lang w:val="fr-CH"/>
        </w:rPr>
        <w:t xml:space="preserve"> l’</w:t>
      </w:r>
      <w:r>
        <w:rPr>
          <w:rFonts w:cs="Calibri"/>
          <w:b/>
          <w:lang w:val="fr-CH"/>
        </w:rPr>
        <w:t>Ouganda</w:t>
      </w:r>
      <w:r w:rsidRPr="007517AA">
        <w:rPr>
          <w:rFonts w:cs="Calibri"/>
          <w:lang w:val="fr-CH"/>
        </w:rPr>
        <w:t xml:space="preserve">, </w:t>
      </w:r>
      <w:r>
        <w:rPr>
          <w:rFonts w:cs="Calibri"/>
          <w:lang w:val="fr-CH"/>
        </w:rPr>
        <w:t>le</w:t>
      </w:r>
      <w:r>
        <w:rPr>
          <w:rFonts w:cs="Calibri"/>
          <w:b/>
          <w:lang w:val="fr-CH"/>
        </w:rPr>
        <w:t xml:space="preserve"> Royaume-Uni de Grande-Bretagne et d’Irlande du Nord</w:t>
      </w:r>
      <w:r w:rsidRPr="007517AA">
        <w:rPr>
          <w:rFonts w:cs="Calibri"/>
          <w:lang w:val="fr-CH"/>
        </w:rPr>
        <w:t xml:space="preserve"> </w:t>
      </w:r>
      <w:r>
        <w:rPr>
          <w:rFonts w:cs="Calibri"/>
          <w:lang w:val="fr-CH"/>
        </w:rPr>
        <w:t>et la</w:t>
      </w:r>
      <w:r w:rsidRPr="007517AA">
        <w:rPr>
          <w:rFonts w:cs="Calibri"/>
          <w:lang w:val="fr-CH"/>
        </w:rPr>
        <w:t xml:space="preserve"> </w:t>
      </w:r>
      <w:r w:rsidRPr="007517AA">
        <w:rPr>
          <w:rFonts w:cs="Calibri"/>
          <w:b/>
          <w:lang w:val="fr-CH"/>
        </w:rPr>
        <w:t>S</w:t>
      </w:r>
      <w:r>
        <w:rPr>
          <w:rFonts w:cs="Calibri"/>
          <w:b/>
          <w:lang w:val="fr-CH"/>
        </w:rPr>
        <w:t xml:space="preserve">uisse </w:t>
      </w:r>
      <w:r>
        <w:rPr>
          <w:rFonts w:cs="Calibri"/>
          <w:lang w:val="fr-CH"/>
        </w:rPr>
        <w:t>interviennent dans la discussion.</w:t>
      </w:r>
    </w:p>
    <w:p w14:paraId="5F16F26C" w14:textId="77777777" w:rsidR="00C40AD2" w:rsidRPr="007517AA" w:rsidRDefault="00C40AD2" w:rsidP="00C40AD2">
      <w:pPr>
        <w:spacing w:after="0" w:line="240" w:lineRule="auto"/>
        <w:rPr>
          <w:rFonts w:asciiTheme="minorHAnsi" w:hAnsiTheme="minorHAnsi" w:cstheme="minorHAnsi"/>
          <w:lang w:val="fr-CH"/>
        </w:rPr>
      </w:pPr>
    </w:p>
    <w:p w14:paraId="0E5EF194" w14:textId="6436ED1D" w:rsidR="00C40AD2" w:rsidRPr="00A17FEB" w:rsidRDefault="00C40AD2" w:rsidP="00C40AD2">
      <w:pPr>
        <w:spacing w:after="0" w:line="240" w:lineRule="auto"/>
        <w:rPr>
          <w:b/>
          <w:bCs/>
          <w:sz w:val="21"/>
          <w:szCs w:val="21"/>
          <w:lang w:val="fr-FR"/>
        </w:rPr>
      </w:pPr>
      <w:r w:rsidRPr="000E3426">
        <w:rPr>
          <w:rFonts w:asciiTheme="minorHAnsi" w:hAnsiTheme="minorHAnsi" w:cstheme="minorHAnsi"/>
          <w:b/>
          <w:bCs/>
          <w:lang w:val="fr-FR"/>
        </w:rPr>
        <w:t xml:space="preserve">Décision SC58-24 : </w:t>
      </w:r>
      <w:r w:rsidRPr="00A17FEB">
        <w:rPr>
          <w:b/>
          <w:bCs/>
          <w:sz w:val="21"/>
          <w:szCs w:val="21"/>
          <w:lang w:val="fr-FR"/>
        </w:rPr>
        <w:t>Le Comité permanent approuve, sous réserve des ressources disponibles, conformément à la Résolution XII.10 et avec l’approbation du Sous-groupe sur les finances, l’allocation d</w:t>
      </w:r>
      <w:r>
        <w:rPr>
          <w:b/>
          <w:bCs/>
          <w:sz w:val="21"/>
          <w:szCs w:val="21"/>
          <w:lang w:val="fr-FR"/>
        </w:rPr>
        <w:t>u nombre d</w:t>
      </w:r>
      <w:r w:rsidRPr="00A17FEB">
        <w:rPr>
          <w:b/>
          <w:bCs/>
          <w:sz w:val="21"/>
          <w:szCs w:val="21"/>
          <w:lang w:val="fr-FR"/>
        </w:rPr>
        <w:t>e jours d</w:t>
      </w:r>
      <w:r>
        <w:rPr>
          <w:b/>
          <w:bCs/>
          <w:sz w:val="21"/>
          <w:szCs w:val="21"/>
          <w:lang w:val="fr-FR"/>
        </w:rPr>
        <w:t>e</w:t>
      </w:r>
      <w:r w:rsidRPr="00A17FEB">
        <w:rPr>
          <w:b/>
          <w:bCs/>
          <w:sz w:val="21"/>
          <w:szCs w:val="21"/>
          <w:lang w:val="fr-FR"/>
        </w:rPr>
        <w:t xml:space="preserve"> temps </w:t>
      </w:r>
      <w:r>
        <w:rPr>
          <w:b/>
          <w:bCs/>
          <w:sz w:val="21"/>
          <w:szCs w:val="21"/>
          <w:lang w:val="fr-FR"/>
        </w:rPr>
        <w:t xml:space="preserve">nécessaire pour une </w:t>
      </w:r>
      <w:r w:rsidRPr="00A17FEB">
        <w:rPr>
          <w:b/>
          <w:bCs/>
          <w:sz w:val="21"/>
          <w:szCs w:val="21"/>
          <w:lang w:val="fr-FR"/>
        </w:rPr>
        <w:t xml:space="preserve">assistante administrative, pendant la période triennale en cours, pour fournir les services </w:t>
      </w:r>
      <w:r w:rsidR="00A915C4">
        <w:rPr>
          <w:b/>
          <w:bCs/>
          <w:sz w:val="21"/>
          <w:szCs w:val="21"/>
          <w:lang w:val="fr-FR"/>
        </w:rPr>
        <w:t xml:space="preserve">administratifs </w:t>
      </w:r>
      <w:r w:rsidRPr="00A17FEB">
        <w:rPr>
          <w:b/>
          <w:bCs/>
          <w:sz w:val="21"/>
          <w:szCs w:val="21"/>
          <w:lang w:val="fr-FR"/>
        </w:rPr>
        <w:t>suivants au programme du label Ville des Zones Humides :</w:t>
      </w:r>
    </w:p>
    <w:p w14:paraId="6B667429" w14:textId="77777777" w:rsidR="00C40AD2" w:rsidRPr="00A17FEB" w:rsidRDefault="00C40AD2" w:rsidP="00C40AD2">
      <w:pPr>
        <w:spacing w:after="0" w:line="240" w:lineRule="auto"/>
        <w:rPr>
          <w:b/>
          <w:bCs/>
          <w:sz w:val="21"/>
          <w:szCs w:val="21"/>
          <w:lang w:val="fr-FR"/>
        </w:rPr>
      </w:pPr>
    </w:p>
    <w:p w14:paraId="548327FA" w14:textId="77777777" w:rsidR="00C40AD2" w:rsidRPr="00A17FEB"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publication de l’appel à candidatures ;</w:t>
      </w:r>
    </w:p>
    <w:p w14:paraId="46A18EFE" w14:textId="77777777" w:rsidR="00C40AD2" w:rsidRPr="00A17FEB"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réception des candidatures et transmission des candidatures éligibles au CCI ;</w:t>
      </w:r>
    </w:p>
    <w:p w14:paraId="3EF772B3" w14:textId="77777777" w:rsidR="00C40AD2" w:rsidRDefault="00C40AD2" w:rsidP="00C40AD2">
      <w:pPr>
        <w:pStyle w:val="ListParagraph"/>
        <w:widowControl w:val="0"/>
        <w:numPr>
          <w:ilvl w:val="1"/>
          <w:numId w:val="32"/>
        </w:numPr>
        <w:autoSpaceDE w:val="0"/>
        <w:autoSpaceDN w:val="0"/>
        <w:spacing w:after="0" w:line="240" w:lineRule="auto"/>
        <w:ind w:left="567" w:hanging="567"/>
        <w:rPr>
          <w:b/>
          <w:bCs/>
          <w:sz w:val="21"/>
          <w:szCs w:val="21"/>
          <w:lang w:val="fr-FR"/>
        </w:rPr>
      </w:pPr>
      <w:r w:rsidRPr="00A17FEB">
        <w:rPr>
          <w:b/>
          <w:bCs/>
          <w:sz w:val="21"/>
          <w:szCs w:val="21"/>
          <w:lang w:val="fr-FR"/>
        </w:rPr>
        <w:t>préparation de certificats d’accréditation et création d’une page web et de son contenu pour les villes accréditées.</w:t>
      </w:r>
    </w:p>
    <w:p w14:paraId="35F8215B" w14:textId="77777777" w:rsidR="00C40AD2" w:rsidRDefault="00C40AD2" w:rsidP="00C40AD2">
      <w:pPr>
        <w:spacing w:after="0" w:line="240" w:lineRule="auto"/>
        <w:rPr>
          <w:b/>
          <w:bCs/>
          <w:sz w:val="21"/>
          <w:szCs w:val="21"/>
          <w:lang w:val="fr-FR"/>
        </w:rPr>
      </w:pPr>
    </w:p>
    <w:p w14:paraId="0B248238" w14:textId="77777777" w:rsidR="00C40AD2" w:rsidRDefault="00C40AD2" w:rsidP="00C40AD2">
      <w:pPr>
        <w:spacing w:after="0" w:line="240" w:lineRule="auto"/>
        <w:rPr>
          <w:b/>
          <w:bCs/>
          <w:sz w:val="21"/>
          <w:szCs w:val="21"/>
          <w:lang w:val="fr-FR"/>
        </w:rPr>
      </w:pPr>
      <w:r>
        <w:rPr>
          <w:b/>
          <w:bCs/>
          <w:sz w:val="21"/>
          <w:szCs w:val="21"/>
          <w:lang w:val="fr-FR"/>
        </w:rPr>
        <w:t>Il demande en outre au Secrétariat de fournir le nombre estimé de jours requis en temps voulu.</w:t>
      </w:r>
    </w:p>
    <w:p w14:paraId="12A44FE0" w14:textId="77777777" w:rsidR="00C40AD2" w:rsidRPr="000E3426" w:rsidRDefault="00C40AD2" w:rsidP="00C40AD2">
      <w:pPr>
        <w:spacing w:after="0" w:line="240" w:lineRule="auto"/>
        <w:rPr>
          <w:rFonts w:asciiTheme="minorHAnsi" w:hAnsiTheme="minorHAnsi" w:cstheme="minorHAnsi"/>
          <w:lang w:val="fr-FR"/>
        </w:rPr>
      </w:pPr>
    </w:p>
    <w:p w14:paraId="4498FA53" w14:textId="77777777" w:rsidR="00C40AD2" w:rsidRPr="00A915C4" w:rsidRDefault="00C40AD2" w:rsidP="00C40AD2">
      <w:pPr>
        <w:numPr>
          <w:ilvl w:val="0"/>
          <w:numId w:val="19"/>
        </w:numPr>
        <w:tabs>
          <w:tab w:val="clear" w:pos="720"/>
        </w:tabs>
        <w:spacing w:after="0" w:line="240" w:lineRule="auto"/>
        <w:ind w:left="851" w:hanging="425"/>
        <w:rPr>
          <w:rFonts w:asciiTheme="minorHAnsi" w:hAnsiTheme="minorHAnsi" w:cstheme="minorHAnsi"/>
          <w:i/>
          <w:iCs/>
          <w:lang w:val="fr-FR"/>
        </w:rPr>
      </w:pPr>
      <w:r w:rsidRPr="00A915C4">
        <w:rPr>
          <w:rFonts w:cs="Calibri"/>
          <w:i/>
          <w:iCs/>
          <w:lang w:val="fr-CH"/>
        </w:rPr>
        <w:t>Éléments d’avis pour le FEM concernant le financement à l’appui des objectifs et des priorités de la Convention, pour la huitième reconstitution de la Caisse du FEM</w:t>
      </w:r>
      <w:r w:rsidRPr="00A915C4">
        <w:rPr>
          <w:rFonts w:asciiTheme="minorHAnsi" w:hAnsiTheme="minorHAnsi" w:cstheme="minorHAnsi"/>
          <w:i/>
          <w:iCs/>
          <w:lang w:val="fr-FR"/>
        </w:rPr>
        <w:t>.</w:t>
      </w:r>
    </w:p>
    <w:p w14:paraId="3BC8139A" w14:textId="77777777" w:rsidR="00C40AD2" w:rsidRPr="00A17FEB" w:rsidRDefault="00C40AD2" w:rsidP="00C40AD2">
      <w:pPr>
        <w:spacing w:after="0" w:line="240" w:lineRule="auto"/>
        <w:rPr>
          <w:rFonts w:asciiTheme="minorHAnsi" w:hAnsiTheme="minorHAnsi" w:cstheme="minorHAnsi"/>
          <w:lang w:val="fr-FR"/>
        </w:rPr>
      </w:pPr>
    </w:p>
    <w:p w14:paraId="05A4BF6F" w14:textId="0B881B59" w:rsidR="00C40AD2" w:rsidRPr="001F4B7B" w:rsidRDefault="00C40AD2" w:rsidP="00C40AD2">
      <w:pPr>
        <w:spacing w:after="0" w:line="240" w:lineRule="auto"/>
        <w:ind w:left="567" w:hanging="567"/>
        <w:contextualSpacing/>
        <w:rPr>
          <w:rFonts w:cs="Calibri"/>
          <w:lang w:val="fr-CH"/>
        </w:rPr>
      </w:pPr>
      <w:r w:rsidRPr="001F4B7B">
        <w:rPr>
          <w:rFonts w:cs="Calibri"/>
          <w:lang w:val="fr-CH"/>
        </w:rPr>
        <w:t>40.</w:t>
      </w:r>
      <w:r w:rsidRPr="001F4B7B">
        <w:rPr>
          <w:rFonts w:cs="Calibri"/>
          <w:lang w:val="fr-CH"/>
        </w:rPr>
        <w:tab/>
      </w:r>
      <w:r>
        <w:rPr>
          <w:rFonts w:cs="Calibri"/>
          <w:lang w:val="fr-CH"/>
        </w:rPr>
        <w:t xml:space="preserve">Le Secrétariat indique que le projet de </w:t>
      </w:r>
      <w:r w:rsidR="00A915C4">
        <w:rPr>
          <w:rFonts w:cs="Calibri"/>
          <w:lang w:val="fr-CH"/>
        </w:rPr>
        <w:t xml:space="preserve">texte de </w:t>
      </w:r>
      <w:r>
        <w:rPr>
          <w:rFonts w:cs="Calibri"/>
          <w:lang w:val="fr-CH"/>
        </w:rPr>
        <w:t>décision a été distribué au Comité perman</w:t>
      </w:r>
      <w:r w:rsidR="00A915C4">
        <w:rPr>
          <w:rFonts w:cs="Calibri"/>
          <w:lang w:val="fr-CH"/>
        </w:rPr>
        <w:t>e</w:t>
      </w:r>
      <w:r>
        <w:rPr>
          <w:rFonts w:cs="Calibri"/>
          <w:lang w:val="fr-CH"/>
        </w:rPr>
        <w:t xml:space="preserve">nt, que quatre Parties contractantes l’ont commenté et qu’une version modifiée a été redistribuée. Toutes les questions ont fait l’objet d’un accord sauf l’alinéa iv) du dispositif </w:t>
      </w:r>
      <w:r w:rsidR="00A915C4">
        <w:rPr>
          <w:rFonts w:cs="Calibri"/>
          <w:lang w:val="fr-CH"/>
        </w:rPr>
        <w:t xml:space="preserve">du texte </w:t>
      </w:r>
      <w:r>
        <w:rPr>
          <w:rFonts w:cs="Calibri"/>
          <w:lang w:val="fr-CH"/>
        </w:rPr>
        <w:t xml:space="preserve">proposé. </w:t>
      </w:r>
    </w:p>
    <w:p w14:paraId="1C50B98D" w14:textId="77777777" w:rsidR="00C40AD2" w:rsidRPr="001F4B7B" w:rsidRDefault="00C40AD2" w:rsidP="00C40AD2">
      <w:pPr>
        <w:spacing w:after="0" w:line="240" w:lineRule="auto"/>
        <w:ind w:left="567" w:hanging="567"/>
        <w:contextualSpacing/>
        <w:rPr>
          <w:rFonts w:cs="Calibri"/>
          <w:lang w:val="fr-CH"/>
        </w:rPr>
      </w:pPr>
    </w:p>
    <w:p w14:paraId="5FEB20DA" w14:textId="47650FA0" w:rsidR="00C40AD2" w:rsidRPr="001F4B7B" w:rsidRDefault="00C40AD2" w:rsidP="00C40AD2">
      <w:pPr>
        <w:spacing w:after="0" w:line="240" w:lineRule="auto"/>
        <w:ind w:left="567" w:hanging="567"/>
        <w:contextualSpacing/>
        <w:rPr>
          <w:rFonts w:cs="Calibri"/>
          <w:lang w:val="fr-CH"/>
        </w:rPr>
      </w:pPr>
      <w:r w:rsidRPr="001F4B7B">
        <w:rPr>
          <w:rFonts w:cs="Calibri"/>
          <w:lang w:val="fr-CH"/>
        </w:rPr>
        <w:t>41.</w:t>
      </w:r>
      <w:r w:rsidRPr="001F4B7B">
        <w:rPr>
          <w:rFonts w:cs="Calibri"/>
          <w:lang w:val="fr-CH"/>
        </w:rPr>
        <w:tab/>
      </w:r>
      <w:r>
        <w:rPr>
          <w:rFonts w:cs="Calibri"/>
          <w:lang w:val="fr-CH"/>
        </w:rPr>
        <w:t>Dans la discussion qui suit, il est souligné, à propos du sous</w:t>
      </w:r>
      <w:r>
        <w:rPr>
          <w:rFonts w:cs="Calibri"/>
          <w:lang w:val="fr-CH"/>
        </w:rPr>
        <w:noBreakHyphen/>
        <w:t xml:space="preserve">paragraphe iv), que la Convention sur la diversité biologique (CDB), destinataire de la décision, n’a pas mandat pour traiter des questions de changements climatiques et ne pourrait pas y donner suite. Il est aussi souligné que l’alinéa vi) proposé traite d’une question semblable. Des amendements sont proposés à </w:t>
      </w:r>
      <w:r w:rsidR="00A915C4">
        <w:rPr>
          <w:rFonts w:cs="Calibri"/>
          <w:lang w:val="fr-CH"/>
        </w:rPr>
        <w:t>l’</w:t>
      </w:r>
      <w:r>
        <w:rPr>
          <w:rFonts w:cs="Calibri"/>
          <w:lang w:val="fr-CH"/>
        </w:rPr>
        <w:t>alinéa</w:t>
      </w:r>
      <w:r w:rsidR="00A915C4">
        <w:rPr>
          <w:rFonts w:cs="Calibri"/>
          <w:lang w:val="fr-CH"/>
        </w:rPr>
        <w:t xml:space="preserve"> vi)</w:t>
      </w:r>
      <w:r>
        <w:rPr>
          <w:rFonts w:cs="Calibri"/>
          <w:lang w:val="fr-CH"/>
        </w:rPr>
        <w:t xml:space="preserve"> afin d’intégrer les éléments pertinents de l’alinéa iv) et reçoivent un appui général. </w:t>
      </w:r>
    </w:p>
    <w:p w14:paraId="5A5821BC" w14:textId="77777777" w:rsidR="00C40AD2" w:rsidRPr="001F4B7B" w:rsidRDefault="00C40AD2" w:rsidP="00C40AD2">
      <w:pPr>
        <w:spacing w:after="0" w:line="240" w:lineRule="auto"/>
        <w:ind w:left="567" w:hanging="567"/>
        <w:contextualSpacing/>
        <w:rPr>
          <w:rFonts w:cs="Calibri"/>
          <w:lang w:val="fr-CH"/>
        </w:rPr>
      </w:pPr>
    </w:p>
    <w:p w14:paraId="021321A3" w14:textId="77777777" w:rsidR="00C40AD2" w:rsidRPr="001F4B7B" w:rsidRDefault="00C40AD2" w:rsidP="00C40AD2">
      <w:pPr>
        <w:spacing w:after="0" w:line="240" w:lineRule="auto"/>
        <w:ind w:left="567" w:hanging="567"/>
        <w:contextualSpacing/>
        <w:rPr>
          <w:rFonts w:cs="Calibri"/>
          <w:lang w:val="fr-CH"/>
        </w:rPr>
      </w:pPr>
      <w:r w:rsidRPr="001F4B7B">
        <w:rPr>
          <w:rFonts w:cs="Calibri"/>
          <w:lang w:val="fr-CH"/>
        </w:rPr>
        <w:t>42.</w:t>
      </w:r>
      <w:r w:rsidRPr="001F4B7B">
        <w:rPr>
          <w:rFonts w:cs="Calibri"/>
          <w:lang w:val="fr-CH"/>
        </w:rPr>
        <w:tab/>
      </w:r>
      <w:r>
        <w:rPr>
          <w:rFonts w:cs="Calibri"/>
          <w:lang w:val="fr-CH"/>
        </w:rPr>
        <w:t xml:space="preserve">Les </w:t>
      </w:r>
      <w:r w:rsidRPr="00FF31E3">
        <w:rPr>
          <w:rFonts w:cs="Calibri"/>
          <w:b/>
          <w:lang w:val="fr-CH"/>
        </w:rPr>
        <w:t>États</w:t>
      </w:r>
      <w:r w:rsidRPr="00FF31E3">
        <w:rPr>
          <w:rFonts w:cs="Calibri"/>
          <w:b/>
          <w:lang w:val="fr-CH"/>
        </w:rPr>
        <w:noBreakHyphen/>
        <w:t>Unis d’Amérique</w:t>
      </w:r>
      <w:r>
        <w:rPr>
          <w:rFonts w:cs="Calibri"/>
          <w:lang w:val="fr-CH"/>
        </w:rPr>
        <w:t xml:space="preserve">, le </w:t>
      </w:r>
      <w:r w:rsidRPr="001F4B7B">
        <w:rPr>
          <w:rFonts w:cs="Calibri"/>
          <w:b/>
          <w:lang w:val="fr-CH"/>
        </w:rPr>
        <w:t>Jap</w:t>
      </w:r>
      <w:r>
        <w:rPr>
          <w:rFonts w:cs="Calibri"/>
          <w:b/>
          <w:lang w:val="fr-CH"/>
        </w:rPr>
        <w:t>o</w:t>
      </w:r>
      <w:r w:rsidRPr="001F4B7B">
        <w:rPr>
          <w:rFonts w:cs="Calibri"/>
          <w:b/>
          <w:lang w:val="fr-CH"/>
        </w:rPr>
        <w:t>n</w:t>
      </w:r>
      <w:r w:rsidRPr="001F4B7B">
        <w:rPr>
          <w:rFonts w:cs="Calibri"/>
          <w:lang w:val="fr-CH"/>
        </w:rPr>
        <w:t>,</w:t>
      </w:r>
      <w:r>
        <w:rPr>
          <w:rFonts w:cs="Calibri"/>
          <w:lang w:val="fr-CH"/>
        </w:rPr>
        <w:t xml:space="preserve"> le</w:t>
      </w:r>
      <w:r w:rsidRPr="001F4B7B">
        <w:rPr>
          <w:rFonts w:cs="Calibri"/>
          <w:lang w:val="fr-CH"/>
        </w:rPr>
        <w:t xml:space="preserve"> </w:t>
      </w:r>
      <w:r w:rsidRPr="001F4B7B">
        <w:rPr>
          <w:rFonts w:cs="Calibri"/>
          <w:b/>
          <w:lang w:val="fr-CH"/>
        </w:rPr>
        <w:t>Mexi</w:t>
      </w:r>
      <w:r>
        <w:rPr>
          <w:rFonts w:cs="Calibri"/>
          <w:b/>
          <w:lang w:val="fr-CH"/>
        </w:rPr>
        <w:t>que</w:t>
      </w:r>
      <w:r w:rsidRPr="001F4B7B">
        <w:rPr>
          <w:rFonts w:cs="Calibri"/>
          <w:lang w:val="fr-CH"/>
        </w:rPr>
        <w:t>,</w:t>
      </w:r>
      <w:r>
        <w:rPr>
          <w:rFonts w:cs="Calibri"/>
          <w:lang w:val="fr-CH"/>
        </w:rPr>
        <w:t xml:space="preserve"> le</w:t>
      </w:r>
      <w:r>
        <w:rPr>
          <w:rFonts w:cs="Calibri"/>
          <w:b/>
          <w:lang w:val="fr-CH"/>
        </w:rPr>
        <w:t xml:space="preserve"> Royaume-Uni de Grande-Bretagne et d’Irlande du Nord</w:t>
      </w:r>
      <w:r>
        <w:rPr>
          <w:rFonts w:cs="Calibri"/>
          <w:lang w:val="fr-CH"/>
        </w:rPr>
        <w:t xml:space="preserve"> et la</w:t>
      </w:r>
      <w:r w:rsidRPr="001F4B7B">
        <w:rPr>
          <w:rFonts w:cs="Calibri"/>
          <w:lang w:val="fr-CH"/>
        </w:rPr>
        <w:t xml:space="preserve"> </w:t>
      </w:r>
      <w:r w:rsidRPr="001F4B7B">
        <w:rPr>
          <w:rFonts w:cs="Calibri"/>
          <w:b/>
          <w:lang w:val="fr-CH"/>
        </w:rPr>
        <w:t>S</w:t>
      </w:r>
      <w:r>
        <w:rPr>
          <w:rFonts w:cs="Calibri"/>
          <w:b/>
          <w:lang w:val="fr-CH"/>
        </w:rPr>
        <w:t>uisse</w:t>
      </w:r>
      <w:r>
        <w:rPr>
          <w:rFonts w:cs="Calibri"/>
          <w:lang w:val="fr-CH"/>
        </w:rPr>
        <w:t xml:space="preserve"> interviennent dans la discussion</w:t>
      </w:r>
      <w:r w:rsidRPr="001F4B7B">
        <w:rPr>
          <w:rFonts w:cs="Calibri"/>
          <w:lang w:val="fr-CH"/>
        </w:rPr>
        <w:t>.</w:t>
      </w:r>
    </w:p>
    <w:p w14:paraId="32FE12C1" w14:textId="77777777" w:rsidR="00C40AD2" w:rsidRPr="001363AC" w:rsidRDefault="00C40AD2" w:rsidP="00C40AD2">
      <w:pPr>
        <w:spacing w:after="0" w:line="240" w:lineRule="auto"/>
        <w:ind w:left="567" w:hanging="567"/>
        <w:contextualSpacing/>
        <w:rPr>
          <w:rFonts w:cs="Calibri"/>
          <w:lang w:val="fr-FR"/>
        </w:rPr>
      </w:pPr>
    </w:p>
    <w:p w14:paraId="582233DB" w14:textId="77777777" w:rsidR="00C40AD2" w:rsidRPr="00942843" w:rsidRDefault="00C40AD2" w:rsidP="00C40AD2">
      <w:pPr>
        <w:keepNext/>
        <w:spacing w:after="0" w:line="240" w:lineRule="auto"/>
        <w:rPr>
          <w:b/>
          <w:bCs/>
          <w:lang w:val="fr-FR"/>
        </w:rPr>
      </w:pPr>
      <w:r w:rsidRPr="00942843">
        <w:rPr>
          <w:rFonts w:asciiTheme="minorHAnsi" w:hAnsiTheme="minorHAnsi" w:cstheme="minorHAnsi"/>
          <w:b/>
          <w:bCs/>
          <w:lang w:val="fr-FR"/>
        </w:rPr>
        <w:t xml:space="preserve">Décision SC58-25 : </w:t>
      </w:r>
      <w:r w:rsidRPr="00942843">
        <w:rPr>
          <w:b/>
          <w:bCs/>
          <w:lang w:val="fr-FR"/>
        </w:rPr>
        <w:t>Le Comité permanent décide de demander les éléments d’avis suivants à soumettre au Secrétaire exécutif de la Convention sur la diversité biologique :</w:t>
      </w:r>
    </w:p>
    <w:p w14:paraId="332C3CD0" w14:textId="77777777" w:rsidR="00C40AD2" w:rsidRPr="00942843" w:rsidRDefault="00C40AD2" w:rsidP="00C40AD2">
      <w:pPr>
        <w:keepNext/>
        <w:spacing w:after="0" w:line="240" w:lineRule="auto"/>
        <w:rPr>
          <w:b/>
          <w:bCs/>
          <w:lang w:val="fr-FR"/>
        </w:rPr>
      </w:pPr>
    </w:p>
    <w:p w14:paraId="4325D2C0" w14:textId="0B153A01" w:rsidR="00C40AD2" w:rsidRPr="00942843" w:rsidRDefault="00C40AD2" w:rsidP="00C40AD2">
      <w:pPr>
        <w:keepNext/>
        <w:spacing w:after="0" w:line="240" w:lineRule="auto"/>
        <w:rPr>
          <w:b/>
          <w:bCs/>
          <w:lang w:val="fr-FR"/>
        </w:rPr>
      </w:pPr>
      <w:r w:rsidRPr="00942843">
        <w:rPr>
          <w:b/>
          <w:bCs/>
          <w:lang w:val="fr-FR"/>
        </w:rPr>
        <w:t>La Convention sur les zones humides apprécie l’invitation de la Convention sur la diversité biologique, adressée aux organes directeurs de différentes conventions relatives à la biodiversité, de fournir des contributions pour aider à élaborer des orientations stratégiques pour la huitième reconstitution de la Caisse du Fonds mondial pour l’environnement (FEM).</w:t>
      </w:r>
    </w:p>
    <w:p w14:paraId="1D12EBC4" w14:textId="77777777" w:rsidR="00C40AD2" w:rsidRPr="00942843" w:rsidRDefault="00C40AD2" w:rsidP="00C40AD2">
      <w:pPr>
        <w:keepNext/>
        <w:spacing w:after="0" w:line="240" w:lineRule="auto"/>
        <w:rPr>
          <w:b/>
          <w:bCs/>
          <w:lang w:val="fr-FR"/>
        </w:rPr>
      </w:pPr>
    </w:p>
    <w:p w14:paraId="79EB73C6" w14:textId="77777777" w:rsidR="00C40AD2" w:rsidRPr="00942843" w:rsidRDefault="00C40AD2" w:rsidP="00C40AD2">
      <w:pPr>
        <w:keepNext/>
        <w:spacing w:after="0" w:line="240" w:lineRule="auto"/>
        <w:rPr>
          <w:b/>
          <w:bCs/>
          <w:lang w:val="fr-FR"/>
        </w:rPr>
      </w:pPr>
      <w:r w:rsidRPr="00942843">
        <w:rPr>
          <w:b/>
          <w:bCs/>
          <w:lang w:val="fr-FR"/>
        </w:rPr>
        <w:t xml:space="preserve">En réponse, la Convention de Ramsar souhaite attirer l’attention de la Convention sur la diversité biologique sur les points suivants :  </w:t>
      </w:r>
    </w:p>
    <w:p w14:paraId="58C56E43" w14:textId="77777777" w:rsidR="00C40AD2" w:rsidRPr="00942843" w:rsidRDefault="00C40AD2" w:rsidP="00C40AD2">
      <w:pPr>
        <w:keepNext/>
        <w:spacing w:after="0" w:line="240" w:lineRule="auto"/>
        <w:rPr>
          <w:b/>
          <w:bCs/>
          <w:lang w:val="fr-FR"/>
        </w:rPr>
      </w:pPr>
    </w:p>
    <w:p w14:paraId="2923D995" w14:textId="77777777" w:rsidR="00C40AD2" w:rsidRPr="00942843" w:rsidRDefault="00C40AD2" w:rsidP="00C40AD2">
      <w:pPr>
        <w:pStyle w:val="Default"/>
        <w:ind w:left="426" w:hanging="426"/>
        <w:rPr>
          <w:b/>
          <w:bCs/>
          <w:color w:val="auto"/>
          <w:sz w:val="22"/>
          <w:szCs w:val="22"/>
          <w:lang w:val="fr-FR" w:eastAsia="en-GB"/>
        </w:rPr>
      </w:pPr>
      <w:r w:rsidRPr="00942843">
        <w:rPr>
          <w:b/>
          <w:bCs/>
          <w:color w:val="auto"/>
          <w:sz w:val="22"/>
          <w:szCs w:val="22"/>
          <w:lang w:val="fr-FR" w:eastAsia="en-GB"/>
        </w:rPr>
        <w:t>a)</w:t>
      </w:r>
      <w:r w:rsidRPr="00942843">
        <w:rPr>
          <w:b/>
          <w:bCs/>
          <w:color w:val="auto"/>
          <w:sz w:val="22"/>
          <w:szCs w:val="22"/>
          <w:lang w:val="fr-FR" w:eastAsia="en-GB"/>
        </w:rPr>
        <w:tab/>
        <w:t xml:space="preserve">Les zones humides sont les plus menacées de tous les écosystèmes, 87% des zones humides de la planète ayant disparu, dont 35% entre 1970 et 2015 à un rythme trois fois plus rapide que les forêts ; et 81% des populations d'espèces d'eau douce ont décliné à l'échelle mondiale, soit un pourcentage plus élevé que pour les autres espèces ; </w:t>
      </w:r>
    </w:p>
    <w:p w14:paraId="5F5EE96A" w14:textId="77777777" w:rsidR="00C40AD2" w:rsidRPr="00942843" w:rsidRDefault="00C40AD2" w:rsidP="00C40AD2">
      <w:pPr>
        <w:pStyle w:val="Default"/>
        <w:ind w:left="426"/>
        <w:rPr>
          <w:b/>
          <w:bCs/>
          <w:color w:val="auto"/>
          <w:sz w:val="22"/>
          <w:szCs w:val="22"/>
          <w:lang w:val="fr-FR" w:eastAsia="en-GB"/>
        </w:rPr>
      </w:pPr>
    </w:p>
    <w:p w14:paraId="572D81DD" w14:textId="77777777" w:rsidR="00C40AD2" w:rsidRPr="00942843" w:rsidRDefault="00C40AD2" w:rsidP="00C40AD2">
      <w:pPr>
        <w:pStyle w:val="Default"/>
        <w:tabs>
          <w:tab w:val="left" w:pos="426"/>
        </w:tabs>
        <w:ind w:left="426" w:hanging="426"/>
        <w:rPr>
          <w:b/>
          <w:bCs/>
          <w:color w:val="auto"/>
          <w:sz w:val="22"/>
          <w:szCs w:val="22"/>
          <w:lang w:val="fr-FR" w:eastAsia="en-GB"/>
        </w:rPr>
      </w:pPr>
      <w:r w:rsidRPr="00942843">
        <w:rPr>
          <w:b/>
          <w:bCs/>
          <w:color w:val="auto"/>
          <w:sz w:val="22"/>
          <w:szCs w:val="22"/>
          <w:lang w:val="fr-FR" w:eastAsia="en-GB"/>
        </w:rPr>
        <w:t>b)</w:t>
      </w:r>
      <w:r w:rsidRPr="00942843">
        <w:rPr>
          <w:b/>
          <w:bCs/>
          <w:color w:val="auto"/>
          <w:sz w:val="22"/>
          <w:szCs w:val="22"/>
          <w:lang w:val="fr-FR" w:eastAsia="en-GB"/>
        </w:rPr>
        <w:tab/>
        <w:t>Les zones humides fournissent d’importants avantages et services aux populations, notamment la plupart de l’eau douce destinée à la consommation, une protection contre les inondations, les sécheresses et autres catastrophes, des aliments et des moyens de subsistance pour des millions de personnes, et un stockage du carbone plus efficace que celui de tout autre écosystème</w:t>
      </w:r>
      <w:r>
        <w:rPr>
          <w:b/>
          <w:bCs/>
          <w:color w:val="auto"/>
          <w:sz w:val="22"/>
          <w:szCs w:val="22"/>
          <w:lang w:val="fr-FR" w:eastAsia="en-GB"/>
        </w:rPr>
        <w:t> ;</w:t>
      </w:r>
    </w:p>
    <w:p w14:paraId="07DBECE1" w14:textId="77777777" w:rsidR="00C40AD2" w:rsidRPr="00942843" w:rsidRDefault="00C40AD2" w:rsidP="00C40AD2">
      <w:pPr>
        <w:pStyle w:val="Default"/>
        <w:ind w:left="426"/>
        <w:rPr>
          <w:b/>
          <w:bCs/>
          <w:color w:val="auto"/>
          <w:sz w:val="22"/>
          <w:szCs w:val="22"/>
          <w:lang w:val="fr-FR" w:eastAsia="en-GB"/>
        </w:rPr>
      </w:pPr>
    </w:p>
    <w:p w14:paraId="1B1B354E" w14:textId="485EF9C7" w:rsidR="00C40AD2" w:rsidRPr="00942843" w:rsidRDefault="00C40AD2" w:rsidP="00C40AD2">
      <w:pPr>
        <w:pStyle w:val="Default"/>
        <w:tabs>
          <w:tab w:val="left" w:pos="426"/>
        </w:tabs>
        <w:ind w:left="426" w:hanging="426"/>
        <w:rPr>
          <w:b/>
          <w:bCs/>
          <w:sz w:val="22"/>
          <w:lang w:val="fr-FR"/>
        </w:rPr>
      </w:pPr>
      <w:r w:rsidRPr="00942843">
        <w:rPr>
          <w:b/>
          <w:bCs/>
          <w:sz w:val="22"/>
          <w:lang w:val="fr-FR"/>
        </w:rPr>
        <w:t>c)</w:t>
      </w:r>
      <w:r w:rsidRPr="00942843">
        <w:rPr>
          <w:b/>
          <w:bCs/>
          <w:sz w:val="22"/>
          <w:lang w:val="fr-FR"/>
        </w:rPr>
        <w:tab/>
        <w:t>La Convention sur les zones humides a un rôle de premier plan à jouer vis-à-vis du cadre de la biodiversité pour l’après-2020, en particulier si l’on veut atteindre l’objectif de « pas de perte nette » et assurer l'intégrité des écosystèmes d'eau douce, marins et côtiers, entre autres buts et objectifs.</w:t>
      </w:r>
    </w:p>
    <w:p w14:paraId="7DD8A256" w14:textId="77777777" w:rsidR="00C40AD2" w:rsidRPr="00942843" w:rsidRDefault="00C40AD2" w:rsidP="00C40AD2">
      <w:pPr>
        <w:pStyle w:val="Default"/>
        <w:tabs>
          <w:tab w:val="left" w:pos="426"/>
        </w:tabs>
        <w:ind w:left="426" w:hanging="426"/>
        <w:rPr>
          <w:b/>
          <w:bCs/>
          <w:sz w:val="22"/>
          <w:lang w:val="fr-FR"/>
        </w:rPr>
      </w:pPr>
    </w:p>
    <w:p w14:paraId="7AD8B580" w14:textId="1ADC21FC" w:rsidR="00C40AD2" w:rsidRPr="00942843" w:rsidRDefault="00C40AD2" w:rsidP="00C40AD2">
      <w:pPr>
        <w:pStyle w:val="Default"/>
        <w:rPr>
          <w:b/>
          <w:bCs/>
          <w:lang w:val="fr-FR"/>
        </w:rPr>
      </w:pPr>
      <w:r w:rsidRPr="00942843">
        <w:rPr>
          <w:b/>
          <w:bCs/>
          <w:sz w:val="22"/>
          <w:szCs w:val="22"/>
          <w:lang w:val="fr-FR"/>
        </w:rPr>
        <w:t xml:space="preserve">À la lumière de ces considérations, la Convention </w:t>
      </w:r>
      <w:r w:rsidR="00A915C4">
        <w:rPr>
          <w:b/>
          <w:bCs/>
          <w:sz w:val="22"/>
          <w:szCs w:val="22"/>
          <w:lang w:val="fr-FR"/>
        </w:rPr>
        <w:t>sur les zones humides</w:t>
      </w:r>
      <w:r w:rsidRPr="00942843">
        <w:rPr>
          <w:b/>
          <w:bCs/>
          <w:sz w:val="22"/>
          <w:szCs w:val="22"/>
          <w:lang w:val="fr-FR"/>
        </w:rPr>
        <w:t xml:space="preserve"> invite la CDB à inclure, dans les orientations de la CdP15 au Mécanisme financier :  </w:t>
      </w:r>
    </w:p>
    <w:p w14:paraId="66B7DDDE" w14:textId="77777777" w:rsidR="00C40AD2" w:rsidRPr="00942843" w:rsidRDefault="00C40AD2" w:rsidP="00C40AD2">
      <w:pPr>
        <w:pStyle w:val="Default"/>
        <w:ind w:left="426"/>
        <w:rPr>
          <w:b/>
          <w:bCs/>
          <w:lang w:val="fr-FR"/>
        </w:rPr>
      </w:pPr>
    </w:p>
    <w:p w14:paraId="36C77CEB" w14:textId="0A107CCB" w:rsidR="00C40AD2" w:rsidRPr="00942843" w:rsidRDefault="00C40AD2" w:rsidP="00C40AD2">
      <w:pPr>
        <w:pStyle w:val="Default"/>
        <w:ind w:left="426" w:hanging="426"/>
        <w:rPr>
          <w:rFonts w:eastAsia="Calibri"/>
          <w:b/>
          <w:bCs/>
          <w:sz w:val="22"/>
          <w:szCs w:val="22"/>
          <w:lang w:val="fr-FR"/>
        </w:rPr>
      </w:pPr>
      <w:r w:rsidRPr="00942843">
        <w:rPr>
          <w:rFonts w:asciiTheme="minorHAnsi" w:hAnsiTheme="minorHAnsi" w:cstheme="minorHAnsi"/>
          <w:b/>
          <w:bCs/>
          <w:sz w:val="22"/>
          <w:szCs w:val="22"/>
          <w:lang w:val="fr-FR"/>
        </w:rPr>
        <w:lastRenderedPageBreak/>
        <w:t>i)</w:t>
      </w:r>
      <w:r w:rsidRPr="00942843">
        <w:rPr>
          <w:rFonts w:asciiTheme="minorHAnsi" w:hAnsiTheme="minorHAnsi" w:cstheme="minorHAnsi"/>
          <w:b/>
          <w:bCs/>
          <w:sz w:val="22"/>
          <w:szCs w:val="22"/>
          <w:lang w:val="fr-FR"/>
        </w:rPr>
        <w:tab/>
        <w:t xml:space="preserve">une invitation à continuer de soutenir des projets, dans le domaine d’intervention pour la biodiversité, qui intègrent les zones humides et </w:t>
      </w:r>
      <w:r>
        <w:rPr>
          <w:rFonts w:asciiTheme="minorHAnsi" w:hAnsiTheme="minorHAnsi" w:cstheme="minorHAnsi"/>
          <w:b/>
          <w:bCs/>
          <w:sz w:val="22"/>
          <w:szCs w:val="22"/>
          <w:lang w:val="fr-FR"/>
        </w:rPr>
        <w:t>leur</w:t>
      </w:r>
      <w:r w:rsidRPr="00942843">
        <w:rPr>
          <w:rFonts w:asciiTheme="minorHAnsi" w:hAnsiTheme="minorHAnsi" w:cstheme="minorHAnsi"/>
          <w:b/>
          <w:bCs/>
          <w:sz w:val="22"/>
          <w:szCs w:val="22"/>
          <w:lang w:val="fr-FR"/>
        </w:rPr>
        <w:t xml:space="preserve"> biodiversité dans tous les secteurs, paysages</w:t>
      </w:r>
      <w:r>
        <w:rPr>
          <w:rFonts w:asciiTheme="minorHAnsi" w:hAnsiTheme="minorHAnsi" w:cstheme="minorHAnsi"/>
          <w:b/>
          <w:bCs/>
          <w:sz w:val="22"/>
          <w:szCs w:val="22"/>
          <w:lang w:val="fr-FR"/>
        </w:rPr>
        <w:t xml:space="preserve"> terrestres</w:t>
      </w:r>
      <w:r w:rsidRPr="00942843">
        <w:rPr>
          <w:rFonts w:asciiTheme="minorHAnsi" w:hAnsiTheme="minorHAnsi" w:cstheme="minorHAnsi"/>
          <w:b/>
          <w:bCs/>
          <w:sz w:val="22"/>
          <w:szCs w:val="22"/>
          <w:lang w:val="fr-FR"/>
        </w:rPr>
        <w:t xml:space="preserve"> - y compris les eaux intérieures</w:t>
      </w:r>
      <w:r>
        <w:rPr>
          <w:rFonts w:asciiTheme="minorHAnsi" w:hAnsiTheme="minorHAnsi" w:cstheme="minorHAnsi"/>
          <w:b/>
          <w:bCs/>
          <w:sz w:val="22"/>
          <w:szCs w:val="22"/>
          <w:lang w:val="fr-FR"/>
        </w:rPr>
        <w:t xml:space="preserve"> -</w:t>
      </w:r>
      <w:r w:rsidRPr="00942843">
        <w:rPr>
          <w:rFonts w:asciiTheme="minorHAnsi" w:hAnsiTheme="minorHAnsi" w:cstheme="minorHAnsi"/>
          <w:b/>
          <w:bCs/>
          <w:sz w:val="22"/>
          <w:szCs w:val="22"/>
          <w:lang w:val="fr-FR"/>
        </w:rPr>
        <w:t xml:space="preserve"> et paysages marins</w:t>
      </w:r>
      <w:r>
        <w:rPr>
          <w:rFonts w:asciiTheme="minorHAnsi" w:hAnsiTheme="minorHAnsi" w:cstheme="minorHAnsi"/>
          <w:b/>
          <w:bCs/>
          <w:sz w:val="22"/>
          <w:szCs w:val="22"/>
          <w:lang w:val="fr-FR"/>
        </w:rPr>
        <w:t xml:space="preserve"> </w:t>
      </w:r>
      <w:r w:rsidRPr="00942843">
        <w:rPr>
          <w:rFonts w:asciiTheme="minorHAnsi" w:hAnsiTheme="minorHAnsi" w:cstheme="minorHAnsi"/>
          <w:b/>
          <w:bCs/>
          <w:sz w:val="22"/>
          <w:szCs w:val="22"/>
          <w:lang w:val="fr-FR"/>
        </w:rPr>
        <w:t xml:space="preserve">; </w:t>
      </w:r>
      <w:r>
        <w:rPr>
          <w:rFonts w:asciiTheme="minorHAnsi" w:hAnsiTheme="minorHAnsi" w:cstheme="minorHAnsi"/>
          <w:b/>
          <w:bCs/>
          <w:sz w:val="22"/>
          <w:szCs w:val="22"/>
          <w:lang w:val="fr-FR"/>
        </w:rPr>
        <w:t>à lutter contre les</w:t>
      </w:r>
      <w:r w:rsidRPr="00942843">
        <w:rPr>
          <w:rFonts w:asciiTheme="minorHAnsi" w:hAnsiTheme="minorHAnsi" w:cstheme="minorHAnsi"/>
          <w:b/>
          <w:bCs/>
          <w:sz w:val="22"/>
          <w:szCs w:val="22"/>
          <w:lang w:val="fr-FR"/>
        </w:rPr>
        <w:t xml:space="preserve"> facteurs</w:t>
      </w:r>
      <w:r>
        <w:rPr>
          <w:rFonts w:asciiTheme="minorHAnsi" w:hAnsiTheme="minorHAnsi" w:cstheme="minorHAnsi"/>
          <w:b/>
          <w:bCs/>
          <w:sz w:val="22"/>
          <w:szCs w:val="22"/>
          <w:lang w:val="fr-FR"/>
        </w:rPr>
        <w:t xml:space="preserve"> directs pour protéger les</w:t>
      </w:r>
      <w:r w:rsidRPr="00942843">
        <w:rPr>
          <w:rFonts w:asciiTheme="minorHAnsi" w:hAnsiTheme="minorHAnsi" w:cstheme="minorHAnsi"/>
          <w:b/>
          <w:bCs/>
          <w:sz w:val="22"/>
          <w:szCs w:val="22"/>
          <w:lang w:val="fr-FR"/>
        </w:rPr>
        <w:t xml:space="preserve"> habitats et </w:t>
      </w:r>
      <w:r>
        <w:rPr>
          <w:rFonts w:asciiTheme="minorHAnsi" w:hAnsiTheme="minorHAnsi" w:cstheme="minorHAnsi"/>
          <w:b/>
          <w:bCs/>
          <w:sz w:val="22"/>
          <w:szCs w:val="22"/>
          <w:lang w:val="fr-FR"/>
        </w:rPr>
        <w:t>l</w:t>
      </w:r>
      <w:r w:rsidRPr="00942843">
        <w:rPr>
          <w:rFonts w:asciiTheme="minorHAnsi" w:hAnsiTheme="minorHAnsi" w:cstheme="minorHAnsi"/>
          <w:b/>
          <w:bCs/>
          <w:sz w:val="22"/>
          <w:szCs w:val="22"/>
          <w:lang w:val="fr-FR"/>
        </w:rPr>
        <w:t xml:space="preserve">es espèces des zones humides, notamment par le biais de </w:t>
      </w:r>
      <w:r>
        <w:rPr>
          <w:rFonts w:asciiTheme="minorHAnsi" w:hAnsiTheme="minorHAnsi" w:cstheme="minorHAnsi"/>
          <w:b/>
          <w:bCs/>
          <w:sz w:val="22"/>
          <w:szCs w:val="22"/>
          <w:lang w:val="fr-FR"/>
        </w:rPr>
        <w:t>réseaux</w:t>
      </w:r>
      <w:r w:rsidRPr="00942843">
        <w:rPr>
          <w:rFonts w:asciiTheme="minorHAnsi" w:hAnsiTheme="minorHAnsi" w:cstheme="minorHAnsi"/>
          <w:b/>
          <w:bCs/>
          <w:sz w:val="22"/>
          <w:szCs w:val="22"/>
          <w:lang w:val="fr-FR"/>
        </w:rPr>
        <w:t xml:space="preserve"> d'aires protégées tels que les zones humides d'importance internationale inscrites par les Parties contractantes au titre de la Convention sur les zones humides ; et </w:t>
      </w:r>
      <w:r>
        <w:rPr>
          <w:rFonts w:asciiTheme="minorHAnsi" w:hAnsiTheme="minorHAnsi" w:cstheme="minorHAnsi"/>
          <w:b/>
          <w:bCs/>
          <w:sz w:val="22"/>
          <w:szCs w:val="22"/>
          <w:lang w:val="fr-FR"/>
        </w:rPr>
        <w:t>à améliorer</w:t>
      </w:r>
      <w:r w:rsidRPr="00942843">
        <w:rPr>
          <w:rFonts w:asciiTheme="minorHAnsi" w:hAnsiTheme="minorHAnsi" w:cstheme="minorHAnsi"/>
          <w:b/>
          <w:bCs/>
          <w:sz w:val="22"/>
          <w:szCs w:val="22"/>
          <w:lang w:val="fr-FR"/>
        </w:rPr>
        <w:t xml:space="preserve"> la politique et le</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cadre</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institutionnel</w:t>
      </w:r>
      <w:r>
        <w:rPr>
          <w:rFonts w:asciiTheme="minorHAnsi" w:hAnsiTheme="minorHAnsi" w:cstheme="minorHAnsi"/>
          <w:b/>
          <w:bCs/>
          <w:sz w:val="22"/>
          <w:szCs w:val="22"/>
          <w:lang w:val="fr-FR"/>
        </w:rPr>
        <w:t>s</w:t>
      </w:r>
      <w:r w:rsidRPr="00942843">
        <w:rPr>
          <w:rFonts w:asciiTheme="minorHAnsi" w:hAnsiTheme="minorHAnsi" w:cstheme="minorHAnsi"/>
          <w:b/>
          <w:bCs/>
          <w:sz w:val="22"/>
          <w:szCs w:val="22"/>
          <w:lang w:val="fr-FR"/>
        </w:rPr>
        <w:t xml:space="preserve"> de la biodiversité, y compris </w:t>
      </w:r>
      <w:r>
        <w:rPr>
          <w:rFonts w:asciiTheme="minorHAnsi" w:hAnsiTheme="minorHAnsi" w:cstheme="minorHAnsi"/>
          <w:b/>
          <w:bCs/>
          <w:sz w:val="22"/>
          <w:szCs w:val="22"/>
          <w:lang w:val="fr-FR"/>
        </w:rPr>
        <w:t>l’élaboration et la révision des</w:t>
      </w:r>
      <w:r w:rsidRPr="00942843">
        <w:rPr>
          <w:rFonts w:asciiTheme="minorHAnsi" w:hAnsiTheme="minorHAnsi" w:cstheme="minorHAnsi"/>
          <w:b/>
          <w:bCs/>
          <w:sz w:val="22"/>
          <w:szCs w:val="22"/>
          <w:lang w:val="fr-FR"/>
        </w:rPr>
        <w:t xml:space="preserve"> </w:t>
      </w:r>
      <w:r w:rsidRPr="00942843">
        <w:rPr>
          <w:rFonts w:eastAsia="Calibri"/>
          <w:b/>
          <w:bCs/>
          <w:sz w:val="22"/>
          <w:szCs w:val="22"/>
          <w:lang w:val="fr-FR"/>
        </w:rPr>
        <w:t>politique</w:t>
      </w:r>
      <w:r>
        <w:rPr>
          <w:rFonts w:eastAsia="Calibri"/>
          <w:b/>
          <w:bCs/>
          <w:sz w:val="22"/>
          <w:szCs w:val="22"/>
          <w:lang w:val="fr-FR"/>
        </w:rPr>
        <w:t>s</w:t>
      </w:r>
      <w:r w:rsidRPr="00942843">
        <w:rPr>
          <w:rFonts w:eastAsia="Calibri"/>
          <w:b/>
          <w:bCs/>
          <w:sz w:val="22"/>
          <w:szCs w:val="22"/>
          <w:lang w:val="fr-FR"/>
        </w:rPr>
        <w:t xml:space="preserve">, le suivi, l'aménagement du territoire, les </w:t>
      </w:r>
      <w:r>
        <w:rPr>
          <w:rFonts w:eastAsia="Calibri"/>
          <w:b/>
          <w:bCs/>
          <w:sz w:val="22"/>
          <w:szCs w:val="22"/>
          <w:lang w:val="fr-FR"/>
        </w:rPr>
        <w:t>mesures d’</w:t>
      </w:r>
      <w:r w:rsidRPr="00942843">
        <w:rPr>
          <w:rFonts w:eastAsia="Calibri"/>
          <w:b/>
          <w:bCs/>
          <w:sz w:val="22"/>
          <w:szCs w:val="22"/>
          <w:lang w:val="fr-FR"/>
        </w:rPr>
        <w:t>incitation, la création stratégique d’aires protégées</w:t>
      </w:r>
      <w:r>
        <w:rPr>
          <w:rFonts w:eastAsia="Calibri"/>
          <w:b/>
          <w:bCs/>
          <w:sz w:val="22"/>
          <w:szCs w:val="22"/>
          <w:lang w:val="fr-FR"/>
        </w:rPr>
        <w:t xml:space="preserve">, </w:t>
      </w:r>
      <w:r w:rsidRPr="00942843">
        <w:rPr>
          <w:rFonts w:eastAsia="Calibri"/>
          <w:b/>
          <w:bCs/>
          <w:sz w:val="22"/>
          <w:szCs w:val="22"/>
          <w:lang w:val="fr-FR"/>
        </w:rPr>
        <w:t xml:space="preserve">la gestion </w:t>
      </w:r>
      <w:r>
        <w:rPr>
          <w:rFonts w:eastAsia="Calibri"/>
          <w:b/>
          <w:bCs/>
          <w:sz w:val="22"/>
          <w:szCs w:val="22"/>
          <w:lang w:val="fr-FR"/>
        </w:rPr>
        <w:t xml:space="preserve">des aires protégées </w:t>
      </w:r>
      <w:r w:rsidRPr="00942843">
        <w:rPr>
          <w:rFonts w:eastAsia="Calibri"/>
          <w:b/>
          <w:bCs/>
          <w:sz w:val="22"/>
          <w:szCs w:val="22"/>
          <w:lang w:val="fr-FR"/>
        </w:rPr>
        <w:t>et la restauration</w:t>
      </w:r>
      <w:r>
        <w:rPr>
          <w:rFonts w:eastAsia="Calibri"/>
          <w:b/>
          <w:bCs/>
          <w:sz w:val="22"/>
          <w:szCs w:val="22"/>
          <w:lang w:val="fr-FR"/>
        </w:rPr>
        <w:t xml:space="preserve"> </w:t>
      </w:r>
      <w:r w:rsidRPr="00942843">
        <w:rPr>
          <w:rFonts w:eastAsia="Calibri"/>
          <w:b/>
          <w:bCs/>
          <w:sz w:val="22"/>
          <w:szCs w:val="22"/>
          <w:lang w:val="fr-FR"/>
        </w:rPr>
        <w:t>;</w:t>
      </w:r>
    </w:p>
    <w:p w14:paraId="1E101319" w14:textId="77777777" w:rsidR="00C40AD2" w:rsidRPr="00942843" w:rsidRDefault="00C40AD2" w:rsidP="00C40AD2">
      <w:pPr>
        <w:pStyle w:val="Default"/>
        <w:ind w:left="426"/>
        <w:rPr>
          <w:rFonts w:eastAsia="Calibri"/>
          <w:b/>
          <w:bCs/>
          <w:sz w:val="22"/>
          <w:szCs w:val="22"/>
          <w:lang w:val="fr-FR"/>
        </w:rPr>
      </w:pPr>
    </w:p>
    <w:p w14:paraId="69B963BF" w14:textId="77777777" w:rsidR="00C40AD2" w:rsidRPr="00942843" w:rsidRDefault="00C40AD2" w:rsidP="00C40AD2">
      <w:pPr>
        <w:pStyle w:val="Default"/>
        <w:ind w:left="426" w:hanging="426"/>
        <w:rPr>
          <w:rFonts w:eastAsia="Calibri"/>
          <w:b/>
          <w:bCs/>
          <w:sz w:val="22"/>
          <w:szCs w:val="22"/>
          <w:lang w:val="fr-FR"/>
        </w:rPr>
      </w:pPr>
      <w:r w:rsidRPr="00942843">
        <w:rPr>
          <w:rFonts w:eastAsia="Calibri"/>
          <w:b/>
          <w:bCs/>
          <w:sz w:val="22"/>
          <w:szCs w:val="22"/>
          <w:lang w:val="fr-FR"/>
        </w:rPr>
        <w:t>ii)</w:t>
      </w:r>
      <w:r w:rsidRPr="00942843">
        <w:rPr>
          <w:rFonts w:eastAsia="Calibri"/>
          <w:b/>
          <w:bCs/>
          <w:sz w:val="22"/>
          <w:szCs w:val="22"/>
          <w:lang w:val="fr-FR"/>
        </w:rPr>
        <w:tab/>
        <w:t>une invitation au FEM à continuer de s'attaquer aux facteurs causant la perte de</w:t>
      </w:r>
      <w:r>
        <w:rPr>
          <w:rFonts w:eastAsia="Calibri"/>
          <w:b/>
          <w:bCs/>
          <w:sz w:val="22"/>
          <w:szCs w:val="22"/>
          <w:lang w:val="fr-FR"/>
        </w:rPr>
        <w:t xml:space="preserve">s </w:t>
      </w:r>
      <w:r w:rsidRPr="00942843">
        <w:rPr>
          <w:rFonts w:eastAsia="Calibri"/>
          <w:b/>
          <w:bCs/>
          <w:sz w:val="22"/>
          <w:szCs w:val="22"/>
          <w:lang w:val="fr-FR"/>
        </w:rPr>
        <w:t>habitat</w:t>
      </w:r>
      <w:r>
        <w:rPr>
          <w:rFonts w:eastAsia="Calibri"/>
          <w:b/>
          <w:bCs/>
          <w:sz w:val="22"/>
          <w:szCs w:val="22"/>
          <w:lang w:val="fr-FR"/>
        </w:rPr>
        <w:t>s</w:t>
      </w:r>
      <w:r w:rsidRPr="00942843">
        <w:rPr>
          <w:rFonts w:eastAsia="Calibri"/>
          <w:b/>
          <w:bCs/>
          <w:sz w:val="22"/>
          <w:szCs w:val="22"/>
          <w:lang w:val="fr-FR"/>
        </w:rPr>
        <w:t xml:space="preserve"> et des espèces et </w:t>
      </w:r>
      <w:r>
        <w:rPr>
          <w:rFonts w:eastAsia="Calibri"/>
          <w:b/>
          <w:bCs/>
          <w:sz w:val="22"/>
          <w:szCs w:val="22"/>
          <w:lang w:val="fr-FR"/>
        </w:rPr>
        <w:t xml:space="preserve">à </w:t>
      </w:r>
      <w:r w:rsidRPr="00942843">
        <w:rPr>
          <w:rFonts w:eastAsia="Calibri"/>
          <w:b/>
          <w:bCs/>
          <w:sz w:val="22"/>
          <w:szCs w:val="22"/>
          <w:lang w:val="fr-FR"/>
        </w:rPr>
        <w:t>inclure</w:t>
      </w:r>
      <w:r>
        <w:rPr>
          <w:rFonts w:eastAsia="Calibri"/>
          <w:b/>
          <w:bCs/>
          <w:sz w:val="22"/>
          <w:szCs w:val="22"/>
          <w:lang w:val="fr-FR"/>
        </w:rPr>
        <w:t>,</w:t>
      </w:r>
      <w:r w:rsidRPr="00942843">
        <w:rPr>
          <w:rFonts w:eastAsia="Calibri"/>
          <w:b/>
          <w:bCs/>
          <w:sz w:val="22"/>
          <w:szCs w:val="22"/>
          <w:lang w:val="fr-FR"/>
        </w:rPr>
        <w:t xml:space="preserve"> dans le groupe de priorités actuel </w:t>
      </w:r>
      <w:r>
        <w:rPr>
          <w:rFonts w:eastAsia="Calibri"/>
          <w:b/>
          <w:bCs/>
          <w:sz w:val="22"/>
          <w:szCs w:val="22"/>
          <w:lang w:val="fr-FR"/>
        </w:rPr>
        <w:t>relatif à la lutte contre les</w:t>
      </w:r>
      <w:r w:rsidRPr="00942843">
        <w:rPr>
          <w:rFonts w:eastAsia="Calibri"/>
          <w:b/>
          <w:bCs/>
          <w:sz w:val="22"/>
          <w:szCs w:val="22"/>
          <w:lang w:val="fr-FR"/>
        </w:rPr>
        <w:t xml:space="preserve"> facteurs directs </w:t>
      </w:r>
      <w:r>
        <w:rPr>
          <w:rFonts w:eastAsia="Calibri"/>
          <w:b/>
          <w:bCs/>
          <w:sz w:val="22"/>
          <w:szCs w:val="22"/>
          <w:lang w:val="fr-FR"/>
        </w:rPr>
        <w:t>pour</w:t>
      </w:r>
      <w:r w:rsidRPr="00942843">
        <w:rPr>
          <w:rFonts w:eastAsia="Calibri"/>
          <w:b/>
          <w:bCs/>
          <w:sz w:val="22"/>
          <w:szCs w:val="22"/>
          <w:lang w:val="fr-FR"/>
        </w:rPr>
        <w:t xml:space="preserve"> prot</w:t>
      </w:r>
      <w:r>
        <w:rPr>
          <w:rFonts w:eastAsia="Calibri"/>
          <w:b/>
          <w:bCs/>
          <w:sz w:val="22"/>
          <w:szCs w:val="22"/>
          <w:lang w:val="fr-FR"/>
        </w:rPr>
        <w:t>éger les</w:t>
      </w:r>
      <w:r w:rsidRPr="00942843">
        <w:rPr>
          <w:rFonts w:eastAsia="Calibri"/>
          <w:b/>
          <w:bCs/>
          <w:sz w:val="22"/>
          <w:szCs w:val="22"/>
          <w:lang w:val="fr-FR"/>
        </w:rPr>
        <w:t xml:space="preserve"> habitats et </w:t>
      </w:r>
      <w:r>
        <w:rPr>
          <w:rFonts w:eastAsia="Calibri"/>
          <w:b/>
          <w:bCs/>
          <w:sz w:val="22"/>
          <w:szCs w:val="22"/>
          <w:lang w:val="fr-FR"/>
        </w:rPr>
        <w:t>l</w:t>
      </w:r>
      <w:r w:rsidRPr="00942843">
        <w:rPr>
          <w:rFonts w:eastAsia="Calibri"/>
          <w:b/>
          <w:bCs/>
          <w:sz w:val="22"/>
          <w:szCs w:val="22"/>
          <w:lang w:val="fr-FR"/>
        </w:rPr>
        <w:t>es espèces</w:t>
      </w:r>
      <w:r>
        <w:rPr>
          <w:rFonts w:eastAsia="Calibri"/>
          <w:b/>
          <w:bCs/>
          <w:sz w:val="22"/>
          <w:szCs w:val="22"/>
          <w:lang w:val="fr-FR"/>
        </w:rPr>
        <w:t>,</w:t>
      </w:r>
      <w:r w:rsidRPr="00942843">
        <w:rPr>
          <w:rFonts w:eastAsia="Calibri"/>
          <w:b/>
          <w:bCs/>
          <w:sz w:val="22"/>
          <w:szCs w:val="22"/>
          <w:lang w:val="fr-FR"/>
        </w:rPr>
        <w:t xml:space="preserve"> une priorité de programme </w:t>
      </w:r>
      <w:r>
        <w:rPr>
          <w:rFonts w:eastAsia="Calibri"/>
          <w:b/>
          <w:bCs/>
          <w:sz w:val="22"/>
          <w:szCs w:val="22"/>
          <w:lang w:val="fr-FR"/>
        </w:rPr>
        <w:t>sur la</w:t>
      </w:r>
      <w:r w:rsidRPr="00942843">
        <w:rPr>
          <w:rFonts w:eastAsia="Calibri"/>
          <w:b/>
          <w:bCs/>
          <w:sz w:val="22"/>
          <w:szCs w:val="22"/>
          <w:lang w:val="fr-FR"/>
        </w:rPr>
        <w:t xml:space="preserve"> « rédu</w:t>
      </w:r>
      <w:r>
        <w:rPr>
          <w:rFonts w:eastAsia="Calibri"/>
          <w:b/>
          <w:bCs/>
          <w:sz w:val="22"/>
          <w:szCs w:val="22"/>
          <w:lang w:val="fr-FR"/>
        </w:rPr>
        <w:t>ction des</w:t>
      </w:r>
      <w:r w:rsidRPr="00942843">
        <w:rPr>
          <w:rFonts w:eastAsia="Calibri"/>
          <w:b/>
          <w:bCs/>
          <w:sz w:val="22"/>
          <w:szCs w:val="22"/>
          <w:lang w:val="fr-FR"/>
        </w:rPr>
        <w:t xml:space="preserve"> pressions sur les écosystèmes d'eau douce » en plus de </w:t>
      </w:r>
      <w:r>
        <w:rPr>
          <w:rFonts w:eastAsia="Calibri"/>
          <w:b/>
          <w:bCs/>
          <w:sz w:val="22"/>
          <w:szCs w:val="22"/>
          <w:lang w:val="fr-FR"/>
        </w:rPr>
        <w:t>la priorité de</w:t>
      </w:r>
      <w:r w:rsidRPr="00942843">
        <w:rPr>
          <w:rFonts w:eastAsia="Calibri"/>
          <w:b/>
          <w:bCs/>
          <w:sz w:val="22"/>
          <w:szCs w:val="22"/>
          <w:lang w:val="fr-FR"/>
        </w:rPr>
        <w:t xml:space="preserve"> « rédu</w:t>
      </w:r>
      <w:r>
        <w:rPr>
          <w:rFonts w:eastAsia="Calibri"/>
          <w:b/>
          <w:bCs/>
          <w:sz w:val="22"/>
          <w:szCs w:val="22"/>
          <w:lang w:val="fr-FR"/>
        </w:rPr>
        <w:t>ction</w:t>
      </w:r>
      <w:r w:rsidRPr="00942843">
        <w:rPr>
          <w:rFonts w:eastAsia="Calibri"/>
          <w:b/>
          <w:bCs/>
          <w:sz w:val="22"/>
          <w:szCs w:val="22"/>
          <w:lang w:val="fr-FR"/>
        </w:rPr>
        <w:t xml:space="preserve"> </w:t>
      </w:r>
      <w:r>
        <w:rPr>
          <w:rFonts w:eastAsia="Calibri"/>
          <w:b/>
          <w:bCs/>
          <w:sz w:val="22"/>
          <w:szCs w:val="22"/>
          <w:lang w:val="fr-FR"/>
        </w:rPr>
        <w:t xml:space="preserve">de </w:t>
      </w:r>
      <w:r w:rsidRPr="00942843">
        <w:rPr>
          <w:rFonts w:eastAsia="Calibri"/>
          <w:b/>
          <w:bCs/>
          <w:sz w:val="22"/>
          <w:szCs w:val="22"/>
          <w:lang w:val="fr-FR"/>
        </w:rPr>
        <w:t xml:space="preserve">la pression sur les récifs coralliens et autres écosystèmes côtiers et marins vulnérables ». </w:t>
      </w:r>
      <w:r>
        <w:rPr>
          <w:rFonts w:eastAsia="Calibri"/>
          <w:b/>
          <w:bCs/>
          <w:sz w:val="22"/>
          <w:szCs w:val="22"/>
          <w:lang w:val="fr-FR"/>
        </w:rPr>
        <w:t xml:space="preserve">Ces priorités </w:t>
      </w:r>
      <w:r w:rsidRPr="00942843">
        <w:rPr>
          <w:rFonts w:eastAsia="Calibri"/>
          <w:b/>
          <w:bCs/>
          <w:sz w:val="22"/>
          <w:szCs w:val="22"/>
          <w:lang w:val="fr-FR"/>
        </w:rPr>
        <w:t>refléterai</w:t>
      </w:r>
      <w:r>
        <w:rPr>
          <w:rFonts w:eastAsia="Calibri"/>
          <w:b/>
          <w:bCs/>
          <w:sz w:val="22"/>
          <w:szCs w:val="22"/>
          <w:lang w:val="fr-FR"/>
        </w:rPr>
        <w:t>en</w:t>
      </w:r>
      <w:r w:rsidRPr="00942843">
        <w:rPr>
          <w:rFonts w:eastAsia="Calibri"/>
          <w:b/>
          <w:bCs/>
          <w:sz w:val="22"/>
          <w:szCs w:val="22"/>
          <w:lang w:val="fr-FR"/>
        </w:rPr>
        <w:t xml:space="preserve">t le niveau de menace et les multiples avantages dérivés des zones humides, y compris les zones humides d'eau douce qui ne sont pas actuellement couvertes par le portefeuille des eaux internationales, telles que les tourbières </w:t>
      </w:r>
      <w:r>
        <w:rPr>
          <w:rFonts w:eastAsia="Calibri"/>
          <w:b/>
          <w:bCs/>
          <w:sz w:val="22"/>
          <w:szCs w:val="22"/>
          <w:lang w:val="fr-FR"/>
        </w:rPr>
        <w:t>présentes</w:t>
      </w:r>
      <w:r w:rsidRPr="00942843">
        <w:rPr>
          <w:rFonts w:eastAsia="Calibri"/>
          <w:b/>
          <w:bCs/>
          <w:sz w:val="22"/>
          <w:szCs w:val="22"/>
          <w:lang w:val="fr-FR"/>
        </w:rPr>
        <w:t xml:space="preserve"> sur le territoire nationa</w:t>
      </w:r>
      <w:r>
        <w:rPr>
          <w:rFonts w:eastAsia="Calibri"/>
          <w:b/>
          <w:bCs/>
          <w:sz w:val="22"/>
          <w:szCs w:val="22"/>
          <w:lang w:val="fr-FR"/>
        </w:rPr>
        <w:t>l ;</w:t>
      </w:r>
    </w:p>
    <w:p w14:paraId="08348309" w14:textId="77777777" w:rsidR="00C40AD2" w:rsidRPr="00942843" w:rsidRDefault="00C40AD2" w:rsidP="00C40AD2">
      <w:pPr>
        <w:pStyle w:val="Default"/>
        <w:ind w:left="426" w:hanging="426"/>
        <w:rPr>
          <w:rFonts w:eastAsia="Calibri"/>
          <w:b/>
          <w:bCs/>
          <w:sz w:val="22"/>
          <w:szCs w:val="22"/>
          <w:lang w:val="fr-FR"/>
        </w:rPr>
      </w:pPr>
    </w:p>
    <w:p w14:paraId="6193B248" w14:textId="77777777" w:rsidR="00C40AD2" w:rsidRPr="00942843" w:rsidRDefault="00C40AD2" w:rsidP="00C40AD2">
      <w:pPr>
        <w:pStyle w:val="Default"/>
        <w:ind w:left="426" w:hanging="426"/>
        <w:rPr>
          <w:rFonts w:eastAsia="Calibri"/>
          <w:b/>
          <w:bCs/>
          <w:sz w:val="22"/>
          <w:szCs w:val="22"/>
          <w:lang w:val="fr-FR"/>
        </w:rPr>
      </w:pPr>
      <w:r w:rsidRPr="00942843">
        <w:rPr>
          <w:rFonts w:eastAsia="Calibri"/>
          <w:b/>
          <w:bCs/>
          <w:sz w:val="22"/>
          <w:szCs w:val="22"/>
          <w:lang w:val="fr-FR"/>
        </w:rPr>
        <w:t>iii)</w:t>
      </w:r>
      <w:r w:rsidRPr="00942843">
        <w:rPr>
          <w:rFonts w:eastAsia="Calibri"/>
          <w:b/>
          <w:bCs/>
          <w:sz w:val="22"/>
          <w:szCs w:val="22"/>
          <w:lang w:val="fr-FR"/>
        </w:rPr>
        <w:tab/>
        <w:t>une invitation au FEM à renforcer son soutien à l'intégration des zones humides dans la révision ou la mise à jour des stratégies et plans d'action nationaux pour la diversité biologique, et autres plans de développement nationaux, budgets et priorités nationaux ;</w:t>
      </w:r>
    </w:p>
    <w:p w14:paraId="7A2B4EF7" w14:textId="77777777" w:rsidR="00C40AD2" w:rsidRPr="00942843" w:rsidRDefault="00C40AD2" w:rsidP="00C40AD2">
      <w:pPr>
        <w:pStyle w:val="Default"/>
        <w:ind w:left="426"/>
        <w:rPr>
          <w:rFonts w:asciiTheme="minorHAnsi" w:hAnsiTheme="minorHAnsi"/>
          <w:b/>
          <w:bCs/>
          <w:sz w:val="22"/>
          <w:lang w:val="fr-FR"/>
        </w:rPr>
      </w:pPr>
    </w:p>
    <w:p w14:paraId="6A815FA0" w14:textId="72AFB731" w:rsidR="00C40AD2" w:rsidRPr="00942843" w:rsidRDefault="00C40AD2" w:rsidP="00C40AD2">
      <w:pPr>
        <w:pStyle w:val="Default"/>
        <w:ind w:left="426" w:hanging="426"/>
        <w:rPr>
          <w:rFonts w:asciiTheme="minorHAnsi" w:hAnsiTheme="minorHAnsi" w:cstheme="minorHAnsi"/>
          <w:b/>
          <w:bCs/>
          <w:iCs/>
          <w:sz w:val="22"/>
          <w:szCs w:val="22"/>
          <w:lang w:val="fr-FR"/>
        </w:rPr>
      </w:pPr>
      <w:r w:rsidRPr="00942843">
        <w:rPr>
          <w:rFonts w:eastAsia="Calibri"/>
          <w:b/>
          <w:bCs/>
          <w:sz w:val="22"/>
          <w:szCs w:val="22"/>
          <w:lang w:val="fr-FR"/>
        </w:rPr>
        <w:t>iv)</w:t>
      </w:r>
      <w:r w:rsidRPr="00942843">
        <w:rPr>
          <w:rFonts w:eastAsia="Calibri"/>
          <w:b/>
          <w:bCs/>
          <w:sz w:val="22"/>
          <w:szCs w:val="22"/>
          <w:lang w:val="fr-FR"/>
        </w:rPr>
        <w:tab/>
        <w:t xml:space="preserve">une invitation au </w:t>
      </w:r>
      <w:r w:rsidRPr="00942843">
        <w:rPr>
          <w:rFonts w:asciiTheme="minorHAnsi" w:hAnsiTheme="minorHAnsi" w:cstheme="minorHAnsi"/>
          <w:b/>
          <w:bCs/>
          <w:iCs/>
          <w:sz w:val="22"/>
          <w:szCs w:val="22"/>
          <w:lang w:val="fr-FR"/>
        </w:rPr>
        <w:t>FEM, dans le cadre du domaine d’intervention pour les eaux internationales, à continuer de soutenir le</w:t>
      </w:r>
      <w:r w:rsidR="00936645">
        <w:rPr>
          <w:rFonts w:asciiTheme="minorHAnsi" w:hAnsiTheme="minorHAnsi" w:cstheme="minorHAnsi"/>
          <w:b/>
          <w:bCs/>
          <w:iCs/>
          <w:sz w:val="22"/>
          <w:szCs w:val="22"/>
          <w:lang w:val="fr-FR"/>
        </w:rPr>
        <w:t>s</w:t>
      </w:r>
      <w:r w:rsidRPr="00942843">
        <w:rPr>
          <w:rFonts w:asciiTheme="minorHAnsi" w:hAnsiTheme="minorHAnsi" w:cstheme="minorHAnsi"/>
          <w:b/>
          <w:bCs/>
          <w:iCs/>
          <w:sz w:val="22"/>
          <w:szCs w:val="22"/>
          <w:lang w:val="fr-FR"/>
        </w:rPr>
        <w:t xml:space="preserve"> projet</w:t>
      </w:r>
      <w:r w:rsidR="00936645">
        <w:rPr>
          <w:rFonts w:asciiTheme="minorHAnsi" w:hAnsiTheme="minorHAnsi" w:cstheme="minorHAnsi"/>
          <w:b/>
          <w:bCs/>
          <w:iCs/>
          <w:sz w:val="22"/>
          <w:szCs w:val="22"/>
          <w:lang w:val="fr-FR"/>
        </w:rPr>
        <w:t>s</w:t>
      </w:r>
      <w:r w:rsidRPr="00942843">
        <w:rPr>
          <w:rFonts w:asciiTheme="minorHAnsi" w:hAnsiTheme="minorHAnsi" w:cstheme="minorHAnsi"/>
          <w:b/>
          <w:bCs/>
          <w:iCs/>
          <w:sz w:val="22"/>
          <w:szCs w:val="22"/>
          <w:lang w:val="fr-FR"/>
        </w:rPr>
        <w:t xml:space="preserve"> et activités visant à maintenir des écosystèmes côtiers et marins sains, des pêcheries durables et à renforcer la coopération régionale et nationale sur les bassins communs d'eau de surface et souterraine ;</w:t>
      </w:r>
    </w:p>
    <w:p w14:paraId="003E6DBF" w14:textId="77777777" w:rsidR="00C40AD2" w:rsidRPr="00942843" w:rsidRDefault="00C40AD2" w:rsidP="00C40AD2">
      <w:pPr>
        <w:pStyle w:val="Default"/>
        <w:ind w:left="426"/>
        <w:rPr>
          <w:rFonts w:asciiTheme="minorHAnsi" w:hAnsiTheme="minorHAnsi" w:cstheme="minorBidi"/>
          <w:b/>
          <w:bCs/>
          <w:snapToGrid w:val="0"/>
          <w:color w:val="auto"/>
          <w:kern w:val="22"/>
          <w:sz w:val="22"/>
          <w:szCs w:val="22"/>
          <w:lang w:val="fr-FR"/>
        </w:rPr>
      </w:pPr>
    </w:p>
    <w:p w14:paraId="7604EC16" w14:textId="77777777" w:rsidR="00C40AD2" w:rsidRPr="00942843" w:rsidRDefault="00C40AD2" w:rsidP="00C40AD2">
      <w:pPr>
        <w:pStyle w:val="Default"/>
        <w:ind w:left="426" w:hanging="426"/>
        <w:rPr>
          <w:rFonts w:asciiTheme="minorHAnsi" w:hAnsiTheme="minorHAnsi" w:cstheme="minorBidi"/>
          <w:b/>
          <w:bCs/>
          <w:snapToGrid w:val="0"/>
          <w:color w:val="auto"/>
          <w:kern w:val="22"/>
          <w:sz w:val="22"/>
          <w:szCs w:val="22"/>
          <w:lang w:val="fr-FR"/>
        </w:rPr>
      </w:pPr>
      <w:r w:rsidRPr="00942843">
        <w:rPr>
          <w:rFonts w:asciiTheme="minorHAnsi" w:hAnsiTheme="minorHAnsi" w:cstheme="minorBidi"/>
          <w:b/>
          <w:bCs/>
          <w:snapToGrid w:val="0"/>
          <w:color w:val="auto"/>
          <w:kern w:val="22"/>
          <w:sz w:val="22"/>
          <w:szCs w:val="22"/>
          <w:lang w:val="fr-FR"/>
        </w:rPr>
        <w:t>v)</w:t>
      </w:r>
      <w:r w:rsidRPr="00942843">
        <w:rPr>
          <w:rFonts w:asciiTheme="minorHAnsi" w:hAnsiTheme="minorHAnsi" w:cstheme="minorBidi"/>
          <w:b/>
          <w:bCs/>
          <w:snapToGrid w:val="0"/>
          <w:color w:val="auto"/>
          <w:kern w:val="22"/>
          <w:sz w:val="22"/>
          <w:szCs w:val="22"/>
          <w:lang w:val="fr-FR"/>
        </w:rPr>
        <w:tab/>
      </w:r>
      <w:r w:rsidRPr="00942843">
        <w:rPr>
          <w:rFonts w:eastAsia="Calibri"/>
          <w:b/>
          <w:bCs/>
          <w:sz w:val="22"/>
          <w:szCs w:val="22"/>
          <w:lang w:val="fr-FR"/>
        </w:rPr>
        <w:t>une invitation au FEM à continuer d’entreprendre</w:t>
      </w:r>
      <w:r w:rsidRPr="00942843">
        <w:rPr>
          <w:rFonts w:asciiTheme="minorHAnsi" w:hAnsiTheme="minorHAnsi" w:cstheme="minorBidi"/>
          <w:b/>
          <w:bCs/>
          <w:snapToGrid w:val="0"/>
          <w:color w:val="auto"/>
          <w:kern w:val="22"/>
          <w:sz w:val="22"/>
          <w:szCs w:val="22"/>
          <w:lang w:val="fr-FR"/>
        </w:rPr>
        <w:t xml:space="preserve"> de nouveaux projets dans les programmes des zones multifocales pour les zones humides, qui traitent de l’importance critique des zones humides pour les multiples avantages que ces écosystèmes apportent à la nature et à l’humanité et la rentabilité des investissements qui atteignent les objectifs de biodiversité, d'eau, de climat et de moyens de subsistance, tout en abordant l'inclusion systématique de l'égalité des sexes, que les Parties à la Convention s’efforcent </w:t>
      </w:r>
      <w:r>
        <w:rPr>
          <w:rFonts w:asciiTheme="minorHAnsi" w:hAnsiTheme="minorHAnsi" w:cstheme="minorBidi"/>
          <w:b/>
          <w:bCs/>
          <w:snapToGrid w:val="0"/>
          <w:color w:val="auto"/>
          <w:kern w:val="22"/>
          <w:sz w:val="22"/>
          <w:szCs w:val="22"/>
          <w:lang w:val="fr-FR"/>
        </w:rPr>
        <w:t>de respecter conformément à la R</w:t>
      </w:r>
      <w:r w:rsidRPr="00942843">
        <w:rPr>
          <w:rFonts w:asciiTheme="minorHAnsi" w:hAnsiTheme="minorHAnsi" w:cstheme="minorBidi"/>
          <w:b/>
          <w:bCs/>
          <w:snapToGrid w:val="0"/>
          <w:color w:val="auto"/>
          <w:kern w:val="22"/>
          <w:sz w:val="22"/>
          <w:szCs w:val="22"/>
          <w:lang w:val="fr-FR"/>
        </w:rPr>
        <w:t>ésolution XIII.18 ;</w:t>
      </w:r>
    </w:p>
    <w:p w14:paraId="35E1EE92" w14:textId="77777777" w:rsidR="00C40AD2" w:rsidRPr="00942843" w:rsidRDefault="00C40AD2" w:rsidP="00C40AD2">
      <w:pPr>
        <w:pStyle w:val="Default"/>
        <w:ind w:left="426"/>
        <w:rPr>
          <w:b/>
          <w:bCs/>
          <w:sz w:val="22"/>
          <w:szCs w:val="22"/>
          <w:lang w:val="fr-FR"/>
        </w:rPr>
      </w:pPr>
    </w:p>
    <w:p w14:paraId="378A3287" w14:textId="77777777" w:rsidR="00C40AD2" w:rsidRPr="00942843" w:rsidRDefault="00C40AD2" w:rsidP="00C40AD2">
      <w:pPr>
        <w:pStyle w:val="Default"/>
        <w:ind w:left="426" w:hanging="426"/>
        <w:rPr>
          <w:rFonts w:asciiTheme="minorHAnsi" w:hAnsiTheme="minorHAnsi" w:cstheme="minorHAnsi"/>
          <w:b/>
          <w:bCs/>
          <w:iCs/>
          <w:sz w:val="22"/>
          <w:szCs w:val="22"/>
          <w:lang w:val="fr-FR"/>
        </w:rPr>
      </w:pPr>
      <w:r w:rsidRPr="00942843">
        <w:rPr>
          <w:rFonts w:asciiTheme="minorHAnsi" w:hAnsiTheme="minorHAnsi" w:cstheme="minorHAnsi"/>
          <w:b/>
          <w:bCs/>
          <w:iCs/>
          <w:sz w:val="22"/>
          <w:szCs w:val="22"/>
          <w:lang w:val="fr-FR"/>
        </w:rPr>
        <w:t>vi)</w:t>
      </w:r>
      <w:r w:rsidRPr="00942843">
        <w:rPr>
          <w:rFonts w:asciiTheme="minorHAnsi" w:hAnsiTheme="minorHAnsi" w:cstheme="minorHAnsi"/>
          <w:b/>
          <w:bCs/>
          <w:iCs/>
          <w:sz w:val="22"/>
          <w:szCs w:val="22"/>
          <w:lang w:val="fr-FR"/>
        </w:rPr>
        <w:tab/>
      </w:r>
      <w:r w:rsidRPr="00942843">
        <w:rPr>
          <w:rFonts w:eastAsia="Calibri"/>
          <w:b/>
          <w:bCs/>
          <w:sz w:val="22"/>
          <w:szCs w:val="22"/>
          <w:lang w:val="fr-FR"/>
        </w:rPr>
        <w:t xml:space="preserve">une invitation au FEM </w:t>
      </w:r>
      <w:r w:rsidRPr="00942843">
        <w:rPr>
          <w:rFonts w:asciiTheme="minorHAnsi" w:hAnsiTheme="minorHAnsi" w:cstheme="minorHAnsi"/>
          <w:b/>
          <w:bCs/>
          <w:sz w:val="22"/>
          <w:szCs w:val="22"/>
          <w:lang w:val="fr-FR"/>
        </w:rPr>
        <w:t xml:space="preserve">à inclure </w:t>
      </w:r>
      <w:r w:rsidRPr="00942843">
        <w:rPr>
          <w:rFonts w:asciiTheme="minorHAnsi" w:hAnsiTheme="minorHAnsi" w:cstheme="minorHAnsi"/>
          <w:b/>
          <w:bCs/>
          <w:iCs/>
          <w:sz w:val="22"/>
          <w:szCs w:val="22"/>
          <w:lang w:val="fr-FR"/>
        </w:rPr>
        <w:t>les contributions aux conventions relatives à la biodiversité dans les domaines d'intervention du cadre quadriennal axé sur les résultats des priorités de programme pour la huitième période de reconstitution (juillet 2022 à juin 2026).</w:t>
      </w:r>
    </w:p>
    <w:p w14:paraId="4BC13691" w14:textId="77777777" w:rsidR="00C40AD2" w:rsidRPr="00942843" w:rsidRDefault="00C40AD2" w:rsidP="00C40AD2">
      <w:pPr>
        <w:pStyle w:val="Default"/>
        <w:ind w:left="851" w:hanging="426"/>
        <w:rPr>
          <w:rFonts w:asciiTheme="minorHAnsi" w:hAnsiTheme="minorHAnsi" w:cstheme="minorHAnsi"/>
          <w:b/>
          <w:bCs/>
          <w:iCs/>
          <w:sz w:val="22"/>
          <w:szCs w:val="22"/>
          <w:lang w:val="fr-FR"/>
        </w:rPr>
      </w:pPr>
    </w:p>
    <w:p w14:paraId="4E572421" w14:textId="52DEC796" w:rsidR="00C40AD2" w:rsidRPr="00942843" w:rsidRDefault="00C40AD2" w:rsidP="00C40AD2">
      <w:pPr>
        <w:spacing w:after="0" w:line="240" w:lineRule="auto"/>
        <w:rPr>
          <w:b/>
          <w:bCs/>
          <w:sz w:val="21"/>
          <w:szCs w:val="21"/>
          <w:lang w:val="fr-FR"/>
        </w:rPr>
      </w:pPr>
      <w:r w:rsidRPr="00942843">
        <w:rPr>
          <w:rFonts w:asciiTheme="minorHAnsi" w:hAnsiTheme="minorHAnsi" w:cstheme="minorHAnsi"/>
          <w:b/>
          <w:bCs/>
          <w:iCs/>
          <w:lang w:val="fr-FR"/>
        </w:rPr>
        <w:t xml:space="preserve">La Convention </w:t>
      </w:r>
      <w:r w:rsidR="00936645">
        <w:rPr>
          <w:rFonts w:asciiTheme="minorHAnsi" w:hAnsiTheme="minorHAnsi" w:cstheme="minorHAnsi"/>
          <w:b/>
          <w:bCs/>
          <w:iCs/>
          <w:lang w:val="fr-FR"/>
        </w:rPr>
        <w:t>sur les zones humides</w:t>
      </w:r>
      <w:r w:rsidRPr="00942843">
        <w:rPr>
          <w:rFonts w:asciiTheme="minorHAnsi" w:hAnsiTheme="minorHAnsi" w:cstheme="minorHAnsi"/>
          <w:b/>
          <w:bCs/>
          <w:iCs/>
          <w:lang w:val="fr-FR"/>
        </w:rPr>
        <w:t xml:space="preserve"> apprécie le soutien de la Convention sur la diversité biologique en faveur de ces domaines d’intérêt commun et d’avantage mutuel pour les Parties des deux conventions et l’environnement.</w:t>
      </w:r>
    </w:p>
    <w:p w14:paraId="0011DC76" w14:textId="77777777" w:rsidR="00C40AD2" w:rsidRPr="00942843" w:rsidRDefault="00C40AD2" w:rsidP="00C40AD2">
      <w:pPr>
        <w:spacing w:after="0" w:line="240" w:lineRule="auto"/>
        <w:rPr>
          <w:rFonts w:asciiTheme="minorHAnsi" w:hAnsiTheme="minorHAnsi" w:cstheme="minorHAnsi"/>
          <w:lang w:val="fr-FR"/>
        </w:rPr>
      </w:pPr>
    </w:p>
    <w:p w14:paraId="48433F82" w14:textId="5FB03EE7" w:rsidR="00C40AD2" w:rsidRPr="00D57B06" w:rsidRDefault="00C40AD2" w:rsidP="00C40AD2">
      <w:pPr>
        <w:keepNext/>
        <w:numPr>
          <w:ilvl w:val="0"/>
          <w:numId w:val="19"/>
        </w:numPr>
        <w:tabs>
          <w:tab w:val="clear" w:pos="720"/>
        </w:tabs>
        <w:spacing w:after="0" w:line="240" w:lineRule="auto"/>
        <w:ind w:left="851" w:hanging="425"/>
        <w:rPr>
          <w:rFonts w:asciiTheme="minorHAnsi" w:hAnsiTheme="minorHAnsi" w:cstheme="minorHAnsi"/>
          <w:lang w:val="fr-FR"/>
        </w:rPr>
      </w:pPr>
      <w:r>
        <w:rPr>
          <w:rFonts w:cs="Calibri"/>
          <w:lang w:val="fr-CH"/>
        </w:rPr>
        <w:t>Point</w:t>
      </w:r>
      <w:r w:rsidRPr="0074234C">
        <w:rPr>
          <w:rFonts w:cs="Calibri"/>
          <w:lang w:val="fr-CH"/>
        </w:rPr>
        <w:t xml:space="preserve"> 16</w:t>
      </w:r>
      <w:r>
        <w:rPr>
          <w:rFonts w:cs="Calibri"/>
          <w:lang w:val="fr-CH"/>
        </w:rPr>
        <w:t xml:space="preserve"> de l’ordre du jour</w:t>
      </w:r>
      <w:r w:rsidRPr="0074234C">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 </w:t>
      </w:r>
      <w:r>
        <w:rPr>
          <w:rFonts w:cs="Calibri"/>
          <w:i/>
          <w:iCs/>
          <w:lang w:val="fr-CH"/>
        </w:rPr>
        <w:t xml:space="preserve">Plan de travail du Secrétariat pour 2020 </w:t>
      </w:r>
      <w:r w:rsidRPr="00D57B06">
        <w:rPr>
          <w:rFonts w:asciiTheme="minorHAnsi" w:hAnsiTheme="minorHAnsi" w:cstheme="minorHAnsi"/>
          <w:lang w:val="fr-FR"/>
        </w:rPr>
        <w:t>(</w:t>
      </w:r>
      <w:r>
        <w:rPr>
          <w:rFonts w:asciiTheme="minorHAnsi" w:hAnsiTheme="minorHAnsi" w:cstheme="minorHAnsi"/>
          <w:lang w:val="fr-FR"/>
        </w:rPr>
        <w:t>suite</w:t>
      </w:r>
      <w:r w:rsidRPr="00D57B06">
        <w:rPr>
          <w:rFonts w:asciiTheme="minorHAnsi" w:hAnsiTheme="minorHAnsi" w:cstheme="minorHAnsi"/>
          <w:lang w:val="fr-FR"/>
        </w:rPr>
        <w:t>)</w:t>
      </w:r>
    </w:p>
    <w:p w14:paraId="56E8313F" w14:textId="77777777" w:rsidR="00C40AD2" w:rsidRPr="00D57B06" w:rsidRDefault="00C40AD2" w:rsidP="00C40AD2">
      <w:pPr>
        <w:keepNext/>
        <w:spacing w:after="0" w:line="240" w:lineRule="auto"/>
        <w:ind w:left="426"/>
        <w:rPr>
          <w:rFonts w:asciiTheme="minorHAnsi" w:hAnsiTheme="minorHAnsi" w:cstheme="minorHAnsi"/>
          <w:lang w:val="fr-FR"/>
        </w:rPr>
      </w:pPr>
    </w:p>
    <w:p w14:paraId="24B62F41" w14:textId="70B30984" w:rsidR="00C40AD2" w:rsidRPr="009636C7" w:rsidRDefault="00C40AD2" w:rsidP="00C40AD2">
      <w:pPr>
        <w:spacing w:after="0" w:line="240" w:lineRule="auto"/>
        <w:ind w:left="567" w:hanging="567"/>
        <w:contextualSpacing/>
        <w:rPr>
          <w:rFonts w:cs="Calibri"/>
          <w:lang w:val="fr-CH"/>
        </w:rPr>
      </w:pPr>
      <w:r w:rsidRPr="009636C7">
        <w:rPr>
          <w:rFonts w:cs="Calibri"/>
          <w:lang w:val="fr-CH"/>
        </w:rPr>
        <w:t>43.</w:t>
      </w:r>
      <w:r w:rsidRPr="009636C7">
        <w:rPr>
          <w:rFonts w:cs="Calibri"/>
          <w:lang w:val="fr-CH"/>
        </w:rPr>
        <w:tab/>
      </w:r>
      <w:r>
        <w:rPr>
          <w:rFonts w:cs="Calibri"/>
          <w:lang w:val="fr-CH"/>
        </w:rPr>
        <w:t>La</w:t>
      </w:r>
      <w:r w:rsidRPr="009636C7">
        <w:rPr>
          <w:rFonts w:cs="Calibri"/>
          <w:lang w:val="fr-CH"/>
        </w:rPr>
        <w:t xml:space="preserve"> </w:t>
      </w:r>
      <w:r w:rsidRPr="009636C7">
        <w:rPr>
          <w:rFonts w:cs="Calibri"/>
          <w:b/>
          <w:lang w:val="fr-CH"/>
        </w:rPr>
        <w:t>Secr</w:t>
      </w:r>
      <w:r>
        <w:rPr>
          <w:rFonts w:cs="Calibri"/>
          <w:b/>
          <w:lang w:val="fr-CH"/>
        </w:rPr>
        <w:t>étaire générale</w:t>
      </w:r>
      <w:r w:rsidRPr="009636C7">
        <w:rPr>
          <w:rFonts w:cs="Calibri"/>
          <w:lang w:val="fr-CH"/>
        </w:rPr>
        <w:t xml:space="preserve"> note </w:t>
      </w:r>
      <w:r>
        <w:rPr>
          <w:rFonts w:cs="Calibri"/>
          <w:lang w:val="fr-CH"/>
        </w:rPr>
        <w:t xml:space="preserve">que des commentaires ont été reçus sur le plan de travail (comme résumé lors de la </w:t>
      </w:r>
      <w:r w:rsidR="00932D74">
        <w:rPr>
          <w:rFonts w:cs="Calibri"/>
          <w:lang w:val="fr-CH"/>
        </w:rPr>
        <w:t>séance</w:t>
      </w:r>
      <w:r>
        <w:rPr>
          <w:rFonts w:cs="Calibri"/>
          <w:lang w:val="fr-CH"/>
        </w:rPr>
        <w:t xml:space="preserve"> précédente, voir paragraphe 21 ci</w:t>
      </w:r>
      <w:r>
        <w:rPr>
          <w:rFonts w:cs="Calibri"/>
          <w:lang w:val="fr-CH"/>
        </w:rPr>
        <w:noBreakHyphen/>
        <w:t xml:space="preserve">dessus). Dans ce contexte, deux projets de décisions ont été proposés pour examen par le Comité permanent, l’un approuvant </w:t>
      </w:r>
      <w:r>
        <w:rPr>
          <w:rFonts w:cs="Calibri"/>
          <w:lang w:val="fr-CH"/>
        </w:rPr>
        <w:lastRenderedPageBreak/>
        <w:t xml:space="preserve">le plan existant et l’autre demandant au Secrétariat de revoir le plan et en particulier les délais, à la lumière de la pandémie de </w:t>
      </w:r>
      <w:r w:rsidRPr="009636C7">
        <w:rPr>
          <w:rFonts w:cs="Calibri"/>
          <w:lang w:val="fr-CH"/>
        </w:rPr>
        <w:t>COVID</w:t>
      </w:r>
      <w:r>
        <w:rPr>
          <w:rFonts w:cs="Calibri"/>
          <w:lang w:val="fr-CH"/>
        </w:rPr>
        <w:noBreakHyphen/>
      </w:r>
      <w:r w:rsidRPr="009636C7">
        <w:rPr>
          <w:rFonts w:cs="Calibri"/>
          <w:lang w:val="fr-CH"/>
        </w:rPr>
        <w:t xml:space="preserve">19, </w:t>
      </w:r>
      <w:r>
        <w:rPr>
          <w:rFonts w:cs="Calibri"/>
          <w:lang w:val="fr-CH"/>
        </w:rPr>
        <w:t>pour soumission au Comité permanent pour approbation, à sa 58</w:t>
      </w:r>
      <w:r w:rsidRPr="00A31438">
        <w:rPr>
          <w:rFonts w:cs="Calibri"/>
          <w:vertAlign w:val="superscript"/>
          <w:lang w:val="fr-CH"/>
        </w:rPr>
        <w:t>e</w:t>
      </w:r>
      <w:r>
        <w:rPr>
          <w:rFonts w:cs="Calibri"/>
          <w:lang w:val="fr-CH"/>
        </w:rPr>
        <w:t> Réunion,</w:t>
      </w:r>
      <w:r w:rsidRPr="00B75B46">
        <w:rPr>
          <w:rFonts w:cs="Calibri"/>
          <w:lang w:val="fr-CH"/>
        </w:rPr>
        <w:t xml:space="preserve"> </w:t>
      </w:r>
      <w:r>
        <w:rPr>
          <w:rFonts w:cs="Calibri"/>
          <w:lang w:val="fr-CH"/>
        </w:rPr>
        <w:t>en octobre</w:t>
      </w:r>
      <w:r w:rsidRPr="009636C7">
        <w:rPr>
          <w:rFonts w:cs="Calibri"/>
          <w:lang w:val="fr-CH"/>
        </w:rPr>
        <w:t>.</w:t>
      </w:r>
    </w:p>
    <w:p w14:paraId="7C3FA3A1" w14:textId="77777777" w:rsidR="00C40AD2" w:rsidRPr="009636C7" w:rsidRDefault="00C40AD2" w:rsidP="00C40AD2">
      <w:pPr>
        <w:spacing w:after="0" w:line="240" w:lineRule="auto"/>
        <w:ind w:left="567" w:hanging="567"/>
        <w:contextualSpacing/>
        <w:rPr>
          <w:rFonts w:cs="Calibri"/>
          <w:lang w:val="fr-CH"/>
        </w:rPr>
      </w:pPr>
    </w:p>
    <w:p w14:paraId="30756195" w14:textId="77777777" w:rsidR="00C40AD2" w:rsidRDefault="00C40AD2" w:rsidP="00C40AD2">
      <w:pPr>
        <w:spacing w:after="0" w:line="240" w:lineRule="auto"/>
        <w:ind w:left="567" w:hanging="567"/>
        <w:contextualSpacing/>
        <w:rPr>
          <w:rFonts w:cs="Calibri"/>
          <w:lang w:val="fr-CH"/>
        </w:rPr>
      </w:pPr>
      <w:r w:rsidRPr="009636C7">
        <w:rPr>
          <w:rFonts w:cs="Calibri"/>
          <w:lang w:val="fr-CH"/>
        </w:rPr>
        <w:t>44.</w:t>
      </w:r>
      <w:r w:rsidRPr="009636C7">
        <w:rPr>
          <w:rFonts w:cs="Calibri"/>
          <w:lang w:val="fr-CH"/>
        </w:rPr>
        <w:tab/>
      </w:r>
      <w:r>
        <w:rPr>
          <w:rFonts w:cs="Calibri"/>
          <w:lang w:val="fr-CH"/>
        </w:rPr>
        <w:t xml:space="preserve">Au cours de la </w:t>
      </w:r>
      <w:r w:rsidRPr="009636C7">
        <w:rPr>
          <w:rFonts w:cs="Calibri"/>
          <w:lang w:val="fr-CH"/>
        </w:rPr>
        <w:t xml:space="preserve">discussion, </w:t>
      </w:r>
      <w:r>
        <w:rPr>
          <w:rFonts w:cs="Calibri"/>
          <w:lang w:val="fr-CH"/>
        </w:rPr>
        <w:t xml:space="preserve">les </w:t>
      </w:r>
      <w:r w:rsidRPr="009636C7">
        <w:rPr>
          <w:rFonts w:cs="Calibri"/>
          <w:lang w:val="fr-CH"/>
        </w:rPr>
        <w:t xml:space="preserve">participants </w:t>
      </w:r>
      <w:r>
        <w:rPr>
          <w:rFonts w:cs="Calibri"/>
          <w:lang w:val="fr-CH"/>
        </w:rPr>
        <w:t xml:space="preserve">mentionnent la nécessité </w:t>
      </w:r>
      <w:r w:rsidRPr="00BB341E">
        <w:rPr>
          <w:rFonts w:cs="Calibri"/>
          <w:lang w:val="fr-CH"/>
        </w:rPr>
        <w:t>d'assurer un soutien à la CESP et de travailler sur le carbone bleu, les objectifs de développement durable, les contributions déterminées au niveau national et le forum côtier mondial, qui sont soumis aux ressources disponibles, et ont exprimé leur soutien à la première de ces options.</w:t>
      </w:r>
    </w:p>
    <w:p w14:paraId="222D61FB" w14:textId="77777777" w:rsidR="00C40AD2" w:rsidRPr="009636C7" w:rsidRDefault="00C40AD2" w:rsidP="00C40AD2">
      <w:pPr>
        <w:spacing w:after="0" w:line="240" w:lineRule="auto"/>
        <w:ind w:left="567" w:hanging="567"/>
        <w:contextualSpacing/>
        <w:rPr>
          <w:rFonts w:cs="Calibri"/>
          <w:lang w:val="fr-CH"/>
        </w:rPr>
      </w:pPr>
    </w:p>
    <w:p w14:paraId="42148D49" w14:textId="77777777" w:rsidR="00C40AD2" w:rsidRPr="009636C7" w:rsidRDefault="00C40AD2" w:rsidP="00C40AD2">
      <w:pPr>
        <w:spacing w:after="0" w:line="240" w:lineRule="auto"/>
        <w:ind w:left="567" w:hanging="567"/>
        <w:contextualSpacing/>
        <w:rPr>
          <w:rFonts w:cs="Calibri"/>
          <w:lang w:val="fr-CH"/>
        </w:rPr>
      </w:pPr>
      <w:r w:rsidRPr="009636C7">
        <w:rPr>
          <w:rFonts w:cs="Calibri"/>
          <w:lang w:val="fr-CH"/>
        </w:rPr>
        <w:t>45.</w:t>
      </w:r>
      <w:r w:rsidRPr="009636C7">
        <w:rPr>
          <w:rFonts w:cs="Calibri"/>
          <w:lang w:val="fr-CH"/>
        </w:rPr>
        <w:tab/>
      </w:r>
      <w:r>
        <w:rPr>
          <w:rFonts w:cs="Calibri"/>
          <w:lang w:val="fr-CH"/>
        </w:rPr>
        <w:t xml:space="preserve">Le </w:t>
      </w:r>
      <w:r w:rsidRPr="009636C7">
        <w:rPr>
          <w:rFonts w:cs="Calibri"/>
          <w:b/>
          <w:lang w:val="fr-CH"/>
        </w:rPr>
        <w:t>Costa Rica</w:t>
      </w:r>
      <w:r w:rsidRPr="009636C7">
        <w:rPr>
          <w:rFonts w:cs="Calibri"/>
          <w:lang w:val="fr-CH"/>
        </w:rPr>
        <w:t>,</w:t>
      </w:r>
      <w:r>
        <w:rPr>
          <w:rFonts w:cs="Calibri"/>
          <w:lang w:val="fr-CH"/>
        </w:rPr>
        <w:t xml:space="preserve"> l’</w:t>
      </w:r>
      <w:r w:rsidRPr="00A31438">
        <w:rPr>
          <w:rFonts w:cs="Calibri"/>
          <w:b/>
          <w:lang w:val="fr-CH"/>
        </w:rPr>
        <w:t>Ouganda</w:t>
      </w:r>
      <w:r>
        <w:rPr>
          <w:rFonts w:cs="Calibri"/>
          <w:lang w:val="fr-CH"/>
        </w:rPr>
        <w:t xml:space="preserve"> et la </w:t>
      </w:r>
      <w:r w:rsidRPr="00A31438">
        <w:rPr>
          <w:rFonts w:cs="Calibri"/>
          <w:b/>
          <w:lang w:val="fr-CH"/>
        </w:rPr>
        <w:t>Suède</w:t>
      </w:r>
      <w:r>
        <w:rPr>
          <w:rFonts w:cs="Calibri"/>
          <w:lang w:val="fr-CH"/>
        </w:rPr>
        <w:t xml:space="preserve"> interviennent dans la discussion. </w:t>
      </w:r>
      <w:r w:rsidRPr="009636C7">
        <w:rPr>
          <w:rFonts w:cs="Calibri"/>
          <w:lang w:val="fr-CH"/>
        </w:rPr>
        <w:t xml:space="preserve"> </w:t>
      </w:r>
    </w:p>
    <w:p w14:paraId="297CFEB7" w14:textId="77777777" w:rsidR="00C40AD2" w:rsidRPr="001363AC" w:rsidRDefault="00C40AD2" w:rsidP="00C40AD2">
      <w:pPr>
        <w:spacing w:after="0" w:line="240" w:lineRule="auto"/>
        <w:rPr>
          <w:rFonts w:asciiTheme="minorHAnsi" w:hAnsiTheme="minorHAnsi" w:cstheme="minorHAnsi"/>
          <w:lang w:val="fr-FR"/>
        </w:rPr>
      </w:pPr>
    </w:p>
    <w:p w14:paraId="3B447A1D" w14:textId="77777777" w:rsidR="00C40AD2" w:rsidRPr="00D57B06" w:rsidRDefault="00C40AD2" w:rsidP="00C40AD2">
      <w:pPr>
        <w:pStyle w:val="BodyText"/>
        <w:widowControl/>
        <w:ind w:left="0"/>
        <w:rPr>
          <w:rFonts w:asciiTheme="minorHAnsi" w:hAnsiTheme="minorHAnsi" w:cstheme="minorHAnsi"/>
          <w:b/>
          <w:bCs/>
          <w:lang w:val="fr-FR"/>
        </w:rPr>
      </w:pPr>
      <w:r w:rsidRPr="00D57B06">
        <w:rPr>
          <w:rFonts w:asciiTheme="minorHAnsi" w:hAnsiTheme="minorHAnsi" w:cstheme="minorHAnsi"/>
          <w:b/>
          <w:bCs/>
          <w:lang w:val="fr-FR"/>
        </w:rPr>
        <w:t>Décision SC58-26</w:t>
      </w:r>
      <w:r>
        <w:rPr>
          <w:rFonts w:asciiTheme="minorHAnsi" w:hAnsiTheme="minorHAnsi" w:cstheme="minorHAnsi"/>
          <w:b/>
          <w:bCs/>
          <w:lang w:val="fr-FR"/>
        </w:rPr>
        <w:t xml:space="preserve"> </w:t>
      </w:r>
      <w:r w:rsidRPr="00D57B06">
        <w:rPr>
          <w:rFonts w:asciiTheme="minorHAnsi" w:hAnsiTheme="minorHAnsi" w:cstheme="minorHAnsi"/>
          <w:b/>
          <w:bCs/>
          <w:lang w:val="fr-FR"/>
        </w:rPr>
        <w:t xml:space="preserve">: </w:t>
      </w:r>
      <w:r w:rsidRPr="00D57B06">
        <w:rPr>
          <w:b/>
          <w:bCs/>
          <w:sz w:val="21"/>
          <w:szCs w:val="21"/>
          <w:lang w:val="fr-FR"/>
        </w:rPr>
        <w:t>Le Comité permanent décide d’approuver le Plan annuel intégré du Secrétariat pour 2020 dans le cadre du Plan triennal pour 2019-2021 approuvé dans la Décision SC57-21</w:t>
      </w:r>
      <w:r w:rsidRPr="00D57B06">
        <w:rPr>
          <w:rFonts w:asciiTheme="minorHAnsi" w:hAnsiTheme="minorHAnsi" w:cstheme="minorHAnsi"/>
          <w:b/>
          <w:bCs/>
          <w:lang w:val="fr-FR"/>
        </w:rPr>
        <w:t>.</w:t>
      </w:r>
    </w:p>
    <w:p w14:paraId="4D0D76E3" w14:textId="77777777" w:rsidR="00C40AD2" w:rsidRPr="00D57B06" w:rsidRDefault="00C40AD2" w:rsidP="00C40AD2">
      <w:pPr>
        <w:spacing w:after="0" w:line="240" w:lineRule="auto"/>
        <w:rPr>
          <w:rFonts w:asciiTheme="minorHAnsi" w:hAnsiTheme="minorHAnsi" w:cstheme="minorHAnsi"/>
          <w:lang w:val="fr-FR"/>
        </w:rPr>
      </w:pPr>
    </w:p>
    <w:p w14:paraId="1896BFD4" w14:textId="40BFDA6B" w:rsidR="00C40AD2" w:rsidRPr="003160CD"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3160CD">
        <w:rPr>
          <w:rFonts w:cstheme="minorHAnsi"/>
          <w:bCs/>
          <w:lang w:val="fr-FR"/>
        </w:rPr>
        <w:t xml:space="preserve">Point 8 de l’ordre du jour : </w:t>
      </w:r>
      <w:r>
        <w:rPr>
          <w:rFonts w:cs="Calibri"/>
          <w:lang w:val="fr-CH"/>
        </w:rPr>
        <w:t>Point</w:t>
      </w:r>
      <w:r w:rsidRPr="0074234C">
        <w:rPr>
          <w:rFonts w:cs="Calibri"/>
          <w:lang w:val="fr-CH"/>
        </w:rPr>
        <w:t xml:space="preserve"> 8.2</w:t>
      </w:r>
      <w:r>
        <w:rPr>
          <w:rFonts w:cs="Calibri"/>
          <w:lang w:val="fr-CH"/>
        </w:rPr>
        <w:t xml:space="preserve"> de l’ordre du jour</w:t>
      </w:r>
      <w:r w:rsidR="00936645" w:rsidRPr="00936645">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w:t>
      </w:r>
      <w:r>
        <w:rPr>
          <w:rFonts w:cs="Calibri"/>
          <w:lang w:val="fr-CH"/>
        </w:rPr>
        <w:t xml:space="preserve"> </w:t>
      </w:r>
      <w:r>
        <w:rPr>
          <w:rFonts w:cs="Calibri"/>
          <w:i/>
          <w:lang w:val="fr-CH"/>
        </w:rPr>
        <w:t xml:space="preserve">Rapport sur les questions financières pour </w:t>
      </w:r>
      <w:r w:rsidRPr="002D388F">
        <w:rPr>
          <w:rFonts w:cs="Calibri"/>
          <w:i/>
          <w:lang w:val="fr-CH"/>
        </w:rPr>
        <w:t>2019 et 2020</w:t>
      </w:r>
      <w:r w:rsidRPr="0074234C">
        <w:rPr>
          <w:rFonts w:cs="Calibri"/>
          <w:lang w:val="fr-CH"/>
        </w:rPr>
        <w:t xml:space="preserve"> </w:t>
      </w:r>
      <w:r>
        <w:rPr>
          <w:rFonts w:cs="Calibri"/>
          <w:lang w:val="fr-CH"/>
        </w:rPr>
        <w:t>et</w:t>
      </w:r>
      <w:r w:rsidRPr="0074234C">
        <w:rPr>
          <w:rFonts w:cs="Calibri"/>
          <w:lang w:val="fr-CH"/>
        </w:rPr>
        <w:t xml:space="preserve"> </w:t>
      </w:r>
      <w:r>
        <w:rPr>
          <w:rFonts w:cs="Calibri"/>
          <w:lang w:val="fr-CH"/>
        </w:rPr>
        <w:t>point </w:t>
      </w:r>
      <w:r w:rsidRPr="0074234C">
        <w:rPr>
          <w:rFonts w:cs="Calibri"/>
          <w:lang w:val="fr-CH"/>
        </w:rPr>
        <w:t xml:space="preserve">8.3 </w:t>
      </w:r>
      <w:r>
        <w:rPr>
          <w:rFonts w:cs="Calibri"/>
          <w:lang w:val="fr-CH"/>
        </w:rPr>
        <w:t>de l’ordre du jour</w:t>
      </w:r>
      <w:r w:rsidR="00936645" w:rsidRPr="00936645">
        <w:rPr>
          <w:rFonts w:cs="Calibri"/>
          <w:lang w:val="fr-CH"/>
        </w:rPr>
        <w:t xml:space="preserve"> </w:t>
      </w:r>
      <w:r w:rsidR="00936645">
        <w:rPr>
          <w:rFonts w:cs="Calibri"/>
          <w:lang w:val="fr-CH"/>
        </w:rPr>
        <w:t>de la</w:t>
      </w:r>
      <w:r w:rsidR="00936645" w:rsidRPr="00F1226E">
        <w:rPr>
          <w:rFonts w:cs="Calibri"/>
          <w:lang w:val="fr-CH"/>
        </w:rPr>
        <w:t xml:space="preserve"> </w:t>
      </w:r>
      <w:r w:rsidR="00936645" w:rsidRPr="00A12F66">
        <w:rPr>
          <w:rFonts w:cs="Calibri"/>
          <w:lang w:val="fr-CH"/>
        </w:rPr>
        <w:t>58</w:t>
      </w:r>
      <w:r w:rsidR="00936645" w:rsidRPr="00A12F66">
        <w:rPr>
          <w:rFonts w:cs="Calibri"/>
          <w:vertAlign w:val="superscript"/>
          <w:lang w:val="fr-CH"/>
        </w:rPr>
        <w:t>e</w:t>
      </w:r>
      <w:r w:rsidR="00936645" w:rsidRPr="00A12F66">
        <w:rPr>
          <w:rFonts w:cs="Calibri"/>
          <w:lang w:val="fr-CH"/>
        </w:rPr>
        <w:t xml:space="preserve"> Réunion du Comité permanent</w:t>
      </w:r>
      <w:r>
        <w:rPr>
          <w:rFonts w:cs="Calibri"/>
          <w:lang w:val="fr-CH"/>
        </w:rPr>
        <w:t xml:space="preserve"> </w:t>
      </w:r>
      <w:r w:rsidRPr="002D388F">
        <w:rPr>
          <w:rFonts w:cs="Calibri"/>
          <w:i/>
          <w:lang w:val="fr-CH"/>
        </w:rPr>
        <w:t>État des contributions annuelles</w:t>
      </w:r>
    </w:p>
    <w:p w14:paraId="6A49E7ED" w14:textId="77777777" w:rsidR="00C40AD2" w:rsidRPr="008E7097" w:rsidRDefault="00C40AD2" w:rsidP="00C40AD2">
      <w:pPr>
        <w:spacing w:after="0" w:line="240" w:lineRule="auto"/>
        <w:rPr>
          <w:rFonts w:asciiTheme="minorHAnsi" w:hAnsiTheme="minorHAnsi" w:cstheme="minorHAnsi"/>
          <w:bCs/>
          <w:i/>
          <w:lang w:val="fr-FR"/>
        </w:rPr>
      </w:pPr>
    </w:p>
    <w:p w14:paraId="30536CFA" w14:textId="2ACA6744" w:rsidR="00C40AD2" w:rsidRPr="00A31438" w:rsidRDefault="00C40AD2" w:rsidP="00C40AD2">
      <w:pPr>
        <w:spacing w:after="0" w:line="240" w:lineRule="auto"/>
        <w:ind w:left="567" w:hanging="567"/>
        <w:contextualSpacing/>
        <w:rPr>
          <w:rFonts w:cs="Calibri"/>
          <w:lang w:val="fr-CH"/>
        </w:rPr>
      </w:pPr>
      <w:r w:rsidRPr="00A31438">
        <w:rPr>
          <w:rFonts w:cs="Calibri"/>
          <w:lang w:val="fr-CH"/>
        </w:rPr>
        <w:t>46.</w:t>
      </w:r>
      <w:r w:rsidRPr="00A31438">
        <w:rPr>
          <w:rFonts w:cs="Calibri"/>
          <w:lang w:val="fr-CH"/>
        </w:rPr>
        <w:tab/>
      </w:r>
      <w:r>
        <w:rPr>
          <w:rFonts w:cs="Calibri"/>
          <w:lang w:val="fr-CH"/>
        </w:rPr>
        <w:t xml:space="preserve">Il est noté qu’à la </w:t>
      </w:r>
      <w:r w:rsidR="00932D74">
        <w:rPr>
          <w:rFonts w:cs="Calibri"/>
          <w:lang w:val="fr-CH"/>
        </w:rPr>
        <w:t>séance</w:t>
      </w:r>
      <w:r>
        <w:rPr>
          <w:rFonts w:cs="Calibri"/>
          <w:lang w:val="fr-CH"/>
        </w:rPr>
        <w:t xml:space="preserve"> précédente,</w:t>
      </w:r>
      <w:r w:rsidRPr="00DB7BE7">
        <w:rPr>
          <w:rFonts w:cs="Calibri"/>
          <w:lang w:val="fr-CH"/>
        </w:rPr>
        <w:t xml:space="preserve"> </w:t>
      </w:r>
      <w:r>
        <w:rPr>
          <w:rFonts w:cs="Calibri"/>
          <w:lang w:val="fr-CH"/>
        </w:rPr>
        <w:t>un accord a été atteint sur toutes les questions figurant dans le rapport du Sous</w:t>
      </w:r>
      <w:r>
        <w:rPr>
          <w:rFonts w:cs="Calibri"/>
          <w:lang w:val="fr-CH"/>
        </w:rPr>
        <w:noBreakHyphen/>
        <w:t xml:space="preserve">groupe sur les finances à l’exception de deux : point d’action vi) allocation pour les Initiatives régionales Ramsar ; et point d’action vii) allocation pour l’Examen des résolutions. Le Comité se saisit, en conséquence, de ces questions, pour pouvoir approuver le budget administratif pour 2020. </w:t>
      </w:r>
    </w:p>
    <w:p w14:paraId="0B8892A8" w14:textId="77777777" w:rsidR="00C40AD2" w:rsidRPr="00A31438" w:rsidRDefault="00C40AD2" w:rsidP="00C40AD2">
      <w:pPr>
        <w:spacing w:after="0" w:line="240" w:lineRule="auto"/>
        <w:rPr>
          <w:rFonts w:asciiTheme="minorHAnsi" w:hAnsiTheme="minorHAnsi" w:cstheme="minorHAnsi"/>
          <w:b/>
          <w:bCs/>
          <w:lang w:val="fr-CH"/>
        </w:rPr>
      </w:pPr>
    </w:p>
    <w:p w14:paraId="116EF6B9" w14:textId="77777777" w:rsidR="00C40AD2" w:rsidRPr="00A31438"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A31438">
        <w:rPr>
          <w:rFonts w:asciiTheme="minorHAnsi" w:hAnsiTheme="minorHAnsi" w:cstheme="minorHAnsi"/>
          <w:lang w:val="fr-CH"/>
        </w:rPr>
        <w:t>R</w:t>
      </w:r>
      <w:r>
        <w:rPr>
          <w:rFonts w:asciiTheme="minorHAnsi" w:hAnsiTheme="minorHAnsi" w:cstheme="minorHAnsi"/>
          <w:lang w:val="fr-CH"/>
        </w:rPr>
        <w:t>éf.</w:t>
      </w:r>
      <w:r w:rsidRPr="00A31438">
        <w:rPr>
          <w:rFonts w:asciiTheme="minorHAnsi" w:hAnsiTheme="minorHAnsi" w:cstheme="minorHAnsi"/>
          <w:lang w:val="fr-CH"/>
        </w:rPr>
        <w:t xml:space="preserve"> point 1.3 </w:t>
      </w:r>
      <w:r>
        <w:rPr>
          <w:rFonts w:asciiTheme="minorHAnsi" w:hAnsiTheme="minorHAnsi" w:cstheme="minorHAnsi"/>
          <w:lang w:val="fr-CH"/>
        </w:rPr>
        <w:t>du Rapport du Sous</w:t>
      </w:r>
      <w:r>
        <w:rPr>
          <w:rFonts w:asciiTheme="minorHAnsi" w:hAnsiTheme="minorHAnsi" w:cstheme="minorHAnsi"/>
          <w:lang w:val="fr-CH"/>
        </w:rPr>
        <w:noBreakHyphen/>
        <w:t xml:space="preserve">groupe sur l’Examen des résolutions : </w:t>
      </w:r>
    </w:p>
    <w:p w14:paraId="68FBD9D1" w14:textId="77777777" w:rsidR="00C40AD2" w:rsidRPr="00A31438" w:rsidRDefault="00C40AD2" w:rsidP="00C40AD2">
      <w:pPr>
        <w:spacing w:after="0" w:line="240" w:lineRule="auto"/>
        <w:rPr>
          <w:rFonts w:asciiTheme="minorHAnsi" w:hAnsiTheme="minorHAnsi" w:cstheme="minorHAnsi"/>
          <w:lang w:val="fr-CH"/>
        </w:rPr>
      </w:pPr>
    </w:p>
    <w:p w14:paraId="20E01320" w14:textId="6035BB9B" w:rsidR="00C40AD2" w:rsidRPr="00A31438" w:rsidRDefault="00C40AD2" w:rsidP="00C40AD2">
      <w:pPr>
        <w:spacing w:after="0" w:line="240" w:lineRule="auto"/>
        <w:ind w:left="567" w:hanging="567"/>
        <w:contextualSpacing/>
        <w:rPr>
          <w:rFonts w:cs="Calibri"/>
          <w:lang w:val="fr-CH"/>
        </w:rPr>
      </w:pPr>
      <w:r w:rsidRPr="00A31438">
        <w:rPr>
          <w:rFonts w:cs="Calibri"/>
          <w:lang w:val="fr-CH"/>
        </w:rPr>
        <w:t>47.</w:t>
      </w:r>
      <w:r w:rsidRPr="00A31438">
        <w:rPr>
          <w:rFonts w:cs="Calibri"/>
          <w:lang w:val="fr-CH"/>
        </w:rPr>
        <w:tab/>
      </w:r>
      <w:r>
        <w:rPr>
          <w:rFonts w:cs="Calibri"/>
          <w:lang w:val="fr-CH"/>
        </w:rPr>
        <w:t xml:space="preserve">Compte tenu des fonds nécessaires pour poursuivre ces travaux de manière productive, comme approuvés lors de la </w:t>
      </w:r>
      <w:r w:rsidR="00936645">
        <w:rPr>
          <w:rFonts w:cs="Calibri"/>
          <w:lang w:val="fr-CH"/>
        </w:rPr>
        <w:t>séance</w:t>
      </w:r>
      <w:r>
        <w:rPr>
          <w:rFonts w:cs="Calibri"/>
          <w:lang w:val="fr-CH"/>
        </w:rPr>
        <w:t xml:space="preserve"> du 23 juin, le Secrétariat fait remarquer que sur les </w:t>
      </w:r>
      <w:r w:rsidRPr="00A31438">
        <w:rPr>
          <w:rFonts w:cs="Calibri"/>
          <w:lang w:val="fr-CH"/>
        </w:rPr>
        <w:t>20</w:t>
      </w:r>
      <w:r>
        <w:rPr>
          <w:rFonts w:cs="Calibri"/>
          <w:lang w:val="fr-CH"/>
        </w:rPr>
        <w:t> 000 CHF attribués à la 57</w:t>
      </w:r>
      <w:r w:rsidRPr="00B823BF">
        <w:rPr>
          <w:rFonts w:cs="Calibri"/>
          <w:vertAlign w:val="superscript"/>
          <w:lang w:val="fr-CH"/>
        </w:rPr>
        <w:t>e</w:t>
      </w:r>
      <w:r>
        <w:rPr>
          <w:rFonts w:cs="Calibri"/>
          <w:lang w:val="fr-CH"/>
        </w:rPr>
        <w:t xml:space="preserve"> Réunion du Comité permanent, 4 000 CHF ont été dépensés en avril 2020 et 2 000 CHF après cette date. Le Secrétariat estime qu’une attribution supplémentaire de 6 000 CHF suffirait pour poursuivre les travaux. </w:t>
      </w:r>
    </w:p>
    <w:p w14:paraId="4F4A7131" w14:textId="77777777" w:rsidR="00C40AD2" w:rsidRPr="00A31438" w:rsidRDefault="00C40AD2" w:rsidP="00C40AD2">
      <w:pPr>
        <w:spacing w:after="0" w:line="240" w:lineRule="auto"/>
        <w:ind w:left="567" w:hanging="567"/>
        <w:contextualSpacing/>
        <w:rPr>
          <w:rFonts w:cs="Calibri"/>
          <w:lang w:val="fr-CH"/>
        </w:rPr>
      </w:pPr>
    </w:p>
    <w:p w14:paraId="75E531F9" w14:textId="77777777" w:rsidR="00C40AD2" w:rsidRPr="00A31438" w:rsidRDefault="00C40AD2" w:rsidP="00C40AD2">
      <w:pPr>
        <w:spacing w:after="0" w:line="240" w:lineRule="auto"/>
        <w:ind w:left="567" w:hanging="567"/>
        <w:contextualSpacing/>
        <w:rPr>
          <w:rFonts w:cs="Calibri"/>
          <w:lang w:val="fr-CH"/>
        </w:rPr>
      </w:pPr>
      <w:r w:rsidRPr="00A31438">
        <w:rPr>
          <w:rFonts w:cs="Calibri"/>
          <w:lang w:val="fr-CH"/>
        </w:rPr>
        <w:t>48.</w:t>
      </w:r>
      <w:r w:rsidRPr="00A31438">
        <w:rPr>
          <w:rFonts w:cs="Calibri"/>
          <w:lang w:val="fr-CH"/>
        </w:rPr>
        <w:tab/>
      </w:r>
      <w:r>
        <w:rPr>
          <w:rFonts w:cs="Calibri"/>
          <w:lang w:val="fr-CH"/>
        </w:rPr>
        <w:t>Les p</w:t>
      </w:r>
      <w:r w:rsidRPr="00A31438">
        <w:rPr>
          <w:rFonts w:cs="Calibri"/>
          <w:lang w:val="fr-CH"/>
        </w:rPr>
        <w:t xml:space="preserve">articipants </w:t>
      </w:r>
      <w:r>
        <w:rPr>
          <w:rFonts w:cs="Calibri"/>
          <w:lang w:val="fr-CH"/>
        </w:rPr>
        <w:t xml:space="preserve">soutiennent l’attribution de ce financement pour poursuivre les travaux sur l’Examen des résolutions.  </w:t>
      </w:r>
    </w:p>
    <w:p w14:paraId="74BB211A" w14:textId="77777777" w:rsidR="00C40AD2" w:rsidRPr="00A31438" w:rsidRDefault="00C40AD2" w:rsidP="00C40AD2">
      <w:pPr>
        <w:spacing w:after="0" w:line="240" w:lineRule="auto"/>
        <w:ind w:left="567" w:hanging="567"/>
        <w:contextualSpacing/>
        <w:rPr>
          <w:rFonts w:cs="Calibri"/>
          <w:lang w:val="fr-CH"/>
        </w:rPr>
      </w:pPr>
    </w:p>
    <w:p w14:paraId="49F1E831" w14:textId="77777777" w:rsidR="00C40AD2" w:rsidRPr="00A31438" w:rsidRDefault="00C40AD2" w:rsidP="00C40AD2">
      <w:pPr>
        <w:spacing w:after="0" w:line="240" w:lineRule="auto"/>
        <w:ind w:left="567" w:hanging="567"/>
        <w:contextualSpacing/>
        <w:rPr>
          <w:rFonts w:cs="Calibri"/>
          <w:lang w:val="fr-CH"/>
        </w:rPr>
      </w:pPr>
      <w:r w:rsidRPr="00A31438">
        <w:rPr>
          <w:rFonts w:cs="Calibri"/>
          <w:lang w:val="fr-CH"/>
        </w:rPr>
        <w:t>49.</w:t>
      </w:r>
      <w:r w:rsidRPr="00A31438">
        <w:rPr>
          <w:rFonts w:cs="Calibri"/>
          <w:lang w:val="fr-CH"/>
        </w:rPr>
        <w:tab/>
      </w:r>
      <w:r>
        <w:rPr>
          <w:rFonts w:cs="Calibri"/>
          <w:lang w:val="fr-CH"/>
        </w:rPr>
        <w:t>L’</w:t>
      </w:r>
      <w:r w:rsidRPr="00A31438">
        <w:rPr>
          <w:rFonts w:cs="Calibri"/>
          <w:b/>
          <w:lang w:val="fr-CH"/>
        </w:rPr>
        <w:t>Australi</w:t>
      </w:r>
      <w:r>
        <w:rPr>
          <w:rFonts w:cs="Calibri"/>
          <w:b/>
          <w:lang w:val="fr-CH"/>
        </w:rPr>
        <w:t>e</w:t>
      </w:r>
      <w:r w:rsidRPr="00A31438">
        <w:rPr>
          <w:rFonts w:cs="Calibri"/>
          <w:lang w:val="fr-CH"/>
        </w:rPr>
        <w:t>,</w:t>
      </w:r>
      <w:r>
        <w:rPr>
          <w:rFonts w:cs="Calibri"/>
          <w:lang w:val="fr-CH"/>
        </w:rPr>
        <w:t xml:space="preserve"> le</w:t>
      </w:r>
      <w:r w:rsidRPr="00A31438">
        <w:rPr>
          <w:rFonts w:cs="Calibri"/>
          <w:lang w:val="fr-CH"/>
        </w:rPr>
        <w:t xml:space="preserve"> </w:t>
      </w:r>
      <w:r w:rsidRPr="00A31438">
        <w:rPr>
          <w:rFonts w:cs="Calibri"/>
          <w:b/>
          <w:lang w:val="fr-CH"/>
        </w:rPr>
        <w:t>Costa Rica</w:t>
      </w:r>
      <w:r w:rsidRPr="00A31438">
        <w:rPr>
          <w:rFonts w:cs="Calibri"/>
          <w:lang w:val="fr-CH"/>
        </w:rPr>
        <w:t>,</w:t>
      </w:r>
      <w:r>
        <w:rPr>
          <w:rFonts w:cs="Calibri"/>
          <w:lang w:val="fr-CH"/>
        </w:rPr>
        <w:t xml:space="preserve"> les</w:t>
      </w:r>
      <w:r>
        <w:rPr>
          <w:rFonts w:cs="Calibri"/>
          <w:b/>
          <w:lang w:val="fr-CH"/>
        </w:rPr>
        <w:t xml:space="preserve"> États</w:t>
      </w:r>
      <w:r>
        <w:rPr>
          <w:rFonts w:cs="Calibri"/>
          <w:b/>
          <w:lang w:val="fr-CH"/>
        </w:rPr>
        <w:noBreakHyphen/>
        <w:t>Unis d’Amérique</w:t>
      </w:r>
      <w:r>
        <w:rPr>
          <w:rFonts w:cs="Calibri"/>
          <w:lang w:val="fr-CH"/>
        </w:rPr>
        <w:t>,</w:t>
      </w:r>
      <w:r>
        <w:rPr>
          <w:rFonts w:cs="Calibri"/>
          <w:b/>
          <w:lang w:val="fr-CH"/>
        </w:rPr>
        <w:t xml:space="preserve"> </w:t>
      </w:r>
      <w:r>
        <w:rPr>
          <w:rFonts w:cs="Calibri"/>
          <w:lang w:val="fr-CH"/>
        </w:rPr>
        <w:t>le</w:t>
      </w:r>
      <w:r w:rsidRPr="00A31438">
        <w:rPr>
          <w:rFonts w:cs="Calibri"/>
          <w:lang w:val="fr-CH"/>
        </w:rPr>
        <w:t xml:space="preserve"> </w:t>
      </w:r>
      <w:r w:rsidRPr="00A31438">
        <w:rPr>
          <w:rFonts w:cs="Calibri"/>
          <w:b/>
          <w:lang w:val="fr-CH"/>
        </w:rPr>
        <w:t>Jap</w:t>
      </w:r>
      <w:r>
        <w:rPr>
          <w:rFonts w:cs="Calibri"/>
          <w:b/>
          <w:lang w:val="fr-CH"/>
        </w:rPr>
        <w:t>o</w:t>
      </w:r>
      <w:r w:rsidRPr="00A31438">
        <w:rPr>
          <w:rFonts w:cs="Calibri"/>
          <w:b/>
          <w:lang w:val="fr-CH"/>
        </w:rPr>
        <w:t>n</w:t>
      </w:r>
      <w:r w:rsidRPr="00A31438">
        <w:rPr>
          <w:rFonts w:cs="Calibri"/>
          <w:lang w:val="fr-CH"/>
        </w:rPr>
        <w:t>,</w:t>
      </w:r>
      <w:r>
        <w:rPr>
          <w:rFonts w:cs="Calibri"/>
          <w:lang w:val="fr-CH"/>
        </w:rPr>
        <w:t xml:space="preserve"> le </w:t>
      </w:r>
      <w:r>
        <w:rPr>
          <w:rFonts w:cs="Calibri"/>
          <w:b/>
          <w:lang w:val="fr-CH"/>
        </w:rPr>
        <w:t>Royaume-Uni de Grande</w:t>
      </w:r>
      <w:r>
        <w:rPr>
          <w:rFonts w:cs="Calibri"/>
          <w:b/>
          <w:lang w:val="fr-CH"/>
        </w:rPr>
        <w:noBreakHyphen/>
        <w:t xml:space="preserve">Bretagne et d’Irlande du Nord </w:t>
      </w:r>
      <w:r>
        <w:rPr>
          <w:rFonts w:cs="Calibri"/>
          <w:lang w:val="fr-CH"/>
        </w:rPr>
        <w:t>et la</w:t>
      </w:r>
      <w:r w:rsidRPr="00A31438">
        <w:rPr>
          <w:rFonts w:cs="Calibri"/>
          <w:lang w:val="fr-CH"/>
        </w:rPr>
        <w:t xml:space="preserve"> </w:t>
      </w:r>
      <w:r>
        <w:rPr>
          <w:rFonts w:cs="Calibri"/>
          <w:b/>
          <w:lang w:val="fr-CH"/>
        </w:rPr>
        <w:t>Suède</w:t>
      </w:r>
      <w:r>
        <w:rPr>
          <w:rFonts w:cs="Calibri"/>
          <w:lang w:val="fr-CH"/>
        </w:rPr>
        <w:t xml:space="preserve"> interviennent dans la discussion</w:t>
      </w:r>
      <w:r w:rsidRPr="00A31438">
        <w:rPr>
          <w:rFonts w:cs="Calibri"/>
          <w:lang w:val="fr-CH"/>
        </w:rPr>
        <w:t>.</w:t>
      </w:r>
    </w:p>
    <w:p w14:paraId="6065827B" w14:textId="77777777" w:rsidR="00C40AD2" w:rsidRPr="00A31438" w:rsidRDefault="00C40AD2" w:rsidP="00C40AD2">
      <w:pPr>
        <w:spacing w:after="0" w:line="240" w:lineRule="auto"/>
        <w:rPr>
          <w:rFonts w:asciiTheme="minorHAnsi" w:hAnsiTheme="minorHAnsi" w:cstheme="minorHAnsi"/>
          <w:lang w:val="fr-CH"/>
        </w:rPr>
      </w:pPr>
    </w:p>
    <w:p w14:paraId="314B8AFE" w14:textId="77777777" w:rsidR="00C40AD2" w:rsidRPr="008E7097" w:rsidRDefault="00C40AD2" w:rsidP="00C40AD2">
      <w:pPr>
        <w:spacing w:after="0" w:line="240" w:lineRule="auto"/>
        <w:rPr>
          <w:rFonts w:asciiTheme="minorHAnsi" w:hAnsiTheme="minorHAnsi" w:cstheme="minorHAnsi"/>
          <w:lang w:val="fr-FR"/>
        </w:rPr>
      </w:pPr>
      <w:r w:rsidRPr="008E7097">
        <w:rPr>
          <w:rFonts w:asciiTheme="minorHAnsi" w:hAnsiTheme="minorHAnsi" w:cstheme="minorHAnsi"/>
          <w:b/>
          <w:bCs/>
          <w:lang w:val="fr-FR"/>
        </w:rPr>
        <w:t xml:space="preserve">Décision SC58-27 : </w:t>
      </w:r>
      <w:r>
        <w:rPr>
          <w:rFonts w:asciiTheme="minorHAnsi" w:hAnsiTheme="minorHAnsi" w:cstheme="minorHAnsi"/>
          <w:b/>
          <w:bCs/>
          <w:lang w:val="fr-FR"/>
        </w:rPr>
        <w:t>Le</w:t>
      </w:r>
      <w:r w:rsidRPr="008E7097">
        <w:rPr>
          <w:rFonts w:asciiTheme="minorHAnsi" w:hAnsiTheme="minorHAnsi" w:cstheme="minorHAnsi"/>
          <w:b/>
          <w:bCs/>
          <w:lang w:val="fr-FR"/>
        </w:rPr>
        <w:t xml:space="preserve"> </w:t>
      </w:r>
      <w:r w:rsidRPr="008E7097">
        <w:rPr>
          <w:rFonts w:asciiTheme="minorHAnsi" w:hAnsiTheme="minorHAnsi"/>
          <w:b/>
          <w:bCs/>
          <w:lang w:val="fr-FR"/>
        </w:rPr>
        <w:t>Comité permanent approuve l’affectation de 6 000 CHF provenant des économies réalisées sur le report de 2019 des services juridiques dans le budget a</w:t>
      </w:r>
      <w:r>
        <w:rPr>
          <w:rFonts w:asciiTheme="minorHAnsi" w:hAnsiTheme="minorHAnsi"/>
          <w:b/>
          <w:bCs/>
          <w:lang w:val="fr-FR"/>
        </w:rPr>
        <w:t xml:space="preserve">dministratif pour </w:t>
      </w:r>
      <w:r w:rsidRPr="00DB7BE7">
        <w:rPr>
          <w:rFonts w:asciiTheme="minorHAnsi" w:hAnsiTheme="minorHAnsi"/>
          <w:b/>
          <w:bCs/>
          <w:lang w:val="fr-FR"/>
        </w:rPr>
        <w:t>l’Examen des résolutions</w:t>
      </w:r>
      <w:r w:rsidRPr="008E7097">
        <w:rPr>
          <w:rFonts w:asciiTheme="minorHAnsi" w:hAnsiTheme="minorHAnsi"/>
          <w:b/>
          <w:bCs/>
          <w:lang w:val="fr-FR"/>
        </w:rPr>
        <w:t>, pour un montant total de 26 000 CHF combiné avec les fonds précédemment attribués. Cette allocation serait transférée à la ligne budgétaire « Examen des résolutions » sous « Services au Comité permanent ».</w:t>
      </w:r>
    </w:p>
    <w:p w14:paraId="3A1FF1BD" w14:textId="77777777" w:rsidR="00C40AD2" w:rsidRPr="008E7097" w:rsidRDefault="00C40AD2" w:rsidP="00C40AD2">
      <w:pPr>
        <w:spacing w:after="0" w:line="240" w:lineRule="auto"/>
        <w:rPr>
          <w:rFonts w:asciiTheme="minorHAnsi" w:hAnsiTheme="minorHAnsi" w:cstheme="minorHAnsi"/>
          <w:lang w:val="fr-FR"/>
        </w:rPr>
      </w:pPr>
    </w:p>
    <w:p w14:paraId="7689B3BA" w14:textId="77777777" w:rsidR="00C40AD2" w:rsidRPr="00530727"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530727">
        <w:rPr>
          <w:rFonts w:asciiTheme="minorHAnsi" w:hAnsiTheme="minorHAnsi" w:cstheme="minorHAnsi"/>
          <w:lang w:val="fr-CH"/>
        </w:rPr>
        <w:t>R</w:t>
      </w:r>
      <w:r>
        <w:rPr>
          <w:rFonts w:asciiTheme="minorHAnsi" w:hAnsiTheme="minorHAnsi" w:cstheme="minorHAnsi"/>
          <w:lang w:val="fr-CH"/>
        </w:rPr>
        <w:t>é</w:t>
      </w:r>
      <w:r w:rsidRPr="00530727">
        <w:rPr>
          <w:rFonts w:asciiTheme="minorHAnsi" w:hAnsiTheme="minorHAnsi" w:cstheme="minorHAnsi"/>
          <w:lang w:val="fr-CH"/>
        </w:rPr>
        <w:t xml:space="preserve">f. point 1.2 </w:t>
      </w:r>
      <w:r>
        <w:rPr>
          <w:rFonts w:asciiTheme="minorHAnsi" w:hAnsiTheme="minorHAnsi" w:cstheme="minorHAnsi"/>
          <w:lang w:val="fr-CH"/>
        </w:rPr>
        <w:t>du Rapport du Sous</w:t>
      </w:r>
      <w:r>
        <w:rPr>
          <w:rFonts w:asciiTheme="minorHAnsi" w:hAnsiTheme="minorHAnsi" w:cstheme="minorHAnsi"/>
          <w:lang w:val="fr-CH"/>
        </w:rPr>
        <w:noBreakHyphen/>
        <w:t xml:space="preserve">groupe sur les Initiatives régionales Ramsar : </w:t>
      </w:r>
    </w:p>
    <w:p w14:paraId="1BC0DF22" w14:textId="77777777" w:rsidR="00C40AD2" w:rsidRPr="00530727" w:rsidRDefault="00C40AD2" w:rsidP="00C40AD2">
      <w:pPr>
        <w:spacing w:after="0" w:line="240" w:lineRule="auto"/>
        <w:rPr>
          <w:rFonts w:asciiTheme="minorHAnsi" w:hAnsiTheme="minorHAnsi" w:cstheme="minorHAnsi"/>
          <w:lang w:val="fr-CH"/>
        </w:rPr>
      </w:pPr>
    </w:p>
    <w:p w14:paraId="513CD8DE" w14:textId="44DE3ED5" w:rsidR="00C40AD2" w:rsidRPr="00530727" w:rsidRDefault="00C40AD2" w:rsidP="00C40AD2">
      <w:pPr>
        <w:spacing w:after="0" w:line="240" w:lineRule="auto"/>
        <w:ind w:left="567" w:hanging="567"/>
        <w:contextualSpacing/>
        <w:rPr>
          <w:rFonts w:cs="Calibri"/>
          <w:lang w:val="fr-CH"/>
        </w:rPr>
      </w:pPr>
      <w:r w:rsidRPr="00530727">
        <w:rPr>
          <w:rFonts w:cs="Calibri"/>
          <w:lang w:val="fr-CH"/>
        </w:rPr>
        <w:t>50.</w:t>
      </w:r>
      <w:r w:rsidRPr="00530727">
        <w:rPr>
          <w:rFonts w:cs="Calibri"/>
          <w:lang w:val="fr-CH"/>
        </w:rPr>
        <w:tab/>
      </w:r>
      <w:r>
        <w:rPr>
          <w:rFonts w:cs="Calibri"/>
          <w:lang w:val="fr-CH"/>
        </w:rPr>
        <w:t xml:space="preserve">Au cours de la </w:t>
      </w:r>
      <w:r w:rsidRPr="00530727">
        <w:rPr>
          <w:rFonts w:cs="Calibri"/>
          <w:lang w:val="fr-CH"/>
        </w:rPr>
        <w:t xml:space="preserve">discussion, </w:t>
      </w:r>
      <w:r>
        <w:rPr>
          <w:rFonts w:cs="Calibri"/>
          <w:lang w:val="fr-CH"/>
        </w:rPr>
        <w:t>plusieurs participants soulignent l’importance qu’ils attachent aux Initiatives régionales Ramsar et mettent en évidence les problèmes qu’ils rencontrent,</w:t>
      </w:r>
      <w:r w:rsidRPr="001817B0">
        <w:rPr>
          <w:rFonts w:cs="Calibri"/>
          <w:lang w:val="fr-CH"/>
        </w:rPr>
        <w:t xml:space="preserve"> </w:t>
      </w:r>
      <w:r>
        <w:rPr>
          <w:rFonts w:cs="Calibri"/>
          <w:lang w:val="fr-CH"/>
        </w:rPr>
        <w:t>compte tenu de la crise actuelle, pour appliquer les activités pertinentes. Ils se déclarent préoccupés à l’idée qu’il puisse être impossible d’utiliser les attributions budgétaires dans la période actuelle et que celles</w:t>
      </w:r>
      <w:r>
        <w:rPr>
          <w:rFonts w:cs="Calibri"/>
          <w:lang w:val="fr-CH"/>
        </w:rPr>
        <w:noBreakHyphen/>
        <w:t xml:space="preserve">ci puissent être perdues. D’autres soulignent la nécessité d’exercer une </w:t>
      </w:r>
      <w:r>
        <w:rPr>
          <w:rFonts w:cs="Calibri"/>
          <w:lang w:val="fr-CH"/>
        </w:rPr>
        <w:lastRenderedPageBreak/>
        <w:t>certaine prudence dans les circonstances actuelles</w:t>
      </w:r>
      <w:r w:rsidR="00936645">
        <w:rPr>
          <w:rFonts w:cs="Calibri"/>
          <w:lang w:val="fr-CH"/>
        </w:rPr>
        <w:t xml:space="preserve">, </w:t>
      </w:r>
      <w:r w:rsidR="008E027F">
        <w:rPr>
          <w:rFonts w:cs="Calibri"/>
          <w:lang w:val="fr-CH"/>
        </w:rPr>
        <w:t xml:space="preserve">rappellent </w:t>
      </w:r>
      <w:r w:rsidR="00936645">
        <w:rPr>
          <w:rFonts w:cs="Calibri"/>
          <w:lang w:val="fr-CH"/>
        </w:rPr>
        <w:t>l’existence de soldes non dépensés des années précédentes,</w:t>
      </w:r>
      <w:r>
        <w:rPr>
          <w:rFonts w:cs="Calibri"/>
          <w:lang w:val="fr-CH"/>
        </w:rPr>
        <w:t xml:space="preserve"> et </w:t>
      </w:r>
      <w:r w:rsidR="008E027F">
        <w:rPr>
          <w:rFonts w:cs="Calibri"/>
          <w:lang w:val="fr-CH"/>
        </w:rPr>
        <w:t xml:space="preserve">l’importance </w:t>
      </w:r>
      <w:r>
        <w:rPr>
          <w:rFonts w:cs="Calibri"/>
          <w:lang w:val="fr-CH"/>
        </w:rPr>
        <w:t>de veiller à ce que les fonds attribués soient utilisés pour des activités éligibles. Toutefois, ils conviennent que le Comité permanent pourrait examiner d’autres demandes pour un financement issu du budget administratif à la réunion du Comité permanent, en octobre</w:t>
      </w:r>
      <w:r w:rsidR="00936645">
        <w:rPr>
          <w:rFonts w:cs="Calibri"/>
          <w:lang w:val="fr-CH"/>
        </w:rPr>
        <w:t>, après examen des circonstances</w:t>
      </w:r>
      <w:r>
        <w:rPr>
          <w:rFonts w:cs="Calibri"/>
          <w:lang w:val="fr-CH"/>
        </w:rPr>
        <w:t xml:space="preserve">. </w:t>
      </w:r>
    </w:p>
    <w:p w14:paraId="26589B5C" w14:textId="77777777" w:rsidR="00C40AD2" w:rsidRPr="00530727" w:rsidRDefault="00C40AD2" w:rsidP="00C40AD2">
      <w:pPr>
        <w:spacing w:after="0" w:line="240" w:lineRule="auto"/>
        <w:ind w:left="567" w:hanging="567"/>
        <w:contextualSpacing/>
        <w:rPr>
          <w:rFonts w:cs="Calibri"/>
          <w:lang w:val="fr-CH"/>
        </w:rPr>
      </w:pPr>
    </w:p>
    <w:p w14:paraId="304CE2AD" w14:textId="77777777" w:rsidR="00C40AD2" w:rsidRPr="00530727" w:rsidRDefault="00C40AD2" w:rsidP="00C40AD2">
      <w:pPr>
        <w:spacing w:after="0" w:line="240" w:lineRule="auto"/>
        <w:ind w:left="567" w:hanging="567"/>
        <w:contextualSpacing/>
        <w:rPr>
          <w:rFonts w:cs="Calibri"/>
          <w:lang w:val="fr-CH"/>
        </w:rPr>
      </w:pPr>
      <w:r w:rsidRPr="00530727">
        <w:rPr>
          <w:rFonts w:cs="Calibri"/>
          <w:lang w:val="fr-CH"/>
        </w:rPr>
        <w:t>51.</w:t>
      </w:r>
      <w:r w:rsidRPr="00530727">
        <w:rPr>
          <w:rFonts w:cs="Calibri"/>
          <w:lang w:val="fr-CH"/>
        </w:rPr>
        <w:tab/>
      </w:r>
      <w:r>
        <w:rPr>
          <w:rFonts w:cs="Calibri"/>
          <w:lang w:val="fr-CH"/>
        </w:rPr>
        <w:t xml:space="preserve">La </w:t>
      </w:r>
      <w:r w:rsidRPr="00530727">
        <w:rPr>
          <w:rFonts w:cs="Calibri"/>
          <w:b/>
          <w:lang w:val="fr-CH"/>
        </w:rPr>
        <w:t>Colombi</w:t>
      </w:r>
      <w:r>
        <w:rPr>
          <w:rFonts w:cs="Calibri"/>
          <w:b/>
          <w:lang w:val="fr-CH"/>
        </w:rPr>
        <w:t>e</w:t>
      </w:r>
      <w:r w:rsidRPr="00530727">
        <w:rPr>
          <w:rFonts w:cs="Calibri"/>
          <w:lang w:val="fr-CH"/>
        </w:rPr>
        <w:t>,</w:t>
      </w:r>
      <w:r>
        <w:rPr>
          <w:rFonts w:cs="Calibri"/>
          <w:lang w:val="fr-CH"/>
        </w:rPr>
        <w:t xml:space="preserve"> le</w:t>
      </w:r>
      <w:r w:rsidRPr="00530727">
        <w:rPr>
          <w:rFonts w:cs="Calibri"/>
          <w:lang w:val="fr-CH"/>
        </w:rPr>
        <w:t xml:space="preserve"> </w:t>
      </w:r>
      <w:r w:rsidRPr="00530727">
        <w:rPr>
          <w:rFonts w:cs="Calibri"/>
          <w:b/>
          <w:lang w:val="fr-CH"/>
        </w:rPr>
        <w:t>Costa Rica</w:t>
      </w:r>
      <w:r w:rsidRPr="00530727">
        <w:rPr>
          <w:rFonts w:cs="Calibri"/>
          <w:lang w:val="fr-CH"/>
        </w:rPr>
        <w:t>,</w:t>
      </w:r>
      <w:r>
        <w:rPr>
          <w:rFonts w:cs="Calibri"/>
          <w:lang w:val="fr-CH"/>
        </w:rPr>
        <w:t xml:space="preserve"> les</w:t>
      </w:r>
      <w:r w:rsidRPr="00530727">
        <w:rPr>
          <w:rFonts w:cs="Calibri"/>
          <w:lang w:val="fr-CH"/>
        </w:rPr>
        <w:t xml:space="preserve"> </w:t>
      </w:r>
      <w:r>
        <w:rPr>
          <w:rFonts w:cs="Calibri"/>
          <w:b/>
          <w:lang w:val="fr-CH"/>
        </w:rPr>
        <w:t>États</w:t>
      </w:r>
      <w:r>
        <w:rPr>
          <w:rFonts w:cs="Calibri"/>
          <w:b/>
          <w:lang w:val="fr-CH"/>
        </w:rPr>
        <w:noBreakHyphen/>
        <w:t>Unis d’Amérique</w:t>
      </w:r>
      <w:r>
        <w:rPr>
          <w:rFonts w:cs="Calibri"/>
          <w:lang w:val="fr-CH"/>
        </w:rPr>
        <w:t>, le</w:t>
      </w:r>
      <w:r w:rsidRPr="00530727">
        <w:rPr>
          <w:rFonts w:cs="Calibri"/>
          <w:lang w:val="fr-CH"/>
        </w:rPr>
        <w:t xml:space="preserve"> </w:t>
      </w:r>
      <w:r w:rsidRPr="00530727">
        <w:rPr>
          <w:rFonts w:cs="Calibri"/>
          <w:b/>
          <w:lang w:val="fr-CH"/>
        </w:rPr>
        <w:t>Jap</w:t>
      </w:r>
      <w:r>
        <w:rPr>
          <w:rFonts w:cs="Calibri"/>
          <w:b/>
          <w:lang w:val="fr-CH"/>
        </w:rPr>
        <w:t>o</w:t>
      </w:r>
      <w:r w:rsidRPr="00530727">
        <w:rPr>
          <w:rFonts w:cs="Calibri"/>
          <w:b/>
          <w:lang w:val="fr-CH"/>
        </w:rPr>
        <w:t>n</w:t>
      </w:r>
      <w:r w:rsidRPr="00530727">
        <w:rPr>
          <w:rFonts w:cs="Calibri"/>
          <w:lang w:val="fr-CH"/>
        </w:rPr>
        <w:t>,</w:t>
      </w:r>
      <w:r>
        <w:rPr>
          <w:rFonts w:cs="Calibri"/>
          <w:lang w:val="fr-CH"/>
        </w:rPr>
        <w:t xml:space="preserve"> le</w:t>
      </w:r>
      <w:r w:rsidRPr="00530727">
        <w:rPr>
          <w:rFonts w:cs="Calibri"/>
          <w:lang w:val="fr-CH"/>
        </w:rPr>
        <w:t xml:space="preserve"> </w:t>
      </w:r>
      <w:r w:rsidRPr="00530727">
        <w:rPr>
          <w:rFonts w:cs="Calibri"/>
          <w:b/>
          <w:lang w:val="fr-CH"/>
        </w:rPr>
        <w:t>Mexi</w:t>
      </w:r>
      <w:r>
        <w:rPr>
          <w:rFonts w:cs="Calibri"/>
          <w:b/>
          <w:lang w:val="fr-CH"/>
        </w:rPr>
        <w:t>que</w:t>
      </w:r>
      <w:r w:rsidRPr="00530727">
        <w:rPr>
          <w:rFonts w:cs="Calibri"/>
          <w:lang w:val="fr-CH"/>
        </w:rPr>
        <w:t>,</w:t>
      </w:r>
      <w:r>
        <w:rPr>
          <w:rFonts w:cs="Calibri"/>
          <w:lang w:val="fr-CH"/>
        </w:rPr>
        <w:t xml:space="preserve"> le</w:t>
      </w:r>
      <w:r w:rsidRPr="00530727">
        <w:rPr>
          <w:rFonts w:cs="Calibri"/>
          <w:lang w:val="fr-CH"/>
        </w:rPr>
        <w:t xml:space="preserve"> </w:t>
      </w:r>
      <w:r w:rsidRPr="00530727">
        <w:rPr>
          <w:rFonts w:cs="Calibri"/>
          <w:b/>
          <w:lang w:val="fr-CH"/>
        </w:rPr>
        <w:t>S</w:t>
      </w:r>
      <w:r>
        <w:rPr>
          <w:rFonts w:cs="Calibri"/>
          <w:b/>
          <w:lang w:val="fr-CH"/>
        </w:rPr>
        <w:t>énégal</w:t>
      </w:r>
      <w:r w:rsidRPr="00530727">
        <w:rPr>
          <w:rFonts w:cs="Calibri"/>
          <w:lang w:val="fr-CH"/>
        </w:rPr>
        <w:t xml:space="preserve"> </w:t>
      </w:r>
      <w:r>
        <w:rPr>
          <w:rFonts w:cs="Calibri"/>
          <w:lang w:val="fr-CH"/>
        </w:rPr>
        <w:t>et l’</w:t>
      </w:r>
      <w:r w:rsidRPr="00530727">
        <w:rPr>
          <w:rFonts w:cs="Calibri"/>
          <w:b/>
          <w:lang w:val="fr-CH"/>
        </w:rPr>
        <w:t>Uruguay</w:t>
      </w:r>
      <w:r>
        <w:rPr>
          <w:rFonts w:cs="Calibri"/>
          <w:b/>
          <w:lang w:val="fr-CH"/>
        </w:rPr>
        <w:t xml:space="preserve"> </w:t>
      </w:r>
      <w:r>
        <w:rPr>
          <w:rFonts w:cs="Calibri"/>
          <w:lang w:val="fr-CH"/>
        </w:rPr>
        <w:t>interviennent dans la discussion</w:t>
      </w:r>
      <w:r w:rsidRPr="00530727">
        <w:rPr>
          <w:rFonts w:cs="Calibri"/>
          <w:lang w:val="fr-CH"/>
        </w:rPr>
        <w:t>.</w:t>
      </w:r>
    </w:p>
    <w:p w14:paraId="10A0E0EA" w14:textId="77777777" w:rsidR="00C40AD2" w:rsidRPr="001363AC" w:rsidRDefault="00C40AD2" w:rsidP="00C40AD2">
      <w:pPr>
        <w:spacing w:after="0" w:line="240" w:lineRule="auto"/>
        <w:rPr>
          <w:rFonts w:cs="Calibri"/>
          <w:lang w:val="fr-FR"/>
        </w:rPr>
      </w:pPr>
    </w:p>
    <w:p w14:paraId="06E1313A" w14:textId="77777777" w:rsidR="00C40AD2" w:rsidRPr="00DD1870" w:rsidRDefault="00C40AD2" w:rsidP="00C40AD2">
      <w:pPr>
        <w:autoSpaceDE w:val="0"/>
        <w:autoSpaceDN w:val="0"/>
        <w:adjustRightInd w:val="0"/>
        <w:spacing w:after="0" w:line="240" w:lineRule="auto"/>
        <w:rPr>
          <w:rFonts w:eastAsiaTheme="minorHAnsi" w:cs="Calibri"/>
          <w:color w:val="000000"/>
          <w:lang w:val="fr-FR"/>
        </w:rPr>
      </w:pPr>
      <w:r w:rsidRPr="00DD1870">
        <w:rPr>
          <w:rFonts w:asciiTheme="minorHAnsi" w:hAnsiTheme="minorHAnsi" w:cstheme="minorHAnsi"/>
          <w:b/>
          <w:bCs/>
          <w:lang w:val="fr-FR"/>
        </w:rPr>
        <w:t xml:space="preserve">Décision SC58-28 : Le </w:t>
      </w:r>
      <w:r w:rsidRPr="00DD1870">
        <w:rPr>
          <w:rFonts w:asciiTheme="minorHAnsi" w:hAnsiTheme="minorHAnsi"/>
          <w:b/>
          <w:bCs/>
          <w:lang w:val="fr-FR"/>
        </w:rPr>
        <w:t xml:space="preserve">Comité permanent approuve l’affectation de </w:t>
      </w:r>
      <w:r w:rsidRPr="00DD1870">
        <w:rPr>
          <w:rFonts w:eastAsiaTheme="minorHAnsi" w:cs="Calibri"/>
          <w:b/>
          <w:bCs/>
          <w:iCs/>
          <w:color w:val="000000"/>
          <w:lang w:val="fr-FR"/>
        </w:rPr>
        <w:t xml:space="preserve">15 000 CHF </w:t>
      </w:r>
      <w:r w:rsidRPr="00DD1870">
        <w:rPr>
          <w:b/>
          <w:bCs/>
          <w:color w:val="000000"/>
          <w:lang w:val="fr-FR"/>
        </w:rPr>
        <w:t>sur une proposition originale de 25 000, à chacune des quatre Initiatives régionales Ramsar éligibles pour leurs activités en 2020 à partir de la ligne D « Appui aux initiatives régionales » du budget administratif, en tenant compte des reports de 2019 et de la situation pandémique susceptible d’entraîner une limitation des activités pendant le reste de 2020</w:t>
      </w:r>
      <w:r w:rsidRPr="00DD1870">
        <w:rPr>
          <w:rFonts w:eastAsiaTheme="minorHAnsi" w:cs="Calibri"/>
          <w:b/>
          <w:bCs/>
          <w:iCs/>
          <w:color w:val="000000"/>
          <w:lang w:val="fr-FR"/>
        </w:rPr>
        <w:t xml:space="preserve">, et note que les membres du </w:t>
      </w:r>
      <w:r>
        <w:rPr>
          <w:rFonts w:eastAsiaTheme="minorHAnsi" w:cs="Calibri"/>
          <w:b/>
          <w:bCs/>
          <w:iCs/>
          <w:color w:val="000000"/>
          <w:lang w:val="fr-FR"/>
        </w:rPr>
        <w:t>Sous-groupe sur les finances sont prêts à examiner, lors de leur réunion d’octobre, une demande supplémentaire de 10 000 CHF de la part des IRR éligibles</w:t>
      </w:r>
      <w:r w:rsidRPr="00DD1870">
        <w:rPr>
          <w:rFonts w:eastAsiaTheme="minorHAnsi" w:cs="Calibri"/>
          <w:b/>
          <w:bCs/>
          <w:iCs/>
          <w:color w:val="000000"/>
          <w:lang w:val="fr-FR"/>
        </w:rPr>
        <w:t xml:space="preserve">. </w:t>
      </w:r>
    </w:p>
    <w:p w14:paraId="082A24BD" w14:textId="77777777" w:rsidR="00C40AD2" w:rsidRPr="00DD1870" w:rsidRDefault="00C40AD2" w:rsidP="00C40AD2">
      <w:pPr>
        <w:autoSpaceDE w:val="0"/>
        <w:autoSpaceDN w:val="0"/>
        <w:adjustRightInd w:val="0"/>
        <w:spacing w:after="0" w:line="240" w:lineRule="auto"/>
        <w:rPr>
          <w:rFonts w:eastAsiaTheme="minorHAnsi" w:cs="Calibri"/>
          <w:b/>
          <w:bCs/>
          <w:iCs/>
          <w:color w:val="000000"/>
          <w:lang w:val="fr-FR"/>
        </w:rPr>
      </w:pPr>
    </w:p>
    <w:p w14:paraId="53D00FA5" w14:textId="77777777" w:rsidR="00C40AD2" w:rsidRPr="005C642F" w:rsidRDefault="00C40AD2" w:rsidP="00C40AD2">
      <w:pPr>
        <w:autoSpaceDE w:val="0"/>
        <w:autoSpaceDN w:val="0"/>
        <w:adjustRightInd w:val="0"/>
        <w:spacing w:after="0" w:line="240" w:lineRule="auto"/>
        <w:rPr>
          <w:b/>
          <w:bCs/>
          <w:color w:val="000000"/>
          <w:lang w:val="fr-FR"/>
        </w:rPr>
      </w:pPr>
      <w:r w:rsidRPr="00DD1870">
        <w:rPr>
          <w:rFonts w:asciiTheme="minorHAnsi" w:hAnsiTheme="minorHAnsi" w:cstheme="minorHAnsi"/>
          <w:b/>
          <w:bCs/>
          <w:lang w:val="fr-FR"/>
        </w:rPr>
        <w:t xml:space="preserve">Décision SC58-29 : Le </w:t>
      </w:r>
      <w:r w:rsidRPr="00DD1870">
        <w:rPr>
          <w:rFonts w:asciiTheme="minorHAnsi" w:hAnsiTheme="minorHAnsi"/>
          <w:b/>
          <w:bCs/>
          <w:lang w:val="fr-FR"/>
        </w:rPr>
        <w:t xml:space="preserve">Comité permanent </w:t>
      </w:r>
      <w:r w:rsidRPr="00DD1870">
        <w:rPr>
          <w:rFonts w:eastAsiaTheme="minorHAnsi" w:cs="Calibri"/>
          <w:b/>
          <w:bCs/>
          <w:iCs/>
          <w:color w:val="000000"/>
          <w:lang w:val="fr-FR"/>
        </w:rPr>
        <w:t xml:space="preserve">prend note de la recommandation du Sous-groupe sur les finances, à savoir d’accorder </w:t>
      </w:r>
      <w:r w:rsidRPr="005C642F">
        <w:rPr>
          <w:b/>
          <w:bCs/>
          <w:color w:val="000000"/>
          <w:lang w:val="fr-FR"/>
        </w:rPr>
        <w:t>une attention spéciale à l’application de la Décision SC57-11 et aux progrès du Groupe de travail sur les Initiatives régionales Ramsar ainsi qu’aux tâches confiées dans la Résolution XIII.9, notamment les mesures visant à améliorer la transparence dans le cadre de nouvelles directives opérationnelles. Il examine ensuite les mesures suivantes qui ont pour objet d’améliorer les capacités de prise de décisions et de supervision du Sous-groupe sur les finances sur les questions liées aux IRR :</w:t>
      </w:r>
    </w:p>
    <w:p w14:paraId="6FF5147D" w14:textId="77777777" w:rsidR="00C40AD2" w:rsidRPr="005C642F" w:rsidRDefault="00C40AD2" w:rsidP="00C40AD2">
      <w:pPr>
        <w:spacing w:after="0" w:line="240" w:lineRule="auto"/>
        <w:ind w:left="426" w:hanging="426"/>
        <w:rPr>
          <w:b/>
          <w:bCs/>
          <w:color w:val="000000"/>
          <w:lang w:val="fr-FR"/>
        </w:rPr>
      </w:pPr>
      <w:r w:rsidRPr="005C642F">
        <w:rPr>
          <w:b/>
          <w:bCs/>
          <w:color w:val="000000"/>
          <w:lang w:val="fr-FR"/>
        </w:rPr>
        <w:t>1.</w:t>
      </w:r>
      <w:r w:rsidRPr="005C642F">
        <w:rPr>
          <w:b/>
          <w:bCs/>
          <w:color w:val="000000"/>
          <w:lang w:val="fr-FR"/>
        </w:rPr>
        <w:tab/>
        <w:t>Renforcer les exigences en matière de rapports afin d’améliorer leur responsabilité et leurs bonnes pratiques de gestion financière, dans le cadre de l’examen du point 22.2 de l’ordre du jour par le Comité permanent à sa 58</w:t>
      </w:r>
      <w:r w:rsidRPr="005C642F">
        <w:rPr>
          <w:b/>
          <w:bCs/>
          <w:color w:val="000000"/>
          <w:vertAlign w:val="superscript"/>
          <w:lang w:val="fr-FR"/>
        </w:rPr>
        <w:t>e</w:t>
      </w:r>
      <w:r w:rsidRPr="005C642F">
        <w:rPr>
          <w:b/>
          <w:bCs/>
          <w:color w:val="000000"/>
          <w:lang w:val="fr-FR"/>
        </w:rPr>
        <w:t xml:space="preserve"> Réunion ; et</w:t>
      </w:r>
    </w:p>
    <w:p w14:paraId="282000AA" w14:textId="77777777" w:rsidR="00C40AD2" w:rsidRPr="005C642F" w:rsidRDefault="00C40AD2" w:rsidP="00C40AD2">
      <w:pPr>
        <w:spacing w:after="0" w:line="240" w:lineRule="auto"/>
        <w:ind w:left="426" w:hanging="426"/>
        <w:rPr>
          <w:b/>
          <w:bCs/>
          <w:color w:val="000000"/>
          <w:lang w:val="fr-FR"/>
        </w:rPr>
      </w:pPr>
      <w:r w:rsidRPr="005C642F">
        <w:rPr>
          <w:b/>
          <w:bCs/>
          <w:color w:val="000000"/>
          <w:lang w:val="fr-FR"/>
        </w:rPr>
        <w:t>2.</w:t>
      </w:r>
      <w:r w:rsidRPr="005C642F">
        <w:rPr>
          <w:b/>
          <w:bCs/>
          <w:color w:val="000000"/>
          <w:lang w:val="fr-FR"/>
        </w:rPr>
        <w:tab/>
        <w:t xml:space="preserve">Entreprendre une étude des IRR pour mieux comprendre leurs effets, leurs progrès et leur efficacité pour ce qui est d’aider les Parties contractantes à appliquer la Convention, en tenant compte du rapport sur le statut juridique des IRR et de l’examen des </w:t>
      </w:r>
      <w:r w:rsidRPr="001817B0">
        <w:rPr>
          <w:b/>
          <w:bCs/>
          <w:color w:val="000000"/>
          <w:lang w:val="fr-FR"/>
        </w:rPr>
        <w:t>Résolutions et Décisions</w:t>
      </w:r>
      <w:r w:rsidRPr="005C642F">
        <w:rPr>
          <w:b/>
          <w:bCs/>
          <w:color w:val="000000"/>
          <w:lang w:val="fr-FR"/>
        </w:rPr>
        <w:t xml:space="preserve"> sur les IRR qui seront examinés par le Comité permanent à sa 58</w:t>
      </w:r>
      <w:r w:rsidRPr="005C642F">
        <w:rPr>
          <w:b/>
          <w:bCs/>
          <w:color w:val="000000"/>
          <w:vertAlign w:val="superscript"/>
          <w:lang w:val="fr-FR"/>
        </w:rPr>
        <w:t>e</w:t>
      </w:r>
      <w:r w:rsidRPr="005C642F">
        <w:rPr>
          <w:b/>
          <w:bCs/>
          <w:color w:val="000000"/>
          <w:lang w:val="fr-FR"/>
        </w:rPr>
        <w:t xml:space="preserve"> Réunion sous les points 22.3 et 22.4, respectivement, de l’ordre du jour, afin d’éviter le double emploi.</w:t>
      </w:r>
    </w:p>
    <w:p w14:paraId="6EC639F8" w14:textId="77777777" w:rsidR="00C40AD2" w:rsidRPr="00B66E82" w:rsidRDefault="00C40AD2" w:rsidP="00C40AD2">
      <w:pPr>
        <w:spacing w:after="0" w:line="240" w:lineRule="auto"/>
        <w:rPr>
          <w:rFonts w:eastAsiaTheme="minorHAnsi" w:cs="Calibri"/>
          <w:b/>
          <w:bCs/>
          <w:iCs/>
          <w:color w:val="000000"/>
          <w:lang w:val="fr-FR"/>
        </w:rPr>
      </w:pPr>
    </w:p>
    <w:p w14:paraId="45AAD27C" w14:textId="77777777" w:rsidR="00C40AD2" w:rsidRPr="00E46BD8" w:rsidRDefault="00C40AD2" w:rsidP="00C40AD2">
      <w:pPr>
        <w:numPr>
          <w:ilvl w:val="0"/>
          <w:numId w:val="19"/>
        </w:numPr>
        <w:tabs>
          <w:tab w:val="clear" w:pos="720"/>
        </w:tabs>
        <w:spacing w:after="0" w:line="240" w:lineRule="auto"/>
        <w:ind w:left="851" w:hanging="425"/>
        <w:rPr>
          <w:rFonts w:asciiTheme="minorHAnsi" w:hAnsiTheme="minorHAnsi" w:cstheme="minorHAnsi"/>
          <w:lang w:val="fr-CH"/>
        </w:rPr>
      </w:pPr>
      <w:r w:rsidRPr="00E46BD8">
        <w:rPr>
          <w:rFonts w:asciiTheme="minorHAnsi" w:hAnsiTheme="minorHAnsi" w:cstheme="minorHAnsi"/>
          <w:lang w:val="fr-CH"/>
        </w:rPr>
        <w:t>R</w:t>
      </w:r>
      <w:r>
        <w:rPr>
          <w:rFonts w:asciiTheme="minorHAnsi" w:hAnsiTheme="minorHAnsi" w:cstheme="minorHAnsi"/>
          <w:lang w:val="fr-CH"/>
        </w:rPr>
        <w:t>éf.</w:t>
      </w:r>
      <w:r w:rsidRPr="00E46BD8">
        <w:rPr>
          <w:rFonts w:asciiTheme="minorHAnsi" w:hAnsiTheme="minorHAnsi" w:cstheme="minorHAnsi"/>
          <w:lang w:val="fr-CH"/>
        </w:rPr>
        <w:t xml:space="preserve"> point 1.1 </w:t>
      </w:r>
      <w:r>
        <w:rPr>
          <w:rFonts w:asciiTheme="minorHAnsi" w:hAnsiTheme="minorHAnsi" w:cstheme="minorHAnsi"/>
          <w:lang w:val="fr-CH"/>
        </w:rPr>
        <w:t xml:space="preserve">du Rapport du Sous-groupe sur le budget administratif pour 2020 : </w:t>
      </w:r>
    </w:p>
    <w:p w14:paraId="4559AE65" w14:textId="77777777" w:rsidR="00C40AD2" w:rsidRPr="00E46BD8" w:rsidRDefault="00C40AD2" w:rsidP="00C40AD2">
      <w:pPr>
        <w:spacing w:after="0" w:line="240" w:lineRule="auto"/>
        <w:rPr>
          <w:rFonts w:eastAsiaTheme="minorHAnsi" w:cs="Calibri"/>
          <w:bCs/>
          <w:iCs/>
          <w:color w:val="000000"/>
          <w:lang w:val="fr-CH"/>
        </w:rPr>
      </w:pPr>
    </w:p>
    <w:p w14:paraId="1C84403F" w14:textId="7E4F44EE" w:rsidR="00C40AD2" w:rsidRPr="00E46BD8" w:rsidRDefault="00C40AD2" w:rsidP="00C40AD2">
      <w:pPr>
        <w:spacing w:after="0" w:line="240" w:lineRule="auto"/>
        <w:ind w:left="567" w:hanging="567"/>
        <w:contextualSpacing/>
        <w:rPr>
          <w:rFonts w:cs="Calibri"/>
          <w:lang w:val="fr-CH"/>
        </w:rPr>
      </w:pPr>
      <w:r w:rsidRPr="00E46BD8">
        <w:rPr>
          <w:rFonts w:cs="Calibri"/>
          <w:lang w:val="fr-CH"/>
        </w:rPr>
        <w:t>52.</w:t>
      </w:r>
      <w:r w:rsidRPr="00E46BD8">
        <w:rPr>
          <w:rFonts w:cs="Calibri"/>
          <w:lang w:val="fr-CH"/>
        </w:rPr>
        <w:tab/>
      </w:r>
      <w:r>
        <w:rPr>
          <w:rFonts w:cs="Calibri"/>
          <w:lang w:val="fr-CH"/>
        </w:rPr>
        <w:t>Le Comité permanent, ayant approuvé les deux points du Rapport du Sous</w:t>
      </w:r>
      <w:r>
        <w:rPr>
          <w:rFonts w:cs="Calibri"/>
          <w:lang w:val="fr-CH"/>
        </w:rPr>
        <w:noBreakHyphen/>
        <w:t xml:space="preserve">groupe sur les finances qui restaient à examiner </w:t>
      </w:r>
      <w:r w:rsidR="00932D74">
        <w:rPr>
          <w:rFonts w:cs="Calibri"/>
          <w:lang w:val="fr-CH"/>
        </w:rPr>
        <w:t>à l’issue de la séance</w:t>
      </w:r>
      <w:r>
        <w:rPr>
          <w:rFonts w:cs="Calibri"/>
          <w:lang w:val="fr-CH"/>
        </w:rPr>
        <w:t xml:space="preserve"> précédente, il n’y a pas d’autres commentaires sur les recommandations du rapport relatives aux décisions. </w:t>
      </w:r>
    </w:p>
    <w:p w14:paraId="18A1656A" w14:textId="77777777" w:rsidR="00C40AD2" w:rsidRPr="00E46BD8" w:rsidRDefault="00C40AD2" w:rsidP="00C40AD2">
      <w:pPr>
        <w:spacing w:after="0" w:line="240" w:lineRule="auto"/>
        <w:rPr>
          <w:rFonts w:eastAsiaTheme="minorHAnsi" w:cs="Calibri"/>
          <w:bCs/>
          <w:iCs/>
          <w:color w:val="000000"/>
          <w:lang w:val="fr-CH"/>
        </w:rPr>
      </w:pPr>
    </w:p>
    <w:p w14:paraId="02BC53A7" w14:textId="6E84FC3B" w:rsidR="00C40AD2" w:rsidRPr="005C642F" w:rsidRDefault="00C40AD2" w:rsidP="00C40AD2">
      <w:pPr>
        <w:autoSpaceDE w:val="0"/>
        <w:autoSpaceDN w:val="0"/>
        <w:adjustRightInd w:val="0"/>
        <w:spacing w:after="0" w:line="240" w:lineRule="auto"/>
        <w:rPr>
          <w:rFonts w:asciiTheme="minorHAnsi" w:hAnsiTheme="minorHAnsi" w:cstheme="minorHAnsi"/>
          <w:b/>
          <w:bCs/>
          <w:lang w:val="fr-FR"/>
        </w:rPr>
      </w:pPr>
      <w:r w:rsidRPr="005C642F">
        <w:rPr>
          <w:rFonts w:asciiTheme="minorHAnsi" w:hAnsiTheme="minorHAnsi" w:cstheme="minorHAnsi"/>
          <w:b/>
          <w:bCs/>
          <w:lang w:val="fr-FR"/>
        </w:rPr>
        <w:t xml:space="preserve">Décision SC58-30 : </w:t>
      </w:r>
      <w:r>
        <w:rPr>
          <w:rFonts w:asciiTheme="minorHAnsi" w:hAnsiTheme="minorHAnsi" w:cstheme="minorHAnsi"/>
          <w:b/>
          <w:bCs/>
          <w:lang w:val="fr-FR"/>
        </w:rPr>
        <w:t>Le</w:t>
      </w:r>
      <w:r w:rsidRPr="005C642F">
        <w:rPr>
          <w:rFonts w:asciiTheme="minorHAnsi" w:hAnsiTheme="minorHAnsi" w:cstheme="minorHAnsi"/>
          <w:b/>
          <w:bCs/>
          <w:lang w:val="fr-FR"/>
        </w:rPr>
        <w:t xml:space="preserve"> </w:t>
      </w:r>
      <w:r w:rsidRPr="005C642F">
        <w:rPr>
          <w:rFonts w:asciiTheme="minorHAnsi" w:hAnsiTheme="minorHAnsi"/>
          <w:b/>
          <w:bCs/>
          <w:lang w:val="fr-FR"/>
        </w:rPr>
        <w:t xml:space="preserve">Comité permanent approuve le budget ajusté pour 2020, figurant à </w:t>
      </w:r>
      <w:r w:rsidRPr="001817B0">
        <w:rPr>
          <w:rFonts w:asciiTheme="minorHAnsi" w:hAnsiTheme="minorHAnsi"/>
          <w:b/>
          <w:bCs/>
          <w:lang w:val="fr-FR"/>
        </w:rPr>
        <w:t>l’</w:t>
      </w:r>
      <w:r>
        <w:rPr>
          <w:rFonts w:asciiTheme="minorHAnsi" w:hAnsiTheme="minorHAnsi"/>
          <w:b/>
          <w:bCs/>
          <w:lang w:val="fr-FR"/>
        </w:rPr>
        <w:t>A</w:t>
      </w:r>
      <w:r w:rsidRPr="001817B0">
        <w:rPr>
          <w:rFonts w:asciiTheme="minorHAnsi" w:hAnsiTheme="minorHAnsi"/>
          <w:b/>
          <w:bCs/>
          <w:lang w:val="fr-FR"/>
        </w:rPr>
        <w:t>nnexe </w:t>
      </w:r>
      <w:r w:rsidR="00936645">
        <w:rPr>
          <w:rFonts w:asciiTheme="minorHAnsi" w:hAnsiTheme="minorHAnsi"/>
          <w:b/>
          <w:bCs/>
          <w:lang w:val="fr-FR"/>
        </w:rPr>
        <w:t>4</w:t>
      </w:r>
      <w:r w:rsidRPr="005C642F">
        <w:rPr>
          <w:rFonts w:asciiTheme="minorHAnsi" w:hAnsiTheme="minorHAnsi"/>
          <w:b/>
          <w:bCs/>
          <w:lang w:val="fr-FR"/>
        </w:rPr>
        <w:t xml:space="preserve"> du présent rapport. Le Sous-groupe sur les finances suivra l’exécution du budget et procédera aux ajustements nécessaires.</w:t>
      </w:r>
      <w:r w:rsidRPr="005C642F">
        <w:rPr>
          <w:rFonts w:asciiTheme="minorHAnsi" w:hAnsiTheme="minorHAnsi" w:cstheme="minorHAnsi"/>
          <w:b/>
          <w:bCs/>
          <w:lang w:val="fr-FR"/>
        </w:rPr>
        <w:t xml:space="preserve"> </w:t>
      </w:r>
    </w:p>
    <w:p w14:paraId="0DE1CD5E" w14:textId="77777777" w:rsidR="00C40AD2" w:rsidRPr="005C642F" w:rsidRDefault="00C40AD2" w:rsidP="00C40AD2">
      <w:pPr>
        <w:autoSpaceDE w:val="0"/>
        <w:autoSpaceDN w:val="0"/>
        <w:adjustRightInd w:val="0"/>
        <w:spacing w:after="0" w:line="240" w:lineRule="auto"/>
        <w:rPr>
          <w:rFonts w:asciiTheme="minorHAnsi" w:hAnsiTheme="minorHAnsi" w:cstheme="minorHAnsi"/>
          <w:b/>
          <w:bCs/>
          <w:lang w:val="fr-FR"/>
        </w:rPr>
      </w:pPr>
    </w:p>
    <w:p w14:paraId="7A6487CA" w14:textId="0EF12641" w:rsidR="00C40AD2" w:rsidRDefault="000B1B3C" w:rsidP="00C40AD2">
      <w:pPr>
        <w:autoSpaceDE w:val="0"/>
        <w:autoSpaceDN w:val="0"/>
        <w:adjustRightInd w:val="0"/>
        <w:spacing w:after="0" w:line="240" w:lineRule="auto"/>
        <w:rPr>
          <w:rFonts w:asciiTheme="minorHAnsi" w:hAnsiTheme="minorHAnsi" w:cstheme="minorHAnsi"/>
          <w:b/>
          <w:bCs/>
          <w:lang w:val="fr-FR"/>
        </w:rPr>
      </w:pPr>
      <w:r w:rsidRPr="000B1B3C">
        <w:rPr>
          <w:rFonts w:asciiTheme="minorHAnsi" w:hAnsiTheme="minorHAnsi" w:cstheme="minorHAnsi"/>
          <w:b/>
          <w:bCs/>
          <w:lang w:val="fr-FR"/>
        </w:rPr>
        <w:t>Décision SC58-31 : Le Comité permanent demande la création de deux lignes budgétaires distinctes dans les futurs budgets pour les provisions pour : 1)  les arriérés de contributions et 2) les dépenses de personnel.</w:t>
      </w:r>
    </w:p>
    <w:p w14:paraId="5455344C" w14:textId="77777777" w:rsidR="000B1B3C" w:rsidRPr="005C642F" w:rsidRDefault="000B1B3C" w:rsidP="00C40AD2">
      <w:pPr>
        <w:autoSpaceDE w:val="0"/>
        <w:autoSpaceDN w:val="0"/>
        <w:adjustRightInd w:val="0"/>
        <w:spacing w:after="0" w:line="240" w:lineRule="auto"/>
        <w:rPr>
          <w:rFonts w:asciiTheme="minorHAnsi" w:hAnsiTheme="minorHAnsi" w:cstheme="minorHAnsi"/>
          <w:b/>
          <w:bCs/>
          <w:lang w:val="fr-FR"/>
        </w:rPr>
      </w:pPr>
    </w:p>
    <w:p w14:paraId="7DBA4C16" w14:textId="16E5A846" w:rsidR="00C40AD2" w:rsidRPr="005C642F"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fr-FR"/>
        </w:rPr>
      </w:pPr>
      <w:r w:rsidRPr="005C642F">
        <w:rPr>
          <w:rFonts w:asciiTheme="minorHAnsi" w:hAnsiTheme="minorHAnsi" w:cstheme="minorHAnsi"/>
          <w:bCs/>
          <w:lang w:val="fr-FR"/>
        </w:rPr>
        <w:t xml:space="preserve">Point 10 de l’ordre du jour : Adoption du rapport </w:t>
      </w:r>
      <w:r>
        <w:rPr>
          <w:rFonts w:asciiTheme="minorHAnsi" w:hAnsiTheme="minorHAnsi" w:cstheme="minorHAnsi"/>
          <w:bCs/>
          <w:lang w:val="fr-FR"/>
        </w:rPr>
        <w:t xml:space="preserve">de la </w:t>
      </w:r>
      <w:r w:rsidR="00932D74">
        <w:rPr>
          <w:rFonts w:asciiTheme="minorHAnsi" w:hAnsiTheme="minorHAnsi" w:cstheme="minorHAnsi"/>
          <w:bCs/>
          <w:lang w:val="fr-FR"/>
        </w:rPr>
        <w:t>séance</w:t>
      </w:r>
    </w:p>
    <w:p w14:paraId="6F05E3FF" w14:textId="77777777" w:rsidR="00C40AD2" w:rsidRPr="005C642F" w:rsidRDefault="00C40AD2" w:rsidP="00C40AD2">
      <w:pPr>
        <w:spacing w:after="0" w:line="240" w:lineRule="auto"/>
        <w:rPr>
          <w:rFonts w:asciiTheme="minorHAnsi" w:hAnsiTheme="minorHAnsi" w:cstheme="minorHAnsi"/>
          <w:b/>
          <w:bCs/>
          <w:lang w:val="fr-FR"/>
        </w:rPr>
      </w:pPr>
    </w:p>
    <w:p w14:paraId="50089F27" w14:textId="7C2A3542" w:rsidR="00C40AD2" w:rsidRPr="00E46BD8" w:rsidRDefault="00C40AD2" w:rsidP="00C40AD2">
      <w:pPr>
        <w:spacing w:after="0" w:line="240" w:lineRule="auto"/>
        <w:ind w:left="567" w:hanging="567"/>
        <w:contextualSpacing/>
        <w:rPr>
          <w:rFonts w:cs="Calibri"/>
          <w:lang w:val="fr-CH"/>
        </w:rPr>
      </w:pPr>
      <w:r w:rsidRPr="00E46BD8">
        <w:rPr>
          <w:rFonts w:cs="Calibri"/>
          <w:lang w:val="fr-CH"/>
        </w:rPr>
        <w:t>53.</w:t>
      </w:r>
      <w:r w:rsidRPr="00E46BD8">
        <w:rPr>
          <w:rFonts w:cs="Calibri"/>
          <w:lang w:val="fr-CH"/>
        </w:rPr>
        <w:tab/>
      </w:r>
      <w:r>
        <w:rPr>
          <w:rFonts w:cs="Calibri"/>
          <w:lang w:val="fr-CH"/>
        </w:rPr>
        <w:t xml:space="preserve">Le rapport de la </w:t>
      </w:r>
      <w:r w:rsidR="00932D74">
        <w:rPr>
          <w:rFonts w:cs="Calibri"/>
          <w:lang w:val="fr-CH"/>
        </w:rPr>
        <w:t>séance</w:t>
      </w:r>
      <w:r>
        <w:rPr>
          <w:rFonts w:cs="Calibri"/>
          <w:lang w:val="fr-CH"/>
        </w:rPr>
        <w:t xml:space="preserve"> du 23 juin est approuvé avec des amendements mineurs au paragraphe 7 et à la Décision </w:t>
      </w:r>
      <w:r w:rsidRPr="00E46BD8">
        <w:rPr>
          <w:rFonts w:cs="Calibri"/>
          <w:lang w:val="fr-CH"/>
        </w:rPr>
        <w:t>SC58</w:t>
      </w:r>
      <w:r>
        <w:rPr>
          <w:rFonts w:cs="Calibri"/>
          <w:lang w:val="fr-CH"/>
        </w:rPr>
        <w:noBreakHyphen/>
      </w:r>
      <w:r w:rsidRPr="00E46BD8">
        <w:rPr>
          <w:rFonts w:cs="Calibri"/>
          <w:lang w:val="fr-CH"/>
        </w:rPr>
        <w:t xml:space="preserve">19, </w:t>
      </w:r>
      <w:r>
        <w:rPr>
          <w:rFonts w:cs="Calibri"/>
          <w:lang w:val="fr-CH"/>
        </w:rPr>
        <w:t xml:space="preserve">étant entendu que les paragraphes 21 à 27, qui traitent </w:t>
      </w:r>
      <w:r>
        <w:rPr>
          <w:rFonts w:cs="Calibri"/>
          <w:lang w:val="fr-CH"/>
        </w:rPr>
        <w:lastRenderedPageBreak/>
        <w:t xml:space="preserve">des points non encore clos de l’ordre du jour, seront repris avec le projet de rapport de la </w:t>
      </w:r>
      <w:r w:rsidR="00932D74">
        <w:rPr>
          <w:rFonts w:cs="Calibri"/>
          <w:lang w:val="fr-CH"/>
        </w:rPr>
        <w:t>séance</w:t>
      </w:r>
      <w:r>
        <w:rPr>
          <w:rFonts w:cs="Calibri"/>
          <w:lang w:val="fr-CH"/>
        </w:rPr>
        <w:t xml:space="preserve"> actuelle. </w:t>
      </w:r>
    </w:p>
    <w:p w14:paraId="75CE7C32" w14:textId="77777777" w:rsidR="00C40AD2" w:rsidRPr="00E46BD8" w:rsidRDefault="00C40AD2" w:rsidP="00C40AD2">
      <w:pPr>
        <w:spacing w:after="0" w:line="240" w:lineRule="auto"/>
        <w:ind w:left="567" w:hanging="567"/>
        <w:contextualSpacing/>
        <w:rPr>
          <w:rFonts w:cs="Calibri"/>
          <w:lang w:val="fr-CH"/>
        </w:rPr>
      </w:pPr>
    </w:p>
    <w:p w14:paraId="0D7F92FD" w14:textId="0AA07E26" w:rsidR="00C40AD2" w:rsidRPr="00E46BD8" w:rsidRDefault="00C40AD2" w:rsidP="00C40AD2">
      <w:pPr>
        <w:spacing w:after="0" w:line="240" w:lineRule="auto"/>
        <w:ind w:left="567" w:hanging="567"/>
        <w:contextualSpacing/>
        <w:rPr>
          <w:rFonts w:cs="Calibri"/>
          <w:lang w:val="fr-CH"/>
        </w:rPr>
      </w:pPr>
      <w:r w:rsidRPr="00E46BD8">
        <w:rPr>
          <w:rFonts w:cs="Calibri"/>
          <w:lang w:val="fr-CH"/>
        </w:rPr>
        <w:t>54.</w:t>
      </w:r>
      <w:r w:rsidRPr="00E46BD8">
        <w:rPr>
          <w:rFonts w:cs="Calibri"/>
          <w:lang w:val="fr-CH"/>
        </w:rPr>
        <w:tab/>
      </w:r>
      <w:r>
        <w:rPr>
          <w:rFonts w:cs="Calibri"/>
          <w:lang w:val="fr-CH"/>
        </w:rPr>
        <w:t xml:space="preserve">Au cours de la discussion, </w:t>
      </w:r>
      <w:r w:rsidR="00936645">
        <w:rPr>
          <w:rFonts w:cs="Calibri"/>
          <w:lang w:val="fr-CH"/>
        </w:rPr>
        <w:t>une Partie</w:t>
      </w:r>
      <w:r>
        <w:rPr>
          <w:rFonts w:cs="Calibri"/>
          <w:lang w:val="fr-CH"/>
        </w:rPr>
        <w:t xml:space="preserve"> demande que les rapports de</w:t>
      </w:r>
      <w:r w:rsidR="00932D74">
        <w:rPr>
          <w:rFonts w:cs="Calibri"/>
          <w:lang w:val="fr-CH"/>
        </w:rPr>
        <w:t xml:space="preserve"> la réunion</w:t>
      </w:r>
      <w:r w:rsidR="00936645">
        <w:rPr>
          <w:rFonts w:cs="Calibri"/>
          <w:lang w:val="fr-CH"/>
        </w:rPr>
        <w:t xml:space="preserve"> – comme par le passé –</w:t>
      </w:r>
      <w:r>
        <w:rPr>
          <w:rFonts w:cs="Calibri"/>
          <w:lang w:val="fr-CH"/>
        </w:rPr>
        <w:t xml:space="preserve"> contiennent</w:t>
      </w:r>
      <w:r w:rsidR="00936645">
        <w:rPr>
          <w:rFonts w:cs="Calibri"/>
          <w:lang w:val="fr-CH"/>
        </w:rPr>
        <w:t xml:space="preserve"> </w:t>
      </w:r>
      <w:r>
        <w:rPr>
          <w:rFonts w:cs="Calibri"/>
          <w:lang w:val="fr-CH"/>
        </w:rPr>
        <w:t>plus de détails sur les questions de fond, en particulier lorsque de nouvelles idées et de nouveaux thèmes sont proposés par le Secrétariat, entre autres.</w:t>
      </w:r>
    </w:p>
    <w:p w14:paraId="72369B18" w14:textId="77777777" w:rsidR="00C40AD2" w:rsidRPr="00E46BD8" w:rsidRDefault="00C40AD2" w:rsidP="00C40AD2">
      <w:pPr>
        <w:spacing w:after="0" w:line="240" w:lineRule="auto"/>
        <w:ind w:left="567" w:hanging="567"/>
        <w:contextualSpacing/>
        <w:rPr>
          <w:rFonts w:cs="Calibri"/>
          <w:lang w:val="fr-CH"/>
        </w:rPr>
      </w:pPr>
    </w:p>
    <w:p w14:paraId="33E8E7D9" w14:textId="77777777" w:rsidR="00C40AD2" w:rsidRPr="00E46BD8" w:rsidRDefault="00C40AD2" w:rsidP="00C40AD2">
      <w:pPr>
        <w:spacing w:after="0" w:line="240" w:lineRule="auto"/>
        <w:ind w:left="567" w:hanging="567"/>
        <w:contextualSpacing/>
        <w:rPr>
          <w:rFonts w:cs="Calibri"/>
          <w:lang w:val="fr-CH"/>
        </w:rPr>
      </w:pPr>
      <w:r w:rsidRPr="00E46BD8">
        <w:rPr>
          <w:rFonts w:cs="Calibri"/>
          <w:lang w:val="fr-CH"/>
        </w:rPr>
        <w:t>55.</w:t>
      </w:r>
      <w:r w:rsidRPr="00E46BD8">
        <w:rPr>
          <w:rFonts w:cs="Calibri"/>
          <w:lang w:val="fr-CH"/>
        </w:rPr>
        <w:tab/>
      </w:r>
      <w:r>
        <w:rPr>
          <w:rFonts w:cs="Calibri"/>
          <w:lang w:val="fr-CH"/>
        </w:rPr>
        <w:t xml:space="preserve">Les </w:t>
      </w:r>
      <w:r w:rsidRPr="00E46BD8">
        <w:rPr>
          <w:rFonts w:cs="Calibri"/>
          <w:b/>
          <w:lang w:val="fr-CH"/>
        </w:rPr>
        <w:t>États</w:t>
      </w:r>
      <w:r w:rsidRPr="00E46BD8">
        <w:rPr>
          <w:rFonts w:cs="Calibri"/>
          <w:b/>
          <w:lang w:val="fr-CH"/>
        </w:rPr>
        <w:noBreakHyphen/>
        <w:t>Unis d’Amérique</w:t>
      </w:r>
      <w:r>
        <w:rPr>
          <w:rFonts w:cs="Calibri"/>
          <w:lang w:val="fr-CH"/>
        </w:rPr>
        <w:t>, le</w:t>
      </w:r>
      <w:r w:rsidRPr="00E46BD8">
        <w:rPr>
          <w:rFonts w:cs="Calibri"/>
          <w:lang w:val="fr-CH"/>
        </w:rPr>
        <w:t xml:space="preserve"> </w:t>
      </w:r>
      <w:r w:rsidRPr="00E46BD8">
        <w:rPr>
          <w:rFonts w:cs="Calibri"/>
          <w:b/>
          <w:lang w:val="fr-CH"/>
        </w:rPr>
        <w:t>Jap</w:t>
      </w:r>
      <w:r>
        <w:rPr>
          <w:rFonts w:cs="Calibri"/>
          <w:b/>
          <w:lang w:val="fr-CH"/>
        </w:rPr>
        <w:t>o</w:t>
      </w:r>
      <w:r w:rsidRPr="00E46BD8">
        <w:rPr>
          <w:rFonts w:cs="Calibri"/>
          <w:b/>
          <w:lang w:val="fr-CH"/>
        </w:rPr>
        <w:t>n</w:t>
      </w:r>
      <w:r>
        <w:rPr>
          <w:rFonts w:cs="Calibri"/>
          <w:lang w:val="fr-CH"/>
        </w:rPr>
        <w:t xml:space="preserve"> et la </w:t>
      </w:r>
      <w:r w:rsidRPr="00E46BD8">
        <w:rPr>
          <w:rFonts w:cs="Calibri"/>
          <w:b/>
          <w:lang w:val="fr-CH"/>
        </w:rPr>
        <w:t>Suisse</w:t>
      </w:r>
      <w:r>
        <w:rPr>
          <w:rFonts w:cs="Calibri"/>
          <w:lang w:val="fr-CH"/>
        </w:rPr>
        <w:t xml:space="preserve"> interviennent dans la discussion. </w:t>
      </w:r>
    </w:p>
    <w:p w14:paraId="09133AB0" w14:textId="77777777" w:rsidR="00C40AD2" w:rsidRPr="00E46BD8" w:rsidRDefault="00C40AD2" w:rsidP="00C40AD2">
      <w:pPr>
        <w:spacing w:after="0" w:line="240" w:lineRule="auto"/>
        <w:ind w:left="567" w:hanging="567"/>
        <w:contextualSpacing/>
        <w:rPr>
          <w:rFonts w:cs="Calibri"/>
          <w:lang w:val="fr-CH"/>
        </w:rPr>
      </w:pPr>
    </w:p>
    <w:p w14:paraId="41BF3706" w14:textId="77777777" w:rsidR="00C40AD2" w:rsidRPr="00E46BD8"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fr-CH"/>
        </w:rPr>
      </w:pPr>
      <w:r w:rsidRPr="00E46BD8">
        <w:rPr>
          <w:rFonts w:asciiTheme="minorHAnsi" w:hAnsiTheme="minorHAnsi" w:cstheme="minorHAnsi"/>
          <w:bCs/>
          <w:lang w:val="fr-CH"/>
        </w:rPr>
        <w:t>Point 11 de l’ordre du jour : Divers</w:t>
      </w:r>
    </w:p>
    <w:p w14:paraId="5FAEA6C9" w14:textId="77777777" w:rsidR="00C40AD2" w:rsidRPr="00E46BD8" w:rsidRDefault="00C40AD2" w:rsidP="00C40AD2">
      <w:pPr>
        <w:spacing w:after="0" w:line="240" w:lineRule="auto"/>
        <w:rPr>
          <w:rFonts w:asciiTheme="minorHAnsi" w:hAnsiTheme="minorHAnsi" w:cstheme="minorHAnsi"/>
          <w:b/>
          <w:bCs/>
          <w:lang w:val="fr-CH"/>
        </w:rPr>
      </w:pPr>
    </w:p>
    <w:p w14:paraId="4A416368" w14:textId="77777777" w:rsidR="00C40AD2" w:rsidRPr="00E46BD8" w:rsidRDefault="00C40AD2" w:rsidP="00C40AD2">
      <w:pPr>
        <w:spacing w:after="0" w:line="240" w:lineRule="auto"/>
        <w:ind w:left="567" w:hanging="567"/>
        <w:contextualSpacing/>
        <w:rPr>
          <w:rFonts w:cs="Calibri"/>
          <w:lang w:val="fr-CH"/>
        </w:rPr>
      </w:pPr>
      <w:r w:rsidRPr="00E46BD8">
        <w:rPr>
          <w:rFonts w:cs="Calibri"/>
          <w:lang w:val="fr-CH"/>
        </w:rPr>
        <w:t>56.</w:t>
      </w:r>
      <w:r w:rsidRPr="00E46BD8">
        <w:rPr>
          <w:rFonts w:cs="Calibri"/>
          <w:lang w:val="fr-CH"/>
        </w:rPr>
        <w:tab/>
        <w:t>Aucun point n’est soulevé.</w:t>
      </w:r>
    </w:p>
    <w:p w14:paraId="498F6652" w14:textId="77777777" w:rsidR="00C40AD2" w:rsidRPr="00E46BD8" w:rsidRDefault="00C40AD2" w:rsidP="00C40AD2">
      <w:pPr>
        <w:spacing w:after="0" w:line="240" w:lineRule="auto"/>
        <w:rPr>
          <w:rFonts w:asciiTheme="minorHAnsi" w:hAnsiTheme="minorHAnsi" w:cstheme="minorHAnsi"/>
          <w:b/>
          <w:bCs/>
          <w:lang w:val="fr-CH"/>
        </w:rPr>
      </w:pPr>
    </w:p>
    <w:p w14:paraId="1D5533F4" w14:textId="77777777" w:rsidR="00C40AD2" w:rsidRPr="00E46BD8" w:rsidRDefault="00C40AD2" w:rsidP="00C40AD2">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lang w:val="fr-CH"/>
        </w:rPr>
      </w:pPr>
      <w:r w:rsidRPr="00E46BD8">
        <w:rPr>
          <w:rFonts w:asciiTheme="minorHAnsi" w:hAnsiTheme="minorHAnsi" w:cstheme="minorHAnsi"/>
          <w:bCs/>
          <w:lang w:val="fr-CH"/>
        </w:rPr>
        <w:t>Point 12 de l’ordre du jour : Remarques de clôture</w:t>
      </w:r>
    </w:p>
    <w:p w14:paraId="68B6DB26" w14:textId="77777777" w:rsidR="00C40AD2" w:rsidRPr="00E46BD8" w:rsidRDefault="00C40AD2" w:rsidP="00C40AD2">
      <w:pPr>
        <w:spacing w:after="0" w:line="240" w:lineRule="auto"/>
        <w:rPr>
          <w:rFonts w:asciiTheme="minorHAnsi" w:hAnsiTheme="minorHAnsi" w:cstheme="minorHAnsi"/>
          <w:lang w:val="fr-CH"/>
        </w:rPr>
      </w:pPr>
      <w:r w:rsidRPr="00E46BD8">
        <w:rPr>
          <w:rFonts w:asciiTheme="minorHAnsi" w:hAnsiTheme="minorHAnsi" w:cstheme="minorHAnsi"/>
          <w:lang w:val="fr-CH"/>
        </w:rPr>
        <w:t xml:space="preserve"> </w:t>
      </w:r>
    </w:p>
    <w:p w14:paraId="4A0233E5" w14:textId="5E072C4E" w:rsidR="00C40AD2" w:rsidRPr="00E46BD8" w:rsidRDefault="00C40AD2" w:rsidP="00C40AD2">
      <w:pPr>
        <w:spacing w:after="0" w:line="240" w:lineRule="auto"/>
        <w:ind w:left="567" w:hanging="567"/>
        <w:contextualSpacing/>
        <w:rPr>
          <w:rFonts w:cs="Calibri"/>
          <w:lang w:val="fr-CH"/>
        </w:rPr>
      </w:pPr>
      <w:r w:rsidRPr="00E46BD8">
        <w:rPr>
          <w:rFonts w:cs="Calibri"/>
          <w:lang w:val="fr-CH"/>
        </w:rPr>
        <w:t>57.</w:t>
      </w:r>
      <w:r w:rsidRPr="00E46BD8">
        <w:rPr>
          <w:rFonts w:cs="Calibri"/>
          <w:lang w:val="fr-CH"/>
        </w:rPr>
        <w:tab/>
        <w:t xml:space="preserve">En déclarant la clôture de la </w:t>
      </w:r>
      <w:r w:rsidR="00932D74">
        <w:rPr>
          <w:rFonts w:cs="Calibri"/>
          <w:lang w:val="fr-CH"/>
        </w:rPr>
        <w:t>séance</w:t>
      </w:r>
      <w:r w:rsidRPr="00E46BD8">
        <w:rPr>
          <w:rFonts w:cs="Calibri"/>
          <w:lang w:val="fr-CH"/>
        </w:rPr>
        <w:t>, le Président remercie tous ceux qui y ont participé dans ces circonstances particulières.</w:t>
      </w:r>
      <w:r>
        <w:rPr>
          <w:rFonts w:cs="Calibri"/>
          <w:lang w:val="fr-CH"/>
        </w:rPr>
        <w:t xml:space="preserve"> </w:t>
      </w:r>
      <w:r w:rsidRPr="001363AC">
        <w:rPr>
          <w:bCs/>
          <w:lang w:val="fr-CH"/>
        </w:rPr>
        <w:t xml:space="preserve">La </w:t>
      </w:r>
      <w:r>
        <w:rPr>
          <w:bCs/>
          <w:lang w:val="fr-CH"/>
        </w:rPr>
        <w:t>Secrétaire générale remercie le Président, les Parties, les interprètes et le personnel.</w:t>
      </w:r>
    </w:p>
    <w:p w14:paraId="518DB208" w14:textId="77777777" w:rsidR="00C40AD2" w:rsidRPr="00E46BD8" w:rsidRDefault="00C40AD2" w:rsidP="00C40AD2">
      <w:pPr>
        <w:spacing w:after="0" w:line="240" w:lineRule="auto"/>
        <w:rPr>
          <w:b/>
          <w:lang w:val="fr-CH"/>
        </w:rPr>
      </w:pPr>
    </w:p>
    <w:p w14:paraId="7A6198C0" w14:textId="50710182" w:rsidR="001D5C6D" w:rsidRDefault="00C40AD2" w:rsidP="00C40AD2">
      <w:pPr>
        <w:spacing w:after="0" w:line="240" w:lineRule="auto"/>
        <w:ind w:left="567" w:hanging="567"/>
        <w:rPr>
          <w:rFonts w:asciiTheme="minorHAnsi" w:hAnsiTheme="minorHAnsi" w:cstheme="minorHAnsi"/>
          <w:bCs/>
          <w:lang w:val="fr-CH"/>
        </w:rPr>
      </w:pPr>
      <w:r w:rsidRPr="00E46BD8">
        <w:rPr>
          <w:rFonts w:asciiTheme="minorHAnsi" w:hAnsiTheme="minorHAnsi" w:cstheme="minorHAnsi"/>
          <w:bCs/>
          <w:lang w:val="fr-CH"/>
        </w:rPr>
        <w:t xml:space="preserve">La </w:t>
      </w:r>
      <w:r w:rsidR="00932D74">
        <w:rPr>
          <w:rFonts w:asciiTheme="minorHAnsi" w:hAnsiTheme="minorHAnsi" w:cstheme="minorHAnsi"/>
          <w:bCs/>
          <w:lang w:val="fr-CH"/>
        </w:rPr>
        <w:t>séance</w:t>
      </w:r>
      <w:r w:rsidRPr="00E46BD8">
        <w:rPr>
          <w:rFonts w:asciiTheme="minorHAnsi" w:hAnsiTheme="minorHAnsi" w:cstheme="minorHAnsi"/>
          <w:bCs/>
          <w:lang w:val="fr-CH"/>
        </w:rPr>
        <w:t xml:space="preserve"> est levée à 16</w:t>
      </w:r>
      <w:r>
        <w:rPr>
          <w:rFonts w:asciiTheme="minorHAnsi" w:hAnsiTheme="minorHAnsi" w:cstheme="minorHAnsi"/>
          <w:bCs/>
          <w:lang w:val="fr-CH"/>
        </w:rPr>
        <w:t>h</w:t>
      </w:r>
      <w:r w:rsidRPr="00E46BD8">
        <w:rPr>
          <w:rFonts w:asciiTheme="minorHAnsi" w:hAnsiTheme="minorHAnsi" w:cstheme="minorHAnsi"/>
          <w:bCs/>
          <w:lang w:val="fr-CH"/>
        </w:rPr>
        <w:t>00.</w:t>
      </w:r>
    </w:p>
    <w:p w14:paraId="1A53C82C" w14:textId="3E39F083" w:rsidR="00F76395" w:rsidRDefault="00F76395" w:rsidP="00C40AD2">
      <w:pPr>
        <w:spacing w:after="0" w:line="240" w:lineRule="auto"/>
        <w:ind w:left="567" w:hanging="567"/>
        <w:rPr>
          <w:rFonts w:asciiTheme="minorHAnsi" w:hAnsiTheme="minorHAnsi" w:cstheme="minorHAnsi"/>
          <w:bCs/>
          <w:lang w:val="fr-CH"/>
        </w:rPr>
      </w:pPr>
    </w:p>
    <w:p w14:paraId="4FCCA044" w14:textId="6B0CA3CB" w:rsidR="00F76395" w:rsidRDefault="00F76395">
      <w:pPr>
        <w:rPr>
          <w:rFonts w:asciiTheme="minorHAnsi" w:hAnsiTheme="minorHAnsi" w:cstheme="minorHAnsi"/>
          <w:bCs/>
          <w:lang w:val="fr-CH"/>
        </w:rPr>
      </w:pPr>
      <w:r>
        <w:rPr>
          <w:rFonts w:asciiTheme="minorHAnsi" w:hAnsiTheme="minorHAnsi" w:cstheme="minorHAnsi"/>
          <w:bCs/>
          <w:lang w:val="fr-CH"/>
        </w:rPr>
        <w:br w:type="page"/>
      </w:r>
    </w:p>
    <w:p w14:paraId="4507AB77" w14:textId="0021BAD2" w:rsidR="00F76395" w:rsidRDefault="00F76395" w:rsidP="00F76395">
      <w:pPr>
        <w:pStyle w:val="Heading1"/>
        <w:widowControl/>
        <w:ind w:left="0"/>
        <w:rPr>
          <w:sz w:val="24"/>
          <w:szCs w:val="24"/>
          <w:lang w:val="fr-FR"/>
        </w:rPr>
      </w:pPr>
      <w:r>
        <w:rPr>
          <w:sz w:val="24"/>
          <w:szCs w:val="24"/>
          <w:lang w:val="fr-FR"/>
        </w:rPr>
        <w:lastRenderedPageBreak/>
        <w:t>Annexe 1</w:t>
      </w:r>
    </w:p>
    <w:p w14:paraId="02E65E98" w14:textId="77777777" w:rsidR="00F76395" w:rsidRDefault="00F76395" w:rsidP="00F76395">
      <w:pPr>
        <w:pStyle w:val="Heading1"/>
        <w:widowControl/>
        <w:ind w:left="0"/>
        <w:rPr>
          <w:sz w:val="24"/>
          <w:szCs w:val="24"/>
          <w:lang w:val="fr-FR"/>
        </w:rPr>
      </w:pPr>
    </w:p>
    <w:p w14:paraId="036C0F1D" w14:textId="041216F7" w:rsidR="00F76395" w:rsidRPr="00F76395" w:rsidRDefault="00F76395" w:rsidP="00F76395">
      <w:pPr>
        <w:pStyle w:val="Heading1"/>
        <w:widowControl/>
        <w:ind w:left="0"/>
        <w:rPr>
          <w:sz w:val="24"/>
          <w:szCs w:val="24"/>
          <w:lang w:val="fr-FR"/>
        </w:rPr>
      </w:pPr>
      <w:r w:rsidRPr="00F76395">
        <w:rPr>
          <w:sz w:val="24"/>
          <w:szCs w:val="24"/>
          <w:lang w:val="fr-FR"/>
        </w:rPr>
        <w:t xml:space="preserve">Rapport et recommandations de la réunion du Groupe de travail sur la gestion, 10 juin 2020 </w:t>
      </w:r>
    </w:p>
    <w:p w14:paraId="638C8767" w14:textId="77777777" w:rsidR="00F76395" w:rsidRPr="00F76395" w:rsidRDefault="00F76395" w:rsidP="00F76395">
      <w:pPr>
        <w:pStyle w:val="BodyText"/>
        <w:widowControl/>
        <w:rPr>
          <w:rFonts w:asciiTheme="minorHAnsi" w:hAnsiTheme="minorHAnsi" w:cstheme="minorHAnsi"/>
          <w:b/>
          <w:lang w:val="fr-CH"/>
        </w:rPr>
      </w:pPr>
    </w:p>
    <w:p w14:paraId="21335948" w14:textId="77777777" w:rsidR="00F76395" w:rsidRPr="00F76395" w:rsidRDefault="00F76395" w:rsidP="00F76395">
      <w:pPr>
        <w:pStyle w:val="BodyText"/>
        <w:widowControl/>
        <w:rPr>
          <w:rFonts w:asciiTheme="minorHAnsi" w:hAnsiTheme="minorHAnsi" w:cstheme="minorHAnsi"/>
          <w:b/>
          <w:lang w:val="fr-CH"/>
        </w:rPr>
      </w:pPr>
    </w:p>
    <w:p w14:paraId="49F4D0FC" w14:textId="77777777" w:rsidR="00F76395" w:rsidRPr="009F420A" w:rsidRDefault="00F76395" w:rsidP="00F76395">
      <w:pPr>
        <w:spacing w:after="0" w:line="240" w:lineRule="auto"/>
        <w:rPr>
          <w:rFonts w:asciiTheme="minorHAnsi" w:hAnsiTheme="minorHAnsi" w:cstheme="minorHAnsi"/>
          <w:b/>
          <w:lang w:val="fr-CH"/>
        </w:rPr>
      </w:pPr>
      <w:r w:rsidRPr="009F420A">
        <w:rPr>
          <w:rFonts w:asciiTheme="minorHAnsi" w:hAnsiTheme="minorHAnsi" w:cstheme="minorHAnsi"/>
          <w:b/>
          <w:lang w:val="fr-CH"/>
        </w:rPr>
        <w:t>Participants :</w:t>
      </w:r>
    </w:p>
    <w:p w14:paraId="5002255E" w14:textId="77777777" w:rsidR="00F76395" w:rsidRPr="00F76395" w:rsidRDefault="00F76395" w:rsidP="00F76395">
      <w:pPr>
        <w:pStyle w:val="BodyText"/>
        <w:widowControl/>
        <w:rPr>
          <w:rFonts w:asciiTheme="minorHAnsi" w:hAnsiTheme="minorHAnsi" w:cstheme="minorHAnsi"/>
          <w:b/>
          <w:lang w:val="fr-CH"/>
        </w:rPr>
      </w:pPr>
    </w:p>
    <w:p w14:paraId="7D606E79" w14:textId="77777777" w:rsidR="00F76395" w:rsidRPr="00F76395" w:rsidRDefault="00F76395" w:rsidP="00F76395">
      <w:pPr>
        <w:pStyle w:val="Heading2"/>
        <w:widowControl/>
        <w:ind w:left="0"/>
        <w:jc w:val="left"/>
        <w:rPr>
          <w:rFonts w:asciiTheme="minorHAnsi" w:hAnsiTheme="minorHAnsi" w:cstheme="minorHAnsi"/>
          <w:lang w:val="fr-CH"/>
        </w:rPr>
      </w:pPr>
      <w:r w:rsidRPr="00F76395">
        <w:rPr>
          <w:rFonts w:asciiTheme="minorHAnsi" w:hAnsiTheme="minorHAnsi" w:cstheme="minorHAnsi"/>
          <w:lang w:val="fr-CH"/>
        </w:rPr>
        <w:t>Membres du Groupe de travail sur la gestion</w:t>
      </w:r>
    </w:p>
    <w:p w14:paraId="777B044D"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Australie</w:t>
      </w:r>
    </w:p>
    <w:p w14:paraId="4560F0FD"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Émirats arabes unis</w:t>
      </w:r>
    </w:p>
    <w:p w14:paraId="3309ECDB"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États-Unis d’Amérique</w:t>
      </w:r>
    </w:p>
    <w:p w14:paraId="1ED06A52"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Mexique</w:t>
      </w:r>
    </w:p>
    <w:p w14:paraId="3C8BA0AF"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République islamique d’Iran</w:t>
      </w:r>
    </w:p>
    <w:p w14:paraId="53A02BB2"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Sénégal</w:t>
      </w:r>
    </w:p>
    <w:p w14:paraId="42B92880"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Suède</w:t>
      </w:r>
    </w:p>
    <w:p w14:paraId="5453925C"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Suisse</w:t>
      </w:r>
    </w:p>
    <w:p w14:paraId="2522C7CA"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Uruguay</w:t>
      </w:r>
    </w:p>
    <w:p w14:paraId="4257473B" w14:textId="77777777" w:rsidR="00F76395" w:rsidRPr="00F76395" w:rsidRDefault="00F76395" w:rsidP="00F76395">
      <w:pPr>
        <w:pStyle w:val="BodyText"/>
        <w:widowControl/>
        <w:rPr>
          <w:rFonts w:asciiTheme="minorHAnsi" w:hAnsiTheme="minorHAnsi" w:cstheme="minorHAnsi"/>
          <w:lang w:val="fr-CH"/>
        </w:rPr>
      </w:pPr>
    </w:p>
    <w:p w14:paraId="29547AC7" w14:textId="77777777" w:rsidR="00F76395" w:rsidRPr="00F76395" w:rsidRDefault="00F76395" w:rsidP="00F76395">
      <w:pPr>
        <w:pStyle w:val="Heading2"/>
        <w:widowControl/>
        <w:ind w:left="0"/>
        <w:jc w:val="left"/>
        <w:rPr>
          <w:rFonts w:asciiTheme="minorHAnsi" w:hAnsiTheme="minorHAnsi" w:cstheme="minorHAnsi"/>
          <w:lang w:val="fr-CH"/>
        </w:rPr>
      </w:pPr>
      <w:r w:rsidRPr="00F76395">
        <w:rPr>
          <w:rFonts w:asciiTheme="minorHAnsi" w:hAnsiTheme="minorHAnsi" w:cstheme="minorHAnsi"/>
          <w:lang w:val="fr-CH"/>
        </w:rPr>
        <w:t>Membres autres que les Parties contractantes</w:t>
      </w:r>
    </w:p>
    <w:p w14:paraId="28F6DDB1"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Président du GEST</w:t>
      </w:r>
    </w:p>
    <w:p w14:paraId="21A38806"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Ancien Président du GEST</w:t>
      </w:r>
    </w:p>
    <w:p w14:paraId="19A614EA"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Représentant des OIP (WWT)</w:t>
      </w:r>
    </w:p>
    <w:p w14:paraId="137D1A78" w14:textId="77777777" w:rsidR="00F76395" w:rsidRPr="00F76395" w:rsidRDefault="00F76395" w:rsidP="00F76395">
      <w:pPr>
        <w:pStyle w:val="BodyText"/>
        <w:widowControl/>
        <w:rPr>
          <w:rFonts w:asciiTheme="minorHAnsi" w:hAnsiTheme="minorHAnsi" w:cstheme="minorHAnsi"/>
          <w:lang w:val="fr-CH"/>
        </w:rPr>
      </w:pPr>
    </w:p>
    <w:p w14:paraId="416D2FAE" w14:textId="77777777" w:rsidR="00F76395" w:rsidRPr="00F76395" w:rsidRDefault="00F76395" w:rsidP="00F76395">
      <w:pPr>
        <w:pStyle w:val="Heading2"/>
        <w:widowControl/>
        <w:ind w:left="0"/>
        <w:jc w:val="left"/>
        <w:rPr>
          <w:rFonts w:asciiTheme="minorHAnsi" w:hAnsiTheme="minorHAnsi" w:cstheme="minorHAnsi"/>
          <w:lang w:val="fr-CH"/>
        </w:rPr>
      </w:pPr>
      <w:r w:rsidRPr="00F76395">
        <w:rPr>
          <w:rFonts w:asciiTheme="minorHAnsi" w:hAnsiTheme="minorHAnsi" w:cstheme="minorHAnsi"/>
          <w:lang w:val="fr-CH"/>
        </w:rPr>
        <w:t>Parties contractantes observatrices</w:t>
      </w:r>
    </w:p>
    <w:p w14:paraId="14CB07FF"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Brésil</w:t>
      </w:r>
    </w:p>
    <w:p w14:paraId="4BFE76B0"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Fédération de Russie</w:t>
      </w:r>
    </w:p>
    <w:p w14:paraId="7C1C087D"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Myanmar</w:t>
      </w:r>
    </w:p>
    <w:p w14:paraId="5A7E9959"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Roumanie</w:t>
      </w:r>
    </w:p>
    <w:p w14:paraId="45CDC193"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Royaume-Uni</w:t>
      </w:r>
    </w:p>
    <w:p w14:paraId="018800DE" w14:textId="77777777" w:rsidR="00F76395" w:rsidRPr="00F76395" w:rsidRDefault="00F76395" w:rsidP="00F76395">
      <w:pPr>
        <w:pStyle w:val="BodyText"/>
        <w:widowControl/>
        <w:rPr>
          <w:rFonts w:asciiTheme="minorHAnsi" w:hAnsiTheme="minorHAnsi" w:cstheme="minorHAnsi"/>
          <w:lang w:val="fr-CH"/>
        </w:rPr>
      </w:pPr>
    </w:p>
    <w:p w14:paraId="5995FDAB" w14:textId="77777777" w:rsidR="00F76395" w:rsidRPr="00F76395" w:rsidRDefault="00F76395" w:rsidP="00F76395">
      <w:pPr>
        <w:pStyle w:val="Heading2"/>
        <w:widowControl/>
        <w:ind w:left="0"/>
        <w:jc w:val="left"/>
        <w:rPr>
          <w:rFonts w:asciiTheme="minorHAnsi" w:hAnsiTheme="minorHAnsi" w:cstheme="minorHAnsi"/>
          <w:lang w:val="fr-CH"/>
        </w:rPr>
      </w:pPr>
      <w:r w:rsidRPr="00F76395">
        <w:rPr>
          <w:rFonts w:asciiTheme="minorHAnsi" w:hAnsiTheme="minorHAnsi" w:cstheme="minorHAnsi"/>
          <w:lang w:val="fr-CH"/>
        </w:rPr>
        <w:t>Secrétariat</w:t>
      </w:r>
    </w:p>
    <w:p w14:paraId="6A316BBA"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Martha Rojas Urrego, Secrétaire générale</w:t>
      </w:r>
    </w:p>
    <w:p w14:paraId="04FEA560"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Jay Aldous, Secrétaire général adjoint</w:t>
      </w:r>
    </w:p>
    <w:p w14:paraId="381B0F72"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Marcela Bonells, Responsable, sciences et politique</w:t>
      </w:r>
    </w:p>
    <w:p w14:paraId="012C4B67"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Delphine Bremond, Assistante exécutive de la Secrétaire générale</w:t>
      </w:r>
    </w:p>
    <w:p w14:paraId="1B5570BB"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Manuel Kern, Responsable TI</w:t>
      </w:r>
    </w:p>
    <w:p w14:paraId="37D28642" w14:textId="77777777" w:rsidR="00F76395" w:rsidRPr="00F76395" w:rsidRDefault="00F76395" w:rsidP="009F420A">
      <w:pPr>
        <w:pStyle w:val="ListParagraph"/>
        <w:numPr>
          <w:ilvl w:val="0"/>
          <w:numId w:val="34"/>
        </w:numPr>
        <w:autoSpaceDE w:val="0"/>
        <w:autoSpaceDN w:val="0"/>
        <w:spacing w:after="0" w:line="240" w:lineRule="auto"/>
        <w:ind w:left="426" w:hanging="425"/>
        <w:contextualSpacing w:val="0"/>
        <w:rPr>
          <w:rFonts w:asciiTheme="minorHAnsi" w:hAnsiTheme="minorHAnsi" w:cstheme="minorHAnsi"/>
          <w:lang w:val="fr-CH"/>
        </w:rPr>
      </w:pPr>
      <w:r w:rsidRPr="00F76395">
        <w:rPr>
          <w:rFonts w:asciiTheme="minorHAnsi" w:hAnsiTheme="minorHAnsi" w:cstheme="minorHAnsi"/>
          <w:lang w:val="fr-CH"/>
        </w:rPr>
        <w:t>Edmund Jennings, Responsable documentation</w:t>
      </w:r>
      <w:r w:rsidRPr="009F420A">
        <w:rPr>
          <w:rFonts w:asciiTheme="minorHAnsi" w:hAnsiTheme="minorHAnsi" w:cstheme="minorHAnsi"/>
          <w:lang w:val="fr-CH"/>
        </w:rPr>
        <w:t xml:space="preserve"> </w:t>
      </w:r>
    </w:p>
    <w:p w14:paraId="22756C88" w14:textId="77777777" w:rsidR="00F76395" w:rsidRPr="00F76395" w:rsidRDefault="00F76395" w:rsidP="009F420A">
      <w:pPr>
        <w:pStyle w:val="BodyText"/>
        <w:widowControl/>
        <w:ind w:left="0"/>
        <w:rPr>
          <w:rFonts w:asciiTheme="minorHAnsi" w:hAnsiTheme="minorHAnsi" w:cstheme="minorHAnsi"/>
          <w:lang w:val="fr-CH"/>
        </w:rPr>
      </w:pPr>
    </w:p>
    <w:p w14:paraId="0DD15169" w14:textId="77777777" w:rsidR="00F76395" w:rsidRPr="00F76395" w:rsidRDefault="00F76395" w:rsidP="009F420A">
      <w:pPr>
        <w:pStyle w:val="BodyText"/>
        <w:widowControl/>
        <w:ind w:left="0"/>
        <w:rPr>
          <w:rFonts w:asciiTheme="minorHAnsi" w:hAnsiTheme="minorHAnsi" w:cstheme="minorHAnsi"/>
          <w:lang w:val="fr-CH"/>
        </w:rPr>
      </w:pPr>
    </w:p>
    <w:p w14:paraId="322CDEDF" w14:textId="77777777" w:rsidR="00F76395" w:rsidRPr="00F76395" w:rsidRDefault="00F76395" w:rsidP="009F420A">
      <w:pPr>
        <w:pStyle w:val="Heading1"/>
        <w:widowControl/>
        <w:ind w:left="0"/>
        <w:rPr>
          <w:rFonts w:asciiTheme="minorHAnsi" w:hAnsiTheme="minorHAnsi" w:cstheme="minorHAnsi"/>
          <w:lang w:val="fr-CH"/>
        </w:rPr>
      </w:pPr>
      <w:r w:rsidRPr="00F76395">
        <w:rPr>
          <w:rFonts w:asciiTheme="minorHAnsi" w:hAnsiTheme="minorHAnsi" w:cstheme="minorHAnsi"/>
          <w:lang w:val="fr-CH"/>
        </w:rPr>
        <w:t>Résumé</w:t>
      </w:r>
    </w:p>
    <w:p w14:paraId="7E6ECD8D" w14:textId="77777777" w:rsidR="00F76395" w:rsidRPr="00F76395" w:rsidRDefault="00F76395" w:rsidP="009F420A">
      <w:pPr>
        <w:pStyle w:val="BodyText"/>
        <w:widowControl/>
        <w:ind w:left="0"/>
        <w:rPr>
          <w:rFonts w:asciiTheme="minorHAnsi" w:hAnsiTheme="minorHAnsi" w:cstheme="minorHAnsi"/>
          <w:b/>
          <w:lang w:val="fr-CH"/>
        </w:rPr>
      </w:pPr>
    </w:p>
    <w:p w14:paraId="7BD0916E"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lang w:val="fr-CH"/>
        </w:rPr>
        <w:t>Le Président du Groupe d’évaluation scientifique et technique (GEST) résume son rapport (document SC58 Doc.19) et fait une mise à jour sur des points particuliers à l’intention du Groupe de travail sur la gestion. En réponse aux questions du Groupe de travail sur la gestion, d’autres informations sont données.</w:t>
      </w:r>
    </w:p>
    <w:p w14:paraId="0B6828DE" w14:textId="77777777" w:rsidR="00F76395" w:rsidRPr="00F76395" w:rsidRDefault="00F76395" w:rsidP="009F420A">
      <w:pPr>
        <w:spacing w:after="0" w:line="240" w:lineRule="auto"/>
        <w:rPr>
          <w:rFonts w:asciiTheme="minorHAnsi" w:hAnsiTheme="minorHAnsi" w:cstheme="minorHAnsi"/>
          <w:i/>
          <w:lang w:val="fr-CH"/>
        </w:rPr>
      </w:pPr>
    </w:p>
    <w:p w14:paraId="35F48286" w14:textId="77777777" w:rsidR="00F76395" w:rsidRPr="00F76395" w:rsidRDefault="00F76395" w:rsidP="009F420A">
      <w:pPr>
        <w:keepNext/>
        <w:spacing w:after="0" w:line="240" w:lineRule="auto"/>
        <w:rPr>
          <w:rFonts w:asciiTheme="minorHAnsi" w:hAnsiTheme="minorHAnsi" w:cstheme="minorHAnsi"/>
          <w:i/>
          <w:lang w:val="fr-CH"/>
        </w:rPr>
      </w:pPr>
      <w:r w:rsidRPr="00F76395">
        <w:rPr>
          <w:rFonts w:asciiTheme="minorHAnsi" w:hAnsiTheme="minorHAnsi" w:cstheme="minorHAnsi"/>
          <w:i/>
          <w:lang w:val="fr-CH"/>
        </w:rPr>
        <w:t>Tâches ayant la plus haute priorité</w:t>
      </w:r>
    </w:p>
    <w:p w14:paraId="0040192A" w14:textId="77777777" w:rsidR="00F76395" w:rsidRPr="00F76395" w:rsidRDefault="00F76395" w:rsidP="009F420A">
      <w:pPr>
        <w:pStyle w:val="BodyText"/>
        <w:keepNext/>
        <w:widowControl/>
        <w:ind w:left="0"/>
        <w:rPr>
          <w:rFonts w:asciiTheme="minorHAnsi" w:hAnsiTheme="minorHAnsi" w:cstheme="minorHAnsi"/>
          <w:i/>
          <w:lang w:val="fr-CH"/>
        </w:rPr>
      </w:pPr>
    </w:p>
    <w:p w14:paraId="36120280" w14:textId="77777777" w:rsidR="00F76395" w:rsidRPr="00F76395" w:rsidRDefault="00F76395" w:rsidP="009F420A">
      <w:pPr>
        <w:pStyle w:val="BodyText"/>
        <w:widowControl/>
        <w:ind w:left="0" w:right="100"/>
        <w:rPr>
          <w:rFonts w:asciiTheme="minorHAnsi" w:hAnsiTheme="minorHAnsi" w:cstheme="minorHAnsi"/>
          <w:lang w:val="fr-CH"/>
        </w:rPr>
      </w:pPr>
      <w:r w:rsidRPr="00F76395">
        <w:rPr>
          <w:rFonts w:asciiTheme="minorHAnsi" w:hAnsiTheme="minorHAnsi" w:cstheme="minorHAnsi"/>
          <w:i/>
          <w:lang w:val="fr-CH"/>
        </w:rPr>
        <w:t xml:space="preserve">Édition spéciale des Perspectives mondiales des zones humides </w:t>
      </w:r>
      <w:r w:rsidRPr="00F76395">
        <w:rPr>
          <w:rFonts w:asciiTheme="minorHAnsi" w:hAnsiTheme="minorHAnsi" w:cstheme="minorHAnsi"/>
          <w:lang w:val="fr-CH"/>
        </w:rPr>
        <w:t xml:space="preserve">: Les travaux se poursuivent sur le projet, dans le cadre du groupe de travail du GEST sur cette tâche, en attendant une décision sur le </w:t>
      </w:r>
      <w:r w:rsidRPr="00F76395">
        <w:rPr>
          <w:rFonts w:asciiTheme="minorHAnsi" w:hAnsiTheme="minorHAnsi" w:cstheme="minorHAnsi"/>
          <w:lang w:val="fr-CH"/>
        </w:rPr>
        <w:lastRenderedPageBreak/>
        <w:t>thème du 50</w:t>
      </w:r>
      <w:r w:rsidRPr="00F76395">
        <w:rPr>
          <w:rFonts w:asciiTheme="minorHAnsi" w:hAnsiTheme="minorHAnsi" w:cstheme="minorHAnsi"/>
          <w:vertAlign w:val="superscript"/>
          <w:lang w:val="fr-CH"/>
        </w:rPr>
        <w:t>e</w:t>
      </w:r>
      <w:r w:rsidRPr="00F76395">
        <w:rPr>
          <w:rFonts w:asciiTheme="minorHAnsi" w:hAnsiTheme="minorHAnsi" w:cstheme="minorHAnsi"/>
          <w:lang w:val="fr-CH"/>
        </w:rPr>
        <w:t> anniversaire de la Convention afin d’ajouter des liens spécifiques au thème du 50</w:t>
      </w:r>
      <w:r w:rsidRPr="00F76395">
        <w:rPr>
          <w:rFonts w:asciiTheme="minorHAnsi" w:hAnsiTheme="minorHAnsi" w:cstheme="minorHAnsi"/>
          <w:vertAlign w:val="superscript"/>
          <w:lang w:val="fr-CH"/>
        </w:rPr>
        <w:t>e</w:t>
      </w:r>
      <w:r w:rsidRPr="00F76395">
        <w:rPr>
          <w:rFonts w:asciiTheme="minorHAnsi" w:hAnsiTheme="minorHAnsi" w:cstheme="minorHAnsi"/>
          <w:lang w:val="fr-CH"/>
        </w:rPr>
        <w:t xml:space="preserve"> anniversaire pour harmoniser le document avec le thème choisi, selon la décision du Comité permanent sur cette question. </w:t>
      </w:r>
    </w:p>
    <w:p w14:paraId="6BF6C2B6" w14:textId="77777777" w:rsidR="00F76395" w:rsidRPr="00F76395" w:rsidRDefault="00F76395" w:rsidP="009F420A">
      <w:pPr>
        <w:pStyle w:val="BodyText"/>
        <w:widowControl/>
        <w:ind w:left="0"/>
        <w:rPr>
          <w:rFonts w:asciiTheme="minorHAnsi" w:hAnsiTheme="minorHAnsi" w:cstheme="minorHAnsi"/>
          <w:lang w:val="fr-CH"/>
        </w:rPr>
      </w:pPr>
    </w:p>
    <w:p w14:paraId="7498C304" w14:textId="77777777" w:rsidR="00F76395" w:rsidRPr="00F76395" w:rsidRDefault="00F76395" w:rsidP="009F420A">
      <w:pPr>
        <w:pStyle w:val="BodyText"/>
        <w:widowControl/>
        <w:ind w:left="0" w:right="104"/>
        <w:rPr>
          <w:rFonts w:asciiTheme="minorHAnsi" w:hAnsiTheme="minorHAnsi" w:cstheme="minorHAnsi"/>
          <w:lang w:val="fr-CH"/>
        </w:rPr>
      </w:pPr>
      <w:r w:rsidRPr="00F76395">
        <w:rPr>
          <w:rFonts w:asciiTheme="minorHAnsi" w:hAnsiTheme="minorHAnsi" w:cstheme="minorHAnsi"/>
          <w:i/>
          <w:lang w:val="fr-CH"/>
        </w:rPr>
        <w:t>Zones humides et agriculture durable (tâche 1.2) </w:t>
      </w:r>
      <w:r w:rsidRPr="00F76395">
        <w:rPr>
          <w:rFonts w:asciiTheme="minorHAnsi" w:hAnsiTheme="minorHAnsi" w:cstheme="minorHAnsi"/>
          <w:lang w:val="fr-CH"/>
        </w:rPr>
        <w:t xml:space="preserve">: Un consultant a été engagé et les travaux progressent bien. Une Partie contractante note qu’il est particulièrement important, dans le cadre de cette tâche, d’élaborer des orientations sur l’application, aux niveaux national et régional, par les Parties contractantes et les Initiatives régionales Ramsar. </w:t>
      </w:r>
    </w:p>
    <w:p w14:paraId="237E56E2" w14:textId="77777777" w:rsidR="00F76395" w:rsidRPr="00F76395" w:rsidRDefault="00F76395" w:rsidP="009F420A">
      <w:pPr>
        <w:pStyle w:val="BodyText"/>
        <w:widowControl/>
        <w:ind w:left="0"/>
        <w:rPr>
          <w:rFonts w:asciiTheme="minorHAnsi" w:hAnsiTheme="minorHAnsi" w:cstheme="minorHAnsi"/>
          <w:lang w:val="fr-CH"/>
        </w:rPr>
      </w:pPr>
    </w:p>
    <w:p w14:paraId="40D7DB44" w14:textId="77777777" w:rsidR="00F76395" w:rsidRPr="00F76395" w:rsidRDefault="00F76395" w:rsidP="009F420A">
      <w:pPr>
        <w:pStyle w:val="BodyText"/>
        <w:widowControl/>
        <w:ind w:left="0"/>
        <w:rPr>
          <w:rFonts w:asciiTheme="minorHAnsi" w:hAnsiTheme="minorHAnsi" w:cstheme="minorHAnsi"/>
          <w:lang w:val="fr-CH"/>
        </w:rPr>
      </w:pPr>
      <w:r w:rsidRPr="00F76395">
        <w:rPr>
          <w:rFonts w:asciiTheme="minorHAnsi" w:hAnsiTheme="minorHAnsi" w:cstheme="minorHAnsi"/>
          <w:i/>
          <w:lang w:val="fr-CH"/>
        </w:rPr>
        <w:t xml:space="preserve">Réhumidification/restauration des tourbières (Tâche 2.2) : </w:t>
      </w:r>
      <w:r w:rsidRPr="00F76395">
        <w:rPr>
          <w:rFonts w:asciiTheme="minorHAnsi" w:hAnsiTheme="minorHAnsi" w:cstheme="minorHAnsi"/>
          <w:lang w:val="fr-CH"/>
        </w:rPr>
        <w:t xml:space="preserve">Un consultant a été engagé et chargé de rédiger un manuel technique et un </w:t>
      </w:r>
      <w:r w:rsidRPr="00F76395">
        <w:rPr>
          <w:rFonts w:asciiTheme="minorHAnsi" w:hAnsiTheme="minorHAnsi" w:cstheme="minorHAnsi"/>
          <w:color w:val="222222"/>
          <w:shd w:val="clear" w:color="auto" w:fill="FFFFFF"/>
          <w:lang w:val="fr-CH"/>
        </w:rPr>
        <w:t xml:space="preserve">document d’orientation </w:t>
      </w:r>
      <w:r w:rsidRPr="00F76395">
        <w:rPr>
          <w:rFonts w:asciiTheme="minorHAnsi" w:hAnsiTheme="minorHAnsi" w:cstheme="minorHAnsi"/>
          <w:lang w:val="fr-CH"/>
        </w:rPr>
        <w:t xml:space="preserve">pratique. Le GEST rédigera une note </w:t>
      </w:r>
      <w:r w:rsidRPr="00F76395">
        <w:rPr>
          <w:rFonts w:asciiTheme="minorHAnsi" w:hAnsiTheme="minorHAnsi" w:cstheme="minorHAnsi"/>
          <w:color w:val="222222"/>
          <w:shd w:val="clear" w:color="auto" w:fill="FFFFFF"/>
          <w:lang w:val="fr-CH"/>
        </w:rPr>
        <w:t>d’orientation</w:t>
      </w:r>
      <w:r w:rsidRPr="00F76395">
        <w:rPr>
          <w:rFonts w:asciiTheme="minorHAnsi" w:hAnsiTheme="minorHAnsi" w:cstheme="minorHAnsi"/>
          <w:lang w:val="fr-CH"/>
        </w:rPr>
        <w:t xml:space="preserve">. Les travaux sur le projet de manuel technique progressent. </w:t>
      </w:r>
    </w:p>
    <w:p w14:paraId="34039E44" w14:textId="77777777" w:rsidR="00F76395" w:rsidRPr="00F76395" w:rsidRDefault="00F76395" w:rsidP="009F420A">
      <w:pPr>
        <w:pStyle w:val="BodyText"/>
        <w:widowControl/>
        <w:ind w:left="0" w:right="105"/>
        <w:rPr>
          <w:rFonts w:asciiTheme="minorHAnsi" w:hAnsiTheme="minorHAnsi" w:cstheme="minorHAnsi"/>
          <w:i/>
          <w:lang w:val="fr-CH"/>
        </w:rPr>
      </w:pPr>
    </w:p>
    <w:p w14:paraId="09DB5306" w14:textId="77777777" w:rsidR="00F76395" w:rsidRPr="00F76395" w:rsidRDefault="00F76395" w:rsidP="009F420A">
      <w:pPr>
        <w:pStyle w:val="BodyText"/>
        <w:widowControl/>
        <w:ind w:left="0" w:right="105"/>
        <w:rPr>
          <w:rFonts w:asciiTheme="minorHAnsi" w:hAnsiTheme="minorHAnsi" w:cstheme="minorHAnsi"/>
          <w:lang w:val="fr-CH"/>
        </w:rPr>
      </w:pPr>
      <w:r w:rsidRPr="00F76395">
        <w:rPr>
          <w:rFonts w:asciiTheme="minorHAnsi" w:hAnsiTheme="minorHAnsi" w:cstheme="minorHAnsi"/>
          <w:i/>
          <w:lang w:val="fr-CH"/>
        </w:rPr>
        <w:t>Zones humides et carbone bleu (tâche 5.1) </w:t>
      </w:r>
      <w:r w:rsidRPr="00F76395">
        <w:rPr>
          <w:rFonts w:asciiTheme="minorHAnsi" w:hAnsiTheme="minorHAnsi" w:cstheme="minorHAnsi"/>
          <w:lang w:val="fr-CH"/>
        </w:rPr>
        <w:t>: Les travaux relatifs à l’étude théorique sur les zones humides de carbone bleu progressent et le rapport complet du consultant est en train d’être finalisé. Dans le cadre de cette étude, le groupe a compilé des données sur les stocks de carbone bleu dans un dossier Excel pour utilisation interne.</w:t>
      </w:r>
    </w:p>
    <w:p w14:paraId="3E0CC91F" w14:textId="77777777" w:rsidR="00F76395" w:rsidRPr="00F76395" w:rsidRDefault="00F76395" w:rsidP="009F420A">
      <w:pPr>
        <w:pStyle w:val="BodyText"/>
        <w:widowControl/>
        <w:ind w:left="0"/>
        <w:rPr>
          <w:rFonts w:asciiTheme="minorHAnsi" w:hAnsiTheme="minorHAnsi" w:cstheme="minorHAnsi"/>
          <w:lang w:val="fr-CH"/>
        </w:rPr>
      </w:pPr>
    </w:p>
    <w:p w14:paraId="0B8C9018"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lang w:val="fr-CH"/>
        </w:rPr>
        <w:t>Le Secrétariat enverra une notification aux Parties contractantes pour savoir si elles s’intéressent à la possibilité d’inclure leurs données dans l’étude théorique et pour solliciter leur avis sur la gestion des ressources de carbone bleu et leur demander des données sur l’étendue spatiale.</w:t>
      </w:r>
    </w:p>
    <w:p w14:paraId="2A80966D" w14:textId="77777777" w:rsidR="00F76395" w:rsidRPr="00F76395" w:rsidRDefault="00F76395" w:rsidP="009F420A">
      <w:pPr>
        <w:pStyle w:val="BodyText"/>
        <w:widowControl/>
        <w:ind w:left="0"/>
        <w:rPr>
          <w:rFonts w:asciiTheme="minorHAnsi" w:hAnsiTheme="minorHAnsi" w:cstheme="minorHAnsi"/>
          <w:lang w:val="fr-CH"/>
        </w:rPr>
      </w:pPr>
    </w:p>
    <w:p w14:paraId="2217A5CC"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lang w:val="fr-CH"/>
        </w:rPr>
        <w:t>Il importe d’appliquer les résultats de cette tâche, de les présenter le plus vite possible à la COP de la CCNUCC à Glasgow</w:t>
      </w:r>
      <w:r w:rsidRPr="00F76395">
        <w:rPr>
          <w:rFonts w:asciiTheme="minorHAnsi" w:hAnsiTheme="minorHAnsi" w:cstheme="minorHAnsi"/>
          <w:spacing w:val="-5"/>
          <w:lang w:val="fr-CH"/>
        </w:rPr>
        <w:t xml:space="preserve"> et de les intégrer dans le processus de la CDB sur la biodiversité pour l’après</w:t>
      </w:r>
      <w:r w:rsidRPr="00F76395">
        <w:rPr>
          <w:rFonts w:asciiTheme="minorHAnsi" w:hAnsiTheme="minorHAnsi" w:cstheme="minorHAnsi"/>
          <w:spacing w:val="-5"/>
          <w:lang w:val="fr-CH"/>
        </w:rPr>
        <w:noBreakHyphen/>
        <w:t>2020, très probablement dans le cadre d’une activité parallèle.</w:t>
      </w:r>
    </w:p>
    <w:p w14:paraId="0040408E" w14:textId="77777777" w:rsidR="00F76395" w:rsidRPr="00F76395" w:rsidRDefault="00F76395" w:rsidP="009F420A">
      <w:pPr>
        <w:pStyle w:val="BodyText"/>
        <w:widowControl/>
        <w:ind w:left="0"/>
        <w:rPr>
          <w:rFonts w:asciiTheme="minorHAnsi" w:hAnsiTheme="minorHAnsi" w:cstheme="minorHAnsi"/>
          <w:lang w:val="fr-CH"/>
        </w:rPr>
      </w:pPr>
    </w:p>
    <w:p w14:paraId="3BF938F7" w14:textId="77777777" w:rsidR="00F76395" w:rsidRPr="00F76395" w:rsidRDefault="00F76395" w:rsidP="009F420A">
      <w:pPr>
        <w:pStyle w:val="BodyText"/>
        <w:widowControl/>
        <w:ind w:left="0"/>
        <w:rPr>
          <w:rFonts w:asciiTheme="minorHAnsi" w:hAnsiTheme="minorHAnsi" w:cstheme="minorHAnsi"/>
          <w:i/>
          <w:lang w:val="fr-CH"/>
        </w:rPr>
      </w:pPr>
      <w:r w:rsidRPr="00F76395">
        <w:rPr>
          <w:rFonts w:asciiTheme="minorHAnsi" w:hAnsiTheme="minorHAnsi" w:cstheme="minorHAnsi"/>
          <w:i/>
          <w:lang w:val="fr-CH"/>
        </w:rPr>
        <w:t>Tâches de priorité moyenne et faible</w:t>
      </w:r>
    </w:p>
    <w:p w14:paraId="630B2A1B" w14:textId="77777777" w:rsidR="00F76395" w:rsidRPr="00F76395" w:rsidRDefault="00F76395" w:rsidP="009F420A">
      <w:pPr>
        <w:pStyle w:val="BodyText"/>
        <w:widowControl/>
        <w:ind w:left="0"/>
        <w:rPr>
          <w:rFonts w:asciiTheme="minorHAnsi" w:hAnsiTheme="minorHAnsi" w:cstheme="minorHAnsi"/>
          <w:i/>
          <w:lang w:val="fr-CH"/>
        </w:rPr>
      </w:pPr>
    </w:p>
    <w:p w14:paraId="3E5B35E2"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i/>
          <w:lang w:val="fr-CH"/>
        </w:rPr>
        <w:t xml:space="preserve">Tâche 4.1, Élaborer des orientations sur l’intégration des questions liées à l’égalité entre les sexes dans l’application de la Convention </w:t>
      </w:r>
      <w:r w:rsidRPr="00F76395">
        <w:rPr>
          <w:rFonts w:asciiTheme="minorHAnsi" w:hAnsiTheme="minorHAnsi" w:cstheme="minorHAnsi"/>
          <w:lang w:val="fr-CH"/>
        </w:rPr>
        <w:t>: À la lumière des capacités et de l’expertise limitées du GEST sur le sujet, le Groupe de travail sur la gestion lui a donné instruction de se concentrer sur ses tâches les plus prioritaires et a demandé au Secrétariat de faire progresser les travaux sur cette tâche en dehors du cadre du GEST. Le Secrétariat est en train d’identifier un consultant qui serait qualifié pour élaborer des lignes directrices comprenant des exemples spécifiques. Le Groupe remercie la Finlande qui a fourni un financement pour cette tâche importante et apprécie les efforts déployés par le Secrétariat pour faire progresser les travaux de cette manière plus adaptée.</w:t>
      </w:r>
    </w:p>
    <w:p w14:paraId="4C2F0467" w14:textId="77777777" w:rsidR="00F76395" w:rsidRPr="00F76395" w:rsidRDefault="00F76395" w:rsidP="009F420A">
      <w:pPr>
        <w:pStyle w:val="BodyText"/>
        <w:widowControl/>
        <w:ind w:left="0"/>
        <w:rPr>
          <w:rFonts w:asciiTheme="minorHAnsi" w:hAnsiTheme="minorHAnsi" w:cstheme="minorHAnsi"/>
          <w:lang w:val="fr-CH"/>
        </w:rPr>
      </w:pPr>
    </w:p>
    <w:p w14:paraId="42C8D370" w14:textId="77777777" w:rsidR="00F76395" w:rsidRPr="00F76395" w:rsidRDefault="00F76395" w:rsidP="009F420A">
      <w:pPr>
        <w:spacing w:after="0" w:line="240" w:lineRule="auto"/>
        <w:rPr>
          <w:rFonts w:asciiTheme="minorHAnsi" w:hAnsiTheme="minorHAnsi" w:cstheme="minorHAnsi"/>
          <w:i/>
          <w:lang w:val="fr-CH"/>
        </w:rPr>
      </w:pPr>
      <w:r w:rsidRPr="00F76395">
        <w:rPr>
          <w:rFonts w:asciiTheme="minorHAnsi" w:hAnsiTheme="minorHAnsi" w:cstheme="minorHAnsi"/>
          <w:i/>
          <w:lang w:val="fr-CH"/>
        </w:rPr>
        <w:t>Tâches consultatives spéciales et autres requêtes</w:t>
      </w:r>
    </w:p>
    <w:p w14:paraId="2D64385F" w14:textId="77777777" w:rsidR="00F76395" w:rsidRPr="00F76395" w:rsidRDefault="00F76395" w:rsidP="009F420A">
      <w:pPr>
        <w:pStyle w:val="BodyText"/>
        <w:widowControl/>
        <w:ind w:left="0"/>
        <w:rPr>
          <w:rFonts w:asciiTheme="minorHAnsi" w:hAnsiTheme="minorHAnsi" w:cstheme="minorHAnsi"/>
          <w:i/>
          <w:lang w:val="fr-CH"/>
        </w:rPr>
      </w:pPr>
    </w:p>
    <w:p w14:paraId="78D34F54"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i/>
          <w:lang w:val="fr-CH"/>
        </w:rPr>
        <w:t>Critère 6 – utilisation des estimations de population </w:t>
      </w:r>
      <w:r w:rsidRPr="00F76395">
        <w:rPr>
          <w:rFonts w:asciiTheme="minorHAnsi" w:hAnsiTheme="minorHAnsi" w:cstheme="minorHAnsi"/>
          <w:lang w:val="fr-CH"/>
        </w:rPr>
        <w:t>: L’ancien Président du GEST a communiqué des commentaires préliminaires au Secrétariat et un projet de document a été élaboré. Un groupe de travail composé de membres principaux du GEST a été établi pour mener à bien cette tâche. Il fournira des contributions comprenant des sources d’estimations de population mises à jour et le projet sera communiqué à l’ensemble du Groupe pour consultation. Le GEST soumettra ensuite des recommandations sur le Critère 6 au Comité permanent pour examen en vue d’une communication à la COP14.</w:t>
      </w:r>
    </w:p>
    <w:p w14:paraId="5D9739E8" w14:textId="77777777" w:rsidR="00F76395" w:rsidRPr="00F76395" w:rsidRDefault="00F76395" w:rsidP="009F420A">
      <w:pPr>
        <w:pStyle w:val="BodyText"/>
        <w:widowControl/>
        <w:ind w:left="0"/>
        <w:rPr>
          <w:rFonts w:asciiTheme="minorHAnsi" w:hAnsiTheme="minorHAnsi" w:cstheme="minorHAnsi"/>
          <w:lang w:val="fr-CH"/>
        </w:rPr>
      </w:pPr>
    </w:p>
    <w:p w14:paraId="0D9564CF" w14:textId="77777777" w:rsidR="00F76395" w:rsidRPr="00F76395" w:rsidRDefault="00F76395" w:rsidP="009F420A">
      <w:pPr>
        <w:pStyle w:val="BodyText"/>
        <w:widowControl/>
        <w:ind w:left="0" w:right="98"/>
        <w:rPr>
          <w:rFonts w:asciiTheme="minorHAnsi" w:hAnsiTheme="minorHAnsi" w:cstheme="minorHAnsi"/>
          <w:lang w:val="fr-CH"/>
        </w:rPr>
      </w:pPr>
      <w:r w:rsidRPr="00F76395">
        <w:rPr>
          <w:rFonts w:asciiTheme="minorHAnsi" w:hAnsiTheme="minorHAnsi" w:cstheme="minorHAnsi"/>
          <w:lang w:val="fr-CH"/>
        </w:rPr>
        <w:t xml:space="preserve">L’importance de la tâche est notée car les estimations de population actuelles sont nécessaires pour identifier des zones humides à protéger et pour garantir l’identification et le maintien des plus hautes normes pour les sites inscrits sur la Liste de Ramsar. Un processus plus rapide serait utile </w:t>
      </w:r>
      <w:r w:rsidRPr="00F76395">
        <w:rPr>
          <w:rFonts w:asciiTheme="minorHAnsi" w:hAnsiTheme="minorHAnsi" w:cstheme="minorHAnsi"/>
          <w:lang w:val="fr-CH"/>
        </w:rPr>
        <w:lastRenderedPageBreak/>
        <w:t>pour permettre l’application de nouvelles estimations mises à jour provenant de toute une gamme de sources.</w:t>
      </w:r>
    </w:p>
    <w:p w14:paraId="3748FF6A" w14:textId="77777777" w:rsidR="00F76395" w:rsidRPr="00F76395" w:rsidRDefault="00F76395" w:rsidP="009F420A">
      <w:pPr>
        <w:pStyle w:val="BodyText"/>
        <w:widowControl/>
        <w:ind w:left="0"/>
        <w:rPr>
          <w:rFonts w:asciiTheme="minorHAnsi" w:hAnsiTheme="minorHAnsi" w:cstheme="minorHAnsi"/>
          <w:lang w:val="fr-CH"/>
        </w:rPr>
      </w:pPr>
    </w:p>
    <w:p w14:paraId="43EF030F" w14:textId="77777777" w:rsidR="00F76395" w:rsidRPr="00F76395" w:rsidRDefault="00F76395" w:rsidP="009F420A">
      <w:pPr>
        <w:pStyle w:val="Heading1"/>
        <w:widowControl/>
        <w:ind w:left="0"/>
        <w:rPr>
          <w:rFonts w:asciiTheme="minorHAnsi" w:hAnsiTheme="minorHAnsi" w:cstheme="minorHAnsi"/>
          <w:lang w:val="fr-CH"/>
        </w:rPr>
      </w:pPr>
      <w:r w:rsidRPr="00F76395">
        <w:rPr>
          <w:rFonts w:asciiTheme="minorHAnsi" w:hAnsiTheme="minorHAnsi" w:cstheme="minorHAnsi"/>
          <w:lang w:val="fr-CH"/>
        </w:rPr>
        <w:t xml:space="preserve">Recommandations du Groupe de travail sur la gestion – Projet de décision pour le Comité permanent </w:t>
      </w:r>
    </w:p>
    <w:p w14:paraId="43552F17" w14:textId="77777777" w:rsidR="00F76395" w:rsidRPr="00F76395" w:rsidRDefault="00F76395" w:rsidP="009F420A">
      <w:pPr>
        <w:pStyle w:val="BodyText"/>
        <w:widowControl/>
        <w:ind w:left="0"/>
        <w:rPr>
          <w:rFonts w:asciiTheme="minorHAnsi" w:hAnsiTheme="minorHAnsi" w:cstheme="minorHAnsi"/>
          <w:b/>
          <w:lang w:val="fr-CH"/>
        </w:rPr>
      </w:pPr>
    </w:p>
    <w:p w14:paraId="35FC5AA0" w14:textId="77777777" w:rsidR="00F76395" w:rsidRPr="00F76395" w:rsidRDefault="00F76395" w:rsidP="009F420A">
      <w:pPr>
        <w:pStyle w:val="BodyText"/>
        <w:widowControl/>
        <w:ind w:left="0"/>
        <w:rPr>
          <w:rFonts w:asciiTheme="minorHAnsi" w:hAnsiTheme="minorHAnsi" w:cstheme="minorHAnsi"/>
          <w:lang w:val="fr-CH"/>
        </w:rPr>
      </w:pPr>
      <w:r w:rsidRPr="00F76395">
        <w:rPr>
          <w:rFonts w:asciiTheme="minorHAnsi" w:hAnsiTheme="minorHAnsi" w:cstheme="minorHAnsi"/>
          <w:lang w:val="fr-CH"/>
        </w:rPr>
        <w:t xml:space="preserve">Le Groupe de travail sur la gestion recommande le texte suivant pour la décision du Comité permanent : </w:t>
      </w:r>
    </w:p>
    <w:p w14:paraId="2D2D7ABA" w14:textId="77777777" w:rsidR="00F76395" w:rsidRPr="00F76395" w:rsidRDefault="00F76395" w:rsidP="009F420A">
      <w:pPr>
        <w:pStyle w:val="BodyText"/>
        <w:widowControl/>
        <w:ind w:left="0"/>
        <w:rPr>
          <w:rFonts w:asciiTheme="minorHAnsi" w:hAnsiTheme="minorHAnsi" w:cstheme="minorHAnsi"/>
          <w:lang w:val="fr-CH"/>
        </w:rPr>
      </w:pPr>
    </w:p>
    <w:p w14:paraId="44C9F9CD" w14:textId="77777777" w:rsidR="00F76395" w:rsidRPr="00F76395" w:rsidRDefault="00F76395" w:rsidP="009F420A">
      <w:pPr>
        <w:pStyle w:val="BodyText"/>
        <w:widowControl/>
        <w:ind w:left="0"/>
        <w:rPr>
          <w:rFonts w:asciiTheme="minorHAnsi" w:hAnsiTheme="minorHAnsi" w:cstheme="minorHAnsi"/>
          <w:lang w:val="fr-CH"/>
        </w:rPr>
      </w:pPr>
      <w:r w:rsidRPr="00F76395">
        <w:rPr>
          <w:rFonts w:asciiTheme="minorHAnsi" w:hAnsiTheme="minorHAnsi" w:cstheme="minorHAnsi"/>
          <w:lang w:val="fr-CH"/>
        </w:rPr>
        <w:t>Le Comité permanent :</w:t>
      </w:r>
    </w:p>
    <w:p w14:paraId="13810B36" w14:textId="77777777" w:rsidR="00F76395" w:rsidRPr="00F76395" w:rsidRDefault="00F76395" w:rsidP="00F76395">
      <w:pPr>
        <w:pStyle w:val="BodyText"/>
        <w:widowControl/>
        <w:rPr>
          <w:rFonts w:asciiTheme="minorHAnsi" w:hAnsiTheme="minorHAnsi" w:cstheme="minorHAnsi"/>
          <w:lang w:val="fr-CH"/>
        </w:rPr>
      </w:pPr>
    </w:p>
    <w:p w14:paraId="5897D302" w14:textId="77777777" w:rsidR="00F76395" w:rsidRPr="00F76395" w:rsidRDefault="00F76395" w:rsidP="00F76395">
      <w:pPr>
        <w:pStyle w:val="ListParagraph"/>
        <w:numPr>
          <w:ilvl w:val="0"/>
          <w:numId w:val="33"/>
        </w:numPr>
        <w:autoSpaceDE w:val="0"/>
        <w:autoSpaceDN w:val="0"/>
        <w:spacing w:after="0" w:line="240" w:lineRule="auto"/>
        <w:ind w:left="426" w:right="117" w:hanging="426"/>
        <w:contextualSpacing w:val="0"/>
        <w:rPr>
          <w:rFonts w:asciiTheme="minorHAnsi" w:hAnsiTheme="minorHAnsi" w:cstheme="minorHAnsi"/>
          <w:lang w:val="fr-CH"/>
        </w:rPr>
      </w:pPr>
      <w:r w:rsidRPr="00F76395">
        <w:rPr>
          <w:rFonts w:asciiTheme="minorHAnsi" w:hAnsiTheme="minorHAnsi" w:cstheme="minorHAnsi"/>
          <w:lang w:val="fr-CH"/>
        </w:rPr>
        <w:t>prend note</w:t>
      </w:r>
      <w:r w:rsidRPr="00F76395">
        <w:rPr>
          <w:rFonts w:asciiTheme="minorHAnsi" w:hAnsiTheme="minorHAnsi" w:cstheme="minorHAnsi"/>
          <w:spacing w:val="-5"/>
          <w:lang w:val="fr-CH"/>
        </w:rPr>
        <w:t xml:space="preserve"> avec satisfaction du rapport du Président du Groupe d’évaluation scientifique et technique relatant les progrès du GEST et demande que ce dernier continue de s’intéresser à ses tâches ayant la plus haute priorité et à la tâche consultative spéciale sur le Critère 6 – utilisation des estimations de population ;</w:t>
      </w:r>
    </w:p>
    <w:p w14:paraId="5386DD00" w14:textId="77777777" w:rsidR="00F76395" w:rsidRPr="00F76395" w:rsidRDefault="00F76395" w:rsidP="00F76395">
      <w:pPr>
        <w:pStyle w:val="BodyText"/>
        <w:widowControl/>
        <w:ind w:left="426" w:hanging="426"/>
        <w:rPr>
          <w:rFonts w:asciiTheme="minorHAnsi" w:hAnsiTheme="minorHAnsi" w:cstheme="minorHAnsi"/>
          <w:lang w:val="fr-CH"/>
        </w:rPr>
      </w:pPr>
    </w:p>
    <w:p w14:paraId="77D92AB4" w14:textId="77777777" w:rsidR="00F76395" w:rsidRPr="00F76395" w:rsidRDefault="00F76395" w:rsidP="00F76395">
      <w:pPr>
        <w:pStyle w:val="ListParagraph"/>
        <w:numPr>
          <w:ilvl w:val="0"/>
          <w:numId w:val="33"/>
        </w:numPr>
        <w:autoSpaceDE w:val="0"/>
        <w:autoSpaceDN w:val="0"/>
        <w:spacing w:after="0" w:line="240" w:lineRule="auto"/>
        <w:ind w:left="426" w:right="118" w:hanging="426"/>
        <w:contextualSpacing w:val="0"/>
        <w:rPr>
          <w:rFonts w:asciiTheme="minorHAnsi" w:hAnsiTheme="minorHAnsi" w:cstheme="minorHAnsi"/>
          <w:lang w:val="fr-CH"/>
        </w:rPr>
      </w:pPr>
      <w:r w:rsidRPr="00F76395">
        <w:rPr>
          <w:rFonts w:asciiTheme="minorHAnsi" w:hAnsiTheme="minorHAnsi" w:cstheme="minorHAnsi"/>
          <w:lang w:val="fr-CH"/>
        </w:rPr>
        <w:t>demande au GEST de poursuivre l’élaboration des Perspectives mondiales des zones humides (édition spéciale) en attendant que le Comité permanent choisisse prochainement un thème pour le 50</w:t>
      </w:r>
      <w:r w:rsidRPr="00F76395">
        <w:rPr>
          <w:rFonts w:asciiTheme="minorHAnsi" w:hAnsiTheme="minorHAnsi" w:cstheme="minorHAnsi"/>
          <w:vertAlign w:val="superscript"/>
          <w:lang w:val="fr-CH"/>
        </w:rPr>
        <w:t>e</w:t>
      </w:r>
      <w:r w:rsidRPr="00F76395">
        <w:rPr>
          <w:rFonts w:asciiTheme="minorHAnsi" w:hAnsiTheme="minorHAnsi" w:cstheme="minorHAnsi"/>
          <w:lang w:val="fr-CH"/>
        </w:rPr>
        <w:t xml:space="preserve"> anniversaire et sachant que les Perspectives mondiales des zones humides (édition spéciale) peuvent être adaptées en fonction du thème choisi ; </w:t>
      </w:r>
    </w:p>
    <w:p w14:paraId="61483632" w14:textId="77777777" w:rsidR="00F76395" w:rsidRPr="00F76395" w:rsidRDefault="00F76395" w:rsidP="00F76395">
      <w:pPr>
        <w:pStyle w:val="BodyText"/>
        <w:widowControl/>
        <w:ind w:left="426" w:hanging="426"/>
        <w:rPr>
          <w:rFonts w:asciiTheme="minorHAnsi" w:hAnsiTheme="minorHAnsi" w:cstheme="minorHAnsi"/>
          <w:lang w:val="fr-CH"/>
        </w:rPr>
      </w:pPr>
    </w:p>
    <w:p w14:paraId="2A541147" w14:textId="77777777" w:rsidR="00F76395" w:rsidRPr="00F76395" w:rsidRDefault="00F76395" w:rsidP="00F76395">
      <w:pPr>
        <w:pStyle w:val="ListParagraph"/>
        <w:numPr>
          <w:ilvl w:val="0"/>
          <w:numId w:val="33"/>
        </w:numPr>
        <w:autoSpaceDE w:val="0"/>
        <w:autoSpaceDN w:val="0"/>
        <w:spacing w:after="0" w:line="240" w:lineRule="auto"/>
        <w:ind w:left="426" w:right="119" w:hanging="426"/>
        <w:contextualSpacing w:val="0"/>
        <w:rPr>
          <w:rFonts w:asciiTheme="minorHAnsi" w:hAnsiTheme="minorHAnsi" w:cstheme="minorHAnsi"/>
          <w:lang w:val="fr-CH"/>
        </w:rPr>
      </w:pPr>
      <w:r w:rsidRPr="00F76395">
        <w:rPr>
          <w:rFonts w:asciiTheme="minorHAnsi" w:hAnsiTheme="minorHAnsi" w:cstheme="minorHAnsi"/>
          <w:lang w:val="fr-CH"/>
        </w:rPr>
        <w:t>recommande que le GEST poursuive ses travaux sur les zones humides et le carbone bleu (tâche 5.1), conformément aux termes de la Résolution XIII.14, sous</w:t>
      </w:r>
      <w:r w:rsidRPr="00F76395">
        <w:rPr>
          <w:rFonts w:asciiTheme="minorHAnsi" w:hAnsiTheme="minorHAnsi" w:cstheme="minorHAnsi"/>
          <w:lang w:val="fr-CH"/>
        </w:rPr>
        <w:noBreakHyphen/>
        <w:t>paragraphe 15 a), et sur la définition de la portée des travaux demandés dans les sous</w:t>
      </w:r>
      <w:r w:rsidRPr="00F76395">
        <w:rPr>
          <w:rFonts w:asciiTheme="minorHAnsi" w:hAnsiTheme="minorHAnsi" w:cstheme="minorHAnsi"/>
          <w:lang w:val="fr-CH"/>
        </w:rPr>
        <w:noBreakHyphen/>
        <w:t>paragraphes b), c) et d) durant la prochaine période triennale, et prenne note de l’importance du partage des résultats avec la Convention</w:t>
      </w:r>
      <w:r w:rsidRPr="00F76395">
        <w:rPr>
          <w:rFonts w:asciiTheme="minorHAnsi" w:hAnsiTheme="minorHAnsi" w:cstheme="minorHAnsi"/>
          <w:lang w:val="fr-CH"/>
        </w:rPr>
        <w:noBreakHyphen/>
        <w:t>cadre des Nations Unies sur les changements climatiques et la Convention sur la diversité biologique par les moyens appropriés, c’est</w:t>
      </w:r>
      <w:r w:rsidRPr="00F76395">
        <w:rPr>
          <w:rFonts w:asciiTheme="minorHAnsi" w:hAnsiTheme="minorHAnsi" w:cstheme="minorHAnsi"/>
          <w:lang w:val="fr-CH"/>
        </w:rPr>
        <w:noBreakHyphen/>
        <w:t>à</w:t>
      </w:r>
      <w:r w:rsidRPr="00F76395">
        <w:rPr>
          <w:rFonts w:asciiTheme="minorHAnsi" w:hAnsiTheme="minorHAnsi" w:cstheme="minorHAnsi"/>
          <w:lang w:val="fr-CH"/>
        </w:rPr>
        <w:noBreakHyphen/>
        <w:t xml:space="preserve">dire dans le contexte d’une activité parallèle, en marge de leurs COP respectives ; </w:t>
      </w:r>
    </w:p>
    <w:p w14:paraId="7627A6F5" w14:textId="77777777" w:rsidR="00F76395" w:rsidRPr="00F76395" w:rsidRDefault="00F76395" w:rsidP="00F76395">
      <w:pPr>
        <w:pStyle w:val="BodyText"/>
        <w:widowControl/>
        <w:ind w:left="426" w:hanging="426"/>
        <w:rPr>
          <w:rFonts w:asciiTheme="minorHAnsi" w:hAnsiTheme="minorHAnsi" w:cstheme="minorHAnsi"/>
          <w:lang w:val="fr-CH"/>
        </w:rPr>
      </w:pPr>
    </w:p>
    <w:p w14:paraId="6A3D00DC" w14:textId="77777777" w:rsidR="00F76395" w:rsidRPr="00F76395" w:rsidRDefault="00F76395" w:rsidP="00F76395">
      <w:pPr>
        <w:pStyle w:val="ListParagraph"/>
        <w:numPr>
          <w:ilvl w:val="0"/>
          <w:numId w:val="33"/>
        </w:numPr>
        <w:autoSpaceDE w:val="0"/>
        <w:autoSpaceDN w:val="0"/>
        <w:spacing w:after="0" w:line="240" w:lineRule="auto"/>
        <w:ind w:left="426" w:right="119" w:hanging="426"/>
        <w:contextualSpacing w:val="0"/>
        <w:rPr>
          <w:rFonts w:asciiTheme="minorHAnsi" w:hAnsiTheme="minorHAnsi" w:cstheme="minorHAnsi"/>
          <w:lang w:val="fr-CH"/>
        </w:rPr>
      </w:pPr>
      <w:r w:rsidRPr="00F76395">
        <w:rPr>
          <w:rFonts w:asciiTheme="minorHAnsi" w:hAnsiTheme="minorHAnsi" w:cstheme="minorHAnsi"/>
          <w:lang w:val="fr-CH"/>
        </w:rPr>
        <w:t>recommande en outre que le GEST soumette au Comité permanent une proposition de mise à jour du Critère 6 Ramsar concernant l’utilisation des estimations de population afin que le Comité puisse envisager de la présenter à la Conférence des Parties contractantes, sachant que les Parties contractantes ont besoin de disposer d’informations actualisées et dynamiques ;</w:t>
      </w:r>
    </w:p>
    <w:p w14:paraId="4156DB80" w14:textId="77777777" w:rsidR="00F76395" w:rsidRPr="00F76395" w:rsidRDefault="00F76395" w:rsidP="00F76395">
      <w:pPr>
        <w:pStyle w:val="BodyText"/>
        <w:widowControl/>
        <w:ind w:left="426" w:hanging="426"/>
        <w:rPr>
          <w:rFonts w:asciiTheme="minorHAnsi" w:hAnsiTheme="minorHAnsi" w:cstheme="minorHAnsi"/>
          <w:lang w:val="fr-CH"/>
        </w:rPr>
      </w:pPr>
    </w:p>
    <w:p w14:paraId="3C2FA6B3" w14:textId="77777777" w:rsidR="00F76395" w:rsidRPr="00F76395" w:rsidRDefault="00F76395" w:rsidP="00F76395">
      <w:pPr>
        <w:pStyle w:val="ListParagraph"/>
        <w:numPr>
          <w:ilvl w:val="0"/>
          <w:numId w:val="33"/>
        </w:numPr>
        <w:autoSpaceDE w:val="0"/>
        <w:autoSpaceDN w:val="0"/>
        <w:spacing w:after="0" w:line="240" w:lineRule="auto"/>
        <w:ind w:left="426" w:right="120" w:hanging="426"/>
        <w:contextualSpacing w:val="0"/>
        <w:rPr>
          <w:rFonts w:asciiTheme="minorHAnsi" w:hAnsiTheme="minorHAnsi" w:cstheme="minorHAnsi"/>
          <w:lang w:val="fr-CH"/>
        </w:rPr>
      </w:pPr>
      <w:r w:rsidRPr="00F76395">
        <w:rPr>
          <w:rFonts w:asciiTheme="minorHAnsi" w:hAnsiTheme="minorHAnsi" w:cstheme="minorHAnsi"/>
          <w:lang w:val="fr-CH"/>
        </w:rPr>
        <w:t>demande au Secrétariat de prévoir une réunion du Groupe de travail sur la gestion dans le programme de travail de la 58</w:t>
      </w:r>
      <w:r w:rsidRPr="00F76395">
        <w:rPr>
          <w:rFonts w:asciiTheme="minorHAnsi" w:hAnsiTheme="minorHAnsi" w:cstheme="minorHAnsi"/>
          <w:vertAlign w:val="superscript"/>
          <w:lang w:val="fr-CH"/>
        </w:rPr>
        <w:t>e</w:t>
      </w:r>
      <w:r w:rsidRPr="00F76395">
        <w:rPr>
          <w:rFonts w:asciiTheme="minorHAnsi" w:hAnsiTheme="minorHAnsi" w:cstheme="minorHAnsi"/>
          <w:lang w:val="fr-CH"/>
        </w:rPr>
        <w:t> Réunion du Comité permanent et demande que le Président du GEST soumette un rapport sur les derniers progrès accomplis en vue de remplir le mandat du GEST, pour examen par le Groupe de travail sur la gestion à cette réunion.</w:t>
      </w:r>
    </w:p>
    <w:p w14:paraId="5EF495C2" w14:textId="68C3B4D7" w:rsidR="00F76395" w:rsidRDefault="00F76395" w:rsidP="00F76395">
      <w:pPr>
        <w:spacing w:after="0" w:line="240" w:lineRule="auto"/>
        <w:ind w:left="567" w:hanging="567"/>
        <w:rPr>
          <w:rFonts w:asciiTheme="minorHAnsi" w:hAnsiTheme="minorHAnsi" w:cstheme="minorHAnsi"/>
          <w:bCs/>
          <w:lang w:val="fr-CH"/>
        </w:rPr>
      </w:pPr>
    </w:p>
    <w:p w14:paraId="36FD9BC9" w14:textId="290143C2" w:rsidR="009F420A" w:rsidRDefault="009F420A">
      <w:pPr>
        <w:rPr>
          <w:rFonts w:asciiTheme="minorHAnsi" w:hAnsiTheme="minorHAnsi" w:cstheme="minorHAnsi"/>
          <w:bCs/>
          <w:lang w:val="fr-CH"/>
        </w:rPr>
      </w:pPr>
      <w:r>
        <w:rPr>
          <w:rFonts w:asciiTheme="minorHAnsi" w:hAnsiTheme="minorHAnsi" w:cstheme="minorHAnsi"/>
          <w:bCs/>
          <w:lang w:val="fr-CH"/>
        </w:rPr>
        <w:br w:type="page"/>
      </w:r>
    </w:p>
    <w:p w14:paraId="31FE4BD3" w14:textId="4F11337C" w:rsidR="009F420A" w:rsidRPr="000B1B3C" w:rsidRDefault="009F420A" w:rsidP="009F420A">
      <w:pPr>
        <w:pStyle w:val="NormalWeb"/>
        <w:spacing w:after="0"/>
        <w:ind w:left="425" w:hanging="425"/>
        <w:rPr>
          <w:rFonts w:asciiTheme="minorHAnsi" w:hAnsiTheme="minorHAnsi" w:cstheme="minorHAnsi"/>
          <w:b/>
          <w:bCs/>
          <w:lang w:val="fr-FR" w:eastAsia="ja-JP"/>
        </w:rPr>
      </w:pPr>
      <w:r w:rsidRPr="000B1B3C">
        <w:rPr>
          <w:rFonts w:asciiTheme="minorHAnsi" w:hAnsiTheme="minorHAnsi" w:cstheme="minorHAnsi"/>
          <w:b/>
          <w:bCs/>
          <w:lang w:val="fr-FR" w:eastAsia="ja-JP"/>
        </w:rPr>
        <w:lastRenderedPageBreak/>
        <w:t>Annexe 2</w:t>
      </w:r>
    </w:p>
    <w:p w14:paraId="0F169645" w14:textId="77777777" w:rsidR="009F420A" w:rsidRPr="000B1B3C" w:rsidRDefault="009F420A" w:rsidP="009F420A">
      <w:pPr>
        <w:pStyle w:val="NormalWeb"/>
        <w:spacing w:after="0"/>
        <w:ind w:left="425" w:hanging="425"/>
        <w:rPr>
          <w:rFonts w:asciiTheme="minorHAnsi" w:hAnsiTheme="minorHAnsi" w:cstheme="minorHAnsi"/>
          <w:b/>
          <w:bCs/>
          <w:lang w:val="fr-FR" w:eastAsia="ja-JP"/>
        </w:rPr>
      </w:pPr>
    </w:p>
    <w:p w14:paraId="0F5D46EE" w14:textId="0AF25E41" w:rsidR="009F420A" w:rsidRPr="000B1B3C" w:rsidRDefault="009F420A" w:rsidP="009F420A">
      <w:pPr>
        <w:pStyle w:val="NormalWeb"/>
        <w:spacing w:after="0"/>
        <w:ind w:left="425" w:hanging="425"/>
        <w:rPr>
          <w:rFonts w:asciiTheme="minorHAnsi" w:hAnsiTheme="minorHAnsi" w:cstheme="minorHAnsi"/>
          <w:b/>
          <w:bCs/>
          <w:lang w:val="fr-FR" w:eastAsia="ja-JP"/>
        </w:rPr>
      </w:pPr>
      <w:r w:rsidRPr="000B1B3C">
        <w:rPr>
          <w:rFonts w:asciiTheme="minorHAnsi" w:hAnsiTheme="minorHAnsi" w:cstheme="minorHAnsi"/>
          <w:b/>
          <w:bCs/>
          <w:lang w:val="fr-FR" w:eastAsia="ja-JP"/>
        </w:rPr>
        <w:t>Rapport du Sous-groupe sur les finances, 15 juin 2020</w:t>
      </w:r>
    </w:p>
    <w:p w14:paraId="0876E4F7" w14:textId="77777777" w:rsidR="009F420A" w:rsidRPr="009F420A" w:rsidRDefault="009F420A" w:rsidP="009F420A">
      <w:pPr>
        <w:pStyle w:val="NormalWeb"/>
        <w:spacing w:after="0"/>
        <w:ind w:left="425" w:hanging="425"/>
        <w:rPr>
          <w:rFonts w:asciiTheme="minorHAnsi" w:hAnsiTheme="minorHAnsi" w:cstheme="minorHAnsi"/>
          <w:sz w:val="22"/>
          <w:szCs w:val="22"/>
          <w:lang w:val="fr-FR" w:eastAsia="ja-JP"/>
        </w:rPr>
      </w:pPr>
    </w:p>
    <w:p w14:paraId="543A9CAA" w14:textId="77777777" w:rsidR="009F420A" w:rsidRPr="009F420A" w:rsidRDefault="009F420A" w:rsidP="009F420A">
      <w:pPr>
        <w:pStyle w:val="NormalWeb"/>
        <w:spacing w:after="0"/>
        <w:rPr>
          <w:rFonts w:asciiTheme="minorHAnsi" w:hAnsiTheme="minorHAnsi" w:cstheme="minorHAnsi"/>
          <w:b/>
          <w:bCs/>
          <w:sz w:val="22"/>
          <w:szCs w:val="22"/>
          <w:highlight w:val="magenta"/>
          <w:lang w:val="fr-FR" w:eastAsia="ja-JP"/>
        </w:rPr>
      </w:pPr>
    </w:p>
    <w:p w14:paraId="679903CA" w14:textId="77777777" w:rsidR="009F420A" w:rsidRPr="009F420A" w:rsidRDefault="009F420A" w:rsidP="009F420A">
      <w:pPr>
        <w:autoSpaceDE w:val="0"/>
        <w:autoSpaceDN w:val="0"/>
        <w:spacing w:after="0" w:line="240" w:lineRule="auto"/>
        <w:rPr>
          <w:rFonts w:asciiTheme="minorHAnsi" w:hAnsiTheme="minorHAnsi" w:cstheme="minorHAnsi"/>
          <w:b/>
          <w:bCs/>
          <w:lang w:val="fr-FR"/>
        </w:rPr>
      </w:pPr>
      <w:r w:rsidRPr="009F420A">
        <w:rPr>
          <w:rFonts w:asciiTheme="minorHAnsi" w:hAnsiTheme="minorHAnsi" w:cstheme="minorHAnsi"/>
          <w:b/>
          <w:bCs/>
          <w:lang w:val="fr-FR"/>
        </w:rPr>
        <w:t>Participants :</w:t>
      </w:r>
    </w:p>
    <w:p w14:paraId="74335B02" w14:textId="77777777" w:rsidR="009F420A" w:rsidRPr="009F420A" w:rsidRDefault="009F420A" w:rsidP="009F420A">
      <w:pPr>
        <w:autoSpaceDE w:val="0"/>
        <w:autoSpaceDN w:val="0"/>
        <w:spacing w:after="0" w:line="240" w:lineRule="auto"/>
        <w:rPr>
          <w:rFonts w:asciiTheme="minorHAnsi" w:hAnsiTheme="minorHAnsi" w:cstheme="minorHAnsi"/>
          <w:b/>
          <w:bCs/>
          <w:lang w:val="fr-FR"/>
        </w:rPr>
      </w:pPr>
    </w:p>
    <w:p w14:paraId="71375AE1" w14:textId="77777777" w:rsidR="009F420A" w:rsidRPr="009F420A" w:rsidRDefault="009F420A" w:rsidP="009F420A">
      <w:pPr>
        <w:autoSpaceDE w:val="0"/>
        <w:autoSpaceDN w:val="0"/>
        <w:spacing w:after="0" w:line="240" w:lineRule="auto"/>
        <w:rPr>
          <w:rFonts w:asciiTheme="minorHAnsi" w:hAnsiTheme="minorHAnsi" w:cstheme="minorHAnsi"/>
          <w:b/>
          <w:bCs/>
          <w:i/>
          <w:iCs/>
          <w:lang w:val="fr-FR"/>
        </w:rPr>
      </w:pPr>
      <w:r w:rsidRPr="009F420A">
        <w:rPr>
          <w:rFonts w:asciiTheme="minorHAnsi" w:hAnsiTheme="minorHAnsi" w:cstheme="minorHAnsi"/>
          <w:b/>
          <w:bCs/>
          <w:i/>
          <w:iCs/>
          <w:lang w:val="fr-FR"/>
        </w:rPr>
        <w:t>Membres du Sous-groupe sur les finances</w:t>
      </w:r>
    </w:p>
    <w:p w14:paraId="73A64D04" w14:textId="77777777" w:rsidR="009F420A" w:rsidRPr="009F420A" w:rsidRDefault="009F420A" w:rsidP="009F420A">
      <w:pPr>
        <w:autoSpaceDE w:val="0"/>
        <w:autoSpaceDN w:val="0"/>
        <w:spacing w:after="0" w:line="240" w:lineRule="auto"/>
        <w:rPr>
          <w:rFonts w:asciiTheme="minorHAnsi" w:hAnsiTheme="minorHAnsi" w:cstheme="minorHAnsi"/>
          <w:lang w:val="fr-FR"/>
        </w:rPr>
      </w:pPr>
      <w:r w:rsidRPr="009F420A">
        <w:rPr>
          <w:rFonts w:asciiTheme="minorHAnsi" w:hAnsiTheme="minorHAnsi" w:cstheme="minorHAnsi"/>
          <w:lang w:val="fr-FR"/>
        </w:rPr>
        <w:t>Australie, Costa Rica, Estonie, États-Unis d’Amérique, Japon, Mexique (présidence), Panama, Sénégal (représentant également l’IRR SénégalWet), Sierra Leone et Suisse.</w:t>
      </w:r>
    </w:p>
    <w:p w14:paraId="4DE58638" w14:textId="77777777" w:rsidR="009F420A" w:rsidRPr="009F420A" w:rsidRDefault="009F420A" w:rsidP="009F420A">
      <w:pPr>
        <w:autoSpaceDE w:val="0"/>
        <w:autoSpaceDN w:val="0"/>
        <w:spacing w:after="0" w:line="240" w:lineRule="auto"/>
        <w:rPr>
          <w:rFonts w:asciiTheme="minorHAnsi" w:hAnsiTheme="minorHAnsi" w:cstheme="minorHAnsi"/>
          <w:b/>
          <w:bCs/>
          <w:i/>
          <w:iCs/>
          <w:lang w:val="fr-FR"/>
        </w:rPr>
      </w:pPr>
    </w:p>
    <w:p w14:paraId="795ADE3E" w14:textId="77777777" w:rsidR="009F420A" w:rsidRPr="009F420A" w:rsidRDefault="009F420A" w:rsidP="009F420A">
      <w:pPr>
        <w:autoSpaceDE w:val="0"/>
        <w:autoSpaceDN w:val="0"/>
        <w:spacing w:after="0" w:line="240" w:lineRule="auto"/>
        <w:rPr>
          <w:rFonts w:asciiTheme="minorHAnsi" w:hAnsiTheme="minorHAnsi" w:cstheme="minorHAnsi"/>
          <w:b/>
          <w:bCs/>
          <w:i/>
          <w:iCs/>
          <w:lang w:val="fr-FR"/>
        </w:rPr>
      </w:pPr>
      <w:r w:rsidRPr="009F420A">
        <w:rPr>
          <w:rFonts w:asciiTheme="minorHAnsi" w:hAnsiTheme="minorHAnsi" w:cstheme="minorHAnsi"/>
          <w:b/>
          <w:bCs/>
          <w:i/>
          <w:iCs/>
          <w:lang w:val="fr-FR"/>
        </w:rPr>
        <w:t>Observateurs des Parties contractantes :</w:t>
      </w:r>
    </w:p>
    <w:p w14:paraId="2E0CF0CD" w14:textId="77777777" w:rsidR="009F420A" w:rsidRPr="009F420A" w:rsidRDefault="009F420A" w:rsidP="009F420A">
      <w:pPr>
        <w:autoSpaceDE w:val="0"/>
        <w:autoSpaceDN w:val="0"/>
        <w:spacing w:after="0" w:line="240" w:lineRule="auto"/>
        <w:rPr>
          <w:rFonts w:asciiTheme="minorHAnsi" w:hAnsiTheme="minorHAnsi" w:cstheme="minorHAnsi"/>
          <w:lang w:val="fr-FR"/>
        </w:rPr>
      </w:pPr>
      <w:r w:rsidRPr="009F420A">
        <w:rPr>
          <w:rFonts w:asciiTheme="minorHAnsi" w:hAnsiTheme="minorHAnsi" w:cstheme="minorHAnsi"/>
          <w:lang w:val="fr-FR"/>
        </w:rPr>
        <w:t>Brésil, Colombie (représentant également l’IRR du bassin du fleuve Amazone), Congo, Fédération de Russie, Guatemala, Macédoine du Nord, Myanmar, Pérou, République islamique d’Iran et Suède.</w:t>
      </w:r>
    </w:p>
    <w:p w14:paraId="417EC11D" w14:textId="77777777" w:rsidR="009F420A" w:rsidRPr="009F420A" w:rsidRDefault="009F420A" w:rsidP="009F420A">
      <w:pPr>
        <w:autoSpaceDE w:val="0"/>
        <w:autoSpaceDN w:val="0"/>
        <w:spacing w:after="0" w:line="240" w:lineRule="auto"/>
        <w:rPr>
          <w:rFonts w:asciiTheme="minorHAnsi" w:hAnsiTheme="minorHAnsi" w:cstheme="minorHAnsi"/>
          <w:lang w:val="fr-FR"/>
        </w:rPr>
      </w:pPr>
    </w:p>
    <w:p w14:paraId="36C34ACE" w14:textId="77777777" w:rsidR="009F420A" w:rsidRPr="009F420A" w:rsidRDefault="009F420A" w:rsidP="009F420A">
      <w:pPr>
        <w:autoSpaceDE w:val="0"/>
        <w:autoSpaceDN w:val="0"/>
        <w:spacing w:after="0" w:line="240" w:lineRule="auto"/>
        <w:rPr>
          <w:rFonts w:asciiTheme="minorHAnsi" w:hAnsiTheme="minorHAnsi" w:cstheme="minorHAnsi"/>
          <w:lang w:val="fr-FR"/>
        </w:rPr>
      </w:pPr>
      <w:r w:rsidRPr="009F420A">
        <w:rPr>
          <w:rFonts w:asciiTheme="minorHAnsi" w:hAnsiTheme="minorHAnsi" w:cstheme="minorHAnsi"/>
          <w:b/>
          <w:bCs/>
          <w:i/>
          <w:iCs/>
          <w:lang w:val="fr-FR"/>
        </w:rPr>
        <w:t>Représentants d’autres IRR</w:t>
      </w:r>
      <w:r w:rsidRPr="009F420A">
        <w:rPr>
          <w:rFonts w:asciiTheme="minorHAnsi" w:hAnsiTheme="minorHAnsi" w:cstheme="minorHAnsi"/>
          <w:lang w:val="fr-FR"/>
        </w:rPr>
        <w:t xml:space="preserve"> </w:t>
      </w:r>
      <w:r w:rsidRPr="009F420A">
        <w:rPr>
          <w:rFonts w:asciiTheme="minorHAnsi" w:hAnsiTheme="minorHAnsi" w:cstheme="minorHAnsi"/>
          <w:i/>
          <w:iCs/>
          <w:lang w:val="fr-FR"/>
        </w:rPr>
        <w:t>(présents jusqu’à la fin de la discussion sous le point 1.2 ci-dessous)</w:t>
      </w:r>
      <w:r w:rsidRPr="009F420A">
        <w:rPr>
          <w:rFonts w:asciiTheme="minorHAnsi" w:hAnsiTheme="minorHAnsi" w:cstheme="minorHAnsi"/>
          <w:lang w:val="fr-FR"/>
        </w:rPr>
        <w:t xml:space="preserve"> Coordinateurs de l’Initiative régionale Ramsar pour l’Asie centrale (RRI-CA) et de l’Initiative régionale Ramsar indo-birmane (IBRRI).</w:t>
      </w:r>
    </w:p>
    <w:p w14:paraId="7D198F6F" w14:textId="77777777" w:rsidR="009F420A" w:rsidRPr="009F420A" w:rsidRDefault="009F420A" w:rsidP="009F420A">
      <w:pPr>
        <w:autoSpaceDE w:val="0"/>
        <w:autoSpaceDN w:val="0"/>
        <w:spacing w:after="0" w:line="240" w:lineRule="auto"/>
        <w:rPr>
          <w:rFonts w:asciiTheme="minorHAnsi" w:hAnsiTheme="minorHAnsi" w:cstheme="minorHAnsi"/>
          <w:lang w:val="fr-FR"/>
        </w:rPr>
      </w:pPr>
    </w:p>
    <w:p w14:paraId="58A083EB" w14:textId="77777777" w:rsidR="009F420A" w:rsidRPr="009F420A" w:rsidRDefault="009F420A" w:rsidP="009F420A">
      <w:pPr>
        <w:autoSpaceDE w:val="0"/>
        <w:autoSpaceDN w:val="0"/>
        <w:spacing w:after="0" w:line="240" w:lineRule="auto"/>
        <w:rPr>
          <w:rFonts w:asciiTheme="minorHAnsi" w:hAnsiTheme="minorHAnsi" w:cstheme="minorHAnsi"/>
          <w:b/>
          <w:bCs/>
          <w:i/>
          <w:iCs/>
          <w:lang w:val="fr-FR"/>
        </w:rPr>
      </w:pPr>
      <w:r w:rsidRPr="009F420A">
        <w:rPr>
          <w:rFonts w:asciiTheme="minorHAnsi" w:hAnsiTheme="minorHAnsi" w:cstheme="minorHAnsi"/>
          <w:b/>
          <w:bCs/>
          <w:i/>
          <w:iCs/>
          <w:lang w:val="fr-FR"/>
        </w:rPr>
        <w:t>Secrétariat :</w:t>
      </w:r>
    </w:p>
    <w:p w14:paraId="20F1AC1C" w14:textId="77777777" w:rsidR="009F420A" w:rsidRPr="009F420A" w:rsidRDefault="009F420A" w:rsidP="009F420A">
      <w:pPr>
        <w:autoSpaceDE w:val="0"/>
        <w:autoSpaceDN w:val="0"/>
        <w:spacing w:after="0" w:line="240" w:lineRule="auto"/>
        <w:rPr>
          <w:rFonts w:asciiTheme="minorHAnsi" w:hAnsiTheme="minorHAnsi" w:cstheme="minorHAnsi"/>
          <w:lang w:val="fr-FR"/>
        </w:rPr>
      </w:pPr>
      <w:r w:rsidRPr="009F420A">
        <w:rPr>
          <w:rFonts w:asciiTheme="minorHAnsi" w:hAnsiTheme="minorHAnsi" w:cstheme="minorHAnsi"/>
          <w:lang w:val="fr-FR"/>
        </w:rPr>
        <w:t>Secrétaire générale, Secrétaire général adjoint, Administratrice chargée des finances, Conseillers régionaux principaux, Administrateur chargé de la documentation, Assistante exécutive de la Secrétaire générale, Administrateur chargé de l’informatique et Assistant aux services de conférence et de gouvernance.</w:t>
      </w:r>
    </w:p>
    <w:p w14:paraId="72646A90" w14:textId="77777777" w:rsidR="009F420A" w:rsidRPr="009F420A" w:rsidRDefault="009F420A" w:rsidP="009F420A">
      <w:pPr>
        <w:autoSpaceDE w:val="0"/>
        <w:autoSpaceDN w:val="0"/>
        <w:spacing w:after="0" w:line="240" w:lineRule="auto"/>
        <w:rPr>
          <w:rFonts w:asciiTheme="minorHAnsi" w:hAnsiTheme="minorHAnsi" w:cstheme="minorHAnsi"/>
          <w:lang w:val="fr-FR"/>
        </w:rPr>
      </w:pPr>
      <w:r w:rsidRPr="009F420A">
        <w:rPr>
          <w:rFonts w:asciiTheme="minorHAnsi" w:hAnsiTheme="minorHAnsi" w:cstheme="minorHAnsi"/>
          <w:lang w:val="fr-FR"/>
        </w:rPr>
        <w:t>_________________</w:t>
      </w:r>
    </w:p>
    <w:p w14:paraId="1158FF97" w14:textId="763C0869" w:rsidR="009F420A" w:rsidRDefault="009F420A" w:rsidP="009F420A">
      <w:pPr>
        <w:pStyle w:val="NormalWeb"/>
        <w:spacing w:after="0"/>
        <w:rPr>
          <w:rFonts w:asciiTheme="minorHAnsi" w:hAnsiTheme="minorHAnsi" w:cstheme="minorHAnsi"/>
          <w:sz w:val="22"/>
          <w:szCs w:val="22"/>
          <w:lang w:val="fr-FR" w:eastAsia="ja-JP"/>
        </w:rPr>
      </w:pPr>
    </w:p>
    <w:p w14:paraId="781B8C38" w14:textId="77777777" w:rsidR="00C7406E" w:rsidRPr="009F420A" w:rsidRDefault="00C7406E" w:rsidP="009F420A">
      <w:pPr>
        <w:pStyle w:val="NormalWeb"/>
        <w:spacing w:after="0"/>
        <w:rPr>
          <w:rFonts w:asciiTheme="minorHAnsi" w:hAnsiTheme="minorHAnsi" w:cstheme="minorHAnsi"/>
          <w:sz w:val="22"/>
          <w:szCs w:val="22"/>
          <w:lang w:val="fr-FR" w:eastAsia="ja-JP"/>
        </w:rPr>
      </w:pPr>
    </w:p>
    <w:p w14:paraId="4ABAFBD8" w14:textId="5886AFD5" w:rsidR="009F420A" w:rsidRPr="00C7406E" w:rsidRDefault="009F420A" w:rsidP="009F420A">
      <w:pPr>
        <w:pStyle w:val="NormalWeb"/>
        <w:spacing w:after="0"/>
        <w:rPr>
          <w:rFonts w:asciiTheme="minorHAnsi" w:hAnsiTheme="minorHAnsi" w:cstheme="minorHAnsi"/>
          <w:spacing w:val="-2"/>
          <w:sz w:val="22"/>
          <w:szCs w:val="22"/>
          <w:lang w:val="fr-FR" w:eastAsia="ja-JP"/>
        </w:rPr>
      </w:pPr>
      <w:r w:rsidRPr="00C7406E">
        <w:rPr>
          <w:rFonts w:asciiTheme="minorHAnsi" w:eastAsia="Calibri" w:hAnsiTheme="minorHAnsi" w:cstheme="minorHAnsi"/>
          <w:spacing w:val="-2"/>
          <w:sz w:val="22"/>
          <w:szCs w:val="22"/>
          <w:lang w:val="fr-FR" w:eastAsia="ja-JP"/>
        </w:rPr>
        <w:t>Le Président ouvre la réunion et remercie les membres du Sous-groupe pour les échanges utiles qui ont eu lieu avant la réunion et ont permis de clarifier plusieurs points dans les documents préparés par le Secrétariat. Il exprime ses remerciements pour la nouvelle documentation préparée, y compris les scénarios budgétaires tenant compte de la pandémie actuelle et des incertitudes qui en découlent.</w:t>
      </w:r>
    </w:p>
    <w:p w14:paraId="2BA9ADC1" w14:textId="77777777" w:rsidR="009F420A" w:rsidRPr="009F420A" w:rsidRDefault="009F420A" w:rsidP="009F420A">
      <w:pPr>
        <w:pStyle w:val="NormalWeb"/>
        <w:spacing w:after="0"/>
        <w:rPr>
          <w:rFonts w:asciiTheme="minorHAnsi" w:hAnsiTheme="minorHAnsi" w:cstheme="minorHAnsi"/>
          <w:b/>
          <w:bCs/>
          <w:sz w:val="22"/>
          <w:szCs w:val="22"/>
          <w:lang w:val="fr-FR" w:eastAsia="ja-JP"/>
        </w:rPr>
      </w:pPr>
    </w:p>
    <w:p w14:paraId="277B9B36" w14:textId="77777777" w:rsidR="009F420A" w:rsidRPr="009F420A" w:rsidRDefault="009F420A" w:rsidP="009F420A">
      <w:pPr>
        <w:pStyle w:val="NormalWeb"/>
        <w:widowControl w:val="0"/>
        <w:numPr>
          <w:ilvl w:val="0"/>
          <w:numId w:val="29"/>
        </w:numPr>
        <w:adjustRightInd w:val="0"/>
        <w:spacing w:after="0"/>
        <w:textAlignment w:val="baseline"/>
        <w:rPr>
          <w:rFonts w:asciiTheme="minorHAnsi" w:hAnsiTheme="minorHAnsi" w:cstheme="minorHAnsi"/>
          <w:bCs/>
          <w:sz w:val="22"/>
          <w:szCs w:val="22"/>
          <w:lang w:val="fr-FR" w:eastAsia="ja-JP"/>
        </w:rPr>
      </w:pPr>
      <w:r w:rsidRPr="009F420A">
        <w:rPr>
          <w:rFonts w:asciiTheme="minorHAnsi" w:eastAsia="Calibri" w:hAnsiTheme="minorHAnsi" w:cstheme="minorHAnsi"/>
          <w:b/>
          <w:bCs/>
          <w:sz w:val="22"/>
          <w:szCs w:val="22"/>
          <w:u w:val="single"/>
          <w:lang w:val="fr-FR" w:eastAsia="ja-JP"/>
        </w:rPr>
        <w:t>Budget administratif 2020</w:t>
      </w:r>
      <w:r w:rsidRPr="009F420A">
        <w:rPr>
          <w:rFonts w:asciiTheme="minorHAnsi" w:eastAsia="Calibri" w:hAnsiTheme="minorHAnsi" w:cstheme="minorHAnsi"/>
          <w:sz w:val="22"/>
          <w:szCs w:val="22"/>
          <w:lang w:val="fr-FR" w:eastAsia="ja-JP"/>
        </w:rPr>
        <w:t xml:space="preserve"> (document SC58 Doc.8.2,</w:t>
      </w:r>
      <w:r w:rsidRPr="009F420A">
        <w:rPr>
          <w:rFonts w:asciiTheme="minorHAnsi" w:eastAsia="Calibri" w:hAnsiTheme="minorHAnsi" w:cstheme="minorHAnsi"/>
          <w:i/>
          <w:iCs/>
          <w:sz w:val="22"/>
          <w:szCs w:val="22"/>
          <w:lang w:val="fr-FR" w:eastAsia="ja-JP"/>
        </w:rPr>
        <w:t xml:space="preserve"> Rapport sur les questions financières pour 2019 et 2020 - </w:t>
      </w:r>
      <w:r w:rsidRPr="009F420A">
        <w:rPr>
          <w:rFonts w:asciiTheme="minorHAnsi" w:eastAsia="Calibri" w:hAnsiTheme="minorHAnsi" w:cstheme="minorHAnsi"/>
          <w:iCs/>
          <w:sz w:val="22"/>
          <w:szCs w:val="22"/>
          <w:lang w:val="fr-FR" w:eastAsia="ja-JP"/>
        </w:rPr>
        <w:t>Mesures requises énumérées ci-dessous</w:t>
      </w:r>
      <w:r w:rsidRPr="009F420A">
        <w:rPr>
          <w:rFonts w:asciiTheme="minorHAnsi" w:eastAsia="Calibri" w:hAnsiTheme="minorHAnsi" w:cstheme="minorHAnsi"/>
          <w:sz w:val="22"/>
          <w:szCs w:val="22"/>
          <w:lang w:val="fr-FR" w:eastAsia="ja-JP"/>
        </w:rPr>
        <w:t>)</w:t>
      </w:r>
    </w:p>
    <w:p w14:paraId="4BFE25C8" w14:textId="77777777" w:rsidR="009F420A" w:rsidRPr="009F420A" w:rsidRDefault="009F420A" w:rsidP="009F420A">
      <w:pPr>
        <w:pStyle w:val="NormalWeb"/>
        <w:tabs>
          <w:tab w:val="left" w:pos="3912"/>
        </w:tabs>
        <w:spacing w:after="0"/>
        <w:ind w:left="720"/>
        <w:rPr>
          <w:rFonts w:asciiTheme="minorHAnsi" w:hAnsiTheme="minorHAnsi" w:cstheme="minorHAnsi"/>
          <w:b/>
          <w:bCs/>
          <w:sz w:val="22"/>
          <w:szCs w:val="22"/>
          <w:lang w:val="fr-FR" w:eastAsia="ja-JP"/>
        </w:rPr>
      </w:pPr>
      <w:r w:rsidRPr="009F420A">
        <w:rPr>
          <w:rFonts w:asciiTheme="minorHAnsi" w:hAnsiTheme="minorHAnsi" w:cstheme="minorHAnsi"/>
          <w:b/>
          <w:bCs/>
          <w:sz w:val="22"/>
          <w:szCs w:val="22"/>
          <w:lang w:val="fr-FR" w:eastAsia="ja-JP"/>
        </w:rPr>
        <w:tab/>
      </w:r>
    </w:p>
    <w:p w14:paraId="6FFC4837" w14:textId="77777777" w:rsidR="009F420A" w:rsidRPr="009F420A" w:rsidRDefault="009F420A" w:rsidP="009F420A">
      <w:pPr>
        <w:pStyle w:val="NormalWeb"/>
        <w:widowControl w:val="0"/>
        <w:numPr>
          <w:ilvl w:val="1"/>
          <w:numId w:val="29"/>
        </w:numPr>
        <w:adjustRightInd w:val="0"/>
        <w:spacing w:after="0"/>
        <w:textAlignment w:val="baseline"/>
        <w:rPr>
          <w:rFonts w:asciiTheme="minorHAnsi" w:hAnsiTheme="minorHAnsi" w:cstheme="minorHAnsi"/>
          <w:b/>
          <w:bCs/>
          <w:sz w:val="22"/>
          <w:szCs w:val="22"/>
          <w:lang w:val="fr-FR" w:eastAsia="ja-JP"/>
        </w:rPr>
      </w:pPr>
      <w:r w:rsidRPr="009F420A">
        <w:rPr>
          <w:rFonts w:asciiTheme="minorHAnsi" w:eastAsia="Calibri" w:hAnsiTheme="minorHAnsi" w:cstheme="minorHAnsi"/>
          <w:b/>
          <w:bCs/>
          <w:sz w:val="22"/>
          <w:szCs w:val="22"/>
          <w:lang w:val="fr-FR" w:eastAsia="ja-JP"/>
        </w:rPr>
        <w:t>Mesure requise v) Budget administratif 2020</w:t>
      </w:r>
    </w:p>
    <w:p w14:paraId="3C6B48A9" w14:textId="77777777" w:rsidR="009F420A" w:rsidRPr="009F420A" w:rsidRDefault="009F420A" w:rsidP="009F420A">
      <w:pPr>
        <w:pStyle w:val="NormalWeb"/>
        <w:spacing w:after="0"/>
        <w:ind w:left="360"/>
        <w:rPr>
          <w:rFonts w:asciiTheme="minorHAnsi" w:hAnsiTheme="minorHAnsi" w:cstheme="minorHAnsi"/>
          <w:iCs/>
          <w:sz w:val="22"/>
          <w:szCs w:val="22"/>
          <w:lang w:val="fr-FR" w:eastAsia="ja-JP"/>
        </w:rPr>
      </w:pPr>
    </w:p>
    <w:p w14:paraId="7ACF5DC6" w14:textId="77777777" w:rsidR="009F420A" w:rsidRPr="009F420A" w:rsidRDefault="009F420A" w:rsidP="009F420A">
      <w:pPr>
        <w:pStyle w:val="NormalWeb"/>
        <w:spacing w:after="0"/>
        <w:ind w:left="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 xml:space="preserve">La Secrétaire générale donne une vue d’ensemble du fonds de réserve (au maximum 15 % du budget), de la réserve de fonctionnement et des économies estimées dans les différents scénarios (actuel, avec levée possible des restrictions de voyage et avec restrictions de voyage). </w:t>
      </w:r>
    </w:p>
    <w:p w14:paraId="004D61BB" w14:textId="77777777" w:rsidR="009F420A" w:rsidRPr="009F420A" w:rsidRDefault="009F420A" w:rsidP="009F420A">
      <w:pPr>
        <w:pStyle w:val="NormalWeb"/>
        <w:spacing w:after="0"/>
        <w:rPr>
          <w:rFonts w:asciiTheme="minorHAnsi" w:hAnsiTheme="minorHAnsi" w:cstheme="minorHAnsi"/>
          <w:iCs/>
          <w:sz w:val="22"/>
          <w:szCs w:val="22"/>
          <w:lang w:val="fr-FR" w:eastAsia="ja-JP"/>
        </w:rPr>
      </w:pPr>
    </w:p>
    <w:p w14:paraId="33AAEC85" w14:textId="77777777" w:rsidR="009F420A" w:rsidRPr="009F420A" w:rsidRDefault="009F420A" w:rsidP="009F420A">
      <w:pPr>
        <w:pStyle w:val="NormalWeb"/>
        <w:spacing w:after="0"/>
        <w:ind w:left="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 xml:space="preserve">Les membres du Sous-groupe soulignent la nécessité de faire preuve d’une prudence budgétaire à la lumière des risques économiques sans précédent dus à la pandémie, et d’une flexibilité pour tenir compte de l’incertitude et des besoins futurs. Les opportunités et les coûts des approches virtuelles sont discutés. </w:t>
      </w:r>
    </w:p>
    <w:p w14:paraId="3F407CE4" w14:textId="77777777" w:rsidR="009F420A" w:rsidRPr="009F420A" w:rsidRDefault="009F420A" w:rsidP="009F420A">
      <w:pPr>
        <w:pStyle w:val="NormalWeb"/>
        <w:spacing w:after="0"/>
        <w:rPr>
          <w:rFonts w:asciiTheme="minorHAnsi" w:hAnsiTheme="minorHAnsi" w:cstheme="minorHAnsi"/>
          <w:iCs/>
          <w:sz w:val="22"/>
          <w:szCs w:val="22"/>
          <w:lang w:val="fr-FR" w:eastAsia="ja-JP"/>
        </w:rPr>
      </w:pPr>
    </w:p>
    <w:p w14:paraId="2803FF23"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3C5FA00E"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3B8C17B9" w14:textId="77777777" w:rsidR="009F420A" w:rsidRPr="009F420A" w:rsidRDefault="009F420A" w:rsidP="009F420A">
      <w:pPr>
        <w:pStyle w:val="NormalWeb"/>
        <w:spacing w:after="0"/>
        <w:ind w:left="720"/>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Le Sous-groupe sur les finances recommande que le Comité permanent approuve le budget ajusté pour 2020 joint à l’annexe I. Le Sous-groupe suivra l’exécution du budget et procédera aux ajustements nécessaires.</w:t>
      </w:r>
    </w:p>
    <w:p w14:paraId="0876D77F" w14:textId="77777777" w:rsidR="009F420A" w:rsidRPr="009F420A" w:rsidRDefault="009F420A" w:rsidP="009F420A">
      <w:pPr>
        <w:pStyle w:val="NormalWeb"/>
        <w:spacing w:after="0"/>
        <w:ind w:left="720"/>
        <w:rPr>
          <w:rFonts w:asciiTheme="minorHAnsi" w:hAnsiTheme="minorHAnsi" w:cstheme="minorHAnsi"/>
          <w:iCs/>
          <w:sz w:val="22"/>
          <w:szCs w:val="22"/>
          <w:lang w:val="fr-FR" w:eastAsia="ja-JP"/>
        </w:rPr>
      </w:pPr>
    </w:p>
    <w:p w14:paraId="5235DAF5" w14:textId="77777777" w:rsidR="009F420A" w:rsidRPr="009F420A" w:rsidRDefault="009F420A" w:rsidP="009F420A">
      <w:pPr>
        <w:pStyle w:val="NormalWeb"/>
        <w:spacing w:after="0"/>
        <w:ind w:left="720"/>
        <w:rPr>
          <w:rFonts w:asciiTheme="minorHAnsi" w:hAnsiTheme="minorHAnsi" w:cstheme="minorHAnsi"/>
          <w:i/>
          <w:iCs/>
          <w:sz w:val="22"/>
          <w:szCs w:val="22"/>
          <w:lang w:val="fr-FR" w:eastAsia="ja-JP"/>
        </w:rPr>
      </w:pPr>
      <w:r w:rsidRPr="009F420A">
        <w:rPr>
          <w:rFonts w:asciiTheme="minorHAnsi" w:eastAsia="Calibri" w:hAnsiTheme="minorHAnsi" w:cstheme="minorHAnsi"/>
          <w:b/>
          <w:bCs/>
          <w:i/>
          <w:iCs/>
          <w:sz w:val="22"/>
          <w:szCs w:val="22"/>
          <w:lang w:val="fr-FR" w:eastAsia="ja-JP"/>
        </w:rPr>
        <w:t>Il recommande en outre que le Comité permanent demande la création de deux lignes budgétaires distinctes dans les futurs budgets : 1) pour les provisions pour les arriérés de contributions et 2) pour les dépenses de personnel</w:t>
      </w:r>
      <w:r w:rsidRPr="009F420A">
        <w:rPr>
          <w:rFonts w:asciiTheme="minorHAnsi" w:eastAsia="Calibri" w:hAnsiTheme="minorHAnsi" w:cstheme="minorHAnsi"/>
          <w:i/>
          <w:iCs/>
          <w:sz w:val="22"/>
          <w:szCs w:val="22"/>
          <w:lang w:val="fr-FR" w:eastAsia="ja-JP"/>
        </w:rPr>
        <w:t>.</w:t>
      </w:r>
    </w:p>
    <w:p w14:paraId="771DCF34" w14:textId="77777777" w:rsidR="009F420A" w:rsidRPr="009F420A" w:rsidRDefault="009F420A" w:rsidP="009F420A">
      <w:pPr>
        <w:pStyle w:val="NormalWeb"/>
        <w:spacing w:after="0"/>
        <w:ind w:left="851" w:hanging="851"/>
        <w:rPr>
          <w:rFonts w:asciiTheme="minorHAnsi" w:hAnsiTheme="minorHAnsi" w:cstheme="minorHAnsi"/>
          <w:i/>
          <w:iCs/>
          <w:sz w:val="22"/>
          <w:szCs w:val="22"/>
          <w:lang w:val="fr-FR" w:eastAsia="ja-JP"/>
        </w:rPr>
      </w:pPr>
    </w:p>
    <w:p w14:paraId="4DA2F4CD" w14:textId="77777777" w:rsidR="009F420A" w:rsidRPr="009F420A" w:rsidRDefault="009F420A" w:rsidP="009F420A">
      <w:pPr>
        <w:pStyle w:val="NormalWeb"/>
        <w:widowControl w:val="0"/>
        <w:numPr>
          <w:ilvl w:val="1"/>
          <w:numId w:val="29"/>
        </w:numPr>
        <w:adjustRightInd w:val="0"/>
        <w:spacing w:after="0"/>
        <w:textAlignment w:val="baseline"/>
        <w:rPr>
          <w:rFonts w:asciiTheme="minorHAnsi" w:hAnsiTheme="minorHAnsi" w:cstheme="minorHAnsi"/>
          <w:b/>
          <w:sz w:val="22"/>
          <w:szCs w:val="22"/>
          <w:lang w:val="fr-FR" w:eastAsia="ja-JP"/>
        </w:rPr>
      </w:pPr>
      <w:r w:rsidRPr="009F420A">
        <w:rPr>
          <w:rFonts w:asciiTheme="minorHAnsi" w:eastAsia="Calibri" w:hAnsiTheme="minorHAnsi" w:cstheme="minorHAnsi"/>
          <w:b/>
          <w:bCs/>
          <w:iCs/>
          <w:sz w:val="22"/>
          <w:szCs w:val="22"/>
          <w:lang w:val="fr-FR" w:eastAsia="ja-JP"/>
        </w:rPr>
        <w:t xml:space="preserve">Mesure requise vi) allocation pour les Initiatives régionales Ramsar </w:t>
      </w:r>
    </w:p>
    <w:p w14:paraId="7F964080"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42355B25"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ab/>
        <w:t>Le Sous-groupe demande aux représentants des quatre Initiatives régionales Ramsar (IRR) qui sont éligibles à recevoir un appui du budget administratif de confirmer qu’ils sont en mesure de mettre en œuvre leur plan de travail et d’utiliser les fonds malgré les contraintes imposées par la pandémie. Les IRR apportent des réponses à cette question.</w:t>
      </w:r>
    </w:p>
    <w:p w14:paraId="13F682F8"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p>
    <w:p w14:paraId="730B267A"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ab/>
        <w:t>Les membres du Sous-groupe notent la nécessité de veiller à ce que les IRR n’utilisent les fonds du budget administratif de la Convention que pour des activités régionales plutôt que nationales, et demandent au Secrétariat de le rappeler aux IRR.</w:t>
      </w:r>
    </w:p>
    <w:p w14:paraId="0DD013FA"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p>
    <w:p w14:paraId="029B28D4"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ab/>
        <w:t>La Secrétaire générale observe que le point 22.2 de l’ordre du jour de la 58</w:t>
      </w:r>
      <w:r w:rsidRPr="009F420A">
        <w:rPr>
          <w:rFonts w:asciiTheme="minorHAnsi" w:eastAsia="Calibri" w:hAnsiTheme="minorHAnsi" w:cstheme="minorHAnsi"/>
          <w:iCs/>
          <w:sz w:val="22"/>
          <w:szCs w:val="22"/>
          <w:vertAlign w:val="superscript"/>
          <w:lang w:val="fr-FR" w:eastAsia="ja-JP"/>
        </w:rPr>
        <w:t>e</w:t>
      </w:r>
      <w:r w:rsidRPr="009F420A">
        <w:rPr>
          <w:rFonts w:asciiTheme="minorHAnsi" w:eastAsia="Calibri" w:hAnsiTheme="minorHAnsi" w:cstheme="minorHAnsi"/>
          <w:iCs/>
          <w:sz w:val="22"/>
          <w:szCs w:val="22"/>
          <w:lang w:val="fr-FR" w:eastAsia="ja-JP"/>
        </w:rPr>
        <w:t> Réunion du Comité permanent (SC58) traite des rapports des IRR et offre la possibilité de renforcer les orientations conformément à la Résolution XIII.9, y compris par l’amélioration des rapports. Un modèle révisé est proposé en annexe 2 du document associé.</w:t>
      </w:r>
    </w:p>
    <w:p w14:paraId="1579F9AD"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p>
    <w:p w14:paraId="036C1F38" w14:textId="77777777" w:rsidR="009F420A" w:rsidRPr="009F420A" w:rsidRDefault="009F420A" w:rsidP="009F420A">
      <w:pPr>
        <w:pStyle w:val="NormalWeb"/>
        <w:spacing w:after="0"/>
        <w:ind w:left="426"/>
        <w:rPr>
          <w:rFonts w:asciiTheme="minorHAnsi" w:eastAsia="Calibr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Il est également noté que certaines IRR ont reporté des fonds non dépensés depuis 2019 et que le calendrier de l’éligibilité aux fonds du budget administratif pourrait devoir être prolongé au-delà des deux périodes triennales habituelles pour certaines IRR, compte tenu des circonstances actuelles.</w:t>
      </w:r>
    </w:p>
    <w:p w14:paraId="65F668C1" w14:textId="77777777" w:rsidR="009F420A" w:rsidRPr="009F420A" w:rsidRDefault="009F420A" w:rsidP="009F420A">
      <w:pPr>
        <w:pStyle w:val="NormalWeb"/>
        <w:spacing w:after="0"/>
        <w:ind w:left="426"/>
        <w:rPr>
          <w:rFonts w:asciiTheme="minorHAnsi" w:eastAsia="Calibri" w:hAnsiTheme="minorHAnsi" w:cstheme="minorHAnsi"/>
          <w:iCs/>
          <w:sz w:val="22"/>
          <w:szCs w:val="22"/>
          <w:lang w:val="fr-FR" w:eastAsia="ja-JP"/>
        </w:rPr>
      </w:pPr>
    </w:p>
    <w:p w14:paraId="391DA3E8" w14:textId="77777777" w:rsidR="009F420A" w:rsidRPr="009F420A" w:rsidRDefault="009F420A" w:rsidP="009F420A">
      <w:pPr>
        <w:pStyle w:val="NormalWeb"/>
        <w:spacing w:after="0"/>
        <w:ind w:left="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Certains membres du Sous-groupe se déclarent également prêts à recevoir, pour examen au cours de leur réunion d’octobre, des demandes des IRR éligibles pour des fonds additionnels du budget administratif, tenant compte de l’évolution de la pandémie et de leur capacité à mettre en œuvre les ressources du budget administratif fournies par la Convention.</w:t>
      </w:r>
    </w:p>
    <w:p w14:paraId="4125D56C" w14:textId="77777777" w:rsidR="009F420A" w:rsidRPr="009F420A" w:rsidRDefault="009F420A" w:rsidP="009F420A">
      <w:pPr>
        <w:pStyle w:val="NormalWeb"/>
        <w:spacing w:after="0"/>
        <w:rPr>
          <w:rFonts w:asciiTheme="minorHAnsi" w:hAnsiTheme="minorHAnsi" w:cstheme="minorHAnsi"/>
          <w:sz w:val="22"/>
          <w:szCs w:val="22"/>
          <w:lang w:val="fr-FR" w:eastAsia="ja-JP"/>
        </w:rPr>
      </w:pPr>
      <w:r w:rsidRPr="009F420A">
        <w:rPr>
          <w:rFonts w:asciiTheme="minorHAnsi" w:hAnsiTheme="minorHAnsi" w:cstheme="minorHAnsi"/>
          <w:sz w:val="22"/>
          <w:szCs w:val="22"/>
          <w:lang w:val="fr-FR" w:eastAsia="ja-JP"/>
        </w:rPr>
        <w:tab/>
      </w:r>
    </w:p>
    <w:p w14:paraId="6379576A"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411B6CC7"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5428DE04"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i/>
          <w:iCs/>
          <w:sz w:val="22"/>
          <w:szCs w:val="22"/>
          <w:lang w:val="fr-FR" w:eastAsia="ja-JP"/>
        </w:rPr>
        <w:tab/>
      </w:r>
      <w:r w:rsidRPr="009F420A">
        <w:rPr>
          <w:rFonts w:asciiTheme="minorHAnsi" w:eastAsia="Calibri" w:hAnsiTheme="minorHAnsi" w:cstheme="minorHAnsi"/>
          <w:b/>
          <w:bCs/>
          <w:i/>
          <w:iCs/>
          <w:sz w:val="22"/>
          <w:szCs w:val="22"/>
          <w:lang w:val="fr-FR" w:eastAsia="ja-JP"/>
        </w:rPr>
        <w:t>Le Sous-groupe sur les finances recommande que le Comité permanent approuve l’allocation de 15 000 CHF, sur une proposition originale de 25 000, à chacune des quatre Initiatives régionales Ramsar éligibles pour leurs activités en 2020 à partir de la ligne D « Appui aux initiatives régionales » du budget administratif, en tenant compte des reports de 2019 et de la situation pandémique susceptible d’entraîner une limitation des activités pendant le reste de 2020.</w:t>
      </w:r>
    </w:p>
    <w:p w14:paraId="3EDA237C"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p>
    <w:p w14:paraId="51901254"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ab/>
        <w:t>Le Sous-groupe sur les finances recommande en outre que le Comité permanent accorde une attention spéciale à l’application de la Décision SC57-11 et aux progrès du Groupe de travail sur les Initiatives régionales Ramsar ainsi qu’aux tâches confiées dans la Résolution XIII.9, notamment les mesures visant à améliorer la transparence dans le cadre de nouvelles directives opérationnelles. Il examine ensuite les mesures suivantes qui ont pour objet d’améliorer les capacités de prise de décisions et de supervision du Sous-groupe sur les finances sur les questions liées aux IRR :</w:t>
      </w:r>
    </w:p>
    <w:p w14:paraId="1F1C08E5"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1.</w:t>
      </w:r>
      <w:r w:rsidRPr="009F420A">
        <w:rPr>
          <w:rFonts w:asciiTheme="minorHAnsi" w:eastAsia="Calibri" w:hAnsiTheme="minorHAnsi" w:cstheme="minorHAnsi"/>
          <w:b/>
          <w:bCs/>
          <w:i/>
          <w:iCs/>
          <w:sz w:val="22"/>
          <w:szCs w:val="22"/>
          <w:lang w:val="fr-FR" w:eastAsia="ja-JP"/>
        </w:rPr>
        <w:tab/>
        <w:t>Renforcer les exigences en matière de rapports afin d’améliorer leur responsabilité et leurs bonnes pratiques de gestion financière, dans le cadre de l’examen du point 22.2 de l’ordre du jour par le Comité permanent à sa 58</w:t>
      </w:r>
      <w:r w:rsidRPr="009F420A">
        <w:rPr>
          <w:rFonts w:asciiTheme="minorHAnsi" w:eastAsia="Calibri" w:hAnsiTheme="minorHAnsi" w:cstheme="minorHAnsi"/>
          <w:b/>
          <w:bCs/>
          <w:i/>
          <w:iCs/>
          <w:sz w:val="22"/>
          <w:szCs w:val="22"/>
          <w:vertAlign w:val="superscript"/>
          <w:lang w:val="fr-FR" w:eastAsia="ja-JP"/>
        </w:rPr>
        <w:t>e</w:t>
      </w:r>
      <w:r w:rsidRPr="009F420A">
        <w:rPr>
          <w:rFonts w:asciiTheme="minorHAnsi" w:eastAsia="Calibri" w:hAnsiTheme="minorHAnsi" w:cstheme="minorHAnsi"/>
          <w:b/>
          <w:bCs/>
          <w:i/>
          <w:iCs/>
          <w:sz w:val="22"/>
          <w:szCs w:val="22"/>
          <w:lang w:val="fr-FR" w:eastAsia="ja-JP"/>
        </w:rPr>
        <w:t> Réunion ; et</w:t>
      </w:r>
    </w:p>
    <w:p w14:paraId="118DEDA5"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lastRenderedPageBreak/>
        <w:t>2.</w:t>
      </w:r>
      <w:r w:rsidRPr="009F420A">
        <w:rPr>
          <w:rFonts w:asciiTheme="minorHAnsi" w:eastAsia="Calibri" w:hAnsiTheme="minorHAnsi" w:cstheme="minorHAnsi"/>
          <w:b/>
          <w:bCs/>
          <w:i/>
          <w:iCs/>
          <w:sz w:val="22"/>
          <w:szCs w:val="22"/>
          <w:lang w:val="fr-FR" w:eastAsia="ja-JP"/>
        </w:rPr>
        <w:tab/>
        <w:t>Entreprendre une étude des IRR pour mieux comprendre leurs effets, leurs progrès et leur efficacité pour assister les Parties contractantes dans l’application de la Convention, en tenant compte du rapport sur le statut juridique des IRR et de l’examen des résolutions et décisions sur les IRR qui seront examinés par le Comité permanent à sa 58</w:t>
      </w:r>
      <w:r w:rsidRPr="009F420A">
        <w:rPr>
          <w:rFonts w:asciiTheme="minorHAnsi" w:eastAsia="Calibri" w:hAnsiTheme="minorHAnsi" w:cstheme="minorHAnsi"/>
          <w:b/>
          <w:bCs/>
          <w:i/>
          <w:iCs/>
          <w:sz w:val="22"/>
          <w:szCs w:val="22"/>
          <w:vertAlign w:val="superscript"/>
          <w:lang w:val="fr-FR" w:eastAsia="ja-JP"/>
        </w:rPr>
        <w:t>e</w:t>
      </w:r>
      <w:r w:rsidRPr="009F420A">
        <w:rPr>
          <w:rFonts w:asciiTheme="minorHAnsi" w:eastAsia="Calibri" w:hAnsiTheme="minorHAnsi" w:cstheme="minorHAnsi"/>
          <w:b/>
          <w:bCs/>
          <w:i/>
          <w:iCs/>
          <w:sz w:val="22"/>
          <w:szCs w:val="22"/>
          <w:lang w:val="fr-FR" w:eastAsia="ja-JP"/>
        </w:rPr>
        <w:t> Réunion aux points 22.3 et 22.4 respectivement de l’ordre du jour afin d’éviter les doubles emplois.</w:t>
      </w:r>
    </w:p>
    <w:p w14:paraId="0CE28C1D" w14:textId="77777777" w:rsidR="009F420A" w:rsidRPr="009F420A" w:rsidRDefault="009F420A" w:rsidP="009F420A">
      <w:pPr>
        <w:spacing w:after="0" w:line="240" w:lineRule="auto"/>
        <w:rPr>
          <w:rFonts w:asciiTheme="minorHAnsi" w:hAnsiTheme="minorHAnsi" w:cstheme="minorHAnsi"/>
          <w:iCs/>
          <w:lang w:val="fr-FR" w:eastAsia="ja-JP"/>
        </w:rPr>
      </w:pPr>
    </w:p>
    <w:p w14:paraId="6A25FEB6" w14:textId="77777777" w:rsidR="009F420A" w:rsidRPr="009F420A" w:rsidRDefault="009F420A" w:rsidP="009F420A">
      <w:pPr>
        <w:pStyle w:val="ListParagraph"/>
        <w:numPr>
          <w:ilvl w:val="1"/>
          <w:numId w:val="29"/>
        </w:numPr>
        <w:spacing w:after="0" w:line="240" w:lineRule="auto"/>
        <w:rPr>
          <w:rFonts w:asciiTheme="minorHAnsi" w:hAnsiTheme="minorHAnsi" w:cstheme="minorHAnsi"/>
          <w:b/>
          <w:iCs/>
          <w:lang w:val="fr-FR" w:eastAsia="ja-JP"/>
        </w:rPr>
      </w:pPr>
      <w:r w:rsidRPr="009F420A">
        <w:rPr>
          <w:rFonts w:asciiTheme="minorHAnsi" w:hAnsiTheme="minorHAnsi" w:cstheme="minorHAnsi"/>
          <w:b/>
          <w:bCs/>
          <w:iCs/>
          <w:lang w:val="fr-FR" w:eastAsia="ja-JP"/>
        </w:rPr>
        <w:t>Mesure requise vii) allocation pour l’examen des résolutions</w:t>
      </w:r>
    </w:p>
    <w:p w14:paraId="4EA98593"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p>
    <w:p w14:paraId="58764319" w14:textId="77777777" w:rsidR="009F420A" w:rsidRPr="009F420A" w:rsidRDefault="009F420A" w:rsidP="009F420A">
      <w:pPr>
        <w:pStyle w:val="NormalWeb"/>
        <w:spacing w:after="0"/>
        <w:ind w:left="426" w:hanging="426"/>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ab/>
        <w:t xml:space="preserve">Différents points de vue sont présentés, indiquant notamment l’importance de mener à bien cette tâche et son utilité pour l’élaboration de nouvelles résolutions. Les membres du groupe conviennent que ce sujet est une question inscrite à l’ordre du jour du Comité permanent et qu’il sera examiné par le Comité. L’examen des résolutions sur les IRR est également jugé utile pour le Groupe de travail sur les IRR. D’autres points de vue sont exprimés, s’interrogeant sur la trop grande ampleur de la tâche et se demandant si cela constitue une priorité absolue pour le Comité permanent. </w:t>
      </w:r>
    </w:p>
    <w:p w14:paraId="4BF90919"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2BDED6F4"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1EE92470"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71278F56"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i/>
          <w:iCs/>
          <w:sz w:val="22"/>
          <w:szCs w:val="22"/>
          <w:lang w:val="fr-FR" w:eastAsia="ja-JP"/>
        </w:rPr>
        <w:tab/>
      </w:r>
      <w:r w:rsidRPr="009F420A">
        <w:rPr>
          <w:rFonts w:asciiTheme="minorHAnsi" w:eastAsia="Calibri" w:hAnsiTheme="minorHAnsi" w:cstheme="minorHAnsi"/>
          <w:b/>
          <w:bCs/>
          <w:i/>
          <w:iCs/>
          <w:sz w:val="22"/>
          <w:szCs w:val="22"/>
          <w:lang w:val="fr-FR" w:eastAsia="ja-JP"/>
        </w:rPr>
        <w:t>Le Sous-groupe sur les finances recommande que le Comité permanent approuve l’affectation de 20 000 CHF provenant des économies réalisées sur le report de 2019 des services juridiques dans le budget administratif pour l’examen des Résolutions, pour un montant total de 40 000 CHF combiné avec les fonds précédemment attribués, si l’activité proposée au paragraphe 37 du document SC58 Doc.13 est identifiée comme une priorité majeure par le Comité permanent. Cette allocation serait transférée à la ligne budgétaire Examen des résolutions sous Services au Comité permanent.</w:t>
      </w:r>
    </w:p>
    <w:p w14:paraId="15B2CE5B" w14:textId="77777777" w:rsidR="009F420A" w:rsidRPr="009F420A" w:rsidRDefault="009F420A" w:rsidP="009F420A">
      <w:pPr>
        <w:pStyle w:val="NormalWeb"/>
        <w:tabs>
          <w:tab w:val="left" w:pos="426"/>
        </w:tabs>
        <w:spacing w:after="0"/>
        <w:rPr>
          <w:rFonts w:asciiTheme="minorHAnsi" w:hAnsiTheme="minorHAnsi" w:cstheme="minorHAnsi"/>
          <w:i/>
          <w:iCs/>
          <w:sz w:val="22"/>
          <w:szCs w:val="22"/>
          <w:lang w:val="fr-FR" w:eastAsia="ja-JP"/>
        </w:rPr>
      </w:pPr>
    </w:p>
    <w:p w14:paraId="07A33322" w14:textId="77777777" w:rsidR="009F420A" w:rsidRPr="009F420A" w:rsidRDefault="009F420A" w:rsidP="009F420A">
      <w:pPr>
        <w:pStyle w:val="NormalWeb"/>
        <w:tabs>
          <w:tab w:val="left" w:pos="426"/>
        </w:tabs>
        <w:spacing w:after="0"/>
        <w:ind w:left="720" w:hanging="720"/>
        <w:rPr>
          <w:rFonts w:asciiTheme="minorHAnsi" w:hAnsiTheme="minorHAnsi" w:cstheme="minorHAnsi"/>
          <w:b/>
          <w:iCs/>
          <w:sz w:val="22"/>
          <w:szCs w:val="22"/>
          <w:lang w:val="fr-FR" w:eastAsia="ja-JP"/>
        </w:rPr>
      </w:pPr>
    </w:p>
    <w:p w14:paraId="1AED4A10" w14:textId="77777777" w:rsidR="009F420A" w:rsidRPr="009F420A" w:rsidRDefault="009F420A" w:rsidP="009F420A">
      <w:pPr>
        <w:pStyle w:val="NormalWeb"/>
        <w:widowControl w:val="0"/>
        <w:numPr>
          <w:ilvl w:val="0"/>
          <w:numId w:val="29"/>
        </w:numPr>
        <w:adjustRightInd w:val="0"/>
        <w:spacing w:after="0"/>
        <w:textAlignment w:val="baseline"/>
        <w:rPr>
          <w:rFonts w:asciiTheme="minorHAnsi" w:hAnsiTheme="minorHAnsi" w:cstheme="minorHAnsi"/>
          <w:i/>
          <w:iCs/>
          <w:sz w:val="22"/>
          <w:szCs w:val="22"/>
          <w:lang w:val="fr-FR" w:eastAsia="ja-JP"/>
        </w:rPr>
      </w:pPr>
      <w:r w:rsidRPr="009F420A">
        <w:rPr>
          <w:rFonts w:asciiTheme="minorHAnsi" w:eastAsia="Calibri" w:hAnsiTheme="minorHAnsi" w:cstheme="minorHAnsi"/>
          <w:b/>
          <w:bCs/>
          <w:sz w:val="22"/>
          <w:szCs w:val="22"/>
          <w:u w:val="single"/>
          <w:lang w:val="fr-FR" w:eastAsia="ja-JP"/>
        </w:rPr>
        <w:t>Résultats 2019</w:t>
      </w:r>
      <w:r w:rsidRPr="009F420A">
        <w:rPr>
          <w:rFonts w:asciiTheme="minorHAnsi" w:eastAsia="Calibri" w:hAnsiTheme="minorHAnsi" w:cstheme="minorHAnsi"/>
          <w:b/>
          <w:bCs/>
          <w:sz w:val="22"/>
          <w:szCs w:val="22"/>
          <w:lang w:val="fr-FR" w:eastAsia="ja-JP"/>
        </w:rPr>
        <w:t xml:space="preserve"> </w:t>
      </w:r>
      <w:r w:rsidRPr="009F420A">
        <w:rPr>
          <w:rFonts w:asciiTheme="minorHAnsi" w:eastAsia="Calibri" w:hAnsiTheme="minorHAnsi" w:cstheme="minorHAnsi"/>
          <w:sz w:val="22"/>
          <w:szCs w:val="22"/>
          <w:lang w:val="fr-FR" w:eastAsia="ja-JP"/>
        </w:rPr>
        <w:t>(document SC58 Doc.8.2</w:t>
      </w:r>
      <w:r w:rsidRPr="009F420A">
        <w:rPr>
          <w:rFonts w:asciiTheme="minorHAnsi" w:eastAsia="Calibri" w:hAnsiTheme="minorHAnsi" w:cstheme="minorHAnsi"/>
          <w:i/>
          <w:iCs/>
          <w:sz w:val="22"/>
          <w:szCs w:val="22"/>
          <w:lang w:val="fr-FR" w:eastAsia="ja-JP"/>
        </w:rPr>
        <w:t xml:space="preserve"> Rapport sur les questions financières pour 2019 et 2020 </w:t>
      </w:r>
      <w:r w:rsidRPr="009F420A">
        <w:rPr>
          <w:rFonts w:asciiTheme="minorHAnsi" w:eastAsia="Calibri" w:hAnsiTheme="minorHAnsi" w:cstheme="minorHAnsi"/>
          <w:iCs/>
          <w:sz w:val="22"/>
          <w:szCs w:val="22"/>
          <w:lang w:val="fr-FR" w:eastAsia="ja-JP"/>
        </w:rPr>
        <w:t>- Mesures requises</w:t>
      </w:r>
      <w:r w:rsidRPr="009F420A">
        <w:rPr>
          <w:rFonts w:asciiTheme="minorHAnsi" w:eastAsia="Calibri" w:hAnsiTheme="minorHAnsi" w:cstheme="minorHAnsi"/>
          <w:sz w:val="22"/>
          <w:szCs w:val="22"/>
          <w:lang w:val="fr-FR" w:eastAsia="ja-JP"/>
        </w:rPr>
        <w:t xml:space="preserve"> i), ii), iii) et iv))</w:t>
      </w:r>
    </w:p>
    <w:p w14:paraId="1C3F0FD2"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3A4EB41F"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7860D204"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3565CB9B" w14:textId="77777777" w:rsidR="009F420A" w:rsidRPr="009F420A" w:rsidRDefault="009F420A" w:rsidP="009F420A">
      <w:pPr>
        <w:pStyle w:val="NormalWeb"/>
        <w:spacing w:after="0"/>
        <w:ind w:left="1571" w:hanging="851"/>
        <w:rPr>
          <w:rFonts w:asciiTheme="minorHAnsi" w:hAnsiTheme="minorHAnsi" w:cstheme="minorHAnsi"/>
          <w:b/>
          <w:sz w:val="22"/>
          <w:szCs w:val="22"/>
          <w:lang w:val="fr-FR" w:eastAsia="ja-JP"/>
        </w:rPr>
      </w:pPr>
      <w:r w:rsidRPr="009F420A">
        <w:rPr>
          <w:rFonts w:asciiTheme="minorHAnsi" w:eastAsia="Calibri" w:hAnsiTheme="minorHAnsi" w:cstheme="minorHAnsi"/>
          <w:b/>
          <w:bCs/>
          <w:i/>
          <w:iCs/>
          <w:sz w:val="22"/>
          <w:szCs w:val="22"/>
          <w:lang w:val="fr-FR" w:eastAsia="ja-JP"/>
        </w:rPr>
        <w:t>Le Sous-groupe sur les finances recommande au Comité permanent de :</w:t>
      </w:r>
    </w:p>
    <w:p w14:paraId="1D40BF5E"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accepter les états financiers 2019 vérifiés au 31 décembre 2019 ;</w:t>
      </w:r>
    </w:p>
    <w:p w14:paraId="57FA4C9E"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prendre note des résultats du budget administratif pour 2019 ;</w:t>
      </w:r>
    </w:p>
    <w:p w14:paraId="385A3093"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prendre note des soldes non administratifs et des contributions volontaires pour 2019 ; et</w:t>
      </w:r>
    </w:p>
    <w:p w14:paraId="770655CF" w14:textId="77777777" w:rsidR="009F420A" w:rsidRPr="009F420A" w:rsidRDefault="009F420A" w:rsidP="009F420A">
      <w:pPr>
        <w:pStyle w:val="NormalWeb"/>
        <w:spacing w:after="0"/>
        <w:ind w:left="851"/>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prendre note de la réaffectation du budget 2019 telle que décrite au paragraphe 14 du document SC58 Doc.8.2.</w:t>
      </w:r>
    </w:p>
    <w:p w14:paraId="4916E14E"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0DCE57F6"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40113E0D" w14:textId="77777777" w:rsidR="009F420A" w:rsidRPr="009F420A" w:rsidRDefault="009F420A" w:rsidP="009F420A">
      <w:pPr>
        <w:pStyle w:val="NormalWeb"/>
        <w:widowControl w:val="0"/>
        <w:numPr>
          <w:ilvl w:val="0"/>
          <w:numId w:val="29"/>
        </w:numPr>
        <w:adjustRightInd w:val="0"/>
        <w:spacing w:after="0"/>
        <w:textAlignment w:val="baseline"/>
        <w:rPr>
          <w:rFonts w:asciiTheme="minorHAnsi" w:hAnsiTheme="minorHAnsi" w:cstheme="minorHAnsi"/>
          <w:sz w:val="22"/>
          <w:szCs w:val="22"/>
          <w:lang w:val="fr-FR" w:eastAsia="ja-JP"/>
        </w:rPr>
      </w:pPr>
      <w:r w:rsidRPr="009F420A">
        <w:rPr>
          <w:rFonts w:asciiTheme="minorHAnsi" w:eastAsia="Calibri" w:hAnsiTheme="minorHAnsi" w:cstheme="minorHAnsi"/>
          <w:b/>
          <w:bCs/>
          <w:sz w:val="22"/>
          <w:szCs w:val="22"/>
          <w:u w:val="single"/>
          <w:lang w:val="fr-FR" w:eastAsia="ja-JP"/>
        </w:rPr>
        <w:t>État des contributions annuelles</w:t>
      </w:r>
      <w:r w:rsidRPr="009F420A">
        <w:rPr>
          <w:rFonts w:asciiTheme="minorHAnsi" w:eastAsia="Calibri" w:hAnsiTheme="minorHAnsi" w:cstheme="minorHAnsi"/>
          <w:b/>
          <w:bCs/>
          <w:sz w:val="22"/>
          <w:szCs w:val="22"/>
          <w:lang w:val="fr-FR" w:eastAsia="ja-JP"/>
        </w:rPr>
        <w:t xml:space="preserve"> </w:t>
      </w:r>
      <w:r w:rsidRPr="009F420A">
        <w:rPr>
          <w:rFonts w:asciiTheme="minorHAnsi" w:eastAsia="Calibri" w:hAnsiTheme="minorHAnsi" w:cstheme="minorHAnsi"/>
          <w:sz w:val="22"/>
          <w:szCs w:val="22"/>
          <w:lang w:val="fr-FR" w:eastAsia="ja-JP"/>
        </w:rPr>
        <w:t>(document SC58 Doc.8.3 - Mesures requises i), ii), iii) et iv))</w:t>
      </w:r>
    </w:p>
    <w:p w14:paraId="70864FB6"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6BACF4E5"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Recommandations pour décisions par le Comité permanent : </w:t>
      </w:r>
    </w:p>
    <w:p w14:paraId="653BF817"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48A970C8"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i/>
          <w:iCs/>
          <w:sz w:val="22"/>
          <w:szCs w:val="22"/>
          <w:lang w:val="fr-FR" w:eastAsia="ja-JP"/>
        </w:rPr>
        <w:tab/>
      </w:r>
      <w:r w:rsidRPr="009F420A">
        <w:rPr>
          <w:rFonts w:asciiTheme="minorHAnsi" w:eastAsia="Calibri" w:hAnsiTheme="minorHAnsi" w:cstheme="minorHAnsi"/>
          <w:b/>
          <w:bCs/>
          <w:i/>
          <w:iCs/>
          <w:sz w:val="22"/>
          <w:szCs w:val="22"/>
          <w:lang w:val="fr-FR" w:eastAsia="ja-JP"/>
        </w:rPr>
        <w:t>Le Sous-groupe sur les finances recommande au Comité permanent de :</w:t>
      </w:r>
    </w:p>
    <w:p w14:paraId="27588E1C" w14:textId="77777777" w:rsidR="009F420A" w:rsidRPr="009F420A" w:rsidRDefault="009F420A" w:rsidP="009F420A">
      <w:pPr>
        <w:pStyle w:val="NormalWeb"/>
        <w:widowControl w:val="0"/>
        <w:numPr>
          <w:ilvl w:val="0"/>
          <w:numId w:val="28"/>
        </w:numPr>
        <w:adjustRightInd w:val="0"/>
        <w:spacing w:after="0"/>
        <w:textAlignment w:val="baseline"/>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xml:space="preserve">prendre note de l’état des contributions annuelles ; </w:t>
      </w:r>
    </w:p>
    <w:p w14:paraId="0B509FC4" w14:textId="77777777" w:rsidR="009F420A" w:rsidRPr="009F420A" w:rsidRDefault="009F420A" w:rsidP="009F420A">
      <w:pPr>
        <w:pStyle w:val="NormalWeb"/>
        <w:widowControl w:val="0"/>
        <w:numPr>
          <w:ilvl w:val="0"/>
          <w:numId w:val="28"/>
        </w:numPr>
        <w:adjustRightInd w:val="0"/>
        <w:spacing w:after="0"/>
        <w:textAlignment w:val="baseline"/>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prendre note des actions énumérées aux paragraphes 15, 17 et 18 du document SC58 Doc.8.3 pour continuer d’encourager le paiement des contributions annuelles ;</w:t>
      </w:r>
    </w:p>
    <w:p w14:paraId="2F0DE2A5" w14:textId="77777777" w:rsidR="009F420A" w:rsidRPr="009F420A" w:rsidRDefault="009F420A" w:rsidP="009F420A">
      <w:pPr>
        <w:pStyle w:val="NormalWeb"/>
        <w:widowControl w:val="0"/>
        <w:numPr>
          <w:ilvl w:val="0"/>
          <w:numId w:val="28"/>
        </w:numPr>
        <w:adjustRightInd w:val="0"/>
        <w:spacing w:after="0"/>
        <w:textAlignment w:val="baseline"/>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lastRenderedPageBreak/>
        <w:t xml:space="preserve">demander au Secrétariat de continuer à publier le statut de la contribution de chaque Partie sur le site Web de la Convention et d’inviter les Parties ayant des arriérés de contributions à convenir d’un plan de paiement en discussion avec le Secrétariat ; et </w:t>
      </w:r>
    </w:p>
    <w:p w14:paraId="42BC8F82" w14:textId="77777777" w:rsidR="009F420A" w:rsidRPr="009F420A" w:rsidRDefault="009F420A" w:rsidP="009F420A">
      <w:pPr>
        <w:pStyle w:val="NormalWeb"/>
        <w:widowControl w:val="0"/>
        <w:numPr>
          <w:ilvl w:val="0"/>
          <w:numId w:val="28"/>
        </w:numPr>
        <w:adjustRightInd w:val="0"/>
        <w:spacing w:after="0"/>
        <w:textAlignment w:val="baseline"/>
        <w:rPr>
          <w:rFonts w:asciiTheme="minorHAnsi" w:hAnsiTheme="minorHAnsi" w:cstheme="minorHAnsi"/>
          <w:b/>
          <w:i/>
          <w:iCs/>
          <w:sz w:val="22"/>
          <w:szCs w:val="22"/>
          <w:lang w:val="fr-FR" w:eastAsia="ja-JP"/>
        </w:rPr>
      </w:pPr>
      <w:r w:rsidRPr="009F420A">
        <w:rPr>
          <w:rFonts w:asciiTheme="minorHAnsi" w:eastAsia="Calibri" w:hAnsiTheme="minorHAnsi" w:cstheme="minorHAnsi"/>
          <w:b/>
          <w:bCs/>
          <w:i/>
          <w:iCs/>
          <w:sz w:val="22"/>
          <w:szCs w:val="22"/>
          <w:lang w:val="fr-FR" w:eastAsia="ja-JP"/>
        </w:rPr>
        <w:t xml:space="preserve">demander au Secrétariat de travailler avec les Parties qui sont en mesure de payer les arriérés de contributions, en particulier les arriérés de longue date, pour identifier les bonnes pratiques et les efforts qui pourraient être partagés. </w:t>
      </w:r>
    </w:p>
    <w:p w14:paraId="56DA5793"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p>
    <w:p w14:paraId="115E8B15" w14:textId="77777777" w:rsidR="009F420A" w:rsidRPr="009F420A" w:rsidRDefault="009F420A" w:rsidP="009F420A">
      <w:pPr>
        <w:pStyle w:val="NormalWeb"/>
        <w:spacing w:after="0"/>
        <w:ind w:left="698"/>
        <w:rPr>
          <w:rFonts w:asciiTheme="minorHAnsi" w:hAnsiTheme="minorHAnsi" w:cstheme="minorHAnsi"/>
          <w:iCs/>
          <w:sz w:val="22"/>
          <w:szCs w:val="22"/>
          <w:lang w:val="fr-FR" w:eastAsia="ja-JP"/>
        </w:rPr>
      </w:pPr>
      <w:r w:rsidRPr="009F420A">
        <w:rPr>
          <w:rFonts w:asciiTheme="minorHAnsi" w:eastAsia="Calibri" w:hAnsiTheme="minorHAnsi" w:cstheme="minorHAnsi"/>
          <w:iCs/>
          <w:sz w:val="22"/>
          <w:szCs w:val="22"/>
          <w:lang w:val="fr-FR" w:eastAsia="ja-JP"/>
        </w:rPr>
        <w:t>Le Sous-groupe examine d’autres options utilisées par d’autres organisations et énumérées dans le document au paragraphe 19, points b) à d). Différents points de vue sont exprimés et, compte tenu de leur diversité, le Président renvoie cette question au Comité permanent pour examen, y compris les options suivantes mentionnées au paragraphe 19 :</w:t>
      </w:r>
    </w:p>
    <w:p w14:paraId="730A4E96" w14:textId="77777777" w:rsidR="009F420A" w:rsidRPr="009F420A" w:rsidRDefault="009F420A" w:rsidP="009F420A">
      <w:pPr>
        <w:pStyle w:val="Default"/>
        <w:rPr>
          <w:rFonts w:asciiTheme="minorHAnsi" w:hAnsiTheme="minorHAnsi" w:cstheme="minorHAnsi"/>
          <w:color w:val="auto"/>
          <w:sz w:val="22"/>
          <w:szCs w:val="22"/>
          <w:lang w:val="fr-FR"/>
        </w:rPr>
      </w:pPr>
    </w:p>
    <w:p w14:paraId="6D75C5E7" w14:textId="77777777" w:rsidR="009F420A" w:rsidRPr="009F420A" w:rsidRDefault="009F420A" w:rsidP="009F420A">
      <w:pPr>
        <w:pStyle w:val="Default"/>
        <w:numPr>
          <w:ilvl w:val="2"/>
          <w:numId w:val="35"/>
        </w:numPr>
        <w:ind w:left="1418"/>
        <w:rPr>
          <w:rFonts w:asciiTheme="minorHAnsi" w:hAnsiTheme="minorHAnsi" w:cstheme="minorHAnsi"/>
          <w:color w:val="auto"/>
          <w:sz w:val="22"/>
          <w:szCs w:val="22"/>
          <w:lang w:val="fr-FR"/>
        </w:rPr>
      </w:pPr>
      <w:r w:rsidRPr="009F420A">
        <w:rPr>
          <w:rFonts w:asciiTheme="minorHAnsi" w:eastAsia="Calibri" w:hAnsiTheme="minorHAnsi" w:cstheme="minorHAnsi"/>
          <w:color w:val="auto"/>
          <w:sz w:val="22"/>
          <w:szCs w:val="22"/>
          <w:lang w:val="fr-FR"/>
        </w:rPr>
        <w:t>les Parties ayant des arriérés sont privées du droit de vote (Organisation météorologique mondiale) ;</w:t>
      </w:r>
    </w:p>
    <w:p w14:paraId="5A362108" w14:textId="77777777" w:rsidR="009F420A" w:rsidRPr="009F420A" w:rsidRDefault="009F420A" w:rsidP="009F420A">
      <w:pPr>
        <w:pStyle w:val="Default"/>
        <w:ind w:left="1418" w:firstLine="720"/>
        <w:rPr>
          <w:rFonts w:asciiTheme="minorHAnsi" w:hAnsiTheme="minorHAnsi" w:cstheme="minorHAnsi"/>
          <w:color w:val="auto"/>
          <w:sz w:val="22"/>
          <w:szCs w:val="22"/>
          <w:lang w:val="fr-FR"/>
        </w:rPr>
      </w:pPr>
    </w:p>
    <w:p w14:paraId="699E2252" w14:textId="77777777" w:rsidR="009F420A" w:rsidRPr="009F420A" w:rsidRDefault="009F420A" w:rsidP="009F420A">
      <w:pPr>
        <w:pStyle w:val="Default"/>
        <w:numPr>
          <w:ilvl w:val="2"/>
          <w:numId w:val="35"/>
        </w:numPr>
        <w:ind w:left="1418"/>
        <w:rPr>
          <w:rFonts w:asciiTheme="minorHAnsi" w:hAnsiTheme="minorHAnsi" w:cstheme="minorHAnsi"/>
          <w:color w:val="auto"/>
          <w:sz w:val="22"/>
          <w:szCs w:val="22"/>
          <w:lang w:val="fr-FR"/>
        </w:rPr>
      </w:pPr>
      <w:r w:rsidRPr="009F420A">
        <w:rPr>
          <w:rFonts w:asciiTheme="minorHAnsi" w:eastAsia="Calibri" w:hAnsiTheme="minorHAnsi" w:cstheme="minorHAnsi"/>
          <w:color w:val="auto"/>
          <w:sz w:val="22"/>
          <w:szCs w:val="22"/>
          <w:lang w:val="fr-FR"/>
        </w:rPr>
        <w:t>les représentants des Parties ayant des arriérés de contributions de quatre ans et plus ne bénéficient d’aucun soutien financier pour leur participation à des ateliers et des réunions en intersession (Conventions de Bâle, de Rotterdam et de Stockholm) ;</w:t>
      </w:r>
    </w:p>
    <w:p w14:paraId="72978BA3" w14:textId="77777777" w:rsidR="009F420A" w:rsidRPr="009F420A" w:rsidRDefault="009F420A" w:rsidP="009F420A">
      <w:pPr>
        <w:pStyle w:val="Default"/>
        <w:ind w:left="1418"/>
        <w:rPr>
          <w:rFonts w:asciiTheme="minorHAnsi" w:hAnsiTheme="minorHAnsi" w:cstheme="minorHAnsi"/>
          <w:color w:val="auto"/>
          <w:sz w:val="22"/>
          <w:szCs w:val="22"/>
          <w:lang w:val="fr-FR"/>
        </w:rPr>
      </w:pPr>
    </w:p>
    <w:p w14:paraId="3AD4E2FA" w14:textId="77777777" w:rsidR="009F420A" w:rsidRPr="009F420A" w:rsidRDefault="009F420A" w:rsidP="009F420A">
      <w:pPr>
        <w:pStyle w:val="Default"/>
        <w:numPr>
          <w:ilvl w:val="2"/>
          <w:numId w:val="35"/>
        </w:numPr>
        <w:ind w:left="1418"/>
        <w:rPr>
          <w:rFonts w:asciiTheme="minorHAnsi" w:hAnsiTheme="minorHAnsi" w:cstheme="minorHAnsi"/>
          <w:color w:val="auto"/>
          <w:sz w:val="22"/>
          <w:szCs w:val="22"/>
          <w:lang w:val="fr-FR"/>
        </w:rPr>
      </w:pPr>
      <w:r w:rsidRPr="009F420A">
        <w:rPr>
          <w:rFonts w:asciiTheme="minorHAnsi" w:eastAsia="Calibri" w:hAnsiTheme="minorHAnsi" w:cstheme="minorHAnsi"/>
          <w:color w:val="auto"/>
          <w:sz w:val="22"/>
          <w:szCs w:val="22"/>
          <w:lang w:val="fr-FR"/>
        </w:rPr>
        <w:t>les Parties ayant plus de quatre ans d’arriérés de contributions ne bénéficient d’aucun soutien financier pour participer à la Conférence des Parties contractantes à la Convention, et sont privées du droit de vote (Convention sur les espèces migratrices).</w:t>
      </w:r>
    </w:p>
    <w:p w14:paraId="141466EA" w14:textId="77777777" w:rsidR="009F420A" w:rsidRPr="009F420A" w:rsidRDefault="009F420A" w:rsidP="009F420A">
      <w:pPr>
        <w:pStyle w:val="Default"/>
        <w:ind w:left="2160"/>
        <w:rPr>
          <w:rFonts w:asciiTheme="minorHAnsi" w:hAnsiTheme="minorHAnsi" w:cstheme="minorHAnsi"/>
          <w:color w:val="auto"/>
          <w:sz w:val="22"/>
          <w:szCs w:val="22"/>
          <w:lang w:val="fr-FR"/>
        </w:rPr>
      </w:pPr>
    </w:p>
    <w:p w14:paraId="6DBCED88"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Recommandations pour décisions par le Comité permanent : </w:t>
      </w:r>
    </w:p>
    <w:p w14:paraId="03F16209" w14:textId="77777777" w:rsidR="009F420A" w:rsidRPr="009F420A" w:rsidRDefault="009F420A" w:rsidP="009F420A">
      <w:pPr>
        <w:pStyle w:val="Default"/>
        <w:rPr>
          <w:rFonts w:asciiTheme="minorHAnsi" w:hAnsiTheme="minorHAnsi" w:cstheme="minorHAnsi"/>
          <w:color w:val="auto"/>
          <w:sz w:val="22"/>
          <w:szCs w:val="22"/>
          <w:lang w:val="fr-FR"/>
        </w:rPr>
      </w:pPr>
    </w:p>
    <w:p w14:paraId="5E4AAED6" w14:textId="77777777" w:rsidR="009F420A" w:rsidRPr="009F420A" w:rsidRDefault="009F420A" w:rsidP="009F420A">
      <w:pPr>
        <w:pStyle w:val="Default"/>
        <w:ind w:left="720"/>
        <w:rPr>
          <w:rFonts w:asciiTheme="minorHAnsi" w:hAnsiTheme="minorHAnsi" w:cstheme="minorHAnsi"/>
          <w:b/>
          <w:i/>
          <w:color w:val="auto"/>
          <w:sz w:val="22"/>
          <w:szCs w:val="22"/>
          <w:lang w:val="fr-FR"/>
        </w:rPr>
      </w:pPr>
      <w:r w:rsidRPr="009F420A">
        <w:rPr>
          <w:rFonts w:asciiTheme="minorHAnsi" w:eastAsia="Calibri" w:hAnsiTheme="minorHAnsi" w:cstheme="minorHAnsi"/>
          <w:b/>
          <w:bCs/>
          <w:i/>
          <w:iCs/>
          <w:color w:val="auto"/>
          <w:sz w:val="22"/>
          <w:szCs w:val="22"/>
          <w:lang w:val="fr-FR"/>
        </w:rPr>
        <w:t>Le Sous-groupe sur les finances recommande au Comité permanent de :</w:t>
      </w:r>
    </w:p>
    <w:p w14:paraId="72223117" w14:textId="77777777" w:rsidR="009F420A" w:rsidRPr="009F420A" w:rsidRDefault="009F420A" w:rsidP="009F420A">
      <w:pPr>
        <w:pStyle w:val="Default"/>
        <w:numPr>
          <w:ilvl w:val="0"/>
          <w:numId w:val="30"/>
        </w:numPr>
        <w:rPr>
          <w:rFonts w:asciiTheme="minorHAnsi" w:hAnsiTheme="minorHAnsi" w:cstheme="minorHAnsi"/>
          <w:b/>
          <w:i/>
          <w:color w:val="auto"/>
          <w:sz w:val="22"/>
          <w:szCs w:val="22"/>
          <w:lang w:val="fr-FR"/>
        </w:rPr>
      </w:pPr>
      <w:r w:rsidRPr="009F420A">
        <w:rPr>
          <w:rFonts w:asciiTheme="minorHAnsi" w:eastAsia="Calibri" w:hAnsiTheme="minorHAnsi" w:cstheme="minorHAnsi"/>
          <w:b/>
          <w:bCs/>
          <w:i/>
          <w:iCs/>
          <w:color w:val="auto"/>
          <w:sz w:val="22"/>
          <w:szCs w:val="22"/>
          <w:lang w:val="fr-FR"/>
        </w:rPr>
        <w:t>prendre note des changements dans les contributions annuelles à recevoir et dans les provisions annuelles pour les contributions à recevoir ;</w:t>
      </w:r>
    </w:p>
    <w:p w14:paraId="24C22808" w14:textId="77777777" w:rsidR="009F420A" w:rsidRPr="009F420A" w:rsidRDefault="009F420A" w:rsidP="009F420A">
      <w:pPr>
        <w:pStyle w:val="Default"/>
        <w:numPr>
          <w:ilvl w:val="0"/>
          <w:numId w:val="30"/>
        </w:numPr>
        <w:rPr>
          <w:rFonts w:asciiTheme="minorHAnsi" w:hAnsiTheme="minorHAnsi" w:cstheme="minorHAnsi"/>
          <w:b/>
          <w:i/>
          <w:color w:val="auto"/>
          <w:sz w:val="22"/>
          <w:szCs w:val="22"/>
          <w:lang w:val="fr-FR"/>
        </w:rPr>
      </w:pPr>
      <w:r w:rsidRPr="009F420A">
        <w:rPr>
          <w:rFonts w:asciiTheme="minorHAnsi" w:eastAsia="Calibri" w:hAnsiTheme="minorHAnsi" w:cstheme="minorHAnsi"/>
          <w:b/>
          <w:bCs/>
          <w:i/>
          <w:iCs/>
          <w:color w:val="auto"/>
          <w:sz w:val="22"/>
          <w:szCs w:val="22"/>
          <w:lang w:val="fr-FR"/>
        </w:rPr>
        <w:t>prendre note de l’état actuel des contributions volontaires de la région Afrique ; et</w:t>
      </w:r>
    </w:p>
    <w:p w14:paraId="47868B4E" w14:textId="77777777" w:rsidR="009F420A" w:rsidRPr="009F420A" w:rsidRDefault="009F420A" w:rsidP="009F420A">
      <w:pPr>
        <w:pStyle w:val="Default"/>
        <w:numPr>
          <w:ilvl w:val="0"/>
          <w:numId w:val="30"/>
        </w:numPr>
        <w:rPr>
          <w:rFonts w:asciiTheme="minorHAnsi" w:hAnsiTheme="minorHAnsi" w:cstheme="minorHAnsi"/>
          <w:iCs/>
          <w:color w:val="auto"/>
          <w:sz w:val="22"/>
          <w:szCs w:val="22"/>
          <w:lang w:val="fr-FR" w:eastAsia="ja-JP"/>
        </w:rPr>
      </w:pPr>
      <w:r w:rsidRPr="009F420A">
        <w:rPr>
          <w:rFonts w:asciiTheme="minorHAnsi" w:eastAsia="Calibri" w:hAnsiTheme="minorHAnsi" w:cstheme="minorHAnsi"/>
          <w:b/>
          <w:bCs/>
          <w:i/>
          <w:iCs/>
          <w:color w:val="auto"/>
          <w:sz w:val="22"/>
          <w:szCs w:val="22"/>
          <w:lang w:val="fr-FR"/>
        </w:rPr>
        <w:t>prendre note de la décision sur l’allocation de fonds aux Initiatives régionales Ramsar en Afrique par les représentants régionaux africains comme suit : 30 333 CHF chacun pour RamCEA, WACoWet et NigerWet.</w:t>
      </w:r>
      <w:r w:rsidRPr="009F420A">
        <w:rPr>
          <w:rFonts w:asciiTheme="minorHAnsi" w:eastAsia="Calibri" w:hAnsiTheme="minorHAnsi" w:cstheme="minorHAnsi"/>
          <w:color w:val="auto"/>
          <w:sz w:val="22"/>
          <w:szCs w:val="22"/>
          <w:lang w:val="fr-FR"/>
        </w:rPr>
        <w:tab/>
      </w:r>
    </w:p>
    <w:p w14:paraId="0F9B055B"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49293B9D"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4DE0E1C8" w14:textId="77777777" w:rsidR="009F420A" w:rsidRPr="009F420A" w:rsidRDefault="009F420A" w:rsidP="009F420A">
      <w:pPr>
        <w:pStyle w:val="NormalWeb"/>
        <w:widowControl w:val="0"/>
        <w:numPr>
          <w:ilvl w:val="0"/>
          <w:numId w:val="29"/>
        </w:numPr>
        <w:adjustRightInd w:val="0"/>
        <w:spacing w:after="0"/>
        <w:textAlignment w:val="baseline"/>
        <w:rPr>
          <w:rFonts w:asciiTheme="minorHAnsi" w:hAnsiTheme="minorHAnsi" w:cstheme="minorHAnsi"/>
          <w:b/>
          <w:bCs/>
          <w:i/>
          <w:iCs/>
          <w:sz w:val="22"/>
          <w:szCs w:val="22"/>
          <w:lang w:val="fr-FR" w:eastAsia="ja-JP"/>
        </w:rPr>
      </w:pPr>
      <w:r w:rsidRPr="009F420A">
        <w:rPr>
          <w:rFonts w:asciiTheme="minorHAnsi" w:eastAsia="Calibri" w:hAnsiTheme="minorHAnsi" w:cstheme="minorHAnsi"/>
          <w:b/>
          <w:bCs/>
          <w:sz w:val="22"/>
          <w:szCs w:val="22"/>
          <w:u w:val="single"/>
          <w:lang w:val="fr-FR" w:eastAsia="ja-JP"/>
        </w:rPr>
        <w:t>Autres questions</w:t>
      </w:r>
      <w:r w:rsidRPr="009F420A">
        <w:rPr>
          <w:rFonts w:asciiTheme="minorHAnsi" w:eastAsia="Calibri" w:hAnsiTheme="minorHAnsi" w:cstheme="minorHAnsi"/>
          <w:b/>
          <w:bCs/>
          <w:sz w:val="22"/>
          <w:szCs w:val="22"/>
          <w:lang w:val="fr-FR" w:eastAsia="ja-JP"/>
        </w:rPr>
        <w:t xml:space="preserve"> </w:t>
      </w:r>
      <w:r w:rsidRPr="009F420A">
        <w:rPr>
          <w:rFonts w:asciiTheme="minorHAnsi" w:eastAsia="Calibri" w:hAnsiTheme="minorHAnsi" w:cstheme="minorHAnsi"/>
          <w:sz w:val="22"/>
          <w:szCs w:val="22"/>
          <w:lang w:val="fr-FR" w:eastAsia="ja-JP"/>
        </w:rPr>
        <w:t xml:space="preserve">(document SC58 Doc.8.2, </w:t>
      </w:r>
      <w:r w:rsidRPr="009F420A">
        <w:rPr>
          <w:rFonts w:asciiTheme="minorHAnsi" w:eastAsia="Calibri" w:hAnsiTheme="minorHAnsi" w:cstheme="minorHAnsi"/>
          <w:i/>
          <w:iCs/>
          <w:sz w:val="22"/>
          <w:szCs w:val="22"/>
          <w:lang w:val="fr-FR" w:eastAsia="ja-JP"/>
        </w:rPr>
        <w:t xml:space="preserve">Rapport sur les questions financières pour 2019 et 2020 - </w:t>
      </w:r>
      <w:r w:rsidRPr="009F420A">
        <w:rPr>
          <w:rFonts w:asciiTheme="minorHAnsi" w:eastAsia="Calibri" w:hAnsiTheme="minorHAnsi" w:cstheme="minorHAnsi"/>
          <w:iCs/>
          <w:sz w:val="22"/>
          <w:szCs w:val="22"/>
          <w:lang w:val="fr-FR" w:eastAsia="ja-JP"/>
        </w:rPr>
        <w:t>Mesures requises énumérées ci-dessous</w:t>
      </w:r>
      <w:r w:rsidRPr="009F420A">
        <w:rPr>
          <w:rFonts w:asciiTheme="minorHAnsi" w:eastAsia="Calibri" w:hAnsiTheme="minorHAnsi" w:cstheme="minorHAnsi"/>
          <w:sz w:val="22"/>
          <w:szCs w:val="22"/>
          <w:lang w:val="fr-FR" w:eastAsia="ja-JP"/>
        </w:rPr>
        <w:t>) </w:t>
      </w:r>
      <w:r w:rsidRPr="009F420A">
        <w:rPr>
          <w:rFonts w:asciiTheme="minorHAnsi" w:eastAsia="Calibri" w:hAnsiTheme="minorHAnsi" w:cstheme="minorHAnsi"/>
          <w:b/>
          <w:bCs/>
          <w:i/>
          <w:iCs/>
          <w:sz w:val="22"/>
          <w:szCs w:val="22"/>
          <w:lang w:val="fr-FR" w:eastAsia="ja-JP"/>
        </w:rPr>
        <w:t>:</w:t>
      </w:r>
    </w:p>
    <w:p w14:paraId="47429723" w14:textId="77777777" w:rsidR="009F420A" w:rsidRPr="009F420A" w:rsidRDefault="009F420A" w:rsidP="009F420A">
      <w:pPr>
        <w:pStyle w:val="NormalWeb"/>
        <w:spacing w:after="0"/>
        <w:rPr>
          <w:rFonts w:asciiTheme="minorHAnsi" w:hAnsiTheme="minorHAnsi" w:cstheme="minorHAnsi"/>
          <w:b/>
          <w:bCs/>
          <w:i/>
          <w:iCs/>
          <w:sz w:val="22"/>
          <w:szCs w:val="22"/>
          <w:lang w:val="fr-FR" w:eastAsia="ja-JP"/>
        </w:rPr>
      </w:pPr>
    </w:p>
    <w:p w14:paraId="60ACFF9E" w14:textId="77777777" w:rsidR="009F420A" w:rsidRPr="009F420A" w:rsidRDefault="009F420A" w:rsidP="009F420A">
      <w:pPr>
        <w:pStyle w:val="NormalWeb"/>
        <w:widowControl w:val="0"/>
        <w:numPr>
          <w:ilvl w:val="1"/>
          <w:numId w:val="29"/>
        </w:numPr>
        <w:adjustRightInd w:val="0"/>
        <w:spacing w:after="0"/>
        <w:textAlignment w:val="baseline"/>
        <w:rPr>
          <w:rFonts w:asciiTheme="minorHAnsi" w:hAnsiTheme="minorHAnsi" w:cstheme="minorHAnsi"/>
          <w:sz w:val="22"/>
          <w:szCs w:val="22"/>
          <w:lang w:val="fr-FR" w:eastAsia="ja-JP"/>
        </w:rPr>
      </w:pPr>
      <w:r w:rsidRPr="009F420A">
        <w:rPr>
          <w:rFonts w:asciiTheme="minorHAnsi" w:eastAsia="Calibri" w:hAnsiTheme="minorHAnsi" w:cstheme="minorHAnsi"/>
          <w:b/>
          <w:bCs/>
          <w:iCs/>
          <w:sz w:val="22"/>
          <w:szCs w:val="22"/>
          <w:lang w:val="fr-FR" w:eastAsia="ja-JP"/>
        </w:rPr>
        <w:t>Mesure requise viii) prendre note des progrès accomplis concernant la mise en œuvre des recommandations issues de l’</w:t>
      </w:r>
      <w:r w:rsidRPr="009F420A">
        <w:rPr>
          <w:rFonts w:asciiTheme="minorHAnsi" w:eastAsia="Calibri" w:hAnsiTheme="minorHAnsi" w:cstheme="minorHAnsi"/>
          <w:b/>
          <w:bCs/>
          <w:i/>
          <w:iCs/>
          <w:sz w:val="22"/>
          <w:szCs w:val="22"/>
          <w:lang w:val="fr-FR" w:eastAsia="ja-JP"/>
        </w:rPr>
        <w:t xml:space="preserve">Examen de la gestion financière des comptes des fonds non administratifs </w:t>
      </w:r>
      <w:r w:rsidRPr="009F420A">
        <w:rPr>
          <w:rFonts w:asciiTheme="minorHAnsi" w:eastAsia="Calibri" w:hAnsiTheme="minorHAnsi" w:cstheme="minorHAnsi"/>
          <w:b/>
          <w:bCs/>
          <w:sz w:val="22"/>
          <w:szCs w:val="22"/>
          <w:lang w:val="fr-FR" w:eastAsia="ja-JP"/>
        </w:rPr>
        <w:t>réalisé par l’UICN, et approuver la proposition relative à l’utilisation des frais de gestion, comme décrit au paragraphe 43</w:t>
      </w:r>
      <w:r w:rsidRPr="009F420A">
        <w:rPr>
          <w:rFonts w:asciiTheme="minorHAnsi" w:eastAsia="Calibri" w:hAnsiTheme="minorHAnsi" w:cstheme="minorHAnsi"/>
          <w:sz w:val="22"/>
          <w:szCs w:val="22"/>
          <w:lang w:val="fr-FR" w:eastAsia="ja-JP"/>
        </w:rPr>
        <w:t>.</w:t>
      </w:r>
    </w:p>
    <w:p w14:paraId="67D72B6F"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44AA35C3"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50DD5E05"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576CBA09"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i/>
          <w:iCs/>
          <w:sz w:val="22"/>
          <w:szCs w:val="22"/>
          <w:lang w:val="fr-FR" w:eastAsia="ja-JP"/>
        </w:rPr>
        <w:tab/>
      </w:r>
      <w:r w:rsidRPr="009F420A">
        <w:rPr>
          <w:rFonts w:asciiTheme="minorHAnsi" w:eastAsia="Calibri" w:hAnsiTheme="minorHAnsi" w:cstheme="minorHAnsi"/>
          <w:b/>
          <w:bCs/>
          <w:i/>
          <w:iCs/>
          <w:sz w:val="22"/>
          <w:szCs w:val="22"/>
          <w:lang w:val="fr-FR" w:eastAsia="ja-JP"/>
        </w:rPr>
        <w:t>Le Sous-groupe sur les finances recommande au Comité permanent de prendre note des progrès accomplis concernant la mise en œuvre des recommandations issues de l’</w:t>
      </w:r>
      <w:r w:rsidRPr="009F420A">
        <w:rPr>
          <w:rFonts w:asciiTheme="minorHAnsi" w:eastAsia="Calibri" w:hAnsiTheme="minorHAnsi" w:cstheme="minorHAnsi"/>
          <w:b/>
          <w:bCs/>
          <w:sz w:val="22"/>
          <w:szCs w:val="22"/>
          <w:lang w:val="fr-FR" w:eastAsia="ja-JP"/>
        </w:rPr>
        <w:t xml:space="preserve">Examen de la gestion financière des comptes des fonds non administratifs </w:t>
      </w:r>
      <w:r w:rsidRPr="009F420A">
        <w:rPr>
          <w:rFonts w:asciiTheme="minorHAnsi" w:eastAsia="Calibri" w:hAnsiTheme="minorHAnsi" w:cstheme="minorHAnsi"/>
          <w:b/>
          <w:bCs/>
          <w:i/>
          <w:iCs/>
          <w:sz w:val="22"/>
          <w:szCs w:val="22"/>
          <w:lang w:val="fr-FR" w:eastAsia="ja-JP"/>
        </w:rPr>
        <w:t>réalisé par l’UICN, et d’approuver la proposition relative à l’utilisation des frais de gestion, comme décrit au paragraphe 43.</w:t>
      </w:r>
    </w:p>
    <w:p w14:paraId="0129CB68" w14:textId="77777777" w:rsidR="009F420A" w:rsidRPr="009F420A" w:rsidRDefault="009F420A" w:rsidP="009F420A">
      <w:pPr>
        <w:pStyle w:val="NormalWeb"/>
        <w:spacing w:after="0"/>
        <w:rPr>
          <w:rFonts w:asciiTheme="minorHAnsi" w:hAnsiTheme="minorHAnsi" w:cstheme="minorHAnsi"/>
          <w:b/>
          <w:iCs/>
          <w:sz w:val="22"/>
          <w:szCs w:val="22"/>
          <w:lang w:val="fr-FR" w:eastAsia="ja-JP"/>
        </w:rPr>
      </w:pPr>
    </w:p>
    <w:p w14:paraId="3B6D09FB" w14:textId="77777777" w:rsidR="009F420A" w:rsidRPr="009F420A" w:rsidRDefault="009F420A" w:rsidP="009F420A">
      <w:pPr>
        <w:pStyle w:val="NormalWeb"/>
        <w:widowControl w:val="0"/>
        <w:numPr>
          <w:ilvl w:val="1"/>
          <w:numId w:val="29"/>
        </w:numPr>
        <w:adjustRightInd w:val="0"/>
        <w:spacing w:after="0"/>
        <w:textAlignment w:val="baseline"/>
        <w:rPr>
          <w:rFonts w:asciiTheme="minorHAnsi" w:hAnsiTheme="minorHAnsi" w:cstheme="minorHAnsi"/>
          <w:sz w:val="22"/>
          <w:szCs w:val="22"/>
          <w:lang w:val="fr-FR" w:eastAsia="ja-JP"/>
        </w:rPr>
      </w:pPr>
      <w:r w:rsidRPr="009F420A">
        <w:rPr>
          <w:rFonts w:asciiTheme="minorHAnsi" w:eastAsia="Calibri" w:hAnsiTheme="minorHAnsi" w:cstheme="minorHAnsi"/>
          <w:b/>
          <w:bCs/>
          <w:iCs/>
          <w:sz w:val="22"/>
          <w:szCs w:val="22"/>
          <w:lang w:val="fr-FR" w:eastAsia="ja-JP"/>
        </w:rPr>
        <w:t>Mesure requise ix) examiner la proposition de l’auditeur externe des comptes concernant une approche de groupe</w:t>
      </w:r>
      <w:r w:rsidRPr="009F420A">
        <w:rPr>
          <w:rFonts w:asciiTheme="minorHAnsi" w:eastAsia="Calibri" w:hAnsiTheme="minorHAnsi" w:cstheme="minorHAnsi"/>
          <w:iCs/>
          <w:sz w:val="22"/>
          <w:szCs w:val="22"/>
          <w:lang w:val="fr-FR" w:eastAsia="ja-JP"/>
        </w:rPr>
        <w:t xml:space="preserve"> pour confirmer les soldes impayés des Parties contractantes en réponse à la Décision SC57-40, et approuver la marche à suivre proposée aux paragraphes 50 et 51</w:t>
      </w:r>
    </w:p>
    <w:p w14:paraId="6124BAAC" w14:textId="77777777" w:rsidR="009F420A" w:rsidRPr="009F420A" w:rsidRDefault="009F420A" w:rsidP="009F420A">
      <w:pPr>
        <w:pStyle w:val="NormalWeb"/>
        <w:spacing w:after="0"/>
        <w:rPr>
          <w:rFonts w:asciiTheme="minorHAnsi" w:hAnsiTheme="minorHAnsi" w:cstheme="minorHAnsi"/>
          <w:sz w:val="22"/>
          <w:szCs w:val="22"/>
          <w:lang w:val="fr-FR" w:eastAsia="ja-JP"/>
        </w:rPr>
      </w:pPr>
    </w:p>
    <w:p w14:paraId="591A51A4" w14:textId="77777777" w:rsidR="009F420A" w:rsidRPr="009F420A" w:rsidRDefault="009F420A" w:rsidP="009F420A">
      <w:pPr>
        <w:pStyle w:val="NormalWeb"/>
        <w:spacing w:after="0"/>
        <w:ind w:firstLine="360"/>
        <w:rPr>
          <w:rFonts w:asciiTheme="minorHAnsi" w:hAnsiTheme="minorHAnsi" w:cstheme="minorHAnsi"/>
          <w:i/>
          <w:iCs/>
          <w:sz w:val="22"/>
          <w:szCs w:val="22"/>
          <w:lang w:val="fr-FR" w:eastAsia="ja-JP"/>
        </w:rPr>
      </w:pPr>
      <w:r w:rsidRPr="009F420A">
        <w:rPr>
          <w:rFonts w:asciiTheme="minorHAnsi" w:eastAsia="Calibri" w:hAnsiTheme="minorHAnsi" w:cstheme="minorHAnsi"/>
          <w:i/>
          <w:iCs/>
          <w:sz w:val="22"/>
          <w:szCs w:val="22"/>
          <w:lang w:val="fr-FR" w:eastAsia="ja-JP"/>
        </w:rPr>
        <w:t xml:space="preserve">Recommandation pour décision par le Comité permanent : </w:t>
      </w:r>
    </w:p>
    <w:p w14:paraId="61BAF5C4" w14:textId="77777777" w:rsidR="009F420A" w:rsidRPr="009F420A" w:rsidRDefault="009F420A" w:rsidP="009F420A">
      <w:pPr>
        <w:pStyle w:val="NormalWeb"/>
        <w:spacing w:after="0"/>
        <w:rPr>
          <w:rFonts w:asciiTheme="minorHAnsi" w:hAnsiTheme="minorHAnsi" w:cstheme="minorHAnsi"/>
          <w:i/>
          <w:iCs/>
          <w:sz w:val="22"/>
          <w:szCs w:val="22"/>
          <w:lang w:val="fr-FR" w:eastAsia="ja-JP"/>
        </w:rPr>
      </w:pPr>
    </w:p>
    <w:p w14:paraId="5C733D56" w14:textId="77777777" w:rsidR="009F420A" w:rsidRPr="009F420A" w:rsidRDefault="009F420A" w:rsidP="009F420A">
      <w:pPr>
        <w:pStyle w:val="NormalWeb"/>
        <w:spacing w:after="0"/>
        <w:ind w:left="851" w:hanging="851"/>
        <w:rPr>
          <w:rFonts w:asciiTheme="minorHAnsi" w:hAnsiTheme="minorHAnsi" w:cstheme="minorHAnsi"/>
          <w:b/>
          <w:i/>
          <w:iCs/>
          <w:sz w:val="22"/>
          <w:szCs w:val="22"/>
          <w:lang w:val="fr-FR" w:eastAsia="ja-JP"/>
        </w:rPr>
      </w:pPr>
      <w:r w:rsidRPr="009F420A">
        <w:rPr>
          <w:rFonts w:asciiTheme="minorHAnsi" w:eastAsia="Calibri" w:hAnsiTheme="minorHAnsi" w:cstheme="minorHAnsi"/>
          <w:i/>
          <w:iCs/>
          <w:sz w:val="22"/>
          <w:szCs w:val="22"/>
          <w:lang w:val="fr-FR" w:eastAsia="ja-JP"/>
        </w:rPr>
        <w:tab/>
      </w:r>
      <w:r w:rsidRPr="009F420A">
        <w:rPr>
          <w:rFonts w:asciiTheme="minorHAnsi" w:eastAsia="Calibri" w:hAnsiTheme="minorHAnsi" w:cstheme="minorHAnsi"/>
          <w:b/>
          <w:bCs/>
          <w:i/>
          <w:iCs/>
          <w:sz w:val="22"/>
          <w:szCs w:val="22"/>
          <w:lang w:val="fr-FR" w:eastAsia="ja-JP"/>
        </w:rPr>
        <w:t>Le Sous-groupe sur les finances recommande au Comité permanent d’examiner la proposition de l’auditeur externe des comptes concernant une approche de groupe pour confirmer les soldes impayés des Parties contractantes en réponse à la Décision SC57-40, et d’approuver la marche à suivre proposée aux paragraphes 50 et 51.</w:t>
      </w:r>
    </w:p>
    <w:p w14:paraId="30913767" w14:textId="75BD3401" w:rsidR="009F420A" w:rsidRDefault="009F420A" w:rsidP="009F420A">
      <w:pPr>
        <w:spacing w:after="0" w:line="240" w:lineRule="auto"/>
        <w:ind w:left="567" w:hanging="567"/>
        <w:rPr>
          <w:rFonts w:asciiTheme="minorHAnsi" w:hAnsiTheme="minorHAnsi" w:cstheme="minorHAnsi"/>
          <w:bCs/>
          <w:lang w:val="fr-FR"/>
        </w:rPr>
      </w:pPr>
    </w:p>
    <w:p w14:paraId="06B3C8F3" w14:textId="77777777" w:rsidR="00C7406E" w:rsidRDefault="00C7406E" w:rsidP="009F420A">
      <w:pPr>
        <w:spacing w:after="0" w:line="240" w:lineRule="auto"/>
        <w:ind w:left="567" w:hanging="567"/>
        <w:rPr>
          <w:rFonts w:asciiTheme="minorHAnsi" w:hAnsiTheme="minorHAnsi" w:cstheme="minorHAnsi"/>
          <w:bCs/>
          <w:lang w:val="fr-FR"/>
        </w:rPr>
        <w:sectPr w:rsidR="00C7406E" w:rsidSect="00A33FB3">
          <w:footerReference w:type="default" r:id="rId8"/>
          <w:pgSz w:w="11906" w:h="16838"/>
          <w:pgMar w:top="1440" w:right="1440" w:bottom="1440" w:left="1440" w:header="709" w:footer="709" w:gutter="0"/>
          <w:cols w:space="708"/>
          <w:titlePg/>
          <w:docGrid w:linePitch="360"/>
        </w:sectPr>
      </w:pPr>
    </w:p>
    <w:p w14:paraId="3D3DF383" w14:textId="0DCC77FC" w:rsidR="00C7406E" w:rsidRPr="00C7406E" w:rsidRDefault="00C7406E" w:rsidP="009F420A">
      <w:pPr>
        <w:spacing w:after="0" w:line="240" w:lineRule="auto"/>
        <w:ind w:left="567" w:hanging="567"/>
        <w:rPr>
          <w:rFonts w:asciiTheme="minorHAnsi" w:hAnsiTheme="minorHAnsi" w:cstheme="minorHAnsi"/>
          <w:b/>
          <w:bCs/>
          <w:lang w:val="fr-FR"/>
        </w:rPr>
      </w:pPr>
      <w:r w:rsidRPr="00C7406E">
        <w:rPr>
          <w:rFonts w:asciiTheme="minorHAnsi" w:eastAsia="Times New Roman" w:hAnsiTheme="minorHAnsi" w:cstheme="minorHAnsi"/>
          <w:b/>
          <w:bCs/>
          <w:lang w:val="fr-FR" w:eastAsia="ja-JP"/>
        </w:rPr>
        <w:lastRenderedPageBreak/>
        <w:t xml:space="preserve">Rapport du Sous-groupe sur les finances, Annexe I : </w:t>
      </w:r>
      <w:r w:rsidRPr="00C7406E">
        <w:rPr>
          <w:rFonts w:asciiTheme="minorHAnsi" w:hAnsiTheme="minorHAnsi" w:cstheme="minorHAnsi"/>
          <w:b/>
          <w:bCs/>
          <w:lang w:val="fr-FR"/>
        </w:rPr>
        <w:t>Budget administratif proposé pour 2020</w:t>
      </w:r>
    </w:p>
    <w:p w14:paraId="1EDD4209" w14:textId="0A1BB397" w:rsidR="00C7406E" w:rsidRDefault="00C7406E" w:rsidP="009F420A">
      <w:pPr>
        <w:spacing w:after="0" w:line="240" w:lineRule="auto"/>
        <w:ind w:left="567" w:hanging="567"/>
        <w:rPr>
          <w:rFonts w:asciiTheme="minorHAnsi" w:hAnsiTheme="minorHAnsi" w:cstheme="minorHAnsi"/>
          <w:b/>
          <w:bCs/>
          <w:sz w:val="24"/>
          <w:szCs w:val="24"/>
          <w:lang w:val="fr-FR"/>
        </w:rPr>
      </w:pPr>
    </w:p>
    <w:tbl>
      <w:tblPr>
        <w:tblW w:w="14431" w:type="dxa"/>
        <w:tblInd w:w="-289" w:type="dxa"/>
        <w:tblLayout w:type="fixed"/>
        <w:tblCellMar>
          <w:top w:w="11" w:type="dxa"/>
          <w:left w:w="57" w:type="dxa"/>
          <w:bottom w:w="11" w:type="dxa"/>
          <w:right w:w="57" w:type="dxa"/>
        </w:tblCellMar>
        <w:tblLook w:val="04A0" w:firstRow="1" w:lastRow="0" w:firstColumn="1" w:lastColumn="0" w:noHBand="0" w:noVBand="1"/>
      </w:tblPr>
      <w:tblGrid>
        <w:gridCol w:w="3970"/>
        <w:gridCol w:w="1304"/>
        <w:gridCol w:w="1304"/>
        <w:gridCol w:w="1304"/>
        <w:gridCol w:w="1304"/>
        <w:gridCol w:w="1276"/>
        <w:gridCol w:w="1346"/>
        <w:gridCol w:w="1347"/>
        <w:gridCol w:w="1276"/>
      </w:tblGrid>
      <w:tr w:rsidR="00C7406E" w:rsidRPr="00F83B5C" w14:paraId="44C5B40A" w14:textId="77777777" w:rsidTr="009A6DFA">
        <w:trPr>
          <w:trHeight w:val="725"/>
          <w:tblHeader/>
        </w:trPr>
        <w:tc>
          <w:tcPr>
            <w:tcW w:w="3970" w:type="dxa"/>
            <w:tcBorders>
              <w:top w:val="single" w:sz="4" w:space="0" w:color="auto"/>
              <w:left w:val="single" w:sz="4" w:space="0" w:color="auto"/>
              <w:bottom w:val="nil"/>
              <w:right w:val="nil"/>
            </w:tcBorders>
            <w:shd w:val="clear" w:color="000000" w:fill="D6E3BC"/>
            <w:vAlign w:val="center"/>
            <w:hideMark/>
          </w:tcPr>
          <w:p w14:paraId="3AFC939C" w14:textId="77777777" w:rsidR="00C7406E" w:rsidRPr="00F4768A" w:rsidRDefault="00C7406E" w:rsidP="00C7406E">
            <w:pPr>
              <w:spacing w:after="0" w:line="240" w:lineRule="auto"/>
              <w:jc w:val="center"/>
              <w:rPr>
                <w:rFonts w:asciiTheme="minorHAnsi" w:hAnsiTheme="minorHAnsi" w:cstheme="minorHAnsi"/>
                <w:b/>
                <w:bCs/>
                <w:color w:val="000000"/>
                <w:lang w:val="fr-FR"/>
              </w:rPr>
            </w:pPr>
          </w:p>
          <w:p w14:paraId="06B790F5" w14:textId="77777777" w:rsidR="00C7406E" w:rsidRPr="009F03BD" w:rsidRDefault="00C7406E" w:rsidP="00C7406E">
            <w:pPr>
              <w:spacing w:after="0" w:line="240" w:lineRule="auto"/>
              <w:jc w:val="center"/>
              <w:rPr>
                <w:rFonts w:asciiTheme="minorHAnsi" w:hAnsiTheme="minorHAnsi" w:cstheme="minorHAnsi"/>
                <w:b/>
                <w:bCs/>
                <w:color w:val="000000"/>
                <w:lang w:val="fr-FR"/>
              </w:rPr>
            </w:pPr>
            <w:r w:rsidRPr="007A177C">
              <w:rPr>
                <w:rFonts w:asciiTheme="minorHAnsi" w:hAnsiTheme="minorHAnsi" w:cstheme="minorHAnsi"/>
                <w:b/>
                <w:bCs/>
                <w:color w:val="000000"/>
                <w:lang w:val="fr-FR"/>
              </w:rPr>
              <w:t xml:space="preserve">Budget Ramsar 2020 approuvé </w:t>
            </w:r>
            <w:r>
              <w:rPr>
                <w:rFonts w:asciiTheme="minorHAnsi" w:hAnsiTheme="minorHAnsi" w:cstheme="minorHAnsi"/>
                <w:b/>
                <w:bCs/>
                <w:color w:val="000000"/>
                <w:lang w:val="fr-FR"/>
              </w:rPr>
              <w:t>par</w:t>
            </w:r>
            <w:r w:rsidRPr="007A177C">
              <w:rPr>
                <w:rFonts w:asciiTheme="minorHAnsi" w:hAnsiTheme="minorHAnsi" w:cstheme="minorHAnsi"/>
                <w:b/>
                <w:bCs/>
                <w:color w:val="000000"/>
                <w:lang w:val="fr-FR"/>
              </w:rPr>
              <w:t xml:space="preserve"> la </w:t>
            </w:r>
            <w:r w:rsidRPr="0068557B">
              <w:rPr>
                <w:rFonts w:asciiTheme="minorHAnsi" w:hAnsiTheme="minorHAnsi" w:cstheme="minorHAnsi"/>
                <w:b/>
                <w:bCs/>
                <w:color w:val="000000"/>
                <w:lang w:val="fr-FR"/>
              </w:rPr>
              <w:t>COP13</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4B40ACD8" w14:textId="77777777" w:rsidR="00C7406E" w:rsidRDefault="00C7406E" w:rsidP="00C7406E">
            <w:pPr>
              <w:spacing w:after="0" w:line="240" w:lineRule="auto"/>
              <w:jc w:val="center"/>
              <w:rPr>
                <w:rFonts w:asciiTheme="minorHAnsi" w:hAnsiTheme="minorHAnsi" w:cstheme="minorHAnsi"/>
                <w:b/>
                <w:bCs/>
                <w:color w:val="000000"/>
                <w:spacing w:val="-4"/>
                <w:lang w:val="fr-FR"/>
              </w:rPr>
            </w:pPr>
            <w:r w:rsidRPr="00564F07">
              <w:rPr>
                <w:rFonts w:asciiTheme="minorHAnsi" w:hAnsiTheme="minorHAnsi" w:cstheme="minorHAnsi"/>
                <w:b/>
                <w:bCs/>
                <w:color w:val="000000"/>
                <w:spacing w:val="-4"/>
                <w:lang w:val="fr-FR"/>
              </w:rPr>
              <w:t>Budget approuvé (approuvé par la COP13)</w:t>
            </w:r>
          </w:p>
          <w:p w14:paraId="0B33A9E5"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58097E59"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7F40F318" w14:textId="77777777" w:rsidR="00C7406E" w:rsidRDefault="00C7406E" w:rsidP="00C7406E">
            <w:pPr>
              <w:spacing w:after="0" w:line="240" w:lineRule="auto"/>
              <w:rPr>
                <w:rFonts w:asciiTheme="minorHAnsi" w:hAnsiTheme="minorHAnsi" w:cstheme="minorHAnsi"/>
                <w:b/>
                <w:bCs/>
                <w:color w:val="000000"/>
                <w:spacing w:val="-4"/>
                <w:lang w:val="fr-FR"/>
              </w:rPr>
            </w:pPr>
          </w:p>
          <w:p w14:paraId="79BAECF5"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13215BFB"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01D27219" w14:textId="77777777" w:rsidR="00C7406E" w:rsidRPr="00564F07" w:rsidRDefault="00C7406E" w:rsidP="00C7406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color w:val="000000"/>
                <w:spacing w:val="-4"/>
                <w:lang w:val="fr-FR"/>
              </w:rPr>
              <w:t>A</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016FC842" w14:textId="77777777" w:rsidR="00C7406E" w:rsidRDefault="00C7406E" w:rsidP="00C7406E">
            <w:pPr>
              <w:spacing w:after="0" w:line="240" w:lineRule="auto"/>
              <w:jc w:val="center"/>
              <w:rPr>
                <w:rFonts w:asciiTheme="minorHAnsi" w:hAnsiTheme="minorHAnsi" w:cstheme="minorHAnsi"/>
                <w:b/>
                <w:bCs/>
                <w:color w:val="000000"/>
                <w:spacing w:val="-4"/>
                <w:lang w:val="fr-FR"/>
              </w:rPr>
            </w:pPr>
            <w:r w:rsidRPr="00564F07">
              <w:rPr>
                <w:rFonts w:asciiTheme="minorHAnsi" w:hAnsiTheme="minorHAnsi" w:cstheme="minorHAnsi"/>
                <w:b/>
                <w:bCs/>
                <w:color w:val="000000"/>
                <w:spacing w:val="-4"/>
                <w:lang w:val="fr-FR"/>
              </w:rPr>
              <w:t>Utilisation autorisée de l’excédent COP13 XIII.2 (pour 2020)</w:t>
            </w:r>
          </w:p>
          <w:p w14:paraId="38622EAC"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29A54AC8" w14:textId="77777777" w:rsidR="00C7406E" w:rsidRDefault="00C7406E" w:rsidP="00C7406E">
            <w:pPr>
              <w:spacing w:after="0" w:line="240" w:lineRule="auto"/>
              <w:rPr>
                <w:rFonts w:asciiTheme="minorHAnsi" w:hAnsiTheme="minorHAnsi" w:cstheme="minorHAnsi"/>
                <w:b/>
                <w:bCs/>
                <w:color w:val="000000"/>
                <w:spacing w:val="-4"/>
                <w:lang w:val="fr-FR"/>
              </w:rPr>
            </w:pPr>
          </w:p>
          <w:p w14:paraId="45329A45" w14:textId="77777777" w:rsidR="00C7406E" w:rsidRDefault="00C7406E" w:rsidP="00C7406E">
            <w:pPr>
              <w:spacing w:after="0" w:line="240" w:lineRule="auto"/>
              <w:rPr>
                <w:rFonts w:asciiTheme="minorHAnsi" w:hAnsiTheme="minorHAnsi" w:cstheme="minorHAnsi"/>
                <w:b/>
                <w:bCs/>
                <w:color w:val="000000"/>
                <w:spacing w:val="-4"/>
                <w:lang w:val="fr-FR"/>
              </w:rPr>
            </w:pPr>
          </w:p>
          <w:p w14:paraId="41552B13" w14:textId="77777777" w:rsidR="00C7406E" w:rsidRDefault="00C7406E" w:rsidP="00C7406E">
            <w:pPr>
              <w:spacing w:after="0" w:line="240" w:lineRule="auto"/>
              <w:jc w:val="center"/>
              <w:rPr>
                <w:rFonts w:asciiTheme="minorHAnsi" w:hAnsiTheme="minorHAnsi" w:cstheme="minorHAnsi"/>
                <w:b/>
                <w:bCs/>
                <w:color w:val="000000"/>
                <w:spacing w:val="-4"/>
                <w:lang w:val="fr-FR"/>
              </w:rPr>
            </w:pPr>
          </w:p>
          <w:p w14:paraId="7B6241DA" w14:textId="77777777" w:rsidR="00C7406E" w:rsidRPr="00564F07" w:rsidRDefault="00C7406E" w:rsidP="00C7406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color w:val="000000"/>
                <w:spacing w:val="-4"/>
                <w:lang w:val="fr-FR"/>
              </w:rPr>
              <w:t>B</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0385531E" w14:textId="77777777" w:rsidR="00C7406E" w:rsidRDefault="00C7406E" w:rsidP="00C7406E">
            <w:pPr>
              <w:spacing w:after="0" w:line="240" w:lineRule="auto"/>
              <w:jc w:val="center"/>
              <w:rPr>
                <w:rFonts w:asciiTheme="minorHAnsi" w:hAnsiTheme="minorHAnsi" w:cstheme="minorHAnsi"/>
                <w:b/>
                <w:bCs/>
                <w:spacing w:val="-4"/>
                <w:lang w:val="fr-FR"/>
              </w:rPr>
            </w:pPr>
            <w:r w:rsidRPr="00564F07">
              <w:rPr>
                <w:rFonts w:asciiTheme="minorHAnsi" w:hAnsiTheme="minorHAnsi" w:cstheme="minorHAnsi"/>
                <w:b/>
                <w:bCs/>
                <w:spacing w:val="-4"/>
                <w:lang w:val="fr-FR"/>
              </w:rPr>
              <w:t>Fonds préengagés de 2019 à dépenser en 2020</w:t>
            </w:r>
          </w:p>
          <w:p w14:paraId="2CD25062" w14:textId="77777777" w:rsidR="00C7406E" w:rsidRDefault="00C7406E" w:rsidP="00C7406E">
            <w:pPr>
              <w:spacing w:after="0" w:line="240" w:lineRule="auto"/>
              <w:jc w:val="center"/>
              <w:rPr>
                <w:rFonts w:asciiTheme="minorHAnsi" w:hAnsiTheme="minorHAnsi" w:cstheme="minorHAnsi"/>
                <w:b/>
                <w:bCs/>
                <w:spacing w:val="-4"/>
                <w:lang w:val="fr-FR"/>
              </w:rPr>
            </w:pPr>
          </w:p>
          <w:p w14:paraId="1B629912" w14:textId="77777777" w:rsidR="00C7406E" w:rsidRDefault="00C7406E" w:rsidP="00C7406E">
            <w:pPr>
              <w:spacing w:after="0" w:line="240" w:lineRule="auto"/>
              <w:rPr>
                <w:rFonts w:asciiTheme="minorHAnsi" w:hAnsiTheme="minorHAnsi" w:cstheme="minorHAnsi"/>
                <w:b/>
                <w:bCs/>
                <w:spacing w:val="-4"/>
                <w:lang w:val="fr-FR"/>
              </w:rPr>
            </w:pPr>
          </w:p>
          <w:p w14:paraId="3096F65F" w14:textId="77777777" w:rsidR="00C7406E" w:rsidRDefault="00C7406E" w:rsidP="00C7406E">
            <w:pPr>
              <w:spacing w:after="0" w:line="240" w:lineRule="auto"/>
              <w:jc w:val="center"/>
              <w:rPr>
                <w:rFonts w:asciiTheme="minorHAnsi" w:hAnsiTheme="minorHAnsi" w:cstheme="minorHAnsi"/>
                <w:b/>
                <w:bCs/>
                <w:spacing w:val="-4"/>
                <w:lang w:val="fr-FR"/>
              </w:rPr>
            </w:pPr>
          </w:p>
          <w:p w14:paraId="2A766225" w14:textId="77777777" w:rsidR="00C7406E" w:rsidRDefault="00C7406E" w:rsidP="00C7406E">
            <w:pPr>
              <w:spacing w:after="0" w:line="240" w:lineRule="auto"/>
              <w:jc w:val="center"/>
              <w:rPr>
                <w:rFonts w:asciiTheme="minorHAnsi" w:hAnsiTheme="minorHAnsi" w:cstheme="minorHAnsi"/>
                <w:b/>
                <w:bCs/>
                <w:spacing w:val="-4"/>
                <w:lang w:val="fr-FR"/>
              </w:rPr>
            </w:pPr>
          </w:p>
          <w:p w14:paraId="1A9FF1CC" w14:textId="77777777" w:rsidR="00C7406E" w:rsidRPr="00564F07" w:rsidRDefault="00C7406E" w:rsidP="00C7406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spacing w:val="-4"/>
                <w:lang w:val="fr-FR"/>
              </w:rPr>
              <w:t>C</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050BD61C" w14:textId="77777777" w:rsidR="00C7406E" w:rsidRPr="00F83B5C" w:rsidRDefault="00C7406E" w:rsidP="00C7406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spacing w:val="-4"/>
                <w:lang w:val="fr-FR"/>
              </w:rPr>
              <w:t>Fonds non engagés en 2019 reportés à 2020</w:t>
            </w:r>
            <w:r w:rsidRPr="00F83B5C">
              <w:rPr>
                <w:rFonts w:asciiTheme="minorHAnsi" w:hAnsiTheme="minorHAnsi" w:cstheme="minorHAnsi"/>
                <w:b/>
                <w:bCs/>
                <w:color w:val="000000"/>
                <w:lang w:val="fr-FR"/>
              </w:rPr>
              <w:t>*</w:t>
            </w:r>
            <w:r w:rsidRPr="00F83B5C">
              <w:rPr>
                <w:rFonts w:asciiTheme="minorHAnsi" w:hAnsiTheme="minorHAnsi" w:cstheme="minorHAnsi"/>
                <w:b/>
                <w:bCs/>
                <w:color w:val="000000"/>
                <w:lang w:val="fr-FR"/>
              </w:rPr>
              <w:br/>
            </w:r>
          </w:p>
          <w:p w14:paraId="3221B016" w14:textId="77777777" w:rsidR="00C7406E" w:rsidRPr="00F83B5C" w:rsidRDefault="00C7406E" w:rsidP="00C7406E">
            <w:pPr>
              <w:spacing w:after="0" w:line="240" w:lineRule="auto"/>
              <w:jc w:val="center"/>
              <w:rPr>
                <w:rFonts w:asciiTheme="minorHAnsi" w:hAnsiTheme="minorHAnsi" w:cstheme="minorHAnsi"/>
                <w:b/>
                <w:bCs/>
                <w:color w:val="000000"/>
                <w:lang w:val="fr-FR"/>
              </w:rPr>
            </w:pPr>
          </w:p>
          <w:p w14:paraId="516D1382" w14:textId="77777777" w:rsidR="00C7406E" w:rsidRPr="00F83B5C" w:rsidRDefault="00C7406E" w:rsidP="00C7406E">
            <w:pPr>
              <w:spacing w:after="0" w:line="240" w:lineRule="auto"/>
              <w:rPr>
                <w:rFonts w:asciiTheme="minorHAnsi" w:hAnsiTheme="minorHAnsi" w:cstheme="minorHAnsi"/>
                <w:b/>
                <w:bCs/>
                <w:color w:val="000000"/>
                <w:lang w:val="fr-FR"/>
              </w:rPr>
            </w:pPr>
          </w:p>
          <w:p w14:paraId="6092420F" w14:textId="77777777" w:rsidR="00C7406E" w:rsidRPr="000B6C96" w:rsidRDefault="00C7406E" w:rsidP="00C7406E">
            <w:pPr>
              <w:spacing w:after="0" w:line="240" w:lineRule="auto"/>
              <w:jc w:val="center"/>
              <w:rPr>
                <w:rFonts w:asciiTheme="minorHAnsi" w:hAnsiTheme="minorHAnsi" w:cstheme="minorHAnsi"/>
                <w:b/>
                <w:bCs/>
                <w:color w:val="000000"/>
                <w:lang w:val="fr-FR"/>
              </w:rPr>
            </w:pPr>
          </w:p>
          <w:p w14:paraId="65FD1F80" w14:textId="77777777" w:rsidR="00C7406E" w:rsidRPr="00F83B5C" w:rsidRDefault="00C7406E" w:rsidP="00C7406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3AAE5A7A" w14:textId="77777777" w:rsidR="00C7406E" w:rsidRPr="000B6C96" w:rsidRDefault="00C7406E" w:rsidP="00C7406E">
            <w:pPr>
              <w:spacing w:after="0" w:line="240" w:lineRule="auto"/>
              <w:jc w:val="center"/>
              <w:rPr>
                <w:rFonts w:asciiTheme="minorHAnsi" w:hAnsiTheme="minorHAnsi" w:cstheme="minorHAnsi"/>
                <w:b/>
                <w:bCs/>
                <w:color w:val="000000"/>
                <w:lang w:val="fr-FR"/>
              </w:rPr>
            </w:pPr>
            <w:r w:rsidRPr="000B6C96">
              <w:rPr>
                <w:rFonts w:asciiTheme="minorHAnsi" w:hAnsiTheme="minorHAnsi" w:cstheme="minorHAnsi"/>
                <w:b/>
                <w:bCs/>
                <w:color w:val="000000"/>
                <w:lang w:val="fr-FR"/>
              </w:rPr>
              <w:t xml:space="preserve">Budget total 2020 avant ajustements </w:t>
            </w:r>
            <w:r w:rsidRPr="000B6C96">
              <w:rPr>
                <w:rFonts w:asciiTheme="minorHAnsi" w:hAnsiTheme="minorHAnsi" w:cstheme="minorHAnsi"/>
                <w:b/>
                <w:bCs/>
                <w:color w:val="000000"/>
                <w:lang w:val="fr-FR"/>
              </w:rPr>
              <w:br/>
            </w:r>
          </w:p>
          <w:p w14:paraId="4DD1C027" w14:textId="77777777" w:rsidR="00C7406E" w:rsidRPr="000B6C96" w:rsidRDefault="00C7406E" w:rsidP="00C7406E">
            <w:pPr>
              <w:spacing w:after="0" w:line="240" w:lineRule="auto"/>
              <w:rPr>
                <w:rFonts w:asciiTheme="minorHAnsi" w:hAnsiTheme="minorHAnsi" w:cstheme="minorHAnsi"/>
                <w:b/>
                <w:bCs/>
                <w:color w:val="000000"/>
                <w:lang w:val="fr-FR"/>
              </w:rPr>
            </w:pPr>
          </w:p>
          <w:p w14:paraId="02C57D1A" w14:textId="77777777" w:rsidR="00C7406E" w:rsidRDefault="00C7406E" w:rsidP="00C7406E">
            <w:pPr>
              <w:spacing w:after="0" w:line="240" w:lineRule="auto"/>
              <w:jc w:val="center"/>
              <w:rPr>
                <w:rFonts w:asciiTheme="minorHAnsi" w:hAnsiTheme="minorHAnsi" w:cstheme="minorHAnsi"/>
                <w:b/>
                <w:bCs/>
                <w:color w:val="000000"/>
                <w:lang w:val="fr-FR"/>
              </w:rPr>
            </w:pPr>
          </w:p>
          <w:p w14:paraId="6D5CF541" w14:textId="77777777" w:rsidR="00C7406E" w:rsidRPr="000B6C96" w:rsidRDefault="00C7406E" w:rsidP="00C7406E">
            <w:pPr>
              <w:spacing w:after="0" w:line="240" w:lineRule="auto"/>
              <w:rPr>
                <w:rFonts w:asciiTheme="minorHAnsi" w:hAnsiTheme="minorHAnsi" w:cstheme="minorHAnsi"/>
                <w:b/>
                <w:bCs/>
                <w:color w:val="000000"/>
                <w:lang w:val="fr-FR"/>
              </w:rPr>
            </w:pPr>
          </w:p>
          <w:p w14:paraId="2239C244" w14:textId="77777777" w:rsidR="00C7406E" w:rsidRPr="000B6C96" w:rsidRDefault="00C7406E" w:rsidP="00C7406E">
            <w:pPr>
              <w:spacing w:after="0" w:line="240" w:lineRule="auto"/>
              <w:jc w:val="center"/>
              <w:rPr>
                <w:rFonts w:asciiTheme="minorHAnsi" w:hAnsiTheme="minorHAnsi" w:cstheme="minorHAnsi"/>
                <w:b/>
                <w:bCs/>
                <w:color w:val="000000"/>
                <w:lang w:val="fr-FR"/>
              </w:rPr>
            </w:pPr>
          </w:p>
          <w:p w14:paraId="1CDE7AA7" w14:textId="77777777" w:rsidR="00C7406E" w:rsidRPr="000B6C96" w:rsidRDefault="00C7406E" w:rsidP="00C7406E">
            <w:pPr>
              <w:spacing w:after="0" w:line="240" w:lineRule="auto"/>
              <w:jc w:val="center"/>
              <w:rPr>
                <w:rFonts w:asciiTheme="minorHAnsi" w:hAnsiTheme="minorHAnsi" w:cstheme="minorHAnsi"/>
                <w:b/>
                <w:bCs/>
                <w:color w:val="000000"/>
                <w:lang w:val="fr-FR"/>
              </w:rPr>
            </w:pPr>
          </w:p>
          <w:p w14:paraId="1E142B3E" w14:textId="77777777" w:rsidR="00C7406E" w:rsidRPr="000B6C96" w:rsidRDefault="00C7406E" w:rsidP="00C7406E">
            <w:pPr>
              <w:spacing w:after="0" w:line="240" w:lineRule="auto"/>
              <w:jc w:val="center"/>
              <w:rPr>
                <w:rFonts w:asciiTheme="minorHAnsi" w:hAnsiTheme="minorHAnsi" w:cstheme="minorHAnsi"/>
                <w:b/>
                <w:bCs/>
                <w:color w:val="000000"/>
                <w:lang w:val="fr-FR"/>
              </w:rPr>
            </w:pPr>
            <w:r w:rsidRPr="000B6C96">
              <w:rPr>
                <w:rFonts w:asciiTheme="minorHAnsi" w:hAnsiTheme="minorHAnsi" w:cstheme="minorHAnsi"/>
                <w:b/>
                <w:bCs/>
                <w:color w:val="000000"/>
                <w:lang w:val="fr-FR"/>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06CBA372" w14:textId="77777777" w:rsidR="00C7406E" w:rsidRPr="00F83B5C" w:rsidRDefault="00C7406E" w:rsidP="00C7406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Ajustements du budget originel**</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4D4A0F8D" w14:textId="77777777" w:rsidR="00C7406E" w:rsidRPr="0068557B" w:rsidRDefault="00C7406E" w:rsidP="00C7406E">
            <w:pPr>
              <w:spacing w:after="0" w:line="240" w:lineRule="auto"/>
              <w:jc w:val="center"/>
              <w:rPr>
                <w:rFonts w:asciiTheme="minorHAnsi" w:hAnsiTheme="minorHAnsi" w:cstheme="minorHAnsi"/>
                <w:b/>
                <w:bCs/>
                <w:color w:val="000000"/>
                <w:lang w:val="fr-FR"/>
              </w:rPr>
            </w:pPr>
            <w:r w:rsidRPr="0068557B">
              <w:rPr>
                <w:rFonts w:asciiTheme="minorHAnsi" w:hAnsiTheme="minorHAnsi" w:cstheme="minorHAnsi"/>
                <w:b/>
                <w:bCs/>
                <w:color w:val="000000"/>
                <w:lang w:val="fr-FR"/>
              </w:rPr>
              <w:t>Budget Ramsar 20</w:t>
            </w:r>
            <w:r>
              <w:rPr>
                <w:rFonts w:asciiTheme="minorHAnsi" w:hAnsiTheme="minorHAnsi" w:cstheme="minorHAnsi"/>
                <w:b/>
                <w:bCs/>
                <w:color w:val="000000"/>
                <w:lang w:val="fr-FR"/>
              </w:rPr>
              <w:t>20</w:t>
            </w:r>
          </w:p>
          <w:p w14:paraId="2D436479" w14:textId="77777777" w:rsidR="00C7406E" w:rsidRDefault="00C7406E" w:rsidP="00C7406E">
            <w:pPr>
              <w:spacing w:after="0" w:line="240" w:lineRule="auto"/>
              <w:jc w:val="center"/>
              <w:rPr>
                <w:rFonts w:asciiTheme="minorHAnsi" w:hAnsiTheme="minorHAnsi" w:cstheme="minorHAnsi"/>
                <w:b/>
                <w:bCs/>
                <w:color w:val="000000"/>
                <w:lang w:val="fr-FR"/>
              </w:rPr>
            </w:pPr>
            <w:r>
              <w:rPr>
                <w:rFonts w:asciiTheme="minorHAnsi" w:hAnsiTheme="minorHAnsi" w:cstheme="minorHAnsi"/>
                <w:b/>
                <w:bCs/>
                <w:color w:val="000000"/>
                <w:lang w:val="fr-FR"/>
              </w:rPr>
              <w:t>a</w:t>
            </w:r>
            <w:r w:rsidRPr="0068557B">
              <w:rPr>
                <w:rFonts w:asciiTheme="minorHAnsi" w:hAnsiTheme="minorHAnsi" w:cstheme="minorHAnsi"/>
                <w:b/>
                <w:bCs/>
                <w:color w:val="000000"/>
                <w:lang w:val="fr-FR"/>
              </w:rPr>
              <w:t xml:space="preserve">pprouvé à la </w:t>
            </w:r>
            <w:r>
              <w:rPr>
                <w:rFonts w:asciiTheme="minorHAnsi" w:hAnsiTheme="minorHAnsi" w:cstheme="minorHAnsi"/>
                <w:b/>
                <w:bCs/>
                <w:color w:val="000000"/>
                <w:lang w:val="fr-FR"/>
              </w:rPr>
              <w:t>SC58</w:t>
            </w:r>
          </w:p>
          <w:p w14:paraId="0D723E0B" w14:textId="77777777" w:rsidR="00C7406E" w:rsidRDefault="00C7406E" w:rsidP="00C7406E">
            <w:pPr>
              <w:spacing w:after="0" w:line="240" w:lineRule="auto"/>
              <w:jc w:val="center"/>
              <w:rPr>
                <w:rFonts w:asciiTheme="minorHAnsi" w:hAnsiTheme="minorHAnsi" w:cstheme="minorHAnsi"/>
                <w:b/>
                <w:bCs/>
                <w:color w:val="000000"/>
                <w:highlight w:val="yellow"/>
                <w:lang w:val="fr-FR"/>
              </w:rPr>
            </w:pPr>
          </w:p>
          <w:p w14:paraId="72C2D56E" w14:textId="77777777" w:rsidR="00C7406E" w:rsidRDefault="00C7406E" w:rsidP="00C7406E">
            <w:pPr>
              <w:spacing w:after="0" w:line="240" w:lineRule="auto"/>
              <w:jc w:val="center"/>
              <w:rPr>
                <w:rFonts w:asciiTheme="minorHAnsi" w:hAnsiTheme="minorHAnsi" w:cstheme="minorHAnsi"/>
                <w:b/>
                <w:bCs/>
                <w:color w:val="000000"/>
                <w:highlight w:val="yellow"/>
                <w:lang w:val="fr-FR"/>
              </w:rPr>
            </w:pPr>
          </w:p>
          <w:p w14:paraId="3782C7F6" w14:textId="77777777" w:rsidR="00C7406E" w:rsidRDefault="00C7406E" w:rsidP="00C7406E">
            <w:pPr>
              <w:spacing w:after="0" w:line="240" w:lineRule="auto"/>
              <w:jc w:val="center"/>
              <w:rPr>
                <w:rFonts w:asciiTheme="minorHAnsi" w:hAnsiTheme="minorHAnsi" w:cstheme="minorHAnsi"/>
                <w:b/>
                <w:bCs/>
                <w:color w:val="000000"/>
                <w:highlight w:val="yellow"/>
                <w:lang w:val="fr-FR"/>
              </w:rPr>
            </w:pPr>
          </w:p>
          <w:p w14:paraId="2F3DEA88" w14:textId="77777777" w:rsidR="00C7406E" w:rsidRPr="0068557B" w:rsidRDefault="00C7406E" w:rsidP="00C7406E">
            <w:pPr>
              <w:spacing w:after="0" w:line="240" w:lineRule="auto"/>
              <w:jc w:val="center"/>
              <w:rPr>
                <w:rFonts w:asciiTheme="minorHAnsi" w:hAnsiTheme="minorHAnsi" w:cstheme="minorHAnsi"/>
                <w:b/>
                <w:bCs/>
                <w:color w:val="000000"/>
                <w:highlight w:val="yellow"/>
                <w:lang w:val="fr-FR"/>
              </w:rPr>
            </w:pPr>
          </w:p>
          <w:p w14:paraId="755B25CA" w14:textId="77777777" w:rsidR="00C7406E" w:rsidRPr="00F83B5C" w:rsidRDefault="00C7406E" w:rsidP="00C7406E">
            <w:pPr>
              <w:spacing w:after="0" w:line="240" w:lineRule="auto"/>
              <w:jc w:val="center"/>
              <w:rPr>
                <w:rFonts w:asciiTheme="minorHAnsi" w:hAnsiTheme="minorHAnsi" w:cstheme="minorHAnsi"/>
                <w:b/>
                <w:bCs/>
                <w:color w:val="000000"/>
                <w:highlight w:val="yellow"/>
                <w:lang w:val="fr-FR"/>
              </w:rPr>
            </w:pPr>
            <w:r w:rsidRPr="00F83B5C">
              <w:rPr>
                <w:rFonts w:asciiTheme="minorHAnsi" w:hAnsiTheme="minorHAnsi" w:cstheme="minorHAnsi"/>
                <w:b/>
                <w:bCs/>
                <w:color w:val="000000"/>
                <w:lang w:val="fr-FR"/>
              </w:rPr>
              <w:t>H=E-F-G</w:t>
            </w:r>
          </w:p>
        </w:tc>
      </w:tr>
      <w:tr w:rsidR="00C7406E" w:rsidRPr="009F03BD" w14:paraId="512D6881" w14:textId="77777777" w:rsidTr="009A6DFA">
        <w:trPr>
          <w:trHeight w:val="1305"/>
          <w:tblHeader/>
        </w:trPr>
        <w:tc>
          <w:tcPr>
            <w:tcW w:w="3970" w:type="dxa"/>
            <w:tcBorders>
              <w:top w:val="nil"/>
              <w:left w:val="single" w:sz="4" w:space="0" w:color="auto"/>
              <w:bottom w:val="single" w:sz="4" w:space="0" w:color="auto"/>
              <w:right w:val="nil"/>
            </w:tcBorders>
            <w:shd w:val="clear" w:color="000000" w:fill="D6E3BC"/>
            <w:vAlign w:val="center"/>
            <w:hideMark/>
          </w:tcPr>
          <w:p w14:paraId="6F98AEA2" w14:textId="77777777" w:rsidR="00C7406E" w:rsidRPr="0068557B" w:rsidRDefault="00C7406E" w:rsidP="00C7406E">
            <w:pPr>
              <w:spacing w:after="0" w:line="240" w:lineRule="auto"/>
              <w:jc w:val="center"/>
              <w:rPr>
                <w:rFonts w:asciiTheme="minorHAnsi" w:hAnsiTheme="minorHAnsi" w:cstheme="minorHAnsi"/>
                <w:color w:val="000000"/>
                <w:lang w:val="fr-FR"/>
              </w:rPr>
            </w:pPr>
            <w:r w:rsidRPr="0068557B">
              <w:rPr>
                <w:rFonts w:asciiTheme="minorHAnsi" w:hAnsiTheme="minorHAnsi" w:cstheme="minorHAnsi"/>
                <w:color w:val="000000"/>
                <w:lang w:val="fr-FR"/>
              </w:rPr>
              <w:t>en milliers de francs suisses (CHF)</w:t>
            </w:r>
          </w:p>
        </w:tc>
        <w:tc>
          <w:tcPr>
            <w:tcW w:w="1304" w:type="dxa"/>
            <w:vMerge/>
            <w:tcBorders>
              <w:left w:val="single" w:sz="4" w:space="0" w:color="auto"/>
              <w:bottom w:val="single" w:sz="4" w:space="0" w:color="000000"/>
              <w:right w:val="single" w:sz="4" w:space="0" w:color="auto"/>
            </w:tcBorders>
          </w:tcPr>
          <w:p w14:paraId="4F70763C" w14:textId="77777777" w:rsidR="00C7406E" w:rsidRPr="00F83B5C" w:rsidRDefault="00C7406E" w:rsidP="00C7406E">
            <w:pPr>
              <w:spacing w:after="0" w:line="240" w:lineRule="auto"/>
              <w:jc w:val="center"/>
              <w:rPr>
                <w:rFonts w:asciiTheme="minorHAnsi" w:hAnsiTheme="minorHAnsi" w:cstheme="minorHAnsi"/>
                <w:b/>
                <w:bCs/>
                <w:color w:val="000000"/>
                <w:lang w:val="fr-FR"/>
              </w:rPr>
            </w:pPr>
          </w:p>
        </w:tc>
        <w:tc>
          <w:tcPr>
            <w:tcW w:w="1304" w:type="dxa"/>
            <w:vMerge/>
            <w:tcBorders>
              <w:left w:val="single" w:sz="4" w:space="0" w:color="auto"/>
              <w:bottom w:val="single" w:sz="4" w:space="0" w:color="000000"/>
              <w:right w:val="single" w:sz="4" w:space="0" w:color="auto"/>
            </w:tcBorders>
          </w:tcPr>
          <w:p w14:paraId="2874BF87" w14:textId="77777777" w:rsidR="00C7406E" w:rsidRPr="00F83B5C" w:rsidRDefault="00C7406E" w:rsidP="00C7406E">
            <w:pPr>
              <w:spacing w:after="0" w:line="240" w:lineRule="auto"/>
              <w:jc w:val="center"/>
              <w:rPr>
                <w:rFonts w:asciiTheme="minorHAnsi" w:hAnsiTheme="minorHAnsi" w:cstheme="minorHAnsi"/>
                <w:b/>
                <w:bCs/>
                <w:color w:val="000000"/>
                <w:lang w:val="fr-FR"/>
              </w:rPr>
            </w:pPr>
          </w:p>
        </w:tc>
        <w:tc>
          <w:tcPr>
            <w:tcW w:w="1304" w:type="dxa"/>
            <w:vMerge/>
            <w:tcBorders>
              <w:left w:val="single" w:sz="4" w:space="0" w:color="auto"/>
              <w:bottom w:val="single" w:sz="4" w:space="0" w:color="000000"/>
              <w:right w:val="single" w:sz="4" w:space="0" w:color="auto"/>
            </w:tcBorders>
          </w:tcPr>
          <w:p w14:paraId="21E46ED1" w14:textId="77777777" w:rsidR="00C7406E" w:rsidRPr="00F83B5C" w:rsidRDefault="00C7406E" w:rsidP="00C7406E">
            <w:pPr>
              <w:spacing w:after="0" w:line="240" w:lineRule="auto"/>
              <w:jc w:val="center"/>
              <w:rPr>
                <w:rFonts w:asciiTheme="minorHAnsi" w:hAnsiTheme="minorHAnsi" w:cstheme="minorHAnsi"/>
                <w:b/>
                <w:bCs/>
                <w:color w:val="000000"/>
                <w:lang w:val="fr-FR"/>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537C1A6C" w14:textId="77777777" w:rsidR="00C7406E" w:rsidRPr="00F83B5C" w:rsidRDefault="00C7406E" w:rsidP="00C7406E">
            <w:pPr>
              <w:spacing w:after="0" w:line="240" w:lineRule="auto"/>
              <w:jc w:val="center"/>
              <w:rPr>
                <w:rFonts w:asciiTheme="minorHAnsi" w:hAnsiTheme="minorHAnsi" w:cstheme="minorHAnsi"/>
                <w:b/>
                <w:bCs/>
                <w:color w:val="000000"/>
                <w:lang w:val="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0E7A8C" w14:textId="77777777" w:rsidR="00C7406E" w:rsidRPr="00F83B5C" w:rsidRDefault="00C7406E" w:rsidP="00C7406E">
            <w:pPr>
              <w:spacing w:after="0" w:line="240" w:lineRule="auto"/>
              <w:jc w:val="center"/>
              <w:rPr>
                <w:rFonts w:asciiTheme="minorHAnsi" w:hAnsiTheme="minorHAnsi" w:cstheme="minorHAnsi"/>
                <w:b/>
                <w:bCs/>
                <w:color w:val="000000"/>
                <w:lang w:val="fr-FR"/>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55803A7A" w14:textId="77777777" w:rsidR="00C7406E" w:rsidRPr="00F83B5C" w:rsidRDefault="00C7406E" w:rsidP="00C7406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Économies possibles dans le budget approuvé par la COP13 (A)</w:t>
            </w:r>
          </w:p>
          <w:p w14:paraId="3350508F" w14:textId="77777777" w:rsidR="00C7406E" w:rsidRPr="00F83B5C" w:rsidRDefault="00C7406E" w:rsidP="00C7406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F</w:t>
            </w:r>
          </w:p>
        </w:tc>
        <w:tc>
          <w:tcPr>
            <w:tcW w:w="1347" w:type="dxa"/>
            <w:tcBorders>
              <w:top w:val="nil"/>
              <w:left w:val="nil"/>
              <w:bottom w:val="single" w:sz="4" w:space="0" w:color="auto"/>
              <w:right w:val="nil"/>
            </w:tcBorders>
            <w:shd w:val="clear" w:color="000000" w:fill="BDD7EE"/>
            <w:vAlign w:val="center"/>
            <w:hideMark/>
          </w:tcPr>
          <w:p w14:paraId="2B2F498E" w14:textId="77777777" w:rsidR="00C7406E" w:rsidRPr="00F83B5C" w:rsidRDefault="00C7406E" w:rsidP="00C7406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Économies possibles par des reports de 2019 à 2020 (D)</w:t>
            </w:r>
          </w:p>
          <w:p w14:paraId="50258AA0" w14:textId="77777777" w:rsidR="00C7406E" w:rsidRPr="00F83B5C" w:rsidRDefault="00C7406E" w:rsidP="00C7406E">
            <w:pPr>
              <w:spacing w:after="0" w:line="240" w:lineRule="auto"/>
              <w:jc w:val="center"/>
              <w:rPr>
                <w:rFonts w:asciiTheme="minorHAnsi" w:hAnsiTheme="minorHAnsi" w:cstheme="minorHAnsi"/>
                <w:b/>
                <w:bCs/>
                <w:color w:val="000000"/>
                <w:lang w:val="fr-FR"/>
              </w:rPr>
            </w:pPr>
          </w:p>
          <w:p w14:paraId="4B440540" w14:textId="77777777" w:rsidR="00C7406E" w:rsidRPr="00F83B5C" w:rsidRDefault="00C7406E" w:rsidP="00C7406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B8A3C06" w14:textId="77777777" w:rsidR="00C7406E" w:rsidRPr="009F03BD" w:rsidRDefault="00C7406E" w:rsidP="00C7406E">
            <w:pPr>
              <w:spacing w:after="0" w:line="240" w:lineRule="auto"/>
              <w:jc w:val="center"/>
              <w:rPr>
                <w:rFonts w:asciiTheme="minorHAnsi" w:hAnsiTheme="minorHAnsi" w:cstheme="minorHAnsi"/>
                <w:b/>
                <w:bCs/>
                <w:color w:val="000000"/>
              </w:rPr>
            </w:pPr>
          </w:p>
        </w:tc>
      </w:tr>
      <w:tr w:rsidR="00C7406E" w:rsidRPr="009F03BD" w14:paraId="15521DA1" w14:textId="77777777" w:rsidTr="009A6DFA">
        <w:trPr>
          <w:trHeight w:val="340"/>
        </w:trPr>
        <w:tc>
          <w:tcPr>
            <w:tcW w:w="14431" w:type="dxa"/>
            <w:gridSpan w:val="9"/>
            <w:tcBorders>
              <w:top w:val="nil"/>
              <w:left w:val="single" w:sz="4" w:space="0" w:color="auto"/>
              <w:bottom w:val="single" w:sz="4" w:space="0" w:color="auto"/>
              <w:right w:val="single" w:sz="8" w:space="0" w:color="auto"/>
            </w:tcBorders>
            <w:shd w:val="clear" w:color="auto" w:fill="auto"/>
            <w:vAlign w:val="center"/>
          </w:tcPr>
          <w:p w14:paraId="560EEACA" w14:textId="77777777" w:rsidR="00C7406E" w:rsidRPr="009F03BD" w:rsidRDefault="00C7406E" w:rsidP="00C7406E">
            <w:pPr>
              <w:spacing w:after="0" w:line="240" w:lineRule="auto"/>
              <w:rPr>
                <w:rFonts w:asciiTheme="minorHAnsi" w:hAnsiTheme="minorHAnsi" w:cstheme="minorHAnsi"/>
                <w:b/>
                <w:bCs/>
                <w:color w:val="000000"/>
              </w:rPr>
            </w:pPr>
            <w:r w:rsidRPr="00355BD2">
              <w:rPr>
                <w:rFonts w:asciiTheme="minorHAnsi" w:hAnsiTheme="minorHAnsi" w:cstheme="minorHAnsi"/>
                <w:b/>
                <w:bCs/>
                <w:color w:val="000000"/>
              </w:rPr>
              <w:t>DÉPENSES</w:t>
            </w:r>
          </w:p>
        </w:tc>
      </w:tr>
      <w:tr w:rsidR="00C7406E" w:rsidRPr="009F03BD" w14:paraId="3D5504A9"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0A475F97"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 Cadres supérieurs du Secrétariat</w:t>
            </w:r>
          </w:p>
        </w:tc>
        <w:tc>
          <w:tcPr>
            <w:tcW w:w="1304" w:type="dxa"/>
            <w:tcBorders>
              <w:top w:val="single" w:sz="4" w:space="0" w:color="000000"/>
              <w:left w:val="nil"/>
              <w:bottom w:val="single" w:sz="4" w:space="0" w:color="auto"/>
              <w:right w:val="single" w:sz="4" w:space="0" w:color="auto"/>
            </w:tcBorders>
            <w:shd w:val="clear" w:color="000000" w:fill="EAF1DD"/>
            <w:vAlign w:val="center"/>
          </w:tcPr>
          <w:p w14:paraId="6F2ADCE0"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1 009</w:t>
            </w:r>
          </w:p>
        </w:tc>
        <w:tc>
          <w:tcPr>
            <w:tcW w:w="1304" w:type="dxa"/>
            <w:tcBorders>
              <w:top w:val="single" w:sz="4" w:space="0" w:color="000000"/>
              <w:left w:val="single" w:sz="4" w:space="0" w:color="auto"/>
              <w:bottom w:val="single" w:sz="4" w:space="0" w:color="auto"/>
              <w:right w:val="single" w:sz="4" w:space="0" w:color="auto"/>
            </w:tcBorders>
            <w:shd w:val="clear" w:color="000000" w:fill="EAF1DD"/>
            <w:vAlign w:val="center"/>
          </w:tcPr>
          <w:p w14:paraId="5A685FFB"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w:t>
            </w:r>
          </w:p>
        </w:tc>
        <w:tc>
          <w:tcPr>
            <w:tcW w:w="1304" w:type="dxa"/>
            <w:tcBorders>
              <w:top w:val="single" w:sz="4" w:space="0" w:color="000000"/>
              <w:left w:val="single" w:sz="4" w:space="0" w:color="auto"/>
              <w:bottom w:val="single" w:sz="4" w:space="0" w:color="auto"/>
              <w:right w:val="single" w:sz="4" w:space="0" w:color="auto"/>
            </w:tcBorders>
            <w:shd w:val="clear" w:color="000000" w:fill="EAF1DD"/>
            <w:vAlign w:val="center"/>
          </w:tcPr>
          <w:p w14:paraId="7136FB85"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55C0743"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168F8F8D"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1C82D184"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61AC7EC1"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3187AF18"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075</w:t>
            </w:r>
          </w:p>
        </w:tc>
      </w:tr>
      <w:tr w:rsidR="00C7406E" w:rsidRPr="009F03BD" w14:paraId="1517B19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1A0922D"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0814867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918</w:t>
            </w:r>
          </w:p>
        </w:tc>
        <w:tc>
          <w:tcPr>
            <w:tcW w:w="1304" w:type="dxa"/>
            <w:tcBorders>
              <w:top w:val="single" w:sz="4" w:space="0" w:color="auto"/>
              <w:left w:val="single" w:sz="4" w:space="0" w:color="auto"/>
              <w:bottom w:val="single" w:sz="4" w:space="0" w:color="auto"/>
              <w:right w:val="single" w:sz="4" w:space="0" w:color="auto"/>
            </w:tcBorders>
            <w:vAlign w:val="center"/>
          </w:tcPr>
          <w:p w14:paraId="16774CF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9D05484"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84737A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6F2F3F9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02A82F2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9247E0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80363C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C7406E" w:rsidRPr="009F03BD" w14:paraId="28BBBC2A"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9048C0D"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4E7DB047"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51</w:t>
            </w:r>
          </w:p>
        </w:tc>
        <w:tc>
          <w:tcPr>
            <w:tcW w:w="1304" w:type="dxa"/>
            <w:tcBorders>
              <w:top w:val="single" w:sz="4" w:space="0" w:color="auto"/>
              <w:left w:val="single" w:sz="4" w:space="0" w:color="auto"/>
              <w:bottom w:val="single" w:sz="4" w:space="0" w:color="auto"/>
              <w:right w:val="single" w:sz="4" w:space="0" w:color="auto"/>
            </w:tcBorders>
            <w:vAlign w:val="center"/>
          </w:tcPr>
          <w:p w14:paraId="46E080AA"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DB4D0A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CB64B4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4873834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127FADA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4736CE3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92044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7406E" w:rsidRPr="009F03BD" w14:paraId="3205F3E2"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52E67F5"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2056ED8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40</w:t>
            </w:r>
          </w:p>
        </w:tc>
        <w:tc>
          <w:tcPr>
            <w:tcW w:w="1304" w:type="dxa"/>
            <w:tcBorders>
              <w:top w:val="single" w:sz="4" w:space="0" w:color="auto"/>
              <w:left w:val="single" w:sz="4" w:space="0" w:color="auto"/>
              <w:bottom w:val="single" w:sz="4" w:space="0" w:color="auto"/>
              <w:right w:val="single" w:sz="4" w:space="0" w:color="auto"/>
            </w:tcBorders>
            <w:vAlign w:val="center"/>
          </w:tcPr>
          <w:p w14:paraId="41E357D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49ADC05A"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9B9101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3BAB229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2F59D0D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23ADC2D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C1879C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C7406E" w:rsidRPr="009F03BD" w14:paraId="097B848D"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2969FE5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B. Mobilisation des ressources et sensibilisation</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624F3641"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639</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13E155F9"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45</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46ABFCAF"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81</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4F09AD80"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4151DEDE"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033</w:t>
            </w:r>
          </w:p>
        </w:tc>
        <w:tc>
          <w:tcPr>
            <w:tcW w:w="1346" w:type="dxa"/>
            <w:tcBorders>
              <w:top w:val="nil"/>
              <w:left w:val="single" w:sz="8" w:space="0" w:color="auto"/>
              <w:bottom w:val="single" w:sz="4" w:space="0" w:color="auto"/>
              <w:right w:val="nil"/>
            </w:tcBorders>
            <w:shd w:val="clear" w:color="000000" w:fill="BDD7EE"/>
            <w:noWrap/>
            <w:vAlign w:val="center"/>
            <w:hideMark/>
          </w:tcPr>
          <w:p w14:paraId="7CDFBC8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2E510EC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76B1439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C7406E" w:rsidRPr="009F03BD" w14:paraId="603DC57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298D6C8"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1C74B463"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450</w:t>
            </w:r>
          </w:p>
        </w:tc>
        <w:tc>
          <w:tcPr>
            <w:tcW w:w="1304" w:type="dxa"/>
            <w:tcBorders>
              <w:top w:val="single" w:sz="4" w:space="0" w:color="auto"/>
              <w:left w:val="single" w:sz="4" w:space="0" w:color="auto"/>
              <w:bottom w:val="single" w:sz="4" w:space="0" w:color="auto"/>
              <w:right w:val="single" w:sz="4" w:space="0" w:color="auto"/>
            </w:tcBorders>
            <w:vAlign w:val="center"/>
          </w:tcPr>
          <w:p w14:paraId="44390BD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B88E53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DCE573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5FF4592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C0C2EC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3A6ADEA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0EBC6F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C7406E" w:rsidRPr="009F03BD" w14:paraId="7C0BBA91"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CCCE269"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1B16A5DF"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4EE619A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C73EE7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91402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7D56CCB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5F788C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4480CE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2380A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7406E" w:rsidRPr="009F03BD" w14:paraId="4A5AAFD9"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9015172"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Programme de CESP</w:t>
            </w:r>
          </w:p>
        </w:tc>
        <w:tc>
          <w:tcPr>
            <w:tcW w:w="1304" w:type="dxa"/>
            <w:tcBorders>
              <w:top w:val="single" w:sz="4" w:space="0" w:color="auto"/>
              <w:left w:val="nil"/>
              <w:bottom w:val="single" w:sz="4" w:space="0" w:color="auto"/>
              <w:right w:val="single" w:sz="4" w:space="0" w:color="auto"/>
            </w:tcBorders>
            <w:vAlign w:val="center"/>
          </w:tcPr>
          <w:p w14:paraId="729E7D85"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30</w:t>
            </w:r>
          </w:p>
        </w:tc>
        <w:tc>
          <w:tcPr>
            <w:tcW w:w="1304" w:type="dxa"/>
            <w:tcBorders>
              <w:top w:val="single" w:sz="4" w:space="0" w:color="auto"/>
              <w:left w:val="single" w:sz="4" w:space="0" w:color="auto"/>
              <w:bottom w:val="single" w:sz="4" w:space="0" w:color="auto"/>
              <w:right w:val="single" w:sz="4" w:space="0" w:color="auto"/>
            </w:tcBorders>
            <w:vAlign w:val="center"/>
          </w:tcPr>
          <w:p w14:paraId="454241D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9E5A084"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94BAAA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06DE226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2D9C40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742CDE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8E23D6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C7406E" w:rsidRPr="009F03BD" w14:paraId="58B1957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418F55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Communications, traductions, publications et rapports</w:t>
            </w:r>
          </w:p>
        </w:tc>
        <w:tc>
          <w:tcPr>
            <w:tcW w:w="1304" w:type="dxa"/>
            <w:tcBorders>
              <w:top w:val="single" w:sz="4" w:space="0" w:color="auto"/>
              <w:left w:val="nil"/>
              <w:bottom w:val="single" w:sz="4" w:space="0" w:color="auto"/>
              <w:right w:val="single" w:sz="4" w:space="0" w:color="auto"/>
            </w:tcBorders>
            <w:vAlign w:val="center"/>
          </w:tcPr>
          <w:p w14:paraId="1C88FED2"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60</w:t>
            </w:r>
          </w:p>
        </w:tc>
        <w:tc>
          <w:tcPr>
            <w:tcW w:w="1304" w:type="dxa"/>
            <w:tcBorders>
              <w:top w:val="single" w:sz="4" w:space="0" w:color="auto"/>
              <w:left w:val="single" w:sz="4" w:space="0" w:color="auto"/>
              <w:bottom w:val="single" w:sz="4" w:space="0" w:color="auto"/>
              <w:right w:val="single" w:sz="4" w:space="0" w:color="auto"/>
            </w:tcBorders>
            <w:vAlign w:val="center"/>
          </w:tcPr>
          <w:p w14:paraId="4EA48D90"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40</w:t>
            </w:r>
          </w:p>
        </w:tc>
        <w:tc>
          <w:tcPr>
            <w:tcW w:w="1304" w:type="dxa"/>
            <w:tcBorders>
              <w:top w:val="single" w:sz="4" w:space="0" w:color="auto"/>
              <w:left w:val="single" w:sz="4" w:space="0" w:color="auto"/>
              <w:bottom w:val="single" w:sz="4" w:space="0" w:color="auto"/>
              <w:right w:val="single" w:sz="4" w:space="0" w:color="auto"/>
            </w:tcBorders>
            <w:vAlign w:val="center"/>
          </w:tcPr>
          <w:p w14:paraId="19D7ADE6"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237093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1468CFA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3F3299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29044B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3AA55F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C7406E" w:rsidRPr="009F03BD" w14:paraId="3543808A"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FBFC5CE"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Journée mo</w:t>
            </w:r>
            <w:r>
              <w:rPr>
                <w:rFonts w:asciiTheme="minorHAnsi" w:hAnsiTheme="minorHAnsi" w:cstheme="minorHAnsi"/>
                <w:lang w:val="fr-FR"/>
              </w:rPr>
              <w:t>ndiale des zones humides et 50</w:t>
            </w:r>
            <w:r w:rsidRPr="00F83B5C">
              <w:rPr>
                <w:rFonts w:asciiTheme="minorHAnsi" w:hAnsiTheme="minorHAnsi" w:cstheme="minorHAnsi"/>
                <w:vertAlign w:val="superscript"/>
                <w:lang w:val="fr-FR"/>
              </w:rPr>
              <w:t>e</w:t>
            </w:r>
            <w:r>
              <w:rPr>
                <w:rFonts w:asciiTheme="minorHAnsi" w:hAnsiTheme="minorHAnsi" w:cstheme="minorHAnsi"/>
                <w:lang w:val="fr-FR"/>
              </w:rPr>
              <w:t> </w:t>
            </w:r>
            <w:r w:rsidRPr="007A177C">
              <w:rPr>
                <w:rFonts w:asciiTheme="minorHAnsi" w:hAnsiTheme="minorHAnsi" w:cstheme="minorHAnsi"/>
                <w:lang w:val="fr-FR"/>
              </w:rPr>
              <w:t>anniversaire en 2021</w:t>
            </w:r>
          </w:p>
        </w:tc>
        <w:tc>
          <w:tcPr>
            <w:tcW w:w="1304" w:type="dxa"/>
            <w:tcBorders>
              <w:top w:val="single" w:sz="4" w:space="0" w:color="auto"/>
              <w:left w:val="nil"/>
              <w:bottom w:val="single" w:sz="4" w:space="0" w:color="auto"/>
              <w:right w:val="single" w:sz="4" w:space="0" w:color="auto"/>
            </w:tcBorders>
            <w:vAlign w:val="center"/>
          </w:tcPr>
          <w:p w14:paraId="6B1445E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3CB89F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279702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43</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7D129D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3EFF7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1DC24E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581224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60D3F5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C7406E" w:rsidRPr="009F03BD" w14:paraId="04FB5A3D"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9A6EDBE"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Support et développement Web/Informatique</w:t>
            </w:r>
          </w:p>
        </w:tc>
        <w:tc>
          <w:tcPr>
            <w:tcW w:w="1304" w:type="dxa"/>
            <w:tcBorders>
              <w:top w:val="single" w:sz="4" w:space="0" w:color="auto"/>
              <w:left w:val="nil"/>
              <w:bottom w:val="single" w:sz="4" w:space="0" w:color="auto"/>
              <w:right w:val="single" w:sz="4" w:space="0" w:color="auto"/>
            </w:tcBorders>
            <w:vAlign w:val="center"/>
          </w:tcPr>
          <w:p w14:paraId="13FB9A65"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84</w:t>
            </w:r>
          </w:p>
        </w:tc>
        <w:tc>
          <w:tcPr>
            <w:tcW w:w="1304" w:type="dxa"/>
            <w:tcBorders>
              <w:top w:val="single" w:sz="4" w:space="0" w:color="auto"/>
              <w:left w:val="single" w:sz="4" w:space="0" w:color="auto"/>
              <w:bottom w:val="single" w:sz="4" w:space="0" w:color="auto"/>
              <w:right w:val="single" w:sz="4" w:space="0" w:color="auto"/>
            </w:tcBorders>
            <w:vAlign w:val="center"/>
          </w:tcPr>
          <w:p w14:paraId="365EDEA6"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090447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38</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9A08CD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F47B95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D9E496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0C71AAA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FAC02F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C7406E" w:rsidRPr="009F03BD" w14:paraId="18F5DDE5"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9C17DCC"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4F03D85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618E9A21"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36BBC3BF"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C51557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3748C9B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6E50C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691D0AE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A39080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C7406E" w:rsidRPr="009F03BD" w14:paraId="3F675E32"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2B4E5C81"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C. Appui et conseils aux Régions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783F912F"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1 324</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39B1AD7D"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70596029"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96</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2FCAF73D"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187B99D5"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58C93C78"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3B21BB5C"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81D8441"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377</w:t>
            </w:r>
          </w:p>
        </w:tc>
      </w:tr>
      <w:tr w:rsidR="00C7406E" w:rsidRPr="009F03BD" w14:paraId="2677D83E"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B9580EC"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317FD8FE"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1 178</w:t>
            </w:r>
          </w:p>
        </w:tc>
        <w:tc>
          <w:tcPr>
            <w:tcW w:w="1304" w:type="dxa"/>
            <w:tcBorders>
              <w:top w:val="single" w:sz="4" w:space="0" w:color="auto"/>
              <w:left w:val="single" w:sz="4" w:space="0" w:color="auto"/>
              <w:bottom w:val="single" w:sz="4" w:space="0" w:color="auto"/>
              <w:right w:val="single" w:sz="4" w:space="0" w:color="auto"/>
            </w:tcBorders>
            <w:vAlign w:val="center"/>
          </w:tcPr>
          <w:p w14:paraId="10B45A7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1FF9165"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479CDC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7FD8D98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D1F23A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EA8B73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98A374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1,178</w:t>
            </w:r>
          </w:p>
        </w:tc>
      </w:tr>
      <w:tr w:rsidR="00C7406E" w:rsidRPr="009F03BD" w14:paraId="5D452F1E"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EAF8B81"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lastRenderedPageBreak/>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0F87AA8F"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71</w:t>
            </w:r>
          </w:p>
        </w:tc>
        <w:tc>
          <w:tcPr>
            <w:tcW w:w="1304" w:type="dxa"/>
            <w:tcBorders>
              <w:top w:val="single" w:sz="4" w:space="0" w:color="auto"/>
              <w:left w:val="single" w:sz="4" w:space="0" w:color="auto"/>
              <w:bottom w:val="single" w:sz="4" w:space="0" w:color="auto"/>
              <w:right w:val="single" w:sz="4" w:space="0" w:color="auto"/>
            </w:tcBorders>
            <w:vAlign w:val="center"/>
          </w:tcPr>
          <w:p w14:paraId="62A6E97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85873CB"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45F179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F19352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518FA9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A51B85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C199A6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C7406E" w:rsidRPr="009F03BD" w14:paraId="63F9EBE9"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22D7999"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659ECB6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75</w:t>
            </w:r>
          </w:p>
        </w:tc>
        <w:tc>
          <w:tcPr>
            <w:tcW w:w="1304" w:type="dxa"/>
            <w:tcBorders>
              <w:top w:val="single" w:sz="4" w:space="0" w:color="auto"/>
              <w:left w:val="single" w:sz="4" w:space="0" w:color="auto"/>
              <w:bottom w:val="single" w:sz="4" w:space="0" w:color="auto"/>
              <w:right w:val="single" w:sz="4" w:space="0" w:color="auto"/>
            </w:tcBorders>
            <w:vAlign w:val="center"/>
          </w:tcPr>
          <w:p w14:paraId="17EE330B"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2828F3CE"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61DF24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05E3D8A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0FBFA4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2DBD4DA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25A0EE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C7406E" w:rsidRPr="009F03BD" w14:paraId="582C26C0"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5DC347F"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 xml:space="preserve">Missions consultatives Ramsar </w:t>
            </w:r>
          </w:p>
        </w:tc>
        <w:tc>
          <w:tcPr>
            <w:tcW w:w="1304" w:type="dxa"/>
            <w:tcBorders>
              <w:top w:val="single" w:sz="4" w:space="0" w:color="auto"/>
              <w:left w:val="nil"/>
              <w:bottom w:val="single" w:sz="4" w:space="0" w:color="auto"/>
              <w:right w:val="single" w:sz="4" w:space="0" w:color="auto"/>
            </w:tcBorders>
            <w:vAlign w:val="center"/>
          </w:tcPr>
          <w:p w14:paraId="6BD6A05C"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3D2DA6A"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B11EB0C"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96</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97323B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12D32B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DFF622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96583E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68219F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C7406E" w:rsidRPr="009F03BD" w14:paraId="7F2A60FA"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30D768CB"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D. Appui aux Initiatives régionales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52DC13CE"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5FF09A6E"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2C614A93"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107</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2B76B05C"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035893CA"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82A621A"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0D0288B8"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543A554"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C7406E" w:rsidRPr="009F03BD" w14:paraId="6ED5A2CC"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7D75261"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Groupe de travail sur les Initiatives régionales Rés. XIII.9 p9 et renforcement des capacités</w:t>
            </w:r>
          </w:p>
        </w:tc>
        <w:tc>
          <w:tcPr>
            <w:tcW w:w="1304" w:type="dxa"/>
            <w:tcBorders>
              <w:top w:val="single" w:sz="4" w:space="0" w:color="auto"/>
              <w:left w:val="nil"/>
              <w:bottom w:val="single" w:sz="4" w:space="0" w:color="auto"/>
              <w:right w:val="single" w:sz="4" w:space="0" w:color="auto"/>
            </w:tcBorders>
            <w:vAlign w:val="center"/>
          </w:tcPr>
          <w:p w14:paraId="3A801AF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F96893C"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D1B9C0A"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46</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73DEBE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3D9090B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6E0D212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8BE09D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D8B94B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C7406E" w:rsidRPr="009F03BD" w14:paraId="46C162B7"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4D35670"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Activité 1</w:t>
            </w:r>
            <w:r>
              <w:rPr>
                <w:rFonts w:asciiTheme="minorHAnsi" w:hAnsiTheme="minorHAnsi" w:cstheme="minorHAnsi"/>
                <w:lang w:val="fr-FR"/>
              </w:rPr>
              <w:t> </w:t>
            </w:r>
            <w:r w:rsidRPr="007A177C">
              <w:rPr>
                <w:rFonts w:asciiTheme="minorHAnsi" w:hAnsiTheme="minorHAnsi" w:cstheme="minorHAnsi"/>
                <w:lang w:val="fr-FR"/>
              </w:rPr>
              <w:t>: Bassin du fleuve Sénégal</w:t>
            </w:r>
          </w:p>
        </w:tc>
        <w:tc>
          <w:tcPr>
            <w:tcW w:w="1304" w:type="dxa"/>
            <w:tcBorders>
              <w:top w:val="single" w:sz="4" w:space="0" w:color="auto"/>
              <w:left w:val="nil"/>
              <w:bottom w:val="single" w:sz="4" w:space="0" w:color="auto"/>
              <w:right w:val="single" w:sz="4" w:space="0" w:color="auto"/>
            </w:tcBorders>
            <w:vAlign w:val="center"/>
          </w:tcPr>
          <w:p w14:paraId="0AA7B093"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5E2DBF7B"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C17C7D9"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75A947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8FE81C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66C4B1D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22E8429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34EF2B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7406E" w:rsidRPr="009F03BD" w14:paraId="5674E99E"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3F4EE56"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Activité 2</w:t>
            </w:r>
            <w:r>
              <w:rPr>
                <w:rFonts w:asciiTheme="minorHAnsi" w:hAnsiTheme="minorHAnsi" w:cstheme="minorHAnsi"/>
              </w:rPr>
              <w:t> </w:t>
            </w:r>
            <w:r w:rsidRPr="007A177C">
              <w:rPr>
                <w:rFonts w:asciiTheme="minorHAnsi" w:hAnsiTheme="minorHAnsi" w:cstheme="minorHAnsi"/>
              </w:rPr>
              <w:t xml:space="preserve">: Bassin de l’Amazone </w:t>
            </w:r>
          </w:p>
        </w:tc>
        <w:tc>
          <w:tcPr>
            <w:tcW w:w="1304" w:type="dxa"/>
            <w:tcBorders>
              <w:top w:val="single" w:sz="4" w:space="0" w:color="auto"/>
              <w:left w:val="nil"/>
              <w:bottom w:val="single" w:sz="4" w:space="0" w:color="auto"/>
              <w:right w:val="single" w:sz="4" w:space="0" w:color="auto"/>
            </w:tcBorders>
            <w:vAlign w:val="center"/>
          </w:tcPr>
          <w:p w14:paraId="66680346"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3F5290D0"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D8A431E"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61</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C3DC1A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083AB86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4FC1ED2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5DB332C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EAEE43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C7406E" w:rsidRPr="009F03BD" w14:paraId="70AC1E67"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E33269E"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Activité 3</w:t>
            </w:r>
            <w:r>
              <w:rPr>
                <w:rFonts w:asciiTheme="minorHAnsi" w:hAnsiTheme="minorHAnsi" w:cstheme="minorHAnsi"/>
              </w:rPr>
              <w:t> </w:t>
            </w:r>
            <w:r w:rsidRPr="007A177C">
              <w:rPr>
                <w:rFonts w:asciiTheme="minorHAnsi" w:hAnsiTheme="minorHAnsi" w:cstheme="minorHAnsi"/>
              </w:rPr>
              <w:t>: Asie centrale</w:t>
            </w:r>
          </w:p>
        </w:tc>
        <w:tc>
          <w:tcPr>
            <w:tcW w:w="1304" w:type="dxa"/>
            <w:tcBorders>
              <w:top w:val="single" w:sz="4" w:space="0" w:color="auto"/>
              <w:left w:val="nil"/>
              <w:bottom w:val="single" w:sz="4" w:space="0" w:color="auto"/>
              <w:right w:val="single" w:sz="4" w:space="0" w:color="auto"/>
            </w:tcBorders>
            <w:vAlign w:val="center"/>
          </w:tcPr>
          <w:p w14:paraId="6B5D5B8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778D4BF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2A841B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BEE9EA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5C48CF2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703FBFE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8B2136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29F347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7406E" w:rsidRPr="009F03BD" w14:paraId="40C6427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6175493"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Activité 4</w:t>
            </w:r>
            <w:r>
              <w:rPr>
                <w:rFonts w:asciiTheme="minorHAnsi" w:hAnsiTheme="minorHAnsi" w:cstheme="minorHAnsi"/>
              </w:rPr>
              <w:t> </w:t>
            </w:r>
            <w:r w:rsidRPr="007A177C">
              <w:rPr>
                <w:rFonts w:asciiTheme="minorHAnsi" w:hAnsiTheme="minorHAnsi" w:cstheme="minorHAnsi"/>
              </w:rPr>
              <w:t>: Indo-Birmanie</w:t>
            </w:r>
          </w:p>
        </w:tc>
        <w:tc>
          <w:tcPr>
            <w:tcW w:w="1304" w:type="dxa"/>
            <w:tcBorders>
              <w:top w:val="single" w:sz="4" w:space="0" w:color="auto"/>
              <w:left w:val="nil"/>
              <w:bottom w:val="single" w:sz="4" w:space="0" w:color="auto"/>
              <w:right w:val="single" w:sz="4" w:space="0" w:color="auto"/>
            </w:tcBorders>
            <w:vAlign w:val="center"/>
          </w:tcPr>
          <w:p w14:paraId="1814485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5D273F1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5AD26C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EB4B78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5F22BE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068A558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03FF8FA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E37E12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C7406E" w:rsidRPr="009F03BD" w14:paraId="6C246CC4"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10F04485"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E. Services scientifiques et techniques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6C8156C4"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754</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38EA7CBD"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16C028EB"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121</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64EE7312"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2AC1601E"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57912BEC"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774EF272"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AB7E6F7"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006</w:t>
            </w:r>
          </w:p>
        </w:tc>
      </w:tr>
      <w:tr w:rsidR="00C7406E" w:rsidRPr="009F03BD" w14:paraId="2D9AAB9E"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C6D8FA4"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222C6AE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559</w:t>
            </w:r>
          </w:p>
        </w:tc>
        <w:tc>
          <w:tcPr>
            <w:tcW w:w="1304" w:type="dxa"/>
            <w:tcBorders>
              <w:top w:val="single" w:sz="4" w:space="0" w:color="auto"/>
              <w:left w:val="single" w:sz="4" w:space="0" w:color="auto"/>
              <w:bottom w:val="single" w:sz="4" w:space="0" w:color="auto"/>
              <w:right w:val="single" w:sz="4" w:space="0" w:color="auto"/>
            </w:tcBorders>
            <w:vAlign w:val="center"/>
          </w:tcPr>
          <w:p w14:paraId="1D0E2871"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3322894"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64B921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C2FDAB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2E6630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3B72583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CAE164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C7406E" w:rsidRPr="009F03BD" w14:paraId="2EF4105B"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1B69ADA"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755F577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w:t>
            </w:r>
          </w:p>
        </w:tc>
        <w:tc>
          <w:tcPr>
            <w:tcW w:w="1304" w:type="dxa"/>
            <w:tcBorders>
              <w:top w:val="single" w:sz="4" w:space="0" w:color="auto"/>
              <w:left w:val="single" w:sz="4" w:space="0" w:color="auto"/>
              <w:bottom w:val="single" w:sz="4" w:space="0" w:color="auto"/>
              <w:right w:val="single" w:sz="4" w:space="0" w:color="auto"/>
            </w:tcBorders>
            <w:vAlign w:val="center"/>
          </w:tcPr>
          <w:p w14:paraId="65AC3C63"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B95840C"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1F7914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18D579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6660CE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540ACE7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D9F9A6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C7406E" w:rsidRPr="009F03BD" w14:paraId="5B470C8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42434D8"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5C0C2EB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5A69F48E"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DD7DB01"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CF9930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D8A28F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852792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EFDA1F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33B0BF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7406E" w:rsidRPr="009F03BD" w14:paraId="6520DCA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FB84BF1"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 Président du GEST</w:t>
            </w:r>
          </w:p>
        </w:tc>
        <w:tc>
          <w:tcPr>
            <w:tcW w:w="1304" w:type="dxa"/>
            <w:tcBorders>
              <w:top w:val="single" w:sz="4" w:space="0" w:color="auto"/>
              <w:left w:val="nil"/>
              <w:bottom w:val="single" w:sz="4" w:space="0" w:color="auto"/>
              <w:right w:val="single" w:sz="4" w:space="0" w:color="auto"/>
            </w:tcBorders>
            <w:vAlign w:val="center"/>
          </w:tcPr>
          <w:p w14:paraId="6C463F8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5E001C3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5478C0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4D4A44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4CAF955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701A22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4B72AD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F3E83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C7406E" w:rsidRPr="009F03BD" w14:paraId="0D44FDFC"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8BDB581"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Mise en œuvre du GEST</w:t>
            </w:r>
          </w:p>
        </w:tc>
        <w:tc>
          <w:tcPr>
            <w:tcW w:w="1304" w:type="dxa"/>
            <w:tcBorders>
              <w:top w:val="single" w:sz="4" w:space="0" w:color="auto"/>
              <w:left w:val="nil"/>
              <w:bottom w:val="single" w:sz="4" w:space="0" w:color="auto"/>
              <w:right w:val="single" w:sz="4" w:space="0" w:color="auto"/>
            </w:tcBorders>
            <w:vAlign w:val="center"/>
          </w:tcPr>
          <w:p w14:paraId="60E8F09A"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35</w:t>
            </w:r>
          </w:p>
        </w:tc>
        <w:tc>
          <w:tcPr>
            <w:tcW w:w="1304" w:type="dxa"/>
            <w:tcBorders>
              <w:top w:val="single" w:sz="4" w:space="0" w:color="auto"/>
              <w:left w:val="single" w:sz="4" w:space="0" w:color="auto"/>
              <w:bottom w:val="single" w:sz="4" w:space="0" w:color="auto"/>
              <w:right w:val="single" w:sz="4" w:space="0" w:color="auto"/>
            </w:tcBorders>
            <w:vAlign w:val="center"/>
          </w:tcPr>
          <w:p w14:paraId="63631C82"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6C499BE3"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EEE4C8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6FB851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A2D318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2D1B2D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C63DF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C7406E" w:rsidRPr="009F03BD" w14:paraId="4810ED3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AD075AE"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Réunions du GEST</w:t>
            </w:r>
          </w:p>
        </w:tc>
        <w:tc>
          <w:tcPr>
            <w:tcW w:w="1304" w:type="dxa"/>
            <w:tcBorders>
              <w:top w:val="single" w:sz="4" w:space="0" w:color="auto"/>
              <w:left w:val="nil"/>
              <w:bottom w:val="single" w:sz="4" w:space="0" w:color="auto"/>
              <w:right w:val="single" w:sz="4" w:space="0" w:color="auto"/>
            </w:tcBorders>
            <w:vAlign w:val="center"/>
          </w:tcPr>
          <w:p w14:paraId="1A3F527B"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50</w:t>
            </w:r>
          </w:p>
        </w:tc>
        <w:tc>
          <w:tcPr>
            <w:tcW w:w="1304" w:type="dxa"/>
            <w:tcBorders>
              <w:top w:val="single" w:sz="4" w:space="0" w:color="auto"/>
              <w:left w:val="single" w:sz="4" w:space="0" w:color="auto"/>
              <w:bottom w:val="single" w:sz="4" w:space="0" w:color="auto"/>
              <w:right w:val="single" w:sz="4" w:space="0" w:color="auto"/>
            </w:tcBorders>
            <w:vAlign w:val="center"/>
          </w:tcPr>
          <w:p w14:paraId="0A4BE9FD"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D5C565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A683F3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0C4ECA8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5BC358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05EFE8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7580DA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C7406E" w:rsidRPr="009F03BD" w14:paraId="4B64030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C68B171"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Plan stratégique (2019 - 2021)</w:t>
            </w:r>
          </w:p>
        </w:tc>
        <w:tc>
          <w:tcPr>
            <w:tcW w:w="1304" w:type="dxa"/>
            <w:tcBorders>
              <w:top w:val="single" w:sz="4" w:space="0" w:color="auto"/>
              <w:left w:val="nil"/>
              <w:bottom w:val="single" w:sz="4" w:space="0" w:color="auto"/>
              <w:right w:val="single" w:sz="4" w:space="0" w:color="auto"/>
            </w:tcBorders>
            <w:vAlign w:val="center"/>
          </w:tcPr>
          <w:p w14:paraId="676C15D0"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88DBDA1"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0B0A700"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29</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40378D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440127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911662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B89AB5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7FA82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C7406E" w:rsidRPr="009F03BD" w14:paraId="3F9D25B3"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6D49887"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ODD 6.61 (Inventaires)</w:t>
            </w:r>
          </w:p>
        </w:tc>
        <w:tc>
          <w:tcPr>
            <w:tcW w:w="1304" w:type="dxa"/>
            <w:tcBorders>
              <w:top w:val="single" w:sz="4" w:space="0" w:color="auto"/>
              <w:left w:val="nil"/>
              <w:bottom w:val="single" w:sz="4" w:space="0" w:color="auto"/>
              <w:right w:val="single" w:sz="4" w:space="0" w:color="auto"/>
            </w:tcBorders>
            <w:vAlign w:val="center"/>
          </w:tcPr>
          <w:p w14:paraId="34EC585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A0617FC"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6D30D9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91</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9BD3B0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B8EB8A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D4F16E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E2F01F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6A932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C7406E" w:rsidRPr="009F03BD" w14:paraId="426AFDE5"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ABC23A4" w14:textId="706ABE63" w:rsidR="009A6DFA" w:rsidRPr="009A6DFA" w:rsidRDefault="00C7406E" w:rsidP="00C7406E">
            <w:pPr>
              <w:spacing w:after="0" w:line="240" w:lineRule="auto"/>
              <w:rPr>
                <w:rFonts w:asciiTheme="minorHAnsi" w:hAnsiTheme="minorHAnsi" w:cstheme="minorHAnsi"/>
                <w:lang w:val="fr-FR"/>
              </w:rPr>
            </w:pPr>
            <w:r w:rsidRPr="007A177C">
              <w:rPr>
                <w:rFonts w:asciiTheme="minorHAnsi" w:hAnsiTheme="minorHAnsi" w:cstheme="minorHAnsi"/>
                <w:lang w:val="fr-FR"/>
              </w:rPr>
              <w:lastRenderedPageBreak/>
              <w:t>Service d’information sur les Sites Ramsar (entretien et développement)</w:t>
            </w:r>
          </w:p>
        </w:tc>
        <w:tc>
          <w:tcPr>
            <w:tcW w:w="1304" w:type="dxa"/>
            <w:tcBorders>
              <w:top w:val="single" w:sz="4" w:space="0" w:color="auto"/>
              <w:left w:val="nil"/>
              <w:bottom w:val="single" w:sz="4" w:space="0" w:color="auto"/>
              <w:right w:val="single" w:sz="4" w:space="0" w:color="auto"/>
            </w:tcBorders>
            <w:vAlign w:val="center"/>
          </w:tcPr>
          <w:p w14:paraId="6EAFF55C"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91</w:t>
            </w:r>
          </w:p>
        </w:tc>
        <w:tc>
          <w:tcPr>
            <w:tcW w:w="1304" w:type="dxa"/>
            <w:tcBorders>
              <w:top w:val="single" w:sz="4" w:space="0" w:color="auto"/>
              <w:left w:val="single" w:sz="4" w:space="0" w:color="auto"/>
              <w:bottom w:val="single" w:sz="4" w:space="0" w:color="auto"/>
              <w:right w:val="single" w:sz="4" w:space="0" w:color="auto"/>
            </w:tcBorders>
            <w:vAlign w:val="center"/>
          </w:tcPr>
          <w:p w14:paraId="6F64BFC2"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71D60B4"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D138A2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41A876F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6E9291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69DB24A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71958A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C7406E" w:rsidRPr="009F03BD" w14:paraId="5886661C" w14:textId="77777777" w:rsidTr="009A6DFA">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1D9B245E"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G. Administration/SISR/Web</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63CEEC62"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436</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144F5B53"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11</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436F2BF6"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83</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1AF647AC"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75285A03"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8121EB3"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5A308B5F"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35FAD42"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C7406E" w:rsidRPr="009F03BD" w14:paraId="201DCE7A"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70835A9"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50FF670A"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315</w:t>
            </w:r>
          </w:p>
        </w:tc>
        <w:tc>
          <w:tcPr>
            <w:tcW w:w="1304" w:type="dxa"/>
            <w:tcBorders>
              <w:top w:val="single" w:sz="4" w:space="0" w:color="auto"/>
              <w:left w:val="single" w:sz="4" w:space="0" w:color="auto"/>
              <w:bottom w:val="single" w:sz="4" w:space="0" w:color="auto"/>
              <w:right w:val="single" w:sz="4" w:space="0" w:color="auto"/>
            </w:tcBorders>
            <w:vAlign w:val="center"/>
          </w:tcPr>
          <w:p w14:paraId="7120D1E2"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320B07C"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81F2F6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0F698E2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F7E656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F05CD7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A8BB1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C7406E" w:rsidRPr="009F03BD" w14:paraId="69F82C75"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286DA7D"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7A78C1C7"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1</w:t>
            </w:r>
          </w:p>
        </w:tc>
        <w:tc>
          <w:tcPr>
            <w:tcW w:w="1304" w:type="dxa"/>
            <w:tcBorders>
              <w:top w:val="single" w:sz="4" w:space="0" w:color="auto"/>
              <w:left w:val="single" w:sz="4" w:space="0" w:color="auto"/>
              <w:bottom w:val="single" w:sz="4" w:space="0" w:color="auto"/>
              <w:right w:val="single" w:sz="4" w:space="0" w:color="auto"/>
            </w:tcBorders>
            <w:vAlign w:val="center"/>
          </w:tcPr>
          <w:p w14:paraId="05AEDD5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06F0C2F"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F3320E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782B9E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D22A74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578899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43394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C7406E" w:rsidRPr="009F03BD" w14:paraId="0866A6A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0CE670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Recrutement et indemnités de départ</w:t>
            </w:r>
          </w:p>
        </w:tc>
        <w:tc>
          <w:tcPr>
            <w:tcW w:w="1304" w:type="dxa"/>
            <w:tcBorders>
              <w:top w:val="single" w:sz="4" w:space="0" w:color="auto"/>
              <w:left w:val="nil"/>
              <w:bottom w:val="single" w:sz="4" w:space="0" w:color="auto"/>
              <w:right w:val="single" w:sz="4" w:space="0" w:color="auto"/>
            </w:tcBorders>
            <w:vAlign w:val="center"/>
          </w:tcPr>
          <w:p w14:paraId="395398A4"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5713936F"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50BEA95"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533272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2670DE0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3027F7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1E1F38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47FA9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7406E" w:rsidRPr="009F03BD" w14:paraId="3ABCF333"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513A53D"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3DB6EFD3"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E1B4340"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6EFC0AB"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6BF58D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5BFAEC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5A017F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9C4A0F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75F369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C7406E" w:rsidRPr="009F03BD" w14:paraId="011384CB"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DCAD0E7"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Équipements/fournitures de bureau</w:t>
            </w:r>
          </w:p>
        </w:tc>
        <w:tc>
          <w:tcPr>
            <w:tcW w:w="1304" w:type="dxa"/>
            <w:tcBorders>
              <w:top w:val="single" w:sz="4" w:space="0" w:color="auto"/>
              <w:left w:val="nil"/>
              <w:bottom w:val="single" w:sz="4" w:space="0" w:color="auto"/>
              <w:right w:val="single" w:sz="4" w:space="0" w:color="auto"/>
            </w:tcBorders>
            <w:vAlign w:val="center"/>
          </w:tcPr>
          <w:p w14:paraId="68BD24E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95</w:t>
            </w:r>
          </w:p>
        </w:tc>
        <w:tc>
          <w:tcPr>
            <w:tcW w:w="1304" w:type="dxa"/>
            <w:tcBorders>
              <w:top w:val="single" w:sz="4" w:space="0" w:color="auto"/>
              <w:left w:val="single" w:sz="4" w:space="0" w:color="auto"/>
              <w:bottom w:val="single" w:sz="4" w:space="0" w:color="auto"/>
              <w:right w:val="single" w:sz="4" w:space="0" w:color="auto"/>
            </w:tcBorders>
            <w:vAlign w:val="center"/>
          </w:tcPr>
          <w:p w14:paraId="3B3D9CD7"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5B6C5A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FC9D14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4C6DF49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14E463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22E8664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8A8716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C7406E" w:rsidRPr="009F03BD" w14:paraId="73224E0C"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4DA0356"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Planification et renforcement des capacités</w:t>
            </w:r>
          </w:p>
        </w:tc>
        <w:tc>
          <w:tcPr>
            <w:tcW w:w="1304" w:type="dxa"/>
            <w:tcBorders>
              <w:top w:val="single" w:sz="4" w:space="0" w:color="auto"/>
              <w:left w:val="nil"/>
              <w:bottom w:val="single" w:sz="4" w:space="0" w:color="auto"/>
              <w:right w:val="single" w:sz="4" w:space="0" w:color="auto"/>
            </w:tcBorders>
            <w:vAlign w:val="center"/>
          </w:tcPr>
          <w:p w14:paraId="1ABEDECD"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7761446"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11</w:t>
            </w:r>
          </w:p>
        </w:tc>
        <w:tc>
          <w:tcPr>
            <w:tcW w:w="1304" w:type="dxa"/>
            <w:tcBorders>
              <w:top w:val="single" w:sz="4" w:space="0" w:color="auto"/>
              <w:left w:val="single" w:sz="4" w:space="0" w:color="auto"/>
              <w:bottom w:val="single" w:sz="4" w:space="0" w:color="auto"/>
              <w:right w:val="single" w:sz="4" w:space="0" w:color="auto"/>
            </w:tcBorders>
            <w:vAlign w:val="center"/>
          </w:tcPr>
          <w:p w14:paraId="77F484F0"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83</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A9CDE4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F0823A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64BCF9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568010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1FBC78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r>
      <w:tr w:rsidR="00C7406E" w:rsidRPr="009F03BD" w14:paraId="0999A7FB"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0619118F"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H. Services au Comité permanent</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0AC33D58"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150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7F151AC1"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67B04A62"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75</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71227D92"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5338406D"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300C6F23"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8106DE0"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954143F"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260</w:t>
            </w:r>
          </w:p>
        </w:tc>
      </w:tr>
      <w:tr w:rsidR="00C7406E" w:rsidRPr="009F03BD" w14:paraId="5E218E32"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6CDFBA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Appui aux délégués du Comité permanent</w:t>
            </w:r>
          </w:p>
        </w:tc>
        <w:tc>
          <w:tcPr>
            <w:tcW w:w="1304" w:type="dxa"/>
            <w:tcBorders>
              <w:top w:val="single" w:sz="4" w:space="0" w:color="auto"/>
              <w:left w:val="nil"/>
              <w:bottom w:val="single" w:sz="4" w:space="0" w:color="auto"/>
              <w:right w:val="single" w:sz="4" w:space="0" w:color="auto"/>
            </w:tcBorders>
            <w:vAlign w:val="center"/>
          </w:tcPr>
          <w:p w14:paraId="073C5412"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45</w:t>
            </w:r>
          </w:p>
        </w:tc>
        <w:tc>
          <w:tcPr>
            <w:tcW w:w="1304" w:type="dxa"/>
            <w:tcBorders>
              <w:top w:val="single" w:sz="4" w:space="0" w:color="auto"/>
              <w:left w:val="single" w:sz="4" w:space="0" w:color="auto"/>
              <w:bottom w:val="single" w:sz="4" w:space="0" w:color="auto"/>
              <w:right w:val="single" w:sz="4" w:space="0" w:color="auto"/>
            </w:tcBorders>
            <w:vAlign w:val="center"/>
          </w:tcPr>
          <w:p w14:paraId="3071E991"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D1A2DE7"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05FC2AC"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44BC0C7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D36EBB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EFEF94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6ADA1B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C7406E" w:rsidRPr="009F03BD" w14:paraId="10FE937D"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858EE27"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Réunions du Comité permanent</w:t>
            </w:r>
          </w:p>
        </w:tc>
        <w:tc>
          <w:tcPr>
            <w:tcW w:w="1304" w:type="dxa"/>
            <w:tcBorders>
              <w:top w:val="single" w:sz="4" w:space="0" w:color="auto"/>
              <w:left w:val="nil"/>
              <w:bottom w:val="single" w:sz="4" w:space="0" w:color="auto"/>
              <w:right w:val="single" w:sz="4" w:space="0" w:color="auto"/>
            </w:tcBorders>
            <w:vAlign w:val="center"/>
          </w:tcPr>
          <w:p w14:paraId="16B52DC8"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3FA9FC71"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7464A06"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E92B34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CF38DD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694768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893C63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2866D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C7406E" w:rsidRPr="009F03BD" w14:paraId="25778AC5"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16CD12B"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Services de traduction pour le Comité permanent</w:t>
            </w:r>
          </w:p>
        </w:tc>
        <w:tc>
          <w:tcPr>
            <w:tcW w:w="1304" w:type="dxa"/>
            <w:tcBorders>
              <w:top w:val="single" w:sz="4" w:space="0" w:color="auto"/>
              <w:left w:val="nil"/>
              <w:bottom w:val="single" w:sz="4" w:space="0" w:color="auto"/>
              <w:right w:val="single" w:sz="4" w:space="0" w:color="auto"/>
            </w:tcBorders>
            <w:vAlign w:val="center"/>
          </w:tcPr>
          <w:p w14:paraId="16A11F49"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60</w:t>
            </w:r>
          </w:p>
        </w:tc>
        <w:tc>
          <w:tcPr>
            <w:tcW w:w="1304" w:type="dxa"/>
            <w:tcBorders>
              <w:top w:val="single" w:sz="4" w:space="0" w:color="auto"/>
              <w:left w:val="single" w:sz="4" w:space="0" w:color="auto"/>
              <w:bottom w:val="single" w:sz="4" w:space="0" w:color="auto"/>
              <w:right w:val="single" w:sz="4" w:space="0" w:color="auto"/>
            </w:tcBorders>
            <w:vAlign w:val="center"/>
          </w:tcPr>
          <w:p w14:paraId="3E3A03F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2B80442"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88841C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1E50350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61011C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18617BE"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49ACD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r>
      <w:tr w:rsidR="00C7406E" w:rsidRPr="009F03BD" w14:paraId="20825762"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6136DEC"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Interprétation simultanée aux réunions du Comité permanent</w:t>
            </w:r>
          </w:p>
        </w:tc>
        <w:tc>
          <w:tcPr>
            <w:tcW w:w="1304" w:type="dxa"/>
            <w:tcBorders>
              <w:top w:val="single" w:sz="4" w:space="0" w:color="auto"/>
              <w:left w:val="nil"/>
              <w:bottom w:val="single" w:sz="4" w:space="0" w:color="auto"/>
              <w:right w:val="single" w:sz="4" w:space="0" w:color="auto"/>
            </w:tcBorders>
            <w:vAlign w:val="center"/>
          </w:tcPr>
          <w:p w14:paraId="626CF476"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35</w:t>
            </w:r>
          </w:p>
        </w:tc>
        <w:tc>
          <w:tcPr>
            <w:tcW w:w="1304" w:type="dxa"/>
            <w:tcBorders>
              <w:top w:val="single" w:sz="4" w:space="0" w:color="auto"/>
              <w:left w:val="single" w:sz="4" w:space="0" w:color="auto"/>
              <w:bottom w:val="single" w:sz="4" w:space="0" w:color="auto"/>
              <w:right w:val="single" w:sz="4" w:space="0" w:color="auto"/>
            </w:tcBorders>
            <w:vAlign w:val="center"/>
          </w:tcPr>
          <w:p w14:paraId="08EB4B48"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5B3B8A9"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AC00B6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548155D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0C7E006"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EE9E66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E38B4F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r>
      <w:tr w:rsidR="00C7406E" w:rsidRPr="009F03BD" w14:paraId="3853618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35F13E2"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Groupe de travail sur l’efficacité</w:t>
            </w:r>
          </w:p>
        </w:tc>
        <w:tc>
          <w:tcPr>
            <w:tcW w:w="1304" w:type="dxa"/>
            <w:tcBorders>
              <w:top w:val="single" w:sz="4" w:space="0" w:color="auto"/>
              <w:left w:val="nil"/>
              <w:bottom w:val="single" w:sz="4" w:space="0" w:color="auto"/>
              <w:right w:val="single" w:sz="4" w:space="0" w:color="auto"/>
            </w:tcBorders>
            <w:vAlign w:val="center"/>
          </w:tcPr>
          <w:p w14:paraId="318A914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BF52CC3"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7C2FCF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55</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E709968"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B9EB7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78A44E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E81957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4F4693"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r>
      <w:tr w:rsidR="00C7406E" w:rsidRPr="009F03BD" w14:paraId="45E09DC6"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1D12FB6"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Examen des résolutions (Rés. XIII.4)</w:t>
            </w:r>
          </w:p>
        </w:tc>
        <w:tc>
          <w:tcPr>
            <w:tcW w:w="1304" w:type="dxa"/>
            <w:tcBorders>
              <w:top w:val="single" w:sz="4" w:space="0" w:color="auto"/>
              <w:left w:val="nil"/>
              <w:bottom w:val="single" w:sz="4" w:space="0" w:color="auto"/>
              <w:right w:val="single" w:sz="4" w:space="0" w:color="auto"/>
            </w:tcBorders>
            <w:vAlign w:val="center"/>
          </w:tcPr>
          <w:p w14:paraId="012057C0"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0D31353"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C99484B"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F775531"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0BFA8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69658E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0DD12D9"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C28D78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r>
      <w:tr w:rsidR="00C7406E" w:rsidRPr="009F03BD" w14:paraId="64CCA436" w14:textId="77777777" w:rsidTr="009A6DFA">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55117F0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J. Coûts des services administratifs de l’UICN (maximum)</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1B434866"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560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7F3D3982"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6AD422DD"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674A7530"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2E7EAAD9"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4C6D1CB3"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10F2DF04"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06243B7"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529</w:t>
            </w:r>
          </w:p>
        </w:tc>
      </w:tr>
      <w:tr w:rsidR="00C7406E" w:rsidRPr="009F03BD" w14:paraId="0B08A40A"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9C49891"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lastRenderedPageBreak/>
              <w:t>Administration, ressources humaines, services financiers &amp; informatiques</w:t>
            </w:r>
          </w:p>
        </w:tc>
        <w:tc>
          <w:tcPr>
            <w:tcW w:w="1304" w:type="dxa"/>
            <w:tcBorders>
              <w:top w:val="single" w:sz="4" w:space="0" w:color="auto"/>
              <w:left w:val="nil"/>
              <w:bottom w:val="single" w:sz="4" w:space="0" w:color="auto"/>
              <w:right w:val="single" w:sz="4" w:space="0" w:color="auto"/>
            </w:tcBorders>
            <w:vAlign w:val="center"/>
          </w:tcPr>
          <w:p w14:paraId="261DAA33"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560</w:t>
            </w:r>
          </w:p>
        </w:tc>
        <w:tc>
          <w:tcPr>
            <w:tcW w:w="1304" w:type="dxa"/>
            <w:tcBorders>
              <w:top w:val="single" w:sz="4" w:space="0" w:color="auto"/>
              <w:left w:val="single" w:sz="4" w:space="0" w:color="auto"/>
              <w:bottom w:val="single" w:sz="4" w:space="0" w:color="auto"/>
              <w:right w:val="single" w:sz="4" w:space="0" w:color="auto"/>
            </w:tcBorders>
            <w:vAlign w:val="center"/>
          </w:tcPr>
          <w:p w14:paraId="5B1730DB"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3BA2298"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CDDD5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12B01377"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7E7881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585B7A6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873517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529</w:t>
            </w:r>
          </w:p>
        </w:tc>
      </w:tr>
      <w:tr w:rsidR="00C7406E" w:rsidRPr="009F03BD" w14:paraId="2B6DAEF9" w14:textId="77777777" w:rsidTr="009A6DFA">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6589BF64"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K. Divers - Fonds de réserve</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70803C29"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109</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0290F320"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0DCBBA6A" w14:textId="77777777" w:rsidR="00C7406E" w:rsidRPr="00564F07" w:rsidRDefault="00C7406E" w:rsidP="00C7406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25</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5BBB394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3891D959"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4E4C02C6"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55133EC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E5CDBEB"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296</w:t>
            </w:r>
          </w:p>
        </w:tc>
      </w:tr>
      <w:tr w:rsidR="00C7406E" w:rsidRPr="009F03BD" w14:paraId="036E6C59"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9DE4FD0"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Provisions</w:t>
            </w:r>
          </w:p>
        </w:tc>
        <w:tc>
          <w:tcPr>
            <w:tcW w:w="1304" w:type="dxa"/>
            <w:tcBorders>
              <w:top w:val="single" w:sz="4" w:space="0" w:color="auto"/>
              <w:left w:val="nil"/>
              <w:bottom w:val="single" w:sz="4" w:space="0" w:color="auto"/>
              <w:right w:val="single" w:sz="4" w:space="0" w:color="auto"/>
            </w:tcBorders>
            <w:vAlign w:val="center"/>
          </w:tcPr>
          <w:p w14:paraId="50A8B1BB"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50</w:t>
            </w:r>
          </w:p>
        </w:tc>
        <w:tc>
          <w:tcPr>
            <w:tcW w:w="1304" w:type="dxa"/>
            <w:tcBorders>
              <w:top w:val="single" w:sz="4" w:space="0" w:color="auto"/>
              <w:left w:val="single" w:sz="4" w:space="0" w:color="auto"/>
              <w:bottom w:val="single" w:sz="4" w:space="0" w:color="auto"/>
              <w:right w:val="single" w:sz="4" w:space="0" w:color="auto"/>
            </w:tcBorders>
            <w:vAlign w:val="center"/>
          </w:tcPr>
          <w:p w14:paraId="72B7449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BCF9079" w14:textId="77777777" w:rsidR="00C7406E" w:rsidRPr="00564F07" w:rsidRDefault="00C7406E" w:rsidP="00C7406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4E66B90"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76B96C0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271ED8F"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7B3569A"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60E08A5"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212</w:t>
            </w:r>
          </w:p>
        </w:tc>
      </w:tr>
      <w:tr w:rsidR="00C7406E" w:rsidRPr="009F03BD" w14:paraId="58478B95"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E3F53F8" w14:textId="77777777" w:rsidR="00C7406E" w:rsidRPr="007A177C" w:rsidRDefault="00C7406E" w:rsidP="00C7406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Gains/pertes liés au change</w:t>
            </w:r>
          </w:p>
        </w:tc>
        <w:tc>
          <w:tcPr>
            <w:tcW w:w="1304" w:type="dxa"/>
            <w:tcBorders>
              <w:top w:val="single" w:sz="4" w:space="0" w:color="auto"/>
              <w:left w:val="nil"/>
              <w:bottom w:val="single" w:sz="4" w:space="0" w:color="auto"/>
              <w:right w:val="single" w:sz="4" w:space="0" w:color="auto"/>
            </w:tcBorders>
            <w:vAlign w:val="center"/>
          </w:tcPr>
          <w:p w14:paraId="1E852F6E"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795CBC"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8E786F8" w14:textId="77777777" w:rsidR="00C7406E" w:rsidRPr="00564F07" w:rsidRDefault="00C7406E" w:rsidP="00C7406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5319682"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6A67DED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DDC508B"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80AC30D"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FE9D2C4" w14:textId="77777777" w:rsidR="00C7406E" w:rsidRPr="009F03BD" w:rsidRDefault="00C7406E" w:rsidP="00C7406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C7406E" w:rsidRPr="009F03BD" w14:paraId="5C2760F4" w14:textId="77777777" w:rsidTr="009A6DFA">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BC2BFED" w14:textId="77777777" w:rsidR="00C7406E" w:rsidRPr="007A177C" w:rsidRDefault="00C7406E" w:rsidP="00C7406E">
            <w:pPr>
              <w:spacing w:after="0" w:line="240" w:lineRule="auto"/>
              <w:rPr>
                <w:rFonts w:asciiTheme="minorHAnsi" w:hAnsiTheme="minorHAnsi" w:cstheme="minorHAnsi"/>
                <w:color w:val="000000"/>
              </w:rPr>
            </w:pPr>
            <w:r w:rsidRPr="007A177C">
              <w:rPr>
                <w:rFonts w:asciiTheme="minorHAnsi" w:hAnsiTheme="minorHAnsi" w:cstheme="minorHAnsi"/>
              </w:rPr>
              <w:t>Services juridiques</w:t>
            </w:r>
          </w:p>
        </w:tc>
        <w:tc>
          <w:tcPr>
            <w:tcW w:w="1304" w:type="dxa"/>
            <w:tcBorders>
              <w:top w:val="single" w:sz="4" w:space="0" w:color="auto"/>
              <w:left w:val="nil"/>
              <w:bottom w:val="single" w:sz="4" w:space="0" w:color="auto"/>
              <w:right w:val="single" w:sz="4" w:space="0" w:color="auto"/>
            </w:tcBorders>
            <w:vAlign w:val="center"/>
          </w:tcPr>
          <w:p w14:paraId="0949B70D" w14:textId="77777777" w:rsidR="00C7406E" w:rsidRPr="00564F07" w:rsidRDefault="00C7406E" w:rsidP="00C7406E">
            <w:pPr>
              <w:spacing w:after="0" w:line="240" w:lineRule="auto"/>
              <w:jc w:val="right"/>
              <w:rPr>
                <w:rFonts w:asciiTheme="minorHAnsi" w:hAnsiTheme="minorHAnsi" w:cstheme="minorHAnsi"/>
              </w:rPr>
            </w:pPr>
            <w:r w:rsidRPr="00564F07">
              <w:rPr>
                <w:rFonts w:asciiTheme="minorHAnsi" w:hAnsiTheme="minorHAnsi" w:cstheme="minorHAnsi"/>
                <w:lang w:val="fr-FR"/>
              </w:rPr>
              <w:t>59</w:t>
            </w:r>
          </w:p>
        </w:tc>
        <w:tc>
          <w:tcPr>
            <w:tcW w:w="1304" w:type="dxa"/>
            <w:tcBorders>
              <w:top w:val="single" w:sz="4" w:space="0" w:color="auto"/>
              <w:left w:val="single" w:sz="4" w:space="0" w:color="auto"/>
              <w:bottom w:val="single" w:sz="4" w:space="0" w:color="auto"/>
              <w:right w:val="single" w:sz="4" w:space="0" w:color="auto"/>
            </w:tcBorders>
            <w:vAlign w:val="center"/>
          </w:tcPr>
          <w:p w14:paraId="6C0019EE" w14:textId="77777777" w:rsidR="00C7406E" w:rsidRPr="00564F07" w:rsidRDefault="00C7406E" w:rsidP="00C7406E">
            <w:pPr>
              <w:spacing w:after="0" w:line="240" w:lineRule="auto"/>
              <w:jc w:val="right"/>
              <w:rPr>
                <w:rFonts w:asciiTheme="minorHAnsi" w:hAnsiTheme="minorHAnsi" w:cstheme="minorHAnsi"/>
              </w:rPr>
            </w:pPr>
            <w:r w:rsidRPr="00564F07">
              <w:rPr>
                <w:rFonts w:asciiTheme="minorHAnsi" w:hAnsiTheme="minorHAnsi" w:cstheme="minorHAnsi"/>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AEF9FBE" w14:textId="77777777" w:rsidR="00C7406E" w:rsidRPr="00564F07" w:rsidRDefault="00C7406E" w:rsidP="00C7406E">
            <w:pPr>
              <w:spacing w:after="0" w:line="240" w:lineRule="auto"/>
              <w:jc w:val="right"/>
              <w:rPr>
                <w:rFonts w:asciiTheme="minorHAnsi" w:hAnsiTheme="minorHAnsi" w:cstheme="minorHAnsi"/>
              </w:rPr>
            </w:pPr>
            <w:r w:rsidRPr="00564F07">
              <w:rPr>
                <w:rFonts w:asciiTheme="minorHAnsi" w:hAnsiTheme="minorHAnsi" w:cstheme="minorHAnsi"/>
                <w:lang w:val="fr-FR"/>
              </w:rPr>
              <w:t>25</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5D02599" w14:textId="77777777" w:rsidR="00C7406E" w:rsidRPr="009F03BD" w:rsidRDefault="00C7406E" w:rsidP="00C7406E">
            <w:pPr>
              <w:spacing w:after="0" w:line="240" w:lineRule="auto"/>
              <w:jc w:val="right"/>
              <w:rPr>
                <w:rFonts w:asciiTheme="minorHAnsi" w:hAnsiTheme="minorHAnsi" w:cstheme="minorHAnsi"/>
              </w:rPr>
            </w:pPr>
            <w:r w:rsidRPr="009F03BD">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0D3F35CD" w14:textId="77777777" w:rsidR="00C7406E" w:rsidRPr="009F03BD" w:rsidRDefault="00C7406E" w:rsidP="00C7406E">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CFFBD6F" w14:textId="77777777" w:rsidR="00C7406E" w:rsidRPr="009F03BD" w:rsidRDefault="00C7406E" w:rsidP="00C7406E">
            <w:pPr>
              <w:spacing w:after="0" w:line="240" w:lineRule="auto"/>
              <w:jc w:val="right"/>
              <w:rPr>
                <w:rFonts w:asciiTheme="minorHAnsi" w:hAnsiTheme="minorHAnsi" w:cstheme="minorHAnsi"/>
              </w:rPr>
            </w:pPr>
            <w:r w:rsidRPr="009F03BD">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0A131B80" w14:textId="77777777" w:rsidR="00C7406E" w:rsidRPr="009F03BD" w:rsidRDefault="00C7406E" w:rsidP="00C7406E">
            <w:pPr>
              <w:spacing w:after="0" w:line="240" w:lineRule="auto"/>
              <w:jc w:val="right"/>
              <w:rPr>
                <w:rFonts w:asciiTheme="minorHAnsi" w:hAnsiTheme="minorHAnsi" w:cstheme="minorHAnsi"/>
              </w:rPr>
            </w:pPr>
            <w:r w:rsidRPr="009F03BD">
              <w:rPr>
                <w:rFonts w:asciiTheme="minorHAnsi" w:hAnsiTheme="minorHAnsi" w:cstheme="minorHAnsi"/>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A12BE9E" w14:textId="77777777" w:rsidR="00C7406E" w:rsidRPr="009F03BD" w:rsidRDefault="00C7406E" w:rsidP="00C7406E">
            <w:pPr>
              <w:spacing w:after="0" w:line="240" w:lineRule="auto"/>
              <w:jc w:val="right"/>
              <w:rPr>
                <w:rFonts w:asciiTheme="minorHAnsi" w:hAnsiTheme="minorHAnsi" w:cstheme="minorHAnsi"/>
              </w:rPr>
            </w:pPr>
            <w:r w:rsidRPr="009F03BD">
              <w:rPr>
                <w:rFonts w:asciiTheme="minorHAnsi" w:hAnsiTheme="minorHAnsi" w:cstheme="minorHAnsi"/>
              </w:rPr>
              <w:t>113</w:t>
            </w:r>
          </w:p>
        </w:tc>
      </w:tr>
      <w:tr w:rsidR="00C7406E" w:rsidRPr="009F03BD" w14:paraId="4BA726B8" w14:textId="77777777" w:rsidTr="009A6DFA">
        <w:tc>
          <w:tcPr>
            <w:tcW w:w="3970" w:type="dxa"/>
            <w:tcBorders>
              <w:top w:val="nil"/>
              <w:left w:val="single" w:sz="4" w:space="0" w:color="auto"/>
              <w:bottom w:val="single" w:sz="4" w:space="0" w:color="auto"/>
              <w:right w:val="single" w:sz="4" w:space="0" w:color="auto"/>
            </w:tcBorders>
            <w:shd w:val="clear" w:color="000000" w:fill="D6E3BC"/>
            <w:noWrap/>
            <w:vAlign w:val="center"/>
            <w:hideMark/>
          </w:tcPr>
          <w:p w14:paraId="6DBF5B43" w14:textId="77777777" w:rsidR="00C7406E" w:rsidRPr="007A177C" w:rsidRDefault="00C7406E" w:rsidP="00C7406E">
            <w:pPr>
              <w:spacing w:after="0" w:line="240" w:lineRule="auto"/>
              <w:rPr>
                <w:rFonts w:asciiTheme="minorHAnsi" w:hAnsiTheme="minorHAnsi" w:cstheme="minorHAnsi"/>
                <w:b/>
                <w:bCs/>
                <w:color w:val="000000"/>
              </w:rPr>
            </w:pPr>
            <w:r w:rsidRPr="007A177C">
              <w:rPr>
                <w:rFonts w:asciiTheme="minorHAnsi" w:hAnsiTheme="minorHAnsi" w:cstheme="minorHAnsi"/>
              </w:rPr>
              <w:t>TOTAL DÉPENSES</w:t>
            </w:r>
          </w:p>
        </w:tc>
        <w:tc>
          <w:tcPr>
            <w:tcW w:w="1304" w:type="dxa"/>
            <w:tcBorders>
              <w:top w:val="single" w:sz="4" w:space="0" w:color="auto"/>
              <w:left w:val="nil"/>
              <w:bottom w:val="single" w:sz="4" w:space="0" w:color="auto"/>
              <w:right w:val="single" w:sz="4" w:space="0" w:color="auto"/>
            </w:tcBorders>
            <w:shd w:val="clear" w:color="000000" w:fill="D6E3BC"/>
            <w:vAlign w:val="center"/>
          </w:tcPr>
          <w:p w14:paraId="611D0562"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5 081</w:t>
            </w:r>
          </w:p>
        </w:tc>
        <w:tc>
          <w:tcPr>
            <w:tcW w:w="1304" w:type="dxa"/>
            <w:tcBorders>
              <w:top w:val="single" w:sz="4" w:space="0" w:color="auto"/>
              <w:left w:val="single" w:sz="4" w:space="0" w:color="auto"/>
              <w:bottom w:val="single" w:sz="4" w:space="0" w:color="auto"/>
              <w:right w:val="single" w:sz="4" w:space="0" w:color="auto"/>
            </w:tcBorders>
            <w:shd w:val="clear" w:color="000000" w:fill="D6E3BC"/>
            <w:vAlign w:val="center"/>
          </w:tcPr>
          <w:p w14:paraId="31647E1C"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76</w:t>
            </w:r>
          </w:p>
        </w:tc>
        <w:tc>
          <w:tcPr>
            <w:tcW w:w="1304" w:type="dxa"/>
            <w:tcBorders>
              <w:top w:val="single" w:sz="4" w:space="0" w:color="auto"/>
              <w:left w:val="single" w:sz="4" w:space="0" w:color="auto"/>
              <w:bottom w:val="single" w:sz="4" w:space="0" w:color="auto"/>
              <w:right w:val="single" w:sz="4" w:space="0" w:color="auto"/>
            </w:tcBorders>
            <w:shd w:val="clear" w:color="000000" w:fill="D6E3BC"/>
            <w:vAlign w:val="center"/>
          </w:tcPr>
          <w:p w14:paraId="7746B529" w14:textId="77777777" w:rsidR="00C7406E" w:rsidRPr="00564F07" w:rsidRDefault="00C7406E" w:rsidP="00C7406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588</w:t>
            </w:r>
          </w:p>
        </w:tc>
        <w:tc>
          <w:tcPr>
            <w:tcW w:w="1304" w:type="dxa"/>
            <w:tcBorders>
              <w:top w:val="nil"/>
              <w:left w:val="single" w:sz="4" w:space="0" w:color="auto"/>
              <w:bottom w:val="single" w:sz="4" w:space="0" w:color="auto"/>
              <w:right w:val="single" w:sz="4" w:space="0" w:color="auto"/>
            </w:tcBorders>
            <w:shd w:val="clear" w:color="000000" w:fill="D6E3BC"/>
            <w:noWrap/>
            <w:vAlign w:val="center"/>
            <w:hideMark/>
          </w:tcPr>
          <w:p w14:paraId="6EA0E08D"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2CD36867"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w:t>
            </w:r>
            <w:r>
              <w:rPr>
                <w:rFonts w:asciiTheme="minorHAnsi" w:hAnsiTheme="minorHAnsi" w:cstheme="minorHAnsi"/>
                <w:b/>
                <w:bCs/>
                <w:color w:val="000000"/>
              </w:rPr>
              <w:t xml:space="preserve"> </w:t>
            </w:r>
            <w:r w:rsidRPr="009F03BD">
              <w:rPr>
                <w:rFonts w:asciiTheme="minorHAnsi" w:hAnsiTheme="minorHAnsi" w:cstheme="minorHAnsi"/>
                <w:b/>
                <w:bCs/>
                <w:color w:val="000000"/>
              </w:rPr>
              <w:t>664</w:t>
            </w:r>
          </w:p>
        </w:tc>
        <w:tc>
          <w:tcPr>
            <w:tcW w:w="1346" w:type="dxa"/>
            <w:tcBorders>
              <w:top w:val="nil"/>
              <w:left w:val="single" w:sz="8" w:space="0" w:color="auto"/>
              <w:bottom w:val="single" w:sz="8" w:space="0" w:color="auto"/>
              <w:right w:val="nil"/>
            </w:tcBorders>
            <w:shd w:val="clear" w:color="000000" w:fill="BDD7EE"/>
            <w:noWrap/>
            <w:vAlign w:val="center"/>
            <w:hideMark/>
          </w:tcPr>
          <w:p w14:paraId="4558EF8A"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7FEA5CD7"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5CF8B0E5" w14:textId="77777777" w:rsidR="00C7406E" w:rsidRPr="009F03BD" w:rsidRDefault="00C7406E" w:rsidP="00C7406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w:t>
            </w:r>
            <w:r>
              <w:rPr>
                <w:rFonts w:asciiTheme="minorHAnsi" w:hAnsiTheme="minorHAnsi" w:cstheme="minorHAnsi"/>
                <w:b/>
                <w:bCs/>
                <w:color w:val="000000"/>
              </w:rPr>
              <w:t xml:space="preserve"> </w:t>
            </w:r>
            <w:r w:rsidRPr="009F03BD">
              <w:rPr>
                <w:rFonts w:asciiTheme="minorHAnsi" w:hAnsiTheme="minorHAnsi" w:cstheme="minorHAnsi"/>
                <w:b/>
                <w:bCs/>
                <w:color w:val="000000"/>
              </w:rPr>
              <w:t>936</w:t>
            </w:r>
          </w:p>
        </w:tc>
      </w:tr>
    </w:tbl>
    <w:p w14:paraId="4AC56A41" w14:textId="77777777" w:rsidR="00C7406E" w:rsidRPr="009A6DFA" w:rsidRDefault="00C7406E" w:rsidP="00C7406E">
      <w:pPr>
        <w:spacing w:after="0" w:line="240" w:lineRule="auto"/>
        <w:rPr>
          <w:rFonts w:asciiTheme="minorHAnsi" w:hAnsiTheme="minorHAnsi" w:cstheme="minorHAnsi"/>
          <w:bCs/>
          <w:i/>
          <w:iCs/>
          <w:color w:val="000000"/>
          <w:lang w:val="fr-FR"/>
        </w:rPr>
      </w:pPr>
      <w:r w:rsidRPr="009A6DFA">
        <w:rPr>
          <w:rFonts w:asciiTheme="minorHAnsi" w:hAnsiTheme="minorHAnsi" w:cstheme="minorHAnsi"/>
          <w:bCs/>
          <w:i/>
          <w:iCs/>
          <w:color w:val="000000"/>
          <w:lang w:val="fr-FR"/>
        </w:rPr>
        <w:t>*report sur la même ligne budgétaire conformément à la décision SC57-50 du Comité permanent</w:t>
      </w:r>
    </w:p>
    <w:p w14:paraId="128A2AFD" w14:textId="77777777" w:rsidR="00C7406E" w:rsidRPr="009A6DFA" w:rsidRDefault="00C7406E" w:rsidP="00C7406E">
      <w:pPr>
        <w:spacing w:after="0" w:line="240" w:lineRule="auto"/>
        <w:rPr>
          <w:rFonts w:asciiTheme="minorHAnsi" w:hAnsiTheme="minorHAnsi" w:cstheme="minorHAnsi"/>
          <w:bCs/>
          <w:i/>
          <w:iCs/>
          <w:color w:val="000000"/>
          <w:lang w:val="fr-FR"/>
        </w:rPr>
      </w:pPr>
      <w:r w:rsidRPr="009A6DFA">
        <w:rPr>
          <w:rFonts w:asciiTheme="minorHAnsi" w:hAnsiTheme="minorHAnsi" w:cstheme="minorHAnsi"/>
          <w:bCs/>
          <w:i/>
          <w:iCs/>
          <w:color w:val="000000"/>
          <w:lang w:val="fr-FR"/>
        </w:rPr>
        <w:t>**économies possibles en raison de l'actuelle pandémie de COVID-19</w:t>
      </w:r>
    </w:p>
    <w:p w14:paraId="49555344" w14:textId="77777777" w:rsidR="009A6DFA" w:rsidRDefault="009A6DFA" w:rsidP="009F420A">
      <w:pPr>
        <w:spacing w:after="0" w:line="240" w:lineRule="auto"/>
        <w:ind w:left="567" w:hanging="567"/>
        <w:rPr>
          <w:rFonts w:asciiTheme="minorHAnsi" w:hAnsiTheme="minorHAnsi" w:cstheme="minorHAnsi"/>
          <w:b/>
          <w:bCs/>
          <w:sz w:val="24"/>
          <w:szCs w:val="24"/>
          <w:lang w:val="fr-FR"/>
        </w:rPr>
        <w:sectPr w:rsidR="009A6DFA" w:rsidSect="009A6DFA">
          <w:footerReference w:type="default" r:id="rId9"/>
          <w:footerReference w:type="first" r:id="rId10"/>
          <w:pgSz w:w="16838" w:h="11906" w:orient="landscape"/>
          <w:pgMar w:top="1440" w:right="1440" w:bottom="1440" w:left="1440" w:header="709" w:footer="709" w:gutter="0"/>
          <w:cols w:space="708"/>
          <w:docGrid w:linePitch="360"/>
        </w:sectPr>
      </w:pPr>
    </w:p>
    <w:p w14:paraId="63C567C4" w14:textId="62D82D06" w:rsidR="00C7406E" w:rsidRDefault="001B6D9C" w:rsidP="001B6D9C">
      <w:pPr>
        <w:spacing w:after="0" w:line="240" w:lineRule="auto"/>
        <w:ind w:left="567" w:hanging="567"/>
        <w:rPr>
          <w:rFonts w:asciiTheme="minorHAnsi" w:hAnsiTheme="minorHAnsi" w:cstheme="minorHAnsi"/>
          <w:b/>
          <w:bCs/>
          <w:sz w:val="24"/>
          <w:szCs w:val="24"/>
          <w:lang w:val="fr-FR"/>
        </w:rPr>
      </w:pPr>
      <w:r>
        <w:rPr>
          <w:rFonts w:asciiTheme="minorHAnsi" w:hAnsiTheme="minorHAnsi" w:cstheme="minorHAnsi"/>
          <w:b/>
          <w:bCs/>
          <w:sz w:val="24"/>
          <w:szCs w:val="24"/>
          <w:lang w:val="fr-FR"/>
        </w:rPr>
        <w:lastRenderedPageBreak/>
        <w:t>Annexe 3</w:t>
      </w:r>
    </w:p>
    <w:p w14:paraId="1A442875" w14:textId="3F0F0E0D" w:rsidR="001B6D9C" w:rsidRDefault="001B6D9C" w:rsidP="001B6D9C">
      <w:pPr>
        <w:spacing w:after="0" w:line="240" w:lineRule="auto"/>
        <w:ind w:left="567" w:hanging="567"/>
        <w:rPr>
          <w:rFonts w:asciiTheme="minorHAnsi" w:hAnsiTheme="minorHAnsi" w:cstheme="minorHAnsi"/>
          <w:b/>
          <w:bCs/>
          <w:sz w:val="24"/>
          <w:szCs w:val="24"/>
          <w:lang w:val="fr-FR"/>
        </w:rPr>
      </w:pPr>
    </w:p>
    <w:p w14:paraId="21AE1A1D" w14:textId="77777777" w:rsidR="001B6D9C" w:rsidRPr="001B6D9C" w:rsidRDefault="001B6D9C" w:rsidP="001B6D9C">
      <w:pPr>
        <w:spacing w:after="0" w:line="240" w:lineRule="auto"/>
        <w:ind w:left="567" w:hanging="567"/>
        <w:rPr>
          <w:rFonts w:asciiTheme="minorHAnsi" w:hAnsiTheme="minorHAnsi" w:cstheme="minorHAnsi"/>
          <w:b/>
          <w:bCs/>
          <w:sz w:val="24"/>
          <w:szCs w:val="24"/>
          <w:lang w:val="fr-FR"/>
        </w:rPr>
      </w:pPr>
      <w:r w:rsidRPr="001B6D9C">
        <w:rPr>
          <w:rFonts w:asciiTheme="minorHAnsi" w:hAnsiTheme="minorHAnsi" w:cstheme="minorHAnsi"/>
          <w:b/>
          <w:bCs/>
          <w:sz w:val="24"/>
          <w:szCs w:val="24"/>
          <w:lang w:val="fr-FR"/>
        </w:rPr>
        <w:t>Rapport et recommandations du Comité exécutif, 17 juin 2020</w:t>
      </w:r>
    </w:p>
    <w:p w14:paraId="2F2C7E76" w14:textId="77777777" w:rsidR="001B6D9C" w:rsidRDefault="001B6D9C" w:rsidP="001B6D9C">
      <w:pPr>
        <w:pStyle w:val="BodyText"/>
        <w:rPr>
          <w:b/>
          <w:sz w:val="20"/>
          <w:lang w:val="fr-CH"/>
        </w:rPr>
      </w:pPr>
    </w:p>
    <w:p w14:paraId="58FC49FC" w14:textId="77777777" w:rsidR="001B6D9C" w:rsidRPr="00AE421B" w:rsidRDefault="001B6D9C" w:rsidP="001B6D9C">
      <w:pPr>
        <w:pStyle w:val="BodyText"/>
        <w:rPr>
          <w:b/>
          <w:sz w:val="20"/>
          <w:lang w:val="fr-CH"/>
        </w:rPr>
      </w:pPr>
    </w:p>
    <w:p w14:paraId="61AF2F92" w14:textId="77777777" w:rsidR="001B6D9C" w:rsidRPr="00AE421B" w:rsidRDefault="001B6D9C" w:rsidP="001B6D9C">
      <w:pPr>
        <w:spacing w:after="0" w:line="240" w:lineRule="auto"/>
        <w:rPr>
          <w:b/>
          <w:lang w:val="fr-CH"/>
        </w:rPr>
      </w:pPr>
      <w:r w:rsidRPr="00AE421B">
        <w:rPr>
          <w:b/>
          <w:u w:val="single"/>
          <w:lang w:val="fr-CH"/>
        </w:rPr>
        <w:t>Participants</w:t>
      </w:r>
      <w:r>
        <w:rPr>
          <w:b/>
          <w:u w:val="single"/>
          <w:lang w:val="fr-CH"/>
        </w:rPr>
        <w:t> </w:t>
      </w:r>
      <w:r w:rsidRPr="00AE421B">
        <w:rPr>
          <w:b/>
          <w:u w:val="single"/>
          <w:lang w:val="fr-CH"/>
        </w:rPr>
        <w:t>:</w:t>
      </w:r>
    </w:p>
    <w:p w14:paraId="18C0EAE1" w14:textId="77777777" w:rsidR="001B6D9C" w:rsidRPr="00AE421B" w:rsidRDefault="001B6D9C" w:rsidP="001B6D9C">
      <w:pPr>
        <w:pStyle w:val="BodyText"/>
        <w:rPr>
          <w:b/>
          <w:sz w:val="17"/>
          <w:lang w:val="fr-CH"/>
        </w:rPr>
      </w:pPr>
    </w:p>
    <w:p w14:paraId="3BFF705D" w14:textId="77777777" w:rsidR="001B6D9C" w:rsidRPr="00AE421B" w:rsidRDefault="001B6D9C" w:rsidP="001B6D9C">
      <w:pPr>
        <w:pStyle w:val="Heading2"/>
        <w:ind w:left="0"/>
        <w:rPr>
          <w:lang w:val="fr-CH"/>
        </w:rPr>
      </w:pPr>
      <w:r>
        <w:rPr>
          <w:lang w:val="fr-CH"/>
        </w:rPr>
        <w:t>Membres du Comité exécutif</w:t>
      </w:r>
    </w:p>
    <w:p w14:paraId="51866338" w14:textId="77777777" w:rsidR="001B6D9C" w:rsidRPr="00AE421B" w:rsidRDefault="001B6D9C" w:rsidP="001B6D9C">
      <w:pPr>
        <w:pStyle w:val="ListParagraph"/>
        <w:widowControl w:val="0"/>
        <w:numPr>
          <w:ilvl w:val="0"/>
          <w:numId w:val="34"/>
        </w:numPr>
        <w:autoSpaceDE w:val="0"/>
        <w:autoSpaceDN w:val="0"/>
        <w:spacing w:after="0" w:line="240" w:lineRule="auto"/>
        <w:ind w:left="426" w:hanging="426"/>
        <w:contextualSpacing w:val="0"/>
        <w:rPr>
          <w:lang w:val="fr-CH"/>
        </w:rPr>
      </w:pPr>
      <w:r>
        <w:rPr>
          <w:lang w:val="fr-CH"/>
        </w:rPr>
        <w:t>Émirats arabes unis</w:t>
      </w:r>
    </w:p>
    <w:p w14:paraId="2B994778" w14:textId="77777777" w:rsidR="001B6D9C" w:rsidRPr="00AE421B" w:rsidRDefault="001B6D9C" w:rsidP="001B6D9C">
      <w:pPr>
        <w:pStyle w:val="ListParagraph"/>
        <w:widowControl w:val="0"/>
        <w:numPr>
          <w:ilvl w:val="0"/>
          <w:numId w:val="34"/>
        </w:numPr>
        <w:autoSpaceDE w:val="0"/>
        <w:autoSpaceDN w:val="0"/>
        <w:spacing w:after="0" w:line="240" w:lineRule="auto"/>
        <w:ind w:left="426" w:hanging="426"/>
        <w:contextualSpacing w:val="0"/>
        <w:rPr>
          <w:lang w:val="fr-CH"/>
        </w:rPr>
      </w:pPr>
      <w:r w:rsidRPr="00AE421B">
        <w:rPr>
          <w:lang w:val="fr-CH"/>
        </w:rPr>
        <w:t>Mexi</w:t>
      </w:r>
      <w:r>
        <w:rPr>
          <w:lang w:val="fr-CH"/>
        </w:rPr>
        <w:t>que</w:t>
      </w:r>
    </w:p>
    <w:p w14:paraId="32577E31" w14:textId="77777777" w:rsidR="001B6D9C" w:rsidRDefault="001B6D9C" w:rsidP="001B6D9C">
      <w:pPr>
        <w:pStyle w:val="ListParagraph"/>
        <w:widowControl w:val="0"/>
        <w:numPr>
          <w:ilvl w:val="0"/>
          <w:numId w:val="34"/>
        </w:numPr>
        <w:autoSpaceDE w:val="0"/>
        <w:autoSpaceDN w:val="0"/>
        <w:spacing w:after="0" w:line="240" w:lineRule="auto"/>
        <w:ind w:left="426" w:hanging="426"/>
        <w:contextualSpacing w:val="0"/>
        <w:rPr>
          <w:lang w:val="fr-CH"/>
        </w:rPr>
      </w:pPr>
      <w:r>
        <w:rPr>
          <w:lang w:val="fr-CH"/>
        </w:rPr>
        <w:t>Suède</w:t>
      </w:r>
    </w:p>
    <w:p w14:paraId="6190EF19" w14:textId="77777777" w:rsidR="001B6D9C" w:rsidRPr="009874E8" w:rsidRDefault="001B6D9C" w:rsidP="001B6D9C">
      <w:pPr>
        <w:spacing w:after="0" w:line="240" w:lineRule="auto"/>
        <w:rPr>
          <w:lang w:val="fr-CH"/>
        </w:rPr>
      </w:pPr>
    </w:p>
    <w:p w14:paraId="10316EFF" w14:textId="77777777" w:rsidR="001B6D9C" w:rsidRPr="00AE421B" w:rsidRDefault="001B6D9C" w:rsidP="001B6D9C">
      <w:pPr>
        <w:pStyle w:val="Heading2"/>
        <w:ind w:left="0"/>
        <w:rPr>
          <w:lang w:val="fr-CH"/>
        </w:rPr>
      </w:pPr>
      <w:r w:rsidRPr="00AE421B">
        <w:rPr>
          <w:lang w:val="fr-CH"/>
        </w:rPr>
        <w:t>Secrétariat</w:t>
      </w:r>
    </w:p>
    <w:p w14:paraId="537BE91A" w14:textId="77777777" w:rsidR="001B6D9C" w:rsidRPr="00AE421B" w:rsidRDefault="001B6D9C" w:rsidP="001B6D9C">
      <w:pPr>
        <w:pStyle w:val="ListParagraph"/>
        <w:widowControl w:val="0"/>
        <w:numPr>
          <w:ilvl w:val="0"/>
          <w:numId w:val="34"/>
        </w:numPr>
        <w:autoSpaceDE w:val="0"/>
        <w:autoSpaceDN w:val="0"/>
        <w:spacing w:after="0" w:line="240" w:lineRule="auto"/>
        <w:ind w:left="426" w:hanging="426"/>
        <w:contextualSpacing w:val="0"/>
        <w:rPr>
          <w:lang w:val="fr-CH"/>
        </w:rPr>
      </w:pPr>
      <w:r>
        <w:rPr>
          <w:lang w:val="fr-CH"/>
        </w:rPr>
        <w:t>Secrétaire générale</w:t>
      </w:r>
    </w:p>
    <w:p w14:paraId="53AA7AB0" w14:textId="77777777" w:rsidR="001B6D9C" w:rsidRPr="00AE421B" w:rsidRDefault="001B6D9C" w:rsidP="001B6D9C">
      <w:pPr>
        <w:pStyle w:val="ListParagraph"/>
        <w:widowControl w:val="0"/>
        <w:numPr>
          <w:ilvl w:val="0"/>
          <w:numId w:val="34"/>
        </w:numPr>
        <w:autoSpaceDE w:val="0"/>
        <w:autoSpaceDN w:val="0"/>
        <w:spacing w:after="0" w:line="240" w:lineRule="auto"/>
        <w:ind w:left="426" w:hanging="426"/>
        <w:contextualSpacing w:val="0"/>
        <w:rPr>
          <w:lang w:val="fr-CH"/>
        </w:rPr>
      </w:pPr>
      <w:r>
        <w:rPr>
          <w:lang w:val="fr-CH"/>
        </w:rPr>
        <w:t>Secrétaire général adjoint</w:t>
      </w:r>
    </w:p>
    <w:p w14:paraId="4E318F86" w14:textId="77777777" w:rsidR="001B6D9C" w:rsidRPr="00AE421B" w:rsidRDefault="001B6D9C" w:rsidP="001B6D9C">
      <w:pPr>
        <w:pStyle w:val="BodyText"/>
        <w:rPr>
          <w:lang w:val="fr-CH"/>
        </w:rPr>
      </w:pPr>
    </w:p>
    <w:p w14:paraId="5E5BDC7F" w14:textId="77777777" w:rsidR="001B6D9C" w:rsidRPr="00AE421B" w:rsidRDefault="001B6D9C" w:rsidP="001B6D9C">
      <w:pPr>
        <w:pStyle w:val="Heading1"/>
        <w:ind w:left="0"/>
        <w:jc w:val="both"/>
        <w:rPr>
          <w:u w:val="single"/>
          <w:lang w:val="fr-CH"/>
        </w:rPr>
      </w:pPr>
      <w:r>
        <w:rPr>
          <w:u w:val="single"/>
          <w:lang w:val="fr-CH"/>
        </w:rPr>
        <w:t>Résumé </w:t>
      </w:r>
      <w:r w:rsidRPr="00AE421B">
        <w:rPr>
          <w:u w:val="single"/>
          <w:lang w:val="fr-CH"/>
        </w:rPr>
        <w:t>:</w:t>
      </w:r>
    </w:p>
    <w:p w14:paraId="0526E5A8" w14:textId="77777777" w:rsidR="001B6D9C" w:rsidRPr="00AE421B" w:rsidRDefault="001B6D9C" w:rsidP="001B6D9C">
      <w:pPr>
        <w:pStyle w:val="BodyText"/>
        <w:rPr>
          <w:b/>
          <w:sz w:val="21"/>
          <w:lang w:val="fr-CH"/>
        </w:rPr>
      </w:pPr>
    </w:p>
    <w:p w14:paraId="404518A0" w14:textId="77777777" w:rsidR="001B6D9C" w:rsidRPr="00AE421B" w:rsidRDefault="001B6D9C" w:rsidP="001B6D9C">
      <w:pPr>
        <w:pStyle w:val="BodyText"/>
        <w:ind w:right="98"/>
        <w:rPr>
          <w:lang w:val="fr-CH"/>
        </w:rPr>
      </w:pPr>
      <w:r>
        <w:rPr>
          <w:lang w:val="fr-CH"/>
        </w:rPr>
        <w:t>Le Comité exécutif s’est réuni pour discuter du point 20.4 de l’ordre du jour de la 58</w:t>
      </w:r>
      <w:r w:rsidRPr="00154FA9">
        <w:rPr>
          <w:vertAlign w:val="superscript"/>
          <w:lang w:val="fr-CH"/>
        </w:rPr>
        <w:t>e</w:t>
      </w:r>
      <w:r>
        <w:rPr>
          <w:lang w:val="fr-CH"/>
        </w:rPr>
        <w:t> Réunion du Comité permanent, « mesures requises » iv) </w:t>
      </w:r>
      <w:r w:rsidRPr="005E5126">
        <w:rPr>
          <w:i/>
          <w:iCs/>
          <w:lang w:val="fr-CH"/>
        </w:rPr>
        <w:t>Processus de préparation et d’examen des projets de résolutions</w:t>
      </w:r>
      <w:r>
        <w:rPr>
          <w:lang w:val="fr-CH"/>
        </w:rPr>
        <w:t> : but et calendrier des réunions régionales pré</w:t>
      </w:r>
      <w:r>
        <w:rPr>
          <w:lang w:val="fr-CH"/>
        </w:rPr>
        <w:noBreakHyphen/>
        <w:t>COP.</w:t>
      </w:r>
    </w:p>
    <w:p w14:paraId="35CE8D9D" w14:textId="77777777" w:rsidR="001B6D9C" w:rsidRPr="00AE421B" w:rsidRDefault="001B6D9C" w:rsidP="001B6D9C">
      <w:pPr>
        <w:pStyle w:val="BodyText"/>
        <w:ind w:right="98"/>
        <w:jc w:val="both"/>
        <w:rPr>
          <w:lang w:val="fr-CH"/>
        </w:rPr>
      </w:pPr>
    </w:p>
    <w:p w14:paraId="501B918E" w14:textId="77777777" w:rsidR="001B6D9C" w:rsidRPr="00AE421B" w:rsidRDefault="001B6D9C" w:rsidP="001B6D9C">
      <w:pPr>
        <w:spacing w:after="0" w:line="240" w:lineRule="auto"/>
        <w:rPr>
          <w:lang w:val="fr-CH"/>
        </w:rPr>
      </w:pPr>
      <w:r>
        <w:rPr>
          <w:lang w:val="fr-CH"/>
        </w:rPr>
        <w:t>Le Comité exécutif a examiné les incidences et les difficultés posées par le report de la 58</w:t>
      </w:r>
      <w:r w:rsidRPr="00154FA9">
        <w:rPr>
          <w:vertAlign w:val="superscript"/>
          <w:lang w:val="fr-CH"/>
        </w:rPr>
        <w:t>e</w:t>
      </w:r>
      <w:r>
        <w:rPr>
          <w:lang w:val="fr-CH"/>
        </w:rPr>
        <w:t xml:space="preserve"> Réunion du Comité permanent dans la chronologie des réunions précédant la </w:t>
      </w:r>
      <w:r w:rsidRPr="00AE421B">
        <w:rPr>
          <w:lang w:val="fr-CH"/>
        </w:rPr>
        <w:t xml:space="preserve">COP14 </w:t>
      </w:r>
      <w:r>
        <w:rPr>
          <w:lang w:val="fr-CH"/>
        </w:rPr>
        <w:t>et en particulier le rôle et la faisabilité, notamment financière, des réunions régionales pré</w:t>
      </w:r>
      <w:r>
        <w:rPr>
          <w:lang w:val="fr-CH"/>
        </w:rPr>
        <w:noBreakHyphen/>
        <w:t>COP. Le Comité exécutif a discuté de la difficulté,</w:t>
      </w:r>
      <w:r w:rsidRPr="004B0A09">
        <w:rPr>
          <w:lang w:val="fr-CH"/>
        </w:rPr>
        <w:t xml:space="preserve"> </w:t>
      </w:r>
      <w:r>
        <w:rPr>
          <w:lang w:val="fr-CH"/>
        </w:rPr>
        <w:t xml:space="preserve">pour le Secrétariat, d’organiser sept réunions (une réunion du GEST, cinq réunions régionales pré-COP ainsi qu’une réunion du Comité permanent) en 2021, avant la COP14 (plus la COP14 la même année). </w:t>
      </w:r>
    </w:p>
    <w:p w14:paraId="4CABE667" w14:textId="77777777" w:rsidR="001B6D9C" w:rsidRPr="00AE421B" w:rsidRDefault="001B6D9C" w:rsidP="001B6D9C">
      <w:pPr>
        <w:spacing w:after="0" w:line="240" w:lineRule="auto"/>
        <w:rPr>
          <w:lang w:val="fr-CH"/>
        </w:rPr>
      </w:pPr>
    </w:p>
    <w:p w14:paraId="79B2D3E2" w14:textId="77777777" w:rsidR="001B6D9C" w:rsidRPr="00AE421B" w:rsidRDefault="001B6D9C" w:rsidP="001B6D9C">
      <w:pPr>
        <w:spacing w:after="0" w:line="240" w:lineRule="auto"/>
        <w:rPr>
          <w:lang w:val="fr-CH"/>
        </w:rPr>
      </w:pPr>
      <w:r>
        <w:rPr>
          <w:lang w:val="fr-CH"/>
        </w:rPr>
        <w:t>Le Comité exécutif a pris note du contexte actuel de la pandémie de COVID</w:t>
      </w:r>
      <w:r>
        <w:rPr>
          <w:lang w:val="fr-CH"/>
        </w:rPr>
        <w:noBreakHyphen/>
        <w:t>19 et des difficultés de voyager qui en découlent, ainsi que du calendrier chargé des réunions. L’empreinte environnementale des réunions a également été examinée. Le Comité a ensuite noté que les réunions régionales pré</w:t>
      </w:r>
      <w:r>
        <w:rPr>
          <w:lang w:val="fr-CH"/>
        </w:rPr>
        <w:noBreakHyphen/>
        <w:t>COP ne sont pas une obligation énoncée par une Résolution et ne figurent pas dans le Règlement intérieur. Il a, par ailleurs, souligné la difficulté de trouver un appui financier pour ces réunions, en particulier l’année même où l’on recherche un appui financier pour que les délégués puissent assister à la COP.</w:t>
      </w:r>
      <w:r w:rsidRPr="00AE421B">
        <w:rPr>
          <w:lang w:val="fr-CH"/>
        </w:rPr>
        <w:t xml:space="preserve"> </w:t>
      </w:r>
    </w:p>
    <w:p w14:paraId="5C777677" w14:textId="77777777" w:rsidR="001B6D9C" w:rsidRPr="00AE421B" w:rsidRDefault="001B6D9C" w:rsidP="001B6D9C">
      <w:pPr>
        <w:spacing w:after="0" w:line="240" w:lineRule="auto"/>
        <w:rPr>
          <w:lang w:val="fr-CH"/>
        </w:rPr>
      </w:pPr>
    </w:p>
    <w:p w14:paraId="6E08ACB0" w14:textId="77777777" w:rsidR="001B6D9C" w:rsidRPr="00AE421B" w:rsidRDefault="001B6D9C" w:rsidP="001B6D9C">
      <w:pPr>
        <w:spacing w:after="0" w:line="240" w:lineRule="auto"/>
        <w:rPr>
          <w:lang w:val="fr-CH"/>
        </w:rPr>
      </w:pPr>
      <w:r>
        <w:rPr>
          <w:lang w:val="fr-CH"/>
        </w:rPr>
        <w:t xml:space="preserve">Cependant, il a reconnu qu’il importe de donner l’occasion, aux Parties contractantes des mêmes régions, de préparer leur participation à la COP14 et d’échanger leurs points de vue sur les projets de résolutions. </w:t>
      </w:r>
      <w:r w:rsidRPr="003E41B0">
        <w:rPr>
          <w:lang w:val="fr-CH"/>
        </w:rPr>
        <w:t xml:space="preserve">Afin de maintenir ces </w:t>
      </w:r>
      <w:r>
        <w:rPr>
          <w:lang w:val="fr-CH"/>
        </w:rPr>
        <w:t xml:space="preserve">opportunités régionales pour préparer leurs participations, ces réunions pourraient avoir lieu juste avant le début de la COP. </w:t>
      </w:r>
    </w:p>
    <w:p w14:paraId="5DD5C6A2" w14:textId="77777777" w:rsidR="001B6D9C" w:rsidRPr="00AE421B" w:rsidRDefault="001B6D9C" w:rsidP="001B6D9C">
      <w:pPr>
        <w:spacing w:after="0" w:line="240" w:lineRule="auto"/>
        <w:rPr>
          <w:lang w:val="fr-CH"/>
        </w:rPr>
      </w:pPr>
    </w:p>
    <w:p w14:paraId="6D3227DD" w14:textId="77777777" w:rsidR="001B6D9C" w:rsidRPr="00AE421B" w:rsidRDefault="001B6D9C" w:rsidP="001B6D9C">
      <w:pPr>
        <w:spacing w:after="0" w:line="240" w:lineRule="auto"/>
        <w:rPr>
          <w:b/>
          <w:u w:val="single"/>
          <w:lang w:val="fr-CH"/>
        </w:rPr>
      </w:pPr>
      <w:r w:rsidRPr="00AE421B">
        <w:rPr>
          <w:b/>
          <w:u w:val="single"/>
          <w:lang w:val="fr-CH"/>
        </w:rPr>
        <w:t>Recommandation</w:t>
      </w:r>
      <w:r>
        <w:rPr>
          <w:b/>
          <w:u w:val="single"/>
          <w:lang w:val="fr-CH"/>
        </w:rPr>
        <w:t>s</w:t>
      </w:r>
      <w:r w:rsidRPr="00AE421B">
        <w:rPr>
          <w:b/>
          <w:u w:val="single"/>
          <w:lang w:val="fr-CH"/>
        </w:rPr>
        <w:t xml:space="preserve"> </w:t>
      </w:r>
      <w:r>
        <w:rPr>
          <w:b/>
          <w:u w:val="single"/>
          <w:lang w:val="fr-CH"/>
        </w:rPr>
        <w:t>au Comité permanent</w:t>
      </w:r>
      <w:r w:rsidRPr="00AE421B">
        <w:rPr>
          <w:b/>
          <w:u w:val="single"/>
          <w:lang w:val="fr-CH"/>
        </w:rPr>
        <w:t xml:space="preserve">: </w:t>
      </w:r>
    </w:p>
    <w:p w14:paraId="38304285" w14:textId="77777777" w:rsidR="001B6D9C" w:rsidRPr="00AE421B" w:rsidRDefault="001B6D9C" w:rsidP="001B6D9C">
      <w:pPr>
        <w:spacing w:after="0" w:line="240" w:lineRule="auto"/>
        <w:rPr>
          <w:lang w:val="fr-CH"/>
        </w:rPr>
      </w:pPr>
    </w:p>
    <w:p w14:paraId="2E74BE43" w14:textId="77777777" w:rsidR="001B6D9C" w:rsidRPr="00AE421B" w:rsidRDefault="001B6D9C" w:rsidP="001B6D9C">
      <w:pPr>
        <w:spacing w:after="0" w:line="240" w:lineRule="auto"/>
        <w:rPr>
          <w:lang w:val="fr-CH"/>
        </w:rPr>
      </w:pPr>
      <w:r>
        <w:rPr>
          <w:lang w:val="fr-CH"/>
        </w:rPr>
        <w:t>Ayant tous ces points à l’esprit, le Comité exécutif recommande que le Comité permanent :</w:t>
      </w:r>
    </w:p>
    <w:p w14:paraId="4FB3D0ED" w14:textId="77777777" w:rsidR="001B6D9C" w:rsidRPr="00AE421B" w:rsidRDefault="001B6D9C" w:rsidP="001B6D9C">
      <w:pPr>
        <w:spacing w:after="0" w:line="240" w:lineRule="auto"/>
        <w:rPr>
          <w:lang w:val="fr-CH"/>
        </w:rPr>
      </w:pPr>
    </w:p>
    <w:p w14:paraId="406303F7" w14:textId="77777777" w:rsidR="001B6D9C" w:rsidRPr="009874E8" w:rsidRDefault="001B6D9C" w:rsidP="001B6D9C">
      <w:pPr>
        <w:spacing w:after="0" w:line="240" w:lineRule="auto"/>
        <w:rPr>
          <w:lang w:val="fr-FR"/>
        </w:rPr>
      </w:pPr>
      <w:r w:rsidRPr="009874E8">
        <w:rPr>
          <w:lang w:val="fr-FR"/>
        </w:rPr>
        <w:t>- décide que deux jours de réunions régionales pré</w:t>
      </w:r>
      <w:r w:rsidRPr="009874E8">
        <w:rPr>
          <w:lang w:val="fr-FR"/>
        </w:rPr>
        <w:noBreakHyphen/>
        <w:t xml:space="preserve">COP auront lieu immédiatement avant la COP14, sur les mêmes lieux que la COP14 ; et </w:t>
      </w:r>
    </w:p>
    <w:p w14:paraId="319BFBD7" w14:textId="77777777" w:rsidR="001B6D9C" w:rsidRPr="009874E8" w:rsidRDefault="001B6D9C" w:rsidP="001B6D9C">
      <w:pPr>
        <w:spacing w:after="0" w:line="240" w:lineRule="auto"/>
        <w:rPr>
          <w:lang w:val="fr-FR"/>
        </w:rPr>
      </w:pPr>
    </w:p>
    <w:p w14:paraId="3F9AEC27" w14:textId="0F51FA3C" w:rsidR="001B6D9C" w:rsidRDefault="001B6D9C" w:rsidP="001B6D9C">
      <w:pPr>
        <w:spacing w:after="0" w:line="240" w:lineRule="auto"/>
        <w:rPr>
          <w:lang w:val="fr-FR"/>
        </w:rPr>
      </w:pPr>
      <w:r>
        <w:rPr>
          <w:lang w:val="fr-FR"/>
        </w:rPr>
        <w:t xml:space="preserve">- </w:t>
      </w:r>
      <w:r w:rsidRPr="009874E8">
        <w:rPr>
          <w:lang w:val="fr-FR"/>
        </w:rPr>
        <w:t>donne instruction au Secrétariat de discuter avec le pays hôte des dispositions nécessaires pour organiser deux jours de réunions pré</w:t>
      </w:r>
      <w:r w:rsidRPr="009874E8">
        <w:rPr>
          <w:lang w:val="fr-FR"/>
        </w:rPr>
        <w:noBreakHyphen/>
        <w:t>COP, juste avant la COP14.</w:t>
      </w:r>
    </w:p>
    <w:p w14:paraId="31DC0754" w14:textId="77777777" w:rsidR="001B6D9C" w:rsidRDefault="001B6D9C" w:rsidP="001B6D9C">
      <w:pPr>
        <w:spacing w:after="0" w:line="240" w:lineRule="auto"/>
        <w:rPr>
          <w:lang w:val="fr-FR"/>
        </w:rPr>
        <w:sectPr w:rsidR="001B6D9C" w:rsidSect="009A6DFA">
          <w:footerReference w:type="default" r:id="rId11"/>
          <w:pgSz w:w="11906" w:h="16838"/>
          <w:pgMar w:top="1440" w:right="1440" w:bottom="1440" w:left="1440" w:header="709" w:footer="709" w:gutter="0"/>
          <w:cols w:space="708"/>
          <w:docGrid w:linePitch="360"/>
        </w:sectPr>
      </w:pPr>
    </w:p>
    <w:p w14:paraId="112508BB" w14:textId="77777777" w:rsidR="004279F8" w:rsidRPr="004279F8" w:rsidRDefault="004279F8" w:rsidP="004279F8">
      <w:pPr>
        <w:spacing w:after="0" w:line="240" w:lineRule="auto"/>
        <w:ind w:left="567" w:hanging="567"/>
        <w:rPr>
          <w:rFonts w:asciiTheme="minorHAnsi" w:eastAsia="Times New Roman" w:hAnsiTheme="minorHAnsi" w:cstheme="minorHAnsi"/>
          <w:b/>
          <w:bCs/>
          <w:sz w:val="24"/>
          <w:szCs w:val="24"/>
          <w:lang w:val="fr-FR" w:eastAsia="ja-JP"/>
        </w:rPr>
      </w:pPr>
      <w:r w:rsidRPr="004279F8">
        <w:rPr>
          <w:rFonts w:asciiTheme="minorHAnsi" w:eastAsia="Times New Roman" w:hAnsiTheme="minorHAnsi" w:cstheme="minorHAnsi"/>
          <w:b/>
          <w:bCs/>
          <w:sz w:val="24"/>
          <w:szCs w:val="24"/>
          <w:lang w:val="fr-FR" w:eastAsia="ja-JP"/>
        </w:rPr>
        <w:lastRenderedPageBreak/>
        <w:t>Annexe 4</w:t>
      </w:r>
    </w:p>
    <w:p w14:paraId="4305633D" w14:textId="77777777" w:rsidR="004279F8" w:rsidRPr="004279F8" w:rsidRDefault="004279F8" w:rsidP="004279F8">
      <w:pPr>
        <w:spacing w:after="0" w:line="240" w:lineRule="auto"/>
        <w:ind w:left="567" w:hanging="567"/>
        <w:rPr>
          <w:rFonts w:asciiTheme="minorHAnsi" w:eastAsia="Times New Roman" w:hAnsiTheme="minorHAnsi" w:cstheme="minorHAnsi"/>
          <w:b/>
          <w:bCs/>
          <w:sz w:val="24"/>
          <w:szCs w:val="24"/>
          <w:lang w:val="fr-FR" w:eastAsia="ja-JP"/>
        </w:rPr>
      </w:pPr>
    </w:p>
    <w:p w14:paraId="3D2C38EF" w14:textId="41AE85B1" w:rsidR="004279F8" w:rsidRPr="004279F8" w:rsidRDefault="004279F8" w:rsidP="004279F8">
      <w:pPr>
        <w:spacing w:after="0" w:line="240" w:lineRule="auto"/>
        <w:ind w:left="567" w:hanging="567"/>
        <w:rPr>
          <w:rFonts w:asciiTheme="minorHAnsi" w:hAnsiTheme="minorHAnsi" w:cstheme="minorHAnsi"/>
          <w:b/>
          <w:bCs/>
          <w:sz w:val="24"/>
          <w:szCs w:val="24"/>
          <w:lang w:val="fr-FR"/>
        </w:rPr>
      </w:pPr>
      <w:r w:rsidRPr="004279F8">
        <w:rPr>
          <w:rFonts w:asciiTheme="minorHAnsi" w:hAnsiTheme="minorHAnsi" w:cstheme="minorHAnsi"/>
          <w:b/>
          <w:bCs/>
          <w:sz w:val="24"/>
          <w:szCs w:val="24"/>
          <w:lang w:val="fr-FR"/>
        </w:rPr>
        <w:t>Budget administratif approuvé pour 2020</w:t>
      </w:r>
    </w:p>
    <w:p w14:paraId="56F9952E" w14:textId="49065AAC" w:rsidR="001B6D9C" w:rsidRDefault="001B6D9C" w:rsidP="001B6D9C">
      <w:pPr>
        <w:spacing w:after="0" w:line="240" w:lineRule="auto"/>
        <w:rPr>
          <w:lang w:val="fr-FR"/>
        </w:rPr>
      </w:pPr>
    </w:p>
    <w:tbl>
      <w:tblPr>
        <w:tblW w:w="14431" w:type="dxa"/>
        <w:tblInd w:w="-289" w:type="dxa"/>
        <w:tblLayout w:type="fixed"/>
        <w:tblCellMar>
          <w:top w:w="11" w:type="dxa"/>
          <w:left w:w="57" w:type="dxa"/>
          <w:bottom w:w="11" w:type="dxa"/>
          <w:right w:w="57" w:type="dxa"/>
        </w:tblCellMar>
        <w:tblLook w:val="04A0" w:firstRow="1" w:lastRow="0" w:firstColumn="1" w:lastColumn="0" w:noHBand="0" w:noVBand="1"/>
      </w:tblPr>
      <w:tblGrid>
        <w:gridCol w:w="3970"/>
        <w:gridCol w:w="1304"/>
        <w:gridCol w:w="1304"/>
        <w:gridCol w:w="1304"/>
        <w:gridCol w:w="1304"/>
        <w:gridCol w:w="1276"/>
        <w:gridCol w:w="1346"/>
        <w:gridCol w:w="1347"/>
        <w:gridCol w:w="1276"/>
      </w:tblGrid>
      <w:tr w:rsidR="004279F8" w:rsidRPr="00F83B5C" w14:paraId="7E6ED102" w14:textId="77777777" w:rsidTr="00F50FDE">
        <w:trPr>
          <w:trHeight w:val="725"/>
          <w:tblHeader/>
        </w:trPr>
        <w:tc>
          <w:tcPr>
            <w:tcW w:w="3970" w:type="dxa"/>
            <w:tcBorders>
              <w:top w:val="single" w:sz="4" w:space="0" w:color="auto"/>
              <w:left w:val="single" w:sz="4" w:space="0" w:color="auto"/>
              <w:bottom w:val="nil"/>
              <w:right w:val="nil"/>
            </w:tcBorders>
            <w:shd w:val="clear" w:color="000000" w:fill="D6E3BC"/>
            <w:vAlign w:val="center"/>
            <w:hideMark/>
          </w:tcPr>
          <w:p w14:paraId="5C68A968" w14:textId="77777777" w:rsidR="004279F8" w:rsidRPr="00F4768A" w:rsidRDefault="004279F8" w:rsidP="00F50FDE">
            <w:pPr>
              <w:spacing w:after="0" w:line="240" w:lineRule="auto"/>
              <w:jc w:val="center"/>
              <w:rPr>
                <w:rFonts w:asciiTheme="minorHAnsi" w:hAnsiTheme="minorHAnsi" w:cstheme="minorHAnsi"/>
                <w:b/>
                <w:bCs/>
                <w:color w:val="000000"/>
                <w:lang w:val="fr-FR"/>
              </w:rPr>
            </w:pPr>
          </w:p>
          <w:p w14:paraId="3637E40E" w14:textId="77777777" w:rsidR="004279F8" w:rsidRPr="009F03BD" w:rsidRDefault="004279F8" w:rsidP="00F50FDE">
            <w:pPr>
              <w:spacing w:after="0" w:line="240" w:lineRule="auto"/>
              <w:jc w:val="center"/>
              <w:rPr>
                <w:rFonts w:asciiTheme="minorHAnsi" w:hAnsiTheme="minorHAnsi" w:cstheme="minorHAnsi"/>
                <w:b/>
                <w:bCs/>
                <w:color w:val="000000"/>
                <w:lang w:val="fr-FR"/>
              </w:rPr>
            </w:pPr>
            <w:r w:rsidRPr="007A177C">
              <w:rPr>
                <w:rFonts w:asciiTheme="minorHAnsi" w:hAnsiTheme="minorHAnsi" w:cstheme="minorHAnsi"/>
                <w:b/>
                <w:bCs/>
                <w:color w:val="000000"/>
                <w:lang w:val="fr-FR"/>
              </w:rPr>
              <w:t xml:space="preserve">Budget Ramsar 2020 approuvé </w:t>
            </w:r>
            <w:r>
              <w:rPr>
                <w:rFonts w:asciiTheme="minorHAnsi" w:hAnsiTheme="minorHAnsi" w:cstheme="minorHAnsi"/>
                <w:b/>
                <w:bCs/>
                <w:color w:val="000000"/>
                <w:lang w:val="fr-FR"/>
              </w:rPr>
              <w:t>par</w:t>
            </w:r>
            <w:r w:rsidRPr="007A177C">
              <w:rPr>
                <w:rFonts w:asciiTheme="minorHAnsi" w:hAnsiTheme="minorHAnsi" w:cstheme="minorHAnsi"/>
                <w:b/>
                <w:bCs/>
                <w:color w:val="000000"/>
                <w:lang w:val="fr-FR"/>
              </w:rPr>
              <w:t xml:space="preserve"> la </w:t>
            </w:r>
            <w:r w:rsidRPr="0068557B">
              <w:rPr>
                <w:rFonts w:asciiTheme="minorHAnsi" w:hAnsiTheme="minorHAnsi" w:cstheme="minorHAnsi"/>
                <w:b/>
                <w:bCs/>
                <w:color w:val="000000"/>
                <w:lang w:val="fr-FR"/>
              </w:rPr>
              <w:t>COP13</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1934CECC" w14:textId="77777777" w:rsidR="004279F8" w:rsidRDefault="004279F8" w:rsidP="00F50FDE">
            <w:pPr>
              <w:spacing w:after="0" w:line="240" w:lineRule="auto"/>
              <w:jc w:val="center"/>
              <w:rPr>
                <w:rFonts w:asciiTheme="minorHAnsi" w:hAnsiTheme="minorHAnsi" w:cstheme="minorHAnsi"/>
                <w:b/>
                <w:bCs/>
                <w:color w:val="000000"/>
                <w:spacing w:val="-4"/>
                <w:lang w:val="fr-FR"/>
              </w:rPr>
            </w:pPr>
            <w:r w:rsidRPr="00564F07">
              <w:rPr>
                <w:rFonts w:asciiTheme="minorHAnsi" w:hAnsiTheme="minorHAnsi" w:cstheme="minorHAnsi"/>
                <w:b/>
                <w:bCs/>
                <w:color w:val="000000"/>
                <w:spacing w:val="-4"/>
                <w:lang w:val="fr-FR"/>
              </w:rPr>
              <w:t>Budget approuvé (approuvé par la COP13)</w:t>
            </w:r>
          </w:p>
          <w:p w14:paraId="19EE1631"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5DD62479"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7B422B84" w14:textId="77777777" w:rsidR="004279F8" w:rsidRDefault="004279F8" w:rsidP="00F50FDE">
            <w:pPr>
              <w:spacing w:after="0" w:line="240" w:lineRule="auto"/>
              <w:rPr>
                <w:rFonts w:asciiTheme="minorHAnsi" w:hAnsiTheme="minorHAnsi" w:cstheme="minorHAnsi"/>
                <w:b/>
                <w:bCs/>
                <w:color w:val="000000"/>
                <w:spacing w:val="-4"/>
                <w:lang w:val="fr-FR"/>
              </w:rPr>
            </w:pPr>
          </w:p>
          <w:p w14:paraId="348C66EF"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09559B98"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343ED59C" w14:textId="77777777" w:rsidR="004279F8" w:rsidRPr="00564F07" w:rsidRDefault="004279F8" w:rsidP="00F50FD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color w:val="000000"/>
                <w:spacing w:val="-4"/>
                <w:lang w:val="fr-FR"/>
              </w:rPr>
              <w:t>A</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69958EC5" w14:textId="77777777" w:rsidR="004279F8" w:rsidRDefault="004279F8" w:rsidP="00F50FDE">
            <w:pPr>
              <w:spacing w:after="0" w:line="240" w:lineRule="auto"/>
              <w:jc w:val="center"/>
              <w:rPr>
                <w:rFonts w:asciiTheme="minorHAnsi" w:hAnsiTheme="minorHAnsi" w:cstheme="minorHAnsi"/>
                <w:b/>
                <w:bCs/>
                <w:color w:val="000000"/>
                <w:spacing w:val="-4"/>
                <w:lang w:val="fr-FR"/>
              </w:rPr>
            </w:pPr>
            <w:r w:rsidRPr="00564F07">
              <w:rPr>
                <w:rFonts w:asciiTheme="minorHAnsi" w:hAnsiTheme="minorHAnsi" w:cstheme="minorHAnsi"/>
                <w:b/>
                <w:bCs/>
                <w:color w:val="000000"/>
                <w:spacing w:val="-4"/>
                <w:lang w:val="fr-FR"/>
              </w:rPr>
              <w:t>Utilisation autorisée de l’excédent COP13 XIII.2 (pour 2020)</w:t>
            </w:r>
          </w:p>
          <w:p w14:paraId="29931840"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0B160C52" w14:textId="77777777" w:rsidR="004279F8" w:rsidRDefault="004279F8" w:rsidP="00F50FDE">
            <w:pPr>
              <w:spacing w:after="0" w:line="240" w:lineRule="auto"/>
              <w:rPr>
                <w:rFonts w:asciiTheme="minorHAnsi" w:hAnsiTheme="minorHAnsi" w:cstheme="minorHAnsi"/>
                <w:b/>
                <w:bCs/>
                <w:color w:val="000000"/>
                <w:spacing w:val="-4"/>
                <w:lang w:val="fr-FR"/>
              </w:rPr>
            </w:pPr>
          </w:p>
          <w:p w14:paraId="67E35AB0" w14:textId="77777777" w:rsidR="004279F8" w:rsidRDefault="004279F8" w:rsidP="00F50FDE">
            <w:pPr>
              <w:spacing w:after="0" w:line="240" w:lineRule="auto"/>
              <w:rPr>
                <w:rFonts w:asciiTheme="minorHAnsi" w:hAnsiTheme="minorHAnsi" w:cstheme="minorHAnsi"/>
                <w:b/>
                <w:bCs/>
                <w:color w:val="000000"/>
                <w:spacing w:val="-4"/>
                <w:lang w:val="fr-FR"/>
              </w:rPr>
            </w:pPr>
          </w:p>
          <w:p w14:paraId="181AF4EC" w14:textId="77777777" w:rsidR="004279F8" w:rsidRDefault="004279F8" w:rsidP="00F50FDE">
            <w:pPr>
              <w:spacing w:after="0" w:line="240" w:lineRule="auto"/>
              <w:jc w:val="center"/>
              <w:rPr>
                <w:rFonts w:asciiTheme="minorHAnsi" w:hAnsiTheme="minorHAnsi" w:cstheme="minorHAnsi"/>
                <w:b/>
                <w:bCs/>
                <w:color w:val="000000"/>
                <w:spacing w:val="-4"/>
                <w:lang w:val="fr-FR"/>
              </w:rPr>
            </w:pPr>
          </w:p>
          <w:p w14:paraId="5D32B330" w14:textId="77777777" w:rsidR="004279F8" w:rsidRPr="00564F07" w:rsidRDefault="004279F8" w:rsidP="00F50FD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color w:val="000000"/>
                <w:spacing w:val="-4"/>
                <w:lang w:val="fr-FR"/>
              </w:rPr>
              <w:t>B</w:t>
            </w:r>
          </w:p>
        </w:tc>
        <w:tc>
          <w:tcPr>
            <w:tcW w:w="1304" w:type="dxa"/>
            <w:vMerge w:val="restart"/>
            <w:tcBorders>
              <w:top w:val="single" w:sz="4" w:space="0" w:color="auto"/>
              <w:left w:val="single" w:sz="4" w:space="0" w:color="auto"/>
              <w:right w:val="single" w:sz="4" w:space="0" w:color="auto"/>
            </w:tcBorders>
            <w:shd w:val="clear" w:color="000000" w:fill="D6E3BC"/>
            <w:vAlign w:val="center"/>
          </w:tcPr>
          <w:p w14:paraId="7D110DC7" w14:textId="77777777" w:rsidR="004279F8" w:rsidRDefault="004279F8" w:rsidP="00F50FDE">
            <w:pPr>
              <w:spacing w:after="0" w:line="240" w:lineRule="auto"/>
              <w:jc w:val="center"/>
              <w:rPr>
                <w:rFonts w:asciiTheme="minorHAnsi" w:hAnsiTheme="minorHAnsi" w:cstheme="minorHAnsi"/>
                <w:b/>
                <w:bCs/>
                <w:spacing w:val="-4"/>
                <w:lang w:val="fr-FR"/>
              </w:rPr>
            </w:pPr>
            <w:r w:rsidRPr="00564F07">
              <w:rPr>
                <w:rFonts w:asciiTheme="minorHAnsi" w:hAnsiTheme="minorHAnsi" w:cstheme="minorHAnsi"/>
                <w:b/>
                <w:bCs/>
                <w:spacing w:val="-4"/>
                <w:lang w:val="fr-FR"/>
              </w:rPr>
              <w:t>Fonds préengagés de 2019 à dépenser en 2020</w:t>
            </w:r>
          </w:p>
          <w:p w14:paraId="124A873A" w14:textId="77777777" w:rsidR="004279F8" w:rsidRDefault="004279F8" w:rsidP="00F50FDE">
            <w:pPr>
              <w:spacing w:after="0" w:line="240" w:lineRule="auto"/>
              <w:jc w:val="center"/>
              <w:rPr>
                <w:rFonts w:asciiTheme="minorHAnsi" w:hAnsiTheme="minorHAnsi" w:cstheme="minorHAnsi"/>
                <w:b/>
                <w:bCs/>
                <w:spacing w:val="-4"/>
                <w:lang w:val="fr-FR"/>
              </w:rPr>
            </w:pPr>
          </w:p>
          <w:p w14:paraId="50328054" w14:textId="77777777" w:rsidR="004279F8" w:rsidRDefault="004279F8" w:rsidP="00F50FDE">
            <w:pPr>
              <w:spacing w:after="0" w:line="240" w:lineRule="auto"/>
              <w:rPr>
                <w:rFonts w:asciiTheme="minorHAnsi" w:hAnsiTheme="minorHAnsi" w:cstheme="minorHAnsi"/>
                <w:b/>
                <w:bCs/>
                <w:spacing w:val="-4"/>
                <w:lang w:val="fr-FR"/>
              </w:rPr>
            </w:pPr>
          </w:p>
          <w:p w14:paraId="3C720290" w14:textId="77777777" w:rsidR="004279F8" w:rsidRDefault="004279F8" w:rsidP="00F50FDE">
            <w:pPr>
              <w:spacing w:after="0" w:line="240" w:lineRule="auto"/>
              <w:jc w:val="center"/>
              <w:rPr>
                <w:rFonts w:asciiTheme="minorHAnsi" w:hAnsiTheme="minorHAnsi" w:cstheme="minorHAnsi"/>
                <w:b/>
                <w:bCs/>
                <w:spacing w:val="-4"/>
                <w:lang w:val="fr-FR"/>
              </w:rPr>
            </w:pPr>
          </w:p>
          <w:p w14:paraId="7CD9254D" w14:textId="77777777" w:rsidR="004279F8" w:rsidRDefault="004279F8" w:rsidP="00F50FDE">
            <w:pPr>
              <w:spacing w:after="0" w:line="240" w:lineRule="auto"/>
              <w:jc w:val="center"/>
              <w:rPr>
                <w:rFonts w:asciiTheme="minorHAnsi" w:hAnsiTheme="minorHAnsi" w:cstheme="minorHAnsi"/>
                <w:b/>
                <w:bCs/>
                <w:spacing w:val="-4"/>
                <w:lang w:val="fr-FR"/>
              </w:rPr>
            </w:pPr>
          </w:p>
          <w:p w14:paraId="3178F6C1" w14:textId="77777777" w:rsidR="004279F8" w:rsidRPr="00564F07" w:rsidRDefault="004279F8" w:rsidP="00F50FDE">
            <w:pPr>
              <w:spacing w:after="0" w:line="240" w:lineRule="auto"/>
              <w:jc w:val="center"/>
              <w:rPr>
                <w:rFonts w:asciiTheme="minorHAnsi" w:hAnsiTheme="minorHAnsi" w:cstheme="minorHAnsi"/>
                <w:b/>
                <w:bCs/>
                <w:color w:val="000000"/>
                <w:spacing w:val="-4"/>
                <w:lang w:val="fr-FR"/>
              </w:rPr>
            </w:pPr>
            <w:r>
              <w:rPr>
                <w:rFonts w:asciiTheme="minorHAnsi" w:hAnsiTheme="minorHAnsi" w:cstheme="minorHAnsi"/>
                <w:b/>
                <w:bCs/>
                <w:spacing w:val="-4"/>
                <w:lang w:val="fr-FR"/>
              </w:rPr>
              <w:t>C</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089F26A7" w14:textId="77777777" w:rsidR="004279F8" w:rsidRPr="00F83B5C" w:rsidRDefault="004279F8" w:rsidP="00F50FD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spacing w:val="-4"/>
                <w:lang w:val="fr-FR"/>
              </w:rPr>
              <w:t>Fonds non engagés en 2019 reportés à 2020</w:t>
            </w:r>
            <w:r w:rsidRPr="00F83B5C">
              <w:rPr>
                <w:rFonts w:asciiTheme="minorHAnsi" w:hAnsiTheme="minorHAnsi" w:cstheme="minorHAnsi"/>
                <w:b/>
                <w:bCs/>
                <w:color w:val="000000"/>
                <w:lang w:val="fr-FR"/>
              </w:rPr>
              <w:t>*</w:t>
            </w:r>
            <w:r w:rsidRPr="00F83B5C">
              <w:rPr>
                <w:rFonts w:asciiTheme="minorHAnsi" w:hAnsiTheme="minorHAnsi" w:cstheme="minorHAnsi"/>
                <w:b/>
                <w:bCs/>
                <w:color w:val="000000"/>
                <w:lang w:val="fr-FR"/>
              </w:rPr>
              <w:br/>
            </w:r>
          </w:p>
          <w:p w14:paraId="5C9A94A8" w14:textId="77777777" w:rsidR="004279F8" w:rsidRPr="00F83B5C" w:rsidRDefault="004279F8" w:rsidP="00F50FDE">
            <w:pPr>
              <w:spacing w:after="0" w:line="240" w:lineRule="auto"/>
              <w:jc w:val="center"/>
              <w:rPr>
                <w:rFonts w:asciiTheme="minorHAnsi" w:hAnsiTheme="minorHAnsi" w:cstheme="minorHAnsi"/>
                <w:b/>
                <w:bCs/>
                <w:color w:val="000000"/>
                <w:lang w:val="fr-FR"/>
              </w:rPr>
            </w:pPr>
          </w:p>
          <w:p w14:paraId="3145CF84" w14:textId="77777777" w:rsidR="004279F8" w:rsidRPr="00F83B5C" w:rsidRDefault="004279F8" w:rsidP="00F50FDE">
            <w:pPr>
              <w:spacing w:after="0" w:line="240" w:lineRule="auto"/>
              <w:rPr>
                <w:rFonts w:asciiTheme="minorHAnsi" w:hAnsiTheme="minorHAnsi" w:cstheme="minorHAnsi"/>
                <w:b/>
                <w:bCs/>
                <w:color w:val="000000"/>
                <w:lang w:val="fr-FR"/>
              </w:rPr>
            </w:pPr>
          </w:p>
          <w:p w14:paraId="5E36D6AA" w14:textId="77777777" w:rsidR="004279F8" w:rsidRPr="000B6C96" w:rsidRDefault="004279F8" w:rsidP="00F50FDE">
            <w:pPr>
              <w:spacing w:after="0" w:line="240" w:lineRule="auto"/>
              <w:jc w:val="center"/>
              <w:rPr>
                <w:rFonts w:asciiTheme="minorHAnsi" w:hAnsiTheme="minorHAnsi" w:cstheme="minorHAnsi"/>
                <w:b/>
                <w:bCs/>
                <w:color w:val="000000"/>
                <w:lang w:val="fr-FR"/>
              </w:rPr>
            </w:pPr>
          </w:p>
          <w:p w14:paraId="78D61E2F" w14:textId="77777777" w:rsidR="004279F8" w:rsidRPr="00F83B5C" w:rsidRDefault="004279F8" w:rsidP="00F50FD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4950D687" w14:textId="77777777" w:rsidR="004279F8" w:rsidRPr="000B6C96" w:rsidRDefault="004279F8" w:rsidP="00F50FDE">
            <w:pPr>
              <w:spacing w:after="0" w:line="240" w:lineRule="auto"/>
              <w:jc w:val="center"/>
              <w:rPr>
                <w:rFonts w:asciiTheme="minorHAnsi" w:hAnsiTheme="minorHAnsi" w:cstheme="minorHAnsi"/>
                <w:b/>
                <w:bCs/>
                <w:color w:val="000000"/>
                <w:lang w:val="fr-FR"/>
              </w:rPr>
            </w:pPr>
            <w:r w:rsidRPr="000B6C96">
              <w:rPr>
                <w:rFonts w:asciiTheme="minorHAnsi" w:hAnsiTheme="minorHAnsi" w:cstheme="minorHAnsi"/>
                <w:b/>
                <w:bCs/>
                <w:color w:val="000000"/>
                <w:lang w:val="fr-FR"/>
              </w:rPr>
              <w:t xml:space="preserve">Budget total 2020 avant ajustements </w:t>
            </w:r>
            <w:r w:rsidRPr="000B6C96">
              <w:rPr>
                <w:rFonts w:asciiTheme="minorHAnsi" w:hAnsiTheme="minorHAnsi" w:cstheme="minorHAnsi"/>
                <w:b/>
                <w:bCs/>
                <w:color w:val="000000"/>
                <w:lang w:val="fr-FR"/>
              </w:rPr>
              <w:br/>
            </w:r>
          </w:p>
          <w:p w14:paraId="3D42D0C9" w14:textId="77777777" w:rsidR="004279F8" w:rsidRPr="000B6C96" w:rsidRDefault="004279F8" w:rsidP="00F50FDE">
            <w:pPr>
              <w:spacing w:after="0" w:line="240" w:lineRule="auto"/>
              <w:rPr>
                <w:rFonts w:asciiTheme="minorHAnsi" w:hAnsiTheme="minorHAnsi" w:cstheme="minorHAnsi"/>
                <w:b/>
                <w:bCs/>
                <w:color w:val="000000"/>
                <w:lang w:val="fr-FR"/>
              </w:rPr>
            </w:pPr>
          </w:p>
          <w:p w14:paraId="47507D65" w14:textId="77777777" w:rsidR="004279F8" w:rsidRDefault="004279F8" w:rsidP="00F50FDE">
            <w:pPr>
              <w:spacing w:after="0" w:line="240" w:lineRule="auto"/>
              <w:jc w:val="center"/>
              <w:rPr>
                <w:rFonts w:asciiTheme="minorHAnsi" w:hAnsiTheme="minorHAnsi" w:cstheme="minorHAnsi"/>
                <w:b/>
                <w:bCs/>
                <w:color w:val="000000"/>
                <w:lang w:val="fr-FR"/>
              </w:rPr>
            </w:pPr>
          </w:p>
          <w:p w14:paraId="75E76561" w14:textId="77777777" w:rsidR="004279F8" w:rsidRPr="000B6C96" w:rsidRDefault="004279F8" w:rsidP="00F50FDE">
            <w:pPr>
              <w:spacing w:after="0" w:line="240" w:lineRule="auto"/>
              <w:rPr>
                <w:rFonts w:asciiTheme="minorHAnsi" w:hAnsiTheme="minorHAnsi" w:cstheme="minorHAnsi"/>
                <w:b/>
                <w:bCs/>
                <w:color w:val="000000"/>
                <w:lang w:val="fr-FR"/>
              </w:rPr>
            </w:pPr>
          </w:p>
          <w:p w14:paraId="49292456" w14:textId="77777777" w:rsidR="004279F8" w:rsidRPr="000B6C96" w:rsidRDefault="004279F8" w:rsidP="00F50FDE">
            <w:pPr>
              <w:spacing w:after="0" w:line="240" w:lineRule="auto"/>
              <w:jc w:val="center"/>
              <w:rPr>
                <w:rFonts w:asciiTheme="minorHAnsi" w:hAnsiTheme="minorHAnsi" w:cstheme="minorHAnsi"/>
                <w:b/>
                <w:bCs/>
                <w:color w:val="000000"/>
                <w:lang w:val="fr-FR"/>
              </w:rPr>
            </w:pPr>
          </w:p>
          <w:p w14:paraId="4A63D8E0" w14:textId="77777777" w:rsidR="004279F8" w:rsidRPr="000B6C96" w:rsidRDefault="004279F8" w:rsidP="00F50FDE">
            <w:pPr>
              <w:spacing w:after="0" w:line="240" w:lineRule="auto"/>
              <w:jc w:val="center"/>
              <w:rPr>
                <w:rFonts w:asciiTheme="minorHAnsi" w:hAnsiTheme="minorHAnsi" w:cstheme="minorHAnsi"/>
                <w:b/>
                <w:bCs/>
                <w:color w:val="000000"/>
                <w:lang w:val="fr-FR"/>
              </w:rPr>
            </w:pPr>
          </w:p>
          <w:p w14:paraId="7383D6D9" w14:textId="77777777" w:rsidR="004279F8" w:rsidRPr="000B6C96" w:rsidRDefault="004279F8" w:rsidP="00F50FDE">
            <w:pPr>
              <w:spacing w:after="0" w:line="240" w:lineRule="auto"/>
              <w:jc w:val="center"/>
              <w:rPr>
                <w:rFonts w:asciiTheme="minorHAnsi" w:hAnsiTheme="minorHAnsi" w:cstheme="minorHAnsi"/>
                <w:b/>
                <w:bCs/>
                <w:color w:val="000000"/>
                <w:lang w:val="fr-FR"/>
              </w:rPr>
            </w:pPr>
            <w:r w:rsidRPr="000B6C96">
              <w:rPr>
                <w:rFonts w:asciiTheme="minorHAnsi" w:hAnsiTheme="minorHAnsi" w:cstheme="minorHAnsi"/>
                <w:b/>
                <w:bCs/>
                <w:color w:val="000000"/>
                <w:lang w:val="fr-FR"/>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23D63BFE" w14:textId="77777777" w:rsidR="004279F8" w:rsidRPr="00F83B5C" w:rsidRDefault="004279F8" w:rsidP="00F50FD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Ajustements du budget originel**</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6CC84E2C" w14:textId="77777777" w:rsidR="004279F8" w:rsidRPr="0068557B" w:rsidRDefault="004279F8" w:rsidP="00F50FDE">
            <w:pPr>
              <w:spacing w:after="0" w:line="240" w:lineRule="auto"/>
              <w:jc w:val="center"/>
              <w:rPr>
                <w:rFonts w:asciiTheme="minorHAnsi" w:hAnsiTheme="minorHAnsi" w:cstheme="minorHAnsi"/>
                <w:b/>
                <w:bCs/>
                <w:color w:val="000000"/>
                <w:lang w:val="fr-FR"/>
              </w:rPr>
            </w:pPr>
            <w:r w:rsidRPr="0068557B">
              <w:rPr>
                <w:rFonts w:asciiTheme="minorHAnsi" w:hAnsiTheme="minorHAnsi" w:cstheme="minorHAnsi"/>
                <w:b/>
                <w:bCs/>
                <w:color w:val="000000"/>
                <w:lang w:val="fr-FR"/>
              </w:rPr>
              <w:t>Budget Ramsar 20</w:t>
            </w:r>
            <w:r>
              <w:rPr>
                <w:rFonts w:asciiTheme="minorHAnsi" w:hAnsiTheme="minorHAnsi" w:cstheme="minorHAnsi"/>
                <w:b/>
                <w:bCs/>
                <w:color w:val="000000"/>
                <w:lang w:val="fr-FR"/>
              </w:rPr>
              <w:t>20</w:t>
            </w:r>
          </w:p>
          <w:p w14:paraId="5B6BD216" w14:textId="77777777" w:rsidR="004279F8" w:rsidRDefault="004279F8" w:rsidP="00F50FDE">
            <w:pPr>
              <w:spacing w:after="0" w:line="240" w:lineRule="auto"/>
              <w:jc w:val="center"/>
              <w:rPr>
                <w:rFonts w:asciiTheme="minorHAnsi" w:hAnsiTheme="minorHAnsi" w:cstheme="minorHAnsi"/>
                <w:b/>
                <w:bCs/>
                <w:color w:val="000000"/>
                <w:lang w:val="fr-FR"/>
              </w:rPr>
            </w:pPr>
            <w:r>
              <w:rPr>
                <w:rFonts w:asciiTheme="minorHAnsi" w:hAnsiTheme="minorHAnsi" w:cstheme="minorHAnsi"/>
                <w:b/>
                <w:bCs/>
                <w:color w:val="000000"/>
                <w:lang w:val="fr-FR"/>
              </w:rPr>
              <w:t>a</w:t>
            </w:r>
            <w:r w:rsidRPr="0068557B">
              <w:rPr>
                <w:rFonts w:asciiTheme="minorHAnsi" w:hAnsiTheme="minorHAnsi" w:cstheme="minorHAnsi"/>
                <w:b/>
                <w:bCs/>
                <w:color w:val="000000"/>
                <w:lang w:val="fr-FR"/>
              </w:rPr>
              <w:t xml:space="preserve">pprouvé à la </w:t>
            </w:r>
            <w:r>
              <w:rPr>
                <w:rFonts w:asciiTheme="minorHAnsi" w:hAnsiTheme="minorHAnsi" w:cstheme="minorHAnsi"/>
                <w:b/>
                <w:bCs/>
                <w:color w:val="000000"/>
                <w:lang w:val="fr-FR"/>
              </w:rPr>
              <w:t>SC58</w:t>
            </w:r>
          </w:p>
          <w:p w14:paraId="5267899B" w14:textId="77777777" w:rsidR="004279F8" w:rsidRDefault="004279F8" w:rsidP="00F50FDE">
            <w:pPr>
              <w:spacing w:after="0" w:line="240" w:lineRule="auto"/>
              <w:jc w:val="center"/>
              <w:rPr>
                <w:rFonts w:asciiTheme="minorHAnsi" w:hAnsiTheme="minorHAnsi" w:cstheme="minorHAnsi"/>
                <w:b/>
                <w:bCs/>
                <w:color w:val="000000"/>
                <w:highlight w:val="yellow"/>
                <w:lang w:val="fr-FR"/>
              </w:rPr>
            </w:pPr>
          </w:p>
          <w:p w14:paraId="6916E38F" w14:textId="77777777" w:rsidR="004279F8" w:rsidRDefault="004279F8" w:rsidP="00F50FDE">
            <w:pPr>
              <w:spacing w:after="0" w:line="240" w:lineRule="auto"/>
              <w:jc w:val="center"/>
              <w:rPr>
                <w:rFonts w:asciiTheme="minorHAnsi" w:hAnsiTheme="minorHAnsi" w:cstheme="minorHAnsi"/>
                <w:b/>
                <w:bCs/>
                <w:color w:val="000000"/>
                <w:highlight w:val="yellow"/>
                <w:lang w:val="fr-FR"/>
              </w:rPr>
            </w:pPr>
          </w:p>
          <w:p w14:paraId="2E24E680" w14:textId="77777777" w:rsidR="004279F8" w:rsidRDefault="004279F8" w:rsidP="00F50FDE">
            <w:pPr>
              <w:spacing w:after="0" w:line="240" w:lineRule="auto"/>
              <w:jc w:val="center"/>
              <w:rPr>
                <w:rFonts w:asciiTheme="minorHAnsi" w:hAnsiTheme="minorHAnsi" w:cstheme="minorHAnsi"/>
                <w:b/>
                <w:bCs/>
                <w:color w:val="000000"/>
                <w:highlight w:val="yellow"/>
                <w:lang w:val="fr-FR"/>
              </w:rPr>
            </w:pPr>
          </w:p>
          <w:p w14:paraId="58AB9883" w14:textId="77777777" w:rsidR="004279F8" w:rsidRPr="0068557B" w:rsidRDefault="004279F8" w:rsidP="00F50FDE">
            <w:pPr>
              <w:spacing w:after="0" w:line="240" w:lineRule="auto"/>
              <w:jc w:val="center"/>
              <w:rPr>
                <w:rFonts w:asciiTheme="minorHAnsi" w:hAnsiTheme="minorHAnsi" w:cstheme="minorHAnsi"/>
                <w:b/>
                <w:bCs/>
                <w:color w:val="000000"/>
                <w:highlight w:val="yellow"/>
                <w:lang w:val="fr-FR"/>
              </w:rPr>
            </w:pPr>
          </w:p>
          <w:p w14:paraId="4A06B587" w14:textId="77777777" w:rsidR="004279F8" w:rsidRPr="00F83B5C" w:rsidRDefault="004279F8" w:rsidP="00F50FDE">
            <w:pPr>
              <w:spacing w:after="0" w:line="240" w:lineRule="auto"/>
              <w:jc w:val="center"/>
              <w:rPr>
                <w:rFonts w:asciiTheme="minorHAnsi" w:hAnsiTheme="minorHAnsi" w:cstheme="minorHAnsi"/>
                <w:b/>
                <w:bCs/>
                <w:color w:val="000000"/>
                <w:highlight w:val="yellow"/>
                <w:lang w:val="fr-FR"/>
              </w:rPr>
            </w:pPr>
            <w:r w:rsidRPr="00F83B5C">
              <w:rPr>
                <w:rFonts w:asciiTheme="minorHAnsi" w:hAnsiTheme="minorHAnsi" w:cstheme="minorHAnsi"/>
                <w:b/>
                <w:bCs/>
                <w:color w:val="000000"/>
                <w:lang w:val="fr-FR"/>
              </w:rPr>
              <w:t>H=E-F-G</w:t>
            </w:r>
          </w:p>
        </w:tc>
      </w:tr>
      <w:tr w:rsidR="004279F8" w:rsidRPr="009F03BD" w14:paraId="77B9FE05" w14:textId="77777777" w:rsidTr="00F50FDE">
        <w:trPr>
          <w:trHeight w:val="1305"/>
          <w:tblHeader/>
        </w:trPr>
        <w:tc>
          <w:tcPr>
            <w:tcW w:w="3970" w:type="dxa"/>
            <w:tcBorders>
              <w:top w:val="nil"/>
              <w:left w:val="single" w:sz="4" w:space="0" w:color="auto"/>
              <w:bottom w:val="single" w:sz="4" w:space="0" w:color="auto"/>
              <w:right w:val="nil"/>
            </w:tcBorders>
            <w:shd w:val="clear" w:color="000000" w:fill="D6E3BC"/>
            <w:vAlign w:val="center"/>
            <w:hideMark/>
          </w:tcPr>
          <w:p w14:paraId="7C55392D" w14:textId="77777777" w:rsidR="004279F8" w:rsidRPr="0068557B" w:rsidRDefault="004279F8" w:rsidP="00F50FDE">
            <w:pPr>
              <w:spacing w:after="0" w:line="240" w:lineRule="auto"/>
              <w:jc w:val="center"/>
              <w:rPr>
                <w:rFonts w:asciiTheme="minorHAnsi" w:hAnsiTheme="minorHAnsi" w:cstheme="minorHAnsi"/>
                <w:color w:val="000000"/>
                <w:lang w:val="fr-FR"/>
              </w:rPr>
            </w:pPr>
            <w:r w:rsidRPr="0068557B">
              <w:rPr>
                <w:rFonts w:asciiTheme="minorHAnsi" w:hAnsiTheme="minorHAnsi" w:cstheme="minorHAnsi"/>
                <w:color w:val="000000"/>
                <w:lang w:val="fr-FR"/>
              </w:rPr>
              <w:t>en milliers de francs suisses (CHF)</w:t>
            </w:r>
          </w:p>
        </w:tc>
        <w:tc>
          <w:tcPr>
            <w:tcW w:w="1304" w:type="dxa"/>
            <w:vMerge/>
            <w:tcBorders>
              <w:left w:val="single" w:sz="4" w:space="0" w:color="auto"/>
              <w:bottom w:val="single" w:sz="4" w:space="0" w:color="000000"/>
              <w:right w:val="single" w:sz="4" w:space="0" w:color="auto"/>
            </w:tcBorders>
          </w:tcPr>
          <w:p w14:paraId="6C7F7280" w14:textId="77777777" w:rsidR="004279F8" w:rsidRPr="00F83B5C" w:rsidRDefault="004279F8" w:rsidP="00F50FDE">
            <w:pPr>
              <w:spacing w:after="0" w:line="240" w:lineRule="auto"/>
              <w:jc w:val="center"/>
              <w:rPr>
                <w:rFonts w:asciiTheme="minorHAnsi" w:hAnsiTheme="minorHAnsi" w:cstheme="minorHAnsi"/>
                <w:b/>
                <w:bCs/>
                <w:color w:val="000000"/>
                <w:lang w:val="fr-FR"/>
              </w:rPr>
            </w:pPr>
          </w:p>
        </w:tc>
        <w:tc>
          <w:tcPr>
            <w:tcW w:w="1304" w:type="dxa"/>
            <w:vMerge/>
            <w:tcBorders>
              <w:left w:val="single" w:sz="4" w:space="0" w:color="auto"/>
              <w:bottom w:val="single" w:sz="4" w:space="0" w:color="000000"/>
              <w:right w:val="single" w:sz="4" w:space="0" w:color="auto"/>
            </w:tcBorders>
          </w:tcPr>
          <w:p w14:paraId="70587BC7" w14:textId="77777777" w:rsidR="004279F8" w:rsidRPr="00F83B5C" w:rsidRDefault="004279F8" w:rsidP="00F50FDE">
            <w:pPr>
              <w:spacing w:after="0" w:line="240" w:lineRule="auto"/>
              <w:jc w:val="center"/>
              <w:rPr>
                <w:rFonts w:asciiTheme="minorHAnsi" w:hAnsiTheme="minorHAnsi" w:cstheme="minorHAnsi"/>
                <w:b/>
                <w:bCs/>
                <w:color w:val="000000"/>
                <w:lang w:val="fr-FR"/>
              </w:rPr>
            </w:pPr>
          </w:p>
        </w:tc>
        <w:tc>
          <w:tcPr>
            <w:tcW w:w="1304" w:type="dxa"/>
            <w:vMerge/>
            <w:tcBorders>
              <w:left w:val="single" w:sz="4" w:space="0" w:color="auto"/>
              <w:bottom w:val="single" w:sz="4" w:space="0" w:color="000000"/>
              <w:right w:val="single" w:sz="4" w:space="0" w:color="auto"/>
            </w:tcBorders>
          </w:tcPr>
          <w:p w14:paraId="0D917510" w14:textId="77777777" w:rsidR="004279F8" w:rsidRPr="00F83B5C" w:rsidRDefault="004279F8" w:rsidP="00F50FDE">
            <w:pPr>
              <w:spacing w:after="0" w:line="240" w:lineRule="auto"/>
              <w:jc w:val="center"/>
              <w:rPr>
                <w:rFonts w:asciiTheme="minorHAnsi" w:hAnsiTheme="minorHAnsi" w:cstheme="minorHAnsi"/>
                <w:b/>
                <w:bCs/>
                <w:color w:val="000000"/>
                <w:lang w:val="fr-FR"/>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20448C5B" w14:textId="77777777" w:rsidR="004279F8" w:rsidRPr="00F83B5C" w:rsidRDefault="004279F8" w:rsidP="00F50FDE">
            <w:pPr>
              <w:spacing w:after="0" w:line="240" w:lineRule="auto"/>
              <w:jc w:val="center"/>
              <w:rPr>
                <w:rFonts w:asciiTheme="minorHAnsi" w:hAnsiTheme="minorHAnsi" w:cstheme="minorHAnsi"/>
                <w:b/>
                <w:bCs/>
                <w:color w:val="000000"/>
                <w:lang w:val="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0C9329D" w14:textId="77777777" w:rsidR="004279F8" w:rsidRPr="00F83B5C" w:rsidRDefault="004279F8" w:rsidP="00F50FDE">
            <w:pPr>
              <w:spacing w:after="0" w:line="240" w:lineRule="auto"/>
              <w:jc w:val="center"/>
              <w:rPr>
                <w:rFonts w:asciiTheme="minorHAnsi" w:hAnsiTheme="minorHAnsi" w:cstheme="minorHAnsi"/>
                <w:b/>
                <w:bCs/>
                <w:color w:val="000000"/>
                <w:lang w:val="fr-FR"/>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41A76350" w14:textId="77777777" w:rsidR="004279F8" w:rsidRPr="00F83B5C" w:rsidRDefault="004279F8" w:rsidP="00F50FD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Économies possibles dans le budget approuvé par la COP13 (A)</w:t>
            </w:r>
          </w:p>
          <w:p w14:paraId="4D99C955" w14:textId="77777777" w:rsidR="004279F8" w:rsidRPr="00F83B5C" w:rsidRDefault="004279F8" w:rsidP="00F50FD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F</w:t>
            </w:r>
          </w:p>
        </w:tc>
        <w:tc>
          <w:tcPr>
            <w:tcW w:w="1347" w:type="dxa"/>
            <w:tcBorders>
              <w:top w:val="nil"/>
              <w:left w:val="nil"/>
              <w:bottom w:val="single" w:sz="4" w:space="0" w:color="auto"/>
              <w:right w:val="nil"/>
            </w:tcBorders>
            <w:shd w:val="clear" w:color="000000" w:fill="BDD7EE"/>
            <w:vAlign w:val="center"/>
            <w:hideMark/>
          </w:tcPr>
          <w:p w14:paraId="1FCD9BF2" w14:textId="77777777" w:rsidR="004279F8" w:rsidRPr="00F83B5C" w:rsidRDefault="004279F8" w:rsidP="00F50FDE">
            <w:pPr>
              <w:spacing w:after="0" w:line="240" w:lineRule="auto"/>
              <w:jc w:val="center"/>
              <w:rPr>
                <w:rFonts w:asciiTheme="minorHAnsi" w:hAnsiTheme="minorHAnsi" w:cstheme="minorHAnsi"/>
                <w:b/>
                <w:bCs/>
                <w:color w:val="000000"/>
                <w:lang w:val="fr-FR"/>
              </w:rPr>
            </w:pPr>
            <w:r w:rsidRPr="00F83B5C">
              <w:rPr>
                <w:rFonts w:asciiTheme="minorHAnsi" w:hAnsiTheme="minorHAnsi" w:cstheme="minorHAnsi"/>
                <w:b/>
                <w:bCs/>
                <w:color w:val="000000"/>
                <w:lang w:val="fr-FR"/>
              </w:rPr>
              <w:t>Économies possibles par des reports de 2019 à 2020 (D)</w:t>
            </w:r>
          </w:p>
          <w:p w14:paraId="2DE45321" w14:textId="77777777" w:rsidR="004279F8" w:rsidRPr="00F83B5C" w:rsidRDefault="004279F8" w:rsidP="00F50FDE">
            <w:pPr>
              <w:spacing w:after="0" w:line="240" w:lineRule="auto"/>
              <w:jc w:val="center"/>
              <w:rPr>
                <w:rFonts w:asciiTheme="minorHAnsi" w:hAnsiTheme="minorHAnsi" w:cstheme="minorHAnsi"/>
                <w:b/>
                <w:bCs/>
                <w:color w:val="000000"/>
                <w:lang w:val="fr-FR"/>
              </w:rPr>
            </w:pPr>
          </w:p>
          <w:p w14:paraId="2B55E604" w14:textId="77777777" w:rsidR="004279F8" w:rsidRPr="00F83B5C" w:rsidRDefault="004279F8" w:rsidP="00F50FDE">
            <w:pPr>
              <w:spacing w:after="0" w:line="240" w:lineRule="auto"/>
              <w:jc w:val="center"/>
              <w:rPr>
                <w:rFonts w:asciiTheme="minorHAnsi" w:hAnsiTheme="minorHAnsi" w:cstheme="minorHAnsi"/>
                <w:b/>
                <w:bCs/>
                <w:color w:val="000000"/>
              </w:rPr>
            </w:pPr>
            <w:r w:rsidRPr="00F83B5C">
              <w:rPr>
                <w:rFonts w:asciiTheme="minorHAnsi" w:hAnsiTheme="minorHAnsi" w:cstheme="minorHAnsi"/>
                <w:b/>
                <w:bCs/>
                <w:color w:val="000000"/>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965F6CE" w14:textId="77777777" w:rsidR="004279F8" w:rsidRPr="009F03BD" w:rsidRDefault="004279F8" w:rsidP="00F50FDE">
            <w:pPr>
              <w:spacing w:after="0" w:line="240" w:lineRule="auto"/>
              <w:jc w:val="center"/>
              <w:rPr>
                <w:rFonts w:asciiTheme="minorHAnsi" w:hAnsiTheme="minorHAnsi" w:cstheme="minorHAnsi"/>
                <w:b/>
                <w:bCs/>
                <w:color w:val="000000"/>
              </w:rPr>
            </w:pPr>
          </w:p>
        </w:tc>
      </w:tr>
      <w:tr w:rsidR="004279F8" w:rsidRPr="009F03BD" w14:paraId="4D42FDC1" w14:textId="77777777" w:rsidTr="00F50FDE">
        <w:trPr>
          <w:trHeight w:val="340"/>
        </w:trPr>
        <w:tc>
          <w:tcPr>
            <w:tcW w:w="14431" w:type="dxa"/>
            <w:gridSpan w:val="9"/>
            <w:tcBorders>
              <w:top w:val="nil"/>
              <w:left w:val="single" w:sz="4" w:space="0" w:color="auto"/>
              <w:bottom w:val="single" w:sz="4" w:space="0" w:color="auto"/>
              <w:right w:val="single" w:sz="8" w:space="0" w:color="auto"/>
            </w:tcBorders>
            <w:shd w:val="clear" w:color="auto" w:fill="auto"/>
            <w:vAlign w:val="center"/>
          </w:tcPr>
          <w:p w14:paraId="35530712" w14:textId="77777777" w:rsidR="004279F8" w:rsidRPr="009F03BD" w:rsidRDefault="004279F8" w:rsidP="00F50FDE">
            <w:pPr>
              <w:spacing w:after="0" w:line="240" w:lineRule="auto"/>
              <w:rPr>
                <w:rFonts w:asciiTheme="minorHAnsi" w:hAnsiTheme="minorHAnsi" w:cstheme="minorHAnsi"/>
                <w:b/>
                <w:bCs/>
                <w:color w:val="000000"/>
              </w:rPr>
            </w:pPr>
            <w:r w:rsidRPr="00355BD2">
              <w:rPr>
                <w:rFonts w:asciiTheme="minorHAnsi" w:hAnsiTheme="minorHAnsi" w:cstheme="minorHAnsi"/>
                <w:b/>
                <w:bCs/>
                <w:color w:val="000000"/>
              </w:rPr>
              <w:t>DÉPENSES</w:t>
            </w:r>
          </w:p>
        </w:tc>
      </w:tr>
      <w:tr w:rsidR="004279F8" w:rsidRPr="009F03BD" w14:paraId="19A45CCD"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1E0DA224"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 Cadres supérieurs du Secrétariat</w:t>
            </w:r>
          </w:p>
        </w:tc>
        <w:tc>
          <w:tcPr>
            <w:tcW w:w="1304" w:type="dxa"/>
            <w:tcBorders>
              <w:top w:val="single" w:sz="4" w:space="0" w:color="000000"/>
              <w:left w:val="nil"/>
              <w:bottom w:val="single" w:sz="4" w:space="0" w:color="auto"/>
              <w:right w:val="single" w:sz="4" w:space="0" w:color="auto"/>
            </w:tcBorders>
            <w:shd w:val="clear" w:color="000000" w:fill="EAF1DD"/>
            <w:vAlign w:val="center"/>
          </w:tcPr>
          <w:p w14:paraId="0C120E6E"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1 009</w:t>
            </w:r>
          </w:p>
        </w:tc>
        <w:tc>
          <w:tcPr>
            <w:tcW w:w="1304" w:type="dxa"/>
            <w:tcBorders>
              <w:top w:val="single" w:sz="4" w:space="0" w:color="000000"/>
              <w:left w:val="single" w:sz="4" w:space="0" w:color="auto"/>
              <w:bottom w:val="single" w:sz="4" w:space="0" w:color="auto"/>
              <w:right w:val="single" w:sz="4" w:space="0" w:color="auto"/>
            </w:tcBorders>
            <w:shd w:val="clear" w:color="000000" w:fill="EAF1DD"/>
            <w:vAlign w:val="center"/>
          </w:tcPr>
          <w:p w14:paraId="2BC05326"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w:t>
            </w:r>
          </w:p>
        </w:tc>
        <w:tc>
          <w:tcPr>
            <w:tcW w:w="1304" w:type="dxa"/>
            <w:tcBorders>
              <w:top w:val="single" w:sz="4" w:space="0" w:color="000000"/>
              <w:left w:val="single" w:sz="4" w:space="0" w:color="auto"/>
              <w:bottom w:val="single" w:sz="4" w:space="0" w:color="auto"/>
              <w:right w:val="single" w:sz="4" w:space="0" w:color="auto"/>
            </w:tcBorders>
            <w:shd w:val="clear" w:color="000000" w:fill="EAF1DD"/>
            <w:vAlign w:val="center"/>
          </w:tcPr>
          <w:p w14:paraId="0C42B3B2"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5F473CD"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3E0B6BE5"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573703BC"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74973170"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67509656"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075</w:t>
            </w:r>
          </w:p>
        </w:tc>
      </w:tr>
      <w:tr w:rsidR="004279F8" w:rsidRPr="009F03BD" w14:paraId="4820FA28"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188EC1A"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0CD6942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918</w:t>
            </w:r>
          </w:p>
        </w:tc>
        <w:tc>
          <w:tcPr>
            <w:tcW w:w="1304" w:type="dxa"/>
            <w:tcBorders>
              <w:top w:val="single" w:sz="4" w:space="0" w:color="auto"/>
              <w:left w:val="single" w:sz="4" w:space="0" w:color="auto"/>
              <w:bottom w:val="single" w:sz="4" w:space="0" w:color="auto"/>
              <w:right w:val="single" w:sz="4" w:space="0" w:color="auto"/>
            </w:tcBorders>
            <w:vAlign w:val="center"/>
          </w:tcPr>
          <w:p w14:paraId="1EFEC642"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F0891E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6D1AF5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6540A2C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7BB2789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8C9758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AE7DE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4279F8" w:rsidRPr="009F03BD" w14:paraId="31A67D91"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429B84F"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3F90782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51</w:t>
            </w:r>
          </w:p>
        </w:tc>
        <w:tc>
          <w:tcPr>
            <w:tcW w:w="1304" w:type="dxa"/>
            <w:tcBorders>
              <w:top w:val="single" w:sz="4" w:space="0" w:color="auto"/>
              <w:left w:val="single" w:sz="4" w:space="0" w:color="auto"/>
              <w:bottom w:val="single" w:sz="4" w:space="0" w:color="auto"/>
              <w:right w:val="single" w:sz="4" w:space="0" w:color="auto"/>
            </w:tcBorders>
            <w:vAlign w:val="center"/>
          </w:tcPr>
          <w:p w14:paraId="245D642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DD70D2C"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E2119E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46EB0F8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42C0784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6CD21BE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385089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4279F8" w:rsidRPr="009F03BD" w14:paraId="314C8710"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B2BE3D0"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3DCF8EFC"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40</w:t>
            </w:r>
          </w:p>
        </w:tc>
        <w:tc>
          <w:tcPr>
            <w:tcW w:w="1304" w:type="dxa"/>
            <w:tcBorders>
              <w:top w:val="single" w:sz="4" w:space="0" w:color="auto"/>
              <w:left w:val="single" w:sz="4" w:space="0" w:color="auto"/>
              <w:bottom w:val="single" w:sz="4" w:space="0" w:color="auto"/>
              <w:right w:val="single" w:sz="4" w:space="0" w:color="auto"/>
            </w:tcBorders>
            <w:vAlign w:val="center"/>
          </w:tcPr>
          <w:p w14:paraId="5EAD2D0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34A4D9A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33DD3E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65F6F34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4DE0952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3BC7049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08AFC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4279F8" w:rsidRPr="009F03BD" w14:paraId="3F943BAE"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5FE650DE"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B. Mobilisation des ressources et sensibilisation</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21B94F9C"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639</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5D2FC9EB"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45</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0D6229B2"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81</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09E645AB"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620B66D8"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033</w:t>
            </w:r>
          </w:p>
        </w:tc>
        <w:tc>
          <w:tcPr>
            <w:tcW w:w="1346" w:type="dxa"/>
            <w:tcBorders>
              <w:top w:val="nil"/>
              <w:left w:val="single" w:sz="8" w:space="0" w:color="auto"/>
              <w:bottom w:val="single" w:sz="4" w:space="0" w:color="auto"/>
              <w:right w:val="nil"/>
            </w:tcBorders>
            <w:shd w:val="clear" w:color="000000" w:fill="BDD7EE"/>
            <w:noWrap/>
            <w:vAlign w:val="center"/>
            <w:hideMark/>
          </w:tcPr>
          <w:p w14:paraId="6A754F5F"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3172E6B9"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00A20AC"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4279F8" w:rsidRPr="009F03BD" w14:paraId="243B2DC8"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4C249D8"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1C97AFD3"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450</w:t>
            </w:r>
          </w:p>
        </w:tc>
        <w:tc>
          <w:tcPr>
            <w:tcW w:w="1304" w:type="dxa"/>
            <w:tcBorders>
              <w:top w:val="single" w:sz="4" w:space="0" w:color="auto"/>
              <w:left w:val="single" w:sz="4" w:space="0" w:color="auto"/>
              <w:bottom w:val="single" w:sz="4" w:space="0" w:color="auto"/>
              <w:right w:val="single" w:sz="4" w:space="0" w:color="auto"/>
            </w:tcBorders>
            <w:vAlign w:val="center"/>
          </w:tcPr>
          <w:p w14:paraId="0240E8A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F2A0E96"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B7E41A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15A94DC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B19A84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4259959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1CCADF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4279F8" w:rsidRPr="009F03BD" w14:paraId="6CCA3326"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D5822F6"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0941DE8F"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3F03C75A"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F039267"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714309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7C97F88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D26225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AFF5E2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CC118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4279F8" w:rsidRPr="009F03BD" w14:paraId="5E2BD876"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4192C59"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Programme de CESP</w:t>
            </w:r>
          </w:p>
        </w:tc>
        <w:tc>
          <w:tcPr>
            <w:tcW w:w="1304" w:type="dxa"/>
            <w:tcBorders>
              <w:top w:val="single" w:sz="4" w:space="0" w:color="auto"/>
              <w:left w:val="nil"/>
              <w:bottom w:val="single" w:sz="4" w:space="0" w:color="auto"/>
              <w:right w:val="single" w:sz="4" w:space="0" w:color="auto"/>
            </w:tcBorders>
            <w:vAlign w:val="center"/>
          </w:tcPr>
          <w:p w14:paraId="74C7096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30</w:t>
            </w:r>
          </w:p>
        </w:tc>
        <w:tc>
          <w:tcPr>
            <w:tcW w:w="1304" w:type="dxa"/>
            <w:tcBorders>
              <w:top w:val="single" w:sz="4" w:space="0" w:color="auto"/>
              <w:left w:val="single" w:sz="4" w:space="0" w:color="auto"/>
              <w:bottom w:val="single" w:sz="4" w:space="0" w:color="auto"/>
              <w:right w:val="single" w:sz="4" w:space="0" w:color="auto"/>
            </w:tcBorders>
            <w:vAlign w:val="center"/>
          </w:tcPr>
          <w:p w14:paraId="12C0A1A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306CA4F"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8BDA1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2E3B8B3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D579C8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51DF7E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9BC76F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4279F8" w:rsidRPr="009F03BD" w14:paraId="09D9BE43"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31C09B2"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Communications, traductions, publications et rapports</w:t>
            </w:r>
          </w:p>
        </w:tc>
        <w:tc>
          <w:tcPr>
            <w:tcW w:w="1304" w:type="dxa"/>
            <w:tcBorders>
              <w:top w:val="single" w:sz="4" w:space="0" w:color="auto"/>
              <w:left w:val="nil"/>
              <w:bottom w:val="single" w:sz="4" w:space="0" w:color="auto"/>
              <w:right w:val="single" w:sz="4" w:space="0" w:color="auto"/>
            </w:tcBorders>
            <w:vAlign w:val="center"/>
          </w:tcPr>
          <w:p w14:paraId="75ACE1E7"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60</w:t>
            </w:r>
          </w:p>
        </w:tc>
        <w:tc>
          <w:tcPr>
            <w:tcW w:w="1304" w:type="dxa"/>
            <w:tcBorders>
              <w:top w:val="single" w:sz="4" w:space="0" w:color="auto"/>
              <w:left w:val="single" w:sz="4" w:space="0" w:color="auto"/>
              <w:bottom w:val="single" w:sz="4" w:space="0" w:color="auto"/>
              <w:right w:val="single" w:sz="4" w:space="0" w:color="auto"/>
            </w:tcBorders>
            <w:vAlign w:val="center"/>
          </w:tcPr>
          <w:p w14:paraId="04635EDF"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40</w:t>
            </w:r>
          </w:p>
        </w:tc>
        <w:tc>
          <w:tcPr>
            <w:tcW w:w="1304" w:type="dxa"/>
            <w:tcBorders>
              <w:top w:val="single" w:sz="4" w:space="0" w:color="auto"/>
              <w:left w:val="single" w:sz="4" w:space="0" w:color="auto"/>
              <w:bottom w:val="single" w:sz="4" w:space="0" w:color="auto"/>
              <w:right w:val="single" w:sz="4" w:space="0" w:color="auto"/>
            </w:tcBorders>
            <w:vAlign w:val="center"/>
          </w:tcPr>
          <w:p w14:paraId="733B3F8A"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301899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2D094F3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9318CA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CEDFD6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11EE8E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4279F8" w:rsidRPr="009F03BD" w14:paraId="5AC5EF4F"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164C9BD"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Journée mo</w:t>
            </w:r>
            <w:r>
              <w:rPr>
                <w:rFonts w:asciiTheme="minorHAnsi" w:hAnsiTheme="minorHAnsi" w:cstheme="minorHAnsi"/>
                <w:lang w:val="fr-FR"/>
              </w:rPr>
              <w:t>ndiale des zones humides et 50</w:t>
            </w:r>
            <w:r w:rsidRPr="00F83B5C">
              <w:rPr>
                <w:rFonts w:asciiTheme="minorHAnsi" w:hAnsiTheme="minorHAnsi" w:cstheme="minorHAnsi"/>
                <w:vertAlign w:val="superscript"/>
                <w:lang w:val="fr-FR"/>
              </w:rPr>
              <w:t>e</w:t>
            </w:r>
            <w:r>
              <w:rPr>
                <w:rFonts w:asciiTheme="minorHAnsi" w:hAnsiTheme="minorHAnsi" w:cstheme="minorHAnsi"/>
                <w:lang w:val="fr-FR"/>
              </w:rPr>
              <w:t> </w:t>
            </w:r>
            <w:r w:rsidRPr="007A177C">
              <w:rPr>
                <w:rFonts w:asciiTheme="minorHAnsi" w:hAnsiTheme="minorHAnsi" w:cstheme="minorHAnsi"/>
                <w:lang w:val="fr-FR"/>
              </w:rPr>
              <w:t>anniversaire en 2021</w:t>
            </w:r>
          </w:p>
        </w:tc>
        <w:tc>
          <w:tcPr>
            <w:tcW w:w="1304" w:type="dxa"/>
            <w:tcBorders>
              <w:top w:val="single" w:sz="4" w:space="0" w:color="auto"/>
              <w:left w:val="nil"/>
              <w:bottom w:val="single" w:sz="4" w:space="0" w:color="auto"/>
              <w:right w:val="single" w:sz="4" w:space="0" w:color="auto"/>
            </w:tcBorders>
            <w:vAlign w:val="center"/>
          </w:tcPr>
          <w:p w14:paraId="129C106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82D4657"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BF02234"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43</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65CF5A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747DD4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B00EB0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D4607A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2A122E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4279F8" w:rsidRPr="009F03BD" w14:paraId="45DB01A0"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67A8449"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Support et développement Web/Informatique</w:t>
            </w:r>
          </w:p>
        </w:tc>
        <w:tc>
          <w:tcPr>
            <w:tcW w:w="1304" w:type="dxa"/>
            <w:tcBorders>
              <w:top w:val="single" w:sz="4" w:space="0" w:color="auto"/>
              <w:left w:val="nil"/>
              <w:bottom w:val="single" w:sz="4" w:space="0" w:color="auto"/>
              <w:right w:val="single" w:sz="4" w:space="0" w:color="auto"/>
            </w:tcBorders>
            <w:vAlign w:val="center"/>
          </w:tcPr>
          <w:p w14:paraId="5531D583"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84</w:t>
            </w:r>
          </w:p>
        </w:tc>
        <w:tc>
          <w:tcPr>
            <w:tcW w:w="1304" w:type="dxa"/>
            <w:tcBorders>
              <w:top w:val="single" w:sz="4" w:space="0" w:color="auto"/>
              <w:left w:val="single" w:sz="4" w:space="0" w:color="auto"/>
              <w:bottom w:val="single" w:sz="4" w:space="0" w:color="auto"/>
              <w:right w:val="single" w:sz="4" w:space="0" w:color="auto"/>
            </w:tcBorders>
            <w:vAlign w:val="center"/>
          </w:tcPr>
          <w:p w14:paraId="73D8D92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10EBF5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38</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DCEA23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B31709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2B8560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34C9EF5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1F096E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4279F8" w:rsidRPr="009F03BD" w14:paraId="6E90495D"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DDA36CE"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37757B5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31089D48"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3286983E"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08B482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A5B106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2900C6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6B391AA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C0FC0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4279F8" w:rsidRPr="009F03BD" w14:paraId="38181530"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305B6BEC"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lastRenderedPageBreak/>
              <w:t>C. Appui et conseils aux Régions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3E480F61"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1 324</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6D82E37D"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515E17CA"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96</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21C37115"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61D5FE28"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698421F7"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0D17EDFB"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6A116337"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377</w:t>
            </w:r>
          </w:p>
        </w:tc>
      </w:tr>
      <w:tr w:rsidR="004279F8" w:rsidRPr="009F03BD" w14:paraId="234F427E"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EF1B4F9"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69B86276"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1 178</w:t>
            </w:r>
          </w:p>
        </w:tc>
        <w:tc>
          <w:tcPr>
            <w:tcW w:w="1304" w:type="dxa"/>
            <w:tcBorders>
              <w:top w:val="single" w:sz="4" w:space="0" w:color="auto"/>
              <w:left w:val="single" w:sz="4" w:space="0" w:color="auto"/>
              <w:bottom w:val="single" w:sz="4" w:space="0" w:color="auto"/>
              <w:right w:val="single" w:sz="4" w:space="0" w:color="auto"/>
            </w:tcBorders>
            <w:vAlign w:val="center"/>
          </w:tcPr>
          <w:p w14:paraId="61A636EF"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0966882"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5341C7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1B34E7E3"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7B09D1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D87935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52B25A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1,178</w:t>
            </w:r>
          </w:p>
        </w:tc>
      </w:tr>
      <w:tr w:rsidR="004279F8" w:rsidRPr="009F03BD" w14:paraId="1D7315C2"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2B6ADAC"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2531676B"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71</w:t>
            </w:r>
          </w:p>
        </w:tc>
        <w:tc>
          <w:tcPr>
            <w:tcW w:w="1304" w:type="dxa"/>
            <w:tcBorders>
              <w:top w:val="single" w:sz="4" w:space="0" w:color="auto"/>
              <w:left w:val="single" w:sz="4" w:space="0" w:color="auto"/>
              <w:bottom w:val="single" w:sz="4" w:space="0" w:color="auto"/>
              <w:right w:val="single" w:sz="4" w:space="0" w:color="auto"/>
            </w:tcBorders>
            <w:vAlign w:val="center"/>
          </w:tcPr>
          <w:p w14:paraId="735935BB"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06F3A2C"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61791E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1456F03"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FC097F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A938CD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98EFC5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4279F8" w:rsidRPr="009F03BD" w14:paraId="6E26F16E"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31674E3"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6F8F184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75</w:t>
            </w:r>
          </w:p>
        </w:tc>
        <w:tc>
          <w:tcPr>
            <w:tcW w:w="1304" w:type="dxa"/>
            <w:tcBorders>
              <w:top w:val="single" w:sz="4" w:space="0" w:color="auto"/>
              <w:left w:val="single" w:sz="4" w:space="0" w:color="auto"/>
              <w:bottom w:val="single" w:sz="4" w:space="0" w:color="auto"/>
              <w:right w:val="single" w:sz="4" w:space="0" w:color="auto"/>
            </w:tcBorders>
            <w:vAlign w:val="center"/>
          </w:tcPr>
          <w:p w14:paraId="5FA2761D"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769A242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269E26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031F7B8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9D302B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5F1D3A4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F51549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4279F8" w:rsidRPr="009F03BD" w14:paraId="4BA8AC81"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708FB60"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 xml:space="preserve">Missions consultatives Ramsar </w:t>
            </w:r>
          </w:p>
        </w:tc>
        <w:tc>
          <w:tcPr>
            <w:tcW w:w="1304" w:type="dxa"/>
            <w:tcBorders>
              <w:top w:val="single" w:sz="4" w:space="0" w:color="auto"/>
              <w:left w:val="nil"/>
              <w:bottom w:val="single" w:sz="4" w:space="0" w:color="auto"/>
              <w:right w:val="single" w:sz="4" w:space="0" w:color="auto"/>
            </w:tcBorders>
            <w:vAlign w:val="center"/>
          </w:tcPr>
          <w:p w14:paraId="5EA079CD"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D6D84D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D8DFE00"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96</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B56344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521097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F7533D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E525A2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85979F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4279F8" w:rsidRPr="009F03BD" w14:paraId="18D0B340"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20EEBE69"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D. Appui aux Initiatives régionales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020B8B0E"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0FE24173"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75F59671"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107</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699970B3"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3E856269"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E1D38C1"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6216F916"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65EAAF1"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4279F8" w:rsidRPr="009F03BD" w14:paraId="2B299E39"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9794D9B"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Groupe de travail sur les Initiatives régionales Rés. XIII.9 p9 et renforcement des capacités</w:t>
            </w:r>
          </w:p>
        </w:tc>
        <w:tc>
          <w:tcPr>
            <w:tcW w:w="1304" w:type="dxa"/>
            <w:tcBorders>
              <w:top w:val="single" w:sz="4" w:space="0" w:color="auto"/>
              <w:left w:val="nil"/>
              <w:bottom w:val="single" w:sz="4" w:space="0" w:color="auto"/>
              <w:right w:val="single" w:sz="4" w:space="0" w:color="auto"/>
            </w:tcBorders>
            <w:vAlign w:val="center"/>
          </w:tcPr>
          <w:p w14:paraId="5DA3055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21149ED"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C4DE91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46</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3F3984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324D65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773FDAE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67BE20E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400BB9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4279F8" w:rsidRPr="009F03BD" w14:paraId="53FE855D"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6A7A8AD"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Activité 1</w:t>
            </w:r>
            <w:r>
              <w:rPr>
                <w:rFonts w:asciiTheme="minorHAnsi" w:hAnsiTheme="minorHAnsi" w:cstheme="minorHAnsi"/>
                <w:lang w:val="fr-FR"/>
              </w:rPr>
              <w:t> </w:t>
            </w:r>
            <w:r w:rsidRPr="007A177C">
              <w:rPr>
                <w:rFonts w:asciiTheme="minorHAnsi" w:hAnsiTheme="minorHAnsi" w:cstheme="minorHAnsi"/>
                <w:lang w:val="fr-FR"/>
              </w:rPr>
              <w:t>: Bassin du fleuve Sénégal</w:t>
            </w:r>
          </w:p>
        </w:tc>
        <w:tc>
          <w:tcPr>
            <w:tcW w:w="1304" w:type="dxa"/>
            <w:tcBorders>
              <w:top w:val="single" w:sz="4" w:space="0" w:color="auto"/>
              <w:left w:val="nil"/>
              <w:bottom w:val="single" w:sz="4" w:space="0" w:color="auto"/>
              <w:right w:val="single" w:sz="4" w:space="0" w:color="auto"/>
            </w:tcBorders>
            <w:vAlign w:val="center"/>
          </w:tcPr>
          <w:p w14:paraId="18FEE8FD"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063CFA5F"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C5DB46C"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1DF8FF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58A3C76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E24D8B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069A9D5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935A5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279F8" w:rsidRPr="009F03BD" w14:paraId="324BDED0"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64F2A0F"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Activité 2</w:t>
            </w:r>
            <w:r>
              <w:rPr>
                <w:rFonts w:asciiTheme="minorHAnsi" w:hAnsiTheme="minorHAnsi" w:cstheme="minorHAnsi"/>
              </w:rPr>
              <w:t> </w:t>
            </w:r>
            <w:r w:rsidRPr="007A177C">
              <w:rPr>
                <w:rFonts w:asciiTheme="minorHAnsi" w:hAnsiTheme="minorHAnsi" w:cstheme="minorHAnsi"/>
              </w:rPr>
              <w:t xml:space="preserve">: Bassin de l’Amazone </w:t>
            </w:r>
          </w:p>
        </w:tc>
        <w:tc>
          <w:tcPr>
            <w:tcW w:w="1304" w:type="dxa"/>
            <w:tcBorders>
              <w:top w:val="single" w:sz="4" w:space="0" w:color="auto"/>
              <w:left w:val="nil"/>
              <w:bottom w:val="single" w:sz="4" w:space="0" w:color="auto"/>
              <w:right w:val="single" w:sz="4" w:space="0" w:color="auto"/>
            </w:tcBorders>
            <w:vAlign w:val="center"/>
          </w:tcPr>
          <w:p w14:paraId="060D6329"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4AA1C9F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BCE4A7F"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61</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40CB95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272EF1D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4F0141B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7E41E2B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0A26D6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4279F8" w:rsidRPr="009F03BD" w14:paraId="7F7DBF9F"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3AF9599"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Activité 3</w:t>
            </w:r>
            <w:r>
              <w:rPr>
                <w:rFonts w:asciiTheme="minorHAnsi" w:hAnsiTheme="minorHAnsi" w:cstheme="minorHAnsi"/>
              </w:rPr>
              <w:t> </w:t>
            </w:r>
            <w:r w:rsidRPr="007A177C">
              <w:rPr>
                <w:rFonts w:asciiTheme="minorHAnsi" w:hAnsiTheme="minorHAnsi" w:cstheme="minorHAnsi"/>
              </w:rPr>
              <w:t>: Asie centrale</w:t>
            </w:r>
          </w:p>
        </w:tc>
        <w:tc>
          <w:tcPr>
            <w:tcW w:w="1304" w:type="dxa"/>
            <w:tcBorders>
              <w:top w:val="single" w:sz="4" w:space="0" w:color="auto"/>
              <w:left w:val="nil"/>
              <w:bottom w:val="single" w:sz="4" w:space="0" w:color="auto"/>
              <w:right w:val="single" w:sz="4" w:space="0" w:color="auto"/>
            </w:tcBorders>
            <w:vAlign w:val="center"/>
          </w:tcPr>
          <w:p w14:paraId="220AE5B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171BCD9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0A9E19C"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040DE6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3A1399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B2B085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CEC753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5A410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279F8" w:rsidRPr="009F03BD" w14:paraId="34834F1D"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62D3060"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Activité 4</w:t>
            </w:r>
            <w:r>
              <w:rPr>
                <w:rFonts w:asciiTheme="minorHAnsi" w:hAnsiTheme="minorHAnsi" w:cstheme="minorHAnsi"/>
              </w:rPr>
              <w:t> </w:t>
            </w:r>
            <w:r w:rsidRPr="007A177C">
              <w:rPr>
                <w:rFonts w:asciiTheme="minorHAnsi" w:hAnsiTheme="minorHAnsi" w:cstheme="minorHAnsi"/>
              </w:rPr>
              <w:t>: Indo-Birmanie</w:t>
            </w:r>
          </w:p>
        </w:tc>
        <w:tc>
          <w:tcPr>
            <w:tcW w:w="1304" w:type="dxa"/>
            <w:tcBorders>
              <w:top w:val="single" w:sz="4" w:space="0" w:color="auto"/>
              <w:left w:val="nil"/>
              <w:bottom w:val="single" w:sz="4" w:space="0" w:color="auto"/>
              <w:right w:val="single" w:sz="4" w:space="0" w:color="auto"/>
            </w:tcBorders>
            <w:vAlign w:val="center"/>
          </w:tcPr>
          <w:p w14:paraId="5EA57ED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0E00894E"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5A01E79"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ABDD71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FF1134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6E7D4BA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7CD379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DA6C8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279F8" w:rsidRPr="009F03BD" w14:paraId="3C9BAB5F"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2C7EE8F9"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E. Services scientifiques et techniques</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1BBC5F57"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754</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24A26001"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0449C036"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121</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1C5F93CA"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19B55A64"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5D597608"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4C120A97"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6B2D1C18"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w:t>
            </w:r>
            <w:r>
              <w:rPr>
                <w:rFonts w:asciiTheme="minorHAnsi" w:hAnsiTheme="minorHAnsi" w:cstheme="minorHAnsi"/>
                <w:b/>
                <w:bCs/>
                <w:color w:val="000000"/>
              </w:rPr>
              <w:t xml:space="preserve"> </w:t>
            </w:r>
            <w:r w:rsidRPr="009F03BD">
              <w:rPr>
                <w:rFonts w:asciiTheme="minorHAnsi" w:hAnsiTheme="minorHAnsi" w:cstheme="minorHAnsi"/>
                <w:b/>
                <w:bCs/>
                <w:color w:val="000000"/>
              </w:rPr>
              <w:t>006</w:t>
            </w:r>
          </w:p>
        </w:tc>
      </w:tr>
      <w:tr w:rsidR="004279F8" w:rsidRPr="009F03BD" w14:paraId="44E51D7D"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B0A2FA8"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10D31933"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559</w:t>
            </w:r>
          </w:p>
        </w:tc>
        <w:tc>
          <w:tcPr>
            <w:tcW w:w="1304" w:type="dxa"/>
            <w:tcBorders>
              <w:top w:val="single" w:sz="4" w:space="0" w:color="auto"/>
              <w:left w:val="single" w:sz="4" w:space="0" w:color="auto"/>
              <w:bottom w:val="single" w:sz="4" w:space="0" w:color="auto"/>
              <w:right w:val="single" w:sz="4" w:space="0" w:color="auto"/>
            </w:tcBorders>
            <w:vAlign w:val="center"/>
          </w:tcPr>
          <w:p w14:paraId="0D7A72D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2D94C6F3"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FA1232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23CD947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0C4524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2695FDA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330096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4279F8" w:rsidRPr="009F03BD" w14:paraId="45F18D7A"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4A92E49"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09617340"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w:t>
            </w:r>
          </w:p>
        </w:tc>
        <w:tc>
          <w:tcPr>
            <w:tcW w:w="1304" w:type="dxa"/>
            <w:tcBorders>
              <w:top w:val="single" w:sz="4" w:space="0" w:color="auto"/>
              <w:left w:val="single" w:sz="4" w:space="0" w:color="auto"/>
              <w:bottom w:val="single" w:sz="4" w:space="0" w:color="auto"/>
              <w:right w:val="single" w:sz="4" w:space="0" w:color="auto"/>
            </w:tcBorders>
            <w:vAlign w:val="center"/>
          </w:tcPr>
          <w:p w14:paraId="7A8F11B9"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DA7DE3E"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C05CA1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5525A3F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010715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31D8969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16922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4279F8" w:rsidRPr="009F03BD" w14:paraId="79E62495"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ECD5AB5"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071DC659"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1C4EE9B9"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A692A30"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F842DF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CE3E48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DC2BE5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30C413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82F4E9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4279F8" w:rsidRPr="009F03BD" w14:paraId="78BB2088"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D165767"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 Président du GEST</w:t>
            </w:r>
          </w:p>
        </w:tc>
        <w:tc>
          <w:tcPr>
            <w:tcW w:w="1304" w:type="dxa"/>
            <w:tcBorders>
              <w:top w:val="single" w:sz="4" w:space="0" w:color="auto"/>
              <w:left w:val="nil"/>
              <w:bottom w:val="single" w:sz="4" w:space="0" w:color="auto"/>
              <w:right w:val="single" w:sz="4" w:space="0" w:color="auto"/>
            </w:tcBorders>
            <w:vAlign w:val="center"/>
          </w:tcPr>
          <w:p w14:paraId="2D23B3D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4DB79D3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816495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A07DDE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AD8BE3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805E88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5B70EE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AC3E87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4279F8" w:rsidRPr="009F03BD" w14:paraId="52FCBBB2"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DDBFDCA"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Mise en œuvre du GEST</w:t>
            </w:r>
          </w:p>
        </w:tc>
        <w:tc>
          <w:tcPr>
            <w:tcW w:w="1304" w:type="dxa"/>
            <w:tcBorders>
              <w:top w:val="single" w:sz="4" w:space="0" w:color="auto"/>
              <w:left w:val="nil"/>
              <w:bottom w:val="single" w:sz="4" w:space="0" w:color="auto"/>
              <w:right w:val="single" w:sz="4" w:space="0" w:color="auto"/>
            </w:tcBorders>
            <w:vAlign w:val="center"/>
          </w:tcPr>
          <w:p w14:paraId="3BA3F5F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35</w:t>
            </w:r>
          </w:p>
        </w:tc>
        <w:tc>
          <w:tcPr>
            <w:tcW w:w="1304" w:type="dxa"/>
            <w:tcBorders>
              <w:top w:val="single" w:sz="4" w:space="0" w:color="auto"/>
              <w:left w:val="single" w:sz="4" w:space="0" w:color="auto"/>
              <w:bottom w:val="single" w:sz="4" w:space="0" w:color="auto"/>
              <w:right w:val="single" w:sz="4" w:space="0" w:color="auto"/>
            </w:tcBorders>
            <w:vAlign w:val="center"/>
          </w:tcPr>
          <w:p w14:paraId="1C1EE3F0"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w:t>
            </w:r>
          </w:p>
        </w:tc>
        <w:tc>
          <w:tcPr>
            <w:tcW w:w="1304" w:type="dxa"/>
            <w:tcBorders>
              <w:top w:val="single" w:sz="4" w:space="0" w:color="auto"/>
              <w:left w:val="single" w:sz="4" w:space="0" w:color="auto"/>
              <w:bottom w:val="single" w:sz="4" w:space="0" w:color="auto"/>
              <w:right w:val="single" w:sz="4" w:space="0" w:color="auto"/>
            </w:tcBorders>
            <w:vAlign w:val="center"/>
          </w:tcPr>
          <w:p w14:paraId="681B294E"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50C7B3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AE0AE3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887A8A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75EE01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DC6E99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4279F8" w:rsidRPr="009F03BD" w14:paraId="3B47EC1B"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44B97428"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Réunions du GEST</w:t>
            </w:r>
          </w:p>
        </w:tc>
        <w:tc>
          <w:tcPr>
            <w:tcW w:w="1304" w:type="dxa"/>
            <w:tcBorders>
              <w:top w:val="single" w:sz="4" w:space="0" w:color="auto"/>
              <w:left w:val="nil"/>
              <w:bottom w:val="single" w:sz="4" w:space="0" w:color="auto"/>
              <w:right w:val="single" w:sz="4" w:space="0" w:color="auto"/>
            </w:tcBorders>
            <w:vAlign w:val="center"/>
          </w:tcPr>
          <w:p w14:paraId="19A9E9DE"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50</w:t>
            </w:r>
          </w:p>
        </w:tc>
        <w:tc>
          <w:tcPr>
            <w:tcW w:w="1304" w:type="dxa"/>
            <w:tcBorders>
              <w:top w:val="single" w:sz="4" w:space="0" w:color="auto"/>
              <w:left w:val="single" w:sz="4" w:space="0" w:color="auto"/>
              <w:bottom w:val="single" w:sz="4" w:space="0" w:color="auto"/>
              <w:right w:val="single" w:sz="4" w:space="0" w:color="auto"/>
            </w:tcBorders>
            <w:vAlign w:val="center"/>
          </w:tcPr>
          <w:p w14:paraId="267D9A2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B8EAB78"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B54FF5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36D5C51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1F7CF1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ACF775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4235A3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4279F8" w:rsidRPr="009F03BD" w14:paraId="1D3E9ECC"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139ADA3"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lastRenderedPageBreak/>
              <w:t>Plan stratégique (2019 - 2021)</w:t>
            </w:r>
          </w:p>
        </w:tc>
        <w:tc>
          <w:tcPr>
            <w:tcW w:w="1304" w:type="dxa"/>
            <w:tcBorders>
              <w:top w:val="single" w:sz="4" w:space="0" w:color="auto"/>
              <w:left w:val="nil"/>
              <w:bottom w:val="single" w:sz="4" w:space="0" w:color="auto"/>
              <w:right w:val="single" w:sz="4" w:space="0" w:color="auto"/>
            </w:tcBorders>
            <w:vAlign w:val="center"/>
          </w:tcPr>
          <w:p w14:paraId="2CC71A49"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D4834B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61B344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29</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CB1AC4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2A54B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E00CA2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F58BDB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731D7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4279F8" w:rsidRPr="009F03BD" w14:paraId="7E23CBF1"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65ECAE9"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ODD 6.61 (Inventaires)</w:t>
            </w:r>
          </w:p>
        </w:tc>
        <w:tc>
          <w:tcPr>
            <w:tcW w:w="1304" w:type="dxa"/>
            <w:tcBorders>
              <w:top w:val="single" w:sz="4" w:space="0" w:color="auto"/>
              <w:left w:val="nil"/>
              <w:bottom w:val="single" w:sz="4" w:space="0" w:color="auto"/>
              <w:right w:val="single" w:sz="4" w:space="0" w:color="auto"/>
            </w:tcBorders>
            <w:vAlign w:val="center"/>
          </w:tcPr>
          <w:p w14:paraId="7D9AF51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CB9E9F2"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350BA5C"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91</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B0A464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4369FA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E97BAA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DE0BBE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196B82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4279F8" w:rsidRPr="009F03BD" w14:paraId="28EEDCDD"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E53CE98" w14:textId="77777777" w:rsidR="004279F8" w:rsidRPr="009A6DFA" w:rsidRDefault="004279F8" w:rsidP="00F50FDE">
            <w:pPr>
              <w:spacing w:after="0" w:line="240" w:lineRule="auto"/>
              <w:rPr>
                <w:rFonts w:asciiTheme="minorHAnsi" w:hAnsiTheme="minorHAnsi" w:cstheme="minorHAnsi"/>
                <w:lang w:val="fr-FR"/>
              </w:rPr>
            </w:pPr>
            <w:r w:rsidRPr="007A177C">
              <w:rPr>
                <w:rFonts w:asciiTheme="minorHAnsi" w:hAnsiTheme="minorHAnsi" w:cstheme="minorHAnsi"/>
                <w:lang w:val="fr-FR"/>
              </w:rPr>
              <w:t>Service d’information sur les Sites Ramsar (entretien et développement)</w:t>
            </w:r>
          </w:p>
        </w:tc>
        <w:tc>
          <w:tcPr>
            <w:tcW w:w="1304" w:type="dxa"/>
            <w:tcBorders>
              <w:top w:val="single" w:sz="4" w:space="0" w:color="auto"/>
              <w:left w:val="nil"/>
              <w:bottom w:val="single" w:sz="4" w:space="0" w:color="auto"/>
              <w:right w:val="single" w:sz="4" w:space="0" w:color="auto"/>
            </w:tcBorders>
            <w:vAlign w:val="center"/>
          </w:tcPr>
          <w:p w14:paraId="3029626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91</w:t>
            </w:r>
          </w:p>
        </w:tc>
        <w:tc>
          <w:tcPr>
            <w:tcW w:w="1304" w:type="dxa"/>
            <w:tcBorders>
              <w:top w:val="single" w:sz="4" w:space="0" w:color="auto"/>
              <w:left w:val="single" w:sz="4" w:space="0" w:color="auto"/>
              <w:bottom w:val="single" w:sz="4" w:space="0" w:color="auto"/>
              <w:right w:val="single" w:sz="4" w:space="0" w:color="auto"/>
            </w:tcBorders>
            <w:vAlign w:val="center"/>
          </w:tcPr>
          <w:p w14:paraId="3EAFEFD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E8FF0D3"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316CEE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4D0D591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4200FC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2D0A8DF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8F48DC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4279F8" w:rsidRPr="009F03BD" w14:paraId="3967A0F8" w14:textId="77777777" w:rsidTr="00F50FDE">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6E9BC327"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G. Administration/SISR/Web</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689AAA33"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436</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10804A43"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11</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24AD96C0"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83</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327D163F"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03CB4835"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89DBA26"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45FB13AE"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C2EC5D0"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4279F8" w:rsidRPr="009F03BD" w14:paraId="2481711A"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7970CDB"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Salaires et charges sociales</w:t>
            </w:r>
          </w:p>
        </w:tc>
        <w:tc>
          <w:tcPr>
            <w:tcW w:w="1304" w:type="dxa"/>
            <w:tcBorders>
              <w:top w:val="single" w:sz="4" w:space="0" w:color="auto"/>
              <w:left w:val="nil"/>
              <w:bottom w:val="single" w:sz="4" w:space="0" w:color="auto"/>
              <w:right w:val="single" w:sz="4" w:space="0" w:color="auto"/>
            </w:tcBorders>
            <w:vAlign w:val="center"/>
          </w:tcPr>
          <w:p w14:paraId="58D5015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315</w:t>
            </w:r>
          </w:p>
        </w:tc>
        <w:tc>
          <w:tcPr>
            <w:tcW w:w="1304" w:type="dxa"/>
            <w:tcBorders>
              <w:top w:val="single" w:sz="4" w:space="0" w:color="auto"/>
              <w:left w:val="single" w:sz="4" w:space="0" w:color="auto"/>
              <w:bottom w:val="single" w:sz="4" w:space="0" w:color="auto"/>
              <w:right w:val="single" w:sz="4" w:space="0" w:color="auto"/>
            </w:tcBorders>
            <w:vAlign w:val="center"/>
          </w:tcPr>
          <w:p w14:paraId="7EA0D033"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A6028D0"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60AB02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73153E2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0FE6AE3"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B573EB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D0E9BF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4279F8" w:rsidRPr="009F03BD" w14:paraId="1157C3AA"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4DCB24A"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Autres prestations liées à l’emploi</w:t>
            </w:r>
          </w:p>
        </w:tc>
        <w:tc>
          <w:tcPr>
            <w:tcW w:w="1304" w:type="dxa"/>
            <w:tcBorders>
              <w:top w:val="single" w:sz="4" w:space="0" w:color="auto"/>
              <w:left w:val="nil"/>
              <w:bottom w:val="single" w:sz="4" w:space="0" w:color="auto"/>
              <w:right w:val="single" w:sz="4" w:space="0" w:color="auto"/>
            </w:tcBorders>
            <w:vAlign w:val="center"/>
          </w:tcPr>
          <w:p w14:paraId="71B06B1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1</w:t>
            </w:r>
          </w:p>
        </w:tc>
        <w:tc>
          <w:tcPr>
            <w:tcW w:w="1304" w:type="dxa"/>
            <w:tcBorders>
              <w:top w:val="single" w:sz="4" w:space="0" w:color="auto"/>
              <w:left w:val="single" w:sz="4" w:space="0" w:color="auto"/>
              <w:bottom w:val="single" w:sz="4" w:space="0" w:color="auto"/>
              <w:right w:val="single" w:sz="4" w:space="0" w:color="auto"/>
            </w:tcBorders>
            <w:vAlign w:val="center"/>
          </w:tcPr>
          <w:p w14:paraId="18084F2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1D08AD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86A480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58D3D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AC3763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799C0D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086E04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4279F8" w:rsidRPr="009F03BD" w14:paraId="3F4ADD6E"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EFA147E"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Recrutement et indemnités de départ</w:t>
            </w:r>
          </w:p>
        </w:tc>
        <w:tc>
          <w:tcPr>
            <w:tcW w:w="1304" w:type="dxa"/>
            <w:tcBorders>
              <w:top w:val="single" w:sz="4" w:space="0" w:color="auto"/>
              <w:left w:val="nil"/>
              <w:bottom w:val="single" w:sz="4" w:space="0" w:color="auto"/>
              <w:right w:val="single" w:sz="4" w:space="0" w:color="auto"/>
            </w:tcBorders>
            <w:vAlign w:val="center"/>
          </w:tcPr>
          <w:p w14:paraId="0AF10769"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25</w:t>
            </w:r>
          </w:p>
        </w:tc>
        <w:tc>
          <w:tcPr>
            <w:tcW w:w="1304" w:type="dxa"/>
            <w:tcBorders>
              <w:top w:val="single" w:sz="4" w:space="0" w:color="auto"/>
              <w:left w:val="single" w:sz="4" w:space="0" w:color="auto"/>
              <w:bottom w:val="single" w:sz="4" w:space="0" w:color="auto"/>
              <w:right w:val="single" w:sz="4" w:space="0" w:color="auto"/>
            </w:tcBorders>
            <w:vAlign w:val="center"/>
          </w:tcPr>
          <w:p w14:paraId="5BB5EE55"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D850CA4"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442E0A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34B0F78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414CAD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CB74B7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ED5E8A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4279F8" w:rsidRPr="009F03BD" w14:paraId="361FEE01"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61D967C"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Déplacements</w:t>
            </w:r>
          </w:p>
        </w:tc>
        <w:tc>
          <w:tcPr>
            <w:tcW w:w="1304" w:type="dxa"/>
            <w:tcBorders>
              <w:top w:val="single" w:sz="4" w:space="0" w:color="auto"/>
              <w:left w:val="nil"/>
              <w:bottom w:val="single" w:sz="4" w:space="0" w:color="auto"/>
              <w:right w:val="single" w:sz="4" w:space="0" w:color="auto"/>
            </w:tcBorders>
            <w:vAlign w:val="center"/>
          </w:tcPr>
          <w:p w14:paraId="2822DE80"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CBEAAF7"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19B1B71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1CA0D1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F65822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43FC92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E137CC3"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CA5F7C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4279F8" w:rsidRPr="009F03BD" w14:paraId="4761ECE1"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1FA6C51"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Équipements/fournitures de bureau</w:t>
            </w:r>
          </w:p>
        </w:tc>
        <w:tc>
          <w:tcPr>
            <w:tcW w:w="1304" w:type="dxa"/>
            <w:tcBorders>
              <w:top w:val="single" w:sz="4" w:space="0" w:color="auto"/>
              <w:left w:val="nil"/>
              <w:bottom w:val="single" w:sz="4" w:space="0" w:color="auto"/>
              <w:right w:val="single" w:sz="4" w:space="0" w:color="auto"/>
            </w:tcBorders>
            <w:vAlign w:val="center"/>
          </w:tcPr>
          <w:p w14:paraId="7F1A0BA1"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95</w:t>
            </w:r>
          </w:p>
        </w:tc>
        <w:tc>
          <w:tcPr>
            <w:tcW w:w="1304" w:type="dxa"/>
            <w:tcBorders>
              <w:top w:val="single" w:sz="4" w:space="0" w:color="auto"/>
              <w:left w:val="single" w:sz="4" w:space="0" w:color="auto"/>
              <w:bottom w:val="single" w:sz="4" w:space="0" w:color="auto"/>
              <w:right w:val="single" w:sz="4" w:space="0" w:color="auto"/>
            </w:tcBorders>
            <w:vAlign w:val="center"/>
          </w:tcPr>
          <w:p w14:paraId="253D2624"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5ECE6D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C6126B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16180FE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427ED3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7AC3081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71ABA1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4279F8" w:rsidRPr="009F03BD" w14:paraId="3BFD58C0"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2C95C7E"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Planification et renforcement des capacités</w:t>
            </w:r>
          </w:p>
        </w:tc>
        <w:tc>
          <w:tcPr>
            <w:tcW w:w="1304" w:type="dxa"/>
            <w:tcBorders>
              <w:top w:val="single" w:sz="4" w:space="0" w:color="auto"/>
              <w:left w:val="nil"/>
              <w:bottom w:val="single" w:sz="4" w:space="0" w:color="auto"/>
              <w:right w:val="single" w:sz="4" w:space="0" w:color="auto"/>
            </w:tcBorders>
            <w:vAlign w:val="center"/>
          </w:tcPr>
          <w:p w14:paraId="51EDFEB3"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2510A5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11</w:t>
            </w:r>
          </w:p>
        </w:tc>
        <w:tc>
          <w:tcPr>
            <w:tcW w:w="1304" w:type="dxa"/>
            <w:tcBorders>
              <w:top w:val="single" w:sz="4" w:space="0" w:color="auto"/>
              <w:left w:val="single" w:sz="4" w:space="0" w:color="auto"/>
              <w:bottom w:val="single" w:sz="4" w:space="0" w:color="auto"/>
              <w:right w:val="single" w:sz="4" w:space="0" w:color="auto"/>
            </w:tcBorders>
            <w:vAlign w:val="center"/>
          </w:tcPr>
          <w:p w14:paraId="6A05B7D7"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83</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86A9AF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CC7796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B893A8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A96821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B0A7A2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r>
      <w:tr w:rsidR="004279F8" w:rsidRPr="009F03BD" w14:paraId="26D2678C"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0142A023"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H. Services au Comité permanent</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7405FEC8"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150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250C34F9"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6058EC47"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75</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4E6D45FF"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5123182F"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4A63A707"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C0B9D38" w14:textId="28A37AF7" w:rsidR="004279F8" w:rsidRPr="009F03BD" w:rsidRDefault="004279F8" w:rsidP="00777F7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w:t>
            </w:r>
            <w:r w:rsidR="00777F7E">
              <w:rPr>
                <w:rFonts w:asciiTheme="minorHAnsi" w:hAnsiTheme="minorHAnsi" w:cstheme="minorHAnsi"/>
                <w:b/>
                <w:bCs/>
                <w:color w:val="000000"/>
              </w:rPr>
              <w:t>6</w:t>
            </w:r>
            <w:r w:rsidRPr="009F03BD">
              <w:rPr>
                <w:rFonts w:asciiTheme="minorHAnsi" w:hAnsiTheme="minorHAnsi" w:cstheme="minorHAnsi"/>
                <w:b/>
                <w:bCs/>
                <w:color w:val="000000"/>
              </w:rPr>
              <w:t>)</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49B59D8" w14:textId="3E6DAD95" w:rsidR="004279F8" w:rsidRPr="009F03BD" w:rsidRDefault="00777F7E" w:rsidP="00F50FDE">
            <w:pPr>
              <w:spacing w:after="0" w:line="240" w:lineRule="auto"/>
              <w:jc w:val="right"/>
              <w:rPr>
                <w:rFonts w:asciiTheme="minorHAnsi" w:hAnsiTheme="minorHAnsi" w:cstheme="minorHAnsi"/>
                <w:b/>
                <w:bCs/>
                <w:color w:val="000000"/>
              </w:rPr>
            </w:pPr>
            <w:r>
              <w:rPr>
                <w:rFonts w:asciiTheme="minorHAnsi" w:hAnsiTheme="minorHAnsi" w:cstheme="minorHAnsi"/>
                <w:b/>
                <w:bCs/>
                <w:color w:val="000000"/>
              </w:rPr>
              <w:t>246</w:t>
            </w:r>
          </w:p>
        </w:tc>
      </w:tr>
      <w:tr w:rsidR="004279F8" w:rsidRPr="009F03BD" w14:paraId="299A4F7A"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0DB228C"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Appui aux délégués du Comité permanent</w:t>
            </w:r>
          </w:p>
        </w:tc>
        <w:tc>
          <w:tcPr>
            <w:tcW w:w="1304" w:type="dxa"/>
            <w:tcBorders>
              <w:top w:val="single" w:sz="4" w:space="0" w:color="auto"/>
              <w:left w:val="nil"/>
              <w:bottom w:val="single" w:sz="4" w:space="0" w:color="auto"/>
              <w:right w:val="single" w:sz="4" w:space="0" w:color="auto"/>
            </w:tcBorders>
            <w:vAlign w:val="center"/>
          </w:tcPr>
          <w:p w14:paraId="21C95A0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45</w:t>
            </w:r>
          </w:p>
        </w:tc>
        <w:tc>
          <w:tcPr>
            <w:tcW w:w="1304" w:type="dxa"/>
            <w:tcBorders>
              <w:top w:val="single" w:sz="4" w:space="0" w:color="auto"/>
              <w:left w:val="single" w:sz="4" w:space="0" w:color="auto"/>
              <w:bottom w:val="single" w:sz="4" w:space="0" w:color="auto"/>
              <w:right w:val="single" w:sz="4" w:space="0" w:color="auto"/>
            </w:tcBorders>
            <w:vAlign w:val="center"/>
          </w:tcPr>
          <w:p w14:paraId="448ED006"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5CF5317"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DB37C2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19B0075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1158C2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2AEE3A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A60409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4279F8" w:rsidRPr="009F03BD" w14:paraId="62B27FC4"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FE7C066"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Réunions du Comité permanent</w:t>
            </w:r>
          </w:p>
        </w:tc>
        <w:tc>
          <w:tcPr>
            <w:tcW w:w="1304" w:type="dxa"/>
            <w:tcBorders>
              <w:top w:val="single" w:sz="4" w:space="0" w:color="auto"/>
              <w:left w:val="nil"/>
              <w:bottom w:val="single" w:sz="4" w:space="0" w:color="auto"/>
              <w:right w:val="single" w:sz="4" w:space="0" w:color="auto"/>
            </w:tcBorders>
            <w:vAlign w:val="center"/>
          </w:tcPr>
          <w:p w14:paraId="18CCBF6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10</w:t>
            </w:r>
          </w:p>
        </w:tc>
        <w:tc>
          <w:tcPr>
            <w:tcW w:w="1304" w:type="dxa"/>
            <w:tcBorders>
              <w:top w:val="single" w:sz="4" w:space="0" w:color="auto"/>
              <w:left w:val="single" w:sz="4" w:space="0" w:color="auto"/>
              <w:bottom w:val="single" w:sz="4" w:space="0" w:color="auto"/>
              <w:right w:val="single" w:sz="4" w:space="0" w:color="auto"/>
            </w:tcBorders>
            <w:vAlign w:val="center"/>
          </w:tcPr>
          <w:p w14:paraId="01D82A1A"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CD3E872"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8893A1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3856C6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09C772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D949EF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9A3244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4279F8" w:rsidRPr="009F03BD" w14:paraId="79BA6E64"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74DC7E35"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Services de traduction pour le Comité permanent</w:t>
            </w:r>
          </w:p>
        </w:tc>
        <w:tc>
          <w:tcPr>
            <w:tcW w:w="1304" w:type="dxa"/>
            <w:tcBorders>
              <w:top w:val="single" w:sz="4" w:space="0" w:color="auto"/>
              <w:left w:val="nil"/>
              <w:bottom w:val="single" w:sz="4" w:space="0" w:color="auto"/>
              <w:right w:val="single" w:sz="4" w:space="0" w:color="auto"/>
            </w:tcBorders>
            <w:vAlign w:val="center"/>
          </w:tcPr>
          <w:p w14:paraId="49E2A8B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60</w:t>
            </w:r>
          </w:p>
        </w:tc>
        <w:tc>
          <w:tcPr>
            <w:tcW w:w="1304" w:type="dxa"/>
            <w:tcBorders>
              <w:top w:val="single" w:sz="4" w:space="0" w:color="auto"/>
              <w:left w:val="single" w:sz="4" w:space="0" w:color="auto"/>
              <w:bottom w:val="single" w:sz="4" w:space="0" w:color="auto"/>
              <w:right w:val="single" w:sz="4" w:space="0" w:color="auto"/>
            </w:tcBorders>
            <w:vAlign w:val="center"/>
          </w:tcPr>
          <w:p w14:paraId="176E8ECE"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07693C06"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B3054B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382F0CE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00FEA7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DA3AA0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ABFC37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r>
      <w:tr w:rsidR="004279F8" w:rsidRPr="009F03BD" w14:paraId="498C3D50"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0029DB15"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Interprétation simultanée aux réunions du Comité permanent</w:t>
            </w:r>
          </w:p>
        </w:tc>
        <w:tc>
          <w:tcPr>
            <w:tcW w:w="1304" w:type="dxa"/>
            <w:tcBorders>
              <w:top w:val="single" w:sz="4" w:space="0" w:color="auto"/>
              <w:left w:val="nil"/>
              <w:bottom w:val="single" w:sz="4" w:space="0" w:color="auto"/>
              <w:right w:val="single" w:sz="4" w:space="0" w:color="auto"/>
            </w:tcBorders>
            <w:vAlign w:val="center"/>
          </w:tcPr>
          <w:p w14:paraId="60C665B5"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35</w:t>
            </w:r>
          </w:p>
        </w:tc>
        <w:tc>
          <w:tcPr>
            <w:tcW w:w="1304" w:type="dxa"/>
            <w:tcBorders>
              <w:top w:val="single" w:sz="4" w:space="0" w:color="auto"/>
              <w:left w:val="single" w:sz="4" w:space="0" w:color="auto"/>
              <w:bottom w:val="single" w:sz="4" w:space="0" w:color="auto"/>
              <w:right w:val="single" w:sz="4" w:space="0" w:color="auto"/>
            </w:tcBorders>
            <w:vAlign w:val="center"/>
          </w:tcPr>
          <w:p w14:paraId="3638A99F"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6D00AF5"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6413CCE"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6FC6A8F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34BF3ED"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3D9A4F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F995CD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r>
      <w:tr w:rsidR="004279F8" w:rsidRPr="009F03BD" w14:paraId="41862317"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2418F44A"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Groupe de travail sur l’efficacité</w:t>
            </w:r>
          </w:p>
        </w:tc>
        <w:tc>
          <w:tcPr>
            <w:tcW w:w="1304" w:type="dxa"/>
            <w:tcBorders>
              <w:top w:val="single" w:sz="4" w:space="0" w:color="auto"/>
              <w:left w:val="nil"/>
              <w:bottom w:val="single" w:sz="4" w:space="0" w:color="auto"/>
              <w:right w:val="single" w:sz="4" w:space="0" w:color="auto"/>
            </w:tcBorders>
            <w:vAlign w:val="center"/>
          </w:tcPr>
          <w:p w14:paraId="6C6086A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E19E731"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52C723D5"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55</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CB684D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112D325"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A3AFE4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4397004"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A8AFFD9"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r>
      <w:tr w:rsidR="004279F8" w:rsidRPr="009F03BD" w14:paraId="151C1EA9"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51FCFB8D"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Examen des résolutions (Rés. XIII.4)</w:t>
            </w:r>
          </w:p>
        </w:tc>
        <w:tc>
          <w:tcPr>
            <w:tcW w:w="1304" w:type="dxa"/>
            <w:tcBorders>
              <w:top w:val="single" w:sz="4" w:space="0" w:color="auto"/>
              <w:left w:val="nil"/>
              <w:bottom w:val="single" w:sz="4" w:space="0" w:color="auto"/>
              <w:right w:val="single" w:sz="4" w:space="0" w:color="auto"/>
            </w:tcBorders>
            <w:vAlign w:val="center"/>
          </w:tcPr>
          <w:p w14:paraId="714B3406"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6D17C848"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446B66F8"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20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75A18D3"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677439A"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8692278"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45C1FEC" w14:textId="08D16980" w:rsidR="004279F8" w:rsidRPr="009F03BD" w:rsidRDefault="004279F8" w:rsidP="00777F7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w:t>
            </w:r>
            <w:r w:rsidR="00777F7E">
              <w:rPr>
                <w:rFonts w:asciiTheme="minorHAnsi" w:hAnsiTheme="minorHAnsi" w:cstheme="minorHAnsi"/>
                <w:color w:val="000000"/>
              </w:rPr>
              <w:t>6</w:t>
            </w:r>
            <w:r w:rsidRPr="009F03BD">
              <w:rPr>
                <w:rFonts w:asciiTheme="minorHAnsi" w:hAnsiTheme="minorHAnsi" w:cstheme="minorHAnsi"/>
                <w:color w:val="000000"/>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D4181C4" w14:textId="51F54651" w:rsidR="004279F8" w:rsidRPr="009F03BD" w:rsidRDefault="00777F7E" w:rsidP="00F50FDE">
            <w:pPr>
              <w:spacing w:after="0" w:line="240" w:lineRule="auto"/>
              <w:jc w:val="right"/>
              <w:rPr>
                <w:rFonts w:asciiTheme="minorHAnsi" w:hAnsiTheme="minorHAnsi" w:cstheme="minorHAnsi"/>
                <w:color w:val="000000"/>
              </w:rPr>
            </w:pPr>
            <w:r>
              <w:rPr>
                <w:rFonts w:asciiTheme="minorHAnsi" w:hAnsiTheme="minorHAnsi" w:cstheme="minorHAnsi"/>
                <w:color w:val="000000"/>
              </w:rPr>
              <w:t>26</w:t>
            </w:r>
          </w:p>
        </w:tc>
      </w:tr>
      <w:tr w:rsidR="004279F8" w:rsidRPr="009F03BD" w14:paraId="444E996C" w14:textId="77777777" w:rsidTr="00F50FDE">
        <w:tc>
          <w:tcPr>
            <w:tcW w:w="3970" w:type="dxa"/>
            <w:tcBorders>
              <w:top w:val="nil"/>
              <w:left w:val="single" w:sz="4" w:space="0" w:color="auto"/>
              <w:bottom w:val="single" w:sz="4" w:space="0" w:color="auto"/>
              <w:right w:val="single" w:sz="4" w:space="0" w:color="auto"/>
            </w:tcBorders>
            <w:shd w:val="clear" w:color="000000" w:fill="EAF1DD"/>
            <w:vAlign w:val="center"/>
            <w:hideMark/>
          </w:tcPr>
          <w:p w14:paraId="72D106CB"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lastRenderedPageBreak/>
              <w:t>J. Coûts des services administratifs de l’UICN (maximum)</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57FE8BF0"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560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5B4B4922"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72417A1C"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54F67F6E"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0F837129"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4098EF56"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46228DFC"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6ADCAEC"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529</w:t>
            </w:r>
          </w:p>
        </w:tc>
      </w:tr>
      <w:tr w:rsidR="004279F8" w:rsidRPr="009F03BD" w14:paraId="75DA2F0F"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1660AE56"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Administration, ressources humaines, services financiers &amp; informatiques</w:t>
            </w:r>
          </w:p>
        </w:tc>
        <w:tc>
          <w:tcPr>
            <w:tcW w:w="1304" w:type="dxa"/>
            <w:tcBorders>
              <w:top w:val="single" w:sz="4" w:space="0" w:color="auto"/>
              <w:left w:val="nil"/>
              <w:bottom w:val="single" w:sz="4" w:space="0" w:color="auto"/>
              <w:right w:val="single" w:sz="4" w:space="0" w:color="auto"/>
            </w:tcBorders>
            <w:vAlign w:val="center"/>
          </w:tcPr>
          <w:p w14:paraId="160CD483"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560</w:t>
            </w:r>
          </w:p>
        </w:tc>
        <w:tc>
          <w:tcPr>
            <w:tcW w:w="1304" w:type="dxa"/>
            <w:tcBorders>
              <w:top w:val="single" w:sz="4" w:space="0" w:color="auto"/>
              <w:left w:val="single" w:sz="4" w:space="0" w:color="auto"/>
              <w:bottom w:val="single" w:sz="4" w:space="0" w:color="auto"/>
              <w:right w:val="single" w:sz="4" w:space="0" w:color="auto"/>
            </w:tcBorders>
            <w:vAlign w:val="center"/>
          </w:tcPr>
          <w:p w14:paraId="0541731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AE825F9"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705904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2B7CF74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427C9B1"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3571762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CCE6A8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529</w:t>
            </w:r>
          </w:p>
        </w:tc>
      </w:tr>
      <w:tr w:rsidR="004279F8" w:rsidRPr="009F03BD" w14:paraId="7A06BCCD" w14:textId="77777777" w:rsidTr="00F50FDE">
        <w:tc>
          <w:tcPr>
            <w:tcW w:w="3970" w:type="dxa"/>
            <w:tcBorders>
              <w:top w:val="nil"/>
              <w:left w:val="single" w:sz="4" w:space="0" w:color="auto"/>
              <w:bottom w:val="single" w:sz="4" w:space="0" w:color="auto"/>
              <w:right w:val="single" w:sz="4" w:space="0" w:color="auto"/>
            </w:tcBorders>
            <w:shd w:val="clear" w:color="000000" w:fill="EAF1DD"/>
            <w:noWrap/>
            <w:vAlign w:val="center"/>
            <w:hideMark/>
          </w:tcPr>
          <w:p w14:paraId="4E4C471D"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K. Divers - Fonds de réserve</w:t>
            </w:r>
          </w:p>
        </w:tc>
        <w:tc>
          <w:tcPr>
            <w:tcW w:w="1304" w:type="dxa"/>
            <w:tcBorders>
              <w:top w:val="single" w:sz="4" w:space="0" w:color="auto"/>
              <w:left w:val="nil"/>
              <w:bottom w:val="single" w:sz="4" w:space="0" w:color="auto"/>
              <w:right w:val="single" w:sz="4" w:space="0" w:color="auto"/>
            </w:tcBorders>
            <w:shd w:val="clear" w:color="000000" w:fill="EAF1DD"/>
            <w:vAlign w:val="center"/>
          </w:tcPr>
          <w:p w14:paraId="5F50F654"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109</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4006E9B4"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0</w:t>
            </w:r>
          </w:p>
        </w:tc>
        <w:tc>
          <w:tcPr>
            <w:tcW w:w="1304" w:type="dxa"/>
            <w:tcBorders>
              <w:top w:val="single" w:sz="4" w:space="0" w:color="auto"/>
              <w:left w:val="single" w:sz="4" w:space="0" w:color="auto"/>
              <w:bottom w:val="single" w:sz="4" w:space="0" w:color="auto"/>
              <w:right w:val="single" w:sz="4" w:space="0" w:color="auto"/>
            </w:tcBorders>
            <w:shd w:val="clear" w:color="000000" w:fill="EAF1DD"/>
            <w:vAlign w:val="center"/>
          </w:tcPr>
          <w:p w14:paraId="64407B86" w14:textId="77777777" w:rsidR="004279F8" w:rsidRPr="00564F07" w:rsidRDefault="004279F8" w:rsidP="00F50FDE">
            <w:pPr>
              <w:spacing w:after="0" w:line="240" w:lineRule="auto"/>
              <w:jc w:val="right"/>
              <w:rPr>
                <w:rFonts w:asciiTheme="minorHAnsi" w:hAnsiTheme="minorHAnsi" w:cstheme="minorHAnsi"/>
                <w:b/>
                <w:bCs/>
                <w:color w:val="000000"/>
                <w:lang w:val="fr-FR"/>
              </w:rPr>
            </w:pPr>
            <w:r w:rsidRPr="00564F07">
              <w:rPr>
                <w:rFonts w:asciiTheme="minorHAnsi" w:hAnsiTheme="minorHAnsi" w:cstheme="minorHAnsi"/>
                <w:b/>
                <w:bCs/>
                <w:color w:val="000000"/>
                <w:lang w:val="fr-FR"/>
              </w:rPr>
              <w:t>25</w:t>
            </w:r>
          </w:p>
        </w:tc>
        <w:tc>
          <w:tcPr>
            <w:tcW w:w="1304" w:type="dxa"/>
            <w:tcBorders>
              <w:top w:val="nil"/>
              <w:left w:val="single" w:sz="4" w:space="0" w:color="auto"/>
              <w:bottom w:val="single" w:sz="4" w:space="0" w:color="auto"/>
              <w:right w:val="single" w:sz="4" w:space="0" w:color="auto"/>
            </w:tcBorders>
            <w:shd w:val="clear" w:color="000000" w:fill="EAF1DD"/>
            <w:noWrap/>
            <w:vAlign w:val="center"/>
            <w:hideMark/>
          </w:tcPr>
          <w:p w14:paraId="18CFBB6B"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7455B562"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71C75AD"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39DB381A" w14:textId="7AE6B166" w:rsidR="004279F8" w:rsidRPr="009F03BD" w:rsidRDefault="004279F8" w:rsidP="00777F7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w:t>
            </w:r>
            <w:r w:rsidR="00777F7E">
              <w:rPr>
                <w:rFonts w:asciiTheme="minorHAnsi" w:hAnsiTheme="minorHAnsi" w:cstheme="minorHAnsi"/>
                <w:b/>
                <w:bCs/>
                <w:color w:val="000000"/>
              </w:rPr>
              <w:t>150</w:t>
            </w:r>
            <w:r w:rsidRPr="009F03BD">
              <w:rPr>
                <w:rFonts w:asciiTheme="minorHAnsi" w:hAnsiTheme="minorHAnsi" w:cstheme="minorHAnsi"/>
                <w:b/>
                <w:bCs/>
                <w:color w:val="000000"/>
              </w:rPr>
              <w:t>)</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2A041783" w14:textId="46B29313" w:rsidR="004279F8" w:rsidRPr="009F03BD" w:rsidRDefault="00777F7E" w:rsidP="00F50FDE">
            <w:pPr>
              <w:spacing w:after="0" w:line="240" w:lineRule="auto"/>
              <w:jc w:val="right"/>
              <w:rPr>
                <w:rFonts w:asciiTheme="minorHAnsi" w:hAnsiTheme="minorHAnsi" w:cstheme="minorHAnsi"/>
                <w:b/>
                <w:bCs/>
                <w:color w:val="000000"/>
              </w:rPr>
            </w:pPr>
            <w:r>
              <w:rPr>
                <w:rFonts w:asciiTheme="minorHAnsi" w:hAnsiTheme="minorHAnsi" w:cstheme="minorHAnsi"/>
                <w:b/>
                <w:bCs/>
                <w:color w:val="000000"/>
              </w:rPr>
              <w:t>310</w:t>
            </w:r>
          </w:p>
        </w:tc>
      </w:tr>
      <w:tr w:rsidR="004279F8" w:rsidRPr="009F03BD" w14:paraId="3A04CE1E"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F85F7DC"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Provisions</w:t>
            </w:r>
          </w:p>
        </w:tc>
        <w:tc>
          <w:tcPr>
            <w:tcW w:w="1304" w:type="dxa"/>
            <w:tcBorders>
              <w:top w:val="single" w:sz="4" w:space="0" w:color="auto"/>
              <w:left w:val="nil"/>
              <w:bottom w:val="single" w:sz="4" w:space="0" w:color="auto"/>
              <w:right w:val="single" w:sz="4" w:space="0" w:color="auto"/>
            </w:tcBorders>
            <w:vAlign w:val="center"/>
          </w:tcPr>
          <w:p w14:paraId="0182A8A3"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50</w:t>
            </w:r>
          </w:p>
        </w:tc>
        <w:tc>
          <w:tcPr>
            <w:tcW w:w="1304" w:type="dxa"/>
            <w:tcBorders>
              <w:top w:val="single" w:sz="4" w:space="0" w:color="auto"/>
              <w:left w:val="single" w:sz="4" w:space="0" w:color="auto"/>
              <w:bottom w:val="single" w:sz="4" w:space="0" w:color="auto"/>
              <w:right w:val="single" w:sz="4" w:space="0" w:color="auto"/>
            </w:tcBorders>
            <w:vAlign w:val="center"/>
          </w:tcPr>
          <w:p w14:paraId="0C8C367B"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A12C82D" w14:textId="77777777" w:rsidR="004279F8" w:rsidRPr="00564F07" w:rsidRDefault="004279F8" w:rsidP="00F50FDE">
            <w:pPr>
              <w:spacing w:after="0" w:line="240" w:lineRule="auto"/>
              <w:jc w:val="right"/>
              <w:rPr>
                <w:rFonts w:asciiTheme="minorHAnsi" w:hAnsiTheme="minorHAnsi" w:cstheme="minorHAnsi"/>
                <w:color w:val="000000"/>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D96543B"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4B2A30A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C98581F"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B79699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BD58966"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212</w:t>
            </w:r>
          </w:p>
        </w:tc>
      </w:tr>
      <w:tr w:rsidR="004279F8" w:rsidRPr="009F03BD" w14:paraId="13FEDB64"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65643A59" w14:textId="77777777" w:rsidR="004279F8" w:rsidRPr="007A177C" w:rsidRDefault="004279F8" w:rsidP="00F50FDE">
            <w:pPr>
              <w:spacing w:after="0" w:line="240" w:lineRule="auto"/>
              <w:rPr>
                <w:rFonts w:asciiTheme="minorHAnsi" w:hAnsiTheme="minorHAnsi" w:cstheme="minorHAnsi"/>
                <w:color w:val="000000"/>
                <w:lang w:val="fr-FR"/>
              </w:rPr>
            </w:pPr>
            <w:r w:rsidRPr="007A177C">
              <w:rPr>
                <w:rFonts w:asciiTheme="minorHAnsi" w:hAnsiTheme="minorHAnsi" w:cstheme="minorHAnsi"/>
                <w:lang w:val="fr-FR"/>
              </w:rPr>
              <w:t>Gains/pertes liés au change</w:t>
            </w:r>
          </w:p>
        </w:tc>
        <w:tc>
          <w:tcPr>
            <w:tcW w:w="1304" w:type="dxa"/>
            <w:tcBorders>
              <w:top w:val="single" w:sz="4" w:space="0" w:color="auto"/>
              <w:left w:val="nil"/>
              <w:bottom w:val="single" w:sz="4" w:space="0" w:color="auto"/>
              <w:right w:val="single" w:sz="4" w:space="0" w:color="auto"/>
            </w:tcBorders>
            <w:vAlign w:val="center"/>
          </w:tcPr>
          <w:p w14:paraId="511F6649"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CA3E552"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A15CB8" w14:textId="77777777" w:rsidR="004279F8" w:rsidRPr="00564F07" w:rsidRDefault="004279F8" w:rsidP="00F50FDE">
            <w:pPr>
              <w:spacing w:after="0" w:line="240" w:lineRule="auto"/>
              <w:jc w:val="right"/>
              <w:rPr>
                <w:rFonts w:asciiTheme="minorHAnsi" w:hAnsiTheme="minorHAnsi" w:cstheme="minorHAnsi"/>
                <w:color w:val="000000"/>
                <w:lang w:val="fr-FR"/>
              </w:rPr>
            </w:pPr>
            <w:r w:rsidRPr="00564F07">
              <w:rPr>
                <w:rFonts w:asciiTheme="minorHAnsi" w:hAnsiTheme="minorHAnsi" w:cstheme="minorHAnsi"/>
                <w:color w:val="000000"/>
                <w:lang w:val="fr-FR"/>
              </w:rPr>
              <w:t>0</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76EE83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64CE88A0"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25C4062"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81EDCC7"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308645C" w14:textId="77777777" w:rsidR="004279F8" w:rsidRPr="009F03BD" w:rsidRDefault="004279F8" w:rsidP="00F50FDE">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4279F8" w:rsidRPr="009F03BD" w14:paraId="5662483C" w14:textId="77777777" w:rsidTr="00F50FDE">
        <w:tc>
          <w:tcPr>
            <w:tcW w:w="3970" w:type="dxa"/>
            <w:tcBorders>
              <w:top w:val="nil"/>
              <w:left w:val="single" w:sz="4" w:space="0" w:color="auto"/>
              <w:bottom w:val="single" w:sz="4" w:space="0" w:color="auto"/>
              <w:right w:val="single" w:sz="4" w:space="0" w:color="auto"/>
            </w:tcBorders>
            <w:shd w:val="clear" w:color="auto" w:fill="auto"/>
            <w:noWrap/>
            <w:vAlign w:val="center"/>
            <w:hideMark/>
          </w:tcPr>
          <w:p w14:paraId="3333471F" w14:textId="77777777" w:rsidR="004279F8" w:rsidRPr="007A177C" w:rsidRDefault="004279F8" w:rsidP="00F50FDE">
            <w:pPr>
              <w:spacing w:after="0" w:line="240" w:lineRule="auto"/>
              <w:rPr>
                <w:rFonts w:asciiTheme="minorHAnsi" w:hAnsiTheme="minorHAnsi" w:cstheme="minorHAnsi"/>
                <w:color w:val="000000"/>
              </w:rPr>
            </w:pPr>
            <w:r w:rsidRPr="007A177C">
              <w:rPr>
                <w:rFonts w:asciiTheme="minorHAnsi" w:hAnsiTheme="minorHAnsi" w:cstheme="minorHAnsi"/>
              </w:rPr>
              <w:t>Services juridiques</w:t>
            </w:r>
          </w:p>
        </w:tc>
        <w:tc>
          <w:tcPr>
            <w:tcW w:w="1304" w:type="dxa"/>
            <w:tcBorders>
              <w:top w:val="single" w:sz="4" w:space="0" w:color="auto"/>
              <w:left w:val="nil"/>
              <w:bottom w:val="single" w:sz="4" w:space="0" w:color="auto"/>
              <w:right w:val="single" w:sz="4" w:space="0" w:color="auto"/>
            </w:tcBorders>
            <w:vAlign w:val="center"/>
          </w:tcPr>
          <w:p w14:paraId="513C4827" w14:textId="77777777" w:rsidR="004279F8" w:rsidRPr="00564F07" w:rsidRDefault="004279F8" w:rsidP="00F50FDE">
            <w:pPr>
              <w:spacing w:after="0" w:line="240" w:lineRule="auto"/>
              <w:jc w:val="right"/>
              <w:rPr>
                <w:rFonts w:asciiTheme="minorHAnsi" w:hAnsiTheme="minorHAnsi" w:cstheme="minorHAnsi"/>
              </w:rPr>
            </w:pPr>
            <w:r w:rsidRPr="00564F07">
              <w:rPr>
                <w:rFonts w:asciiTheme="minorHAnsi" w:hAnsiTheme="minorHAnsi" w:cstheme="minorHAnsi"/>
                <w:lang w:val="fr-FR"/>
              </w:rPr>
              <w:t>59</w:t>
            </w:r>
          </w:p>
        </w:tc>
        <w:tc>
          <w:tcPr>
            <w:tcW w:w="1304" w:type="dxa"/>
            <w:tcBorders>
              <w:top w:val="single" w:sz="4" w:space="0" w:color="auto"/>
              <w:left w:val="single" w:sz="4" w:space="0" w:color="auto"/>
              <w:bottom w:val="single" w:sz="4" w:space="0" w:color="auto"/>
              <w:right w:val="single" w:sz="4" w:space="0" w:color="auto"/>
            </w:tcBorders>
            <w:vAlign w:val="center"/>
          </w:tcPr>
          <w:p w14:paraId="10A8DC7C" w14:textId="77777777" w:rsidR="004279F8" w:rsidRPr="00564F07" w:rsidRDefault="004279F8" w:rsidP="00F50FDE">
            <w:pPr>
              <w:spacing w:after="0" w:line="240" w:lineRule="auto"/>
              <w:jc w:val="right"/>
              <w:rPr>
                <w:rFonts w:asciiTheme="minorHAnsi" w:hAnsiTheme="minorHAnsi" w:cstheme="minorHAnsi"/>
              </w:rPr>
            </w:pPr>
            <w:r w:rsidRPr="00564F07">
              <w:rPr>
                <w:rFonts w:asciiTheme="minorHAnsi" w:hAnsiTheme="minorHAnsi" w:cstheme="minorHAnsi"/>
                <w:lang w:val="fr-FR"/>
              </w:rPr>
              <w:t>0</w:t>
            </w:r>
          </w:p>
        </w:tc>
        <w:tc>
          <w:tcPr>
            <w:tcW w:w="1304" w:type="dxa"/>
            <w:tcBorders>
              <w:top w:val="single" w:sz="4" w:space="0" w:color="auto"/>
              <w:left w:val="single" w:sz="4" w:space="0" w:color="auto"/>
              <w:bottom w:val="single" w:sz="4" w:space="0" w:color="auto"/>
              <w:right w:val="single" w:sz="4" w:space="0" w:color="auto"/>
            </w:tcBorders>
            <w:vAlign w:val="center"/>
          </w:tcPr>
          <w:p w14:paraId="391F2C22" w14:textId="77777777" w:rsidR="004279F8" w:rsidRPr="00564F07" w:rsidRDefault="004279F8" w:rsidP="00F50FDE">
            <w:pPr>
              <w:spacing w:after="0" w:line="240" w:lineRule="auto"/>
              <w:jc w:val="right"/>
              <w:rPr>
                <w:rFonts w:asciiTheme="minorHAnsi" w:hAnsiTheme="minorHAnsi" w:cstheme="minorHAnsi"/>
              </w:rPr>
            </w:pPr>
            <w:r w:rsidRPr="00564F07">
              <w:rPr>
                <w:rFonts w:asciiTheme="minorHAnsi" w:hAnsiTheme="minorHAnsi" w:cstheme="minorHAnsi"/>
                <w:lang w:val="fr-FR"/>
              </w:rPr>
              <w:t>25</w:t>
            </w:r>
          </w:p>
        </w:tc>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BECD8D5" w14:textId="77777777" w:rsidR="004279F8" w:rsidRPr="009F03BD" w:rsidRDefault="004279F8" w:rsidP="00F50FDE">
            <w:pPr>
              <w:spacing w:after="0" w:line="240" w:lineRule="auto"/>
              <w:jc w:val="right"/>
              <w:rPr>
                <w:rFonts w:asciiTheme="minorHAnsi" w:hAnsiTheme="minorHAnsi" w:cstheme="minorHAnsi"/>
              </w:rPr>
            </w:pPr>
            <w:r w:rsidRPr="009F03BD">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48476455" w14:textId="77777777" w:rsidR="004279F8" w:rsidRPr="009F03BD" w:rsidRDefault="004279F8" w:rsidP="00F50FDE">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5E0DB94" w14:textId="77777777" w:rsidR="004279F8" w:rsidRPr="009F03BD" w:rsidRDefault="004279F8" w:rsidP="00F50FDE">
            <w:pPr>
              <w:spacing w:after="0" w:line="240" w:lineRule="auto"/>
              <w:jc w:val="right"/>
              <w:rPr>
                <w:rFonts w:asciiTheme="minorHAnsi" w:hAnsiTheme="minorHAnsi" w:cstheme="minorHAnsi"/>
              </w:rPr>
            </w:pPr>
            <w:r w:rsidRPr="009F03BD">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4E54C0A4" w14:textId="791CB091" w:rsidR="004279F8" w:rsidRPr="009F03BD" w:rsidRDefault="00777F7E" w:rsidP="00F50FDE">
            <w:pPr>
              <w:spacing w:after="0" w:line="240" w:lineRule="auto"/>
              <w:jc w:val="right"/>
              <w:rPr>
                <w:rFonts w:asciiTheme="minorHAnsi" w:hAnsiTheme="minorHAnsi" w:cstheme="minorHAnsi"/>
              </w:rPr>
            </w:pPr>
            <w:r>
              <w:rPr>
                <w:rFonts w:asciiTheme="minorHAnsi" w:hAnsiTheme="minorHAnsi" w:cstheme="minorHAnsi"/>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46F216E" w14:textId="5FD274AC" w:rsidR="004279F8" w:rsidRPr="009F03BD" w:rsidRDefault="00777F7E" w:rsidP="00F50FDE">
            <w:pPr>
              <w:spacing w:after="0" w:line="240" w:lineRule="auto"/>
              <w:jc w:val="right"/>
              <w:rPr>
                <w:rFonts w:asciiTheme="minorHAnsi" w:hAnsiTheme="minorHAnsi" w:cstheme="minorHAnsi"/>
              </w:rPr>
            </w:pPr>
            <w:r>
              <w:rPr>
                <w:rFonts w:asciiTheme="minorHAnsi" w:hAnsiTheme="minorHAnsi" w:cstheme="minorHAnsi"/>
              </w:rPr>
              <w:t>127</w:t>
            </w:r>
          </w:p>
        </w:tc>
      </w:tr>
      <w:tr w:rsidR="004279F8" w:rsidRPr="009F03BD" w14:paraId="3CFFD20E" w14:textId="77777777" w:rsidTr="00F50FDE">
        <w:tc>
          <w:tcPr>
            <w:tcW w:w="3970" w:type="dxa"/>
            <w:tcBorders>
              <w:top w:val="nil"/>
              <w:left w:val="single" w:sz="4" w:space="0" w:color="auto"/>
              <w:bottom w:val="single" w:sz="4" w:space="0" w:color="auto"/>
              <w:right w:val="single" w:sz="4" w:space="0" w:color="auto"/>
            </w:tcBorders>
            <w:shd w:val="clear" w:color="000000" w:fill="D6E3BC"/>
            <w:noWrap/>
            <w:vAlign w:val="center"/>
            <w:hideMark/>
          </w:tcPr>
          <w:p w14:paraId="137A0662" w14:textId="77777777" w:rsidR="004279F8" w:rsidRPr="007A177C" w:rsidRDefault="004279F8" w:rsidP="00F50FDE">
            <w:pPr>
              <w:spacing w:after="0" w:line="240" w:lineRule="auto"/>
              <w:rPr>
                <w:rFonts w:asciiTheme="minorHAnsi" w:hAnsiTheme="minorHAnsi" w:cstheme="minorHAnsi"/>
                <w:b/>
                <w:bCs/>
                <w:color w:val="000000"/>
              </w:rPr>
            </w:pPr>
            <w:r w:rsidRPr="007A177C">
              <w:rPr>
                <w:rFonts w:asciiTheme="minorHAnsi" w:hAnsiTheme="minorHAnsi" w:cstheme="minorHAnsi"/>
              </w:rPr>
              <w:t>TOTAL DÉPENSES</w:t>
            </w:r>
          </w:p>
        </w:tc>
        <w:tc>
          <w:tcPr>
            <w:tcW w:w="1304" w:type="dxa"/>
            <w:tcBorders>
              <w:top w:val="single" w:sz="4" w:space="0" w:color="auto"/>
              <w:left w:val="nil"/>
              <w:bottom w:val="single" w:sz="4" w:space="0" w:color="auto"/>
              <w:right w:val="single" w:sz="4" w:space="0" w:color="auto"/>
            </w:tcBorders>
            <w:shd w:val="clear" w:color="000000" w:fill="D6E3BC"/>
            <w:vAlign w:val="center"/>
          </w:tcPr>
          <w:p w14:paraId="4B53963F"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5 081</w:t>
            </w:r>
          </w:p>
        </w:tc>
        <w:tc>
          <w:tcPr>
            <w:tcW w:w="1304" w:type="dxa"/>
            <w:tcBorders>
              <w:top w:val="single" w:sz="4" w:space="0" w:color="auto"/>
              <w:left w:val="single" w:sz="4" w:space="0" w:color="auto"/>
              <w:bottom w:val="single" w:sz="4" w:space="0" w:color="auto"/>
              <w:right w:val="single" w:sz="4" w:space="0" w:color="auto"/>
            </w:tcBorders>
            <w:shd w:val="clear" w:color="000000" w:fill="D6E3BC"/>
            <w:vAlign w:val="center"/>
          </w:tcPr>
          <w:p w14:paraId="60B7D503"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76</w:t>
            </w:r>
          </w:p>
        </w:tc>
        <w:tc>
          <w:tcPr>
            <w:tcW w:w="1304" w:type="dxa"/>
            <w:tcBorders>
              <w:top w:val="single" w:sz="4" w:space="0" w:color="auto"/>
              <w:left w:val="single" w:sz="4" w:space="0" w:color="auto"/>
              <w:bottom w:val="single" w:sz="4" w:space="0" w:color="auto"/>
              <w:right w:val="single" w:sz="4" w:space="0" w:color="auto"/>
            </w:tcBorders>
            <w:shd w:val="clear" w:color="000000" w:fill="D6E3BC"/>
            <w:vAlign w:val="center"/>
          </w:tcPr>
          <w:p w14:paraId="0773C409" w14:textId="77777777" w:rsidR="004279F8" w:rsidRPr="00564F07" w:rsidRDefault="004279F8" w:rsidP="00F50FDE">
            <w:pPr>
              <w:spacing w:after="0" w:line="240" w:lineRule="auto"/>
              <w:jc w:val="right"/>
              <w:rPr>
                <w:rFonts w:asciiTheme="minorHAnsi" w:hAnsiTheme="minorHAnsi" w:cstheme="minorHAnsi"/>
                <w:b/>
                <w:bCs/>
                <w:color w:val="000000"/>
              </w:rPr>
            </w:pPr>
            <w:r w:rsidRPr="00564F07">
              <w:rPr>
                <w:rFonts w:asciiTheme="minorHAnsi" w:hAnsiTheme="minorHAnsi" w:cstheme="minorHAnsi"/>
                <w:b/>
                <w:bCs/>
                <w:color w:val="000000"/>
                <w:lang w:val="fr-FR"/>
              </w:rPr>
              <w:t>588</w:t>
            </w:r>
          </w:p>
        </w:tc>
        <w:tc>
          <w:tcPr>
            <w:tcW w:w="1304" w:type="dxa"/>
            <w:tcBorders>
              <w:top w:val="nil"/>
              <w:left w:val="single" w:sz="4" w:space="0" w:color="auto"/>
              <w:bottom w:val="single" w:sz="4" w:space="0" w:color="auto"/>
              <w:right w:val="single" w:sz="4" w:space="0" w:color="auto"/>
            </w:tcBorders>
            <w:shd w:val="clear" w:color="000000" w:fill="D6E3BC"/>
            <w:noWrap/>
            <w:vAlign w:val="center"/>
            <w:hideMark/>
          </w:tcPr>
          <w:p w14:paraId="7F344EFA"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14C6D87D"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w:t>
            </w:r>
            <w:r>
              <w:rPr>
                <w:rFonts w:asciiTheme="minorHAnsi" w:hAnsiTheme="minorHAnsi" w:cstheme="minorHAnsi"/>
                <w:b/>
                <w:bCs/>
                <w:color w:val="000000"/>
              </w:rPr>
              <w:t xml:space="preserve"> </w:t>
            </w:r>
            <w:r w:rsidRPr="009F03BD">
              <w:rPr>
                <w:rFonts w:asciiTheme="minorHAnsi" w:hAnsiTheme="minorHAnsi" w:cstheme="minorHAnsi"/>
                <w:b/>
                <w:bCs/>
                <w:color w:val="000000"/>
              </w:rPr>
              <w:t>664</w:t>
            </w:r>
          </w:p>
        </w:tc>
        <w:tc>
          <w:tcPr>
            <w:tcW w:w="1346" w:type="dxa"/>
            <w:tcBorders>
              <w:top w:val="nil"/>
              <w:left w:val="single" w:sz="8" w:space="0" w:color="auto"/>
              <w:bottom w:val="single" w:sz="8" w:space="0" w:color="auto"/>
              <w:right w:val="nil"/>
            </w:tcBorders>
            <w:shd w:val="clear" w:color="000000" w:fill="BDD7EE"/>
            <w:noWrap/>
            <w:vAlign w:val="center"/>
            <w:hideMark/>
          </w:tcPr>
          <w:p w14:paraId="2B6BFD11"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68D83DDB"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4AC9DBBE" w14:textId="77777777" w:rsidR="004279F8" w:rsidRPr="009F03BD" w:rsidRDefault="004279F8" w:rsidP="00F50FDE">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w:t>
            </w:r>
            <w:r>
              <w:rPr>
                <w:rFonts w:asciiTheme="minorHAnsi" w:hAnsiTheme="minorHAnsi" w:cstheme="minorHAnsi"/>
                <w:b/>
                <w:bCs/>
                <w:color w:val="000000"/>
              </w:rPr>
              <w:t xml:space="preserve"> </w:t>
            </w:r>
            <w:r w:rsidRPr="009F03BD">
              <w:rPr>
                <w:rFonts w:asciiTheme="minorHAnsi" w:hAnsiTheme="minorHAnsi" w:cstheme="minorHAnsi"/>
                <w:b/>
                <w:bCs/>
                <w:color w:val="000000"/>
              </w:rPr>
              <w:t>936</w:t>
            </w:r>
          </w:p>
        </w:tc>
      </w:tr>
    </w:tbl>
    <w:p w14:paraId="1FC973A3" w14:textId="77777777" w:rsidR="004279F8" w:rsidRPr="009A6DFA" w:rsidRDefault="004279F8" w:rsidP="004279F8">
      <w:pPr>
        <w:spacing w:after="0" w:line="240" w:lineRule="auto"/>
        <w:rPr>
          <w:rFonts w:asciiTheme="minorHAnsi" w:hAnsiTheme="minorHAnsi" w:cstheme="minorHAnsi"/>
          <w:bCs/>
          <w:i/>
          <w:iCs/>
          <w:color w:val="000000"/>
          <w:lang w:val="fr-FR"/>
        </w:rPr>
      </w:pPr>
      <w:r w:rsidRPr="009A6DFA">
        <w:rPr>
          <w:rFonts w:asciiTheme="minorHAnsi" w:hAnsiTheme="minorHAnsi" w:cstheme="minorHAnsi"/>
          <w:bCs/>
          <w:i/>
          <w:iCs/>
          <w:color w:val="000000"/>
          <w:lang w:val="fr-FR"/>
        </w:rPr>
        <w:t>*report sur la même ligne budgétaire conformément à la décision SC57-50 du Comité permanent</w:t>
      </w:r>
    </w:p>
    <w:p w14:paraId="0E65E718" w14:textId="77777777" w:rsidR="004279F8" w:rsidRPr="009A6DFA" w:rsidRDefault="004279F8" w:rsidP="004279F8">
      <w:pPr>
        <w:spacing w:after="0" w:line="240" w:lineRule="auto"/>
        <w:rPr>
          <w:rFonts w:asciiTheme="minorHAnsi" w:hAnsiTheme="minorHAnsi" w:cstheme="minorHAnsi"/>
          <w:bCs/>
          <w:i/>
          <w:iCs/>
          <w:color w:val="000000"/>
          <w:lang w:val="fr-FR"/>
        </w:rPr>
      </w:pPr>
      <w:r w:rsidRPr="009A6DFA">
        <w:rPr>
          <w:rFonts w:asciiTheme="minorHAnsi" w:hAnsiTheme="minorHAnsi" w:cstheme="minorHAnsi"/>
          <w:bCs/>
          <w:i/>
          <w:iCs/>
          <w:color w:val="000000"/>
          <w:lang w:val="fr-FR"/>
        </w:rPr>
        <w:t>**économies possibles en raison de l'actuelle pandémie de COVID-19</w:t>
      </w:r>
    </w:p>
    <w:p w14:paraId="13D162A9" w14:textId="6268CB19" w:rsidR="004279F8" w:rsidRDefault="004279F8" w:rsidP="001B6D9C">
      <w:pPr>
        <w:spacing w:after="0" w:line="240" w:lineRule="auto"/>
        <w:rPr>
          <w:lang w:val="fr-FR"/>
        </w:rPr>
      </w:pPr>
    </w:p>
    <w:p w14:paraId="72555DCA" w14:textId="77777777" w:rsidR="00777F7E" w:rsidRDefault="00777F7E" w:rsidP="001B6D9C">
      <w:pPr>
        <w:spacing w:after="0" w:line="240" w:lineRule="auto"/>
        <w:rPr>
          <w:lang w:val="fr-FR"/>
        </w:rPr>
        <w:sectPr w:rsidR="00777F7E" w:rsidSect="004279F8">
          <w:footerReference w:type="default" r:id="rId12"/>
          <w:pgSz w:w="16838" w:h="11906" w:orient="landscape"/>
          <w:pgMar w:top="1440" w:right="1440" w:bottom="1440" w:left="1440" w:header="709" w:footer="709" w:gutter="0"/>
          <w:cols w:space="708"/>
          <w:docGrid w:linePitch="360"/>
        </w:sectPr>
      </w:pPr>
    </w:p>
    <w:p w14:paraId="69447A9C" w14:textId="1590F229" w:rsidR="00777F7E" w:rsidRPr="000B1B3C" w:rsidRDefault="00777F7E" w:rsidP="001B6D9C">
      <w:pPr>
        <w:spacing w:after="0" w:line="240" w:lineRule="auto"/>
        <w:rPr>
          <w:rFonts w:asciiTheme="minorHAnsi" w:hAnsiTheme="minorHAnsi" w:cstheme="minorHAnsi"/>
          <w:b/>
          <w:iCs/>
          <w:sz w:val="24"/>
          <w:szCs w:val="24"/>
          <w:lang w:val="fr-FR" w:eastAsia="ja-JP"/>
        </w:rPr>
      </w:pPr>
      <w:r w:rsidRPr="000B1B3C">
        <w:rPr>
          <w:rFonts w:asciiTheme="minorHAnsi" w:hAnsiTheme="minorHAnsi" w:cstheme="minorHAnsi"/>
          <w:b/>
          <w:iCs/>
          <w:sz w:val="24"/>
          <w:szCs w:val="24"/>
          <w:lang w:val="fr-FR" w:eastAsia="ja-JP"/>
        </w:rPr>
        <w:lastRenderedPageBreak/>
        <w:t>Annexe 5</w:t>
      </w:r>
    </w:p>
    <w:p w14:paraId="74A6C690" w14:textId="7899C786" w:rsidR="00777F7E" w:rsidRPr="000B1B3C" w:rsidRDefault="00777F7E" w:rsidP="001B6D9C">
      <w:pPr>
        <w:spacing w:after="0" w:line="240" w:lineRule="auto"/>
        <w:rPr>
          <w:rFonts w:asciiTheme="minorHAnsi" w:hAnsiTheme="minorHAnsi" w:cstheme="minorHAnsi"/>
          <w:b/>
          <w:iCs/>
          <w:sz w:val="24"/>
          <w:szCs w:val="24"/>
          <w:lang w:val="fr-FR" w:eastAsia="ja-JP"/>
        </w:rPr>
      </w:pPr>
    </w:p>
    <w:p w14:paraId="332A06F4" w14:textId="77777777" w:rsidR="00777F7E" w:rsidRPr="000B1B3C" w:rsidRDefault="00777F7E" w:rsidP="00777F7E">
      <w:pPr>
        <w:spacing w:after="0" w:line="240" w:lineRule="auto"/>
        <w:rPr>
          <w:rFonts w:asciiTheme="minorHAnsi" w:hAnsiTheme="minorHAnsi" w:cstheme="minorHAnsi"/>
          <w:b/>
          <w:iCs/>
          <w:sz w:val="24"/>
          <w:szCs w:val="24"/>
          <w:lang w:val="fr-FR" w:eastAsia="ja-JP"/>
        </w:rPr>
      </w:pPr>
      <w:r w:rsidRPr="000B1B3C">
        <w:rPr>
          <w:rFonts w:asciiTheme="minorHAnsi" w:hAnsiTheme="minorHAnsi" w:cstheme="minorHAnsi"/>
          <w:b/>
          <w:iCs/>
          <w:sz w:val="24"/>
          <w:szCs w:val="24"/>
          <w:lang w:val="fr-FR" w:eastAsia="ja-JP"/>
        </w:rPr>
        <w:t>Liste des participants</w:t>
      </w:r>
    </w:p>
    <w:p w14:paraId="3E88456F" w14:textId="01DDD7E5" w:rsidR="00777F7E" w:rsidRDefault="00777F7E" w:rsidP="001B6D9C">
      <w:pPr>
        <w:spacing w:after="0" w:line="240" w:lineRule="auto"/>
        <w:rPr>
          <w:lang w:val="fr-FR"/>
        </w:rPr>
      </w:pPr>
    </w:p>
    <w:p w14:paraId="36B0139B" w14:textId="60D68DD2" w:rsidR="00777F7E" w:rsidRPr="000B1B3C" w:rsidRDefault="00777F7E" w:rsidP="001B6D9C">
      <w:pPr>
        <w:spacing w:after="0" w:line="240" w:lineRule="auto"/>
        <w:rPr>
          <w:rFonts w:cstheme="minorHAnsi"/>
          <w:b/>
          <w:lang w:val="fr-FR"/>
        </w:rPr>
      </w:pPr>
      <w:r w:rsidRPr="000B1B3C">
        <w:rPr>
          <w:rFonts w:cstheme="minorHAnsi"/>
          <w:b/>
          <w:lang w:val="fr-FR"/>
        </w:rPr>
        <w:t>23 juin :</w:t>
      </w:r>
    </w:p>
    <w:p w14:paraId="7E02CC8C" w14:textId="418BFD39" w:rsidR="00777F7E" w:rsidRDefault="00777F7E" w:rsidP="001B6D9C">
      <w:pPr>
        <w:spacing w:after="0" w:line="240" w:lineRule="auto"/>
        <w:rPr>
          <w:rFonts w:cs="Arial"/>
          <w:b/>
          <w:sz w:val="28"/>
          <w:szCs w:val="28"/>
          <w:lang w:val="fr-FR"/>
        </w:rPr>
      </w:pPr>
    </w:p>
    <w:p w14:paraId="795FA98E" w14:textId="77777777" w:rsidR="00777F7E" w:rsidRPr="001D7066" w:rsidRDefault="00777F7E" w:rsidP="00777F7E">
      <w:pPr>
        <w:spacing w:after="0" w:line="240" w:lineRule="auto"/>
        <w:rPr>
          <w:rFonts w:cstheme="minorHAnsi"/>
          <w:b/>
          <w:lang w:val="fr-FR"/>
        </w:rPr>
      </w:pPr>
      <w:r w:rsidRPr="001D7066">
        <w:rPr>
          <w:rFonts w:cstheme="minorHAnsi"/>
          <w:b/>
          <w:lang w:val="fr-FR"/>
        </w:rPr>
        <w:t>Membres du Comité permanent:</w:t>
      </w:r>
    </w:p>
    <w:p w14:paraId="65F8A25F" w14:textId="77777777" w:rsidR="00777F7E" w:rsidRPr="001D7066" w:rsidRDefault="00777F7E" w:rsidP="00777F7E">
      <w:pPr>
        <w:spacing w:after="0" w:line="240" w:lineRule="auto"/>
        <w:rPr>
          <w:rFonts w:cstheme="minorHAnsi"/>
          <w:lang w:val="fr-FR"/>
        </w:rPr>
      </w:pPr>
      <w:r w:rsidRPr="001D7066">
        <w:rPr>
          <w:rFonts w:cstheme="minorHAnsi"/>
          <w:lang w:val="fr-FR"/>
        </w:rPr>
        <w:t>Algérie</w:t>
      </w:r>
    </w:p>
    <w:p w14:paraId="0E7A0509" w14:textId="77777777" w:rsidR="00777F7E" w:rsidRPr="001D7066" w:rsidRDefault="00777F7E" w:rsidP="00777F7E">
      <w:pPr>
        <w:spacing w:after="0" w:line="240" w:lineRule="auto"/>
        <w:rPr>
          <w:rFonts w:cstheme="minorHAnsi"/>
          <w:lang w:val="fr-FR"/>
        </w:rPr>
      </w:pPr>
      <w:r w:rsidRPr="001D7066">
        <w:rPr>
          <w:rFonts w:cstheme="minorHAnsi"/>
          <w:lang w:val="fr-FR"/>
        </w:rPr>
        <w:t>Arménie</w:t>
      </w:r>
    </w:p>
    <w:p w14:paraId="7A1FDAAC" w14:textId="77777777" w:rsidR="00777F7E" w:rsidRPr="001D7066" w:rsidRDefault="00777F7E" w:rsidP="00777F7E">
      <w:pPr>
        <w:spacing w:after="0" w:line="240" w:lineRule="auto"/>
        <w:rPr>
          <w:rFonts w:cstheme="minorHAnsi"/>
          <w:lang w:val="fr-FR"/>
        </w:rPr>
      </w:pPr>
      <w:r w:rsidRPr="001D7066">
        <w:rPr>
          <w:rFonts w:cstheme="minorHAnsi"/>
          <w:lang w:val="fr-FR"/>
        </w:rPr>
        <w:t>Australie</w:t>
      </w:r>
    </w:p>
    <w:p w14:paraId="3314DF5D" w14:textId="77777777" w:rsidR="00777F7E" w:rsidRPr="001D7066" w:rsidRDefault="00777F7E" w:rsidP="00777F7E">
      <w:pPr>
        <w:spacing w:after="0" w:line="240" w:lineRule="auto"/>
        <w:rPr>
          <w:rFonts w:cstheme="minorHAnsi"/>
          <w:lang w:val="fr-FR"/>
        </w:rPr>
      </w:pPr>
      <w:r w:rsidRPr="001D7066">
        <w:rPr>
          <w:rFonts w:cstheme="minorHAnsi"/>
          <w:lang w:val="fr-FR"/>
        </w:rPr>
        <w:t>Chine (pays hôte de la COP14)</w:t>
      </w:r>
    </w:p>
    <w:p w14:paraId="42C9B566" w14:textId="77777777" w:rsidR="00777F7E" w:rsidRPr="001D7066" w:rsidRDefault="00777F7E" w:rsidP="00777F7E">
      <w:pPr>
        <w:spacing w:after="0" w:line="240" w:lineRule="auto"/>
        <w:rPr>
          <w:rFonts w:cstheme="minorHAnsi"/>
          <w:lang w:val="fr-FR"/>
        </w:rPr>
      </w:pPr>
      <w:r w:rsidRPr="001D7066">
        <w:rPr>
          <w:rFonts w:cstheme="minorHAnsi"/>
          <w:lang w:val="fr-FR"/>
        </w:rPr>
        <w:t>Costa Rica</w:t>
      </w:r>
    </w:p>
    <w:p w14:paraId="4F40CFE3" w14:textId="77777777" w:rsidR="00777F7E" w:rsidRPr="001D7066" w:rsidRDefault="00777F7E" w:rsidP="00777F7E">
      <w:pPr>
        <w:spacing w:after="0" w:line="240" w:lineRule="auto"/>
        <w:rPr>
          <w:rFonts w:cstheme="minorHAnsi"/>
          <w:lang w:val="fr-FR"/>
        </w:rPr>
      </w:pPr>
      <w:r w:rsidRPr="001D7066">
        <w:rPr>
          <w:rFonts w:cstheme="minorHAnsi"/>
          <w:lang w:val="fr-FR"/>
        </w:rPr>
        <w:t>Émirats arabes unis (présidence)</w:t>
      </w:r>
    </w:p>
    <w:p w14:paraId="04741C66"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Japon </w:t>
      </w:r>
    </w:p>
    <w:p w14:paraId="75721BDD"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Mexique </w:t>
      </w:r>
    </w:p>
    <w:p w14:paraId="35A3F0EF" w14:textId="77777777" w:rsidR="00777F7E" w:rsidRPr="001D7066" w:rsidRDefault="00777F7E" w:rsidP="00777F7E">
      <w:pPr>
        <w:spacing w:after="0" w:line="240" w:lineRule="auto"/>
        <w:rPr>
          <w:rFonts w:cstheme="minorHAnsi"/>
          <w:lang w:val="fr-FR"/>
        </w:rPr>
      </w:pPr>
      <w:r w:rsidRPr="001D7066">
        <w:rPr>
          <w:rFonts w:cstheme="minorHAnsi"/>
          <w:lang w:val="fr-FR"/>
        </w:rPr>
        <w:t>République dominicaine</w:t>
      </w:r>
    </w:p>
    <w:p w14:paraId="6D5EE035"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Royaume-Uni de Grande-Bretagne et d’Irlande du Nord </w:t>
      </w:r>
    </w:p>
    <w:p w14:paraId="6BCC33DB" w14:textId="77777777" w:rsidR="00777F7E" w:rsidRPr="001D7066" w:rsidRDefault="00777F7E" w:rsidP="00777F7E">
      <w:pPr>
        <w:spacing w:after="0" w:line="240" w:lineRule="auto"/>
        <w:rPr>
          <w:rFonts w:cstheme="minorHAnsi"/>
          <w:lang w:val="fr-FR"/>
        </w:rPr>
      </w:pPr>
      <w:r w:rsidRPr="001D7066">
        <w:rPr>
          <w:rFonts w:cstheme="minorHAnsi"/>
          <w:lang w:val="fr-FR"/>
        </w:rPr>
        <w:t>Suède (vice-présidence)</w:t>
      </w:r>
    </w:p>
    <w:p w14:paraId="13EE5A43"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Uruguay </w:t>
      </w:r>
    </w:p>
    <w:p w14:paraId="3A098000" w14:textId="77777777" w:rsidR="00777F7E" w:rsidRPr="001D7066" w:rsidRDefault="00777F7E" w:rsidP="00777F7E">
      <w:pPr>
        <w:spacing w:after="0" w:line="240" w:lineRule="auto"/>
        <w:rPr>
          <w:rFonts w:cstheme="minorHAnsi"/>
          <w:b/>
          <w:lang w:val="fr-FR"/>
        </w:rPr>
      </w:pPr>
    </w:p>
    <w:p w14:paraId="19805AAA" w14:textId="77777777" w:rsidR="00777F7E" w:rsidRPr="001D7066" w:rsidRDefault="00777F7E" w:rsidP="00777F7E">
      <w:pPr>
        <w:spacing w:after="0" w:line="240" w:lineRule="auto"/>
        <w:rPr>
          <w:rFonts w:cstheme="minorHAnsi"/>
          <w:b/>
          <w:lang w:val="fr-FR"/>
        </w:rPr>
      </w:pPr>
      <w:r w:rsidRPr="001D7066">
        <w:rPr>
          <w:rFonts w:cstheme="minorHAnsi"/>
          <w:b/>
          <w:lang w:val="fr-FR"/>
        </w:rPr>
        <w:t xml:space="preserve">Partie contractante avec statut d’observateur permanent: </w:t>
      </w:r>
    </w:p>
    <w:p w14:paraId="6C22FD5A" w14:textId="77777777" w:rsidR="00777F7E" w:rsidRPr="001D7066" w:rsidRDefault="00777F7E" w:rsidP="00777F7E">
      <w:pPr>
        <w:spacing w:after="0" w:line="240" w:lineRule="auto"/>
        <w:rPr>
          <w:rFonts w:cstheme="minorHAnsi"/>
          <w:lang w:val="fr-FR"/>
        </w:rPr>
      </w:pPr>
      <w:r w:rsidRPr="001D7066">
        <w:rPr>
          <w:rFonts w:cstheme="minorHAnsi"/>
          <w:lang w:val="fr-FR"/>
        </w:rPr>
        <w:t>Suisse</w:t>
      </w:r>
    </w:p>
    <w:p w14:paraId="155E5E7C" w14:textId="77777777" w:rsidR="00777F7E" w:rsidRPr="001D7066" w:rsidRDefault="00777F7E" w:rsidP="00777F7E">
      <w:pPr>
        <w:spacing w:after="0" w:line="240" w:lineRule="auto"/>
        <w:rPr>
          <w:rFonts w:cstheme="minorHAnsi"/>
          <w:lang w:val="fr-FR"/>
        </w:rPr>
      </w:pPr>
    </w:p>
    <w:p w14:paraId="605B6707" w14:textId="77777777" w:rsidR="00777F7E" w:rsidRPr="001D7066" w:rsidRDefault="00777F7E" w:rsidP="00777F7E">
      <w:pPr>
        <w:spacing w:after="0" w:line="240" w:lineRule="auto"/>
        <w:rPr>
          <w:rFonts w:cstheme="minorHAnsi"/>
          <w:b/>
          <w:lang w:val="fr-FR"/>
        </w:rPr>
      </w:pPr>
      <w:r w:rsidRPr="001D7066">
        <w:rPr>
          <w:rFonts w:cstheme="minorHAnsi"/>
          <w:b/>
          <w:lang w:val="fr-FR"/>
        </w:rPr>
        <w:t>Parties contractantes enregistrées en tant qu’observateurs:</w:t>
      </w:r>
    </w:p>
    <w:p w14:paraId="2D8C6949" w14:textId="77777777" w:rsidR="00777F7E" w:rsidRPr="001D7066" w:rsidRDefault="00777F7E" w:rsidP="00777F7E">
      <w:pPr>
        <w:spacing w:after="0" w:line="240" w:lineRule="auto"/>
        <w:rPr>
          <w:rFonts w:cstheme="minorHAnsi"/>
          <w:lang w:val="fr-FR"/>
        </w:rPr>
      </w:pPr>
      <w:r w:rsidRPr="001D7066">
        <w:rPr>
          <w:rFonts w:cstheme="minorHAnsi"/>
          <w:lang w:val="fr-FR"/>
        </w:rPr>
        <w:t>Brésil</w:t>
      </w:r>
    </w:p>
    <w:p w14:paraId="7EAFE504" w14:textId="77777777" w:rsidR="00777F7E" w:rsidRPr="001D7066" w:rsidRDefault="00777F7E" w:rsidP="00777F7E">
      <w:pPr>
        <w:spacing w:after="0" w:line="240" w:lineRule="auto"/>
        <w:rPr>
          <w:rFonts w:cstheme="minorHAnsi"/>
          <w:lang w:val="fr-FR"/>
        </w:rPr>
      </w:pPr>
      <w:r w:rsidRPr="001D7066">
        <w:rPr>
          <w:rFonts w:cstheme="minorHAnsi"/>
          <w:lang w:val="fr-FR"/>
        </w:rPr>
        <w:t>Colombie</w:t>
      </w:r>
    </w:p>
    <w:p w14:paraId="3CF1BFF1" w14:textId="77777777" w:rsidR="00777F7E" w:rsidRPr="001D7066" w:rsidRDefault="00777F7E" w:rsidP="00777F7E">
      <w:pPr>
        <w:spacing w:after="0" w:line="240" w:lineRule="auto"/>
        <w:rPr>
          <w:rFonts w:cstheme="minorHAnsi"/>
          <w:lang w:val="fr-FR"/>
        </w:rPr>
      </w:pPr>
      <w:r w:rsidRPr="001D7066">
        <w:rPr>
          <w:rFonts w:cstheme="minorHAnsi"/>
          <w:lang w:val="fr-FR"/>
        </w:rPr>
        <w:t>États-Unis d'Amérique</w:t>
      </w:r>
    </w:p>
    <w:p w14:paraId="215D5333" w14:textId="77777777" w:rsidR="00777F7E" w:rsidRPr="001D7066" w:rsidRDefault="00777F7E" w:rsidP="00777F7E">
      <w:pPr>
        <w:spacing w:after="0" w:line="240" w:lineRule="auto"/>
        <w:rPr>
          <w:rFonts w:cstheme="minorHAnsi"/>
          <w:lang w:val="fr-FR"/>
        </w:rPr>
      </w:pPr>
      <w:r w:rsidRPr="001D7066">
        <w:rPr>
          <w:rFonts w:cstheme="minorHAnsi"/>
          <w:lang w:val="fr-FR"/>
        </w:rPr>
        <w:t>Fédération de Russie</w:t>
      </w:r>
    </w:p>
    <w:p w14:paraId="144D8C6B" w14:textId="77777777" w:rsidR="00777F7E" w:rsidRPr="001D7066" w:rsidRDefault="00777F7E" w:rsidP="00777F7E">
      <w:pPr>
        <w:spacing w:after="0" w:line="240" w:lineRule="auto"/>
        <w:rPr>
          <w:rFonts w:cstheme="minorHAnsi"/>
          <w:lang w:val="fr-FR"/>
        </w:rPr>
      </w:pPr>
      <w:r w:rsidRPr="001D7066">
        <w:rPr>
          <w:rFonts w:cstheme="minorHAnsi"/>
          <w:lang w:val="fr-FR"/>
        </w:rPr>
        <w:t>Fidji</w:t>
      </w:r>
    </w:p>
    <w:p w14:paraId="7E10A3E2" w14:textId="77777777" w:rsidR="00777F7E" w:rsidRPr="001D7066" w:rsidRDefault="00777F7E" w:rsidP="00777F7E">
      <w:pPr>
        <w:spacing w:after="0" w:line="240" w:lineRule="auto"/>
        <w:rPr>
          <w:rFonts w:cstheme="minorHAnsi"/>
          <w:lang w:val="fr-FR"/>
        </w:rPr>
      </w:pPr>
      <w:r w:rsidRPr="001D7066">
        <w:rPr>
          <w:rFonts w:cstheme="minorHAnsi"/>
          <w:lang w:val="fr-FR"/>
        </w:rPr>
        <w:t>Iran (République islamique d’)</w:t>
      </w:r>
    </w:p>
    <w:p w14:paraId="5F6C0C16" w14:textId="77777777" w:rsidR="00777F7E" w:rsidRPr="001D7066" w:rsidRDefault="00777F7E" w:rsidP="00777F7E">
      <w:pPr>
        <w:spacing w:after="0" w:line="240" w:lineRule="auto"/>
        <w:rPr>
          <w:rFonts w:cstheme="minorHAnsi"/>
          <w:lang w:val="fr-FR"/>
        </w:rPr>
      </w:pPr>
      <w:r w:rsidRPr="001D7066">
        <w:rPr>
          <w:rFonts w:cstheme="minorHAnsi"/>
          <w:lang w:val="fr-FR"/>
        </w:rPr>
        <w:t>Macédoine du Nord</w:t>
      </w:r>
    </w:p>
    <w:p w14:paraId="4F1892EA" w14:textId="77777777" w:rsidR="00777F7E" w:rsidRPr="001D7066" w:rsidRDefault="00777F7E" w:rsidP="00777F7E">
      <w:pPr>
        <w:spacing w:after="0" w:line="240" w:lineRule="auto"/>
        <w:rPr>
          <w:rFonts w:cstheme="minorHAnsi"/>
          <w:lang w:val="fr-FR"/>
        </w:rPr>
      </w:pPr>
      <w:r w:rsidRPr="001D7066">
        <w:rPr>
          <w:rFonts w:cstheme="minorHAnsi"/>
          <w:lang w:val="fr-FR"/>
        </w:rPr>
        <w:t>Myanmar</w:t>
      </w:r>
    </w:p>
    <w:p w14:paraId="7CC8FC90" w14:textId="77777777" w:rsidR="00777F7E" w:rsidRPr="001D7066" w:rsidRDefault="00777F7E" w:rsidP="00777F7E">
      <w:pPr>
        <w:spacing w:after="0" w:line="240" w:lineRule="auto"/>
        <w:rPr>
          <w:rFonts w:cstheme="minorHAnsi"/>
          <w:lang w:val="fr-FR"/>
        </w:rPr>
      </w:pPr>
      <w:r w:rsidRPr="001D7066">
        <w:rPr>
          <w:rFonts w:cstheme="minorHAnsi"/>
          <w:lang w:val="fr-FR"/>
        </w:rPr>
        <w:t>Norvège</w:t>
      </w:r>
    </w:p>
    <w:p w14:paraId="458E0D2F" w14:textId="77777777" w:rsidR="00777F7E" w:rsidRPr="001D7066" w:rsidRDefault="00777F7E" w:rsidP="00777F7E">
      <w:pPr>
        <w:spacing w:after="0" w:line="240" w:lineRule="auto"/>
        <w:rPr>
          <w:rFonts w:cstheme="minorHAnsi"/>
          <w:lang w:val="fr-FR"/>
        </w:rPr>
      </w:pPr>
      <w:r w:rsidRPr="001D7066">
        <w:rPr>
          <w:rFonts w:cstheme="minorHAnsi"/>
          <w:lang w:val="fr-FR"/>
        </w:rPr>
        <w:t>Ouzbékistan</w:t>
      </w:r>
    </w:p>
    <w:p w14:paraId="759C9B10" w14:textId="77777777" w:rsidR="00777F7E" w:rsidRPr="001D7066" w:rsidRDefault="00777F7E" w:rsidP="00777F7E">
      <w:pPr>
        <w:spacing w:after="0" w:line="240" w:lineRule="auto"/>
        <w:rPr>
          <w:rFonts w:cstheme="minorHAnsi"/>
          <w:lang w:val="fr-FR"/>
        </w:rPr>
      </w:pPr>
      <w:r w:rsidRPr="001D7066">
        <w:rPr>
          <w:rFonts w:cstheme="minorHAnsi"/>
          <w:lang w:val="fr-FR"/>
        </w:rPr>
        <w:t>Panama</w:t>
      </w:r>
    </w:p>
    <w:p w14:paraId="13F5B099" w14:textId="77777777" w:rsidR="00777F7E" w:rsidRPr="001D7066" w:rsidRDefault="00777F7E" w:rsidP="00777F7E">
      <w:pPr>
        <w:spacing w:after="0" w:line="240" w:lineRule="auto"/>
        <w:rPr>
          <w:rFonts w:cstheme="minorHAnsi"/>
          <w:lang w:val="fr-FR"/>
        </w:rPr>
      </w:pPr>
      <w:r w:rsidRPr="001D7066">
        <w:rPr>
          <w:rFonts w:cstheme="minorHAnsi"/>
          <w:lang w:val="fr-FR"/>
        </w:rPr>
        <w:t>Pérou</w:t>
      </w:r>
    </w:p>
    <w:p w14:paraId="538493C1" w14:textId="77777777" w:rsidR="00777F7E" w:rsidRPr="001D7066" w:rsidRDefault="00777F7E" w:rsidP="00777F7E">
      <w:pPr>
        <w:spacing w:after="0" w:line="240" w:lineRule="auto"/>
        <w:rPr>
          <w:rFonts w:cstheme="minorHAnsi"/>
          <w:lang w:val="fr-FR"/>
        </w:rPr>
      </w:pPr>
      <w:r w:rsidRPr="001D7066">
        <w:rPr>
          <w:rFonts w:cstheme="minorHAnsi"/>
          <w:lang w:val="fr-FR"/>
        </w:rPr>
        <w:t>Roumanie</w:t>
      </w:r>
    </w:p>
    <w:p w14:paraId="20253978" w14:textId="77777777" w:rsidR="00777F7E" w:rsidRPr="001D7066" w:rsidRDefault="00777F7E" w:rsidP="00777F7E">
      <w:pPr>
        <w:spacing w:after="0" w:line="240" w:lineRule="auto"/>
        <w:rPr>
          <w:rFonts w:cstheme="minorHAnsi"/>
          <w:lang w:val="fr-FR"/>
        </w:rPr>
      </w:pPr>
      <w:r w:rsidRPr="001D7066">
        <w:rPr>
          <w:rFonts w:cstheme="minorHAnsi"/>
          <w:lang w:val="fr-FR"/>
        </w:rPr>
        <w:t>Sénégal</w:t>
      </w:r>
    </w:p>
    <w:p w14:paraId="4F1A68B7" w14:textId="77777777" w:rsidR="00777F7E" w:rsidRPr="001D7066" w:rsidRDefault="00777F7E" w:rsidP="00777F7E">
      <w:pPr>
        <w:spacing w:after="0" w:line="240" w:lineRule="auto"/>
        <w:rPr>
          <w:rFonts w:cstheme="minorHAnsi"/>
          <w:lang w:val="fr-FR"/>
        </w:rPr>
      </w:pPr>
    </w:p>
    <w:p w14:paraId="43301031" w14:textId="77777777" w:rsidR="00777F7E" w:rsidRPr="001D7066" w:rsidRDefault="00777F7E" w:rsidP="00777F7E">
      <w:pPr>
        <w:spacing w:after="0" w:line="240" w:lineRule="auto"/>
        <w:rPr>
          <w:rFonts w:asciiTheme="minorHAnsi" w:hAnsiTheme="minorHAnsi" w:cstheme="minorHAnsi"/>
          <w:b/>
          <w:lang w:val="fr-FR"/>
        </w:rPr>
      </w:pPr>
      <w:r w:rsidRPr="001D7066">
        <w:rPr>
          <w:rFonts w:cstheme="minorHAnsi"/>
          <w:b/>
          <w:lang w:val="fr-FR"/>
        </w:rPr>
        <w:t>Autre observateur</w:t>
      </w:r>
      <w:r w:rsidRPr="001D7066">
        <w:rPr>
          <w:rFonts w:asciiTheme="minorHAnsi" w:hAnsiTheme="minorHAnsi" w:cstheme="minorHAnsi"/>
          <w:b/>
          <w:lang w:val="fr-FR"/>
        </w:rPr>
        <w:t>:</w:t>
      </w:r>
    </w:p>
    <w:p w14:paraId="25EA0E3B" w14:textId="77777777" w:rsidR="00777F7E" w:rsidRPr="00535419" w:rsidRDefault="00777F7E" w:rsidP="00777F7E">
      <w:pPr>
        <w:spacing w:after="0" w:line="240" w:lineRule="auto"/>
        <w:rPr>
          <w:rFonts w:cstheme="minorHAnsi"/>
          <w:lang w:val="fr-FR"/>
        </w:rPr>
      </w:pPr>
      <w:r w:rsidRPr="001D7066">
        <w:rPr>
          <w:rFonts w:cstheme="minorHAnsi"/>
          <w:lang w:val="fr-FR"/>
        </w:rPr>
        <w:t>Président du Groupe d'évaluation scientifique et technique</w:t>
      </w:r>
    </w:p>
    <w:p w14:paraId="327E58A3" w14:textId="00F3C4CB" w:rsidR="00777F7E" w:rsidRDefault="00777F7E" w:rsidP="001B6D9C">
      <w:pPr>
        <w:spacing w:after="0" w:line="240" w:lineRule="auto"/>
        <w:rPr>
          <w:lang w:val="fr-FR"/>
        </w:rPr>
      </w:pPr>
    </w:p>
    <w:p w14:paraId="22D162BC" w14:textId="77777777" w:rsidR="00777F7E" w:rsidRDefault="00777F7E" w:rsidP="001B6D9C">
      <w:pPr>
        <w:spacing w:after="0" w:line="240" w:lineRule="auto"/>
        <w:rPr>
          <w:lang w:val="fr-FR"/>
        </w:rPr>
      </w:pPr>
    </w:p>
    <w:p w14:paraId="430B7BD9" w14:textId="682398F7" w:rsidR="00777F7E" w:rsidRPr="000B1B3C" w:rsidRDefault="00777F7E" w:rsidP="00777F7E">
      <w:pPr>
        <w:spacing w:after="0" w:line="240" w:lineRule="auto"/>
        <w:rPr>
          <w:rFonts w:cstheme="minorHAnsi"/>
          <w:b/>
          <w:lang w:val="fr-FR"/>
        </w:rPr>
      </w:pPr>
      <w:r w:rsidRPr="000B1B3C">
        <w:rPr>
          <w:rFonts w:cstheme="minorHAnsi"/>
          <w:b/>
          <w:lang w:val="fr-FR"/>
        </w:rPr>
        <w:t>25 juin :</w:t>
      </w:r>
    </w:p>
    <w:p w14:paraId="52C38BAB" w14:textId="77777777" w:rsidR="00777F7E" w:rsidRPr="001D7066" w:rsidRDefault="00777F7E" w:rsidP="00777F7E">
      <w:pPr>
        <w:spacing w:after="0" w:line="240" w:lineRule="auto"/>
        <w:rPr>
          <w:rFonts w:asciiTheme="minorHAnsi" w:hAnsiTheme="minorHAnsi" w:cstheme="minorHAnsi"/>
          <w:b/>
          <w:lang w:val="fr-FR"/>
        </w:rPr>
      </w:pPr>
    </w:p>
    <w:p w14:paraId="32D1F1FE" w14:textId="77777777" w:rsidR="00777F7E" w:rsidRPr="001D7066" w:rsidRDefault="00777F7E" w:rsidP="00777F7E">
      <w:pPr>
        <w:spacing w:after="0" w:line="240" w:lineRule="auto"/>
        <w:rPr>
          <w:rFonts w:cstheme="minorHAnsi"/>
          <w:b/>
          <w:lang w:val="fr-FR"/>
        </w:rPr>
      </w:pPr>
      <w:r w:rsidRPr="001D7066">
        <w:rPr>
          <w:rFonts w:cstheme="minorHAnsi"/>
          <w:b/>
          <w:lang w:val="fr-FR"/>
        </w:rPr>
        <w:t>Membres du Comité permanent:</w:t>
      </w:r>
    </w:p>
    <w:p w14:paraId="3B3D7311" w14:textId="77777777" w:rsidR="00777F7E" w:rsidRPr="001D7066" w:rsidRDefault="00777F7E" w:rsidP="00777F7E">
      <w:pPr>
        <w:spacing w:after="0" w:line="240" w:lineRule="auto"/>
        <w:rPr>
          <w:rFonts w:cstheme="minorHAnsi"/>
          <w:lang w:val="fr-FR"/>
        </w:rPr>
      </w:pPr>
      <w:r w:rsidRPr="001D7066">
        <w:rPr>
          <w:rFonts w:cstheme="minorHAnsi"/>
          <w:lang w:val="fr-FR"/>
        </w:rPr>
        <w:t>Algérie</w:t>
      </w:r>
    </w:p>
    <w:p w14:paraId="3F742C31" w14:textId="77777777" w:rsidR="00777F7E" w:rsidRPr="001D7066" w:rsidRDefault="00777F7E" w:rsidP="00777F7E">
      <w:pPr>
        <w:spacing w:after="0" w:line="240" w:lineRule="auto"/>
        <w:rPr>
          <w:rFonts w:cstheme="minorHAnsi"/>
          <w:lang w:val="fr-FR"/>
        </w:rPr>
      </w:pPr>
      <w:r w:rsidRPr="001D7066">
        <w:rPr>
          <w:rFonts w:cstheme="minorHAnsi"/>
          <w:lang w:val="fr-FR"/>
        </w:rPr>
        <w:t>Arménie</w:t>
      </w:r>
    </w:p>
    <w:p w14:paraId="66D0258C" w14:textId="77777777" w:rsidR="00777F7E" w:rsidRDefault="00777F7E" w:rsidP="00777F7E">
      <w:pPr>
        <w:spacing w:after="0" w:line="240" w:lineRule="auto"/>
        <w:rPr>
          <w:rFonts w:cstheme="minorHAnsi"/>
          <w:lang w:val="fr-FR"/>
        </w:rPr>
      </w:pPr>
      <w:r w:rsidRPr="001D7066">
        <w:rPr>
          <w:rFonts w:cstheme="minorHAnsi"/>
          <w:lang w:val="fr-FR"/>
        </w:rPr>
        <w:t>Australie</w:t>
      </w:r>
    </w:p>
    <w:p w14:paraId="5A3D4C37" w14:textId="77777777" w:rsidR="00777F7E" w:rsidRPr="001D7066" w:rsidRDefault="00777F7E" w:rsidP="00777F7E">
      <w:pPr>
        <w:spacing w:after="0" w:line="240" w:lineRule="auto"/>
        <w:rPr>
          <w:rFonts w:cstheme="minorHAnsi"/>
          <w:lang w:val="fr-FR"/>
        </w:rPr>
      </w:pPr>
      <w:r>
        <w:rPr>
          <w:rFonts w:cstheme="minorHAnsi"/>
          <w:lang w:val="fr-FR"/>
        </w:rPr>
        <w:t>Bhoutan</w:t>
      </w:r>
    </w:p>
    <w:p w14:paraId="7CA1CA72" w14:textId="77777777" w:rsidR="00777F7E" w:rsidRPr="001D7066" w:rsidRDefault="00777F7E" w:rsidP="00777F7E">
      <w:pPr>
        <w:spacing w:after="0" w:line="240" w:lineRule="auto"/>
        <w:rPr>
          <w:rFonts w:cstheme="minorHAnsi"/>
          <w:lang w:val="fr-FR"/>
        </w:rPr>
      </w:pPr>
      <w:r w:rsidRPr="001D7066">
        <w:rPr>
          <w:rFonts w:cstheme="minorHAnsi"/>
          <w:lang w:val="fr-FR"/>
        </w:rPr>
        <w:t>Chine (pays hôte de la COP14)</w:t>
      </w:r>
    </w:p>
    <w:p w14:paraId="65E069E7" w14:textId="77777777" w:rsidR="00777F7E" w:rsidRPr="001D7066" w:rsidRDefault="00777F7E" w:rsidP="00777F7E">
      <w:pPr>
        <w:spacing w:after="0" w:line="240" w:lineRule="auto"/>
        <w:rPr>
          <w:rFonts w:cstheme="minorHAnsi"/>
          <w:lang w:val="fr-FR"/>
        </w:rPr>
      </w:pPr>
      <w:r w:rsidRPr="001D7066">
        <w:rPr>
          <w:rFonts w:cstheme="minorHAnsi"/>
          <w:lang w:val="fr-FR"/>
        </w:rPr>
        <w:lastRenderedPageBreak/>
        <w:t>Costa Rica</w:t>
      </w:r>
    </w:p>
    <w:p w14:paraId="6D4BB1BC" w14:textId="77777777" w:rsidR="00777F7E" w:rsidRPr="001D7066" w:rsidRDefault="00777F7E" w:rsidP="00777F7E">
      <w:pPr>
        <w:spacing w:after="0" w:line="240" w:lineRule="auto"/>
        <w:rPr>
          <w:rFonts w:cstheme="minorHAnsi"/>
          <w:lang w:val="fr-FR"/>
        </w:rPr>
      </w:pPr>
      <w:r w:rsidRPr="001D7066">
        <w:rPr>
          <w:rFonts w:cstheme="minorHAnsi"/>
          <w:lang w:val="fr-FR"/>
        </w:rPr>
        <w:t>Émirats arabes unis (présidence)</w:t>
      </w:r>
    </w:p>
    <w:p w14:paraId="0BEE6BF1"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Japon </w:t>
      </w:r>
    </w:p>
    <w:p w14:paraId="54AFACBB" w14:textId="77777777" w:rsidR="00777F7E" w:rsidRDefault="00777F7E" w:rsidP="00777F7E">
      <w:pPr>
        <w:spacing w:after="0" w:line="240" w:lineRule="auto"/>
        <w:rPr>
          <w:rFonts w:cstheme="minorHAnsi"/>
          <w:lang w:val="fr-FR"/>
        </w:rPr>
      </w:pPr>
      <w:r w:rsidRPr="001D7066">
        <w:rPr>
          <w:rFonts w:cstheme="minorHAnsi"/>
          <w:lang w:val="fr-FR"/>
        </w:rPr>
        <w:t xml:space="preserve">Mexique </w:t>
      </w:r>
    </w:p>
    <w:p w14:paraId="728253E7" w14:textId="77777777" w:rsidR="00777F7E" w:rsidRDefault="00777F7E" w:rsidP="00777F7E">
      <w:pPr>
        <w:spacing w:after="0" w:line="240" w:lineRule="auto"/>
        <w:rPr>
          <w:rFonts w:cstheme="minorHAnsi"/>
          <w:lang w:val="fr-FR"/>
        </w:rPr>
      </w:pPr>
      <w:r>
        <w:rPr>
          <w:rFonts w:cstheme="minorHAnsi"/>
          <w:lang w:val="fr-FR"/>
        </w:rPr>
        <w:t>Oman</w:t>
      </w:r>
    </w:p>
    <w:p w14:paraId="0CD9BA2F" w14:textId="77777777" w:rsidR="00777F7E" w:rsidRPr="001D7066" w:rsidRDefault="00777F7E" w:rsidP="00777F7E">
      <w:pPr>
        <w:spacing w:after="0" w:line="240" w:lineRule="auto"/>
        <w:rPr>
          <w:rFonts w:cstheme="minorHAnsi"/>
          <w:lang w:val="fr-FR"/>
        </w:rPr>
      </w:pPr>
      <w:r>
        <w:rPr>
          <w:rFonts w:cstheme="minorHAnsi"/>
          <w:lang w:val="fr-FR"/>
        </w:rPr>
        <w:t>Ouganda</w:t>
      </w:r>
    </w:p>
    <w:p w14:paraId="17C85AE5" w14:textId="77777777" w:rsidR="00777F7E" w:rsidRPr="001D7066" w:rsidRDefault="00777F7E" w:rsidP="00777F7E">
      <w:pPr>
        <w:spacing w:after="0" w:line="240" w:lineRule="auto"/>
        <w:rPr>
          <w:rFonts w:cstheme="minorHAnsi"/>
          <w:lang w:val="fr-FR"/>
        </w:rPr>
      </w:pPr>
      <w:r w:rsidRPr="001D7066">
        <w:rPr>
          <w:rFonts w:cstheme="minorHAnsi"/>
          <w:lang w:val="fr-FR"/>
        </w:rPr>
        <w:t>République dominicaine</w:t>
      </w:r>
    </w:p>
    <w:p w14:paraId="7C53B10B"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Royaume-Uni de Grande-Bretagne et d’Irlande du Nord </w:t>
      </w:r>
    </w:p>
    <w:p w14:paraId="31BBF97E" w14:textId="77777777" w:rsidR="00777F7E" w:rsidRPr="001D7066" w:rsidRDefault="00777F7E" w:rsidP="00777F7E">
      <w:pPr>
        <w:spacing w:after="0" w:line="240" w:lineRule="auto"/>
        <w:rPr>
          <w:rFonts w:cstheme="minorHAnsi"/>
          <w:lang w:val="fr-FR"/>
        </w:rPr>
      </w:pPr>
      <w:r w:rsidRPr="001D7066">
        <w:rPr>
          <w:rFonts w:cstheme="minorHAnsi"/>
          <w:lang w:val="fr-FR"/>
        </w:rPr>
        <w:t>Suède (vice-présidence)</w:t>
      </w:r>
    </w:p>
    <w:p w14:paraId="135F326A" w14:textId="77777777" w:rsidR="00777F7E" w:rsidRDefault="00777F7E" w:rsidP="00777F7E">
      <w:pPr>
        <w:spacing w:after="0" w:line="240" w:lineRule="auto"/>
        <w:rPr>
          <w:rFonts w:cstheme="minorHAnsi"/>
          <w:lang w:val="fr-FR"/>
        </w:rPr>
      </w:pPr>
      <w:r>
        <w:rPr>
          <w:rFonts w:cstheme="minorHAnsi"/>
          <w:lang w:val="fr-FR"/>
        </w:rPr>
        <w:t>Tchad</w:t>
      </w:r>
    </w:p>
    <w:p w14:paraId="461DC59A" w14:textId="77777777" w:rsidR="00777F7E" w:rsidRPr="001D7066" w:rsidRDefault="00777F7E" w:rsidP="00777F7E">
      <w:pPr>
        <w:spacing w:after="0" w:line="240" w:lineRule="auto"/>
        <w:rPr>
          <w:rFonts w:cstheme="minorHAnsi"/>
          <w:lang w:val="fr-FR"/>
        </w:rPr>
      </w:pPr>
      <w:r w:rsidRPr="001D7066">
        <w:rPr>
          <w:rFonts w:cstheme="minorHAnsi"/>
          <w:lang w:val="fr-FR"/>
        </w:rPr>
        <w:t xml:space="preserve">Uruguay </w:t>
      </w:r>
    </w:p>
    <w:p w14:paraId="7F328E84" w14:textId="77777777" w:rsidR="00777F7E" w:rsidRPr="001D7066" w:rsidRDefault="00777F7E" w:rsidP="00777F7E">
      <w:pPr>
        <w:spacing w:after="0" w:line="240" w:lineRule="auto"/>
        <w:rPr>
          <w:rFonts w:cstheme="minorHAnsi"/>
          <w:b/>
          <w:lang w:val="fr-FR"/>
        </w:rPr>
      </w:pPr>
    </w:p>
    <w:p w14:paraId="51925B88" w14:textId="77777777" w:rsidR="00777F7E" w:rsidRPr="001D7066" w:rsidRDefault="00777F7E" w:rsidP="00777F7E">
      <w:pPr>
        <w:spacing w:after="0" w:line="240" w:lineRule="auto"/>
        <w:rPr>
          <w:rFonts w:cstheme="minorHAnsi"/>
          <w:b/>
          <w:lang w:val="fr-FR"/>
        </w:rPr>
      </w:pPr>
      <w:r w:rsidRPr="001D7066">
        <w:rPr>
          <w:rFonts w:cstheme="minorHAnsi"/>
          <w:b/>
          <w:lang w:val="fr-FR"/>
        </w:rPr>
        <w:t xml:space="preserve">Partie contractante avec statut d’observateur permanent: </w:t>
      </w:r>
    </w:p>
    <w:p w14:paraId="76CE5ABA" w14:textId="77777777" w:rsidR="00777F7E" w:rsidRPr="001D7066" w:rsidRDefault="00777F7E" w:rsidP="00777F7E">
      <w:pPr>
        <w:spacing w:after="0" w:line="240" w:lineRule="auto"/>
        <w:rPr>
          <w:rFonts w:cstheme="minorHAnsi"/>
          <w:lang w:val="fr-FR"/>
        </w:rPr>
      </w:pPr>
      <w:r w:rsidRPr="001D7066">
        <w:rPr>
          <w:rFonts w:cstheme="minorHAnsi"/>
          <w:lang w:val="fr-FR"/>
        </w:rPr>
        <w:t>Suisse</w:t>
      </w:r>
    </w:p>
    <w:p w14:paraId="657B881B" w14:textId="77777777" w:rsidR="00777F7E" w:rsidRPr="001D7066" w:rsidRDefault="00777F7E" w:rsidP="00777F7E">
      <w:pPr>
        <w:spacing w:after="0" w:line="240" w:lineRule="auto"/>
        <w:rPr>
          <w:rFonts w:cstheme="minorHAnsi"/>
          <w:lang w:val="fr-FR"/>
        </w:rPr>
      </w:pPr>
    </w:p>
    <w:p w14:paraId="4F215B6F" w14:textId="77777777" w:rsidR="00777F7E" w:rsidRPr="001D7066" w:rsidRDefault="00777F7E" w:rsidP="00777F7E">
      <w:pPr>
        <w:spacing w:after="0" w:line="240" w:lineRule="auto"/>
        <w:rPr>
          <w:rFonts w:cstheme="minorHAnsi"/>
          <w:b/>
          <w:lang w:val="fr-FR"/>
        </w:rPr>
      </w:pPr>
      <w:r w:rsidRPr="001D7066">
        <w:rPr>
          <w:rFonts w:cstheme="minorHAnsi"/>
          <w:b/>
          <w:lang w:val="fr-FR"/>
        </w:rPr>
        <w:t>Parties contractantes enregistrées en tant qu’observateurs:</w:t>
      </w:r>
    </w:p>
    <w:p w14:paraId="4DBD932E" w14:textId="77777777" w:rsidR="00777F7E" w:rsidRPr="001D7066" w:rsidRDefault="00777F7E" w:rsidP="00777F7E">
      <w:pPr>
        <w:spacing w:after="0" w:line="240" w:lineRule="auto"/>
        <w:rPr>
          <w:rFonts w:cstheme="minorHAnsi"/>
          <w:lang w:val="fr-FR"/>
        </w:rPr>
      </w:pPr>
      <w:r w:rsidRPr="001D7066">
        <w:rPr>
          <w:rFonts w:cstheme="minorHAnsi"/>
          <w:lang w:val="fr-FR"/>
        </w:rPr>
        <w:t>Brésil</w:t>
      </w:r>
    </w:p>
    <w:p w14:paraId="7CC42E17" w14:textId="77777777" w:rsidR="00777F7E" w:rsidRPr="001D7066" w:rsidRDefault="00777F7E" w:rsidP="00777F7E">
      <w:pPr>
        <w:spacing w:after="0" w:line="240" w:lineRule="auto"/>
        <w:rPr>
          <w:rFonts w:cstheme="minorHAnsi"/>
          <w:lang w:val="fr-FR"/>
        </w:rPr>
      </w:pPr>
      <w:r w:rsidRPr="001D7066">
        <w:rPr>
          <w:rFonts w:cstheme="minorHAnsi"/>
          <w:lang w:val="fr-FR"/>
        </w:rPr>
        <w:t>Colombie</w:t>
      </w:r>
    </w:p>
    <w:p w14:paraId="0D291528" w14:textId="77777777" w:rsidR="00777F7E" w:rsidRPr="00927218" w:rsidRDefault="00777F7E" w:rsidP="00777F7E">
      <w:pPr>
        <w:spacing w:after="0" w:line="240" w:lineRule="auto"/>
        <w:rPr>
          <w:rFonts w:cstheme="minorHAnsi"/>
          <w:lang w:val="fr-FR"/>
        </w:rPr>
      </w:pPr>
      <w:r w:rsidRPr="00927218">
        <w:rPr>
          <w:rFonts w:cstheme="minorHAnsi"/>
          <w:lang w:val="fr-FR"/>
        </w:rPr>
        <w:t>États-Unis d'Amérique</w:t>
      </w:r>
    </w:p>
    <w:p w14:paraId="7C1D491D" w14:textId="77777777" w:rsidR="00777F7E" w:rsidRPr="00927218" w:rsidRDefault="00777F7E" w:rsidP="00777F7E">
      <w:pPr>
        <w:spacing w:after="0" w:line="240" w:lineRule="auto"/>
        <w:rPr>
          <w:rFonts w:cstheme="minorHAnsi"/>
          <w:lang w:val="fr-FR"/>
        </w:rPr>
      </w:pPr>
      <w:r w:rsidRPr="00927218">
        <w:rPr>
          <w:rFonts w:cstheme="minorHAnsi"/>
          <w:lang w:val="fr-FR"/>
        </w:rPr>
        <w:t>Fidji</w:t>
      </w:r>
    </w:p>
    <w:p w14:paraId="0A8AD679" w14:textId="77777777" w:rsidR="00777F7E" w:rsidRPr="00927218" w:rsidRDefault="00777F7E" w:rsidP="00777F7E">
      <w:pPr>
        <w:spacing w:after="0" w:line="240" w:lineRule="auto"/>
        <w:rPr>
          <w:rFonts w:cstheme="minorHAnsi"/>
          <w:lang w:val="fr-FR"/>
        </w:rPr>
      </w:pPr>
      <w:r w:rsidRPr="00927218">
        <w:rPr>
          <w:rFonts w:cstheme="minorHAnsi"/>
          <w:lang w:val="fr-FR"/>
        </w:rPr>
        <w:t>Guatemala</w:t>
      </w:r>
    </w:p>
    <w:p w14:paraId="0B529A08" w14:textId="77777777" w:rsidR="00777F7E" w:rsidRPr="00927218" w:rsidRDefault="00777F7E" w:rsidP="00777F7E">
      <w:pPr>
        <w:spacing w:after="0" w:line="240" w:lineRule="auto"/>
        <w:rPr>
          <w:rFonts w:cstheme="minorHAnsi"/>
          <w:lang w:val="fr-FR"/>
        </w:rPr>
      </w:pPr>
      <w:r w:rsidRPr="00927218">
        <w:rPr>
          <w:rFonts w:cstheme="minorHAnsi"/>
          <w:lang w:val="fr-FR"/>
        </w:rPr>
        <w:t>Iran (République islamique d’)</w:t>
      </w:r>
    </w:p>
    <w:p w14:paraId="7AEBCF9D" w14:textId="77777777" w:rsidR="00777F7E" w:rsidRPr="00777F7E" w:rsidRDefault="00777F7E" w:rsidP="00777F7E">
      <w:pPr>
        <w:spacing w:after="0" w:line="240" w:lineRule="auto"/>
        <w:rPr>
          <w:rFonts w:cstheme="minorHAnsi"/>
          <w:lang w:val="fr-FR"/>
        </w:rPr>
      </w:pPr>
      <w:r w:rsidRPr="00777F7E">
        <w:rPr>
          <w:rFonts w:cstheme="minorHAnsi"/>
          <w:lang w:val="fr-FR"/>
        </w:rPr>
        <w:t>Madagascar</w:t>
      </w:r>
    </w:p>
    <w:p w14:paraId="4388A868" w14:textId="77777777" w:rsidR="00777F7E" w:rsidRPr="00927218" w:rsidRDefault="00777F7E" w:rsidP="00777F7E">
      <w:pPr>
        <w:spacing w:after="0" w:line="240" w:lineRule="auto"/>
        <w:rPr>
          <w:rFonts w:cstheme="minorHAnsi"/>
          <w:lang w:val="fr-FR"/>
        </w:rPr>
      </w:pPr>
      <w:r w:rsidRPr="00927218">
        <w:rPr>
          <w:rFonts w:cstheme="minorHAnsi"/>
          <w:lang w:val="fr-FR"/>
        </w:rPr>
        <w:t>Myanmar</w:t>
      </w:r>
    </w:p>
    <w:p w14:paraId="6CB166AF" w14:textId="77777777" w:rsidR="00777F7E" w:rsidRPr="00927218" w:rsidRDefault="00777F7E" w:rsidP="00777F7E">
      <w:pPr>
        <w:spacing w:after="0" w:line="240" w:lineRule="auto"/>
        <w:rPr>
          <w:rFonts w:cstheme="minorHAnsi"/>
          <w:lang w:val="fr-FR"/>
        </w:rPr>
      </w:pPr>
      <w:r w:rsidRPr="00927218">
        <w:rPr>
          <w:rFonts w:cstheme="minorHAnsi"/>
          <w:lang w:val="fr-FR"/>
        </w:rPr>
        <w:t>Panama</w:t>
      </w:r>
    </w:p>
    <w:p w14:paraId="6CBD3DA9" w14:textId="77777777" w:rsidR="00777F7E" w:rsidRPr="00927218" w:rsidRDefault="00777F7E" w:rsidP="00777F7E">
      <w:pPr>
        <w:spacing w:after="0" w:line="240" w:lineRule="auto"/>
        <w:rPr>
          <w:rFonts w:cstheme="minorHAnsi"/>
          <w:lang w:val="fr-FR"/>
        </w:rPr>
      </w:pPr>
      <w:r w:rsidRPr="00927218">
        <w:rPr>
          <w:rFonts w:cstheme="minorHAnsi"/>
          <w:lang w:val="fr-FR"/>
        </w:rPr>
        <w:t>Pérou</w:t>
      </w:r>
    </w:p>
    <w:p w14:paraId="32F3606D" w14:textId="77777777" w:rsidR="00777F7E" w:rsidRPr="00927218" w:rsidRDefault="00777F7E" w:rsidP="00777F7E">
      <w:pPr>
        <w:spacing w:after="0" w:line="240" w:lineRule="auto"/>
        <w:rPr>
          <w:rFonts w:cstheme="minorHAnsi"/>
          <w:lang w:val="fr-FR"/>
        </w:rPr>
      </w:pPr>
      <w:r w:rsidRPr="00927218">
        <w:rPr>
          <w:rFonts w:cstheme="minorHAnsi"/>
          <w:lang w:val="fr-FR"/>
        </w:rPr>
        <w:t>Roumanie</w:t>
      </w:r>
    </w:p>
    <w:p w14:paraId="3DC6FBF5" w14:textId="77777777" w:rsidR="00777F7E" w:rsidRPr="00927218" w:rsidRDefault="00777F7E" w:rsidP="00777F7E">
      <w:pPr>
        <w:spacing w:after="0" w:line="240" w:lineRule="auto"/>
        <w:rPr>
          <w:rFonts w:cstheme="minorHAnsi"/>
          <w:lang w:val="fr-FR"/>
        </w:rPr>
      </w:pPr>
      <w:r w:rsidRPr="00927218">
        <w:rPr>
          <w:rFonts w:cstheme="minorHAnsi"/>
          <w:lang w:val="fr-FR"/>
        </w:rPr>
        <w:t>Sénégal</w:t>
      </w:r>
    </w:p>
    <w:p w14:paraId="15BCAEFD" w14:textId="77777777" w:rsidR="00777F7E" w:rsidRPr="00927218" w:rsidRDefault="00777F7E" w:rsidP="00777F7E">
      <w:pPr>
        <w:spacing w:after="0" w:line="240" w:lineRule="auto"/>
        <w:rPr>
          <w:rFonts w:cstheme="minorHAnsi"/>
          <w:lang w:val="fr-FR"/>
        </w:rPr>
      </w:pPr>
      <w:r w:rsidRPr="00927218">
        <w:rPr>
          <w:rFonts w:cstheme="minorHAnsi"/>
          <w:lang w:val="fr-FR"/>
        </w:rPr>
        <w:t>Thaïlande</w:t>
      </w:r>
    </w:p>
    <w:p w14:paraId="0291D03E" w14:textId="77777777" w:rsidR="00777F7E" w:rsidRPr="001D7066" w:rsidRDefault="00777F7E" w:rsidP="00777F7E">
      <w:pPr>
        <w:spacing w:after="0" w:line="240" w:lineRule="auto"/>
        <w:rPr>
          <w:rFonts w:cstheme="minorHAnsi"/>
          <w:lang w:val="fr-FR"/>
        </w:rPr>
      </w:pPr>
    </w:p>
    <w:p w14:paraId="2EEE9412" w14:textId="77777777" w:rsidR="00777F7E" w:rsidRPr="001D7066" w:rsidRDefault="00777F7E" w:rsidP="00777F7E">
      <w:pPr>
        <w:spacing w:after="0" w:line="240" w:lineRule="auto"/>
        <w:rPr>
          <w:rFonts w:asciiTheme="minorHAnsi" w:hAnsiTheme="minorHAnsi" w:cstheme="minorHAnsi"/>
          <w:b/>
          <w:lang w:val="fr-FR"/>
        </w:rPr>
      </w:pPr>
      <w:r w:rsidRPr="001D7066">
        <w:rPr>
          <w:rFonts w:cstheme="minorHAnsi"/>
          <w:b/>
          <w:lang w:val="fr-FR"/>
        </w:rPr>
        <w:t>Autre observateur</w:t>
      </w:r>
      <w:r w:rsidRPr="001D7066">
        <w:rPr>
          <w:rFonts w:asciiTheme="minorHAnsi" w:hAnsiTheme="minorHAnsi" w:cstheme="minorHAnsi"/>
          <w:b/>
          <w:lang w:val="fr-FR"/>
        </w:rPr>
        <w:t>:</w:t>
      </w:r>
    </w:p>
    <w:p w14:paraId="754864E4" w14:textId="3481AD4E" w:rsidR="00777F7E" w:rsidRPr="00777F7E" w:rsidRDefault="00777F7E" w:rsidP="001B6D9C">
      <w:pPr>
        <w:spacing w:after="0" w:line="240" w:lineRule="auto"/>
        <w:rPr>
          <w:rFonts w:cstheme="minorHAnsi"/>
          <w:lang w:val="fr-FR"/>
        </w:rPr>
      </w:pPr>
      <w:r w:rsidRPr="001D7066">
        <w:rPr>
          <w:rFonts w:cstheme="minorHAnsi"/>
          <w:lang w:val="fr-FR"/>
        </w:rPr>
        <w:t>Président du Groupe d'évaluation scientifique et technique</w:t>
      </w:r>
    </w:p>
    <w:sectPr w:rsidR="00777F7E" w:rsidRPr="00777F7E" w:rsidSect="00777F7E">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A272" w14:textId="77777777" w:rsidR="00C7406E" w:rsidRDefault="00C7406E" w:rsidP="00DF2386">
      <w:pPr>
        <w:spacing w:after="0" w:line="240" w:lineRule="auto"/>
      </w:pPr>
      <w:r>
        <w:separator/>
      </w:r>
    </w:p>
  </w:endnote>
  <w:endnote w:type="continuationSeparator" w:id="0">
    <w:p w14:paraId="3AD980D0" w14:textId="77777777" w:rsidR="00C7406E" w:rsidRDefault="00C7406E" w:rsidP="00DF2386">
      <w:pPr>
        <w:spacing w:after="0" w:line="240" w:lineRule="auto"/>
      </w:pPr>
      <w:r>
        <w:continuationSeparator/>
      </w:r>
    </w:p>
  </w:endnote>
  <w:endnote w:type="continuationNotice" w:id="1">
    <w:p w14:paraId="4B684EBA" w14:textId="77777777" w:rsidR="00C7406E" w:rsidRDefault="00C7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728762C3" w:rsidR="00C7406E" w:rsidRPr="009A6DFA" w:rsidRDefault="009A6DFA" w:rsidP="009A6DFA">
    <w:pPr>
      <w:pStyle w:val="NormalWeb"/>
      <w:tabs>
        <w:tab w:val="left" w:pos="8789"/>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E54340">
      <w:rPr>
        <w:rFonts w:asciiTheme="minorHAnsi" w:hAnsiTheme="minorHAnsi" w:cstheme="minorHAnsi"/>
        <w:noProof/>
        <w:sz w:val="20"/>
        <w:szCs w:val="20"/>
        <w:lang w:val="fr-FR"/>
      </w:rPr>
      <w:t>8</w:t>
    </w:r>
    <w:r w:rsidRPr="008536A9">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A3F3" w14:textId="3EFB7CAC" w:rsidR="009A6DFA" w:rsidRPr="009A6DFA" w:rsidRDefault="009A6DFA" w:rsidP="009A6DFA">
    <w:pPr>
      <w:pStyle w:val="NormalWeb"/>
      <w:tabs>
        <w:tab w:val="left" w:pos="13750"/>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E54340">
      <w:rPr>
        <w:rFonts w:asciiTheme="minorHAnsi" w:hAnsiTheme="minorHAnsi" w:cstheme="minorHAnsi"/>
        <w:noProof/>
        <w:sz w:val="20"/>
        <w:szCs w:val="20"/>
        <w:lang w:val="fr-FR"/>
      </w:rPr>
      <w:t>24</w:t>
    </w:r>
    <w:r w:rsidRPr="008536A9">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A3B9" w14:textId="2A0933D6" w:rsidR="00C7406E" w:rsidRPr="00C7406E" w:rsidRDefault="00C7406E" w:rsidP="00C7406E">
    <w:pPr>
      <w:pStyle w:val="NormalWeb"/>
      <w:tabs>
        <w:tab w:val="left" w:pos="13750"/>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9A6DFA">
      <w:rPr>
        <w:rFonts w:asciiTheme="minorHAnsi" w:hAnsiTheme="minorHAnsi" w:cstheme="minorHAnsi"/>
        <w:noProof/>
        <w:sz w:val="20"/>
        <w:szCs w:val="20"/>
        <w:lang w:val="fr-FR"/>
      </w:rPr>
      <w:t>23</w:t>
    </w:r>
    <w:r w:rsidRPr="008536A9">
      <w:rPr>
        <w:rFonts w:asciiTheme="minorHAnsi" w:hAnsiTheme="minorHAnsi" w:cstheme="minorHAnsi"/>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EB69" w14:textId="0CD3BE56" w:rsidR="009A6DFA" w:rsidRPr="009A6DFA" w:rsidRDefault="009A6DFA" w:rsidP="001B6D9C">
    <w:pPr>
      <w:pStyle w:val="NormalWeb"/>
      <w:tabs>
        <w:tab w:val="left" w:pos="8789"/>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E54340">
      <w:rPr>
        <w:rFonts w:asciiTheme="minorHAnsi" w:hAnsiTheme="minorHAnsi" w:cstheme="minorHAnsi"/>
        <w:noProof/>
        <w:sz w:val="20"/>
        <w:szCs w:val="20"/>
        <w:lang w:val="fr-FR"/>
      </w:rPr>
      <w:t>27</w:t>
    </w:r>
    <w:r w:rsidRPr="008536A9">
      <w:rPr>
        <w:rFonts w:asciiTheme="minorHAnsi" w:hAnsiTheme="minorHAnsi" w:cstheme="min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50D" w14:textId="2A3ABCCE" w:rsidR="00777F7E" w:rsidRPr="009A6DFA" w:rsidRDefault="00777F7E" w:rsidP="00777F7E">
    <w:pPr>
      <w:pStyle w:val="NormalWeb"/>
      <w:tabs>
        <w:tab w:val="left" w:pos="13608"/>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E54340">
      <w:rPr>
        <w:rFonts w:asciiTheme="minorHAnsi" w:hAnsiTheme="minorHAnsi" w:cstheme="minorHAnsi"/>
        <w:noProof/>
        <w:sz w:val="20"/>
        <w:szCs w:val="20"/>
        <w:lang w:val="fr-FR"/>
      </w:rPr>
      <w:t>31</w:t>
    </w:r>
    <w:r w:rsidRPr="008536A9">
      <w:rPr>
        <w:rFonts w:asciiTheme="minorHAnsi" w:hAnsiTheme="minorHAnsi" w:cstheme="minorHAnsi"/>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2018" w14:textId="4B524D6F" w:rsidR="00777F7E" w:rsidRPr="009A6DFA" w:rsidRDefault="00777F7E" w:rsidP="001B6D9C">
    <w:pPr>
      <w:pStyle w:val="NormalWeb"/>
      <w:tabs>
        <w:tab w:val="left" w:pos="8789"/>
      </w:tabs>
      <w:spacing w:after="0"/>
      <w:ind w:left="425" w:hanging="425"/>
      <w:rPr>
        <w:rFonts w:asciiTheme="minorHAnsi" w:hAnsiTheme="minorHAnsi" w:cstheme="minorHAnsi"/>
        <w:sz w:val="20"/>
        <w:szCs w:val="20"/>
        <w:lang w:val="fr-FR"/>
      </w:rPr>
    </w:pPr>
    <w:r w:rsidRPr="00F76395">
      <w:rPr>
        <w:rFonts w:asciiTheme="minorHAnsi" w:hAnsiTheme="minorHAnsi" w:cstheme="minorHAnsi"/>
        <w:bCs/>
        <w:sz w:val="20"/>
        <w:szCs w:val="20"/>
        <w:lang w:val="fr-FR" w:eastAsia="ja-JP"/>
      </w:rPr>
      <w:t>SC58 séances intersessions virtuelles: Rapport et Décisions</w:t>
    </w:r>
    <w:r w:rsidRPr="00F76395">
      <w:rPr>
        <w:rFonts w:asciiTheme="minorHAnsi" w:hAnsiTheme="minorHAnsi" w:cstheme="minorHAnsi"/>
        <w:bCs/>
        <w:sz w:val="20"/>
        <w:szCs w:val="20"/>
        <w:lang w:val="fr-FR" w:eastAsia="ja-JP"/>
      </w:rPr>
      <w:tab/>
    </w:r>
    <w:r w:rsidRPr="008536A9">
      <w:rPr>
        <w:rFonts w:asciiTheme="minorHAnsi" w:hAnsiTheme="minorHAnsi" w:cstheme="minorHAnsi"/>
        <w:sz w:val="20"/>
        <w:szCs w:val="20"/>
      </w:rPr>
      <w:fldChar w:fldCharType="begin"/>
    </w:r>
    <w:r w:rsidRPr="00F76395">
      <w:rPr>
        <w:rFonts w:asciiTheme="minorHAnsi" w:hAnsiTheme="minorHAnsi" w:cstheme="minorHAnsi"/>
        <w:sz w:val="20"/>
        <w:szCs w:val="20"/>
        <w:lang w:val="fr-FR"/>
      </w:rPr>
      <w:instrText xml:space="preserve"> PAGE   \* MERGEFORMAT </w:instrText>
    </w:r>
    <w:r w:rsidRPr="008536A9">
      <w:rPr>
        <w:rFonts w:asciiTheme="minorHAnsi" w:hAnsiTheme="minorHAnsi" w:cstheme="minorHAnsi"/>
        <w:sz w:val="20"/>
        <w:szCs w:val="20"/>
      </w:rPr>
      <w:fldChar w:fldCharType="separate"/>
    </w:r>
    <w:r w:rsidR="00E54340">
      <w:rPr>
        <w:rFonts w:asciiTheme="minorHAnsi" w:hAnsiTheme="minorHAnsi" w:cstheme="minorHAnsi"/>
        <w:noProof/>
        <w:sz w:val="20"/>
        <w:szCs w:val="20"/>
        <w:lang w:val="fr-FR"/>
      </w:rPr>
      <w:t>33</w:t>
    </w:r>
    <w:r w:rsidRPr="008536A9">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2E02" w14:textId="77777777" w:rsidR="00C7406E" w:rsidRDefault="00C7406E" w:rsidP="00DF2386">
      <w:pPr>
        <w:spacing w:after="0" w:line="240" w:lineRule="auto"/>
      </w:pPr>
      <w:r>
        <w:separator/>
      </w:r>
    </w:p>
  </w:footnote>
  <w:footnote w:type="continuationSeparator" w:id="0">
    <w:p w14:paraId="716A4DDF" w14:textId="77777777" w:rsidR="00C7406E" w:rsidRDefault="00C7406E" w:rsidP="00DF2386">
      <w:pPr>
        <w:spacing w:after="0" w:line="240" w:lineRule="auto"/>
      </w:pPr>
      <w:r>
        <w:continuationSeparator/>
      </w:r>
    </w:p>
  </w:footnote>
  <w:footnote w:type="continuationNotice" w:id="1">
    <w:p w14:paraId="550A3301" w14:textId="77777777" w:rsidR="00C7406E" w:rsidRDefault="00C740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9"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17"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8"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6927A6"/>
    <w:multiLevelType w:val="hybridMultilevel"/>
    <w:tmpl w:val="E03E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lang w:val="en-GB" w:eastAsia="en-GB" w:bidi="en-GB"/>
      </w:rPr>
    </w:lvl>
    <w:lvl w:ilvl="3" w:tplc="B84A831E">
      <w:numFmt w:val="bullet"/>
      <w:lvlText w:val="•"/>
      <w:lvlJc w:val="left"/>
      <w:pPr>
        <w:ind w:left="2976" w:hanging="425"/>
      </w:pPr>
      <w:rPr>
        <w:lang w:val="en-GB" w:eastAsia="en-GB" w:bidi="en-GB"/>
      </w:rPr>
    </w:lvl>
    <w:lvl w:ilvl="4" w:tplc="A46E9150">
      <w:numFmt w:val="bullet"/>
      <w:lvlText w:val="•"/>
      <w:lvlJc w:val="left"/>
      <w:pPr>
        <w:ind w:left="3935" w:hanging="425"/>
      </w:pPr>
      <w:rPr>
        <w:lang w:val="en-GB" w:eastAsia="en-GB" w:bidi="en-GB"/>
      </w:rPr>
    </w:lvl>
    <w:lvl w:ilvl="5" w:tplc="49F49DEA">
      <w:numFmt w:val="bullet"/>
      <w:lvlText w:val="•"/>
      <w:lvlJc w:val="left"/>
      <w:pPr>
        <w:ind w:left="4893" w:hanging="425"/>
      </w:pPr>
      <w:rPr>
        <w:lang w:val="en-GB" w:eastAsia="en-GB" w:bidi="en-GB"/>
      </w:rPr>
    </w:lvl>
    <w:lvl w:ilvl="6" w:tplc="8E62A74A">
      <w:numFmt w:val="bullet"/>
      <w:lvlText w:val="•"/>
      <w:lvlJc w:val="left"/>
      <w:pPr>
        <w:ind w:left="5852" w:hanging="425"/>
      </w:pPr>
      <w:rPr>
        <w:lang w:val="en-GB" w:eastAsia="en-GB" w:bidi="en-GB"/>
      </w:rPr>
    </w:lvl>
    <w:lvl w:ilvl="7" w:tplc="55DA25E6">
      <w:numFmt w:val="bullet"/>
      <w:lvlText w:val="•"/>
      <w:lvlJc w:val="left"/>
      <w:pPr>
        <w:ind w:left="6810" w:hanging="425"/>
      </w:pPr>
      <w:rPr>
        <w:lang w:val="en-GB" w:eastAsia="en-GB" w:bidi="en-GB"/>
      </w:rPr>
    </w:lvl>
    <w:lvl w:ilvl="8" w:tplc="5B261692">
      <w:numFmt w:val="bullet"/>
      <w:lvlText w:val="•"/>
      <w:lvlJc w:val="left"/>
      <w:pPr>
        <w:ind w:left="7769" w:hanging="425"/>
      </w:pPr>
      <w:rPr>
        <w:lang w:val="en-GB" w:eastAsia="en-GB" w:bidi="en-GB"/>
      </w:rPr>
    </w:lvl>
  </w:abstractNum>
  <w:abstractNum w:abstractNumId="29"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26"/>
  </w:num>
  <w:num w:numId="3">
    <w:abstractNumId w:val="3"/>
  </w:num>
  <w:num w:numId="4">
    <w:abstractNumId w:val="4"/>
  </w:num>
  <w:num w:numId="5">
    <w:abstractNumId w:val="22"/>
  </w:num>
  <w:num w:numId="6">
    <w:abstractNumId w:val="0"/>
  </w:num>
  <w:num w:numId="7">
    <w:abstractNumId w:val="1"/>
  </w:num>
  <w:num w:numId="8">
    <w:abstractNumId w:val="34"/>
  </w:num>
  <w:num w:numId="9">
    <w:abstractNumId w:val="11"/>
  </w:num>
  <w:num w:numId="10">
    <w:abstractNumId w:val="25"/>
  </w:num>
  <w:num w:numId="11">
    <w:abstractNumId w:val="31"/>
  </w:num>
  <w:num w:numId="12">
    <w:abstractNumId w:val="19"/>
  </w:num>
  <w:num w:numId="13">
    <w:abstractNumId w:val="2"/>
  </w:num>
  <w:num w:numId="14">
    <w:abstractNumId w:val="7"/>
  </w:num>
  <w:num w:numId="15">
    <w:abstractNumId w:val="10"/>
  </w:num>
  <w:num w:numId="16">
    <w:abstractNumId w:val="6"/>
  </w:num>
  <w:num w:numId="17">
    <w:abstractNumId w:val="30"/>
  </w:num>
  <w:num w:numId="18">
    <w:abstractNumId w:val="14"/>
  </w:num>
  <w:num w:numId="19">
    <w:abstractNumId w:val="5"/>
  </w:num>
  <w:num w:numId="20">
    <w:abstractNumId w:val="13"/>
  </w:num>
  <w:num w:numId="21">
    <w:abstractNumId w:val="18"/>
  </w:num>
  <w:num w:numId="22">
    <w:abstractNumId w:val="17"/>
  </w:num>
  <w:num w:numId="23">
    <w:abstractNumId w:val="21"/>
  </w:num>
  <w:num w:numId="24">
    <w:abstractNumId w:val="32"/>
  </w:num>
  <w:num w:numId="25">
    <w:abstractNumId w:val="27"/>
  </w:num>
  <w:num w:numId="26">
    <w:abstractNumId w:val="15"/>
  </w:num>
  <w:num w:numId="27">
    <w:abstractNumId w:val="9"/>
  </w:num>
  <w:num w:numId="28">
    <w:abstractNumId w:val="29"/>
  </w:num>
  <w:num w:numId="29">
    <w:abstractNumId w:val="24"/>
  </w:num>
  <w:num w:numId="30">
    <w:abstractNumId w:val="12"/>
  </w:num>
  <w:num w:numId="31">
    <w:abstractNumId w:val="2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16"/>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263AC"/>
    <w:rsid w:val="00030B1D"/>
    <w:rsid w:val="000311C7"/>
    <w:rsid w:val="000325B1"/>
    <w:rsid w:val="000329D6"/>
    <w:rsid w:val="00033E40"/>
    <w:rsid w:val="00034C1E"/>
    <w:rsid w:val="00035281"/>
    <w:rsid w:val="00036670"/>
    <w:rsid w:val="00037CE0"/>
    <w:rsid w:val="0004527F"/>
    <w:rsid w:val="00050008"/>
    <w:rsid w:val="000524CC"/>
    <w:rsid w:val="000525E0"/>
    <w:rsid w:val="00052EC3"/>
    <w:rsid w:val="00053929"/>
    <w:rsid w:val="000547AB"/>
    <w:rsid w:val="0005784A"/>
    <w:rsid w:val="00057C7B"/>
    <w:rsid w:val="000602D4"/>
    <w:rsid w:val="000662FE"/>
    <w:rsid w:val="00070486"/>
    <w:rsid w:val="00072571"/>
    <w:rsid w:val="000743FE"/>
    <w:rsid w:val="00074DE8"/>
    <w:rsid w:val="000816E7"/>
    <w:rsid w:val="0008208F"/>
    <w:rsid w:val="00082A48"/>
    <w:rsid w:val="000832E2"/>
    <w:rsid w:val="00085666"/>
    <w:rsid w:val="00085D52"/>
    <w:rsid w:val="00087E71"/>
    <w:rsid w:val="00090F51"/>
    <w:rsid w:val="00096665"/>
    <w:rsid w:val="00096F49"/>
    <w:rsid w:val="000A3656"/>
    <w:rsid w:val="000A3E3E"/>
    <w:rsid w:val="000B03AB"/>
    <w:rsid w:val="000B0A7B"/>
    <w:rsid w:val="000B1148"/>
    <w:rsid w:val="000B1B3C"/>
    <w:rsid w:val="000B2E45"/>
    <w:rsid w:val="000B4A65"/>
    <w:rsid w:val="000C0DF0"/>
    <w:rsid w:val="000C227D"/>
    <w:rsid w:val="000C3D1E"/>
    <w:rsid w:val="000C66CA"/>
    <w:rsid w:val="000D0D3E"/>
    <w:rsid w:val="000D54DD"/>
    <w:rsid w:val="000D5C76"/>
    <w:rsid w:val="000D6871"/>
    <w:rsid w:val="000D795A"/>
    <w:rsid w:val="000D7F4E"/>
    <w:rsid w:val="000E2FA0"/>
    <w:rsid w:val="000E47E9"/>
    <w:rsid w:val="000E64B4"/>
    <w:rsid w:val="000F0443"/>
    <w:rsid w:val="000F09D4"/>
    <w:rsid w:val="000F0D7C"/>
    <w:rsid w:val="000F30D7"/>
    <w:rsid w:val="000F4BF0"/>
    <w:rsid w:val="000F73E5"/>
    <w:rsid w:val="001005BA"/>
    <w:rsid w:val="00100B62"/>
    <w:rsid w:val="00110148"/>
    <w:rsid w:val="00111C1D"/>
    <w:rsid w:val="00112287"/>
    <w:rsid w:val="00115322"/>
    <w:rsid w:val="00116A9E"/>
    <w:rsid w:val="00117C19"/>
    <w:rsid w:val="001200B2"/>
    <w:rsid w:val="001208BC"/>
    <w:rsid w:val="0012096C"/>
    <w:rsid w:val="00121597"/>
    <w:rsid w:val="0012693D"/>
    <w:rsid w:val="0012777A"/>
    <w:rsid w:val="00127828"/>
    <w:rsid w:val="001308F5"/>
    <w:rsid w:val="0013283B"/>
    <w:rsid w:val="0013509E"/>
    <w:rsid w:val="00135D51"/>
    <w:rsid w:val="001365A6"/>
    <w:rsid w:val="00144975"/>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ACE"/>
    <w:rsid w:val="00176D2A"/>
    <w:rsid w:val="001819B1"/>
    <w:rsid w:val="00182658"/>
    <w:rsid w:val="00182BB7"/>
    <w:rsid w:val="001868D6"/>
    <w:rsid w:val="00187BFC"/>
    <w:rsid w:val="00190197"/>
    <w:rsid w:val="00191548"/>
    <w:rsid w:val="0019169D"/>
    <w:rsid w:val="00192951"/>
    <w:rsid w:val="00192DDE"/>
    <w:rsid w:val="00193FE5"/>
    <w:rsid w:val="00195A8C"/>
    <w:rsid w:val="001A123C"/>
    <w:rsid w:val="001A1CDC"/>
    <w:rsid w:val="001A46C7"/>
    <w:rsid w:val="001A48C7"/>
    <w:rsid w:val="001A7044"/>
    <w:rsid w:val="001B0870"/>
    <w:rsid w:val="001B1821"/>
    <w:rsid w:val="001B2798"/>
    <w:rsid w:val="001B6D9C"/>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2CA6"/>
    <w:rsid w:val="001E4C05"/>
    <w:rsid w:val="001E7909"/>
    <w:rsid w:val="001F2349"/>
    <w:rsid w:val="001F4E9C"/>
    <w:rsid w:val="001F5359"/>
    <w:rsid w:val="001F6F26"/>
    <w:rsid w:val="001F715E"/>
    <w:rsid w:val="001F773C"/>
    <w:rsid w:val="002005D2"/>
    <w:rsid w:val="00201663"/>
    <w:rsid w:val="0020298B"/>
    <w:rsid w:val="002053F4"/>
    <w:rsid w:val="00206111"/>
    <w:rsid w:val="002137E0"/>
    <w:rsid w:val="0021666A"/>
    <w:rsid w:val="00217F8A"/>
    <w:rsid w:val="00223214"/>
    <w:rsid w:val="00224F8D"/>
    <w:rsid w:val="00225FB7"/>
    <w:rsid w:val="00227310"/>
    <w:rsid w:val="00230891"/>
    <w:rsid w:val="00230BAA"/>
    <w:rsid w:val="0023247B"/>
    <w:rsid w:val="00235440"/>
    <w:rsid w:val="00235E86"/>
    <w:rsid w:val="00236A9E"/>
    <w:rsid w:val="00243A5C"/>
    <w:rsid w:val="00246E5E"/>
    <w:rsid w:val="00247375"/>
    <w:rsid w:val="00253ACA"/>
    <w:rsid w:val="00254E49"/>
    <w:rsid w:val="00255544"/>
    <w:rsid w:val="00261880"/>
    <w:rsid w:val="0026231C"/>
    <w:rsid w:val="00262DF0"/>
    <w:rsid w:val="00263B44"/>
    <w:rsid w:val="002655B4"/>
    <w:rsid w:val="00266F2F"/>
    <w:rsid w:val="00270DEF"/>
    <w:rsid w:val="00271C5B"/>
    <w:rsid w:val="00272269"/>
    <w:rsid w:val="00272AFF"/>
    <w:rsid w:val="00273463"/>
    <w:rsid w:val="002741AC"/>
    <w:rsid w:val="002743AC"/>
    <w:rsid w:val="002759BB"/>
    <w:rsid w:val="00276814"/>
    <w:rsid w:val="00276E63"/>
    <w:rsid w:val="002772E4"/>
    <w:rsid w:val="00280BF1"/>
    <w:rsid w:val="002819C0"/>
    <w:rsid w:val="00282418"/>
    <w:rsid w:val="00282B18"/>
    <w:rsid w:val="0028719B"/>
    <w:rsid w:val="002949FD"/>
    <w:rsid w:val="00295556"/>
    <w:rsid w:val="00295BB5"/>
    <w:rsid w:val="002A47CA"/>
    <w:rsid w:val="002A5A4D"/>
    <w:rsid w:val="002A5ED2"/>
    <w:rsid w:val="002B17DF"/>
    <w:rsid w:val="002B3BEF"/>
    <w:rsid w:val="002B4262"/>
    <w:rsid w:val="002B60AB"/>
    <w:rsid w:val="002B64A4"/>
    <w:rsid w:val="002B6B2B"/>
    <w:rsid w:val="002B77B9"/>
    <w:rsid w:val="002C0750"/>
    <w:rsid w:val="002C728A"/>
    <w:rsid w:val="002C7F04"/>
    <w:rsid w:val="002D340E"/>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67A9"/>
    <w:rsid w:val="00313649"/>
    <w:rsid w:val="003160CD"/>
    <w:rsid w:val="003170EB"/>
    <w:rsid w:val="0032161D"/>
    <w:rsid w:val="00322441"/>
    <w:rsid w:val="00324398"/>
    <w:rsid w:val="00326D9C"/>
    <w:rsid w:val="00326E14"/>
    <w:rsid w:val="003309B5"/>
    <w:rsid w:val="00336D4A"/>
    <w:rsid w:val="00341A03"/>
    <w:rsid w:val="00345F66"/>
    <w:rsid w:val="003466CC"/>
    <w:rsid w:val="00351CCA"/>
    <w:rsid w:val="00351DB5"/>
    <w:rsid w:val="00356062"/>
    <w:rsid w:val="003576F6"/>
    <w:rsid w:val="00357C52"/>
    <w:rsid w:val="0036078D"/>
    <w:rsid w:val="00374815"/>
    <w:rsid w:val="003753F4"/>
    <w:rsid w:val="003767CF"/>
    <w:rsid w:val="003768F4"/>
    <w:rsid w:val="0038070B"/>
    <w:rsid w:val="00384FC3"/>
    <w:rsid w:val="003864C3"/>
    <w:rsid w:val="003872C7"/>
    <w:rsid w:val="00390AD7"/>
    <w:rsid w:val="00391429"/>
    <w:rsid w:val="00391FEF"/>
    <w:rsid w:val="00392538"/>
    <w:rsid w:val="0039424B"/>
    <w:rsid w:val="0039481A"/>
    <w:rsid w:val="00394FD7"/>
    <w:rsid w:val="00396359"/>
    <w:rsid w:val="003A1CD7"/>
    <w:rsid w:val="003A3804"/>
    <w:rsid w:val="003A4C88"/>
    <w:rsid w:val="003A52BE"/>
    <w:rsid w:val="003A5866"/>
    <w:rsid w:val="003A6839"/>
    <w:rsid w:val="003A6E9F"/>
    <w:rsid w:val="003B7FB2"/>
    <w:rsid w:val="003C01A2"/>
    <w:rsid w:val="003C0660"/>
    <w:rsid w:val="003C1504"/>
    <w:rsid w:val="003C3E13"/>
    <w:rsid w:val="003C55AB"/>
    <w:rsid w:val="003C6998"/>
    <w:rsid w:val="003D1784"/>
    <w:rsid w:val="003D356C"/>
    <w:rsid w:val="003D4853"/>
    <w:rsid w:val="003D4CD6"/>
    <w:rsid w:val="003D6306"/>
    <w:rsid w:val="003D72BC"/>
    <w:rsid w:val="003E2F84"/>
    <w:rsid w:val="003E3DC0"/>
    <w:rsid w:val="003E7A36"/>
    <w:rsid w:val="003F0567"/>
    <w:rsid w:val="003F10A4"/>
    <w:rsid w:val="003F242D"/>
    <w:rsid w:val="004020D4"/>
    <w:rsid w:val="0040316C"/>
    <w:rsid w:val="00404B63"/>
    <w:rsid w:val="00406861"/>
    <w:rsid w:val="00406F3B"/>
    <w:rsid w:val="004108B3"/>
    <w:rsid w:val="00410920"/>
    <w:rsid w:val="004109FA"/>
    <w:rsid w:val="00415642"/>
    <w:rsid w:val="004200D3"/>
    <w:rsid w:val="00421958"/>
    <w:rsid w:val="004228C7"/>
    <w:rsid w:val="00427063"/>
    <w:rsid w:val="00427605"/>
    <w:rsid w:val="0042798B"/>
    <w:rsid w:val="004279F8"/>
    <w:rsid w:val="0043135C"/>
    <w:rsid w:val="00434913"/>
    <w:rsid w:val="004351EF"/>
    <w:rsid w:val="00436009"/>
    <w:rsid w:val="004371D1"/>
    <w:rsid w:val="004418D3"/>
    <w:rsid w:val="00442E26"/>
    <w:rsid w:val="00444B5A"/>
    <w:rsid w:val="00444D5F"/>
    <w:rsid w:val="0044531D"/>
    <w:rsid w:val="004474F8"/>
    <w:rsid w:val="00450623"/>
    <w:rsid w:val="004513BE"/>
    <w:rsid w:val="00453C63"/>
    <w:rsid w:val="0045707E"/>
    <w:rsid w:val="00457CF8"/>
    <w:rsid w:val="00462A06"/>
    <w:rsid w:val="004655F6"/>
    <w:rsid w:val="00466758"/>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135B"/>
    <w:rsid w:val="004B2DCE"/>
    <w:rsid w:val="004B4597"/>
    <w:rsid w:val="004B6688"/>
    <w:rsid w:val="004B752E"/>
    <w:rsid w:val="004C0D5B"/>
    <w:rsid w:val="004C1B3E"/>
    <w:rsid w:val="004C34EB"/>
    <w:rsid w:val="004C3CEC"/>
    <w:rsid w:val="004C70CA"/>
    <w:rsid w:val="004D0B83"/>
    <w:rsid w:val="004D10E9"/>
    <w:rsid w:val="004D2304"/>
    <w:rsid w:val="004E4CC8"/>
    <w:rsid w:val="004F497B"/>
    <w:rsid w:val="004F4A7F"/>
    <w:rsid w:val="004F538A"/>
    <w:rsid w:val="004F5D62"/>
    <w:rsid w:val="004F61E4"/>
    <w:rsid w:val="004F63CB"/>
    <w:rsid w:val="004F669E"/>
    <w:rsid w:val="004F7CE2"/>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33F35"/>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8663D"/>
    <w:rsid w:val="00597AA6"/>
    <w:rsid w:val="005A2ACC"/>
    <w:rsid w:val="005A5AE7"/>
    <w:rsid w:val="005A5CC4"/>
    <w:rsid w:val="005A716C"/>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15A6"/>
    <w:rsid w:val="006049EE"/>
    <w:rsid w:val="0060532F"/>
    <w:rsid w:val="00611723"/>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3D89"/>
    <w:rsid w:val="00655DF8"/>
    <w:rsid w:val="00656BD8"/>
    <w:rsid w:val="006576F0"/>
    <w:rsid w:val="0066029D"/>
    <w:rsid w:val="00660BC4"/>
    <w:rsid w:val="006615CF"/>
    <w:rsid w:val="006616FE"/>
    <w:rsid w:val="006639CD"/>
    <w:rsid w:val="00670D71"/>
    <w:rsid w:val="006718CE"/>
    <w:rsid w:val="0067376E"/>
    <w:rsid w:val="006739A1"/>
    <w:rsid w:val="0067421B"/>
    <w:rsid w:val="00674750"/>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1383"/>
    <w:rsid w:val="006E4671"/>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6509"/>
    <w:rsid w:val="00727145"/>
    <w:rsid w:val="00731C1A"/>
    <w:rsid w:val="00731CDC"/>
    <w:rsid w:val="007355E2"/>
    <w:rsid w:val="00737148"/>
    <w:rsid w:val="007377A5"/>
    <w:rsid w:val="00737D84"/>
    <w:rsid w:val="007426AF"/>
    <w:rsid w:val="00743CE3"/>
    <w:rsid w:val="00743D75"/>
    <w:rsid w:val="007442EC"/>
    <w:rsid w:val="00750A38"/>
    <w:rsid w:val="00763869"/>
    <w:rsid w:val="00766962"/>
    <w:rsid w:val="007671E0"/>
    <w:rsid w:val="00767FDA"/>
    <w:rsid w:val="00770916"/>
    <w:rsid w:val="00771C39"/>
    <w:rsid w:val="00773812"/>
    <w:rsid w:val="00775287"/>
    <w:rsid w:val="00777988"/>
    <w:rsid w:val="00777E05"/>
    <w:rsid w:val="00777F7E"/>
    <w:rsid w:val="00781FFA"/>
    <w:rsid w:val="00782F8D"/>
    <w:rsid w:val="00783EF9"/>
    <w:rsid w:val="0079414D"/>
    <w:rsid w:val="007A151B"/>
    <w:rsid w:val="007A23F3"/>
    <w:rsid w:val="007B0034"/>
    <w:rsid w:val="007B1166"/>
    <w:rsid w:val="007B11A1"/>
    <w:rsid w:val="007B29A8"/>
    <w:rsid w:val="007B31D8"/>
    <w:rsid w:val="007B53B2"/>
    <w:rsid w:val="007B7E70"/>
    <w:rsid w:val="007B7F5A"/>
    <w:rsid w:val="007C259F"/>
    <w:rsid w:val="007C390C"/>
    <w:rsid w:val="007C53B8"/>
    <w:rsid w:val="007C743A"/>
    <w:rsid w:val="007D0F77"/>
    <w:rsid w:val="007D0F80"/>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36C4"/>
    <w:rsid w:val="0082665F"/>
    <w:rsid w:val="00830BE8"/>
    <w:rsid w:val="00830E76"/>
    <w:rsid w:val="008328E9"/>
    <w:rsid w:val="00832EF9"/>
    <w:rsid w:val="00833F00"/>
    <w:rsid w:val="00835BCB"/>
    <w:rsid w:val="00835CDC"/>
    <w:rsid w:val="00840094"/>
    <w:rsid w:val="008424E2"/>
    <w:rsid w:val="008455EE"/>
    <w:rsid w:val="0084581A"/>
    <w:rsid w:val="008507BA"/>
    <w:rsid w:val="00850B09"/>
    <w:rsid w:val="00850BC0"/>
    <w:rsid w:val="008536A9"/>
    <w:rsid w:val="00854F30"/>
    <w:rsid w:val="00855B14"/>
    <w:rsid w:val="00857013"/>
    <w:rsid w:val="00857B3C"/>
    <w:rsid w:val="0086200D"/>
    <w:rsid w:val="00863B9D"/>
    <w:rsid w:val="00863BE6"/>
    <w:rsid w:val="008751EB"/>
    <w:rsid w:val="008775BC"/>
    <w:rsid w:val="008815A3"/>
    <w:rsid w:val="00882F1B"/>
    <w:rsid w:val="00884310"/>
    <w:rsid w:val="00887231"/>
    <w:rsid w:val="00887520"/>
    <w:rsid w:val="00897D34"/>
    <w:rsid w:val="008A25B7"/>
    <w:rsid w:val="008A2776"/>
    <w:rsid w:val="008A67CA"/>
    <w:rsid w:val="008A6D52"/>
    <w:rsid w:val="008A70CE"/>
    <w:rsid w:val="008A7AFB"/>
    <w:rsid w:val="008B1FD6"/>
    <w:rsid w:val="008B3F43"/>
    <w:rsid w:val="008B3FED"/>
    <w:rsid w:val="008B5BA6"/>
    <w:rsid w:val="008C115E"/>
    <w:rsid w:val="008C25E4"/>
    <w:rsid w:val="008C2DAE"/>
    <w:rsid w:val="008C603F"/>
    <w:rsid w:val="008C6BFA"/>
    <w:rsid w:val="008D4620"/>
    <w:rsid w:val="008D4652"/>
    <w:rsid w:val="008D4D9C"/>
    <w:rsid w:val="008D6247"/>
    <w:rsid w:val="008E027F"/>
    <w:rsid w:val="008E06C2"/>
    <w:rsid w:val="008E426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2D74"/>
    <w:rsid w:val="009343F2"/>
    <w:rsid w:val="00935533"/>
    <w:rsid w:val="00936645"/>
    <w:rsid w:val="00936AC6"/>
    <w:rsid w:val="009461E9"/>
    <w:rsid w:val="009469EE"/>
    <w:rsid w:val="009469FD"/>
    <w:rsid w:val="00946AEE"/>
    <w:rsid w:val="0094770B"/>
    <w:rsid w:val="00950C67"/>
    <w:rsid w:val="0095183A"/>
    <w:rsid w:val="00952123"/>
    <w:rsid w:val="00952A63"/>
    <w:rsid w:val="0095501C"/>
    <w:rsid w:val="00956292"/>
    <w:rsid w:val="00956589"/>
    <w:rsid w:val="00957766"/>
    <w:rsid w:val="0096152A"/>
    <w:rsid w:val="00962005"/>
    <w:rsid w:val="00964FD1"/>
    <w:rsid w:val="009665D9"/>
    <w:rsid w:val="00966FED"/>
    <w:rsid w:val="00972828"/>
    <w:rsid w:val="0097565A"/>
    <w:rsid w:val="00977C51"/>
    <w:rsid w:val="0099214A"/>
    <w:rsid w:val="0099250D"/>
    <w:rsid w:val="00993129"/>
    <w:rsid w:val="00996E40"/>
    <w:rsid w:val="00997CDA"/>
    <w:rsid w:val="009A26BD"/>
    <w:rsid w:val="009A3ABF"/>
    <w:rsid w:val="009A6DFA"/>
    <w:rsid w:val="009B2267"/>
    <w:rsid w:val="009B23B0"/>
    <w:rsid w:val="009B243F"/>
    <w:rsid w:val="009B4FFB"/>
    <w:rsid w:val="009C0925"/>
    <w:rsid w:val="009C1211"/>
    <w:rsid w:val="009C2D7E"/>
    <w:rsid w:val="009C4D14"/>
    <w:rsid w:val="009C5CBA"/>
    <w:rsid w:val="009C7E2F"/>
    <w:rsid w:val="009D1C2C"/>
    <w:rsid w:val="009D5133"/>
    <w:rsid w:val="009D57A1"/>
    <w:rsid w:val="009D78E0"/>
    <w:rsid w:val="009E3705"/>
    <w:rsid w:val="009E3B69"/>
    <w:rsid w:val="009E5374"/>
    <w:rsid w:val="009F120C"/>
    <w:rsid w:val="009F345D"/>
    <w:rsid w:val="009F420A"/>
    <w:rsid w:val="00A00069"/>
    <w:rsid w:val="00A0424C"/>
    <w:rsid w:val="00A05A34"/>
    <w:rsid w:val="00A06BE4"/>
    <w:rsid w:val="00A11A0A"/>
    <w:rsid w:val="00A12CC5"/>
    <w:rsid w:val="00A12F66"/>
    <w:rsid w:val="00A13218"/>
    <w:rsid w:val="00A17071"/>
    <w:rsid w:val="00A175D8"/>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0662"/>
    <w:rsid w:val="00A5199D"/>
    <w:rsid w:val="00A521AE"/>
    <w:rsid w:val="00A60B73"/>
    <w:rsid w:val="00A63BF6"/>
    <w:rsid w:val="00A67EDF"/>
    <w:rsid w:val="00A70C4F"/>
    <w:rsid w:val="00A71A2E"/>
    <w:rsid w:val="00A77723"/>
    <w:rsid w:val="00A80080"/>
    <w:rsid w:val="00A80241"/>
    <w:rsid w:val="00A84ECC"/>
    <w:rsid w:val="00A85181"/>
    <w:rsid w:val="00A915C4"/>
    <w:rsid w:val="00A94E0B"/>
    <w:rsid w:val="00A95DB6"/>
    <w:rsid w:val="00AA3331"/>
    <w:rsid w:val="00AA3DB1"/>
    <w:rsid w:val="00AA3E55"/>
    <w:rsid w:val="00AB0615"/>
    <w:rsid w:val="00AB1CFD"/>
    <w:rsid w:val="00AB2579"/>
    <w:rsid w:val="00AB4639"/>
    <w:rsid w:val="00AB4951"/>
    <w:rsid w:val="00AB4D8C"/>
    <w:rsid w:val="00AB555D"/>
    <w:rsid w:val="00AC0482"/>
    <w:rsid w:val="00AC233F"/>
    <w:rsid w:val="00AC2532"/>
    <w:rsid w:val="00AC4FAD"/>
    <w:rsid w:val="00AC54FF"/>
    <w:rsid w:val="00AC5535"/>
    <w:rsid w:val="00AD280B"/>
    <w:rsid w:val="00AD3359"/>
    <w:rsid w:val="00AD47BB"/>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26CFE"/>
    <w:rsid w:val="00B315A0"/>
    <w:rsid w:val="00B33CD8"/>
    <w:rsid w:val="00B34A18"/>
    <w:rsid w:val="00B3556B"/>
    <w:rsid w:val="00B35C48"/>
    <w:rsid w:val="00B37B82"/>
    <w:rsid w:val="00B40119"/>
    <w:rsid w:val="00B40295"/>
    <w:rsid w:val="00B41637"/>
    <w:rsid w:val="00B41E17"/>
    <w:rsid w:val="00B42DC9"/>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3B98"/>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224F"/>
    <w:rsid w:val="00C04170"/>
    <w:rsid w:val="00C06686"/>
    <w:rsid w:val="00C06CC1"/>
    <w:rsid w:val="00C10AD0"/>
    <w:rsid w:val="00C11D5A"/>
    <w:rsid w:val="00C13145"/>
    <w:rsid w:val="00C151DD"/>
    <w:rsid w:val="00C17EFC"/>
    <w:rsid w:val="00C2385D"/>
    <w:rsid w:val="00C23F1C"/>
    <w:rsid w:val="00C27C07"/>
    <w:rsid w:val="00C32D70"/>
    <w:rsid w:val="00C40AD2"/>
    <w:rsid w:val="00C45D3F"/>
    <w:rsid w:val="00C47320"/>
    <w:rsid w:val="00C57E8C"/>
    <w:rsid w:val="00C63897"/>
    <w:rsid w:val="00C64192"/>
    <w:rsid w:val="00C70684"/>
    <w:rsid w:val="00C73262"/>
    <w:rsid w:val="00C7406E"/>
    <w:rsid w:val="00C776BA"/>
    <w:rsid w:val="00C807EA"/>
    <w:rsid w:val="00C8140F"/>
    <w:rsid w:val="00C82A4A"/>
    <w:rsid w:val="00C82EB2"/>
    <w:rsid w:val="00C90E4F"/>
    <w:rsid w:val="00C91725"/>
    <w:rsid w:val="00C956BD"/>
    <w:rsid w:val="00C95D0E"/>
    <w:rsid w:val="00C9647C"/>
    <w:rsid w:val="00C972A3"/>
    <w:rsid w:val="00C97D83"/>
    <w:rsid w:val="00CA3F5F"/>
    <w:rsid w:val="00CA547C"/>
    <w:rsid w:val="00CB15CB"/>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17ACA"/>
    <w:rsid w:val="00D20917"/>
    <w:rsid w:val="00D23042"/>
    <w:rsid w:val="00D23A96"/>
    <w:rsid w:val="00D24445"/>
    <w:rsid w:val="00D245A1"/>
    <w:rsid w:val="00D25F2F"/>
    <w:rsid w:val="00D2703D"/>
    <w:rsid w:val="00D3216C"/>
    <w:rsid w:val="00D33535"/>
    <w:rsid w:val="00D362E4"/>
    <w:rsid w:val="00D37914"/>
    <w:rsid w:val="00D407D6"/>
    <w:rsid w:val="00D415E2"/>
    <w:rsid w:val="00D42055"/>
    <w:rsid w:val="00D4308B"/>
    <w:rsid w:val="00D43390"/>
    <w:rsid w:val="00D445F3"/>
    <w:rsid w:val="00D45D81"/>
    <w:rsid w:val="00D46F74"/>
    <w:rsid w:val="00D50F55"/>
    <w:rsid w:val="00D51009"/>
    <w:rsid w:val="00D51D22"/>
    <w:rsid w:val="00D53121"/>
    <w:rsid w:val="00D53920"/>
    <w:rsid w:val="00D56C81"/>
    <w:rsid w:val="00D60E59"/>
    <w:rsid w:val="00D647C3"/>
    <w:rsid w:val="00D664EC"/>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BBC"/>
    <w:rsid w:val="00DA7DCE"/>
    <w:rsid w:val="00DB7936"/>
    <w:rsid w:val="00DB7F8F"/>
    <w:rsid w:val="00DC23CC"/>
    <w:rsid w:val="00DC3F2C"/>
    <w:rsid w:val="00DC43B6"/>
    <w:rsid w:val="00DC4A40"/>
    <w:rsid w:val="00DC69F3"/>
    <w:rsid w:val="00DD3DE0"/>
    <w:rsid w:val="00DD52E1"/>
    <w:rsid w:val="00DD6367"/>
    <w:rsid w:val="00DE0ADA"/>
    <w:rsid w:val="00DE1215"/>
    <w:rsid w:val="00DE2B38"/>
    <w:rsid w:val="00DE67FB"/>
    <w:rsid w:val="00DF119A"/>
    <w:rsid w:val="00DF2386"/>
    <w:rsid w:val="00DF33AC"/>
    <w:rsid w:val="00DF33C6"/>
    <w:rsid w:val="00DF7383"/>
    <w:rsid w:val="00DF7FE7"/>
    <w:rsid w:val="00E02540"/>
    <w:rsid w:val="00E03293"/>
    <w:rsid w:val="00E036AD"/>
    <w:rsid w:val="00E05E89"/>
    <w:rsid w:val="00E06077"/>
    <w:rsid w:val="00E07ED8"/>
    <w:rsid w:val="00E146F2"/>
    <w:rsid w:val="00E14AE6"/>
    <w:rsid w:val="00E210E8"/>
    <w:rsid w:val="00E246E8"/>
    <w:rsid w:val="00E26578"/>
    <w:rsid w:val="00E26A45"/>
    <w:rsid w:val="00E2765A"/>
    <w:rsid w:val="00E319A5"/>
    <w:rsid w:val="00E32F19"/>
    <w:rsid w:val="00E3420D"/>
    <w:rsid w:val="00E34BC5"/>
    <w:rsid w:val="00E37D35"/>
    <w:rsid w:val="00E414F5"/>
    <w:rsid w:val="00E41FB9"/>
    <w:rsid w:val="00E43553"/>
    <w:rsid w:val="00E444C7"/>
    <w:rsid w:val="00E4515E"/>
    <w:rsid w:val="00E46367"/>
    <w:rsid w:val="00E51CE5"/>
    <w:rsid w:val="00E529C2"/>
    <w:rsid w:val="00E54340"/>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A3A7F"/>
    <w:rsid w:val="00EA4AE6"/>
    <w:rsid w:val="00EA59BA"/>
    <w:rsid w:val="00EA6BF6"/>
    <w:rsid w:val="00EB0A13"/>
    <w:rsid w:val="00EB2424"/>
    <w:rsid w:val="00EB2D3E"/>
    <w:rsid w:val="00EB4358"/>
    <w:rsid w:val="00EB7EC2"/>
    <w:rsid w:val="00EC0E5E"/>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F00A4"/>
    <w:rsid w:val="00EF1096"/>
    <w:rsid w:val="00EF771F"/>
    <w:rsid w:val="00F054AB"/>
    <w:rsid w:val="00F078F1"/>
    <w:rsid w:val="00F11B8E"/>
    <w:rsid w:val="00F1255B"/>
    <w:rsid w:val="00F13140"/>
    <w:rsid w:val="00F141F1"/>
    <w:rsid w:val="00F15BDC"/>
    <w:rsid w:val="00F15FD8"/>
    <w:rsid w:val="00F21868"/>
    <w:rsid w:val="00F21922"/>
    <w:rsid w:val="00F2241D"/>
    <w:rsid w:val="00F3186F"/>
    <w:rsid w:val="00F321A0"/>
    <w:rsid w:val="00F32BE1"/>
    <w:rsid w:val="00F34F71"/>
    <w:rsid w:val="00F35921"/>
    <w:rsid w:val="00F36407"/>
    <w:rsid w:val="00F40029"/>
    <w:rsid w:val="00F41E45"/>
    <w:rsid w:val="00F42558"/>
    <w:rsid w:val="00F44134"/>
    <w:rsid w:val="00F47D74"/>
    <w:rsid w:val="00F518B1"/>
    <w:rsid w:val="00F55A36"/>
    <w:rsid w:val="00F564E7"/>
    <w:rsid w:val="00F6317F"/>
    <w:rsid w:val="00F636EA"/>
    <w:rsid w:val="00F669DD"/>
    <w:rsid w:val="00F6732B"/>
    <w:rsid w:val="00F715E1"/>
    <w:rsid w:val="00F7222A"/>
    <w:rsid w:val="00F73E71"/>
    <w:rsid w:val="00F76395"/>
    <w:rsid w:val="00F76630"/>
    <w:rsid w:val="00F807D4"/>
    <w:rsid w:val="00F83DF9"/>
    <w:rsid w:val="00F86070"/>
    <w:rsid w:val="00F90892"/>
    <w:rsid w:val="00F90AA5"/>
    <w:rsid w:val="00F91E52"/>
    <w:rsid w:val="00F96B3D"/>
    <w:rsid w:val="00FA573B"/>
    <w:rsid w:val="00FA74E5"/>
    <w:rsid w:val="00FB06A8"/>
    <w:rsid w:val="00FB3657"/>
    <w:rsid w:val="00FB4BD8"/>
    <w:rsid w:val="00FB66D7"/>
    <w:rsid w:val="00FC0057"/>
    <w:rsid w:val="00FC57AB"/>
    <w:rsid w:val="00FC5E60"/>
    <w:rsid w:val="00FC6104"/>
    <w:rsid w:val="00FD5C27"/>
    <w:rsid w:val="00FD74D4"/>
    <w:rsid w:val="00FD76D0"/>
    <w:rsid w:val="00FE1697"/>
    <w:rsid w:val="00FE209D"/>
    <w:rsid w:val="00FE25C2"/>
    <w:rsid w:val="00FE30AE"/>
    <w:rsid w:val="00FE3CBD"/>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3A17"/>
  <w15:docId w15:val="{6A95EC33-3D18-4E47-997E-E7F907D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76395"/>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76395"/>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76395"/>
    <w:rPr>
      <w:rFonts w:ascii="Calibri" w:eastAsia="Times New Roman" w:hAnsi="Calibri" w:cs="Calibri"/>
      <w:b/>
      <w:bCs/>
      <w:lang w:val="en-US"/>
    </w:rPr>
  </w:style>
  <w:style w:type="character" w:customStyle="1" w:styleId="Heading2Char">
    <w:name w:val="Heading 2 Char"/>
    <w:basedOn w:val="DefaultParagraphFont"/>
    <w:link w:val="Heading2"/>
    <w:uiPriority w:val="9"/>
    <w:rsid w:val="00F76395"/>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11505">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4284-C212-4C2A-8CB9-1FA5495B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11132</Words>
  <Characters>63459</Characters>
  <Application>Microsoft Office Word</Application>
  <DocSecurity>0</DocSecurity>
  <Lines>528</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74443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2020-06-23T07:32:00Z</cp:lastPrinted>
  <dcterms:created xsi:type="dcterms:W3CDTF">2020-07-15T08:17:00Z</dcterms:created>
  <dcterms:modified xsi:type="dcterms:W3CDTF">2020-07-15T08:17:00Z</dcterms:modified>
</cp:coreProperties>
</file>