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CD13" w14:textId="69C5C8DD" w:rsidR="00275F13" w:rsidRPr="00C93379" w:rsidRDefault="00C93379" w:rsidP="003439AE">
      <w:pPr>
        <w:pBdr>
          <w:top w:val="single" w:sz="12" w:space="0" w:color="auto" w:shadow="1"/>
          <w:left w:val="single" w:sz="12" w:space="4" w:color="auto" w:shadow="1"/>
          <w:bottom w:val="single" w:sz="12" w:space="1" w:color="auto" w:shadow="1"/>
          <w:right w:val="single" w:sz="4" w:space="1" w:color="auto"/>
        </w:pBdr>
        <w:ind w:right="2790"/>
        <w:rPr>
          <w:bCs/>
        </w:rPr>
      </w:pPr>
      <w:r>
        <w:rPr>
          <w:bCs/>
        </w:rPr>
        <w:t>THE</w:t>
      </w:r>
      <w:r w:rsidR="00275F13" w:rsidRPr="00C93379">
        <w:rPr>
          <w:bCs/>
        </w:rPr>
        <w:t xml:space="preserve"> </w:t>
      </w:r>
      <w:r w:rsidR="00DF2386" w:rsidRPr="00C93379">
        <w:rPr>
          <w:bCs/>
        </w:rPr>
        <w:t xml:space="preserve">CONVENTION ON WETLANDS </w:t>
      </w:r>
    </w:p>
    <w:p w14:paraId="00EA38A3" w14:textId="206CCE3A" w:rsidR="00DF2386" w:rsidRPr="00C93379" w:rsidRDefault="00DF2386" w:rsidP="003439AE">
      <w:pPr>
        <w:pBdr>
          <w:top w:val="single" w:sz="12" w:space="0" w:color="auto" w:shadow="1"/>
          <w:left w:val="single" w:sz="12" w:space="4" w:color="auto" w:shadow="1"/>
          <w:bottom w:val="single" w:sz="12" w:space="1" w:color="auto" w:shadow="1"/>
          <w:right w:val="single" w:sz="4" w:space="1" w:color="auto"/>
        </w:pBdr>
        <w:ind w:right="2790"/>
        <w:rPr>
          <w:bCs/>
        </w:rPr>
      </w:pPr>
      <w:r w:rsidRPr="00C93379">
        <w:rPr>
          <w:bCs/>
        </w:rPr>
        <w:t>5</w:t>
      </w:r>
      <w:r w:rsidR="003F621E" w:rsidRPr="00C93379">
        <w:rPr>
          <w:bCs/>
        </w:rPr>
        <w:t>8</w:t>
      </w:r>
      <w:r w:rsidR="00275F13" w:rsidRPr="00C93379">
        <w:rPr>
          <w:bCs/>
        </w:rPr>
        <w:t>th</w:t>
      </w:r>
      <w:r w:rsidRPr="00C93379">
        <w:rPr>
          <w:bCs/>
        </w:rPr>
        <w:t xml:space="preserve"> Meeting of the Standing Committee</w:t>
      </w:r>
    </w:p>
    <w:p w14:paraId="348B6A75" w14:textId="2FE39B15" w:rsidR="00DF2386" w:rsidRPr="00C93379" w:rsidRDefault="00DF2386" w:rsidP="003439AE">
      <w:pPr>
        <w:pBdr>
          <w:top w:val="single" w:sz="12" w:space="0" w:color="auto" w:shadow="1"/>
          <w:left w:val="single" w:sz="12" w:space="4" w:color="auto" w:shadow="1"/>
          <w:bottom w:val="single" w:sz="12" w:space="1" w:color="auto" w:shadow="1"/>
          <w:right w:val="single" w:sz="4" w:space="1" w:color="auto"/>
        </w:pBdr>
        <w:ind w:right="2790"/>
        <w:rPr>
          <w:bCs/>
        </w:rPr>
      </w:pPr>
      <w:r w:rsidRPr="00C93379">
        <w:rPr>
          <w:bCs/>
        </w:rPr>
        <w:t xml:space="preserve">Gland, Switzerland, </w:t>
      </w:r>
      <w:r w:rsidR="00C93379" w:rsidRPr="00C93379">
        <w:rPr>
          <w:bCs/>
        </w:rPr>
        <w:t>26 – 30 October</w:t>
      </w:r>
      <w:r w:rsidR="00275F13" w:rsidRPr="00C93379">
        <w:rPr>
          <w:bCs/>
        </w:rPr>
        <w:t xml:space="preserve"> 20</w:t>
      </w:r>
      <w:r w:rsidR="007644D6" w:rsidRPr="00C93379">
        <w:rPr>
          <w:bCs/>
        </w:rPr>
        <w:t>20</w:t>
      </w:r>
    </w:p>
    <w:p w14:paraId="637FC88B" w14:textId="77777777" w:rsidR="00DF2386" w:rsidRPr="00421152" w:rsidRDefault="00DF2386" w:rsidP="00633DD5">
      <w:pPr>
        <w:outlineLvl w:val="0"/>
        <w:rPr>
          <w:b/>
        </w:rPr>
      </w:pPr>
    </w:p>
    <w:p w14:paraId="383D711F" w14:textId="7BE441EC" w:rsidR="00DF2386" w:rsidRPr="00421152" w:rsidRDefault="00DF2386" w:rsidP="00633DD5">
      <w:pPr>
        <w:jc w:val="right"/>
        <w:rPr>
          <w:rFonts w:cs="Arial"/>
          <w:sz w:val="28"/>
          <w:szCs w:val="28"/>
        </w:rPr>
      </w:pPr>
      <w:r w:rsidRPr="00421152">
        <w:rPr>
          <w:rFonts w:cs="Arial"/>
          <w:b/>
          <w:sz w:val="28"/>
          <w:szCs w:val="28"/>
        </w:rPr>
        <w:t>SC5</w:t>
      </w:r>
      <w:r w:rsidR="007644D6">
        <w:rPr>
          <w:rFonts w:cs="Arial"/>
          <w:b/>
          <w:sz w:val="28"/>
          <w:szCs w:val="28"/>
        </w:rPr>
        <w:t>8</w:t>
      </w:r>
      <w:r w:rsidR="009D425A" w:rsidRPr="00421152">
        <w:rPr>
          <w:rFonts w:cs="Arial"/>
          <w:b/>
          <w:sz w:val="28"/>
          <w:szCs w:val="28"/>
        </w:rPr>
        <w:t xml:space="preserve"> Doc.</w:t>
      </w:r>
      <w:r w:rsidR="003F621E">
        <w:rPr>
          <w:rFonts w:cs="Arial"/>
          <w:b/>
          <w:sz w:val="28"/>
          <w:szCs w:val="28"/>
        </w:rPr>
        <w:t>8</w:t>
      </w:r>
      <w:r w:rsidR="00DE5D75" w:rsidRPr="00421152">
        <w:rPr>
          <w:rFonts w:cs="Arial"/>
          <w:b/>
          <w:sz w:val="28"/>
          <w:szCs w:val="28"/>
        </w:rPr>
        <w:t>.</w:t>
      </w:r>
      <w:r w:rsidR="00942026">
        <w:rPr>
          <w:rFonts w:cs="Arial"/>
          <w:b/>
          <w:sz w:val="28"/>
          <w:szCs w:val="28"/>
        </w:rPr>
        <w:t>2</w:t>
      </w:r>
    </w:p>
    <w:p w14:paraId="282994B8" w14:textId="77777777" w:rsidR="00DF2386" w:rsidRPr="00421152" w:rsidRDefault="00DF2386" w:rsidP="00633DD5">
      <w:pPr>
        <w:rPr>
          <w:rFonts w:cs="Arial"/>
          <w:b/>
          <w:sz w:val="28"/>
          <w:szCs w:val="28"/>
        </w:rPr>
      </w:pPr>
    </w:p>
    <w:p w14:paraId="1DEA50B7" w14:textId="389E4D29" w:rsidR="00DF2386" w:rsidRPr="00421152" w:rsidRDefault="00A31490" w:rsidP="00633DD5">
      <w:pPr>
        <w:ind w:left="0" w:firstLine="0"/>
        <w:jc w:val="center"/>
        <w:rPr>
          <w:rFonts w:cs="Arial"/>
          <w:b/>
          <w:sz w:val="28"/>
          <w:szCs w:val="28"/>
        </w:rPr>
      </w:pPr>
      <w:r w:rsidRPr="00421152">
        <w:rPr>
          <w:rFonts w:cs="Arial"/>
          <w:b/>
          <w:sz w:val="28"/>
          <w:szCs w:val="28"/>
        </w:rPr>
        <w:t xml:space="preserve">Report on </w:t>
      </w:r>
      <w:r w:rsidR="00E6689D" w:rsidRPr="00421152">
        <w:rPr>
          <w:rFonts w:cs="Arial"/>
          <w:b/>
          <w:sz w:val="28"/>
          <w:szCs w:val="28"/>
        </w:rPr>
        <w:t xml:space="preserve">financial matters </w:t>
      </w:r>
      <w:r w:rsidR="009D425A" w:rsidRPr="00421152">
        <w:rPr>
          <w:rFonts w:cs="Arial"/>
          <w:b/>
          <w:sz w:val="28"/>
          <w:szCs w:val="28"/>
        </w:rPr>
        <w:t xml:space="preserve">for </w:t>
      </w:r>
      <w:r w:rsidR="003F621E" w:rsidRPr="005A5AD3">
        <w:rPr>
          <w:rFonts w:cs="Arial"/>
          <w:b/>
          <w:sz w:val="28"/>
          <w:szCs w:val="28"/>
        </w:rPr>
        <w:t xml:space="preserve">2019 </w:t>
      </w:r>
      <w:r w:rsidR="004A50E5" w:rsidRPr="005A5AD3">
        <w:rPr>
          <w:rFonts w:cs="Arial"/>
          <w:b/>
          <w:sz w:val="28"/>
          <w:szCs w:val="28"/>
        </w:rPr>
        <w:t xml:space="preserve">and </w:t>
      </w:r>
      <w:r w:rsidR="003F621E" w:rsidRPr="00421152">
        <w:rPr>
          <w:rFonts w:cs="Arial"/>
          <w:b/>
          <w:sz w:val="28"/>
          <w:szCs w:val="28"/>
        </w:rPr>
        <w:t>20</w:t>
      </w:r>
      <w:r w:rsidR="003F621E">
        <w:rPr>
          <w:rFonts w:cs="Arial"/>
          <w:b/>
          <w:sz w:val="28"/>
          <w:szCs w:val="28"/>
        </w:rPr>
        <w:t>20</w:t>
      </w:r>
    </w:p>
    <w:p w14:paraId="41274F6D" w14:textId="79329CCA" w:rsidR="00DF2386" w:rsidRDefault="00DF2386" w:rsidP="00633DD5">
      <w:pPr>
        <w:rPr>
          <w:rFonts w:ascii="Garamond" w:hAnsi="Garamond" w:cs="Arial"/>
        </w:rPr>
      </w:pPr>
    </w:p>
    <w:p w14:paraId="1C1EE55D" w14:textId="3B1B288A" w:rsidR="000C2489" w:rsidRPr="00421152" w:rsidRDefault="000C2489" w:rsidP="00633DD5">
      <w:pPr>
        <w:autoSpaceDE w:val="0"/>
        <w:autoSpaceDN w:val="0"/>
        <w:adjustRightInd w:val="0"/>
        <w:rPr>
          <w:rFonts w:asciiTheme="minorHAnsi" w:eastAsiaTheme="minorHAnsi" w:hAnsiTheme="minorHAnsi" w:cs="Calibri-Bold"/>
          <w:b/>
          <w:bCs/>
        </w:rPr>
      </w:pPr>
      <w:r w:rsidRPr="00421152">
        <w:rPr>
          <w:noProof/>
          <w:lang w:eastAsia="en-GB"/>
        </w:rPr>
        <mc:AlternateContent>
          <mc:Choice Requires="wps">
            <w:drawing>
              <wp:inline distT="0" distB="0" distL="0" distR="0" wp14:anchorId="0606A690" wp14:editId="093145FB">
                <wp:extent cx="5895975" cy="51435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143500"/>
                        </a:xfrm>
                        <a:prstGeom prst="rect">
                          <a:avLst/>
                        </a:prstGeom>
                        <a:solidFill>
                          <a:srgbClr val="FFFFFF"/>
                        </a:solidFill>
                        <a:ln w="9525">
                          <a:solidFill>
                            <a:srgbClr val="000000"/>
                          </a:solidFill>
                          <a:miter lim="800000"/>
                          <a:headEnd/>
                          <a:tailEnd/>
                        </a:ln>
                      </wps:spPr>
                      <wps:txbx>
                        <w:txbxContent>
                          <w:p w14:paraId="042A6F62" w14:textId="77777777" w:rsidR="00163F72" w:rsidRDefault="00163F72" w:rsidP="000C2489">
                            <w:pPr>
                              <w:rPr>
                                <w:b/>
                                <w:bCs/>
                              </w:rPr>
                            </w:pPr>
                            <w:r>
                              <w:rPr>
                                <w:b/>
                                <w:bCs/>
                              </w:rPr>
                              <w:t xml:space="preserve">Actions requested: </w:t>
                            </w:r>
                          </w:p>
                          <w:p w14:paraId="6AFFC31D" w14:textId="77777777" w:rsidR="00163F72" w:rsidRDefault="00163F72" w:rsidP="000C2489">
                            <w:pPr>
                              <w:pStyle w:val="ColorfulList-Accent11"/>
                              <w:ind w:left="0"/>
                            </w:pPr>
                          </w:p>
                          <w:p w14:paraId="70ED186F" w14:textId="6C0C2A3B" w:rsidR="00163F72" w:rsidRDefault="00163F72" w:rsidP="00275F13">
                            <w:pPr>
                              <w:pStyle w:val="ColorfulList-Accent11"/>
                              <w:ind w:left="0" w:firstLine="0"/>
                              <w:rPr>
                                <w:rFonts w:cs="Calibri"/>
                              </w:rPr>
                            </w:pPr>
                            <w:r>
                              <w:t xml:space="preserve">The Standing Committee is </w:t>
                            </w:r>
                            <w:r>
                              <w:rPr>
                                <w:rFonts w:cs="Calibri"/>
                              </w:rPr>
                              <w:t>invited to:</w:t>
                            </w:r>
                          </w:p>
                          <w:p w14:paraId="52CF3F8D" w14:textId="77777777" w:rsidR="00163F72" w:rsidRDefault="00163F72" w:rsidP="000C2489">
                            <w:pPr>
                              <w:pStyle w:val="ColorfulList-Accent11"/>
                              <w:ind w:left="0"/>
                              <w:rPr>
                                <w:rFonts w:cs="Calibri"/>
                              </w:rPr>
                            </w:pPr>
                          </w:p>
                          <w:p w14:paraId="73C5ED58" w14:textId="40A163B6" w:rsidR="00163F72" w:rsidRDefault="00163F72" w:rsidP="009C55B1">
                            <w:pPr>
                              <w:pStyle w:val="ColorfulList-Accent11"/>
                              <w:ind w:left="425"/>
                              <w:rPr>
                                <w:rFonts w:cs="Calibri"/>
                              </w:rPr>
                            </w:pPr>
                            <w:r>
                              <w:rPr>
                                <w:rFonts w:cs="Calibri"/>
                              </w:rPr>
                              <w:t>i.</w:t>
                            </w:r>
                            <w:r>
                              <w:rPr>
                                <w:rFonts w:cs="Calibri"/>
                              </w:rPr>
                              <w:tab/>
                            </w:r>
                            <w:r w:rsidRPr="004142A8">
                              <w:rPr>
                                <w:rFonts w:cs="Calibri"/>
                              </w:rPr>
                              <w:t>review and accept the 201</w:t>
                            </w:r>
                            <w:r>
                              <w:rPr>
                                <w:rFonts w:cs="Calibri"/>
                              </w:rPr>
                              <w:t>9</w:t>
                            </w:r>
                            <w:r w:rsidRPr="004142A8">
                              <w:rPr>
                                <w:rFonts w:cs="Calibri"/>
                              </w:rPr>
                              <w:t xml:space="preserve"> audited financial statements as of 31 December 201</w:t>
                            </w:r>
                            <w:r>
                              <w:rPr>
                                <w:rFonts w:cs="Calibri"/>
                              </w:rPr>
                              <w:t>9</w:t>
                            </w:r>
                            <w:r w:rsidRPr="004142A8">
                              <w:rPr>
                                <w:rFonts w:cs="Calibri"/>
                              </w:rPr>
                              <w:t>;</w:t>
                            </w:r>
                          </w:p>
                          <w:p w14:paraId="4FA92D9D" w14:textId="77777777" w:rsidR="00163F72" w:rsidRPr="004142A8" w:rsidRDefault="00163F72" w:rsidP="009C55B1">
                            <w:pPr>
                              <w:pStyle w:val="ColorfulList-Accent11"/>
                              <w:ind w:left="425"/>
                              <w:rPr>
                                <w:rFonts w:cs="Calibri"/>
                              </w:rPr>
                            </w:pPr>
                          </w:p>
                          <w:p w14:paraId="2F2E1948" w14:textId="0A7B10AA" w:rsidR="00163F72" w:rsidRPr="00E27D44" w:rsidRDefault="00163F72" w:rsidP="00AE43C7">
                            <w:pPr>
                              <w:pStyle w:val="ColorfulList-Accent11"/>
                              <w:ind w:left="425"/>
                              <w:rPr>
                                <w:rFonts w:cs="Calibri"/>
                              </w:rPr>
                            </w:pPr>
                            <w:r>
                              <w:rPr>
                                <w:rFonts w:cs="Calibri"/>
                              </w:rPr>
                              <w:t>ii.</w:t>
                            </w:r>
                            <w:r>
                              <w:rPr>
                                <w:rFonts w:cs="Calibri"/>
                              </w:rPr>
                              <w:tab/>
                            </w:r>
                            <w:r w:rsidRPr="00EE458C">
                              <w:rPr>
                                <w:rFonts w:cs="Calibri"/>
                              </w:rPr>
                              <w:t>note the core budget results for 2019;</w:t>
                            </w:r>
                          </w:p>
                          <w:p w14:paraId="79859B48" w14:textId="77777777" w:rsidR="00163F72" w:rsidRPr="00E27D44" w:rsidRDefault="00163F72" w:rsidP="009C55B1">
                            <w:pPr>
                              <w:pStyle w:val="ColorfulList-Accent11"/>
                              <w:ind w:left="425"/>
                              <w:rPr>
                                <w:rFonts w:cs="Calibri"/>
                              </w:rPr>
                            </w:pPr>
                          </w:p>
                          <w:p w14:paraId="168CBB05" w14:textId="0768C55B" w:rsidR="00163F72" w:rsidRPr="00E27D44" w:rsidRDefault="00163F72" w:rsidP="009C55B1">
                            <w:pPr>
                              <w:pStyle w:val="ColorfulList-Accent11"/>
                              <w:ind w:left="425"/>
                              <w:rPr>
                                <w:rFonts w:cs="Calibri"/>
                              </w:rPr>
                            </w:pPr>
                            <w:r>
                              <w:rPr>
                                <w:rFonts w:cs="Calibri"/>
                              </w:rPr>
                              <w:t>iii</w:t>
                            </w:r>
                            <w:r w:rsidRPr="00E27D44">
                              <w:rPr>
                                <w:rFonts w:cs="Calibri"/>
                              </w:rPr>
                              <w:t>.</w:t>
                            </w:r>
                            <w:r w:rsidRPr="00E27D44">
                              <w:rPr>
                                <w:rFonts w:cs="Calibri"/>
                              </w:rPr>
                              <w:tab/>
                              <w:t xml:space="preserve">note the non-core balances and voluntary contributions for 2019; </w:t>
                            </w:r>
                          </w:p>
                          <w:p w14:paraId="6FEB9E62" w14:textId="77777777" w:rsidR="00163F72" w:rsidRPr="00E27D44" w:rsidRDefault="00163F72" w:rsidP="009C55B1">
                            <w:pPr>
                              <w:pStyle w:val="ColorfulList-Accent11"/>
                              <w:ind w:left="425"/>
                              <w:rPr>
                                <w:rFonts w:cs="Calibri"/>
                              </w:rPr>
                            </w:pPr>
                          </w:p>
                          <w:p w14:paraId="2FEF7CD1" w14:textId="44A9912C" w:rsidR="00163F72" w:rsidRPr="00E27D44" w:rsidRDefault="00163F72" w:rsidP="008B2ABF">
                            <w:pPr>
                              <w:pStyle w:val="ColorfulList-Accent11"/>
                              <w:ind w:left="425"/>
                              <w:rPr>
                                <w:rFonts w:cs="Calibri"/>
                              </w:rPr>
                            </w:pPr>
                            <w:r>
                              <w:rPr>
                                <w:rFonts w:cs="Calibri"/>
                              </w:rPr>
                              <w:t>i</w:t>
                            </w:r>
                            <w:r w:rsidRPr="00E27D44">
                              <w:rPr>
                                <w:rFonts w:cs="Calibri"/>
                              </w:rPr>
                              <w:t>v.</w:t>
                            </w:r>
                            <w:r w:rsidRPr="00E27D44">
                              <w:rPr>
                                <w:rFonts w:cs="Calibri"/>
                              </w:rPr>
                              <w:tab/>
                            </w:r>
                            <w:r w:rsidRPr="006674A7">
                              <w:rPr>
                                <w:rFonts w:cs="Calibri"/>
                              </w:rPr>
                              <w:t xml:space="preserve">note the reallocation of the </w:t>
                            </w:r>
                            <w:r>
                              <w:rPr>
                                <w:rFonts w:cs="Calibri"/>
                              </w:rPr>
                              <w:t xml:space="preserve">2019 </w:t>
                            </w:r>
                            <w:r w:rsidRPr="006674A7">
                              <w:rPr>
                                <w:rFonts w:cs="Calibri"/>
                              </w:rPr>
                              <w:t xml:space="preserve">budget as described in </w:t>
                            </w:r>
                            <w:r w:rsidRPr="00B97377">
                              <w:rPr>
                                <w:rFonts w:cs="Calibri"/>
                              </w:rPr>
                              <w:t>paragraph 14</w:t>
                            </w:r>
                            <w:r>
                              <w:rPr>
                                <w:rFonts w:cs="Calibri"/>
                              </w:rPr>
                              <w:t>;</w:t>
                            </w:r>
                          </w:p>
                          <w:p w14:paraId="1CDC3321" w14:textId="1AAD0C6A" w:rsidR="00163F72" w:rsidRDefault="00163F72" w:rsidP="009C55B1">
                            <w:pPr>
                              <w:pStyle w:val="ColorfulList-Accent11"/>
                              <w:ind w:left="425"/>
                              <w:rPr>
                                <w:rFonts w:cs="Calibri"/>
                              </w:rPr>
                            </w:pPr>
                          </w:p>
                          <w:p w14:paraId="7BC1F6ED" w14:textId="54919B95" w:rsidR="00163F72" w:rsidRDefault="00163F72" w:rsidP="009C55B1">
                            <w:pPr>
                              <w:pStyle w:val="ColorfulList-Accent11"/>
                              <w:ind w:left="425"/>
                              <w:rPr>
                                <w:rFonts w:cs="Calibri"/>
                              </w:rPr>
                            </w:pPr>
                            <w:r>
                              <w:rPr>
                                <w:rFonts w:cs="Calibri"/>
                              </w:rPr>
                              <w:t>v</w:t>
                            </w:r>
                            <w:r w:rsidRPr="006674A7">
                              <w:rPr>
                                <w:rFonts w:cs="Calibri"/>
                              </w:rPr>
                              <w:t>.</w:t>
                            </w:r>
                            <w:r w:rsidRPr="006674A7">
                              <w:rPr>
                                <w:rFonts w:cs="Calibri"/>
                              </w:rPr>
                              <w:tab/>
                            </w:r>
                            <w:r w:rsidRPr="003218F4">
                              <w:rPr>
                                <w:rFonts w:cs="Calibri"/>
                              </w:rPr>
                              <w:t xml:space="preserve">note the Secretariat’s </w:t>
                            </w:r>
                            <w:r w:rsidRPr="005A5AD3">
                              <w:rPr>
                                <w:rFonts w:cs="Calibri"/>
                              </w:rPr>
                              <w:t>adjustments to the COP13-approved core budget for 2020, which includes the balance of approved used of surplus funds from the previous triennium and carry forward from 2019 to 2020;</w:t>
                            </w:r>
                          </w:p>
                          <w:p w14:paraId="4B7B762D" w14:textId="58A8B9E4" w:rsidR="00163F72" w:rsidRDefault="00163F72" w:rsidP="009C55B1">
                            <w:pPr>
                              <w:pStyle w:val="ColorfulList-Accent11"/>
                              <w:ind w:left="425"/>
                              <w:rPr>
                                <w:rFonts w:cs="Calibri"/>
                              </w:rPr>
                            </w:pPr>
                          </w:p>
                          <w:p w14:paraId="5BF04D5F" w14:textId="40C38254" w:rsidR="00163F72" w:rsidRDefault="00163F72" w:rsidP="009C55B1">
                            <w:pPr>
                              <w:pStyle w:val="ColorfulList-Accent11"/>
                              <w:ind w:left="425"/>
                              <w:rPr>
                                <w:rFonts w:cs="Calibri"/>
                              </w:rPr>
                            </w:pPr>
                            <w:r>
                              <w:rPr>
                                <w:rFonts w:cs="Calibri"/>
                              </w:rPr>
                              <w:t>vi.</w:t>
                            </w:r>
                            <w:r>
                              <w:rPr>
                                <w:rFonts w:cs="Calibri"/>
                              </w:rPr>
                              <w:tab/>
                              <w:t xml:space="preserve">approve the allocation of the core budget </w:t>
                            </w:r>
                            <w:r w:rsidRPr="00F440F9">
                              <w:rPr>
                                <w:rFonts w:cs="Calibri"/>
                              </w:rPr>
                              <w:t>line D “Support to Regional Initiatives”</w:t>
                            </w:r>
                            <w:r>
                              <w:rPr>
                                <w:rFonts w:cs="Calibri"/>
                              </w:rPr>
                              <w:t>, as described in paragraph 34;</w:t>
                            </w:r>
                          </w:p>
                          <w:p w14:paraId="61C61C95" w14:textId="77777777" w:rsidR="00163F72" w:rsidRDefault="00163F72" w:rsidP="009C55B1">
                            <w:pPr>
                              <w:pStyle w:val="ColorfulList-Accent11"/>
                              <w:ind w:left="425"/>
                              <w:rPr>
                                <w:rFonts w:cs="Calibri"/>
                              </w:rPr>
                            </w:pPr>
                          </w:p>
                          <w:p w14:paraId="76942774" w14:textId="193D8CF7" w:rsidR="00163F72" w:rsidRPr="009B3163" w:rsidRDefault="00163F72" w:rsidP="00495842">
                            <w:pPr>
                              <w:pStyle w:val="ColorfulList-Accent11"/>
                              <w:ind w:left="425"/>
                              <w:rPr>
                                <w:rFonts w:cs="Calibri"/>
                              </w:rPr>
                            </w:pPr>
                            <w:r>
                              <w:rPr>
                                <w:rFonts w:cs="Calibri"/>
                              </w:rPr>
                              <w:t>vii</w:t>
                            </w:r>
                            <w:r w:rsidRPr="006674A7">
                              <w:rPr>
                                <w:rFonts w:cs="Calibri"/>
                              </w:rPr>
                              <w:t>.</w:t>
                            </w:r>
                            <w:r w:rsidRPr="006674A7">
                              <w:rPr>
                                <w:rFonts w:cs="Calibri"/>
                              </w:rPr>
                              <w:tab/>
                            </w:r>
                            <w:r w:rsidRPr="00495842">
                              <w:rPr>
                                <w:rFonts w:cs="Calibri"/>
                              </w:rPr>
                              <w:t>approve the allocation of savings in the core budget for the review</w:t>
                            </w:r>
                            <w:r>
                              <w:rPr>
                                <w:rFonts w:cs="Calibri"/>
                              </w:rPr>
                              <w:t xml:space="preserve"> of R</w:t>
                            </w:r>
                            <w:r w:rsidRPr="00495842">
                              <w:rPr>
                                <w:rFonts w:cs="Calibri"/>
                              </w:rPr>
                              <w:t xml:space="preserve">esolutions, as described in </w:t>
                            </w:r>
                            <w:r w:rsidRPr="009B3163">
                              <w:rPr>
                                <w:rFonts w:cs="Calibri"/>
                              </w:rPr>
                              <w:t>paragraph 35;</w:t>
                            </w:r>
                          </w:p>
                          <w:p w14:paraId="2AA68A7C" w14:textId="77777777" w:rsidR="00163F72" w:rsidRPr="009B3163" w:rsidRDefault="00163F72" w:rsidP="009C55B1">
                            <w:pPr>
                              <w:pStyle w:val="ColorfulList-Accent11"/>
                              <w:ind w:left="425"/>
                              <w:rPr>
                                <w:rFonts w:cs="Calibri"/>
                              </w:rPr>
                            </w:pPr>
                          </w:p>
                          <w:p w14:paraId="32EEABF6" w14:textId="69558FE8" w:rsidR="00163F72" w:rsidRPr="009B3163" w:rsidRDefault="00163F72" w:rsidP="009C55B1">
                            <w:pPr>
                              <w:pStyle w:val="ColorfulList-Accent11"/>
                              <w:ind w:left="425"/>
                              <w:rPr>
                                <w:rFonts w:cs="Calibri"/>
                              </w:rPr>
                            </w:pPr>
                            <w:r w:rsidRPr="009B3163">
                              <w:rPr>
                                <w:rFonts w:cs="Calibri"/>
                              </w:rPr>
                              <w:t>viii.</w:t>
                            </w:r>
                            <w:r w:rsidRPr="009B3163">
                              <w:rPr>
                                <w:rFonts w:cs="Calibri"/>
                              </w:rPr>
                              <w:tab/>
                              <w:t xml:space="preserve">note the progress in implementing the recommendations of the IUCN </w:t>
                            </w:r>
                            <w:r w:rsidRPr="009B3163">
                              <w:rPr>
                                <w:rFonts w:cs="Calibri"/>
                                <w:i/>
                              </w:rPr>
                              <w:t>Financial Management Review of Non-core (Restricted) Fund Accounts</w:t>
                            </w:r>
                            <w:r w:rsidRPr="009B3163">
                              <w:rPr>
                                <w:rFonts w:cs="Calibri"/>
                              </w:rPr>
                              <w:t>, and approve the proposal on the use of management fees, as described in paragraph 43; and</w:t>
                            </w:r>
                          </w:p>
                          <w:p w14:paraId="5CC42FAA" w14:textId="77777777" w:rsidR="00163F72" w:rsidRPr="009B3163" w:rsidRDefault="00163F72" w:rsidP="009C55B1">
                            <w:pPr>
                              <w:pStyle w:val="ColorfulList-Accent11"/>
                              <w:ind w:left="425"/>
                              <w:rPr>
                                <w:rFonts w:cs="Calibri"/>
                              </w:rPr>
                            </w:pPr>
                          </w:p>
                          <w:p w14:paraId="06DCBDC2" w14:textId="7F6BBAB6" w:rsidR="00163F72" w:rsidRPr="001730E3" w:rsidRDefault="00163F72" w:rsidP="000D3FBF">
                            <w:pPr>
                              <w:pStyle w:val="ColorfulList-Accent11"/>
                              <w:ind w:left="425"/>
                              <w:rPr>
                                <w:rFonts w:cs="Calibri"/>
                              </w:rPr>
                            </w:pPr>
                            <w:r w:rsidRPr="009B3163">
                              <w:rPr>
                                <w:rFonts w:cs="Calibri"/>
                              </w:rPr>
                              <w:t>ix.</w:t>
                            </w:r>
                            <w:r w:rsidRPr="009B3163">
                              <w:rPr>
                                <w:rFonts w:cs="Calibri"/>
                              </w:rPr>
                              <w:tab/>
                              <w:t>consider the external auditor’s proposal on group confirmation of outstanding Contracting Party balances in response to Decision SC57-40, and approve the proposed way forward in paragraph 50 and 51.</w:t>
                            </w:r>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64.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">
                <v:textbox>
                  <w:txbxContent>
                    <w:p w14:paraId="042A6F62" w14:textId="77777777" w:rsidR="00163F72" w:rsidRDefault="00163F72" w:rsidP="000C2489">
                      <w:pPr>
                        <w:rPr>
                          <w:b/>
                          <w:bCs/>
                        </w:rPr>
                      </w:pPr>
                      <w:r>
                        <w:rPr>
                          <w:b/>
                          <w:bCs/>
                        </w:rPr>
                        <w:t xml:space="preserve">Actions requested: </w:t>
                      </w:r>
                    </w:p>
                    <w:p w14:paraId="6AFFC31D" w14:textId="77777777" w:rsidR="00163F72" w:rsidRDefault="00163F72" w:rsidP="000C2489">
                      <w:pPr>
                        <w:pStyle w:val="ColorfulList-Accent11"/>
                        <w:ind w:left="0"/>
                      </w:pPr>
                    </w:p>
                    <w:p w14:paraId="70ED186F" w14:textId="6C0C2A3B" w:rsidR="00163F72" w:rsidRDefault="00163F72" w:rsidP="00275F13">
                      <w:pPr>
                        <w:pStyle w:val="ColorfulList-Accent11"/>
                        <w:ind w:left="0" w:firstLine="0"/>
                        <w:rPr>
                          <w:rFonts w:cs="Calibri"/>
                        </w:rPr>
                      </w:pPr>
                      <w:r>
                        <w:t xml:space="preserve">The Standing Committee is </w:t>
                      </w:r>
                      <w:r>
                        <w:rPr>
                          <w:rFonts w:cs="Calibri"/>
                        </w:rPr>
                        <w:t>invited to:</w:t>
                      </w:r>
                    </w:p>
                    <w:p w14:paraId="52CF3F8D" w14:textId="77777777" w:rsidR="00163F72" w:rsidRDefault="00163F72" w:rsidP="000C2489">
                      <w:pPr>
                        <w:pStyle w:val="ColorfulList-Accent11"/>
                        <w:ind w:left="0"/>
                        <w:rPr>
                          <w:rFonts w:cs="Calibri"/>
                        </w:rPr>
                      </w:pPr>
                    </w:p>
                    <w:p w14:paraId="73C5ED58" w14:textId="40A163B6" w:rsidR="00163F72" w:rsidRDefault="00163F72" w:rsidP="009C55B1">
                      <w:pPr>
                        <w:pStyle w:val="ColorfulList-Accent11"/>
                        <w:ind w:left="425"/>
                        <w:rPr>
                          <w:rFonts w:cs="Calibri"/>
                        </w:rPr>
                      </w:pPr>
                      <w:r>
                        <w:rPr>
                          <w:rFonts w:cs="Calibri"/>
                        </w:rPr>
                        <w:t>i.</w:t>
                      </w:r>
                      <w:r>
                        <w:rPr>
                          <w:rFonts w:cs="Calibri"/>
                        </w:rPr>
                        <w:tab/>
                      </w:r>
                      <w:r w:rsidRPr="004142A8">
                        <w:rPr>
                          <w:rFonts w:cs="Calibri"/>
                        </w:rPr>
                        <w:t>review and accept the 201</w:t>
                      </w:r>
                      <w:r>
                        <w:rPr>
                          <w:rFonts w:cs="Calibri"/>
                        </w:rPr>
                        <w:t>9</w:t>
                      </w:r>
                      <w:r w:rsidRPr="004142A8">
                        <w:rPr>
                          <w:rFonts w:cs="Calibri"/>
                        </w:rPr>
                        <w:t xml:space="preserve"> audited financial statements as of 31 December 201</w:t>
                      </w:r>
                      <w:r>
                        <w:rPr>
                          <w:rFonts w:cs="Calibri"/>
                        </w:rPr>
                        <w:t>9</w:t>
                      </w:r>
                      <w:r w:rsidRPr="004142A8">
                        <w:rPr>
                          <w:rFonts w:cs="Calibri"/>
                        </w:rPr>
                        <w:t>;</w:t>
                      </w:r>
                    </w:p>
                    <w:p w14:paraId="4FA92D9D" w14:textId="77777777" w:rsidR="00163F72" w:rsidRPr="004142A8" w:rsidRDefault="00163F72" w:rsidP="009C55B1">
                      <w:pPr>
                        <w:pStyle w:val="ColorfulList-Accent11"/>
                        <w:ind w:left="425"/>
                        <w:rPr>
                          <w:rFonts w:cs="Calibri"/>
                        </w:rPr>
                      </w:pPr>
                    </w:p>
                    <w:p w14:paraId="2F2E1948" w14:textId="0A7B10AA" w:rsidR="00163F72" w:rsidRPr="00E27D44" w:rsidRDefault="00163F72" w:rsidP="00AE43C7">
                      <w:pPr>
                        <w:pStyle w:val="ColorfulList-Accent11"/>
                        <w:ind w:left="425"/>
                        <w:rPr>
                          <w:rFonts w:cs="Calibri"/>
                        </w:rPr>
                      </w:pPr>
                      <w:r>
                        <w:rPr>
                          <w:rFonts w:cs="Calibri"/>
                        </w:rPr>
                        <w:t>ii.</w:t>
                      </w:r>
                      <w:r>
                        <w:rPr>
                          <w:rFonts w:cs="Calibri"/>
                        </w:rPr>
                        <w:tab/>
                      </w:r>
                      <w:r w:rsidRPr="00EE458C">
                        <w:rPr>
                          <w:rFonts w:cs="Calibri"/>
                        </w:rPr>
                        <w:t>note the core budget results for 2019;</w:t>
                      </w:r>
                    </w:p>
                    <w:p w14:paraId="79859B48" w14:textId="77777777" w:rsidR="00163F72" w:rsidRPr="00E27D44" w:rsidRDefault="00163F72" w:rsidP="009C55B1">
                      <w:pPr>
                        <w:pStyle w:val="ColorfulList-Accent11"/>
                        <w:ind w:left="425"/>
                        <w:rPr>
                          <w:rFonts w:cs="Calibri"/>
                        </w:rPr>
                      </w:pPr>
                    </w:p>
                    <w:p w14:paraId="168CBB05" w14:textId="0768C55B" w:rsidR="00163F72" w:rsidRPr="00E27D44" w:rsidRDefault="00163F72" w:rsidP="009C55B1">
                      <w:pPr>
                        <w:pStyle w:val="ColorfulList-Accent11"/>
                        <w:ind w:left="425"/>
                        <w:rPr>
                          <w:rFonts w:cs="Calibri"/>
                        </w:rPr>
                      </w:pPr>
                      <w:r>
                        <w:rPr>
                          <w:rFonts w:cs="Calibri"/>
                        </w:rPr>
                        <w:t>iii</w:t>
                      </w:r>
                      <w:r w:rsidRPr="00E27D44">
                        <w:rPr>
                          <w:rFonts w:cs="Calibri"/>
                        </w:rPr>
                        <w:t>.</w:t>
                      </w:r>
                      <w:r w:rsidRPr="00E27D44">
                        <w:rPr>
                          <w:rFonts w:cs="Calibri"/>
                        </w:rPr>
                        <w:tab/>
                        <w:t xml:space="preserve">note the non-core balances and voluntary contributions for 2019; </w:t>
                      </w:r>
                    </w:p>
                    <w:p w14:paraId="6FEB9E62" w14:textId="77777777" w:rsidR="00163F72" w:rsidRPr="00E27D44" w:rsidRDefault="00163F72" w:rsidP="009C55B1">
                      <w:pPr>
                        <w:pStyle w:val="ColorfulList-Accent11"/>
                        <w:ind w:left="425"/>
                        <w:rPr>
                          <w:rFonts w:cs="Calibri"/>
                        </w:rPr>
                      </w:pPr>
                    </w:p>
                    <w:p w14:paraId="2FEF7CD1" w14:textId="44A9912C" w:rsidR="00163F72" w:rsidRPr="00E27D44" w:rsidRDefault="00163F72" w:rsidP="008B2ABF">
                      <w:pPr>
                        <w:pStyle w:val="ColorfulList-Accent11"/>
                        <w:ind w:left="425"/>
                        <w:rPr>
                          <w:rFonts w:cs="Calibri"/>
                        </w:rPr>
                      </w:pPr>
                      <w:r>
                        <w:rPr>
                          <w:rFonts w:cs="Calibri"/>
                        </w:rPr>
                        <w:t>i</w:t>
                      </w:r>
                      <w:r w:rsidRPr="00E27D44">
                        <w:rPr>
                          <w:rFonts w:cs="Calibri"/>
                        </w:rPr>
                        <w:t>v.</w:t>
                      </w:r>
                      <w:r w:rsidRPr="00E27D44">
                        <w:rPr>
                          <w:rFonts w:cs="Calibri"/>
                        </w:rPr>
                        <w:tab/>
                      </w:r>
                      <w:r w:rsidRPr="006674A7">
                        <w:rPr>
                          <w:rFonts w:cs="Calibri"/>
                        </w:rPr>
                        <w:t xml:space="preserve">note the reallocation of the </w:t>
                      </w:r>
                      <w:r>
                        <w:rPr>
                          <w:rFonts w:cs="Calibri"/>
                        </w:rPr>
                        <w:t xml:space="preserve">2019 </w:t>
                      </w:r>
                      <w:r w:rsidRPr="006674A7">
                        <w:rPr>
                          <w:rFonts w:cs="Calibri"/>
                        </w:rPr>
                        <w:t xml:space="preserve">budget as described in </w:t>
                      </w:r>
                      <w:r w:rsidRPr="00B97377">
                        <w:rPr>
                          <w:rFonts w:cs="Calibri"/>
                        </w:rPr>
                        <w:t>paragraph 14</w:t>
                      </w:r>
                      <w:r>
                        <w:rPr>
                          <w:rFonts w:cs="Calibri"/>
                        </w:rPr>
                        <w:t>;</w:t>
                      </w:r>
                    </w:p>
                    <w:p w14:paraId="1CDC3321" w14:textId="1AAD0C6A" w:rsidR="00163F72" w:rsidRDefault="00163F72" w:rsidP="009C55B1">
                      <w:pPr>
                        <w:pStyle w:val="ColorfulList-Accent11"/>
                        <w:ind w:left="425"/>
                        <w:rPr>
                          <w:rFonts w:cs="Calibri"/>
                        </w:rPr>
                      </w:pPr>
                    </w:p>
                    <w:p w14:paraId="7BC1F6ED" w14:textId="54919B95" w:rsidR="00163F72" w:rsidRDefault="00163F72" w:rsidP="009C55B1">
                      <w:pPr>
                        <w:pStyle w:val="ColorfulList-Accent11"/>
                        <w:ind w:left="425"/>
                        <w:rPr>
                          <w:rFonts w:cs="Calibri"/>
                        </w:rPr>
                      </w:pPr>
                      <w:r>
                        <w:rPr>
                          <w:rFonts w:cs="Calibri"/>
                        </w:rPr>
                        <w:t>v</w:t>
                      </w:r>
                      <w:r w:rsidRPr="006674A7">
                        <w:rPr>
                          <w:rFonts w:cs="Calibri"/>
                        </w:rPr>
                        <w:t>.</w:t>
                      </w:r>
                      <w:r w:rsidRPr="006674A7">
                        <w:rPr>
                          <w:rFonts w:cs="Calibri"/>
                        </w:rPr>
                        <w:tab/>
                      </w:r>
                      <w:r w:rsidRPr="003218F4">
                        <w:rPr>
                          <w:rFonts w:cs="Calibri"/>
                        </w:rPr>
                        <w:t xml:space="preserve">note the Secretariat’s </w:t>
                      </w:r>
                      <w:r w:rsidRPr="005A5AD3">
                        <w:rPr>
                          <w:rFonts w:cs="Calibri"/>
                        </w:rPr>
                        <w:t>adjustments to the COP13-approved core budget for 2020, which includes the balance of approved used of surplus funds from the previous triennium and carry forward from 2019 to 2020;</w:t>
                      </w:r>
                    </w:p>
                    <w:p w14:paraId="4B7B762D" w14:textId="58A8B9E4" w:rsidR="00163F72" w:rsidRDefault="00163F72" w:rsidP="009C55B1">
                      <w:pPr>
                        <w:pStyle w:val="ColorfulList-Accent11"/>
                        <w:ind w:left="425"/>
                        <w:rPr>
                          <w:rFonts w:cs="Calibri"/>
                        </w:rPr>
                      </w:pPr>
                    </w:p>
                    <w:p w14:paraId="5BF04D5F" w14:textId="40C38254" w:rsidR="00163F72" w:rsidRDefault="00163F72" w:rsidP="009C55B1">
                      <w:pPr>
                        <w:pStyle w:val="ColorfulList-Accent11"/>
                        <w:ind w:left="425"/>
                        <w:rPr>
                          <w:rFonts w:cs="Calibri"/>
                        </w:rPr>
                      </w:pPr>
                      <w:r>
                        <w:rPr>
                          <w:rFonts w:cs="Calibri"/>
                        </w:rPr>
                        <w:t>vi.</w:t>
                      </w:r>
                      <w:r>
                        <w:rPr>
                          <w:rFonts w:cs="Calibri"/>
                        </w:rPr>
                        <w:tab/>
                        <w:t>approve the allocation of the core bud</w:t>
                      </w:r>
                      <w:bookmarkStart w:id="1" w:name="_GoBack"/>
                      <w:bookmarkEnd w:id="1"/>
                      <w:r>
                        <w:rPr>
                          <w:rFonts w:cs="Calibri"/>
                        </w:rPr>
                        <w:t xml:space="preserve">get </w:t>
                      </w:r>
                      <w:r w:rsidRPr="00F440F9">
                        <w:rPr>
                          <w:rFonts w:cs="Calibri"/>
                        </w:rPr>
                        <w:t>line D “Support to Regional Initiatives”</w:t>
                      </w:r>
                      <w:r>
                        <w:rPr>
                          <w:rFonts w:cs="Calibri"/>
                        </w:rPr>
                        <w:t>, as described in paragraph 34;</w:t>
                      </w:r>
                    </w:p>
                    <w:p w14:paraId="61C61C95" w14:textId="77777777" w:rsidR="00163F72" w:rsidRDefault="00163F72" w:rsidP="009C55B1">
                      <w:pPr>
                        <w:pStyle w:val="ColorfulList-Accent11"/>
                        <w:ind w:left="425"/>
                        <w:rPr>
                          <w:rFonts w:cs="Calibri"/>
                        </w:rPr>
                      </w:pPr>
                    </w:p>
                    <w:p w14:paraId="76942774" w14:textId="193D8CF7" w:rsidR="00163F72" w:rsidRPr="009B3163" w:rsidRDefault="00163F72" w:rsidP="00495842">
                      <w:pPr>
                        <w:pStyle w:val="ColorfulList-Accent11"/>
                        <w:ind w:left="425"/>
                        <w:rPr>
                          <w:rFonts w:cs="Calibri"/>
                        </w:rPr>
                      </w:pPr>
                      <w:r>
                        <w:rPr>
                          <w:rFonts w:cs="Calibri"/>
                        </w:rPr>
                        <w:t>vii</w:t>
                      </w:r>
                      <w:r w:rsidRPr="006674A7">
                        <w:rPr>
                          <w:rFonts w:cs="Calibri"/>
                        </w:rPr>
                        <w:t>.</w:t>
                      </w:r>
                      <w:r w:rsidRPr="006674A7">
                        <w:rPr>
                          <w:rFonts w:cs="Calibri"/>
                        </w:rPr>
                        <w:tab/>
                      </w:r>
                      <w:r w:rsidRPr="00495842">
                        <w:rPr>
                          <w:rFonts w:cs="Calibri"/>
                        </w:rPr>
                        <w:t>approve the allocation of savings in the core budget for the review</w:t>
                      </w:r>
                      <w:r>
                        <w:rPr>
                          <w:rFonts w:cs="Calibri"/>
                        </w:rPr>
                        <w:t xml:space="preserve"> of R</w:t>
                      </w:r>
                      <w:r w:rsidRPr="00495842">
                        <w:rPr>
                          <w:rFonts w:cs="Calibri"/>
                        </w:rPr>
                        <w:t xml:space="preserve">esolutions, as described in </w:t>
                      </w:r>
                      <w:r w:rsidRPr="009B3163">
                        <w:rPr>
                          <w:rFonts w:cs="Calibri"/>
                        </w:rPr>
                        <w:t>paragraph 35;</w:t>
                      </w:r>
                    </w:p>
                    <w:p w14:paraId="2AA68A7C" w14:textId="77777777" w:rsidR="00163F72" w:rsidRPr="009B3163" w:rsidRDefault="00163F72" w:rsidP="009C55B1">
                      <w:pPr>
                        <w:pStyle w:val="ColorfulList-Accent11"/>
                        <w:ind w:left="425"/>
                        <w:rPr>
                          <w:rFonts w:cs="Calibri"/>
                        </w:rPr>
                      </w:pPr>
                    </w:p>
                    <w:p w14:paraId="32EEABF6" w14:textId="69558FE8" w:rsidR="00163F72" w:rsidRPr="009B3163" w:rsidRDefault="00163F72" w:rsidP="009C55B1">
                      <w:pPr>
                        <w:pStyle w:val="ColorfulList-Accent11"/>
                        <w:ind w:left="425"/>
                        <w:rPr>
                          <w:rFonts w:cs="Calibri"/>
                        </w:rPr>
                      </w:pPr>
                      <w:r w:rsidRPr="009B3163">
                        <w:rPr>
                          <w:rFonts w:cs="Calibri"/>
                        </w:rPr>
                        <w:t>viii.</w:t>
                      </w:r>
                      <w:r w:rsidRPr="009B3163">
                        <w:rPr>
                          <w:rFonts w:cs="Calibri"/>
                        </w:rPr>
                        <w:tab/>
                        <w:t xml:space="preserve">note the progress in implementing the recommendations of the IUCN </w:t>
                      </w:r>
                      <w:r w:rsidRPr="009B3163">
                        <w:rPr>
                          <w:rFonts w:cs="Calibri"/>
                          <w:i/>
                        </w:rPr>
                        <w:t>Financial Management Review of Non-core (Restricted) Fund Accounts</w:t>
                      </w:r>
                      <w:r w:rsidRPr="009B3163">
                        <w:rPr>
                          <w:rFonts w:cs="Calibri"/>
                        </w:rPr>
                        <w:t>, and approve the proposal on the use of management fees, as described in paragraph 43; and</w:t>
                      </w:r>
                    </w:p>
                    <w:p w14:paraId="5CC42FAA" w14:textId="77777777" w:rsidR="00163F72" w:rsidRPr="009B3163" w:rsidRDefault="00163F72" w:rsidP="009C55B1">
                      <w:pPr>
                        <w:pStyle w:val="ColorfulList-Accent11"/>
                        <w:ind w:left="425"/>
                        <w:rPr>
                          <w:rFonts w:cs="Calibri"/>
                        </w:rPr>
                      </w:pPr>
                    </w:p>
                    <w:p w14:paraId="06DCBDC2" w14:textId="7F6BBAB6" w:rsidR="00163F72" w:rsidRPr="001730E3" w:rsidRDefault="00163F72" w:rsidP="000D3FBF">
                      <w:pPr>
                        <w:pStyle w:val="ColorfulList-Accent11"/>
                        <w:ind w:left="425"/>
                        <w:rPr>
                          <w:rFonts w:cs="Calibri"/>
                        </w:rPr>
                      </w:pPr>
                      <w:r w:rsidRPr="009B3163">
                        <w:rPr>
                          <w:rFonts w:cs="Calibri"/>
                        </w:rPr>
                        <w:t>ix.</w:t>
                      </w:r>
                      <w:r w:rsidRPr="009B3163">
                        <w:rPr>
                          <w:rFonts w:cs="Calibri"/>
                        </w:rPr>
                        <w:tab/>
                        <w:t>consider the external auditor’s proposal on group confirmation of outstanding Contracting Party balances in response to Decision SC57-40, and approve the proposed way forward in paragraph 50 and 51.</w:t>
                      </w:r>
                    </w:p>
                  </w:txbxContent>
                </v:textbox>
                <w10:anchorlock/>
              </v:shape>
            </w:pict>
          </mc:Fallback>
        </mc:AlternateContent>
      </w:r>
    </w:p>
    <w:p w14:paraId="6851CF50" w14:textId="77777777" w:rsidR="009E0AE8" w:rsidRPr="00162710" w:rsidRDefault="009E0AE8" w:rsidP="00162710">
      <w:pPr>
        <w:ind w:left="0" w:firstLine="0"/>
        <w:rPr>
          <w:rFonts w:cs="Arial"/>
          <w:b/>
        </w:rPr>
      </w:pPr>
    </w:p>
    <w:p w14:paraId="258B288D" w14:textId="6F7E4322" w:rsidR="00A31490" w:rsidRPr="00162710" w:rsidRDefault="00A31490" w:rsidP="00162710">
      <w:pPr>
        <w:rPr>
          <w:rFonts w:cs="Arial"/>
          <w:b/>
        </w:rPr>
      </w:pPr>
    </w:p>
    <w:p w14:paraId="669F5FB2" w14:textId="77777777" w:rsidR="00EE484E" w:rsidRPr="00A31010" w:rsidRDefault="00EE484E" w:rsidP="00162710">
      <w:pPr>
        <w:rPr>
          <w:rFonts w:cs="Arial"/>
          <w:b/>
        </w:rPr>
      </w:pPr>
      <w:r w:rsidRPr="00421152">
        <w:rPr>
          <w:rFonts w:cs="Arial"/>
          <w:b/>
        </w:rPr>
        <w:t>Background</w:t>
      </w:r>
    </w:p>
    <w:p w14:paraId="0B270B88" w14:textId="77777777" w:rsidR="00A31490" w:rsidRPr="00421152" w:rsidRDefault="00A31490" w:rsidP="00162710">
      <w:pPr>
        <w:rPr>
          <w:rFonts w:cs="Arial"/>
        </w:rPr>
      </w:pPr>
    </w:p>
    <w:p w14:paraId="73F2080A" w14:textId="7F1F2A9F" w:rsidR="00B60B96" w:rsidRPr="00421152" w:rsidRDefault="00112F62" w:rsidP="00162710">
      <w:pPr>
        <w:rPr>
          <w:rFonts w:cs="Arial"/>
        </w:rPr>
      </w:pPr>
      <w:r w:rsidRPr="00421152">
        <w:t>1.</w:t>
      </w:r>
      <w:r w:rsidRPr="00421152">
        <w:tab/>
      </w:r>
      <w:r w:rsidR="00ED1F5E" w:rsidRPr="00421152">
        <w:t>This report addresses</w:t>
      </w:r>
      <w:r w:rsidR="00DE1179" w:rsidRPr="00421152">
        <w:t xml:space="preserve"> financial matters concerning the</w:t>
      </w:r>
      <w:r w:rsidR="00E86878">
        <w:t xml:space="preserve"> </w:t>
      </w:r>
      <w:r w:rsidR="00014DD6">
        <w:t>Convention on Wetland</w:t>
      </w:r>
      <w:r w:rsidR="00F27F55">
        <w:t>s</w:t>
      </w:r>
      <w:r w:rsidR="00014DD6">
        <w:t>’</w:t>
      </w:r>
      <w:r w:rsidR="00020C2D" w:rsidRPr="00421152">
        <w:t xml:space="preserve"> </w:t>
      </w:r>
      <w:r w:rsidR="00DE1179" w:rsidRPr="00421152">
        <w:t xml:space="preserve">core and </w:t>
      </w:r>
      <w:r w:rsidR="00DE1179" w:rsidRPr="00284E2E">
        <w:t xml:space="preserve">non-core </w:t>
      </w:r>
      <w:r w:rsidR="006646B9" w:rsidRPr="00284E2E">
        <w:t>budgets</w:t>
      </w:r>
      <w:r w:rsidR="004E7A42">
        <w:t xml:space="preserve"> </w:t>
      </w:r>
      <w:r w:rsidR="00DE1179" w:rsidRPr="00421152">
        <w:t xml:space="preserve">for </w:t>
      </w:r>
      <w:r w:rsidR="004E7A42">
        <w:t xml:space="preserve">2019 and </w:t>
      </w:r>
      <w:r w:rsidR="00904C0A" w:rsidRPr="00421152">
        <w:t>20</w:t>
      </w:r>
      <w:r w:rsidR="00904C0A">
        <w:t>20</w:t>
      </w:r>
      <w:r w:rsidR="004E7A42">
        <w:t>,</w:t>
      </w:r>
      <w:r w:rsidR="004E7A42" w:rsidRPr="004E7A42">
        <w:t xml:space="preserve"> </w:t>
      </w:r>
      <w:r w:rsidR="004E7A42" w:rsidRPr="00284E2E">
        <w:t>and</w:t>
      </w:r>
      <w:r w:rsidR="004E7A42">
        <w:t xml:space="preserve"> results for 2019</w:t>
      </w:r>
      <w:r w:rsidR="00C42F6F" w:rsidRPr="00421152">
        <w:t>.</w:t>
      </w:r>
    </w:p>
    <w:p w14:paraId="272B6B35" w14:textId="77777777" w:rsidR="00A31490" w:rsidRPr="00421152" w:rsidRDefault="00A31490" w:rsidP="00162710">
      <w:pPr>
        <w:rPr>
          <w:rFonts w:cs="Arial"/>
        </w:rPr>
      </w:pPr>
    </w:p>
    <w:p w14:paraId="47BCA898" w14:textId="70914CDD" w:rsidR="001730E3" w:rsidRPr="00421152" w:rsidRDefault="00112F62" w:rsidP="00162710">
      <w:pPr>
        <w:rPr>
          <w:rFonts w:cs="Arial"/>
        </w:rPr>
      </w:pPr>
      <w:r w:rsidRPr="00421152">
        <w:t>2.</w:t>
      </w:r>
      <w:r w:rsidRPr="00421152">
        <w:tab/>
      </w:r>
      <w:r w:rsidR="00904C0A">
        <w:t>Further i</w:t>
      </w:r>
      <w:r w:rsidR="008C18DC" w:rsidRPr="00421152">
        <w:t>mprovements in t</w:t>
      </w:r>
      <w:r w:rsidR="001730E3" w:rsidRPr="00421152">
        <w:t xml:space="preserve">he financial management of the Secretariat </w:t>
      </w:r>
      <w:r w:rsidR="008C18DC" w:rsidRPr="00421152">
        <w:t xml:space="preserve">have been </w:t>
      </w:r>
      <w:r w:rsidR="001730E3" w:rsidRPr="00421152">
        <w:t>validated by the external auditors</w:t>
      </w:r>
      <w:r w:rsidR="00140EA0">
        <w:t xml:space="preserve">, with all issues that were open </w:t>
      </w:r>
      <w:r w:rsidR="00E7726B">
        <w:t>prior to the S</w:t>
      </w:r>
      <w:r w:rsidR="00F27F55">
        <w:t xml:space="preserve">ecretary </w:t>
      </w:r>
      <w:r w:rsidR="00E7726B">
        <w:t>G</w:t>
      </w:r>
      <w:r w:rsidR="00F27F55">
        <w:t>eneral</w:t>
      </w:r>
      <w:r w:rsidR="00E7726B">
        <w:t xml:space="preserve"> taking office in</w:t>
      </w:r>
      <w:r w:rsidR="00140EA0">
        <w:t xml:space="preserve"> 2016 being now closed.</w:t>
      </w:r>
      <w:r w:rsidR="0064183C" w:rsidRPr="00421152">
        <w:t xml:space="preserve"> </w:t>
      </w:r>
      <w:r w:rsidR="00140EA0">
        <w:t xml:space="preserve">Positive results from the </w:t>
      </w:r>
      <w:r w:rsidR="00F51E7B" w:rsidRPr="00710D2E">
        <w:rPr>
          <w:i/>
        </w:rPr>
        <w:t xml:space="preserve">Financial </w:t>
      </w:r>
      <w:r w:rsidR="00710D2E" w:rsidRPr="00710D2E">
        <w:rPr>
          <w:rFonts w:cs="Calibri"/>
          <w:i/>
        </w:rPr>
        <w:t xml:space="preserve">Management </w:t>
      </w:r>
      <w:r w:rsidR="00F51E7B" w:rsidRPr="00710D2E">
        <w:rPr>
          <w:i/>
        </w:rPr>
        <w:t>R</w:t>
      </w:r>
      <w:r w:rsidR="0064183C" w:rsidRPr="00710D2E">
        <w:rPr>
          <w:i/>
        </w:rPr>
        <w:t xml:space="preserve">eview of </w:t>
      </w:r>
      <w:r w:rsidR="00F51E7B" w:rsidRPr="00710D2E">
        <w:rPr>
          <w:i/>
        </w:rPr>
        <w:t>N</w:t>
      </w:r>
      <w:r w:rsidR="0064183C" w:rsidRPr="00710D2E">
        <w:rPr>
          <w:i/>
        </w:rPr>
        <w:t xml:space="preserve">on-core </w:t>
      </w:r>
      <w:r w:rsidR="004D7734" w:rsidRPr="00710D2E">
        <w:rPr>
          <w:i/>
        </w:rPr>
        <w:t xml:space="preserve">(Restricted) </w:t>
      </w:r>
      <w:r w:rsidR="00F51E7B" w:rsidRPr="00710D2E">
        <w:rPr>
          <w:i/>
        </w:rPr>
        <w:t>F</w:t>
      </w:r>
      <w:r w:rsidR="0064183C" w:rsidRPr="00710D2E">
        <w:rPr>
          <w:i/>
        </w:rPr>
        <w:t>und</w:t>
      </w:r>
      <w:r w:rsidR="004D7734" w:rsidRPr="00710D2E">
        <w:rPr>
          <w:i/>
        </w:rPr>
        <w:t xml:space="preserve"> Account</w:t>
      </w:r>
      <w:r w:rsidR="0064183C" w:rsidRPr="00710D2E">
        <w:rPr>
          <w:i/>
        </w:rPr>
        <w:t>s</w:t>
      </w:r>
      <w:r w:rsidR="0064183C" w:rsidRPr="00421152">
        <w:t xml:space="preserve"> conducted by the IUCN Oversight Unit</w:t>
      </w:r>
      <w:r w:rsidR="00F51E7B" w:rsidRPr="00421152">
        <w:t xml:space="preserve"> and submitted to the Standing Committee at its 55</w:t>
      </w:r>
      <w:r w:rsidR="00F51E7B" w:rsidRPr="00710D2E">
        <w:t>th</w:t>
      </w:r>
      <w:r w:rsidR="00F51E7B" w:rsidRPr="00421152">
        <w:t xml:space="preserve"> meeting</w:t>
      </w:r>
      <w:r w:rsidR="00710D2E">
        <w:t xml:space="preserve"> (SC55)</w:t>
      </w:r>
      <w:r w:rsidR="00140EA0">
        <w:t xml:space="preserve"> are also being followed up</w:t>
      </w:r>
      <w:r w:rsidR="00735327">
        <w:t xml:space="preserve"> (see paragraph </w:t>
      </w:r>
      <w:r w:rsidR="006B42D7">
        <w:t>40</w:t>
      </w:r>
      <w:r w:rsidR="00735327">
        <w:t>)</w:t>
      </w:r>
      <w:r w:rsidR="001730E3" w:rsidRPr="00421152">
        <w:t xml:space="preserve">. </w:t>
      </w:r>
      <w:r w:rsidR="00735327" w:rsidRPr="00495842">
        <w:lastRenderedPageBreak/>
        <w:t xml:space="preserve">The internal responsibilities and allocation </w:t>
      </w:r>
      <w:r w:rsidR="006E10B2">
        <w:t xml:space="preserve">of </w:t>
      </w:r>
      <w:r w:rsidR="006E10B2" w:rsidRPr="00495842">
        <w:t xml:space="preserve">controls </w:t>
      </w:r>
      <w:r w:rsidR="00735327" w:rsidRPr="00495842">
        <w:t xml:space="preserve">between IUCN and the Secretariat have been updated. </w:t>
      </w:r>
      <w:r w:rsidR="00AF5B5A" w:rsidRPr="00495842">
        <w:t>The Secretariat has strengthened its capacity w</w:t>
      </w:r>
      <w:r w:rsidR="00F44D2C" w:rsidRPr="00495842">
        <w:t xml:space="preserve">ith </w:t>
      </w:r>
      <w:r w:rsidR="00AF5B5A" w:rsidRPr="00495842">
        <w:t xml:space="preserve">the </w:t>
      </w:r>
      <w:r w:rsidR="00F44D2C" w:rsidRPr="00495842">
        <w:t>recruitment</w:t>
      </w:r>
      <w:r w:rsidR="00AF5B5A" w:rsidRPr="00495842">
        <w:t xml:space="preserve"> of a Finance Officer</w:t>
      </w:r>
      <w:r w:rsidR="00AF5B5A">
        <w:t xml:space="preserve"> and a full-time Accounting and Finance Assistant </w:t>
      </w:r>
      <w:r w:rsidR="00F44D2C">
        <w:t>in 2019</w:t>
      </w:r>
      <w:r w:rsidR="00AF5B5A">
        <w:t xml:space="preserve">. </w:t>
      </w:r>
      <w:r w:rsidR="00175897">
        <w:t>P</w:t>
      </w:r>
      <w:r w:rsidR="005210D8" w:rsidRPr="00421152">
        <w:t>rocesses</w:t>
      </w:r>
      <w:r w:rsidR="00175897">
        <w:t xml:space="preserve"> have been further improved</w:t>
      </w:r>
      <w:r w:rsidR="00F44D2C">
        <w:t xml:space="preserve"> and guid</w:t>
      </w:r>
      <w:r w:rsidR="00175897">
        <w:t>ance developed</w:t>
      </w:r>
      <w:r w:rsidR="00377D33">
        <w:t>,</w:t>
      </w:r>
      <w:r w:rsidR="00F44D2C">
        <w:t xml:space="preserve"> </w:t>
      </w:r>
      <w:r w:rsidR="007A2D1C" w:rsidRPr="00421152">
        <w:t xml:space="preserve">in </w:t>
      </w:r>
      <w:r w:rsidR="001730E3" w:rsidRPr="00421152">
        <w:t>compliance with IUCN policies and procedures where applicable</w:t>
      </w:r>
      <w:r w:rsidR="00D37A5C">
        <w:t>.</w:t>
      </w:r>
      <w:r w:rsidR="001730E3" w:rsidRPr="00421152">
        <w:t xml:space="preserve"> </w:t>
      </w:r>
    </w:p>
    <w:p w14:paraId="42319817" w14:textId="77777777" w:rsidR="00FC40CB" w:rsidRDefault="00FC40CB" w:rsidP="00FC40CB">
      <w:pPr>
        <w:keepNext/>
        <w:ind w:left="0" w:firstLine="0"/>
        <w:rPr>
          <w:rFonts w:cs="Arial"/>
          <w:b/>
        </w:rPr>
      </w:pPr>
    </w:p>
    <w:p w14:paraId="34F18BE8" w14:textId="2BE538C1" w:rsidR="006656E1" w:rsidRPr="00AC6B8A" w:rsidRDefault="00BB5CF1" w:rsidP="00FC40CB">
      <w:pPr>
        <w:keepNext/>
        <w:ind w:left="0" w:firstLine="0"/>
        <w:rPr>
          <w:rFonts w:cs="Arial"/>
          <w:b/>
        </w:rPr>
      </w:pPr>
      <w:r w:rsidRPr="00421152">
        <w:rPr>
          <w:rFonts w:cs="Arial"/>
          <w:b/>
        </w:rPr>
        <w:t>201</w:t>
      </w:r>
      <w:r w:rsidR="001649E7">
        <w:rPr>
          <w:rFonts w:cs="Arial"/>
          <w:b/>
        </w:rPr>
        <w:t>9</w:t>
      </w:r>
      <w:r w:rsidRPr="00421152">
        <w:rPr>
          <w:rFonts w:cs="Arial"/>
          <w:b/>
        </w:rPr>
        <w:t xml:space="preserve"> results</w:t>
      </w:r>
      <w:r w:rsidR="00F27F55">
        <w:rPr>
          <w:rFonts w:cs="Arial"/>
          <w:b/>
        </w:rPr>
        <w:t>:</w:t>
      </w:r>
      <w:r w:rsidRPr="00421152">
        <w:rPr>
          <w:rFonts w:cs="Arial"/>
          <w:b/>
        </w:rPr>
        <w:t xml:space="preserve"> core</w:t>
      </w:r>
      <w:r w:rsidR="00FF0082" w:rsidRPr="00421152">
        <w:rPr>
          <w:rFonts w:cs="Arial"/>
          <w:b/>
        </w:rPr>
        <w:t xml:space="preserve"> budget</w:t>
      </w:r>
    </w:p>
    <w:p w14:paraId="31910A04" w14:textId="26441FE7" w:rsidR="002F2543" w:rsidRPr="00421152" w:rsidRDefault="002F2543" w:rsidP="00162710">
      <w:pPr>
        <w:pStyle w:val="NoSpacing"/>
        <w:rPr>
          <w:b/>
        </w:rPr>
      </w:pPr>
    </w:p>
    <w:p w14:paraId="71AB184A" w14:textId="4EEC48B0" w:rsidR="00EC32C4" w:rsidRDefault="00C42F6F" w:rsidP="00162710">
      <w:r w:rsidRPr="00421152">
        <w:t>3</w:t>
      </w:r>
      <w:r w:rsidR="00112F62" w:rsidRPr="00421152">
        <w:t>.</w:t>
      </w:r>
      <w:r w:rsidR="00112F62" w:rsidRPr="00421152">
        <w:tab/>
      </w:r>
      <w:r w:rsidR="00965839">
        <w:t xml:space="preserve">The </w:t>
      </w:r>
      <w:r w:rsidR="00965839" w:rsidRPr="00942026">
        <w:t xml:space="preserve">2019 audited financial statements </w:t>
      </w:r>
      <w:r w:rsidR="00965839">
        <w:t xml:space="preserve">are </w:t>
      </w:r>
      <w:r w:rsidR="00965839" w:rsidRPr="00942026">
        <w:t>included at Annex 1</w:t>
      </w:r>
      <w:r w:rsidR="00965839">
        <w:t xml:space="preserve">. </w:t>
      </w:r>
      <w:r w:rsidR="00C0407F" w:rsidRPr="00942026">
        <w:t xml:space="preserve">The </w:t>
      </w:r>
      <w:r w:rsidR="00C23752" w:rsidRPr="00942026">
        <w:t xml:space="preserve">summary of </w:t>
      </w:r>
      <w:r w:rsidR="00D72430">
        <w:t xml:space="preserve">the </w:t>
      </w:r>
      <w:r w:rsidR="00C0407F" w:rsidRPr="00942026">
        <w:t>201</w:t>
      </w:r>
      <w:r w:rsidR="001649E7" w:rsidRPr="00942026">
        <w:t>9</w:t>
      </w:r>
      <w:r w:rsidR="00E91F83" w:rsidRPr="00942026">
        <w:t xml:space="preserve"> </w:t>
      </w:r>
      <w:r w:rsidR="00C0407F" w:rsidRPr="00942026">
        <w:t xml:space="preserve">core budget </w:t>
      </w:r>
      <w:r w:rsidR="00BC2EB0" w:rsidRPr="00942026">
        <w:t>result</w:t>
      </w:r>
      <w:r w:rsidR="008C18DC" w:rsidRPr="00942026">
        <w:t>s</w:t>
      </w:r>
      <w:r w:rsidR="00BC2EB0" w:rsidRPr="00942026">
        <w:t xml:space="preserve"> </w:t>
      </w:r>
      <w:r w:rsidR="00F97495">
        <w:t xml:space="preserve">is </w:t>
      </w:r>
      <w:r w:rsidR="00C0407F" w:rsidRPr="00942026">
        <w:t xml:space="preserve">attached </w:t>
      </w:r>
      <w:r w:rsidR="009E4DC7">
        <w:t>in</w:t>
      </w:r>
      <w:r w:rsidR="004963DA" w:rsidRPr="00942026">
        <w:t xml:space="preserve"> </w:t>
      </w:r>
      <w:r w:rsidR="00C0407F" w:rsidRPr="00942026">
        <w:t>Annex 2</w:t>
      </w:r>
      <w:r w:rsidR="00030DC9">
        <w:t>. It</w:t>
      </w:r>
      <w:r w:rsidR="00E91F83" w:rsidRPr="00942026">
        <w:t xml:space="preserve"> </w:t>
      </w:r>
      <w:r w:rsidR="00C0407F" w:rsidRPr="00942026">
        <w:t>shows</w:t>
      </w:r>
      <w:r w:rsidR="000F051B" w:rsidRPr="000F051B">
        <w:t xml:space="preserve"> </w:t>
      </w:r>
      <w:r w:rsidR="000F051B">
        <w:t>in column A</w:t>
      </w:r>
      <w:r w:rsidR="00C0407F" w:rsidRPr="00942026">
        <w:t xml:space="preserve"> the</w:t>
      </w:r>
      <w:r w:rsidRPr="00942026">
        <w:t xml:space="preserve"> </w:t>
      </w:r>
      <w:r w:rsidR="00C0407F" w:rsidRPr="00942026">
        <w:t>budget</w:t>
      </w:r>
      <w:r w:rsidR="00211A70" w:rsidRPr="00942026">
        <w:t xml:space="preserve"> for 201</w:t>
      </w:r>
      <w:r w:rsidR="00F26404" w:rsidRPr="00942026">
        <w:t>9</w:t>
      </w:r>
      <w:r w:rsidR="00B119AF" w:rsidRPr="00942026">
        <w:t xml:space="preserve"> of</w:t>
      </w:r>
      <w:r w:rsidR="0038245C" w:rsidRPr="00942026">
        <w:t xml:space="preserve"> CHF 5,081K</w:t>
      </w:r>
      <w:r w:rsidR="00364E8B" w:rsidRPr="00364E8B">
        <w:t xml:space="preserve"> </w:t>
      </w:r>
      <w:r w:rsidR="00364E8B" w:rsidRPr="00942026">
        <w:t>approved</w:t>
      </w:r>
      <w:r w:rsidR="00364E8B">
        <w:t xml:space="preserve"> through Resolution XIII.2 on </w:t>
      </w:r>
      <w:r w:rsidR="00364E8B" w:rsidRPr="00364E8B">
        <w:rPr>
          <w:i/>
        </w:rPr>
        <w:t>Financial and budgetary matters</w:t>
      </w:r>
      <w:r w:rsidR="00EC32C4">
        <w:t>.</w:t>
      </w:r>
    </w:p>
    <w:p w14:paraId="30070520" w14:textId="77777777" w:rsidR="00FC40CB" w:rsidRDefault="00FC40CB" w:rsidP="00FC40CB"/>
    <w:p w14:paraId="1E806F53" w14:textId="49B658D8" w:rsidR="00AC6729" w:rsidRDefault="00FC40CB" w:rsidP="00DA7BE0">
      <w:r>
        <w:t>4.</w:t>
      </w:r>
      <w:r>
        <w:tab/>
      </w:r>
      <w:r w:rsidR="00504DE2" w:rsidRPr="00541B20">
        <w:t xml:space="preserve">Column </w:t>
      </w:r>
      <w:r w:rsidR="000F051B">
        <w:t>B</w:t>
      </w:r>
      <w:r w:rsidR="000F051B" w:rsidRPr="00541B20">
        <w:t xml:space="preserve"> </w:t>
      </w:r>
      <w:r w:rsidR="00504DE2" w:rsidRPr="00541B20">
        <w:t xml:space="preserve">of Annex 2 </w:t>
      </w:r>
      <w:r w:rsidR="00EC32C4" w:rsidRPr="00541B20">
        <w:t xml:space="preserve">shows the authorized use of surplus CHF 76K </w:t>
      </w:r>
      <w:r w:rsidR="00BB7AF1">
        <w:t>during the</w:t>
      </w:r>
      <w:r w:rsidR="00BB7AF1" w:rsidRPr="00541B20">
        <w:t xml:space="preserve"> </w:t>
      </w:r>
      <w:r w:rsidR="00EC32C4" w:rsidRPr="00541B20">
        <w:t>year</w:t>
      </w:r>
      <w:r w:rsidR="00D72430">
        <w:t>,</w:t>
      </w:r>
      <w:r w:rsidR="00EC32C4" w:rsidRPr="00541B20">
        <w:t xml:space="preserve"> </w:t>
      </w:r>
      <w:r w:rsidR="00D72430">
        <w:t>in accordance with</w:t>
      </w:r>
      <w:r w:rsidR="00EC32C4" w:rsidRPr="00541B20">
        <w:t xml:space="preserve"> </w:t>
      </w:r>
      <w:r w:rsidR="00D72430" w:rsidRPr="00541B20">
        <w:t xml:space="preserve">paragraph 15 </w:t>
      </w:r>
      <w:r w:rsidR="00D72430">
        <w:t xml:space="preserve">of </w:t>
      </w:r>
      <w:r w:rsidR="009E4DC7" w:rsidRPr="00541B20">
        <w:t>R</w:t>
      </w:r>
      <w:r w:rsidR="00EC32C4" w:rsidRPr="00541B20">
        <w:t>esolution XII</w:t>
      </w:r>
      <w:r w:rsidR="009E4DC7" w:rsidRPr="00541B20">
        <w:t>I</w:t>
      </w:r>
      <w:r w:rsidR="00EC32C4" w:rsidRPr="00541B20">
        <w:t>.2</w:t>
      </w:r>
      <w:r w:rsidR="002174A1" w:rsidRPr="00541B20">
        <w:t>,</w:t>
      </w:r>
      <w:r w:rsidR="00EC32C4" w:rsidRPr="00541B20">
        <w:t xml:space="preserve"> </w:t>
      </w:r>
      <w:r w:rsidR="00BB7AF1">
        <w:t>while</w:t>
      </w:r>
      <w:r w:rsidR="00EC32C4" w:rsidRPr="00541B20">
        <w:t xml:space="preserve"> </w:t>
      </w:r>
      <w:r w:rsidR="00AC6729">
        <w:t xml:space="preserve">column C shows </w:t>
      </w:r>
      <w:r w:rsidR="00EC32C4" w:rsidRPr="00541B20">
        <w:t xml:space="preserve">2018 committed balances and </w:t>
      </w:r>
      <w:r w:rsidR="00BB7AF1" w:rsidRPr="00541B20">
        <w:t>authori</w:t>
      </w:r>
      <w:r w:rsidR="00BB7AF1">
        <w:t>z</w:t>
      </w:r>
      <w:r w:rsidR="00BB7AF1" w:rsidRPr="00541B20">
        <w:t xml:space="preserve">ed </w:t>
      </w:r>
      <w:r w:rsidR="00EC32C4" w:rsidRPr="00541B20">
        <w:t>use of surpluses</w:t>
      </w:r>
      <w:r w:rsidR="004B3048" w:rsidRPr="00541B20">
        <w:t xml:space="preserve"> for a</w:t>
      </w:r>
      <w:r w:rsidR="00EC32C4" w:rsidRPr="00541B20">
        <w:t xml:space="preserve"> total of CHF 851K. This total includes the </w:t>
      </w:r>
      <w:r w:rsidR="00140EA0">
        <w:t xml:space="preserve">use of funds </w:t>
      </w:r>
      <w:r w:rsidR="00AC6729" w:rsidRPr="00AC6729">
        <w:t xml:space="preserve">approved </w:t>
      </w:r>
      <w:r w:rsidR="00140EA0" w:rsidRPr="00AC6729">
        <w:t>in previous years for the following</w:t>
      </w:r>
      <w:r w:rsidR="00AC6729" w:rsidRPr="00AC6729">
        <w:t xml:space="preserve"> items</w:t>
      </w:r>
      <w:r w:rsidR="00EC32C4" w:rsidRPr="00AC6729">
        <w:t xml:space="preserve">: </w:t>
      </w:r>
      <w:r w:rsidR="00DA7BE0">
        <w:t>t</w:t>
      </w:r>
      <w:r w:rsidR="00BB7AF1">
        <w:t xml:space="preserve">he </w:t>
      </w:r>
      <w:r w:rsidR="00EC32C4" w:rsidRPr="00AC6729">
        <w:t>Effectiveness Working Group</w:t>
      </w:r>
      <w:r w:rsidR="002174A1" w:rsidRPr="00AC6729">
        <w:t xml:space="preserve"> (Resolution XIII.2, paragraph 16)</w:t>
      </w:r>
      <w:r w:rsidR="00AC6729">
        <w:t>;</w:t>
      </w:r>
      <w:r w:rsidR="00DA7BE0">
        <w:t xml:space="preserve"> c</w:t>
      </w:r>
      <w:r w:rsidR="00EC32C4" w:rsidRPr="00AC6729">
        <w:t xml:space="preserve">ommitments from </w:t>
      </w:r>
      <w:r w:rsidR="00AC6729">
        <w:t xml:space="preserve">the </w:t>
      </w:r>
      <w:r w:rsidR="00EC32C4" w:rsidRPr="00AC6729">
        <w:t>2018 budget (carry over to 2019)</w:t>
      </w:r>
      <w:r w:rsidR="00AC6729">
        <w:t>; and</w:t>
      </w:r>
    </w:p>
    <w:p w14:paraId="6F87BFEA" w14:textId="5815D714" w:rsidR="00EC32C4" w:rsidRPr="00AC6729" w:rsidRDefault="00DA7BE0" w:rsidP="00DA7BE0">
      <w:pPr>
        <w:ind w:firstLine="0"/>
      </w:pPr>
      <w:r>
        <w:t>c</w:t>
      </w:r>
      <w:r w:rsidR="00EC32C4" w:rsidRPr="00AC6729">
        <w:t xml:space="preserve">orrection for </w:t>
      </w:r>
      <w:r w:rsidR="00140EA0" w:rsidRPr="00AC6729">
        <w:t>Ramsar Regional Initiatives (</w:t>
      </w:r>
      <w:r w:rsidR="00EC32C4" w:rsidRPr="00AC6729">
        <w:t>RRIs</w:t>
      </w:r>
      <w:r w:rsidR="00140EA0" w:rsidRPr="00AC6729">
        <w:t>)</w:t>
      </w:r>
      <w:r w:rsidR="00EC32C4" w:rsidRPr="00AC6729">
        <w:t xml:space="preserve"> and </w:t>
      </w:r>
      <w:r w:rsidR="00AC6729" w:rsidRPr="00AC6729">
        <w:t>SC57</w:t>
      </w:r>
      <w:r w:rsidR="00AC6729">
        <w:t>-</w:t>
      </w:r>
      <w:r w:rsidR="00AC6729" w:rsidRPr="00AC6729">
        <w:t>authori</w:t>
      </w:r>
      <w:r w:rsidR="00AC6729">
        <w:t>z</w:t>
      </w:r>
      <w:r w:rsidR="00AC6729" w:rsidRPr="00AC6729">
        <w:t xml:space="preserve">ed </w:t>
      </w:r>
      <w:r w:rsidR="00EC32C4" w:rsidRPr="00AC6729">
        <w:t xml:space="preserve">use of surplus (see </w:t>
      </w:r>
      <w:r w:rsidR="00D52AA9" w:rsidRPr="00AC6729">
        <w:t xml:space="preserve">Annex 9.2 of </w:t>
      </w:r>
      <w:r w:rsidR="006E10B2">
        <w:t xml:space="preserve">the </w:t>
      </w:r>
      <w:r w:rsidR="00EC32C4" w:rsidRPr="00AC6729">
        <w:t xml:space="preserve">Report </w:t>
      </w:r>
      <w:r w:rsidR="009E4DC7" w:rsidRPr="00AC6729">
        <w:t xml:space="preserve">of SC57, </w:t>
      </w:r>
      <w:r w:rsidR="00D52AA9" w:rsidRPr="00AC6729">
        <w:t xml:space="preserve">approved </w:t>
      </w:r>
      <w:r w:rsidR="00BB7AF1">
        <w:t>through</w:t>
      </w:r>
      <w:r w:rsidR="00BB7AF1" w:rsidRPr="00AC6729">
        <w:t xml:space="preserve"> </w:t>
      </w:r>
      <w:r w:rsidR="00D52AA9" w:rsidRPr="00AC6729">
        <w:t>Decision 57</w:t>
      </w:r>
      <w:r w:rsidR="00451361" w:rsidRPr="00AC6729">
        <w:t>-47</w:t>
      </w:r>
      <w:r w:rsidR="00EC32C4" w:rsidRPr="00AC6729">
        <w:t>).</w:t>
      </w:r>
    </w:p>
    <w:p w14:paraId="455530B8" w14:textId="146A7EC7" w:rsidR="00504DE2" w:rsidRPr="002174A1" w:rsidRDefault="00504DE2" w:rsidP="00162710">
      <w:pPr>
        <w:ind w:left="0" w:firstLine="0"/>
      </w:pPr>
    </w:p>
    <w:p w14:paraId="11F5D800" w14:textId="1AB53AFF" w:rsidR="009B7477" w:rsidRDefault="00FC40CB" w:rsidP="00FC40CB">
      <w:r>
        <w:t>5.</w:t>
      </w:r>
      <w:r>
        <w:tab/>
      </w:r>
      <w:r w:rsidR="00B119AF" w:rsidRPr="00942026">
        <w:t>T</w:t>
      </w:r>
      <w:r w:rsidR="00AC6729">
        <w:t>he t</w:t>
      </w:r>
      <w:r w:rsidR="00D02F95" w:rsidRPr="00942026">
        <w:t>otal</w:t>
      </w:r>
      <w:r w:rsidR="003E63A7" w:rsidRPr="00942026">
        <w:t xml:space="preserve"> available budget for 2019 </w:t>
      </w:r>
      <w:r w:rsidR="00513689">
        <w:t>was</w:t>
      </w:r>
      <w:r w:rsidR="00EC32C4">
        <w:t xml:space="preserve"> thus</w:t>
      </w:r>
      <w:r w:rsidR="00B119AF" w:rsidRPr="00942026">
        <w:t xml:space="preserve"> </w:t>
      </w:r>
      <w:r w:rsidR="003E63A7" w:rsidRPr="00942026">
        <w:t>CHF 6</w:t>
      </w:r>
      <w:r w:rsidR="00D02F95" w:rsidRPr="00942026">
        <w:t>,</w:t>
      </w:r>
      <w:r w:rsidR="003E63A7" w:rsidRPr="00942026">
        <w:t>008</w:t>
      </w:r>
      <w:r w:rsidR="001C11BE" w:rsidRPr="00942026">
        <w:t>K</w:t>
      </w:r>
      <w:r w:rsidR="00D02F95" w:rsidRPr="00942026">
        <w:t>. Annex 2 also shows</w:t>
      </w:r>
      <w:r w:rsidR="00BB7AF1">
        <w:t xml:space="preserve"> the</w:t>
      </w:r>
      <w:r w:rsidR="00D02F95" w:rsidRPr="00942026">
        <w:t xml:space="preserve"> </w:t>
      </w:r>
      <w:r w:rsidR="00176A64" w:rsidRPr="00942026">
        <w:t xml:space="preserve">final </w:t>
      </w:r>
      <w:r w:rsidR="00C0407F" w:rsidRPr="00942026">
        <w:t>income and expenditure</w:t>
      </w:r>
      <w:r w:rsidR="00176A64" w:rsidRPr="00942026">
        <w:t xml:space="preserve"> in 201</w:t>
      </w:r>
      <w:r w:rsidR="005A3804" w:rsidRPr="00942026">
        <w:t>9</w:t>
      </w:r>
      <w:r w:rsidR="00176A64" w:rsidRPr="00942026">
        <w:t xml:space="preserve"> confirmed by the</w:t>
      </w:r>
      <w:r w:rsidR="00C62675" w:rsidRPr="00942026">
        <w:t xml:space="preserve"> financial statements (Annex </w:t>
      </w:r>
      <w:r w:rsidR="00B8400C" w:rsidRPr="00942026">
        <w:t>1</w:t>
      </w:r>
      <w:r w:rsidR="00C62675" w:rsidRPr="00942026">
        <w:t>)</w:t>
      </w:r>
      <w:r w:rsidR="00DB7060">
        <w:t xml:space="preserve"> </w:t>
      </w:r>
      <w:r w:rsidR="00513689">
        <w:t>and</w:t>
      </w:r>
      <w:r w:rsidR="00D02F95" w:rsidRPr="00942026">
        <w:t xml:space="preserve"> </w:t>
      </w:r>
      <w:r w:rsidR="00BC2EB0" w:rsidRPr="00942026">
        <w:t>the</w:t>
      </w:r>
      <w:r w:rsidR="00E91F83" w:rsidRPr="00942026">
        <w:t xml:space="preserve"> </w:t>
      </w:r>
      <w:r w:rsidR="00BB4A2E" w:rsidRPr="00942026">
        <w:t xml:space="preserve">balance as </w:t>
      </w:r>
      <w:r w:rsidR="008C18DC" w:rsidRPr="00942026">
        <w:t>of</w:t>
      </w:r>
      <w:r w:rsidR="00ED1F5E" w:rsidRPr="00942026">
        <w:t xml:space="preserve"> 31 December 201</w:t>
      </w:r>
      <w:r w:rsidR="005A3804" w:rsidRPr="00942026">
        <w:t>9</w:t>
      </w:r>
      <w:r w:rsidR="00B119AF" w:rsidRPr="00942026">
        <w:t xml:space="preserve"> </w:t>
      </w:r>
      <w:r w:rsidR="0042091F">
        <w:t>for each</w:t>
      </w:r>
      <w:r w:rsidR="0042091F" w:rsidRPr="00942026">
        <w:t xml:space="preserve"> </w:t>
      </w:r>
      <w:r w:rsidR="00B119AF" w:rsidRPr="00942026">
        <w:t xml:space="preserve">budget line and </w:t>
      </w:r>
      <w:r w:rsidR="00513689">
        <w:t>category</w:t>
      </w:r>
      <w:r w:rsidR="00C54315" w:rsidRPr="00942026">
        <w:t>.</w:t>
      </w:r>
    </w:p>
    <w:p w14:paraId="6041D318" w14:textId="46A189F6" w:rsidR="00CC24F5" w:rsidRPr="00942026" w:rsidRDefault="00CC24F5" w:rsidP="00162710"/>
    <w:p w14:paraId="584C2180" w14:textId="31FCD01C" w:rsidR="00C0407F" w:rsidRPr="00942026" w:rsidRDefault="00FC40CB" w:rsidP="00162710">
      <w:r>
        <w:t>6</w:t>
      </w:r>
      <w:r w:rsidR="00CC24F5" w:rsidRPr="00942026">
        <w:t>.</w:t>
      </w:r>
      <w:r w:rsidR="00C42F6F" w:rsidRPr="00942026">
        <w:tab/>
      </w:r>
      <w:r w:rsidR="009647EC" w:rsidRPr="00942026">
        <w:t>The</w:t>
      </w:r>
      <w:r w:rsidR="00CC24F5" w:rsidRPr="00942026">
        <w:t xml:space="preserve"> Standing Committee is invited to review and accept </w:t>
      </w:r>
      <w:r w:rsidR="00C52BA8" w:rsidRPr="00942026">
        <w:t xml:space="preserve">the </w:t>
      </w:r>
      <w:r w:rsidR="0047303C" w:rsidRPr="00942026">
        <w:t>201</w:t>
      </w:r>
      <w:r w:rsidR="005A3804" w:rsidRPr="00942026">
        <w:t>9</w:t>
      </w:r>
      <w:r w:rsidR="00C52BA8" w:rsidRPr="00942026">
        <w:t xml:space="preserve"> </w:t>
      </w:r>
      <w:r w:rsidR="0044415F" w:rsidRPr="00942026">
        <w:t xml:space="preserve">audited </w:t>
      </w:r>
      <w:r w:rsidR="00C52BA8" w:rsidRPr="00942026">
        <w:t xml:space="preserve">financial statements </w:t>
      </w:r>
      <w:r w:rsidR="00965839">
        <w:t>(</w:t>
      </w:r>
      <w:r w:rsidR="00C52BA8" w:rsidRPr="00942026">
        <w:t>Annex 1</w:t>
      </w:r>
      <w:r w:rsidR="00965839">
        <w:t>)</w:t>
      </w:r>
      <w:r w:rsidR="00CC24F5" w:rsidRPr="00942026">
        <w:t>.</w:t>
      </w:r>
      <w:r w:rsidR="00CB6134" w:rsidRPr="00942026">
        <w:t xml:space="preserve"> The full </w:t>
      </w:r>
      <w:r w:rsidR="005A3804" w:rsidRPr="00942026">
        <w:t xml:space="preserve">2019 </w:t>
      </w:r>
      <w:r w:rsidR="00CB6134" w:rsidRPr="00942026">
        <w:t xml:space="preserve">audited financial statements including the notes and audit opinion </w:t>
      </w:r>
      <w:r w:rsidR="0047303C" w:rsidRPr="00942026">
        <w:t>have been</w:t>
      </w:r>
      <w:r w:rsidR="00CB6134" w:rsidRPr="00942026">
        <w:t xml:space="preserve"> published</w:t>
      </w:r>
      <w:r w:rsidR="00573F8B">
        <w:t xml:space="preserve"> on the Convention website</w:t>
      </w:r>
      <w:r w:rsidR="00CB6134" w:rsidRPr="00942026">
        <w:rPr>
          <w:rStyle w:val="FootnoteReference"/>
        </w:rPr>
        <w:footnoteReference w:id="1"/>
      </w:r>
      <w:r w:rsidR="00CB6134" w:rsidRPr="00942026">
        <w:t>.</w:t>
      </w:r>
    </w:p>
    <w:p w14:paraId="2617A8F7" w14:textId="77777777" w:rsidR="004C6D8E" w:rsidRPr="00942026" w:rsidRDefault="004C6D8E" w:rsidP="00162710"/>
    <w:p w14:paraId="1DBFA619" w14:textId="1F9B4522" w:rsidR="00F1556C" w:rsidRDefault="00FC40CB" w:rsidP="00F1556C">
      <w:r>
        <w:t>7</w:t>
      </w:r>
      <w:r w:rsidR="004C6D8E" w:rsidRPr="00942026">
        <w:t>.</w:t>
      </w:r>
      <w:r w:rsidR="004C6D8E" w:rsidRPr="00942026">
        <w:tab/>
        <w:t>At the end of 201</w:t>
      </w:r>
      <w:r w:rsidR="00750416" w:rsidRPr="00942026">
        <w:t>9</w:t>
      </w:r>
      <w:r w:rsidR="004C6D8E" w:rsidRPr="00942026">
        <w:t xml:space="preserve">, there was a core budget </w:t>
      </w:r>
      <w:r w:rsidR="00B26242" w:rsidRPr="00942026">
        <w:t xml:space="preserve">balance </w:t>
      </w:r>
      <w:r w:rsidR="004C6D8E" w:rsidRPr="00942026">
        <w:t xml:space="preserve">of CHF </w:t>
      </w:r>
      <w:r w:rsidR="00750416" w:rsidRPr="00942026">
        <w:t>1</w:t>
      </w:r>
      <w:r w:rsidR="00EC61E0" w:rsidRPr="00942026">
        <w:t>,</w:t>
      </w:r>
      <w:r w:rsidR="00750416" w:rsidRPr="00942026">
        <w:t>488K</w:t>
      </w:r>
      <w:r w:rsidR="004C6D8E" w:rsidRPr="00942026">
        <w:t xml:space="preserve">. This </w:t>
      </w:r>
      <w:r w:rsidR="00D97CAE" w:rsidRPr="00942026">
        <w:t>include</w:t>
      </w:r>
      <w:r w:rsidR="00D97CAE">
        <w:t>d</w:t>
      </w:r>
      <w:r w:rsidR="00D97CAE" w:rsidRPr="00942026">
        <w:t xml:space="preserve"> </w:t>
      </w:r>
      <w:r w:rsidR="004C6D8E" w:rsidRPr="00825A5B">
        <w:t xml:space="preserve">CHF </w:t>
      </w:r>
      <w:r w:rsidR="00825A5B" w:rsidRPr="00825A5B">
        <w:t>5</w:t>
      </w:r>
      <w:r w:rsidR="00CF67EB">
        <w:t>8</w:t>
      </w:r>
      <w:r w:rsidR="000308AC">
        <w:t>8</w:t>
      </w:r>
      <w:r w:rsidR="00825A5B" w:rsidRPr="00825A5B">
        <w:t>K</w:t>
      </w:r>
      <w:r w:rsidR="00750416" w:rsidRPr="00825A5B">
        <w:t xml:space="preserve"> </w:t>
      </w:r>
      <w:r w:rsidR="00062A46" w:rsidRPr="00825A5B">
        <w:t>of</w:t>
      </w:r>
      <w:r w:rsidR="00062A46" w:rsidRPr="00942026">
        <w:t xml:space="preserve"> 2019 pre-committed </w:t>
      </w:r>
      <w:r w:rsidR="00827D03">
        <w:t xml:space="preserve">funds </w:t>
      </w:r>
      <w:r w:rsidR="00062A46" w:rsidRPr="00942026">
        <w:t xml:space="preserve">to be </w:t>
      </w:r>
      <w:r w:rsidR="00D97CAE" w:rsidRPr="00942026">
        <w:t>spen</w:t>
      </w:r>
      <w:r w:rsidR="00D97CAE">
        <w:t>t</w:t>
      </w:r>
      <w:r w:rsidR="00D97CAE" w:rsidRPr="00942026">
        <w:t xml:space="preserve"> </w:t>
      </w:r>
      <w:r w:rsidR="00062A46" w:rsidRPr="00942026">
        <w:t>in 2020</w:t>
      </w:r>
      <w:r w:rsidR="00496196">
        <w:t xml:space="preserve">, </w:t>
      </w:r>
      <w:r w:rsidR="00FB7688">
        <w:t>reduc</w:t>
      </w:r>
      <w:r w:rsidR="00761FB6">
        <w:t>tion</w:t>
      </w:r>
      <w:r w:rsidR="00FB7688">
        <w:t xml:space="preserve"> for the net shortfall of income and rounding differences of CHF 19K</w:t>
      </w:r>
      <w:r w:rsidR="006E10B2">
        <w:t>,</w:t>
      </w:r>
      <w:r w:rsidR="004C6D8E" w:rsidRPr="00942026">
        <w:t xml:space="preserve"> and</w:t>
      </w:r>
      <w:r w:rsidR="0019556E" w:rsidRPr="00942026">
        <w:t xml:space="preserve"> </w:t>
      </w:r>
      <w:r w:rsidR="00827D03" w:rsidRPr="00825A5B">
        <w:t xml:space="preserve">CHF </w:t>
      </w:r>
      <w:r w:rsidR="00827D03">
        <w:t>919</w:t>
      </w:r>
      <w:r w:rsidR="00827D03" w:rsidRPr="00825A5B">
        <w:t>K</w:t>
      </w:r>
      <w:r w:rsidR="00827D03" w:rsidRPr="00942026">
        <w:t xml:space="preserve"> </w:t>
      </w:r>
      <w:r w:rsidR="006E10B2">
        <w:t xml:space="preserve">of </w:t>
      </w:r>
      <w:r w:rsidR="00EC61E0" w:rsidRPr="00942026">
        <w:t>uncommitted</w:t>
      </w:r>
      <w:r w:rsidR="00A36407">
        <w:t>/</w:t>
      </w:r>
      <w:r w:rsidR="001404C4">
        <w:t>unspent</w:t>
      </w:r>
      <w:r w:rsidR="00EA444A" w:rsidRPr="00942026">
        <w:t xml:space="preserve"> </w:t>
      </w:r>
      <w:r w:rsidR="00827D03">
        <w:t>funds.</w:t>
      </w:r>
      <w:r w:rsidR="00F1556C">
        <w:t xml:space="preserve"> T</w:t>
      </w:r>
      <w:r w:rsidR="00F1556C" w:rsidRPr="00421152">
        <w:t xml:space="preserve">able 1 below provides </w:t>
      </w:r>
      <w:r w:rsidR="00F1556C">
        <w:t xml:space="preserve">a </w:t>
      </w:r>
      <w:r w:rsidR="00F1556C" w:rsidRPr="00421152">
        <w:t>summary</w:t>
      </w:r>
      <w:r w:rsidR="00F1556C">
        <w:t xml:space="preserve"> of the 2019 core budget pre-committed and uncommitted funds carried forward</w:t>
      </w:r>
      <w:r w:rsidR="00F1556C" w:rsidRPr="00421152">
        <w:t>.</w:t>
      </w:r>
    </w:p>
    <w:p w14:paraId="6F1E828A" w14:textId="3C263A87" w:rsidR="00882609" w:rsidRDefault="00882609" w:rsidP="00162710"/>
    <w:p w14:paraId="552CF735" w14:textId="188D3F4C" w:rsidR="00030DC9" w:rsidRDefault="00FC40CB" w:rsidP="00FC40CB">
      <w:r>
        <w:t>8.</w:t>
      </w:r>
      <w:r>
        <w:tab/>
      </w:r>
      <w:r w:rsidR="00827D03">
        <w:t>The Standing Committee in Decision SC57-50 decided that uncommitted/</w:t>
      </w:r>
      <w:r w:rsidR="001404C4">
        <w:t>unspent</w:t>
      </w:r>
      <w:r w:rsidR="00AE2EA2">
        <w:t xml:space="preserve"> </w:t>
      </w:r>
      <w:r w:rsidR="00827D03">
        <w:t>balances for budget lines can be carried forward to the next year within the triennium and presented to the following meeting of the Subgroup on Finance.</w:t>
      </w:r>
      <w:r w:rsidR="00573F8B">
        <w:t xml:space="preserve"> </w:t>
      </w:r>
      <w:r w:rsidR="00827D03">
        <w:t>Hence</w:t>
      </w:r>
      <w:r w:rsidR="00827D03" w:rsidRPr="00825A5B">
        <w:t xml:space="preserve">, the total of </w:t>
      </w:r>
      <w:r w:rsidR="00827D03">
        <w:t>uncommitted/</w:t>
      </w:r>
      <w:r w:rsidR="001404C4">
        <w:t xml:space="preserve">unspent </w:t>
      </w:r>
      <w:r w:rsidR="00827D03">
        <w:t xml:space="preserve">balances are carried forward to 2020. </w:t>
      </w:r>
    </w:p>
    <w:p w14:paraId="4E6C1B11" w14:textId="40E278BA" w:rsidR="00C730BF" w:rsidRDefault="00C730BF" w:rsidP="00162710"/>
    <w:p w14:paraId="679F885E" w14:textId="77777777" w:rsidR="00163F72" w:rsidRDefault="00163F72">
      <w:pPr>
        <w:rPr>
          <w:i/>
        </w:rPr>
      </w:pPr>
      <w:r>
        <w:rPr>
          <w:i/>
        </w:rPr>
        <w:br w:type="page"/>
      </w:r>
    </w:p>
    <w:p w14:paraId="0324CA37" w14:textId="436A7F39" w:rsidR="00E74FC5" w:rsidRDefault="00C946CD" w:rsidP="00162710">
      <w:pPr>
        <w:ind w:left="0" w:firstLine="0"/>
        <w:rPr>
          <w:rFonts w:eastAsia="Times New Roman" w:cs="Calibri"/>
          <w:color w:val="000000"/>
          <w:sz w:val="20"/>
          <w:szCs w:val="20"/>
          <w:lang w:eastAsia="en-GB"/>
        </w:rPr>
      </w:pPr>
      <w:r w:rsidRPr="00825A5B">
        <w:rPr>
          <w:i/>
        </w:rPr>
        <w:lastRenderedPageBreak/>
        <w:t>Table 1:</w:t>
      </w:r>
      <w:r w:rsidR="00C42F6F" w:rsidRPr="00825A5B">
        <w:rPr>
          <w:i/>
        </w:rPr>
        <w:t xml:space="preserve"> </w:t>
      </w:r>
      <w:r w:rsidR="00AE2EA2">
        <w:rPr>
          <w:i/>
        </w:rPr>
        <w:t>S</w:t>
      </w:r>
      <w:r w:rsidR="00AE2EA2" w:rsidRPr="00825A5B">
        <w:rPr>
          <w:i/>
        </w:rPr>
        <w:t xml:space="preserve">ummary </w:t>
      </w:r>
      <w:r w:rsidR="00AE2EA2">
        <w:rPr>
          <w:i/>
        </w:rPr>
        <w:t xml:space="preserve">of </w:t>
      </w:r>
      <w:r w:rsidR="00FA374C" w:rsidRPr="00825A5B">
        <w:rPr>
          <w:i/>
        </w:rPr>
        <w:t xml:space="preserve">2019 </w:t>
      </w:r>
      <w:r w:rsidRPr="00825A5B">
        <w:rPr>
          <w:i/>
        </w:rPr>
        <w:t>core budget</w:t>
      </w:r>
      <w:r w:rsidR="0040314A">
        <w:rPr>
          <w:i/>
        </w:rPr>
        <w:t xml:space="preserve"> pre-committed and uncommitted</w:t>
      </w:r>
      <w:r w:rsidRPr="00825A5B">
        <w:rPr>
          <w:i/>
        </w:rPr>
        <w:t xml:space="preserve"> </w:t>
      </w:r>
      <w:r w:rsidR="006E10B2">
        <w:rPr>
          <w:i/>
        </w:rPr>
        <w:t xml:space="preserve">funds </w:t>
      </w:r>
      <w:r w:rsidR="00825A5B">
        <w:rPr>
          <w:i/>
        </w:rPr>
        <w:t>carr</w:t>
      </w:r>
      <w:r w:rsidR="006E10B2">
        <w:rPr>
          <w:i/>
        </w:rPr>
        <w:t>ied</w:t>
      </w:r>
      <w:r w:rsidR="00825A5B">
        <w:rPr>
          <w:i/>
        </w:rPr>
        <w:t xml:space="preserve"> forward</w:t>
      </w:r>
      <w:r w:rsidR="00825A5B" w:rsidRPr="00825A5B">
        <w:rPr>
          <w:i/>
        </w:rPr>
        <w:t xml:space="preserve"> </w:t>
      </w:r>
      <w:r w:rsidRPr="00825A5B">
        <w:rPr>
          <w:i/>
        </w:rPr>
        <w:t>(</w:t>
      </w:r>
      <w:r w:rsidR="00114BA0">
        <w:rPr>
          <w:i/>
        </w:rPr>
        <w:t xml:space="preserve">in </w:t>
      </w:r>
      <w:r w:rsidRPr="00825A5B">
        <w:rPr>
          <w:i/>
        </w:rPr>
        <w:t>‘000 CHF, includes possible rounding differences)</w:t>
      </w:r>
    </w:p>
    <w:tbl>
      <w:tblPr>
        <w:tblW w:w="9209" w:type="dxa"/>
        <w:tblLayout w:type="fixed"/>
        <w:tblCellMar>
          <w:top w:w="28" w:type="dxa"/>
          <w:left w:w="57" w:type="dxa"/>
          <w:bottom w:w="28" w:type="dxa"/>
          <w:right w:w="57" w:type="dxa"/>
        </w:tblCellMar>
        <w:tblLook w:val="04A0" w:firstRow="1" w:lastRow="0" w:firstColumn="1" w:lastColumn="0" w:noHBand="0" w:noVBand="1"/>
      </w:tblPr>
      <w:tblGrid>
        <w:gridCol w:w="1696"/>
        <w:gridCol w:w="1276"/>
        <w:gridCol w:w="1276"/>
        <w:gridCol w:w="1134"/>
        <w:gridCol w:w="3827"/>
      </w:tblGrid>
      <w:tr w:rsidR="00FC40CB" w:rsidRPr="00D67522" w14:paraId="3EA61A0A" w14:textId="77777777" w:rsidTr="0068105F">
        <w:trPr>
          <w:cantSplit/>
          <w:tblHeader/>
        </w:trPr>
        <w:tc>
          <w:tcPr>
            <w:tcW w:w="169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ED3D6FB" w14:textId="77777777" w:rsidR="00FC40CB" w:rsidRPr="00FC40CB" w:rsidRDefault="00FC40CB" w:rsidP="00D67522">
            <w:pPr>
              <w:ind w:left="0" w:firstLine="0"/>
              <w:jc w:val="center"/>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Category / Department</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14:paraId="0FEB230B" w14:textId="282B41C7" w:rsidR="00FC40CB" w:rsidRPr="00FC40CB" w:rsidRDefault="00FC40CB" w:rsidP="0068105F">
            <w:pPr>
              <w:ind w:left="0" w:firstLine="0"/>
              <w:jc w:val="center"/>
              <w:rPr>
                <w:rFonts w:asciiTheme="minorHAnsi" w:eastAsia="Times New Roman" w:hAnsiTheme="minorHAnsi" w:cstheme="minorHAnsi"/>
                <w:b/>
                <w:bCs/>
                <w:sz w:val="20"/>
                <w:szCs w:val="20"/>
                <w:lang w:eastAsia="en-GB"/>
              </w:rPr>
            </w:pPr>
            <w:r w:rsidRPr="00FC40CB">
              <w:rPr>
                <w:rFonts w:asciiTheme="minorHAnsi" w:eastAsia="Times New Roman" w:hAnsiTheme="minorHAnsi" w:cstheme="minorHAnsi"/>
                <w:b/>
                <w:bCs/>
                <w:sz w:val="20"/>
                <w:szCs w:val="20"/>
                <w:lang w:eastAsia="en-GB"/>
              </w:rPr>
              <w:t>Pre-committed 2019 to be spent in 2020</w:t>
            </w:r>
            <w:r w:rsidRPr="00FC40CB">
              <w:rPr>
                <w:rFonts w:asciiTheme="minorHAnsi" w:eastAsia="Times New Roman" w:hAnsiTheme="minorHAnsi" w:cstheme="minorHAnsi"/>
                <w:b/>
                <w:bCs/>
                <w:sz w:val="20"/>
                <w:szCs w:val="20"/>
                <w:lang w:eastAsia="en-GB"/>
              </w:rPr>
              <w:br/>
              <w:t xml:space="preserve"> (A)</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14:paraId="4AAC17E4" w14:textId="77777777" w:rsidR="00FC40CB" w:rsidRPr="00FC40CB" w:rsidRDefault="00FC40CB" w:rsidP="00D67522">
            <w:pPr>
              <w:ind w:left="0" w:firstLine="0"/>
              <w:jc w:val="center"/>
              <w:rPr>
                <w:rFonts w:asciiTheme="minorHAnsi" w:eastAsia="Times New Roman" w:hAnsiTheme="minorHAnsi" w:cstheme="minorHAnsi"/>
                <w:b/>
                <w:bCs/>
                <w:sz w:val="20"/>
                <w:szCs w:val="20"/>
                <w:lang w:eastAsia="en-GB"/>
              </w:rPr>
            </w:pPr>
            <w:r w:rsidRPr="00FC40CB">
              <w:rPr>
                <w:rFonts w:asciiTheme="minorHAnsi" w:eastAsia="Times New Roman" w:hAnsiTheme="minorHAnsi" w:cstheme="minorHAnsi"/>
                <w:b/>
                <w:bCs/>
                <w:sz w:val="20"/>
                <w:szCs w:val="20"/>
                <w:lang w:eastAsia="en-GB"/>
              </w:rPr>
              <w:t>Uncommitted 2019 carry forward to 2020</w:t>
            </w:r>
            <w:r w:rsidRPr="00FC40CB">
              <w:rPr>
                <w:rFonts w:asciiTheme="minorHAnsi" w:eastAsia="Times New Roman" w:hAnsiTheme="minorHAnsi" w:cstheme="minorHAnsi"/>
                <w:b/>
                <w:bCs/>
                <w:sz w:val="20"/>
                <w:szCs w:val="20"/>
                <w:lang w:eastAsia="en-GB"/>
              </w:rPr>
              <w:br/>
              <w:t xml:space="preserve"> (B)</w:t>
            </w:r>
          </w:p>
        </w:tc>
        <w:tc>
          <w:tcPr>
            <w:tcW w:w="1134" w:type="dxa"/>
            <w:tcBorders>
              <w:top w:val="single" w:sz="4" w:space="0" w:color="auto"/>
              <w:left w:val="nil"/>
              <w:bottom w:val="single" w:sz="4" w:space="0" w:color="auto"/>
              <w:right w:val="single" w:sz="4" w:space="0" w:color="auto"/>
            </w:tcBorders>
            <w:shd w:val="clear" w:color="000000" w:fill="DBE5F1"/>
            <w:vAlign w:val="center"/>
            <w:hideMark/>
          </w:tcPr>
          <w:p w14:paraId="471D56D3" w14:textId="7EBCE09E" w:rsidR="00FC40CB" w:rsidRPr="00FC40CB" w:rsidRDefault="00FC40CB" w:rsidP="0068105F">
            <w:pPr>
              <w:ind w:left="0" w:firstLine="0"/>
              <w:jc w:val="center"/>
              <w:rPr>
                <w:rFonts w:asciiTheme="minorHAnsi" w:eastAsia="Times New Roman" w:hAnsiTheme="minorHAnsi" w:cstheme="minorHAnsi"/>
                <w:b/>
                <w:bCs/>
                <w:sz w:val="20"/>
                <w:szCs w:val="20"/>
                <w:lang w:eastAsia="en-GB"/>
              </w:rPr>
            </w:pPr>
            <w:r w:rsidRPr="00FC40CB">
              <w:rPr>
                <w:rFonts w:asciiTheme="minorHAnsi" w:eastAsia="Times New Roman" w:hAnsiTheme="minorHAnsi" w:cstheme="minorHAnsi"/>
                <w:b/>
                <w:bCs/>
                <w:sz w:val="20"/>
                <w:szCs w:val="20"/>
                <w:lang w:eastAsia="en-GB"/>
              </w:rPr>
              <w:t xml:space="preserve">Carry </w:t>
            </w:r>
            <w:r w:rsidR="006E10B2">
              <w:rPr>
                <w:rFonts w:asciiTheme="minorHAnsi" w:eastAsia="Times New Roman" w:hAnsiTheme="minorHAnsi" w:cstheme="minorHAnsi"/>
                <w:b/>
                <w:bCs/>
                <w:sz w:val="20"/>
                <w:szCs w:val="20"/>
                <w:lang w:eastAsia="en-GB"/>
              </w:rPr>
              <w:t>f</w:t>
            </w:r>
            <w:r w:rsidR="006E10B2" w:rsidRPr="00FC40CB">
              <w:rPr>
                <w:rFonts w:asciiTheme="minorHAnsi" w:eastAsia="Times New Roman" w:hAnsiTheme="minorHAnsi" w:cstheme="minorHAnsi"/>
                <w:b/>
                <w:bCs/>
                <w:sz w:val="20"/>
                <w:szCs w:val="20"/>
                <w:lang w:eastAsia="en-GB"/>
              </w:rPr>
              <w:t xml:space="preserve">orward </w:t>
            </w:r>
            <w:r w:rsidRPr="00FC40CB">
              <w:rPr>
                <w:rFonts w:asciiTheme="minorHAnsi" w:eastAsia="Times New Roman" w:hAnsiTheme="minorHAnsi" w:cstheme="minorHAnsi"/>
                <w:b/>
                <w:bCs/>
                <w:sz w:val="20"/>
                <w:szCs w:val="20"/>
                <w:lang w:eastAsia="en-GB"/>
              </w:rPr>
              <w:t xml:space="preserve">2019 to 2020 </w:t>
            </w:r>
            <w:r w:rsidRPr="00FC40CB">
              <w:rPr>
                <w:rFonts w:asciiTheme="minorHAnsi" w:eastAsia="Times New Roman" w:hAnsiTheme="minorHAnsi" w:cstheme="minorHAnsi"/>
                <w:b/>
                <w:bCs/>
                <w:sz w:val="20"/>
                <w:szCs w:val="20"/>
                <w:lang w:eastAsia="en-GB"/>
              </w:rPr>
              <w:br/>
              <w:t>(C=A+B)</w:t>
            </w:r>
          </w:p>
        </w:tc>
        <w:tc>
          <w:tcPr>
            <w:tcW w:w="3827" w:type="dxa"/>
            <w:tcBorders>
              <w:top w:val="single" w:sz="4" w:space="0" w:color="auto"/>
              <w:left w:val="nil"/>
              <w:bottom w:val="single" w:sz="4" w:space="0" w:color="auto"/>
              <w:right w:val="single" w:sz="4" w:space="0" w:color="auto"/>
            </w:tcBorders>
            <w:shd w:val="clear" w:color="000000" w:fill="DBE5F1"/>
            <w:noWrap/>
            <w:vAlign w:val="center"/>
            <w:hideMark/>
          </w:tcPr>
          <w:p w14:paraId="4B98C40E" w14:textId="12D58050" w:rsidR="00FC40CB" w:rsidRPr="00FC40CB" w:rsidRDefault="00FC40CB" w:rsidP="00573F8B">
            <w:pPr>
              <w:ind w:left="0" w:firstLine="0"/>
              <w:jc w:val="center"/>
              <w:rPr>
                <w:rFonts w:asciiTheme="minorHAnsi" w:eastAsia="Times New Roman" w:hAnsiTheme="minorHAnsi" w:cstheme="minorHAnsi"/>
                <w:b/>
                <w:bCs/>
                <w:sz w:val="20"/>
                <w:szCs w:val="20"/>
                <w:lang w:eastAsia="en-GB"/>
              </w:rPr>
            </w:pPr>
            <w:r w:rsidRPr="00FC40CB">
              <w:rPr>
                <w:rFonts w:asciiTheme="minorHAnsi" w:eastAsia="Times New Roman" w:hAnsiTheme="minorHAnsi" w:cstheme="minorHAnsi"/>
                <w:b/>
                <w:bCs/>
                <w:sz w:val="20"/>
                <w:szCs w:val="20"/>
                <w:lang w:eastAsia="en-GB"/>
              </w:rPr>
              <w:t xml:space="preserve">Comments for pre-commitments </w:t>
            </w:r>
            <w:r w:rsidR="00573F8B">
              <w:rPr>
                <w:rFonts w:asciiTheme="minorHAnsi" w:eastAsia="Times New Roman" w:hAnsiTheme="minorHAnsi" w:cstheme="minorHAnsi"/>
                <w:b/>
                <w:bCs/>
                <w:sz w:val="20"/>
                <w:szCs w:val="20"/>
                <w:lang w:eastAsia="en-GB"/>
              </w:rPr>
              <w:t>and</w:t>
            </w:r>
            <w:r w:rsidR="00573F8B" w:rsidRPr="00FC40CB">
              <w:rPr>
                <w:rFonts w:asciiTheme="minorHAnsi" w:eastAsia="Times New Roman" w:hAnsiTheme="minorHAnsi" w:cstheme="minorHAnsi"/>
                <w:b/>
                <w:bCs/>
                <w:sz w:val="20"/>
                <w:szCs w:val="20"/>
                <w:lang w:eastAsia="en-GB"/>
              </w:rPr>
              <w:t xml:space="preserve"> </w:t>
            </w:r>
            <w:r w:rsidR="00573F8B">
              <w:rPr>
                <w:rFonts w:asciiTheme="minorHAnsi" w:eastAsia="Times New Roman" w:hAnsiTheme="minorHAnsi" w:cstheme="minorHAnsi"/>
                <w:b/>
                <w:bCs/>
                <w:sz w:val="20"/>
                <w:szCs w:val="20"/>
                <w:lang w:eastAsia="en-GB"/>
              </w:rPr>
              <w:t>s</w:t>
            </w:r>
            <w:r w:rsidRPr="00FC40CB">
              <w:rPr>
                <w:rFonts w:asciiTheme="minorHAnsi" w:eastAsia="Times New Roman" w:hAnsiTheme="minorHAnsi" w:cstheme="minorHAnsi"/>
                <w:b/>
                <w:bCs/>
                <w:sz w:val="20"/>
                <w:szCs w:val="20"/>
                <w:lang w:eastAsia="en-GB"/>
              </w:rPr>
              <w:t>avings</w:t>
            </w:r>
          </w:p>
        </w:tc>
      </w:tr>
      <w:tr w:rsidR="00FC40CB" w:rsidRPr="00D67522" w14:paraId="2CDD4AD3" w14:textId="77777777" w:rsidTr="0068105F">
        <w:trPr>
          <w:trHeight w:val="990"/>
        </w:trPr>
        <w:tc>
          <w:tcPr>
            <w:tcW w:w="1696" w:type="dxa"/>
            <w:tcBorders>
              <w:top w:val="nil"/>
              <w:left w:val="single" w:sz="4" w:space="0" w:color="auto"/>
              <w:bottom w:val="single" w:sz="4" w:space="0" w:color="auto"/>
              <w:right w:val="single" w:sz="4" w:space="0" w:color="auto"/>
            </w:tcBorders>
            <w:shd w:val="clear" w:color="auto" w:fill="auto"/>
            <w:noWrap/>
            <w:hideMark/>
          </w:tcPr>
          <w:p w14:paraId="0541BA04"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Senior Management</w:t>
            </w:r>
          </w:p>
        </w:tc>
        <w:tc>
          <w:tcPr>
            <w:tcW w:w="1276" w:type="dxa"/>
            <w:tcBorders>
              <w:top w:val="nil"/>
              <w:left w:val="nil"/>
              <w:bottom w:val="single" w:sz="4" w:space="0" w:color="auto"/>
              <w:right w:val="single" w:sz="4" w:space="0" w:color="auto"/>
            </w:tcBorders>
            <w:shd w:val="clear" w:color="auto" w:fill="auto"/>
            <w:hideMark/>
          </w:tcPr>
          <w:p w14:paraId="4589F0C3"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hideMark/>
          </w:tcPr>
          <w:p w14:paraId="57E6435A"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126</w:t>
            </w:r>
          </w:p>
        </w:tc>
        <w:tc>
          <w:tcPr>
            <w:tcW w:w="1134" w:type="dxa"/>
            <w:tcBorders>
              <w:top w:val="nil"/>
              <w:left w:val="nil"/>
              <w:bottom w:val="single" w:sz="4" w:space="0" w:color="auto"/>
              <w:right w:val="single" w:sz="4" w:space="0" w:color="auto"/>
            </w:tcBorders>
            <w:shd w:val="clear" w:color="auto" w:fill="auto"/>
            <w:noWrap/>
            <w:hideMark/>
          </w:tcPr>
          <w:p w14:paraId="37B2BDB8"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126</w:t>
            </w:r>
          </w:p>
        </w:tc>
        <w:tc>
          <w:tcPr>
            <w:tcW w:w="3827" w:type="dxa"/>
            <w:tcBorders>
              <w:top w:val="nil"/>
              <w:left w:val="nil"/>
              <w:bottom w:val="single" w:sz="4" w:space="0" w:color="auto"/>
              <w:right w:val="single" w:sz="4" w:space="0" w:color="auto"/>
            </w:tcBorders>
            <w:shd w:val="clear" w:color="auto" w:fill="auto"/>
            <w:hideMark/>
          </w:tcPr>
          <w:p w14:paraId="5F251681" w14:textId="4AEC6C32" w:rsidR="00FC40CB" w:rsidRPr="00FC40CB" w:rsidRDefault="00573F8B" w:rsidP="00D67522">
            <w:pPr>
              <w:ind w:left="0" w:firstLine="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b/>
                <w:bCs/>
                <w:color w:val="000000"/>
                <w:sz w:val="20"/>
                <w:szCs w:val="20"/>
                <w:lang w:eastAsia="en-GB"/>
              </w:rPr>
              <w:t>Savings</w:t>
            </w:r>
            <w:r w:rsidR="00FC40CB" w:rsidRPr="00FC40CB">
              <w:rPr>
                <w:rFonts w:asciiTheme="minorHAnsi" w:eastAsia="Times New Roman" w:hAnsiTheme="minorHAnsi" w:cstheme="minorHAnsi"/>
                <w:b/>
                <w:bCs/>
                <w:color w:val="000000"/>
                <w:sz w:val="20"/>
                <w:szCs w:val="20"/>
                <w:lang w:eastAsia="en-GB"/>
              </w:rPr>
              <w:t>:</w:t>
            </w:r>
            <w:r w:rsidR="00FC40CB" w:rsidRPr="00FC40CB">
              <w:rPr>
                <w:rFonts w:asciiTheme="minorHAnsi" w:eastAsia="Times New Roman" w:hAnsiTheme="minorHAnsi" w:cstheme="minorHAnsi"/>
                <w:color w:val="000000"/>
                <w:sz w:val="20"/>
                <w:szCs w:val="20"/>
                <w:lang w:eastAsia="en-GB"/>
              </w:rPr>
              <w:t xml:space="preserve"> (i) vacancy of Deputy position for the beginning of 2019 and (ii) lower other employment benefits and (iii) travel</w:t>
            </w:r>
          </w:p>
        </w:tc>
      </w:tr>
      <w:tr w:rsidR="00FC40CB" w:rsidRPr="00D67522" w14:paraId="31DB43DD" w14:textId="77777777" w:rsidTr="0068105F">
        <w:trPr>
          <w:trHeight w:val="225"/>
        </w:trPr>
        <w:tc>
          <w:tcPr>
            <w:tcW w:w="1696" w:type="dxa"/>
            <w:tcBorders>
              <w:top w:val="nil"/>
              <w:left w:val="single" w:sz="4" w:space="0" w:color="auto"/>
              <w:bottom w:val="single" w:sz="4" w:space="0" w:color="auto"/>
              <w:right w:val="single" w:sz="4" w:space="0" w:color="auto"/>
            </w:tcBorders>
            <w:shd w:val="clear" w:color="auto" w:fill="auto"/>
            <w:noWrap/>
            <w:hideMark/>
          </w:tcPr>
          <w:p w14:paraId="408C5313"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Resource Mobilization and Outreach</w:t>
            </w:r>
          </w:p>
        </w:tc>
        <w:tc>
          <w:tcPr>
            <w:tcW w:w="1276" w:type="dxa"/>
            <w:tcBorders>
              <w:top w:val="nil"/>
              <w:left w:val="nil"/>
              <w:bottom w:val="single" w:sz="4" w:space="0" w:color="auto"/>
              <w:right w:val="single" w:sz="4" w:space="0" w:color="auto"/>
            </w:tcBorders>
            <w:shd w:val="clear" w:color="auto" w:fill="auto"/>
            <w:noWrap/>
            <w:hideMark/>
          </w:tcPr>
          <w:p w14:paraId="625BD23F"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81</w:t>
            </w:r>
          </w:p>
        </w:tc>
        <w:tc>
          <w:tcPr>
            <w:tcW w:w="1276" w:type="dxa"/>
            <w:tcBorders>
              <w:top w:val="nil"/>
              <w:left w:val="nil"/>
              <w:bottom w:val="single" w:sz="4" w:space="0" w:color="auto"/>
              <w:right w:val="single" w:sz="4" w:space="0" w:color="auto"/>
            </w:tcBorders>
            <w:shd w:val="clear" w:color="auto" w:fill="auto"/>
            <w:hideMark/>
          </w:tcPr>
          <w:p w14:paraId="779DACA0"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269</w:t>
            </w:r>
          </w:p>
        </w:tc>
        <w:tc>
          <w:tcPr>
            <w:tcW w:w="1134" w:type="dxa"/>
            <w:tcBorders>
              <w:top w:val="nil"/>
              <w:left w:val="nil"/>
              <w:bottom w:val="single" w:sz="4" w:space="0" w:color="auto"/>
              <w:right w:val="single" w:sz="4" w:space="0" w:color="auto"/>
            </w:tcBorders>
            <w:shd w:val="clear" w:color="auto" w:fill="auto"/>
            <w:noWrap/>
            <w:hideMark/>
          </w:tcPr>
          <w:p w14:paraId="76F46BFC"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349</w:t>
            </w:r>
          </w:p>
        </w:tc>
        <w:tc>
          <w:tcPr>
            <w:tcW w:w="3827" w:type="dxa"/>
            <w:tcBorders>
              <w:top w:val="nil"/>
              <w:left w:val="nil"/>
              <w:bottom w:val="single" w:sz="4" w:space="0" w:color="auto"/>
              <w:right w:val="single" w:sz="4" w:space="0" w:color="auto"/>
            </w:tcBorders>
            <w:shd w:val="clear" w:color="auto" w:fill="auto"/>
            <w:hideMark/>
          </w:tcPr>
          <w:p w14:paraId="19DF981D" w14:textId="7275DEB0" w:rsidR="00FC40CB" w:rsidRPr="0068105F" w:rsidRDefault="00573F8B" w:rsidP="009401C8">
            <w:pPr>
              <w:ind w:left="0" w:firstLine="0"/>
              <w:rPr>
                <w:rFonts w:asciiTheme="minorHAnsi" w:eastAsia="Times New Roman" w:hAnsiTheme="minorHAnsi" w:cstheme="minorHAnsi"/>
                <w:color w:val="000000"/>
                <w:spacing w:val="-2"/>
                <w:sz w:val="20"/>
                <w:szCs w:val="20"/>
                <w:lang w:eastAsia="en-GB"/>
              </w:rPr>
            </w:pPr>
            <w:r w:rsidRPr="0068105F">
              <w:rPr>
                <w:rFonts w:asciiTheme="minorHAnsi" w:eastAsia="Times New Roman" w:hAnsiTheme="minorHAnsi" w:cstheme="minorHAnsi"/>
                <w:b/>
                <w:bCs/>
                <w:color w:val="000000"/>
                <w:spacing w:val="-2"/>
                <w:sz w:val="20"/>
                <w:szCs w:val="20"/>
                <w:lang w:eastAsia="en-GB"/>
              </w:rPr>
              <w:t>Pre-committed</w:t>
            </w:r>
            <w:r w:rsidR="00FC40CB" w:rsidRPr="0068105F">
              <w:rPr>
                <w:rFonts w:asciiTheme="minorHAnsi" w:eastAsia="Times New Roman" w:hAnsiTheme="minorHAnsi" w:cstheme="minorHAnsi"/>
                <w:b/>
                <w:bCs/>
                <w:color w:val="000000"/>
                <w:spacing w:val="-2"/>
                <w:sz w:val="20"/>
                <w:szCs w:val="20"/>
                <w:lang w:eastAsia="en-GB"/>
              </w:rPr>
              <w:t>:</w:t>
            </w:r>
            <w:r w:rsidR="00FC40CB" w:rsidRPr="0068105F">
              <w:rPr>
                <w:rFonts w:asciiTheme="minorHAnsi" w:eastAsia="Times New Roman" w:hAnsiTheme="minorHAnsi" w:cstheme="minorHAnsi"/>
                <w:color w:val="000000"/>
                <w:spacing w:val="-2"/>
                <w:sz w:val="20"/>
                <w:szCs w:val="20"/>
                <w:lang w:eastAsia="en-GB"/>
              </w:rPr>
              <w:t xml:space="preserve"> (i) 31K IT services to be spent in 2020; (ii) 7K IT services to be spent in 2021 and (iii) 43K WWD </w:t>
            </w:r>
            <w:r w:rsidR="009401C8" w:rsidRPr="0068105F">
              <w:rPr>
                <w:rFonts w:asciiTheme="minorHAnsi" w:eastAsia="Times New Roman" w:hAnsiTheme="minorHAnsi" w:cstheme="minorHAnsi"/>
                <w:color w:val="000000"/>
                <w:spacing w:val="-2"/>
                <w:sz w:val="20"/>
                <w:szCs w:val="20"/>
                <w:lang w:eastAsia="en-GB"/>
              </w:rPr>
              <w:t xml:space="preserve">and </w:t>
            </w:r>
            <w:r w:rsidR="00FC40CB" w:rsidRPr="0068105F">
              <w:rPr>
                <w:rFonts w:asciiTheme="minorHAnsi" w:eastAsia="Times New Roman" w:hAnsiTheme="minorHAnsi" w:cstheme="minorHAnsi"/>
                <w:color w:val="000000"/>
                <w:spacing w:val="-2"/>
                <w:sz w:val="20"/>
                <w:szCs w:val="20"/>
                <w:lang w:eastAsia="en-GB"/>
              </w:rPr>
              <w:t xml:space="preserve">50th </w:t>
            </w:r>
            <w:r w:rsidR="009401C8" w:rsidRPr="0068105F">
              <w:rPr>
                <w:rFonts w:asciiTheme="minorHAnsi" w:eastAsia="Times New Roman" w:hAnsiTheme="minorHAnsi" w:cstheme="minorHAnsi"/>
                <w:color w:val="000000"/>
                <w:spacing w:val="-2"/>
                <w:sz w:val="20"/>
                <w:szCs w:val="20"/>
                <w:lang w:eastAsia="en-GB"/>
              </w:rPr>
              <w:t>a</w:t>
            </w:r>
            <w:r w:rsidR="00FC40CB" w:rsidRPr="0068105F">
              <w:rPr>
                <w:rFonts w:asciiTheme="minorHAnsi" w:eastAsia="Times New Roman" w:hAnsiTheme="minorHAnsi" w:cstheme="minorHAnsi"/>
                <w:color w:val="000000"/>
                <w:spacing w:val="-2"/>
                <w:sz w:val="20"/>
                <w:szCs w:val="20"/>
                <w:lang w:eastAsia="en-GB"/>
              </w:rPr>
              <w:t>nniversary 2021,</w:t>
            </w:r>
            <w:r w:rsidR="00FC40CB" w:rsidRPr="0068105F">
              <w:rPr>
                <w:rFonts w:asciiTheme="minorHAnsi" w:eastAsia="Times New Roman" w:hAnsiTheme="minorHAnsi" w:cstheme="minorHAnsi"/>
                <w:color w:val="000000"/>
                <w:spacing w:val="-2"/>
                <w:sz w:val="20"/>
                <w:szCs w:val="20"/>
                <w:lang w:eastAsia="en-GB"/>
              </w:rPr>
              <w:br/>
            </w:r>
            <w:r w:rsidRPr="0068105F">
              <w:rPr>
                <w:rFonts w:asciiTheme="minorHAnsi" w:eastAsia="Times New Roman" w:hAnsiTheme="minorHAnsi" w:cstheme="minorHAnsi"/>
                <w:b/>
                <w:bCs/>
                <w:color w:val="000000"/>
                <w:spacing w:val="-2"/>
                <w:sz w:val="20"/>
                <w:szCs w:val="20"/>
                <w:lang w:eastAsia="en-GB"/>
              </w:rPr>
              <w:t>Savings</w:t>
            </w:r>
            <w:r w:rsidR="00FC40CB" w:rsidRPr="0068105F">
              <w:rPr>
                <w:rFonts w:asciiTheme="minorHAnsi" w:eastAsia="Times New Roman" w:hAnsiTheme="minorHAnsi" w:cstheme="minorHAnsi"/>
                <w:b/>
                <w:bCs/>
                <w:color w:val="000000"/>
                <w:spacing w:val="-2"/>
                <w:sz w:val="20"/>
                <w:szCs w:val="20"/>
                <w:lang w:eastAsia="en-GB"/>
              </w:rPr>
              <w:t xml:space="preserve">: </w:t>
            </w:r>
            <w:r w:rsidR="00FC40CB" w:rsidRPr="0068105F">
              <w:rPr>
                <w:rFonts w:asciiTheme="minorHAnsi" w:eastAsia="Times New Roman" w:hAnsiTheme="minorHAnsi" w:cstheme="minorHAnsi"/>
                <w:color w:val="000000"/>
                <w:spacing w:val="-2"/>
                <w:sz w:val="20"/>
                <w:szCs w:val="20"/>
                <w:lang w:eastAsia="en-GB"/>
              </w:rPr>
              <w:t>(i) vacancy of Director Resource Mobilization and Outreach as the position regraded and recruited in 2020; (ii) CEPA Program</w:t>
            </w:r>
            <w:r w:rsidR="009401C8" w:rsidRPr="0068105F">
              <w:rPr>
                <w:rFonts w:asciiTheme="minorHAnsi" w:eastAsia="Times New Roman" w:hAnsiTheme="minorHAnsi" w:cstheme="minorHAnsi"/>
                <w:color w:val="000000"/>
                <w:spacing w:val="-2"/>
                <w:sz w:val="20"/>
                <w:szCs w:val="20"/>
                <w:lang w:eastAsia="en-GB"/>
              </w:rPr>
              <w:t>me</w:t>
            </w:r>
            <w:r w:rsidR="00FC40CB" w:rsidRPr="0068105F">
              <w:rPr>
                <w:rFonts w:asciiTheme="minorHAnsi" w:eastAsia="Times New Roman" w:hAnsiTheme="minorHAnsi" w:cstheme="minorHAnsi"/>
                <w:color w:val="000000"/>
                <w:spacing w:val="-2"/>
                <w:sz w:val="20"/>
                <w:szCs w:val="20"/>
                <w:lang w:eastAsia="en-GB"/>
              </w:rPr>
              <w:t xml:space="preserve"> and (iii) Communications, </w:t>
            </w:r>
            <w:r w:rsidR="009401C8" w:rsidRPr="0068105F">
              <w:rPr>
                <w:rFonts w:asciiTheme="minorHAnsi" w:eastAsia="Times New Roman" w:hAnsiTheme="minorHAnsi" w:cstheme="minorHAnsi"/>
                <w:color w:val="000000"/>
                <w:spacing w:val="-2"/>
                <w:sz w:val="20"/>
                <w:szCs w:val="20"/>
                <w:lang w:eastAsia="en-GB"/>
              </w:rPr>
              <w:t>translations</w:t>
            </w:r>
            <w:r w:rsidR="00FC40CB" w:rsidRPr="0068105F">
              <w:rPr>
                <w:rFonts w:asciiTheme="minorHAnsi" w:eastAsia="Times New Roman" w:hAnsiTheme="minorHAnsi" w:cstheme="minorHAnsi"/>
                <w:color w:val="000000"/>
                <w:spacing w:val="-2"/>
                <w:sz w:val="20"/>
                <w:szCs w:val="20"/>
                <w:lang w:eastAsia="en-GB"/>
              </w:rPr>
              <w:t xml:space="preserve">, </w:t>
            </w:r>
            <w:r w:rsidR="009401C8" w:rsidRPr="0068105F">
              <w:rPr>
                <w:rFonts w:asciiTheme="minorHAnsi" w:eastAsia="Times New Roman" w:hAnsiTheme="minorHAnsi" w:cstheme="minorHAnsi"/>
                <w:color w:val="000000"/>
                <w:spacing w:val="-2"/>
                <w:sz w:val="20"/>
                <w:szCs w:val="20"/>
                <w:lang w:eastAsia="en-GB"/>
              </w:rPr>
              <w:t xml:space="preserve">publications </w:t>
            </w:r>
            <w:r w:rsidR="00FC40CB" w:rsidRPr="0068105F">
              <w:rPr>
                <w:rFonts w:asciiTheme="minorHAnsi" w:eastAsia="Times New Roman" w:hAnsiTheme="minorHAnsi" w:cstheme="minorHAnsi"/>
                <w:color w:val="000000"/>
                <w:spacing w:val="-2"/>
                <w:sz w:val="20"/>
                <w:szCs w:val="20"/>
                <w:lang w:eastAsia="en-GB"/>
              </w:rPr>
              <w:t xml:space="preserve">and </w:t>
            </w:r>
            <w:r w:rsidR="009401C8" w:rsidRPr="0068105F">
              <w:rPr>
                <w:rFonts w:asciiTheme="minorHAnsi" w:eastAsia="Times New Roman" w:hAnsiTheme="minorHAnsi" w:cstheme="minorHAnsi"/>
                <w:color w:val="000000"/>
                <w:spacing w:val="-2"/>
                <w:sz w:val="20"/>
                <w:szCs w:val="20"/>
                <w:lang w:eastAsia="en-GB"/>
              </w:rPr>
              <w:t xml:space="preserve">reporting implementation </w:t>
            </w:r>
            <w:r w:rsidR="00FC40CB" w:rsidRPr="0068105F">
              <w:rPr>
                <w:rFonts w:asciiTheme="minorHAnsi" w:eastAsia="Times New Roman" w:hAnsiTheme="minorHAnsi" w:cstheme="minorHAnsi"/>
                <w:color w:val="000000"/>
                <w:spacing w:val="-2"/>
                <w:sz w:val="20"/>
                <w:szCs w:val="20"/>
                <w:lang w:eastAsia="en-GB"/>
              </w:rPr>
              <w:t>- as expenditure will increase closer to</w:t>
            </w:r>
            <w:r w:rsidRPr="0068105F">
              <w:rPr>
                <w:rFonts w:asciiTheme="minorHAnsi" w:eastAsia="Times New Roman" w:hAnsiTheme="minorHAnsi" w:cstheme="minorHAnsi"/>
                <w:color w:val="000000"/>
                <w:spacing w:val="-2"/>
                <w:sz w:val="20"/>
                <w:szCs w:val="20"/>
                <w:lang w:eastAsia="en-GB"/>
              </w:rPr>
              <w:t xml:space="preserve"> </w:t>
            </w:r>
            <w:r w:rsidR="00FC40CB" w:rsidRPr="0068105F">
              <w:rPr>
                <w:rFonts w:asciiTheme="minorHAnsi" w:eastAsia="Times New Roman" w:hAnsiTheme="minorHAnsi" w:cstheme="minorHAnsi"/>
                <w:color w:val="000000"/>
                <w:spacing w:val="-2"/>
                <w:sz w:val="20"/>
                <w:szCs w:val="20"/>
                <w:lang w:eastAsia="en-GB"/>
              </w:rPr>
              <w:t>COP14</w:t>
            </w:r>
            <w:r w:rsidR="009401C8" w:rsidRPr="0068105F">
              <w:rPr>
                <w:rFonts w:asciiTheme="minorHAnsi" w:eastAsia="Times New Roman" w:hAnsiTheme="minorHAnsi" w:cstheme="minorHAnsi"/>
                <w:color w:val="000000"/>
                <w:spacing w:val="-2"/>
                <w:sz w:val="20"/>
                <w:szCs w:val="20"/>
                <w:lang w:eastAsia="en-GB"/>
              </w:rPr>
              <w:t>;</w:t>
            </w:r>
            <w:r w:rsidR="00FC40CB" w:rsidRPr="0068105F">
              <w:rPr>
                <w:rFonts w:asciiTheme="minorHAnsi" w:eastAsia="Times New Roman" w:hAnsiTheme="minorHAnsi" w:cstheme="minorHAnsi"/>
                <w:color w:val="000000"/>
                <w:spacing w:val="-2"/>
                <w:sz w:val="20"/>
                <w:szCs w:val="20"/>
                <w:lang w:eastAsia="en-GB"/>
              </w:rPr>
              <w:t xml:space="preserve"> and (iv) travel</w:t>
            </w:r>
          </w:p>
        </w:tc>
      </w:tr>
      <w:tr w:rsidR="00FC40CB" w:rsidRPr="00D67522" w14:paraId="74E49C3A" w14:textId="77777777" w:rsidTr="0068105F">
        <w:trPr>
          <w:trHeight w:val="1170"/>
        </w:trPr>
        <w:tc>
          <w:tcPr>
            <w:tcW w:w="1696" w:type="dxa"/>
            <w:tcBorders>
              <w:top w:val="nil"/>
              <w:left w:val="single" w:sz="4" w:space="0" w:color="auto"/>
              <w:bottom w:val="single" w:sz="4" w:space="0" w:color="auto"/>
              <w:right w:val="single" w:sz="4" w:space="0" w:color="auto"/>
            </w:tcBorders>
            <w:shd w:val="clear" w:color="auto" w:fill="auto"/>
            <w:noWrap/>
            <w:hideMark/>
          </w:tcPr>
          <w:p w14:paraId="43C73905"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Regional Advice and Support</w:t>
            </w:r>
          </w:p>
        </w:tc>
        <w:tc>
          <w:tcPr>
            <w:tcW w:w="1276" w:type="dxa"/>
            <w:tcBorders>
              <w:top w:val="nil"/>
              <w:left w:val="nil"/>
              <w:bottom w:val="single" w:sz="4" w:space="0" w:color="auto"/>
              <w:right w:val="single" w:sz="4" w:space="0" w:color="auto"/>
            </w:tcBorders>
            <w:shd w:val="clear" w:color="auto" w:fill="auto"/>
            <w:noWrap/>
            <w:hideMark/>
          </w:tcPr>
          <w:p w14:paraId="4CE35673"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96</w:t>
            </w:r>
          </w:p>
        </w:tc>
        <w:tc>
          <w:tcPr>
            <w:tcW w:w="1276" w:type="dxa"/>
            <w:tcBorders>
              <w:top w:val="nil"/>
              <w:left w:val="nil"/>
              <w:bottom w:val="single" w:sz="4" w:space="0" w:color="auto"/>
              <w:right w:val="single" w:sz="4" w:space="0" w:color="auto"/>
            </w:tcBorders>
            <w:shd w:val="clear" w:color="auto" w:fill="auto"/>
            <w:hideMark/>
          </w:tcPr>
          <w:p w14:paraId="48784741"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152</w:t>
            </w:r>
          </w:p>
        </w:tc>
        <w:tc>
          <w:tcPr>
            <w:tcW w:w="1134" w:type="dxa"/>
            <w:tcBorders>
              <w:top w:val="nil"/>
              <w:left w:val="nil"/>
              <w:bottom w:val="single" w:sz="4" w:space="0" w:color="auto"/>
              <w:right w:val="single" w:sz="4" w:space="0" w:color="auto"/>
            </w:tcBorders>
            <w:shd w:val="clear" w:color="auto" w:fill="auto"/>
            <w:noWrap/>
            <w:hideMark/>
          </w:tcPr>
          <w:p w14:paraId="49525B69"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248</w:t>
            </w:r>
          </w:p>
        </w:tc>
        <w:tc>
          <w:tcPr>
            <w:tcW w:w="3827" w:type="dxa"/>
            <w:tcBorders>
              <w:top w:val="nil"/>
              <w:left w:val="nil"/>
              <w:bottom w:val="single" w:sz="4" w:space="0" w:color="auto"/>
              <w:right w:val="single" w:sz="4" w:space="0" w:color="auto"/>
            </w:tcBorders>
            <w:shd w:val="clear" w:color="auto" w:fill="auto"/>
            <w:hideMark/>
          </w:tcPr>
          <w:p w14:paraId="778999F7" w14:textId="783B5305" w:rsidR="00FC40CB" w:rsidRPr="00FC40CB" w:rsidRDefault="00573F8B" w:rsidP="00D67522">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Pre-committed</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 implementation of Ramsar Advisory Missions postponed to 2020</w:t>
            </w:r>
            <w:r w:rsidR="00FC40CB" w:rsidRPr="00FC40CB">
              <w:rPr>
                <w:rFonts w:asciiTheme="minorHAnsi" w:eastAsia="Times New Roman" w:hAnsiTheme="minorHAnsi" w:cstheme="minorHAnsi"/>
                <w:sz w:val="20"/>
                <w:szCs w:val="20"/>
                <w:lang w:eastAsia="en-GB"/>
              </w:rPr>
              <w:br/>
            </w:r>
            <w:r>
              <w:rPr>
                <w:rFonts w:asciiTheme="minorHAnsi" w:eastAsia="Times New Roman" w:hAnsiTheme="minorHAnsi" w:cstheme="minorHAnsi"/>
                <w:b/>
                <w:bCs/>
                <w:sz w:val="20"/>
                <w:szCs w:val="20"/>
                <w:lang w:eastAsia="en-GB"/>
              </w:rPr>
              <w:t>Savings</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 vacancy of Senior Regional </w:t>
            </w:r>
            <w:r w:rsidR="009401C8">
              <w:rPr>
                <w:rFonts w:asciiTheme="minorHAnsi" w:eastAsia="Times New Roman" w:hAnsiTheme="minorHAnsi" w:cstheme="minorHAnsi"/>
                <w:sz w:val="20"/>
                <w:szCs w:val="20"/>
                <w:lang w:eastAsia="en-GB"/>
              </w:rPr>
              <w:t>A</w:t>
            </w:r>
            <w:r w:rsidR="00FC40CB" w:rsidRPr="00FC40CB">
              <w:rPr>
                <w:rFonts w:asciiTheme="minorHAnsi" w:eastAsia="Times New Roman" w:hAnsiTheme="minorHAnsi" w:cstheme="minorHAnsi"/>
                <w:sz w:val="20"/>
                <w:szCs w:val="20"/>
                <w:lang w:eastAsia="en-GB"/>
              </w:rPr>
              <w:t>dvisor position to be filled in 2020</w:t>
            </w:r>
            <w:r w:rsidR="009401C8">
              <w:rPr>
                <w:rFonts w:asciiTheme="minorHAnsi" w:eastAsia="Times New Roman" w:hAnsiTheme="minorHAnsi" w:cstheme="minorHAnsi"/>
                <w:sz w:val="20"/>
                <w:szCs w:val="20"/>
                <w:lang w:eastAsia="en-GB"/>
              </w:rPr>
              <w:t>;</w:t>
            </w:r>
            <w:r w:rsidR="00FC40CB" w:rsidRPr="00FC40CB">
              <w:rPr>
                <w:rFonts w:asciiTheme="minorHAnsi" w:eastAsia="Times New Roman" w:hAnsiTheme="minorHAnsi" w:cstheme="minorHAnsi"/>
                <w:sz w:val="20"/>
                <w:szCs w:val="20"/>
                <w:lang w:eastAsia="en-GB"/>
              </w:rPr>
              <w:t xml:space="preserve"> and (ii) travel</w:t>
            </w:r>
          </w:p>
        </w:tc>
      </w:tr>
      <w:tr w:rsidR="00FC40CB" w:rsidRPr="00D67522" w14:paraId="506816AE" w14:textId="77777777" w:rsidTr="0068105F">
        <w:trPr>
          <w:trHeight w:val="864"/>
        </w:trPr>
        <w:tc>
          <w:tcPr>
            <w:tcW w:w="1696" w:type="dxa"/>
            <w:tcBorders>
              <w:top w:val="nil"/>
              <w:left w:val="single" w:sz="4" w:space="0" w:color="auto"/>
              <w:bottom w:val="single" w:sz="4" w:space="0" w:color="auto"/>
              <w:right w:val="single" w:sz="4" w:space="0" w:color="auto"/>
            </w:tcBorders>
            <w:shd w:val="clear" w:color="auto" w:fill="auto"/>
            <w:noWrap/>
            <w:hideMark/>
          </w:tcPr>
          <w:p w14:paraId="014A54E3"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Support to Ramsar Regional Initiatives</w:t>
            </w:r>
          </w:p>
        </w:tc>
        <w:tc>
          <w:tcPr>
            <w:tcW w:w="1276" w:type="dxa"/>
            <w:tcBorders>
              <w:top w:val="nil"/>
              <w:left w:val="nil"/>
              <w:bottom w:val="single" w:sz="4" w:space="0" w:color="auto"/>
              <w:right w:val="single" w:sz="4" w:space="0" w:color="auto"/>
            </w:tcBorders>
            <w:shd w:val="clear" w:color="auto" w:fill="auto"/>
            <w:hideMark/>
          </w:tcPr>
          <w:p w14:paraId="1BA726AA"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107</w:t>
            </w:r>
          </w:p>
        </w:tc>
        <w:tc>
          <w:tcPr>
            <w:tcW w:w="1276" w:type="dxa"/>
            <w:tcBorders>
              <w:top w:val="nil"/>
              <w:left w:val="nil"/>
              <w:bottom w:val="single" w:sz="4" w:space="0" w:color="auto"/>
              <w:right w:val="single" w:sz="4" w:space="0" w:color="auto"/>
            </w:tcBorders>
            <w:shd w:val="clear" w:color="auto" w:fill="auto"/>
            <w:hideMark/>
          </w:tcPr>
          <w:p w14:paraId="768302F3"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0</w:t>
            </w:r>
          </w:p>
        </w:tc>
        <w:tc>
          <w:tcPr>
            <w:tcW w:w="1134" w:type="dxa"/>
            <w:tcBorders>
              <w:top w:val="nil"/>
              <w:left w:val="nil"/>
              <w:bottom w:val="single" w:sz="4" w:space="0" w:color="auto"/>
              <w:right w:val="single" w:sz="4" w:space="0" w:color="auto"/>
            </w:tcBorders>
            <w:shd w:val="clear" w:color="auto" w:fill="auto"/>
            <w:noWrap/>
            <w:hideMark/>
          </w:tcPr>
          <w:p w14:paraId="1B151CA7"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107</w:t>
            </w:r>
          </w:p>
        </w:tc>
        <w:tc>
          <w:tcPr>
            <w:tcW w:w="3827" w:type="dxa"/>
            <w:tcBorders>
              <w:top w:val="nil"/>
              <w:left w:val="nil"/>
              <w:bottom w:val="single" w:sz="4" w:space="0" w:color="auto"/>
              <w:right w:val="single" w:sz="4" w:space="0" w:color="auto"/>
            </w:tcBorders>
            <w:shd w:val="clear" w:color="auto" w:fill="auto"/>
            <w:hideMark/>
          </w:tcPr>
          <w:p w14:paraId="13F8F1FC" w14:textId="5776EC0B" w:rsidR="00FC40CB" w:rsidRPr="00FC40CB" w:rsidRDefault="00573F8B" w:rsidP="009401C8">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Pre-committed</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implementation continues in 2020 for (i) </w:t>
            </w:r>
            <w:r w:rsidR="009401C8">
              <w:rPr>
                <w:rFonts w:asciiTheme="minorHAnsi" w:eastAsia="Times New Roman" w:hAnsiTheme="minorHAnsi" w:cstheme="minorHAnsi"/>
                <w:sz w:val="20"/>
                <w:szCs w:val="20"/>
                <w:lang w:eastAsia="en-GB"/>
              </w:rPr>
              <w:t xml:space="preserve">Working Group on </w:t>
            </w:r>
            <w:r w:rsidR="00FC40CB" w:rsidRPr="00FC40CB">
              <w:rPr>
                <w:rFonts w:asciiTheme="minorHAnsi" w:eastAsia="Times New Roman" w:hAnsiTheme="minorHAnsi" w:cstheme="minorHAnsi"/>
                <w:sz w:val="20"/>
                <w:szCs w:val="20"/>
                <w:lang w:eastAsia="en-GB"/>
              </w:rPr>
              <w:t>R</w:t>
            </w:r>
            <w:r w:rsidR="009401C8">
              <w:rPr>
                <w:rFonts w:asciiTheme="minorHAnsi" w:eastAsia="Times New Roman" w:hAnsiTheme="minorHAnsi" w:cstheme="minorHAnsi"/>
                <w:sz w:val="20"/>
                <w:szCs w:val="20"/>
                <w:lang w:eastAsia="en-GB"/>
              </w:rPr>
              <w:t>R</w:t>
            </w:r>
            <w:r w:rsidR="00FC40CB" w:rsidRPr="00FC40CB">
              <w:rPr>
                <w:rFonts w:asciiTheme="minorHAnsi" w:eastAsia="Times New Roman" w:hAnsiTheme="minorHAnsi" w:cstheme="minorHAnsi"/>
                <w:sz w:val="20"/>
                <w:szCs w:val="20"/>
                <w:lang w:eastAsia="en-GB"/>
              </w:rPr>
              <w:t>I</w:t>
            </w:r>
            <w:r w:rsidR="009401C8">
              <w:rPr>
                <w:rFonts w:asciiTheme="minorHAnsi" w:eastAsia="Times New Roman" w:hAnsiTheme="minorHAnsi" w:cstheme="minorHAnsi"/>
                <w:sz w:val="20"/>
                <w:szCs w:val="20"/>
                <w:lang w:eastAsia="en-GB"/>
              </w:rPr>
              <w:t>s</w:t>
            </w:r>
            <w:r w:rsidR="00CB0294">
              <w:rPr>
                <w:rFonts w:asciiTheme="minorHAnsi" w:eastAsia="Times New Roman" w:hAnsiTheme="minorHAnsi" w:cstheme="minorHAnsi"/>
                <w:sz w:val="20"/>
                <w:szCs w:val="20"/>
                <w:lang w:eastAsia="en-GB"/>
              </w:rPr>
              <w:t>,</w:t>
            </w:r>
            <w:r w:rsidR="00FC40CB" w:rsidRPr="00FC40CB">
              <w:rPr>
                <w:rFonts w:asciiTheme="minorHAnsi" w:eastAsia="Times New Roman" w:hAnsiTheme="minorHAnsi" w:cstheme="minorHAnsi"/>
                <w:sz w:val="20"/>
                <w:szCs w:val="20"/>
                <w:lang w:eastAsia="en-GB"/>
              </w:rPr>
              <w:t xml:space="preserve"> Res. XIII.9</w:t>
            </w:r>
            <w:r w:rsidR="009401C8">
              <w:rPr>
                <w:rFonts w:asciiTheme="minorHAnsi" w:eastAsia="Times New Roman" w:hAnsiTheme="minorHAnsi" w:cstheme="minorHAnsi"/>
                <w:sz w:val="20"/>
                <w:szCs w:val="20"/>
                <w:lang w:eastAsia="en-GB"/>
              </w:rPr>
              <w:t xml:space="preserve"> paragraph </w:t>
            </w:r>
            <w:r w:rsidR="00FC40CB" w:rsidRPr="00FC40CB">
              <w:rPr>
                <w:rFonts w:asciiTheme="minorHAnsi" w:eastAsia="Times New Roman" w:hAnsiTheme="minorHAnsi" w:cstheme="minorHAnsi"/>
                <w:sz w:val="20"/>
                <w:szCs w:val="20"/>
                <w:lang w:eastAsia="en-GB"/>
              </w:rPr>
              <w:t xml:space="preserve">9 </w:t>
            </w:r>
            <w:r w:rsidR="009401C8">
              <w:rPr>
                <w:rFonts w:asciiTheme="minorHAnsi" w:eastAsia="Times New Roman" w:hAnsiTheme="minorHAnsi" w:cstheme="minorHAnsi"/>
                <w:sz w:val="20"/>
                <w:szCs w:val="20"/>
                <w:lang w:eastAsia="en-GB"/>
              </w:rPr>
              <w:t>and c</w:t>
            </w:r>
            <w:r w:rsidR="00FC40CB" w:rsidRPr="00FC40CB">
              <w:rPr>
                <w:rFonts w:asciiTheme="minorHAnsi" w:eastAsia="Times New Roman" w:hAnsiTheme="minorHAnsi" w:cstheme="minorHAnsi"/>
                <w:sz w:val="20"/>
                <w:szCs w:val="20"/>
                <w:lang w:eastAsia="en-GB"/>
              </w:rPr>
              <w:t xml:space="preserve">apacity </w:t>
            </w:r>
            <w:r w:rsidR="009401C8">
              <w:rPr>
                <w:rFonts w:asciiTheme="minorHAnsi" w:eastAsia="Times New Roman" w:hAnsiTheme="minorHAnsi" w:cstheme="minorHAnsi"/>
                <w:sz w:val="20"/>
                <w:szCs w:val="20"/>
                <w:lang w:eastAsia="en-GB"/>
              </w:rPr>
              <w:t>b</w:t>
            </w:r>
            <w:r w:rsidR="00FC40CB" w:rsidRPr="00FC40CB">
              <w:rPr>
                <w:rFonts w:asciiTheme="minorHAnsi" w:eastAsia="Times New Roman" w:hAnsiTheme="minorHAnsi" w:cstheme="minorHAnsi"/>
                <w:sz w:val="20"/>
                <w:szCs w:val="20"/>
                <w:lang w:eastAsia="en-GB"/>
              </w:rPr>
              <w:t>uilding</w:t>
            </w:r>
            <w:r w:rsidR="009401C8">
              <w:rPr>
                <w:rFonts w:asciiTheme="minorHAnsi" w:eastAsia="Times New Roman" w:hAnsiTheme="minorHAnsi" w:cstheme="minorHAnsi"/>
                <w:sz w:val="20"/>
                <w:szCs w:val="20"/>
                <w:lang w:eastAsia="en-GB"/>
              </w:rPr>
              <w:t>;</w:t>
            </w:r>
            <w:r w:rsidR="00FC40CB" w:rsidRPr="00FC40CB">
              <w:rPr>
                <w:rFonts w:asciiTheme="minorHAnsi" w:eastAsia="Times New Roman" w:hAnsiTheme="minorHAnsi" w:cstheme="minorHAnsi"/>
                <w:sz w:val="20"/>
                <w:szCs w:val="20"/>
                <w:lang w:eastAsia="en-GB"/>
              </w:rPr>
              <w:t xml:space="preserve"> and (ii) Amazon</w:t>
            </w:r>
            <w:r w:rsidR="009401C8">
              <w:rPr>
                <w:rFonts w:asciiTheme="minorHAnsi" w:eastAsia="Times New Roman" w:hAnsiTheme="minorHAnsi" w:cstheme="minorHAnsi"/>
                <w:sz w:val="20"/>
                <w:szCs w:val="20"/>
                <w:lang w:eastAsia="en-GB"/>
              </w:rPr>
              <w:t xml:space="preserve"> </w:t>
            </w:r>
            <w:r w:rsidR="00FC40CB" w:rsidRPr="00FC40CB">
              <w:rPr>
                <w:rFonts w:asciiTheme="minorHAnsi" w:eastAsia="Times New Roman" w:hAnsiTheme="minorHAnsi" w:cstheme="minorHAnsi"/>
                <w:sz w:val="20"/>
                <w:szCs w:val="20"/>
                <w:lang w:eastAsia="en-GB"/>
              </w:rPr>
              <w:t>Basin RRI</w:t>
            </w:r>
          </w:p>
        </w:tc>
      </w:tr>
      <w:tr w:rsidR="00FC40CB" w:rsidRPr="00D67522" w14:paraId="1F8D334B" w14:textId="77777777" w:rsidTr="0068105F">
        <w:trPr>
          <w:trHeight w:val="864"/>
        </w:trPr>
        <w:tc>
          <w:tcPr>
            <w:tcW w:w="1696" w:type="dxa"/>
            <w:tcBorders>
              <w:top w:val="nil"/>
              <w:left w:val="single" w:sz="4" w:space="0" w:color="auto"/>
              <w:bottom w:val="single" w:sz="4" w:space="0" w:color="auto"/>
              <w:right w:val="single" w:sz="4" w:space="0" w:color="auto"/>
            </w:tcBorders>
            <w:shd w:val="clear" w:color="auto" w:fill="auto"/>
            <w:noWrap/>
            <w:hideMark/>
          </w:tcPr>
          <w:p w14:paraId="443AEBA6"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Scientific and Technical Services</w:t>
            </w:r>
          </w:p>
        </w:tc>
        <w:tc>
          <w:tcPr>
            <w:tcW w:w="1276" w:type="dxa"/>
            <w:tcBorders>
              <w:top w:val="nil"/>
              <w:left w:val="nil"/>
              <w:bottom w:val="single" w:sz="4" w:space="0" w:color="auto"/>
              <w:right w:val="single" w:sz="4" w:space="0" w:color="auto"/>
            </w:tcBorders>
            <w:shd w:val="clear" w:color="auto" w:fill="auto"/>
            <w:hideMark/>
          </w:tcPr>
          <w:p w14:paraId="236F225D"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121</w:t>
            </w:r>
          </w:p>
        </w:tc>
        <w:tc>
          <w:tcPr>
            <w:tcW w:w="1276" w:type="dxa"/>
            <w:tcBorders>
              <w:top w:val="nil"/>
              <w:left w:val="nil"/>
              <w:bottom w:val="single" w:sz="4" w:space="0" w:color="auto"/>
              <w:right w:val="single" w:sz="4" w:space="0" w:color="auto"/>
            </w:tcBorders>
            <w:shd w:val="clear" w:color="auto" w:fill="auto"/>
            <w:hideMark/>
          </w:tcPr>
          <w:p w14:paraId="79860234"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145</w:t>
            </w:r>
          </w:p>
        </w:tc>
        <w:tc>
          <w:tcPr>
            <w:tcW w:w="1134" w:type="dxa"/>
            <w:tcBorders>
              <w:top w:val="nil"/>
              <w:left w:val="nil"/>
              <w:bottom w:val="single" w:sz="4" w:space="0" w:color="auto"/>
              <w:right w:val="single" w:sz="4" w:space="0" w:color="auto"/>
            </w:tcBorders>
            <w:shd w:val="clear" w:color="auto" w:fill="auto"/>
            <w:noWrap/>
            <w:hideMark/>
          </w:tcPr>
          <w:p w14:paraId="250F7C7A"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266</w:t>
            </w:r>
          </w:p>
        </w:tc>
        <w:tc>
          <w:tcPr>
            <w:tcW w:w="3827" w:type="dxa"/>
            <w:tcBorders>
              <w:top w:val="nil"/>
              <w:left w:val="nil"/>
              <w:bottom w:val="single" w:sz="4" w:space="0" w:color="auto"/>
              <w:right w:val="single" w:sz="4" w:space="0" w:color="auto"/>
            </w:tcBorders>
            <w:shd w:val="clear" w:color="auto" w:fill="auto"/>
            <w:hideMark/>
          </w:tcPr>
          <w:p w14:paraId="5E272A43" w14:textId="2AA388F6" w:rsidR="00FC40CB" w:rsidRPr="00FC40CB" w:rsidRDefault="00573F8B" w:rsidP="00D67522">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Pre-committed</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implementation continues in 2020 for (i) 29K Strategic Plan (2019 - 2021) and (ii) 91K inventories, </w:t>
            </w:r>
            <w:r w:rsidR="00FC40CB" w:rsidRPr="00FC40CB">
              <w:rPr>
                <w:rFonts w:asciiTheme="minorHAnsi" w:eastAsia="Times New Roman" w:hAnsiTheme="minorHAnsi" w:cstheme="minorHAnsi"/>
                <w:sz w:val="20"/>
                <w:szCs w:val="20"/>
                <w:lang w:eastAsia="en-GB"/>
              </w:rPr>
              <w:br/>
            </w:r>
            <w:r>
              <w:rPr>
                <w:rFonts w:asciiTheme="minorHAnsi" w:eastAsia="Times New Roman" w:hAnsiTheme="minorHAnsi" w:cstheme="minorHAnsi"/>
                <w:b/>
                <w:bCs/>
                <w:sz w:val="20"/>
                <w:szCs w:val="20"/>
                <w:lang w:eastAsia="en-GB"/>
              </w:rPr>
              <w:t>Savings</w:t>
            </w:r>
            <w:r w:rsidR="00FC40CB" w:rsidRPr="00FC40CB">
              <w:rPr>
                <w:rFonts w:asciiTheme="minorHAnsi" w:eastAsia="Times New Roman" w:hAnsiTheme="minorHAnsi" w:cstheme="minorHAnsi"/>
                <w:sz w:val="20"/>
                <w:szCs w:val="20"/>
                <w:lang w:eastAsia="en-GB"/>
              </w:rPr>
              <w:t>: (i) STRP implementation and meetings and (ii) RSIS</w:t>
            </w:r>
          </w:p>
        </w:tc>
      </w:tr>
      <w:tr w:rsidR="00FC40CB" w:rsidRPr="00D67522" w14:paraId="10B67DC5" w14:textId="77777777" w:rsidTr="0068105F">
        <w:trPr>
          <w:trHeight w:val="1125"/>
        </w:trPr>
        <w:tc>
          <w:tcPr>
            <w:tcW w:w="1696" w:type="dxa"/>
            <w:tcBorders>
              <w:top w:val="nil"/>
              <w:left w:val="single" w:sz="4" w:space="0" w:color="auto"/>
              <w:bottom w:val="single" w:sz="4" w:space="0" w:color="auto"/>
              <w:right w:val="single" w:sz="4" w:space="0" w:color="auto"/>
            </w:tcBorders>
            <w:shd w:val="clear" w:color="auto" w:fill="auto"/>
            <w:noWrap/>
            <w:hideMark/>
          </w:tcPr>
          <w:p w14:paraId="06F58DC1" w14:textId="3E801711"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Administration</w:t>
            </w:r>
            <w:r w:rsidR="00396ABD">
              <w:rPr>
                <w:rFonts w:asciiTheme="minorHAnsi" w:eastAsia="Times New Roman" w:hAnsiTheme="minorHAnsi" w:cstheme="minorHAnsi"/>
                <w:color w:val="000000"/>
                <w:sz w:val="20"/>
                <w:szCs w:val="20"/>
                <w:lang w:eastAsia="en-GB"/>
              </w:rPr>
              <w:t xml:space="preserve"> </w:t>
            </w:r>
            <w:r w:rsidRPr="00FC40CB">
              <w:rPr>
                <w:rFonts w:asciiTheme="minorHAnsi" w:eastAsia="Times New Roman" w:hAnsiTheme="minorHAnsi" w:cstheme="minorHAnsi"/>
                <w:color w:val="000000"/>
                <w:sz w:val="20"/>
                <w:szCs w:val="20"/>
                <w:lang w:eastAsia="en-GB"/>
              </w:rPr>
              <w:t>/</w:t>
            </w:r>
            <w:r w:rsidR="00396ABD">
              <w:rPr>
                <w:rFonts w:asciiTheme="minorHAnsi" w:eastAsia="Times New Roman" w:hAnsiTheme="minorHAnsi" w:cstheme="minorHAnsi"/>
                <w:color w:val="000000"/>
                <w:sz w:val="20"/>
                <w:szCs w:val="20"/>
                <w:lang w:eastAsia="en-GB"/>
              </w:rPr>
              <w:t xml:space="preserve"> </w:t>
            </w:r>
            <w:r w:rsidRPr="00FC40CB">
              <w:rPr>
                <w:rFonts w:asciiTheme="minorHAnsi" w:eastAsia="Times New Roman" w:hAnsiTheme="minorHAnsi" w:cstheme="minorHAnsi"/>
                <w:color w:val="000000"/>
                <w:sz w:val="20"/>
                <w:szCs w:val="20"/>
                <w:lang w:eastAsia="en-GB"/>
              </w:rPr>
              <w:t>RSIS</w:t>
            </w:r>
            <w:r w:rsidR="00396ABD">
              <w:rPr>
                <w:rFonts w:asciiTheme="minorHAnsi" w:eastAsia="Times New Roman" w:hAnsiTheme="minorHAnsi" w:cstheme="minorHAnsi"/>
                <w:color w:val="000000"/>
                <w:sz w:val="20"/>
                <w:szCs w:val="20"/>
                <w:lang w:eastAsia="en-GB"/>
              </w:rPr>
              <w:t xml:space="preserve"> </w:t>
            </w:r>
            <w:r w:rsidRPr="00FC40CB">
              <w:rPr>
                <w:rFonts w:asciiTheme="minorHAnsi" w:eastAsia="Times New Roman" w:hAnsiTheme="minorHAnsi" w:cstheme="minorHAnsi"/>
                <w:color w:val="000000"/>
                <w:sz w:val="20"/>
                <w:szCs w:val="20"/>
                <w:lang w:eastAsia="en-GB"/>
              </w:rPr>
              <w:t>/</w:t>
            </w:r>
            <w:r w:rsidR="00396ABD">
              <w:rPr>
                <w:rFonts w:asciiTheme="minorHAnsi" w:eastAsia="Times New Roman" w:hAnsiTheme="minorHAnsi" w:cstheme="minorHAnsi"/>
                <w:color w:val="000000"/>
                <w:sz w:val="20"/>
                <w:szCs w:val="20"/>
                <w:lang w:eastAsia="en-GB"/>
              </w:rPr>
              <w:t xml:space="preserve"> </w:t>
            </w:r>
            <w:r w:rsidRPr="00FC40CB">
              <w:rPr>
                <w:rFonts w:asciiTheme="minorHAnsi" w:eastAsia="Times New Roman" w:hAnsiTheme="minorHAnsi" w:cstheme="minorHAnsi"/>
                <w:color w:val="000000"/>
                <w:sz w:val="20"/>
                <w:szCs w:val="20"/>
                <w:lang w:eastAsia="en-GB"/>
              </w:rPr>
              <w:t>Web</w:t>
            </w:r>
          </w:p>
        </w:tc>
        <w:tc>
          <w:tcPr>
            <w:tcW w:w="1276" w:type="dxa"/>
            <w:tcBorders>
              <w:top w:val="nil"/>
              <w:left w:val="nil"/>
              <w:bottom w:val="single" w:sz="4" w:space="0" w:color="auto"/>
              <w:right w:val="single" w:sz="4" w:space="0" w:color="auto"/>
            </w:tcBorders>
            <w:shd w:val="clear" w:color="auto" w:fill="auto"/>
            <w:noWrap/>
            <w:hideMark/>
          </w:tcPr>
          <w:p w14:paraId="154BDFDC"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83</w:t>
            </w:r>
          </w:p>
        </w:tc>
        <w:tc>
          <w:tcPr>
            <w:tcW w:w="1276" w:type="dxa"/>
            <w:tcBorders>
              <w:top w:val="nil"/>
              <w:left w:val="nil"/>
              <w:bottom w:val="single" w:sz="4" w:space="0" w:color="auto"/>
              <w:right w:val="single" w:sz="4" w:space="0" w:color="auto"/>
            </w:tcBorders>
            <w:shd w:val="clear" w:color="auto" w:fill="auto"/>
            <w:hideMark/>
          </w:tcPr>
          <w:p w14:paraId="1AD7BDFC"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152</w:t>
            </w:r>
          </w:p>
        </w:tc>
        <w:tc>
          <w:tcPr>
            <w:tcW w:w="1134" w:type="dxa"/>
            <w:tcBorders>
              <w:top w:val="nil"/>
              <w:left w:val="nil"/>
              <w:bottom w:val="single" w:sz="4" w:space="0" w:color="auto"/>
              <w:right w:val="single" w:sz="4" w:space="0" w:color="auto"/>
            </w:tcBorders>
            <w:shd w:val="clear" w:color="auto" w:fill="auto"/>
            <w:noWrap/>
            <w:hideMark/>
          </w:tcPr>
          <w:p w14:paraId="61A035D3"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235</w:t>
            </w:r>
          </w:p>
        </w:tc>
        <w:tc>
          <w:tcPr>
            <w:tcW w:w="3827" w:type="dxa"/>
            <w:tcBorders>
              <w:top w:val="nil"/>
              <w:left w:val="nil"/>
              <w:bottom w:val="single" w:sz="4" w:space="0" w:color="auto"/>
              <w:right w:val="single" w:sz="4" w:space="0" w:color="auto"/>
            </w:tcBorders>
            <w:shd w:val="clear" w:color="auto" w:fill="auto"/>
            <w:hideMark/>
          </w:tcPr>
          <w:p w14:paraId="5A3DD237" w14:textId="5DA33ADC" w:rsidR="00FC40CB" w:rsidRPr="00FC40CB" w:rsidRDefault="00573F8B" w:rsidP="00CB0294">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Pre-committed</w:t>
            </w:r>
            <w:r w:rsidR="00FC40CB" w:rsidRPr="00FC40CB">
              <w:rPr>
                <w:rFonts w:asciiTheme="minorHAnsi" w:eastAsia="Times New Roman" w:hAnsiTheme="minorHAnsi" w:cstheme="minorHAnsi"/>
                <w:b/>
                <w:bCs/>
                <w:sz w:val="20"/>
                <w:szCs w:val="20"/>
                <w:lang w:eastAsia="en-GB"/>
              </w:rPr>
              <w:t xml:space="preserve">: </w:t>
            </w:r>
            <w:r w:rsidR="00FC40CB" w:rsidRPr="00FC40CB">
              <w:rPr>
                <w:rFonts w:asciiTheme="minorHAnsi" w:eastAsia="Times New Roman" w:hAnsiTheme="minorHAnsi" w:cstheme="minorHAnsi"/>
                <w:sz w:val="20"/>
                <w:szCs w:val="20"/>
                <w:lang w:eastAsia="en-GB"/>
              </w:rPr>
              <w:t xml:space="preserve">capacity building plan to be implemented in </w:t>
            </w:r>
            <w:r w:rsidR="00CB0294">
              <w:rPr>
                <w:rFonts w:asciiTheme="minorHAnsi" w:eastAsia="Times New Roman" w:hAnsiTheme="minorHAnsi" w:cstheme="minorHAnsi"/>
                <w:sz w:val="20"/>
                <w:szCs w:val="20"/>
                <w:lang w:eastAsia="en-GB"/>
              </w:rPr>
              <w:t>three</w:t>
            </w:r>
            <w:r w:rsidR="00CB0294" w:rsidRPr="00FC40CB">
              <w:rPr>
                <w:rFonts w:asciiTheme="minorHAnsi" w:eastAsia="Times New Roman" w:hAnsiTheme="minorHAnsi" w:cstheme="minorHAnsi"/>
                <w:sz w:val="20"/>
                <w:szCs w:val="20"/>
                <w:lang w:eastAsia="en-GB"/>
              </w:rPr>
              <w:t xml:space="preserve"> </w:t>
            </w:r>
            <w:r w:rsidR="00FC40CB" w:rsidRPr="00FC40CB">
              <w:rPr>
                <w:rFonts w:asciiTheme="minorHAnsi" w:eastAsia="Times New Roman" w:hAnsiTheme="minorHAnsi" w:cstheme="minorHAnsi"/>
                <w:sz w:val="20"/>
                <w:szCs w:val="20"/>
                <w:lang w:eastAsia="en-GB"/>
              </w:rPr>
              <w:t>years of the triennium,</w:t>
            </w:r>
            <w:r w:rsidR="00FC40CB" w:rsidRPr="00FC40CB">
              <w:rPr>
                <w:rFonts w:asciiTheme="minorHAnsi" w:eastAsia="Times New Roman" w:hAnsiTheme="minorHAnsi" w:cstheme="minorHAnsi"/>
                <w:sz w:val="20"/>
                <w:szCs w:val="20"/>
                <w:lang w:eastAsia="en-GB"/>
              </w:rPr>
              <w:br/>
            </w:r>
            <w:r>
              <w:rPr>
                <w:rFonts w:asciiTheme="minorHAnsi" w:eastAsia="Times New Roman" w:hAnsiTheme="minorHAnsi" w:cstheme="minorHAnsi"/>
                <w:b/>
                <w:bCs/>
                <w:sz w:val="20"/>
                <w:szCs w:val="20"/>
                <w:lang w:eastAsia="en-GB"/>
              </w:rPr>
              <w:t>Savings</w:t>
            </w:r>
            <w:r w:rsidR="00FC40CB" w:rsidRPr="00FC40CB">
              <w:rPr>
                <w:rFonts w:asciiTheme="minorHAnsi" w:eastAsia="Times New Roman" w:hAnsiTheme="minorHAnsi" w:cstheme="minorHAnsi"/>
                <w:sz w:val="20"/>
                <w:szCs w:val="20"/>
                <w:lang w:eastAsia="en-GB"/>
              </w:rPr>
              <w:t xml:space="preserve">: (i) finance vacancies, (ii) staff recruitment and (iii) office supplies </w:t>
            </w:r>
            <w:r w:rsidR="00CB0294">
              <w:rPr>
                <w:rFonts w:asciiTheme="minorHAnsi" w:eastAsia="Times New Roman" w:hAnsiTheme="minorHAnsi" w:cstheme="minorHAnsi"/>
                <w:sz w:val="20"/>
                <w:szCs w:val="20"/>
                <w:lang w:eastAsia="en-GB"/>
              </w:rPr>
              <w:t>and</w:t>
            </w:r>
            <w:r w:rsidR="00FC40CB" w:rsidRPr="00FC40CB">
              <w:rPr>
                <w:rFonts w:asciiTheme="minorHAnsi" w:eastAsia="Times New Roman" w:hAnsiTheme="minorHAnsi" w:cstheme="minorHAnsi"/>
                <w:sz w:val="20"/>
                <w:szCs w:val="20"/>
                <w:lang w:eastAsia="en-GB"/>
              </w:rPr>
              <w:t xml:space="preserve"> equipment </w:t>
            </w:r>
          </w:p>
        </w:tc>
      </w:tr>
      <w:tr w:rsidR="00FC40CB" w:rsidRPr="00D67522" w14:paraId="7C732F5D" w14:textId="77777777" w:rsidTr="0068105F">
        <w:trPr>
          <w:trHeight w:val="864"/>
        </w:trPr>
        <w:tc>
          <w:tcPr>
            <w:tcW w:w="1696" w:type="dxa"/>
            <w:tcBorders>
              <w:top w:val="nil"/>
              <w:left w:val="single" w:sz="4" w:space="0" w:color="auto"/>
              <w:bottom w:val="single" w:sz="4" w:space="0" w:color="auto"/>
              <w:right w:val="single" w:sz="4" w:space="0" w:color="auto"/>
            </w:tcBorders>
            <w:shd w:val="clear" w:color="auto" w:fill="auto"/>
            <w:noWrap/>
            <w:hideMark/>
          </w:tcPr>
          <w:p w14:paraId="4403B6B9"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Standing Committee Services</w:t>
            </w:r>
          </w:p>
        </w:tc>
        <w:tc>
          <w:tcPr>
            <w:tcW w:w="1276" w:type="dxa"/>
            <w:tcBorders>
              <w:top w:val="nil"/>
              <w:left w:val="nil"/>
              <w:bottom w:val="single" w:sz="4" w:space="0" w:color="auto"/>
              <w:right w:val="single" w:sz="4" w:space="0" w:color="auto"/>
            </w:tcBorders>
            <w:shd w:val="clear" w:color="auto" w:fill="auto"/>
            <w:hideMark/>
          </w:tcPr>
          <w:p w14:paraId="5D85ADF9"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75</w:t>
            </w:r>
          </w:p>
        </w:tc>
        <w:tc>
          <w:tcPr>
            <w:tcW w:w="1276" w:type="dxa"/>
            <w:tcBorders>
              <w:top w:val="nil"/>
              <w:left w:val="nil"/>
              <w:bottom w:val="single" w:sz="4" w:space="0" w:color="auto"/>
              <w:right w:val="single" w:sz="4" w:space="0" w:color="auto"/>
            </w:tcBorders>
            <w:shd w:val="clear" w:color="auto" w:fill="auto"/>
            <w:hideMark/>
          </w:tcPr>
          <w:p w14:paraId="6C701055"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15</w:t>
            </w:r>
          </w:p>
        </w:tc>
        <w:tc>
          <w:tcPr>
            <w:tcW w:w="1134" w:type="dxa"/>
            <w:tcBorders>
              <w:top w:val="nil"/>
              <w:left w:val="nil"/>
              <w:bottom w:val="single" w:sz="4" w:space="0" w:color="auto"/>
              <w:right w:val="single" w:sz="4" w:space="0" w:color="auto"/>
            </w:tcBorders>
            <w:shd w:val="clear" w:color="auto" w:fill="auto"/>
            <w:noWrap/>
            <w:hideMark/>
          </w:tcPr>
          <w:p w14:paraId="222F75C8"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90</w:t>
            </w:r>
          </w:p>
        </w:tc>
        <w:tc>
          <w:tcPr>
            <w:tcW w:w="3827" w:type="dxa"/>
            <w:tcBorders>
              <w:top w:val="nil"/>
              <w:left w:val="nil"/>
              <w:bottom w:val="single" w:sz="4" w:space="0" w:color="auto"/>
              <w:right w:val="single" w:sz="4" w:space="0" w:color="auto"/>
            </w:tcBorders>
            <w:shd w:val="clear" w:color="auto" w:fill="auto"/>
            <w:hideMark/>
          </w:tcPr>
          <w:p w14:paraId="11C63886" w14:textId="4E01A386" w:rsidR="00FC40CB" w:rsidRPr="00FC40CB" w:rsidRDefault="00573F8B" w:rsidP="00CB0294">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Pre-committed</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 55K Effectiveness </w:t>
            </w:r>
            <w:r w:rsidR="00CB0294">
              <w:rPr>
                <w:rFonts w:asciiTheme="minorHAnsi" w:eastAsia="Times New Roman" w:hAnsiTheme="minorHAnsi" w:cstheme="minorHAnsi"/>
                <w:sz w:val="20"/>
                <w:szCs w:val="20"/>
                <w:lang w:eastAsia="en-GB"/>
              </w:rPr>
              <w:t>W</w:t>
            </w:r>
            <w:r w:rsidR="00CB0294" w:rsidRPr="00FC40CB">
              <w:rPr>
                <w:rFonts w:asciiTheme="minorHAnsi" w:eastAsia="Times New Roman" w:hAnsiTheme="minorHAnsi" w:cstheme="minorHAnsi"/>
                <w:sz w:val="20"/>
                <w:szCs w:val="20"/>
                <w:lang w:eastAsia="en-GB"/>
              </w:rPr>
              <w:t xml:space="preserve">orking </w:t>
            </w:r>
            <w:r w:rsidR="00CB0294">
              <w:rPr>
                <w:rFonts w:asciiTheme="minorHAnsi" w:eastAsia="Times New Roman" w:hAnsiTheme="minorHAnsi" w:cstheme="minorHAnsi"/>
                <w:sz w:val="20"/>
                <w:szCs w:val="20"/>
                <w:lang w:eastAsia="en-GB"/>
              </w:rPr>
              <w:t>G</w:t>
            </w:r>
            <w:r w:rsidR="00CB0294" w:rsidRPr="00FC40CB">
              <w:rPr>
                <w:rFonts w:asciiTheme="minorHAnsi" w:eastAsia="Times New Roman" w:hAnsiTheme="minorHAnsi" w:cstheme="minorHAnsi"/>
                <w:sz w:val="20"/>
                <w:szCs w:val="20"/>
                <w:lang w:eastAsia="en-GB"/>
              </w:rPr>
              <w:t xml:space="preserve">roup </w:t>
            </w:r>
            <w:r w:rsidR="00FC40CB" w:rsidRPr="00FC40CB">
              <w:rPr>
                <w:rFonts w:asciiTheme="minorHAnsi" w:eastAsia="Times New Roman" w:hAnsiTheme="minorHAnsi" w:cstheme="minorHAnsi"/>
                <w:sz w:val="20"/>
                <w:szCs w:val="20"/>
                <w:lang w:eastAsia="en-GB"/>
              </w:rPr>
              <w:t xml:space="preserve">and (ii) 20K Resolutions review (Res. XIII.4) </w:t>
            </w:r>
            <w:r w:rsidR="00FC40CB" w:rsidRPr="00FC40CB">
              <w:rPr>
                <w:rFonts w:asciiTheme="minorHAnsi" w:eastAsia="Times New Roman" w:hAnsiTheme="minorHAnsi" w:cstheme="minorHAnsi"/>
                <w:sz w:val="20"/>
                <w:szCs w:val="20"/>
                <w:lang w:eastAsia="en-GB"/>
              </w:rPr>
              <w:br/>
            </w:r>
            <w:r>
              <w:rPr>
                <w:rFonts w:asciiTheme="minorHAnsi" w:eastAsia="Times New Roman" w:hAnsiTheme="minorHAnsi" w:cstheme="minorHAnsi"/>
                <w:b/>
                <w:bCs/>
                <w:sz w:val="20"/>
                <w:szCs w:val="20"/>
                <w:lang w:eastAsia="en-GB"/>
              </w:rPr>
              <w:t>Savings</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Standing Committee services</w:t>
            </w:r>
          </w:p>
        </w:tc>
      </w:tr>
      <w:tr w:rsidR="00FC40CB" w:rsidRPr="00D67522" w14:paraId="120EE2E1" w14:textId="77777777" w:rsidTr="0068105F">
        <w:trPr>
          <w:trHeight w:val="570"/>
        </w:trPr>
        <w:tc>
          <w:tcPr>
            <w:tcW w:w="1696" w:type="dxa"/>
            <w:tcBorders>
              <w:top w:val="nil"/>
              <w:left w:val="single" w:sz="4" w:space="0" w:color="auto"/>
              <w:bottom w:val="single" w:sz="4" w:space="0" w:color="auto"/>
              <w:right w:val="single" w:sz="4" w:space="0" w:color="auto"/>
            </w:tcBorders>
            <w:shd w:val="clear" w:color="auto" w:fill="auto"/>
            <w:noWrap/>
            <w:hideMark/>
          </w:tcPr>
          <w:p w14:paraId="69ECF5F3"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IUCN Administrative Service Charges</w:t>
            </w:r>
          </w:p>
        </w:tc>
        <w:tc>
          <w:tcPr>
            <w:tcW w:w="1276" w:type="dxa"/>
            <w:tcBorders>
              <w:top w:val="nil"/>
              <w:left w:val="nil"/>
              <w:bottom w:val="single" w:sz="4" w:space="0" w:color="auto"/>
              <w:right w:val="single" w:sz="4" w:space="0" w:color="auto"/>
            </w:tcBorders>
            <w:shd w:val="clear" w:color="auto" w:fill="auto"/>
            <w:hideMark/>
          </w:tcPr>
          <w:p w14:paraId="42A44C29"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0</w:t>
            </w:r>
          </w:p>
        </w:tc>
        <w:tc>
          <w:tcPr>
            <w:tcW w:w="1276" w:type="dxa"/>
            <w:tcBorders>
              <w:top w:val="nil"/>
              <w:left w:val="nil"/>
              <w:bottom w:val="single" w:sz="4" w:space="0" w:color="auto"/>
              <w:right w:val="single" w:sz="4" w:space="0" w:color="auto"/>
            </w:tcBorders>
            <w:shd w:val="clear" w:color="auto" w:fill="auto"/>
            <w:hideMark/>
          </w:tcPr>
          <w:p w14:paraId="340A956A"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36</w:t>
            </w:r>
          </w:p>
        </w:tc>
        <w:tc>
          <w:tcPr>
            <w:tcW w:w="1134" w:type="dxa"/>
            <w:tcBorders>
              <w:top w:val="nil"/>
              <w:left w:val="nil"/>
              <w:bottom w:val="single" w:sz="4" w:space="0" w:color="auto"/>
              <w:right w:val="single" w:sz="4" w:space="0" w:color="auto"/>
            </w:tcBorders>
            <w:shd w:val="clear" w:color="auto" w:fill="auto"/>
            <w:noWrap/>
            <w:hideMark/>
          </w:tcPr>
          <w:p w14:paraId="1512D927"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36</w:t>
            </w:r>
          </w:p>
        </w:tc>
        <w:tc>
          <w:tcPr>
            <w:tcW w:w="3827" w:type="dxa"/>
            <w:tcBorders>
              <w:top w:val="nil"/>
              <w:left w:val="nil"/>
              <w:bottom w:val="single" w:sz="4" w:space="0" w:color="auto"/>
              <w:right w:val="single" w:sz="4" w:space="0" w:color="auto"/>
            </w:tcBorders>
            <w:shd w:val="clear" w:color="auto" w:fill="auto"/>
            <w:hideMark/>
          </w:tcPr>
          <w:p w14:paraId="0F217840" w14:textId="10F1D7DB" w:rsidR="00FC40CB" w:rsidRPr="00FC40CB" w:rsidRDefault="00573F8B" w:rsidP="00CB0294">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Savings</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IUCN </w:t>
            </w:r>
            <w:r w:rsidR="00CB0294">
              <w:rPr>
                <w:rFonts w:asciiTheme="minorHAnsi" w:eastAsia="Times New Roman" w:hAnsiTheme="minorHAnsi" w:cstheme="minorHAnsi"/>
                <w:sz w:val="20"/>
                <w:szCs w:val="20"/>
                <w:lang w:eastAsia="en-GB"/>
              </w:rPr>
              <w:t>a</w:t>
            </w:r>
            <w:r w:rsidR="00CB0294" w:rsidRPr="00FC40CB">
              <w:rPr>
                <w:rFonts w:asciiTheme="minorHAnsi" w:eastAsia="Times New Roman" w:hAnsiTheme="minorHAnsi" w:cstheme="minorHAnsi"/>
                <w:sz w:val="20"/>
                <w:szCs w:val="20"/>
                <w:lang w:eastAsia="en-GB"/>
              </w:rPr>
              <w:t xml:space="preserve">dministrative </w:t>
            </w:r>
            <w:r w:rsidR="00FC40CB" w:rsidRPr="00FC40CB">
              <w:rPr>
                <w:rFonts w:asciiTheme="minorHAnsi" w:eastAsia="Times New Roman" w:hAnsiTheme="minorHAnsi" w:cstheme="minorHAnsi"/>
                <w:sz w:val="20"/>
                <w:szCs w:val="20"/>
                <w:lang w:eastAsia="en-GB"/>
              </w:rPr>
              <w:t>charge</w:t>
            </w:r>
          </w:p>
        </w:tc>
      </w:tr>
      <w:tr w:rsidR="00FC40CB" w:rsidRPr="00D67522" w14:paraId="004CAC98" w14:textId="77777777" w:rsidTr="0068105F">
        <w:trPr>
          <w:trHeight w:val="1455"/>
        </w:trPr>
        <w:tc>
          <w:tcPr>
            <w:tcW w:w="1696" w:type="dxa"/>
            <w:tcBorders>
              <w:top w:val="nil"/>
              <w:left w:val="single" w:sz="4" w:space="0" w:color="auto"/>
              <w:bottom w:val="single" w:sz="4" w:space="0" w:color="auto"/>
              <w:right w:val="single" w:sz="4" w:space="0" w:color="auto"/>
            </w:tcBorders>
            <w:shd w:val="clear" w:color="auto" w:fill="auto"/>
            <w:hideMark/>
          </w:tcPr>
          <w:p w14:paraId="60228AFB" w14:textId="6E405B03"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 xml:space="preserve">Provisions, exchange </w:t>
            </w:r>
            <w:r w:rsidR="00396ABD">
              <w:rPr>
                <w:rFonts w:asciiTheme="minorHAnsi" w:eastAsia="Times New Roman" w:hAnsiTheme="minorHAnsi" w:cstheme="minorHAnsi"/>
                <w:color w:val="000000"/>
                <w:sz w:val="20"/>
                <w:szCs w:val="20"/>
                <w:lang w:eastAsia="en-GB"/>
              </w:rPr>
              <w:t xml:space="preserve">rate </w:t>
            </w:r>
            <w:r w:rsidRPr="00FC40CB">
              <w:rPr>
                <w:rFonts w:asciiTheme="minorHAnsi" w:eastAsia="Times New Roman" w:hAnsiTheme="minorHAnsi" w:cstheme="minorHAnsi"/>
                <w:color w:val="000000"/>
                <w:sz w:val="20"/>
                <w:szCs w:val="20"/>
                <w:lang w:eastAsia="en-GB"/>
              </w:rPr>
              <w:t>difference</w:t>
            </w:r>
            <w:r w:rsidR="00396ABD">
              <w:rPr>
                <w:rFonts w:asciiTheme="minorHAnsi" w:eastAsia="Times New Roman" w:hAnsiTheme="minorHAnsi" w:cstheme="minorHAnsi"/>
                <w:color w:val="000000"/>
                <w:sz w:val="20"/>
                <w:szCs w:val="20"/>
                <w:lang w:eastAsia="en-GB"/>
              </w:rPr>
              <w:t>s</w:t>
            </w:r>
            <w:r w:rsidRPr="00FC40CB">
              <w:rPr>
                <w:rFonts w:asciiTheme="minorHAnsi" w:eastAsia="Times New Roman" w:hAnsiTheme="minorHAnsi" w:cstheme="minorHAnsi"/>
                <w:color w:val="000000"/>
                <w:sz w:val="20"/>
                <w:szCs w:val="20"/>
                <w:lang w:eastAsia="en-GB"/>
              </w:rPr>
              <w:t xml:space="preserve"> and legal services</w:t>
            </w:r>
          </w:p>
        </w:tc>
        <w:tc>
          <w:tcPr>
            <w:tcW w:w="1276" w:type="dxa"/>
            <w:tcBorders>
              <w:top w:val="nil"/>
              <w:left w:val="nil"/>
              <w:bottom w:val="single" w:sz="4" w:space="0" w:color="auto"/>
              <w:right w:val="single" w:sz="4" w:space="0" w:color="auto"/>
            </w:tcBorders>
            <w:shd w:val="clear" w:color="auto" w:fill="auto"/>
            <w:hideMark/>
          </w:tcPr>
          <w:p w14:paraId="283AB6B2"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25</w:t>
            </w:r>
          </w:p>
        </w:tc>
        <w:tc>
          <w:tcPr>
            <w:tcW w:w="1276" w:type="dxa"/>
            <w:tcBorders>
              <w:top w:val="nil"/>
              <w:left w:val="nil"/>
              <w:bottom w:val="single" w:sz="4" w:space="0" w:color="auto"/>
              <w:right w:val="single" w:sz="4" w:space="0" w:color="auto"/>
            </w:tcBorders>
            <w:shd w:val="clear" w:color="auto" w:fill="auto"/>
            <w:hideMark/>
          </w:tcPr>
          <w:p w14:paraId="6F7F99A3"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26</w:t>
            </w:r>
          </w:p>
        </w:tc>
        <w:tc>
          <w:tcPr>
            <w:tcW w:w="1134" w:type="dxa"/>
            <w:tcBorders>
              <w:top w:val="nil"/>
              <w:left w:val="nil"/>
              <w:bottom w:val="single" w:sz="4" w:space="0" w:color="auto"/>
              <w:right w:val="single" w:sz="4" w:space="0" w:color="auto"/>
            </w:tcBorders>
            <w:shd w:val="clear" w:color="auto" w:fill="auto"/>
            <w:noWrap/>
            <w:hideMark/>
          </w:tcPr>
          <w:p w14:paraId="0D35ED4A" w14:textId="77777777" w:rsidR="00FC40CB" w:rsidRPr="00FC40CB" w:rsidRDefault="00FC40CB" w:rsidP="00D67522">
            <w:pPr>
              <w:ind w:left="0" w:firstLine="0"/>
              <w:jc w:val="right"/>
              <w:rPr>
                <w:rFonts w:asciiTheme="minorHAnsi" w:eastAsia="Times New Roman" w:hAnsiTheme="minorHAnsi" w:cstheme="minorHAnsi"/>
                <w:sz w:val="20"/>
                <w:szCs w:val="20"/>
                <w:lang w:eastAsia="en-GB"/>
              </w:rPr>
            </w:pPr>
            <w:r w:rsidRPr="00FC40CB">
              <w:rPr>
                <w:rFonts w:asciiTheme="minorHAnsi" w:eastAsia="Times New Roman" w:hAnsiTheme="minorHAnsi" w:cstheme="minorHAnsi"/>
                <w:sz w:val="20"/>
                <w:szCs w:val="20"/>
                <w:lang w:eastAsia="en-GB"/>
              </w:rPr>
              <w:t>51</w:t>
            </w:r>
          </w:p>
        </w:tc>
        <w:tc>
          <w:tcPr>
            <w:tcW w:w="3827" w:type="dxa"/>
            <w:tcBorders>
              <w:top w:val="nil"/>
              <w:left w:val="nil"/>
              <w:bottom w:val="single" w:sz="4" w:space="0" w:color="auto"/>
              <w:right w:val="single" w:sz="4" w:space="0" w:color="auto"/>
            </w:tcBorders>
            <w:shd w:val="clear" w:color="auto" w:fill="auto"/>
            <w:hideMark/>
          </w:tcPr>
          <w:p w14:paraId="68DCF916" w14:textId="3DF391C2" w:rsidR="00FC40CB" w:rsidRPr="00FC40CB" w:rsidRDefault="00573F8B" w:rsidP="00CB0294">
            <w:pPr>
              <w:ind w:left="0" w:firstLine="0"/>
              <w:rPr>
                <w:rFonts w:asciiTheme="minorHAnsi" w:eastAsia="Times New Roman" w:hAnsiTheme="minorHAnsi" w:cstheme="minorHAnsi"/>
                <w:sz w:val="20"/>
                <w:szCs w:val="20"/>
                <w:lang w:eastAsia="en-GB"/>
              </w:rPr>
            </w:pPr>
            <w:r>
              <w:rPr>
                <w:rFonts w:asciiTheme="minorHAnsi" w:eastAsia="Times New Roman" w:hAnsiTheme="minorHAnsi" w:cstheme="minorHAnsi"/>
                <w:b/>
                <w:bCs/>
                <w:sz w:val="20"/>
                <w:szCs w:val="20"/>
                <w:lang w:eastAsia="en-GB"/>
              </w:rPr>
              <w:t>Pre-committed</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(i) 15K legal status and (ii) 10K legal advice consultancies</w:t>
            </w:r>
            <w:r w:rsidR="00FC40CB" w:rsidRPr="00FC40CB">
              <w:rPr>
                <w:rFonts w:asciiTheme="minorHAnsi" w:eastAsia="Times New Roman" w:hAnsiTheme="minorHAnsi" w:cstheme="minorHAnsi"/>
                <w:sz w:val="20"/>
                <w:szCs w:val="20"/>
                <w:lang w:eastAsia="en-GB"/>
              </w:rPr>
              <w:br/>
            </w:r>
            <w:r>
              <w:rPr>
                <w:rFonts w:asciiTheme="minorHAnsi" w:eastAsia="Times New Roman" w:hAnsiTheme="minorHAnsi" w:cstheme="minorHAnsi"/>
                <w:b/>
                <w:bCs/>
                <w:sz w:val="20"/>
                <w:szCs w:val="20"/>
                <w:lang w:eastAsia="en-GB"/>
              </w:rPr>
              <w:t>Savings</w:t>
            </w:r>
            <w:r w:rsidR="00FC40CB" w:rsidRPr="00FC40CB">
              <w:rPr>
                <w:rFonts w:asciiTheme="minorHAnsi" w:eastAsia="Times New Roman" w:hAnsiTheme="minorHAnsi" w:cstheme="minorHAnsi"/>
                <w:b/>
                <w:bCs/>
                <w:sz w:val="20"/>
                <w:szCs w:val="20"/>
                <w:lang w:eastAsia="en-GB"/>
              </w:rPr>
              <w:t>:</w:t>
            </w:r>
            <w:r w:rsidR="00FC40CB" w:rsidRPr="00FC40CB">
              <w:rPr>
                <w:rFonts w:asciiTheme="minorHAnsi" w:eastAsia="Times New Roman" w:hAnsiTheme="minorHAnsi" w:cstheme="minorHAnsi"/>
                <w:sz w:val="20"/>
                <w:szCs w:val="20"/>
                <w:lang w:eastAsia="en-GB"/>
              </w:rPr>
              <w:t xml:space="preserve"> net of (i) 49K legal services, (ii) 6K provisions budgeted</w:t>
            </w:r>
            <w:r>
              <w:rPr>
                <w:rFonts w:asciiTheme="minorHAnsi" w:eastAsia="Times New Roman" w:hAnsiTheme="minorHAnsi" w:cstheme="minorHAnsi"/>
                <w:sz w:val="20"/>
                <w:szCs w:val="20"/>
                <w:lang w:eastAsia="en-GB"/>
              </w:rPr>
              <w:t xml:space="preserve"> </w:t>
            </w:r>
            <w:r w:rsidR="00FC40CB" w:rsidRPr="00FC40CB">
              <w:rPr>
                <w:rFonts w:asciiTheme="minorHAnsi" w:eastAsia="Times New Roman" w:hAnsiTheme="minorHAnsi" w:cstheme="minorHAnsi"/>
                <w:sz w:val="20"/>
                <w:szCs w:val="20"/>
                <w:lang w:eastAsia="en-GB"/>
              </w:rPr>
              <w:t xml:space="preserve">and </w:t>
            </w:r>
            <w:r w:rsidR="00FC40CB" w:rsidRPr="00FC40CB">
              <w:rPr>
                <w:rFonts w:asciiTheme="minorHAnsi" w:eastAsia="Times New Roman" w:hAnsiTheme="minorHAnsi" w:cstheme="minorHAnsi"/>
                <w:sz w:val="20"/>
                <w:szCs w:val="20"/>
                <w:lang w:eastAsia="en-GB"/>
              </w:rPr>
              <w:br/>
              <w:t>(iii) -29K of exchange rate losses for all departments</w:t>
            </w:r>
          </w:p>
        </w:tc>
      </w:tr>
      <w:tr w:rsidR="00FC40CB" w:rsidRPr="00D67522" w14:paraId="03F4C903" w14:textId="77777777" w:rsidTr="0068105F">
        <w:trPr>
          <w:trHeight w:val="450"/>
        </w:trPr>
        <w:tc>
          <w:tcPr>
            <w:tcW w:w="1696" w:type="dxa"/>
            <w:tcBorders>
              <w:top w:val="nil"/>
              <w:left w:val="single" w:sz="4" w:space="0" w:color="auto"/>
              <w:bottom w:val="single" w:sz="4" w:space="0" w:color="auto"/>
              <w:right w:val="single" w:sz="4" w:space="0" w:color="auto"/>
            </w:tcBorders>
            <w:shd w:val="clear" w:color="000000" w:fill="DBE5F1"/>
            <w:noWrap/>
            <w:hideMark/>
          </w:tcPr>
          <w:p w14:paraId="1885F067" w14:textId="4D8D3422" w:rsidR="00FC40CB" w:rsidRPr="00FC40CB" w:rsidRDefault="00FC40CB" w:rsidP="00CB0294">
            <w:pPr>
              <w:ind w:left="0" w:firstLine="0"/>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lastRenderedPageBreak/>
              <w:t>Sub-</w:t>
            </w:r>
            <w:r w:rsidR="00CB0294">
              <w:rPr>
                <w:rFonts w:asciiTheme="minorHAnsi" w:eastAsia="Times New Roman" w:hAnsiTheme="minorHAnsi" w:cstheme="minorHAnsi"/>
                <w:b/>
                <w:bCs/>
                <w:color w:val="000000"/>
                <w:sz w:val="20"/>
                <w:szCs w:val="20"/>
                <w:lang w:eastAsia="en-GB"/>
              </w:rPr>
              <w:t>t</w:t>
            </w:r>
            <w:r w:rsidR="00CB0294" w:rsidRPr="00FC40CB">
              <w:rPr>
                <w:rFonts w:asciiTheme="minorHAnsi" w:eastAsia="Times New Roman" w:hAnsiTheme="minorHAnsi" w:cstheme="minorHAnsi"/>
                <w:b/>
                <w:bCs/>
                <w:color w:val="000000"/>
                <w:sz w:val="20"/>
                <w:szCs w:val="20"/>
                <w:lang w:eastAsia="en-GB"/>
              </w:rPr>
              <w:t>otal</w:t>
            </w:r>
          </w:p>
        </w:tc>
        <w:tc>
          <w:tcPr>
            <w:tcW w:w="1276" w:type="dxa"/>
            <w:tcBorders>
              <w:top w:val="nil"/>
              <w:left w:val="nil"/>
              <w:bottom w:val="single" w:sz="4" w:space="0" w:color="auto"/>
              <w:right w:val="single" w:sz="4" w:space="0" w:color="auto"/>
            </w:tcBorders>
            <w:shd w:val="clear" w:color="000000" w:fill="DBE5F1"/>
            <w:noWrap/>
            <w:hideMark/>
          </w:tcPr>
          <w:p w14:paraId="65646733" w14:textId="54C8B1F2" w:rsidR="00FC40CB" w:rsidRPr="00FC40CB" w:rsidRDefault="00FC40CB" w:rsidP="00D67522">
            <w:pPr>
              <w:ind w:left="0" w:firstLine="0"/>
              <w:jc w:val="right"/>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588</w:t>
            </w:r>
          </w:p>
        </w:tc>
        <w:tc>
          <w:tcPr>
            <w:tcW w:w="1276" w:type="dxa"/>
            <w:tcBorders>
              <w:top w:val="nil"/>
              <w:left w:val="nil"/>
              <w:bottom w:val="single" w:sz="4" w:space="0" w:color="auto"/>
              <w:right w:val="single" w:sz="4" w:space="0" w:color="auto"/>
            </w:tcBorders>
            <w:shd w:val="clear" w:color="000000" w:fill="DBE5F1"/>
            <w:noWrap/>
            <w:hideMark/>
          </w:tcPr>
          <w:p w14:paraId="57D7F82F" w14:textId="5CE60608" w:rsidR="00FC40CB" w:rsidRPr="00FC40CB" w:rsidRDefault="00FC40CB" w:rsidP="00D67522">
            <w:pPr>
              <w:ind w:left="0" w:firstLine="0"/>
              <w:jc w:val="right"/>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919</w:t>
            </w:r>
          </w:p>
        </w:tc>
        <w:tc>
          <w:tcPr>
            <w:tcW w:w="1134" w:type="dxa"/>
            <w:tcBorders>
              <w:top w:val="nil"/>
              <w:left w:val="nil"/>
              <w:bottom w:val="single" w:sz="4" w:space="0" w:color="auto"/>
              <w:right w:val="single" w:sz="4" w:space="0" w:color="auto"/>
            </w:tcBorders>
            <w:shd w:val="clear" w:color="000000" w:fill="DBE5F1"/>
            <w:noWrap/>
            <w:hideMark/>
          </w:tcPr>
          <w:p w14:paraId="1358FB45" w14:textId="10F43FE2" w:rsidR="00FC40CB" w:rsidRPr="00FC40CB" w:rsidRDefault="00FC40CB" w:rsidP="00D67522">
            <w:pPr>
              <w:ind w:left="0" w:firstLine="0"/>
              <w:jc w:val="right"/>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1,507</w:t>
            </w:r>
          </w:p>
        </w:tc>
        <w:tc>
          <w:tcPr>
            <w:tcW w:w="3827" w:type="dxa"/>
            <w:tcBorders>
              <w:top w:val="nil"/>
              <w:left w:val="nil"/>
              <w:bottom w:val="single" w:sz="4" w:space="0" w:color="auto"/>
              <w:right w:val="single" w:sz="4" w:space="0" w:color="auto"/>
            </w:tcBorders>
            <w:shd w:val="clear" w:color="000000" w:fill="DBE5F1"/>
            <w:noWrap/>
            <w:hideMark/>
          </w:tcPr>
          <w:p w14:paraId="57AC3186" w14:textId="0726BD3D" w:rsidR="00FC40CB" w:rsidRPr="00FC40CB" w:rsidRDefault="00FC40CB" w:rsidP="00D67522">
            <w:pPr>
              <w:ind w:left="0" w:firstLine="0"/>
              <w:rPr>
                <w:rFonts w:asciiTheme="minorHAnsi" w:eastAsia="Times New Roman" w:hAnsiTheme="minorHAnsi" w:cstheme="minorHAnsi"/>
                <w:color w:val="000000"/>
                <w:sz w:val="20"/>
                <w:szCs w:val="20"/>
                <w:lang w:eastAsia="en-GB"/>
              </w:rPr>
            </w:pPr>
          </w:p>
        </w:tc>
      </w:tr>
      <w:tr w:rsidR="00FC40CB" w:rsidRPr="00D67522" w14:paraId="59C58409" w14:textId="77777777" w:rsidTr="0068105F">
        <w:trPr>
          <w:trHeight w:val="576"/>
        </w:trPr>
        <w:tc>
          <w:tcPr>
            <w:tcW w:w="1696" w:type="dxa"/>
            <w:tcBorders>
              <w:top w:val="nil"/>
              <w:left w:val="single" w:sz="4" w:space="0" w:color="auto"/>
              <w:bottom w:val="single" w:sz="4" w:space="0" w:color="auto"/>
              <w:right w:val="single" w:sz="4" w:space="0" w:color="auto"/>
            </w:tcBorders>
            <w:shd w:val="clear" w:color="auto" w:fill="auto"/>
            <w:noWrap/>
            <w:hideMark/>
          </w:tcPr>
          <w:p w14:paraId="60D017B5"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Shortfall in income compared to budget</w:t>
            </w:r>
          </w:p>
        </w:tc>
        <w:tc>
          <w:tcPr>
            <w:tcW w:w="1276" w:type="dxa"/>
            <w:tcBorders>
              <w:top w:val="nil"/>
              <w:left w:val="nil"/>
              <w:bottom w:val="single" w:sz="4" w:space="0" w:color="auto"/>
              <w:right w:val="single" w:sz="4" w:space="0" w:color="auto"/>
            </w:tcBorders>
            <w:shd w:val="clear" w:color="auto" w:fill="auto"/>
            <w:hideMark/>
          </w:tcPr>
          <w:p w14:paraId="2A2A6D9F"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-20</w:t>
            </w:r>
          </w:p>
        </w:tc>
        <w:tc>
          <w:tcPr>
            <w:tcW w:w="1276" w:type="dxa"/>
            <w:tcBorders>
              <w:top w:val="nil"/>
              <w:left w:val="nil"/>
              <w:bottom w:val="single" w:sz="4" w:space="0" w:color="auto"/>
              <w:right w:val="single" w:sz="4" w:space="0" w:color="auto"/>
            </w:tcBorders>
            <w:shd w:val="clear" w:color="auto" w:fill="auto"/>
            <w:hideMark/>
          </w:tcPr>
          <w:p w14:paraId="38BC31B2" w14:textId="61CC94F0"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p>
        </w:tc>
        <w:tc>
          <w:tcPr>
            <w:tcW w:w="1134" w:type="dxa"/>
            <w:tcBorders>
              <w:top w:val="nil"/>
              <w:left w:val="nil"/>
              <w:bottom w:val="single" w:sz="4" w:space="0" w:color="auto"/>
              <w:right w:val="single" w:sz="4" w:space="0" w:color="auto"/>
            </w:tcBorders>
            <w:shd w:val="clear" w:color="auto" w:fill="auto"/>
            <w:noWrap/>
            <w:hideMark/>
          </w:tcPr>
          <w:p w14:paraId="26CB57B3"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-20</w:t>
            </w:r>
          </w:p>
        </w:tc>
        <w:tc>
          <w:tcPr>
            <w:tcW w:w="3827" w:type="dxa"/>
            <w:tcBorders>
              <w:top w:val="nil"/>
              <w:left w:val="nil"/>
              <w:bottom w:val="single" w:sz="4" w:space="0" w:color="auto"/>
              <w:right w:val="single" w:sz="4" w:space="0" w:color="auto"/>
            </w:tcBorders>
            <w:shd w:val="clear" w:color="auto" w:fill="auto"/>
            <w:hideMark/>
          </w:tcPr>
          <w:p w14:paraId="61F0464B" w14:textId="1DFC940B" w:rsidR="00FC40CB" w:rsidRPr="00FC40CB" w:rsidRDefault="00FC40CB" w:rsidP="00E8596C">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23K less income tax and 3K increase of other expenditure (such as interest expenses).</w:t>
            </w:r>
          </w:p>
        </w:tc>
      </w:tr>
      <w:tr w:rsidR="00FC40CB" w:rsidRPr="00D67522" w14:paraId="5D8D451A" w14:textId="77777777" w:rsidTr="0068105F">
        <w:trPr>
          <w:trHeight w:val="345"/>
        </w:trPr>
        <w:tc>
          <w:tcPr>
            <w:tcW w:w="1696" w:type="dxa"/>
            <w:tcBorders>
              <w:top w:val="nil"/>
              <w:left w:val="single" w:sz="4" w:space="0" w:color="auto"/>
              <w:bottom w:val="single" w:sz="4" w:space="0" w:color="auto"/>
              <w:right w:val="single" w:sz="4" w:space="0" w:color="auto"/>
            </w:tcBorders>
            <w:shd w:val="clear" w:color="auto" w:fill="auto"/>
            <w:noWrap/>
            <w:hideMark/>
          </w:tcPr>
          <w:p w14:paraId="0967307A"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Rounding</w:t>
            </w:r>
          </w:p>
        </w:tc>
        <w:tc>
          <w:tcPr>
            <w:tcW w:w="1276" w:type="dxa"/>
            <w:tcBorders>
              <w:top w:val="nil"/>
              <w:left w:val="nil"/>
              <w:bottom w:val="single" w:sz="4" w:space="0" w:color="auto"/>
              <w:right w:val="single" w:sz="4" w:space="0" w:color="auto"/>
            </w:tcBorders>
            <w:shd w:val="clear" w:color="auto" w:fill="auto"/>
            <w:hideMark/>
          </w:tcPr>
          <w:p w14:paraId="56BB7EAD"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hideMark/>
          </w:tcPr>
          <w:p w14:paraId="71F7A230" w14:textId="3BAEDE48"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p>
        </w:tc>
        <w:tc>
          <w:tcPr>
            <w:tcW w:w="1134" w:type="dxa"/>
            <w:tcBorders>
              <w:top w:val="nil"/>
              <w:left w:val="nil"/>
              <w:bottom w:val="single" w:sz="4" w:space="0" w:color="auto"/>
              <w:right w:val="single" w:sz="4" w:space="0" w:color="auto"/>
            </w:tcBorders>
            <w:shd w:val="clear" w:color="auto" w:fill="auto"/>
            <w:noWrap/>
            <w:hideMark/>
          </w:tcPr>
          <w:p w14:paraId="4416087E" w14:textId="77777777" w:rsidR="00FC40CB" w:rsidRPr="00FC40CB" w:rsidRDefault="00FC40CB" w:rsidP="00D67522">
            <w:pPr>
              <w:ind w:left="0" w:firstLine="0"/>
              <w:jc w:val="right"/>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1</w:t>
            </w:r>
          </w:p>
        </w:tc>
        <w:tc>
          <w:tcPr>
            <w:tcW w:w="3827" w:type="dxa"/>
            <w:tcBorders>
              <w:top w:val="nil"/>
              <w:left w:val="nil"/>
              <w:bottom w:val="single" w:sz="4" w:space="0" w:color="auto"/>
              <w:right w:val="single" w:sz="4" w:space="0" w:color="auto"/>
            </w:tcBorders>
            <w:shd w:val="clear" w:color="auto" w:fill="auto"/>
            <w:noWrap/>
            <w:hideMark/>
          </w:tcPr>
          <w:p w14:paraId="1C50A9C2" w14:textId="77777777" w:rsidR="00FC40CB" w:rsidRPr="00FC40CB" w:rsidRDefault="00FC40CB" w:rsidP="00D67522">
            <w:pPr>
              <w:ind w:left="0" w:firstLine="0"/>
              <w:rPr>
                <w:rFonts w:asciiTheme="minorHAnsi" w:eastAsia="Times New Roman" w:hAnsiTheme="minorHAnsi" w:cstheme="minorHAnsi"/>
                <w:color w:val="000000"/>
                <w:sz w:val="20"/>
                <w:szCs w:val="20"/>
                <w:lang w:eastAsia="en-GB"/>
              </w:rPr>
            </w:pPr>
            <w:r w:rsidRPr="00FC40CB">
              <w:rPr>
                <w:rFonts w:asciiTheme="minorHAnsi" w:eastAsia="Times New Roman" w:hAnsiTheme="minorHAnsi" w:cstheme="minorHAnsi"/>
                <w:color w:val="000000"/>
                <w:sz w:val="20"/>
                <w:szCs w:val="20"/>
                <w:lang w:eastAsia="en-GB"/>
              </w:rPr>
              <w:t>Rounding</w:t>
            </w:r>
          </w:p>
        </w:tc>
      </w:tr>
      <w:tr w:rsidR="00FC40CB" w:rsidRPr="00D67522" w14:paraId="0D906FFC" w14:textId="77777777" w:rsidTr="0068105F">
        <w:trPr>
          <w:trHeight w:val="480"/>
        </w:trPr>
        <w:tc>
          <w:tcPr>
            <w:tcW w:w="1696" w:type="dxa"/>
            <w:tcBorders>
              <w:top w:val="nil"/>
              <w:left w:val="single" w:sz="4" w:space="0" w:color="auto"/>
              <w:bottom w:val="single" w:sz="4" w:space="0" w:color="auto"/>
              <w:right w:val="single" w:sz="4" w:space="0" w:color="auto"/>
            </w:tcBorders>
            <w:shd w:val="clear" w:color="000000" w:fill="DBE5F1"/>
            <w:noWrap/>
            <w:hideMark/>
          </w:tcPr>
          <w:p w14:paraId="0FA0D72E" w14:textId="77777777" w:rsidR="00FC40CB" w:rsidRPr="00FC40CB" w:rsidRDefault="00FC40CB" w:rsidP="00D67522">
            <w:pPr>
              <w:ind w:left="0" w:firstLine="0"/>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Total core budget balance 2019</w:t>
            </w:r>
          </w:p>
        </w:tc>
        <w:tc>
          <w:tcPr>
            <w:tcW w:w="1276" w:type="dxa"/>
            <w:tcBorders>
              <w:top w:val="nil"/>
              <w:left w:val="nil"/>
              <w:bottom w:val="single" w:sz="4" w:space="0" w:color="auto"/>
              <w:right w:val="single" w:sz="4" w:space="0" w:color="auto"/>
            </w:tcBorders>
            <w:shd w:val="clear" w:color="000000" w:fill="DBE5F1"/>
            <w:noWrap/>
            <w:hideMark/>
          </w:tcPr>
          <w:p w14:paraId="286BC64C" w14:textId="77777777" w:rsidR="00FC40CB" w:rsidRPr="00FC40CB" w:rsidRDefault="00FC40CB" w:rsidP="00D67522">
            <w:pPr>
              <w:ind w:left="0" w:firstLine="0"/>
              <w:jc w:val="right"/>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569</w:t>
            </w:r>
          </w:p>
        </w:tc>
        <w:tc>
          <w:tcPr>
            <w:tcW w:w="1276" w:type="dxa"/>
            <w:tcBorders>
              <w:top w:val="nil"/>
              <w:left w:val="nil"/>
              <w:bottom w:val="single" w:sz="4" w:space="0" w:color="auto"/>
              <w:right w:val="single" w:sz="4" w:space="0" w:color="auto"/>
            </w:tcBorders>
            <w:shd w:val="clear" w:color="000000" w:fill="DBE5F1"/>
            <w:noWrap/>
            <w:hideMark/>
          </w:tcPr>
          <w:p w14:paraId="49A30922" w14:textId="77777777" w:rsidR="00FC40CB" w:rsidRPr="00FC40CB" w:rsidRDefault="00FC40CB" w:rsidP="00D67522">
            <w:pPr>
              <w:ind w:left="0" w:firstLine="0"/>
              <w:jc w:val="right"/>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919</w:t>
            </w:r>
          </w:p>
        </w:tc>
        <w:tc>
          <w:tcPr>
            <w:tcW w:w="1134" w:type="dxa"/>
            <w:tcBorders>
              <w:top w:val="nil"/>
              <w:left w:val="nil"/>
              <w:bottom w:val="single" w:sz="4" w:space="0" w:color="auto"/>
              <w:right w:val="single" w:sz="4" w:space="0" w:color="auto"/>
            </w:tcBorders>
            <w:shd w:val="clear" w:color="000000" w:fill="DBE5F1"/>
            <w:noWrap/>
            <w:hideMark/>
          </w:tcPr>
          <w:p w14:paraId="0EA227AF" w14:textId="1BB5232A" w:rsidR="00FC40CB" w:rsidRPr="00FC40CB" w:rsidRDefault="00FC40CB" w:rsidP="00D67522">
            <w:pPr>
              <w:ind w:left="0" w:firstLine="0"/>
              <w:jc w:val="right"/>
              <w:rPr>
                <w:rFonts w:asciiTheme="minorHAnsi" w:eastAsia="Times New Roman" w:hAnsiTheme="minorHAnsi" w:cstheme="minorHAnsi"/>
                <w:b/>
                <w:bCs/>
                <w:color w:val="000000"/>
                <w:sz w:val="20"/>
                <w:szCs w:val="20"/>
                <w:lang w:eastAsia="en-GB"/>
              </w:rPr>
            </w:pPr>
            <w:r w:rsidRPr="00FC40CB">
              <w:rPr>
                <w:rFonts w:asciiTheme="minorHAnsi" w:eastAsia="Times New Roman" w:hAnsiTheme="minorHAnsi" w:cstheme="minorHAnsi"/>
                <w:b/>
                <w:bCs/>
                <w:color w:val="000000"/>
                <w:sz w:val="20"/>
                <w:szCs w:val="20"/>
                <w:lang w:eastAsia="en-GB"/>
              </w:rPr>
              <w:t>1,488</w:t>
            </w:r>
          </w:p>
        </w:tc>
        <w:tc>
          <w:tcPr>
            <w:tcW w:w="3827" w:type="dxa"/>
            <w:tcBorders>
              <w:top w:val="nil"/>
              <w:left w:val="nil"/>
              <w:bottom w:val="single" w:sz="4" w:space="0" w:color="auto"/>
              <w:right w:val="single" w:sz="4" w:space="0" w:color="auto"/>
            </w:tcBorders>
            <w:shd w:val="clear" w:color="000000" w:fill="DBE5F1"/>
            <w:noWrap/>
            <w:hideMark/>
          </w:tcPr>
          <w:p w14:paraId="7DD91F3D" w14:textId="4E2E2BCE" w:rsidR="00FC40CB" w:rsidRPr="00FC40CB" w:rsidRDefault="00FC40CB" w:rsidP="00D67522">
            <w:pPr>
              <w:ind w:left="0" w:firstLine="0"/>
              <w:rPr>
                <w:rFonts w:asciiTheme="minorHAnsi" w:eastAsia="Times New Roman" w:hAnsiTheme="minorHAnsi" w:cstheme="minorHAnsi"/>
                <w:color w:val="000000"/>
                <w:sz w:val="20"/>
                <w:szCs w:val="20"/>
                <w:lang w:eastAsia="en-GB"/>
              </w:rPr>
            </w:pPr>
          </w:p>
        </w:tc>
      </w:tr>
    </w:tbl>
    <w:p w14:paraId="49891DE7" w14:textId="77777777" w:rsidR="0068105F" w:rsidRDefault="0068105F" w:rsidP="00162710"/>
    <w:p w14:paraId="356E4F43" w14:textId="13088954" w:rsidR="004753C0" w:rsidRPr="00421152" w:rsidRDefault="00FA0633" w:rsidP="00162710">
      <w:r>
        <w:t>9</w:t>
      </w:r>
      <w:r w:rsidR="00112F62" w:rsidRPr="00421152">
        <w:t>.</w:t>
      </w:r>
      <w:r w:rsidR="00112F62" w:rsidRPr="00421152">
        <w:tab/>
      </w:r>
      <w:r w:rsidR="004753C0" w:rsidRPr="00421152">
        <w:t xml:space="preserve">The following points are highlighted for the Standing Committee’s </w:t>
      </w:r>
      <w:r w:rsidR="008825A0" w:rsidRPr="00421152">
        <w:t>consideration</w:t>
      </w:r>
      <w:r w:rsidR="00ED1F5E" w:rsidRPr="00421152">
        <w:t>:</w:t>
      </w:r>
    </w:p>
    <w:p w14:paraId="63E3886B" w14:textId="77777777" w:rsidR="00112F62" w:rsidRPr="00421152" w:rsidRDefault="00112F62" w:rsidP="00162710">
      <w:pPr>
        <w:pStyle w:val="NoSpacing"/>
        <w:ind w:left="850"/>
      </w:pPr>
    </w:p>
    <w:p w14:paraId="2AF561DD" w14:textId="15C19C92" w:rsidR="004753C0" w:rsidRPr="00942026" w:rsidRDefault="00112F62" w:rsidP="00162710">
      <w:pPr>
        <w:pStyle w:val="NoSpacing"/>
        <w:ind w:left="850"/>
      </w:pPr>
      <w:r w:rsidRPr="00421152">
        <w:t>a.</w:t>
      </w:r>
      <w:r w:rsidRPr="00421152">
        <w:tab/>
      </w:r>
      <w:r w:rsidR="004A2ABC" w:rsidRPr="00942026">
        <w:t>Projected i</w:t>
      </w:r>
      <w:r w:rsidR="008D5BB1" w:rsidRPr="00942026">
        <w:t>ncome</w:t>
      </w:r>
      <w:r w:rsidR="004A2ABC" w:rsidRPr="00942026">
        <w:t xml:space="preserve"> was </w:t>
      </w:r>
      <w:r w:rsidR="00616014" w:rsidRPr="00942026">
        <w:t xml:space="preserve">generally </w:t>
      </w:r>
      <w:r w:rsidR="004A2ABC" w:rsidRPr="00942026">
        <w:t xml:space="preserve">as budgeted except for income tax, which was CHF </w:t>
      </w:r>
      <w:r w:rsidR="003C4036" w:rsidRPr="00942026">
        <w:t xml:space="preserve">23K </w:t>
      </w:r>
      <w:r w:rsidR="004A2ABC" w:rsidRPr="00942026">
        <w:t>under budget</w:t>
      </w:r>
      <w:r w:rsidR="005215EB" w:rsidRPr="00942026">
        <w:t xml:space="preserve"> due to vacancies</w:t>
      </w:r>
      <w:r w:rsidR="003C4036" w:rsidRPr="00942026">
        <w:t>, while the o</w:t>
      </w:r>
      <w:r w:rsidR="004A2ABC" w:rsidRPr="00942026">
        <w:t xml:space="preserve">ther income, including interest income, was CHF </w:t>
      </w:r>
      <w:r w:rsidR="003C4036" w:rsidRPr="00942026">
        <w:t>3</w:t>
      </w:r>
      <w:r w:rsidR="004A2ABC" w:rsidRPr="00942026">
        <w:t xml:space="preserve">K </w:t>
      </w:r>
      <w:r w:rsidR="003C4036" w:rsidRPr="00942026">
        <w:t xml:space="preserve">higher </w:t>
      </w:r>
      <w:r w:rsidR="004A2ABC" w:rsidRPr="00942026">
        <w:t>than budgeted.</w:t>
      </w:r>
    </w:p>
    <w:p w14:paraId="22B831D4" w14:textId="77777777" w:rsidR="00126808" w:rsidRPr="00942026" w:rsidRDefault="00126808" w:rsidP="00162710">
      <w:pPr>
        <w:pStyle w:val="NoSpacing"/>
        <w:ind w:left="850"/>
      </w:pPr>
    </w:p>
    <w:p w14:paraId="0F5C63FE" w14:textId="7EF1F694" w:rsidR="004753C0" w:rsidRPr="00942026" w:rsidRDefault="00112F62" w:rsidP="00162710">
      <w:pPr>
        <w:pStyle w:val="NoSpacing"/>
        <w:ind w:left="850"/>
      </w:pPr>
      <w:r w:rsidRPr="00942026">
        <w:t>b.</w:t>
      </w:r>
      <w:r w:rsidRPr="00942026">
        <w:tab/>
      </w:r>
      <w:r w:rsidR="008D5BB1" w:rsidRPr="00942026">
        <w:t>Overall salary costs</w:t>
      </w:r>
      <w:r w:rsidR="004A2ABC" w:rsidRPr="00942026">
        <w:t xml:space="preserve"> </w:t>
      </w:r>
      <w:r w:rsidR="000844F9" w:rsidRPr="00942026">
        <w:t>of</w:t>
      </w:r>
      <w:r w:rsidR="004A2ABC" w:rsidRPr="00942026">
        <w:t xml:space="preserve"> CHF </w:t>
      </w:r>
      <w:r w:rsidR="003C4036" w:rsidRPr="00942026">
        <w:t>2</w:t>
      </w:r>
      <w:r w:rsidR="00F54855" w:rsidRPr="00942026">
        <w:t>,</w:t>
      </w:r>
      <w:r w:rsidR="003C4036" w:rsidRPr="00942026">
        <w:t xml:space="preserve">983K </w:t>
      </w:r>
      <w:r w:rsidR="004A2ABC" w:rsidRPr="00942026">
        <w:t>correspond</w:t>
      </w:r>
      <w:r w:rsidR="000844F9" w:rsidRPr="00942026">
        <w:t>ed</w:t>
      </w:r>
      <w:r w:rsidR="004A2ABC" w:rsidRPr="00942026">
        <w:t xml:space="preserve"> to a budget implementation rate of </w:t>
      </w:r>
      <w:r w:rsidR="003C4036" w:rsidRPr="00942026">
        <w:t>84</w:t>
      </w:r>
      <w:r w:rsidR="004A2ABC" w:rsidRPr="00942026">
        <w:t xml:space="preserve">% and salary costs </w:t>
      </w:r>
      <w:r w:rsidR="000844F9" w:rsidRPr="00942026">
        <w:t xml:space="preserve">amounted </w:t>
      </w:r>
      <w:r w:rsidR="004A2ABC" w:rsidRPr="00942026">
        <w:t xml:space="preserve">to </w:t>
      </w:r>
      <w:r w:rsidR="003C4036" w:rsidRPr="00942026">
        <w:t>66</w:t>
      </w:r>
      <w:r w:rsidR="004A2ABC" w:rsidRPr="00942026">
        <w:t>% of overall expenditure.</w:t>
      </w:r>
    </w:p>
    <w:p w14:paraId="6674AFCF" w14:textId="77777777" w:rsidR="00112F62" w:rsidRPr="00942026" w:rsidRDefault="00112F62" w:rsidP="00162710">
      <w:pPr>
        <w:pStyle w:val="NoSpacing"/>
        <w:ind w:left="850"/>
      </w:pPr>
    </w:p>
    <w:p w14:paraId="25897C4E" w14:textId="4F5B87D8" w:rsidR="008D5BB1" w:rsidRPr="00677029" w:rsidRDefault="00112F62" w:rsidP="00162710">
      <w:pPr>
        <w:pStyle w:val="NoSpacing"/>
        <w:ind w:left="850"/>
        <w:rPr>
          <w:highlight w:val="cyan"/>
        </w:rPr>
      </w:pPr>
      <w:r w:rsidRPr="00942026">
        <w:t>c.</w:t>
      </w:r>
      <w:r w:rsidRPr="00942026">
        <w:tab/>
      </w:r>
      <w:r w:rsidR="008D5BB1" w:rsidRPr="00942026">
        <w:t>No IUCN-imposed cost-of-living increases ha</w:t>
      </w:r>
      <w:r w:rsidR="007C1B02">
        <w:t>d</w:t>
      </w:r>
      <w:r w:rsidR="008D5BB1" w:rsidRPr="00942026">
        <w:t xml:space="preserve"> come into effect since 2011.</w:t>
      </w:r>
      <w:r w:rsidR="004A2ABC" w:rsidRPr="00942026">
        <w:t xml:space="preserve"> Pe</w:t>
      </w:r>
      <w:r w:rsidR="008D5BB1" w:rsidRPr="00942026">
        <w:t>rformance-based</w:t>
      </w:r>
      <w:r w:rsidR="004A2ABC" w:rsidRPr="00942026">
        <w:t xml:space="preserve"> salary</w:t>
      </w:r>
      <w:r w:rsidR="008D5BB1" w:rsidRPr="00942026">
        <w:t xml:space="preserve"> increases implemented by IUCN in 2017 </w:t>
      </w:r>
      <w:r w:rsidR="00396ABD">
        <w:t>were</w:t>
      </w:r>
      <w:r w:rsidR="00C06E57" w:rsidRPr="00942026">
        <w:t xml:space="preserve"> applied</w:t>
      </w:r>
      <w:r w:rsidR="005215EB" w:rsidRPr="00942026">
        <w:t xml:space="preserve"> </w:t>
      </w:r>
      <w:r w:rsidR="00014DD6" w:rsidRPr="00942026">
        <w:t>to the Secretariat</w:t>
      </w:r>
      <w:r w:rsidR="005215EB" w:rsidRPr="00942026">
        <w:t xml:space="preserve"> in 2019</w:t>
      </w:r>
      <w:r w:rsidR="00FA374C" w:rsidRPr="00942026">
        <w:t xml:space="preserve"> in line with IUCN policies and practices</w:t>
      </w:r>
      <w:r w:rsidR="00FA374C" w:rsidRPr="00C8303A">
        <w:t>.</w:t>
      </w:r>
      <w:r w:rsidR="00677029" w:rsidRPr="00C8303A">
        <w:t xml:space="preserve"> </w:t>
      </w:r>
      <w:r w:rsidR="004A48FE" w:rsidRPr="00C8303A">
        <w:t xml:space="preserve">In 2019 </w:t>
      </w:r>
      <w:r w:rsidR="00E71602" w:rsidRPr="00C8303A">
        <w:t>the</w:t>
      </w:r>
      <w:r w:rsidR="00677029" w:rsidRPr="00C8303A">
        <w:t xml:space="preserve"> Secretariat also implemented IUCN’s </w:t>
      </w:r>
      <w:r w:rsidR="00E71602" w:rsidRPr="00C8303A">
        <w:t>promotion policy in line with the IUCN Glob</w:t>
      </w:r>
      <w:r w:rsidR="00677029" w:rsidRPr="00C8303A">
        <w:t xml:space="preserve">al HR promotion guidelines 2019. The resulting </w:t>
      </w:r>
      <w:r w:rsidR="00C8303A" w:rsidRPr="00C8303A">
        <w:t>increases</w:t>
      </w:r>
      <w:r w:rsidR="00677029" w:rsidRPr="00C8303A">
        <w:t xml:space="preserve"> in salaries had been </w:t>
      </w:r>
      <w:r w:rsidR="00677029" w:rsidRPr="0011042A">
        <w:t>included i</w:t>
      </w:r>
      <w:r w:rsidR="0011042A">
        <w:t>n the approved</w:t>
      </w:r>
      <w:r w:rsidR="00E71602">
        <w:t xml:space="preserve"> </w:t>
      </w:r>
      <w:r w:rsidR="00A446A5" w:rsidRPr="00942026">
        <w:t>budget for the triennium</w:t>
      </w:r>
      <w:r w:rsidR="0086305C" w:rsidRPr="00942026">
        <w:t xml:space="preserve"> (</w:t>
      </w:r>
      <w:r w:rsidR="00756669" w:rsidRPr="00942026">
        <w:t xml:space="preserve">Resolution XIII.2, paragraph </w:t>
      </w:r>
      <w:r w:rsidR="00A446A5" w:rsidRPr="00942026">
        <w:t>14</w:t>
      </w:r>
      <w:r w:rsidR="000844F9" w:rsidRPr="00942026">
        <w:t xml:space="preserve"> and Annex 1</w:t>
      </w:r>
      <w:r w:rsidR="0086305C" w:rsidRPr="00942026">
        <w:t>).</w:t>
      </w:r>
      <w:r w:rsidR="007C1B02">
        <w:t xml:space="preserve"> </w:t>
      </w:r>
    </w:p>
    <w:p w14:paraId="26728997" w14:textId="77777777" w:rsidR="00112F62" w:rsidRPr="00942026" w:rsidRDefault="00112F62" w:rsidP="00162710">
      <w:pPr>
        <w:pStyle w:val="NoSpacing"/>
        <w:ind w:left="850"/>
      </w:pPr>
    </w:p>
    <w:p w14:paraId="35EAA4C6" w14:textId="7E16207D" w:rsidR="004F6BEB" w:rsidRPr="00784C15" w:rsidRDefault="00112F62" w:rsidP="00162710">
      <w:pPr>
        <w:pStyle w:val="NoSpacing"/>
        <w:ind w:left="850"/>
      </w:pPr>
      <w:r w:rsidRPr="00942026">
        <w:t>d.</w:t>
      </w:r>
      <w:r w:rsidRPr="00942026">
        <w:tab/>
      </w:r>
      <w:r w:rsidR="0024781C" w:rsidRPr="00784C15">
        <w:t xml:space="preserve">Provisions were </w:t>
      </w:r>
      <w:r w:rsidR="00CF5D9F" w:rsidRPr="00784C15">
        <w:t xml:space="preserve">correctly </w:t>
      </w:r>
      <w:r w:rsidR="0024781C" w:rsidRPr="00784C15">
        <w:t>budget</w:t>
      </w:r>
      <w:r w:rsidR="003C4036" w:rsidRPr="00784C15">
        <w:t>ed</w:t>
      </w:r>
      <w:r w:rsidR="00CF5D9F" w:rsidRPr="00784C15">
        <w:t xml:space="preserve"> and used,</w:t>
      </w:r>
      <w:r w:rsidR="0019536E" w:rsidRPr="00784C15">
        <w:t xml:space="preserve"> </w:t>
      </w:r>
      <w:r w:rsidR="00CF5D9F" w:rsidRPr="00784C15">
        <w:t xml:space="preserve">including </w:t>
      </w:r>
      <w:r w:rsidR="00186F3E">
        <w:t xml:space="preserve">through </w:t>
      </w:r>
      <w:r w:rsidR="00A35D43">
        <w:t xml:space="preserve">implementation of </w:t>
      </w:r>
      <w:r w:rsidR="00CF5D9F" w:rsidRPr="00784C15">
        <w:t xml:space="preserve">Standing Committee Decision </w:t>
      </w:r>
      <w:r w:rsidR="00CF5D9F" w:rsidRPr="00B5318A">
        <w:t>SC57</w:t>
      </w:r>
      <w:r w:rsidR="00F05E6F" w:rsidRPr="00B5318A">
        <w:t>-47</w:t>
      </w:r>
      <w:r w:rsidR="00784C15">
        <w:t xml:space="preserve"> to increase the provision for outstanding </w:t>
      </w:r>
      <w:r w:rsidR="007C37F9">
        <w:t xml:space="preserve">contributions </w:t>
      </w:r>
      <w:r w:rsidR="00CB0294">
        <w:t>by</w:t>
      </w:r>
      <w:r w:rsidR="00784C15">
        <w:t xml:space="preserve"> CHF 178K. </w:t>
      </w:r>
      <w:r w:rsidR="00CB0294">
        <w:t xml:space="preserve">This </w:t>
      </w:r>
      <w:r w:rsidR="009F372A">
        <w:t>substantial increase result</w:t>
      </w:r>
      <w:r w:rsidR="00A35D43">
        <w:t>ed</w:t>
      </w:r>
      <w:r w:rsidR="009F372A">
        <w:t xml:space="preserve"> from</w:t>
      </w:r>
      <w:r w:rsidR="00CF5D9F" w:rsidRPr="00784C15">
        <w:t xml:space="preserve"> the </w:t>
      </w:r>
      <w:r w:rsidR="00A35D43">
        <w:t xml:space="preserve">auditors’ </w:t>
      </w:r>
      <w:r w:rsidR="00CF5D9F" w:rsidRPr="00784C15">
        <w:t>request</w:t>
      </w:r>
      <w:r w:rsidR="009F372A">
        <w:t xml:space="preserve"> to change the methodology</w:t>
      </w:r>
      <w:r w:rsidR="00186F3E">
        <w:t xml:space="preserve"> for</w:t>
      </w:r>
      <w:r w:rsidR="009F372A">
        <w:t xml:space="preserve"> </w:t>
      </w:r>
      <w:r w:rsidR="00CB0294">
        <w:t xml:space="preserve">calculating </w:t>
      </w:r>
      <w:r w:rsidR="009F372A">
        <w:t xml:space="preserve">the provision for outstanding </w:t>
      </w:r>
      <w:r w:rsidR="007C37F9">
        <w:t>contributions</w:t>
      </w:r>
      <w:r w:rsidR="0019536E" w:rsidRPr="00784C15">
        <w:t>.</w:t>
      </w:r>
      <w:r w:rsidR="00CF5D9F" w:rsidRPr="00784C15">
        <w:t xml:space="preserve"> </w:t>
      </w:r>
    </w:p>
    <w:p w14:paraId="4BE13ACC" w14:textId="77777777" w:rsidR="004F6BEB" w:rsidRPr="00784C15" w:rsidRDefault="004F6BEB" w:rsidP="00162710">
      <w:pPr>
        <w:pStyle w:val="NoSpacing"/>
        <w:ind w:left="850" w:firstLine="0"/>
      </w:pPr>
    </w:p>
    <w:p w14:paraId="4D569B2F" w14:textId="440E9D21" w:rsidR="0019536E" w:rsidRPr="00784C15" w:rsidRDefault="00FA0633" w:rsidP="00FA0633">
      <w:pPr>
        <w:pStyle w:val="NoSpacing"/>
        <w:ind w:left="851"/>
      </w:pPr>
      <w:r>
        <w:t>e.</w:t>
      </w:r>
      <w:r>
        <w:tab/>
      </w:r>
      <w:r w:rsidR="00CF5D9F" w:rsidRPr="00784C15">
        <w:t xml:space="preserve">The budgeted provisions for the outstanding </w:t>
      </w:r>
      <w:r w:rsidR="00186F3E">
        <w:t>contributions</w:t>
      </w:r>
      <w:r w:rsidR="00186F3E" w:rsidRPr="00784C15">
        <w:t xml:space="preserve"> </w:t>
      </w:r>
      <w:r w:rsidR="00186F3E">
        <w:t>totalled</w:t>
      </w:r>
      <w:r w:rsidR="00CF5D9F" w:rsidRPr="00784C15">
        <w:t xml:space="preserve"> CHF 228K (CHF 50</w:t>
      </w:r>
      <w:r w:rsidR="009F372A">
        <w:t>K core budget</w:t>
      </w:r>
      <w:r w:rsidR="00186F3E">
        <w:t>,</w:t>
      </w:r>
      <w:r w:rsidR="009F372A">
        <w:t xml:space="preserve"> </w:t>
      </w:r>
      <w:r w:rsidR="00CF5D9F" w:rsidRPr="00784C15">
        <w:t xml:space="preserve">plus CHF 57K committed from </w:t>
      </w:r>
      <w:r w:rsidR="00186F3E">
        <w:t xml:space="preserve">the </w:t>
      </w:r>
      <w:r w:rsidR="00CF5D9F" w:rsidRPr="00784C15">
        <w:t xml:space="preserve">2018 budget and CHF 121K use of surplus </w:t>
      </w:r>
      <w:r w:rsidR="00186F3E" w:rsidRPr="00784C15">
        <w:t>authori</w:t>
      </w:r>
      <w:r w:rsidR="00186F3E">
        <w:t>z</w:t>
      </w:r>
      <w:r w:rsidR="00186F3E" w:rsidRPr="00784C15">
        <w:t xml:space="preserve">ed </w:t>
      </w:r>
      <w:r w:rsidR="00186F3E">
        <w:t xml:space="preserve">at </w:t>
      </w:r>
      <w:r w:rsidR="00CF5D9F" w:rsidRPr="00784C15">
        <w:t xml:space="preserve">SC57). </w:t>
      </w:r>
      <w:r w:rsidR="00285F05" w:rsidRPr="00784C15">
        <w:t xml:space="preserve">However, </w:t>
      </w:r>
      <w:r w:rsidR="00186F3E">
        <w:t xml:space="preserve">the </w:t>
      </w:r>
      <w:r w:rsidR="00285F05" w:rsidRPr="00784C15">
        <w:t>a</w:t>
      </w:r>
      <w:r w:rsidR="00CF5D9F" w:rsidRPr="00784C15">
        <w:t xml:space="preserve">ctual increase </w:t>
      </w:r>
      <w:r w:rsidR="00186F3E">
        <w:t xml:space="preserve">in the </w:t>
      </w:r>
      <w:r w:rsidR="00CF5D9F" w:rsidRPr="00784C15">
        <w:t>provision for the outstan</w:t>
      </w:r>
      <w:r w:rsidR="00882609">
        <w:t xml:space="preserve">ding contributions was CHF </w:t>
      </w:r>
      <w:r w:rsidR="00285F05" w:rsidRPr="00784C15">
        <w:t>233K</w:t>
      </w:r>
      <w:r w:rsidR="00FA42D8">
        <w:t>. The difference</w:t>
      </w:r>
      <w:r w:rsidR="00285F05" w:rsidRPr="00784C15">
        <w:t xml:space="preserve"> was </w:t>
      </w:r>
      <w:r w:rsidR="00CA1EF7">
        <w:t xml:space="preserve">balanced </w:t>
      </w:r>
      <w:r w:rsidR="009F372A">
        <w:t xml:space="preserve">by the net </w:t>
      </w:r>
      <w:r w:rsidR="00FA42D8">
        <w:t>change</w:t>
      </w:r>
      <w:r w:rsidR="009F372A">
        <w:t xml:space="preserve"> of staff provisions</w:t>
      </w:r>
      <w:r w:rsidR="00CA1EF7">
        <w:t xml:space="preserve"> of </w:t>
      </w:r>
      <w:r w:rsidR="009F372A">
        <w:t>CHF 10.8K</w:t>
      </w:r>
      <w:r w:rsidR="00A35D43">
        <w:t>, as a result of</w:t>
      </w:r>
      <w:r w:rsidR="00F53F39">
        <w:t xml:space="preserve"> </w:t>
      </w:r>
      <w:r w:rsidR="008E683D">
        <w:t>an</w:t>
      </w:r>
      <w:r w:rsidR="008E683D" w:rsidRPr="00784C15">
        <w:t xml:space="preserve"> </w:t>
      </w:r>
      <w:r w:rsidR="004F6BEB" w:rsidRPr="00784C15">
        <w:t xml:space="preserve">increase in </w:t>
      </w:r>
      <w:r w:rsidR="00186F3E">
        <w:t xml:space="preserve">the </w:t>
      </w:r>
      <w:r w:rsidR="004F6BEB" w:rsidRPr="00784C15">
        <w:t>staff termination provision of CHF 6.8K</w:t>
      </w:r>
      <w:r w:rsidR="00F53F39">
        <w:t>,</w:t>
      </w:r>
      <w:r w:rsidR="004F6BEB" w:rsidRPr="00784C15">
        <w:t xml:space="preserve"> </w:t>
      </w:r>
      <w:r w:rsidR="008E683D">
        <w:t xml:space="preserve">a </w:t>
      </w:r>
      <w:r w:rsidR="004F6BEB" w:rsidRPr="00784C15">
        <w:t xml:space="preserve">decrease </w:t>
      </w:r>
      <w:r w:rsidR="00186F3E">
        <w:t xml:space="preserve">in the </w:t>
      </w:r>
      <w:r w:rsidR="004F6BEB" w:rsidRPr="00784C15">
        <w:t xml:space="preserve">staff repatriation provision of CHF 14.2K and </w:t>
      </w:r>
      <w:r w:rsidR="008E683D">
        <w:t xml:space="preserve">a </w:t>
      </w:r>
      <w:r w:rsidR="004F6BEB" w:rsidRPr="00784C15">
        <w:t xml:space="preserve">decrease </w:t>
      </w:r>
      <w:r w:rsidR="00186F3E">
        <w:t xml:space="preserve">in the </w:t>
      </w:r>
      <w:r w:rsidR="004F6BEB" w:rsidRPr="00784C15">
        <w:t>s</w:t>
      </w:r>
      <w:r w:rsidR="00696CD3">
        <w:t>taff leave provision of CHF 3.4</w:t>
      </w:r>
      <w:r w:rsidR="004F6BEB" w:rsidRPr="00784C15">
        <w:t>K</w:t>
      </w:r>
      <w:r w:rsidR="005D7E5B" w:rsidRPr="00784C15">
        <w:t>.</w:t>
      </w:r>
    </w:p>
    <w:p w14:paraId="6A21A7E8" w14:textId="6599F574" w:rsidR="00383EED" w:rsidRPr="00784C15" w:rsidRDefault="00383EED" w:rsidP="00162710">
      <w:pPr>
        <w:pStyle w:val="NoSpacing"/>
        <w:ind w:left="0" w:firstLine="0"/>
      </w:pPr>
    </w:p>
    <w:p w14:paraId="131523C0" w14:textId="59F6C755" w:rsidR="004753C0" w:rsidRPr="00942026" w:rsidRDefault="00FA0633" w:rsidP="00162710">
      <w:pPr>
        <w:pStyle w:val="NoSpacing"/>
        <w:ind w:left="850"/>
      </w:pPr>
      <w:r>
        <w:t>f.</w:t>
      </w:r>
      <w:r>
        <w:tab/>
      </w:r>
      <w:r w:rsidR="00186F3E">
        <w:t>T</w:t>
      </w:r>
      <w:r w:rsidR="00383EED" w:rsidRPr="00784C15">
        <w:t xml:space="preserve">he Secretariat </w:t>
      </w:r>
      <w:r w:rsidR="00A35D43">
        <w:t xml:space="preserve">considers that </w:t>
      </w:r>
      <w:r w:rsidR="00186F3E">
        <w:t xml:space="preserve">in future </w:t>
      </w:r>
      <w:r w:rsidR="00C57513">
        <w:t xml:space="preserve">it would be clearer to have </w:t>
      </w:r>
      <w:r w:rsidR="00383EED" w:rsidRPr="00784C15">
        <w:t>t</w:t>
      </w:r>
      <w:r w:rsidR="00C57513">
        <w:t xml:space="preserve">wo </w:t>
      </w:r>
      <w:r w:rsidR="00643592">
        <w:t>separate</w:t>
      </w:r>
      <w:r w:rsidR="00643592" w:rsidRPr="00784C15">
        <w:t xml:space="preserve"> budget</w:t>
      </w:r>
      <w:r w:rsidR="00383EED" w:rsidRPr="00784C15">
        <w:t xml:space="preserve"> </w:t>
      </w:r>
      <w:r w:rsidR="00BD60E7" w:rsidRPr="00784C15">
        <w:t>line</w:t>
      </w:r>
      <w:r w:rsidR="00C57513">
        <w:t>s</w:t>
      </w:r>
      <w:r w:rsidR="00BD60E7" w:rsidRPr="00784C15">
        <w:t xml:space="preserve"> </w:t>
      </w:r>
      <w:r w:rsidR="00383EED" w:rsidRPr="00784C15">
        <w:t xml:space="preserve">for the provisions, </w:t>
      </w:r>
      <w:r w:rsidR="00C57513">
        <w:t xml:space="preserve">one for </w:t>
      </w:r>
      <w:r w:rsidR="00383EED" w:rsidRPr="00784C15">
        <w:t xml:space="preserve">staff provisions </w:t>
      </w:r>
      <w:r w:rsidR="00C57513">
        <w:t xml:space="preserve">and another one for </w:t>
      </w:r>
      <w:r w:rsidR="00383EED" w:rsidRPr="00784C15">
        <w:t xml:space="preserve">the provisions </w:t>
      </w:r>
      <w:r w:rsidR="008E683D">
        <w:t>for</w:t>
      </w:r>
      <w:r w:rsidR="008E683D" w:rsidRPr="00784C15">
        <w:t xml:space="preserve"> </w:t>
      </w:r>
      <w:r w:rsidR="00383EED" w:rsidRPr="00784C15">
        <w:t xml:space="preserve">outstanding </w:t>
      </w:r>
      <w:r w:rsidR="00186F3E">
        <w:t>contributions</w:t>
      </w:r>
      <w:r w:rsidR="00383EED" w:rsidRPr="00784C15">
        <w:t xml:space="preserve">. This </w:t>
      </w:r>
      <w:r w:rsidR="00A36407">
        <w:t xml:space="preserve">would </w:t>
      </w:r>
      <w:r w:rsidR="00383EED" w:rsidRPr="00784C15">
        <w:t xml:space="preserve">allow better management and transparency </w:t>
      </w:r>
      <w:r w:rsidR="00692FBD">
        <w:t>in</w:t>
      </w:r>
      <w:r w:rsidR="00692FBD" w:rsidRPr="00784C15">
        <w:t xml:space="preserve"> </w:t>
      </w:r>
      <w:r w:rsidR="00383EED" w:rsidRPr="00784C15">
        <w:t xml:space="preserve">the use of the provisions. </w:t>
      </w:r>
    </w:p>
    <w:p w14:paraId="2D093193" w14:textId="77777777" w:rsidR="000F435C" w:rsidRPr="00942026" w:rsidRDefault="000F435C" w:rsidP="00162710">
      <w:pPr>
        <w:pStyle w:val="NoSpacing"/>
        <w:ind w:left="850"/>
      </w:pPr>
    </w:p>
    <w:p w14:paraId="7DBBFE8A" w14:textId="68670EF6" w:rsidR="00BD1DFC" w:rsidRPr="00421152" w:rsidRDefault="00FA0633" w:rsidP="00162710">
      <w:pPr>
        <w:pStyle w:val="NoSpacing"/>
      </w:pPr>
      <w:r>
        <w:t>10</w:t>
      </w:r>
      <w:r w:rsidR="000F435C" w:rsidRPr="00942026">
        <w:t>.</w:t>
      </w:r>
      <w:r w:rsidR="000F435C" w:rsidRPr="00942026">
        <w:tab/>
      </w:r>
      <w:r w:rsidR="00285981">
        <w:t xml:space="preserve">As mentioned in paragraph </w:t>
      </w:r>
      <w:r w:rsidR="00753CDA">
        <w:t>8</w:t>
      </w:r>
      <w:r w:rsidR="00285981">
        <w:t>, pre</w:t>
      </w:r>
      <w:r w:rsidR="003218F4">
        <w:t>-</w:t>
      </w:r>
      <w:r w:rsidR="00285981">
        <w:t>committed funds and uncommitted/</w:t>
      </w:r>
      <w:r w:rsidR="001404C4">
        <w:t>unspent</w:t>
      </w:r>
      <w:r w:rsidR="00EA444A">
        <w:t xml:space="preserve"> </w:t>
      </w:r>
      <w:r w:rsidR="00285981">
        <w:t xml:space="preserve">balances </w:t>
      </w:r>
      <w:r w:rsidR="00882609">
        <w:t>will be</w:t>
      </w:r>
      <w:r w:rsidR="00285981">
        <w:t xml:space="preserve"> carried forward to 2020. </w:t>
      </w:r>
    </w:p>
    <w:p w14:paraId="14318ACF" w14:textId="77777777" w:rsidR="00E02B6E" w:rsidRPr="00421152" w:rsidRDefault="00E02B6E" w:rsidP="00162710">
      <w:pPr>
        <w:pStyle w:val="NoSpacing"/>
      </w:pPr>
    </w:p>
    <w:p w14:paraId="3ECE0B0A" w14:textId="7C4A4959" w:rsidR="009A176F" w:rsidRDefault="00FA0633" w:rsidP="00162710">
      <w:pPr>
        <w:pStyle w:val="NoSpacing"/>
      </w:pPr>
      <w:r>
        <w:lastRenderedPageBreak/>
        <w:t>11</w:t>
      </w:r>
      <w:r w:rsidR="00A523BE">
        <w:t>.</w:t>
      </w:r>
      <w:r w:rsidR="00A523BE">
        <w:tab/>
      </w:r>
      <w:r w:rsidR="002B0D26" w:rsidRPr="00421152">
        <w:t>Funds which had</w:t>
      </w:r>
      <w:r w:rsidR="008B1247" w:rsidRPr="00421152">
        <w:t xml:space="preserve">, prior to 2017, </w:t>
      </w:r>
      <w:r w:rsidR="002B0D26" w:rsidRPr="00421152">
        <w:t>been transferred to non-core</w:t>
      </w:r>
      <w:r w:rsidR="008B1247" w:rsidRPr="00421152">
        <w:t xml:space="preserve"> projects</w:t>
      </w:r>
      <w:r w:rsidR="002B0D26" w:rsidRPr="00421152">
        <w:t xml:space="preserve"> remain under</w:t>
      </w:r>
      <w:r w:rsidR="008B1247" w:rsidRPr="00421152">
        <w:t xml:space="preserve"> the</w:t>
      </w:r>
      <w:r w:rsidR="002B0D26" w:rsidRPr="00421152">
        <w:t xml:space="preserve"> non-core</w:t>
      </w:r>
      <w:r w:rsidR="008B1247" w:rsidRPr="00421152">
        <w:t xml:space="preserve"> funding category</w:t>
      </w:r>
      <w:r w:rsidR="002B0D26" w:rsidRPr="00421152">
        <w:t xml:space="preserve"> and are being used up</w:t>
      </w:r>
      <w:r w:rsidR="0024781C" w:rsidRPr="00421152">
        <w:t xml:space="preserve"> for the specified purpose</w:t>
      </w:r>
      <w:r w:rsidR="00C14316" w:rsidRPr="00421152">
        <w:t xml:space="preserve"> approved by</w:t>
      </w:r>
      <w:r w:rsidR="007A3CB6" w:rsidRPr="00421152">
        <w:t xml:space="preserve"> </w:t>
      </w:r>
      <w:r w:rsidR="00A446A5">
        <w:t>D</w:t>
      </w:r>
      <w:r w:rsidR="0004214F" w:rsidRPr="00421152">
        <w:t>ecision SC54-26</w:t>
      </w:r>
      <w:r w:rsidR="002B0D26" w:rsidRPr="00421152">
        <w:t xml:space="preserve">. An overview </w:t>
      </w:r>
      <w:r w:rsidR="00BA0F3C">
        <w:t>of</w:t>
      </w:r>
      <w:r w:rsidR="00BA0F3C" w:rsidRPr="00421152">
        <w:t xml:space="preserve"> </w:t>
      </w:r>
      <w:r w:rsidR="00465271" w:rsidRPr="00421152">
        <w:t xml:space="preserve">these </w:t>
      </w:r>
      <w:r w:rsidR="002B0D26" w:rsidRPr="00421152">
        <w:t xml:space="preserve">can be found under the non-core funds report </w:t>
      </w:r>
      <w:r w:rsidR="001D0B77">
        <w:t>at</w:t>
      </w:r>
      <w:r w:rsidR="001D0B77" w:rsidRPr="00421152">
        <w:t xml:space="preserve"> </w:t>
      </w:r>
      <w:r w:rsidR="002B0D26" w:rsidRPr="00421152">
        <w:t xml:space="preserve">Annex </w:t>
      </w:r>
      <w:r w:rsidR="00A8663A" w:rsidRPr="00421152">
        <w:t>3</w:t>
      </w:r>
      <w:r w:rsidR="002B0D26" w:rsidRPr="00421152">
        <w:t>.</w:t>
      </w:r>
      <w:r w:rsidR="00A446A5">
        <w:t xml:space="preserve"> The practice of such </w:t>
      </w:r>
      <w:r w:rsidR="00A446A5" w:rsidRPr="00A154A5">
        <w:t>transfers was discontinued in 2017</w:t>
      </w:r>
      <w:r w:rsidR="0038188C">
        <w:t>.</w:t>
      </w:r>
    </w:p>
    <w:p w14:paraId="244D2A4A" w14:textId="77777777" w:rsidR="009A176F" w:rsidRDefault="009A176F" w:rsidP="00162710">
      <w:pPr>
        <w:pStyle w:val="NoSpacing"/>
        <w:ind w:firstLine="0"/>
      </w:pPr>
    </w:p>
    <w:p w14:paraId="4359CCAF" w14:textId="30854B20" w:rsidR="00D31409" w:rsidRDefault="00FA0633" w:rsidP="00FA0633">
      <w:pPr>
        <w:pStyle w:val="NoSpacing"/>
      </w:pPr>
      <w:r>
        <w:t>12.</w:t>
      </w:r>
      <w:r>
        <w:tab/>
      </w:r>
      <w:r w:rsidR="00BA2947" w:rsidRPr="00C8303A">
        <w:t xml:space="preserve">In 2019 </w:t>
      </w:r>
      <w:r w:rsidR="000F66B9" w:rsidRPr="00C8303A">
        <w:t>some corrections needed to be made</w:t>
      </w:r>
      <w:r w:rsidR="00107F64" w:rsidRPr="00C8303A">
        <w:t xml:space="preserve"> for expenditure that had been booked in the non-core projects. The allocation of these resources ha</w:t>
      </w:r>
      <w:r w:rsidR="0038188C">
        <w:t>d</w:t>
      </w:r>
      <w:r w:rsidR="00107F64" w:rsidRPr="00C8303A">
        <w:t xml:space="preserve"> been approved b</w:t>
      </w:r>
      <w:r w:rsidR="000F66B9" w:rsidRPr="00C8303A">
        <w:t xml:space="preserve">y the </w:t>
      </w:r>
      <w:r w:rsidR="00BA2947" w:rsidRPr="00C8303A">
        <w:t>Standing Committee</w:t>
      </w:r>
      <w:r w:rsidR="00107F64" w:rsidRPr="00C8303A">
        <w:t>,</w:t>
      </w:r>
      <w:r w:rsidR="00BA2947" w:rsidRPr="00C8303A">
        <w:t xml:space="preserve"> </w:t>
      </w:r>
      <w:r w:rsidR="000F66B9" w:rsidRPr="00C8303A">
        <w:t>as</w:t>
      </w:r>
      <w:r w:rsidR="00BA2947" w:rsidRPr="00C8303A">
        <w:t xml:space="preserve"> listed in </w:t>
      </w:r>
      <w:r w:rsidR="005273D4" w:rsidRPr="00C8303A">
        <w:t>Table 2 below</w:t>
      </w:r>
      <w:r w:rsidR="001C11BE" w:rsidRPr="00C8303A">
        <w:t>.</w:t>
      </w:r>
    </w:p>
    <w:p w14:paraId="77180C04" w14:textId="77777777" w:rsidR="00304F7C" w:rsidRPr="000F66B9" w:rsidRDefault="00304F7C" w:rsidP="00162710">
      <w:pPr>
        <w:pStyle w:val="NoSpacing"/>
      </w:pPr>
    </w:p>
    <w:p w14:paraId="79EC6668" w14:textId="69103E1D" w:rsidR="005273D4" w:rsidRPr="0099769F" w:rsidRDefault="005273D4" w:rsidP="00FA0633">
      <w:pPr>
        <w:pStyle w:val="NoSpacing"/>
        <w:ind w:left="0" w:firstLine="0"/>
        <w:rPr>
          <w:i/>
        </w:rPr>
      </w:pPr>
      <w:r w:rsidRPr="0099769F">
        <w:rPr>
          <w:i/>
        </w:rPr>
        <w:t xml:space="preserve">Table 2: </w:t>
      </w:r>
      <w:r w:rsidR="008E683D">
        <w:rPr>
          <w:i/>
        </w:rPr>
        <w:t>C</w:t>
      </w:r>
      <w:r w:rsidR="00BA2947" w:rsidRPr="0099769F">
        <w:rPr>
          <w:i/>
        </w:rPr>
        <w:t>orrections</w:t>
      </w:r>
      <w:r w:rsidRPr="0099769F">
        <w:rPr>
          <w:i/>
        </w:rPr>
        <w:t xml:space="preserve"> between core and non-core in 2019</w:t>
      </w:r>
      <w:r w:rsidR="001C11BE" w:rsidRPr="0099769F">
        <w:rPr>
          <w:i/>
        </w:rPr>
        <w:t xml:space="preserve"> (</w:t>
      </w:r>
      <w:r w:rsidR="00114BA0">
        <w:rPr>
          <w:i/>
        </w:rPr>
        <w:t xml:space="preserve">in </w:t>
      </w:r>
      <w:r w:rsidR="001C11BE" w:rsidRPr="0099769F">
        <w:rPr>
          <w:i/>
        </w:rPr>
        <w:t>‘000 CHF, includes possible rounding differences)</w:t>
      </w:r>
    </w:p>
    <w:tbl>
      <w:tblPr>
        <w:tblStyle w:val="TableGrid"/>
        <w:tblW w:w="9214" w:type="dxa"/>
        <w:tblInd w:w="-5" w:type="dxa"/>
        <w:tblCellMar>
          <w:top w:w="28" w:type="dxa"/>
          <w:left w:w="57" w:type="dxa"/>
          <w:bottom w:w="28" w:type="dxa"/>
          <w:right w:w="57" w:type="dxa"/>
        </w:tblCellMar>
        <w:tblLook w:val="04A0" w:firstRow="1" w:lastRow="0" w:firstColumn="1" w:lastColumn="0" w:noHBand="0" w:noVBand="1"/>
      </w:tblPr>
      <w:tblGrid>
        <w:gridCol w:w="851"/>
        <w:gridCol w:w="6804"/>
        <w:gridCol w:w="1559"/>
      </w:tblGrid>
      <w:tr w:rsidR="005273D4" w:rsidRPr="000F66B9" w14:paraId="20BF13BA" w14:textId="77777777" w:rsidTr="00941F90">
        <w:tc>
          <w:tcPr>
            <w:tcW w:w="851" w:type="dxa"/>
            <w:shd w:val="clear" w:color="auto" w:fill="DBE5F1" w:themeFill="accent1" w:themeFillTint="33"/>
          </w:tcPr>
          <w:p w14:paraId="3DD91BA6" w14:textId="14BEC3EA" w:rsidR="005273D4" w:rsidRPr="00941F90" w:rsidRDefault="005273D4" w:rsidP="00941F90">
            <w:pPr>
              <w:pStyle w:val="NoSpacing"/>
              <w:ind w:left="0" w:firstLine="0"/>
              <w:jc w:val="center"/>
              <w:rPr>
                <w:b/>
                <w:sz w:val="20"/>
                <w:szCs w:val="20"/>
              </w:rPr>
            </w:pPr>
            <w:r w:rsidRPr="00941F90">
              <w:rPr>
                <w:b/>
                <w:sz w:val="20"/>
                <w:szCs w:val="20"/>
              </w:rPr>
              <w:t>Item</w:t>
            </w:r>
          </w:p>
        </w:tc>
        <w:tc>
          <w:tcPr>
            <w:tcW w:w="6804" w:type="dxa"/>
            <w:shd w:val="clear" w:color="auto" w:fill="DBE5F1" w:themeFill="accent1" w:themeFillTint="33"/>
          </w:tcPr>
          <w:p w14:paraId="4D0678A9" w14:textId="6914E65C" w:rsidR="005273D4" w:rsidRPr="00941F90" w:rsidRDefault="005273D4" w:rsidP="00941F90">
            <w:pPr>
              <w:pStyle w:val="NoSpacing"/>
              <w:ind w:left="0" w:firstLine="0"/>
              <w:jc w:val="center"/>
              <w:rPr>
                <w:b/>
                <w:sz w:val="20"/>
                <w:szCs w:val="20"/>
              </w:rPr>
            </w:pPr>
            <w:r w:rsidRPr="00941F90">
              <w:rPr>
                <w:b/>
                <w:sz w:val="20"/>
                <w:szCs w:val="20"/>
              </w:rPr>
              <w:t>Description</w:t>
            </w:r>
          </w:p>
        </w:tc>
        <w:tc>
          <w:tcPr>
            <w:tcW w:w="1559" w:type="dxa"/>
            <w:shd w:val="clear" w:color="auto" w:fill="DBE5F1" w:themeFill="accent1" w:themeFillTint="33"/>
          </w:tcPr>
          <w:p w14:paraId="0C4FBE92" w14:textId="2A3ACDB8" w:rsidR="005273D4" w:rsidRPr="00941F90" w:rsidRDefault="005273D4" w:rsidP="00941F90">
            <w:pPr>
              <w:pStyle w:val="NoSpacing"/>
              <w:ind w:left="0" w:firstLine="0"/>
              <w:jc w:val="center"/>
              <w:rPr>
                <w:b/>
                <w:sz w:val="20"/>
                <w:szCs w:val="20"/>
              </w:rPr>
            </w:pPr>
            <w:r w:rsidRPr="00941F90">
              <w:rPr>
                <w:b/>
                <w:sz w:val="20"/>
                <w:szCs w:val="20"/>
              </w:rPr>
              <w:t>Amount</w:t>
            </w:r>
          </w:p>
        </w:tc>
      </w:tr>
      <w:tr w:rsidR="005273D4" w:rsidRPr="000F66B9" w14:paraId="59572CA9" w14:textId="77777777" w:rsidTr="00941F90">
        <w:tc>
          <w:tcPr>
            <w:tcW w:w="851" w:type="dxa"/>
          </w:tcPr>
          <w:p w14:paraId="5D6498D7" w14:textId="03B4BB8F" w:rsidR="005273D4" w:rsidRPr="00941F90" w:rsidRDefault="005273D4" w:rsidP="00753CDA">
            <w:pPr>
              <w:pStyle w:val="NoSpacing"/>
              <w:ind w:left="0" w:firstLine="0"/>
              <w:rPr>
                <w:sz w:val="20"/>
                <w:szCs w:val="20"/>
              </w:rPr>
            </w:pPr>
            <w:r w:rsidRPr="00941F90">
              <w:rPr>
                <w:sz w:val="20"/>
                <w:szCs w:val="20"/>
              </w:rPr>
              <w:t>1</w:t>
            </w:r>
            <w:r w:rsidR="00753CDA">
              <w:rPr>
                <w:sz w:val="20"/>
                <w:szCs w:val="20"/>
              </w:rPr>
              <w:t>.</w:t>
            </w:r>
          </w:p>
        </w:tc>
        <w:tc>
          <w:tcPr>
            <w:tcW w:w="6804" w:type="dxa"/>
          </w:tcPr>
          <w:p w14:paraId="77485AE0" w14:textId="478C1B84" w:rsidR="005273D4" w:rsidRPr="00941F90" w:rsidRDefault="005273D4" w:rsidP="00753CDA">
            <w:pPr>
              <w:pStyle w:val="NoSpacing"/>
              <w:ind w:left="0" w:firstLine="0"/>
              <w:rPr>
                <w:sz w:val="20"/>
                <w:szCs w:val="20"/>
              </w:rPr>
            </w:pPr>
            <w:r w:rsidRPr="00941F90">
              <w:rPr>
                <w:sz w:val="20"/>
                <w:szCs w:val="20"/>
              </w:rPr>
              <w:t xml:space="preserve">Complement </w:t>
            </w:r>
            <w:r w:rsidR="00886249" w:rsidRPr="00941F90">
              <w:rPr>
                <w:sz w:val="20"/>
                <w:szCs w:val="20"/>
              </w:rPr>
              <w:t xml:space="preserve">sponsored delegates to </w:t>
            </w:r>
            <w:r w:rsidRPr="00941F90">
              <w:rPr>
                <w:sz w:val="20"/>
                <w:szCs w:val="20"/>
              </w:rPr>
              <w:t>COP13 (SC57</w:t>
            </w:r>
            <w:r w:rsidR="00753CDA">
              <w:rPr>
                <w:sz w:val="20"/>
                <w:szCs w:val="20"/>
              </w:rPr>
              <w:t xml:space="preserve"> Doc.</w:t>
            </w:r>
            <w:r w:rsidRPr="00941F90">
              <w:rPr>
                <w:sz w:val="20"/>
                <w:szCs w:val="20"/>
              </w:rPr>
              <w:t>7.1, paragraph 12)</w:t>
            </w:r>
            <w:r w:rsidR="004E30C5" w:rsidRPr="00941F90">
              <w:rPr>
                <w:sz w:val="20"/>
                <w:szCs w:val="20"/>
              </w:rPr>
              <w:t>*</w:t>
            </w:r>
            <w:r w:rsidRPr="00941F90">
              <w:rPr>
                <w:sz w:val="20"/>
                <w:szCs w:val="20"/>
              </w:rPr>
              <w:t xml:space="preserve"> </w:t>
            </w:r>
          </w:p>
        </w:tc>
        <w:tc>
          <w:tcPr>
            <w:tcW w:w="1559" w:type="dxa"/>
          </w:tcPr>
          <w:p w14:paraId="2DD33D5C" w14:textId="55531074" w:rsidR="005273D4" w:rsidRPr="00941F90" w:rsidRDefault="00626AAF" w:rsidP="00162710">
            <w:pPr>
              <w:pStyle w:val="NoSpacing"/>
              <w:ind w:left="0" w:firstLine="0"/>
              <w:jc w:val="right"/>
              <w:rPr>
                <w:sz w:val="20"/>
                <w:szCs w:val="20"/>
              </w:rPr>
            </w:pPr>
            <w:r w:rsidRPr="00941F90">
              <w:rPr>
                <w:sz w:val="20"/>
                <w:szCs w:val="20"/>
              </w:rPr>
              <w:t>75</w:t>
            </w:r>
          </w:p>
        </w:tc>
      </w:tr>
      <w:tr w:rsidR="005273D4" w:rsidRPr="000F66B9" w14:paraId="1D513370" w14:textId="77777777" w:rsidTr="00941F90">
        <w:tc>
          <w:tcPr>
            <w:tcW w:w="851" w:type="dxa"/>
            <w:tcBorders>
              <w:bottom w:val="single" w:sz="4" w:space="0" w:color="auto"/>
            </w:tcBorders>
          </w:tcPr>
          <w:p w14:paraId="005932E7" w14:textId="65086421" w:rsidR="005273D4" w:rsidRPr="00941F90" w:rsidRDefault="005273D4" w:rsidP="00753CDA">
            <w:pPr>
              <w:pStyle w:val="NoSpacing"/>
              <w:ind w:left="0" w:firstLine="0"/>
              <w:rPr>
                <w:sz w:val="20"/>
                <w:szCs w:val="20"/>
              </w:rPr>
            </w:pPr>
            <w:r w:rsidRPr="00941F90">
              <w:rPr>
                <w:sz w:val="20"/>
                <w:szCs w:val="20"/>
              </w:rPr>
              <w:t>2</w:t>
            </w:r>
            <w:r w:rsidR="00753CDA">
              <w:rPr>
                <w:sz w:val="20"/>
                <w:szCs w:val="20"/>
              </w:rPr>
              <w:t>.</w:t>
            </w:r>
          </w:p>
        </w:tc>
        <w:tc>
          <w:tcPr>
            <w:tcW w:w="6804" w:type="dxa"/>
            <w:tcBorders>
              <w:bottom w:val="single" w:sz="4" w:space="0" w:color="auto"/>
            </w:tcBorders>
          </w:tcPr>
          <w:p w14:paraId="790283C8" w14:textId="36B413BD" w:rsidR="005273D4" w:rsidRPr="00941F90" w:rsidRDefault="00626AAF" w:rsidP="00753CDA">
            <w:pPr>
              <w:pStyle w:val="NoSpacing"/>
              <w:ind w:left="0" w:firstLine="0"/>
              <w:rPr>
                <w:sz w:val="20"/>
                <w:szCs w:val="20"/>
              </w:rPr>
            </w:pPr>
            <w:r w:rsidRPr="00941F90">
              <w:rPr>
                <w:sz w:val="20"/>
                <w:szCs w:val="20"/>
              </w:rPr>
              <w:t xml:space="preserve">Correction </w:t>
            </w:r>
            <w:r w:rsidR="00753CDA">
              <w:rPr>
                <w:sz w:val="20"/>
                <w:szCs w:val="20"/>
              </w:rPr>
              <w:t xml:space="preserve">Amazon Basin </w:t>
            </w:r>
            <w:r w:rsidRPr="00941F90">
              <w:rPr>
                <w:sz w:val="20"/>
                <w:szCs w:val="20"/>
              </w:rPr>
              <w:t>RRI (SC57</w:t>
            </w:r>
            <w:r w:rsidR="00753CDA">
              <w:rPr>
                <w:sz w:val="20"/>
                <w:szCs w:val="20"/>
              </w:rPr>
              <w:t xml:space="preserve"> Doc.</w:t>
            </w:r>
            <w:r w:rsidR="001C11BE" w:rsidRPr="00941F90">
              <w:rPr>
                <w:sz w:val="20"/>
                <w:szCs w:val="20"/>
              </w:rPr>
              <w:t>7.1, paragraph 16</w:t>
            </w:r>
            <w:r w:rsidRPr="00941F90">
              <w:rPr>
                <w:sz w:val="20"/>
                <w:szCs w:val="20"/>
              </w:rPr>
              <w:t>)</w:t>
            </w:r>
            <w:r w:rsidR="004E30C5" w:rsidRPr="00941F90">
              <w:rPr>
                <w:sz w:val="20"/>
                <w:szCs w:val="20"/>
              </w:rPr>
              <w:t>**</w:t>
            </w:r>
            <w:r w:rsidRPr="00941F90">
              <w:rPr>
                <w:sz w:val="20"/>
                <w:szCs w:val="20"/>
              </w:rPr>
              <w:t xml:space="preserve"> </w:t>
            </w:r>
          </w:p>
        </w:tc>
        <w:tc>
          <w:tcPr>
            <w:tcW w:w="1559" w:type="dxa"/>
            <w:tcBorders>
              <w:bottom w:val="single" w:sz="4" w:space="0" w:color="auto"/>
            </w:tcBorders>
          </w:tcPr>
          <w:p w14:paraId="708694E1" w14:textId="0241D722" w:rsidR="005273D4" w:rsidRPr="00941F90" w:rsidRDefault="00626AAF" w:rsidP="00162710">
            <w:pPr>
              <w:pStyle w:val="NoSpacing"/>
              <w:ind w:left="0" w:firstLine="0"/>
              <w:jc w:val="right"/>
              <w:rPr>
                <w:sz w:val="20"/>
                <w:szCs w:val="20"/>
              </w:rPr>
            </w:pPr>
            <w:r w:rsidRPr="00941F90">
              <w:rPr>
                <w:sz w:val="20"/>
                <w:szCs w:val="20"/>
              </w:rPr>
              <w:t>7</w:t>
            </w:r>
          </w:p>
        </w:tc>
      </w:tr>
      <w:tr w:rsidR="005273D4" w:rsidRPr="000F66B9" w14:paraId="7224154A" w14:textId="77777777" w:rsidTr="00941F90">
        <w:tc>
          <w:tcPr>
            <w:tcW w:w="851" w:type="dxa"/>
            <w:tcBorders>
              <w:bottom w:val="single" w:sz="8" w:space="0" w:color="auto"/>
            </w:tcBorders>
          </w:tcPr>
          <w:p w14:paraId="3ABB63AE" w14:textId="3566154C" w:rsidR="005273D4" w:rsidRPr="00941F90" w:rsidRDefault="005273D4" w:rsidP="00753CDA">
            <w:pPr>
              <w:pStyle w:val="NoSpacing"/>
              <w:ind w:left="0" w:firstLine="0"/>
              <w:rPr>
                <w:sz w:val="20"/>
                <w:szCs w:val="20"/>
              </w:rPr>
            </w:pPr>
            <w:r w:rsidRPr="00941F90">
              <w:rPr>
                <w:sz w:val="20"/>
                <w:szCs w:val="20"/>
              </w:rPr>
              <w:t>3</w:t>
            </w:r>
            <w:r w:rsidR="00753CDA">
              <w:rPr>
                <w:sz w:val="20"/>
                <w:szCs w:val="20"/>
              </w:rPr>
              <w:t>.</w:t>
            </w:r>
          </w:p>
        </w:tc>
        <w:tc>
          <w:tcPr>
            <w:tcW w:w="6804" w:type="dxa"/>
            <w:tcBorders>
              <w:bottom w:val="single" w:sz="8" w:space="0" w:color="auto"/>
            </w:tcBorders>
          </w:tcPr>
          <w:p w14:paraId="41EBDAE9" w14:textId="027949C1" w:rsidR="005273D4" w:rsidRPr="00941F90" w:rsidRDefault="00626AAF" w:rsidP="00753CDA">
            <w:pPr>
              <w:pStyle w:val="NoSpacing"/>
              <w:ind w:left="0" w:firstLine="0"/>
              <w:rPr>
                <w:sz w:val="20"/>
                <w:szCs w:val="20"/>
              </w:rPr>
            </w:pPr>
            <w:r w:rsidRPr="00941F90">
              <w:rPr>
                <w:sz w:val="20"/>
                <w:szCs w:val="20"/>
              </w:rPr>
              <w:t>Replenish A</w:t>
            </w:r>
            <w:r w:rsidR="00753CDA">
              <w:rPr>
                <w:sz w:val="20"/>
                <w:szCs w:val="20"/>
              </w:rPr>
              <w:t xml:space="preserve">frican voluntary contributions </w:t>
            </w:r>
            <w:r w:rsidRPr="00941F90">
              <w:rPr>
                <w:sz w:val="20"/>
                <w:szCs w:val="20"/>
              </w:rPr>
              <w:t>(SC57</w:t>
            </w:r>
            <w:r w:rsidR="00753CDA">
              <w:rPr>
                <w:sz w:val="20"/>
                <w:szCs w:val="20"/>
              </w:rPr>
              <w:t xml:space="preserve"> Doc.</w:t>
            </w:r>
            <w:r w:rsidRPr="00941F90">
              <w:rPr>
                <w:sz w:val="20"/>
                <w:szCs w:val="20"/>
              </w:rPr>
              <w:t xml:space="preserve">7.3, paragraph 18) </w:t>
            </w:r>
          </w:p>
        </w:tc>
        <w:tc>
          <w:tcPr>
            <w:tcW w:w="1559" w:type="dxa"/>
            <w:tcBorders>
              <w:bottom w:val="single" w:sz="8" w:space="0" w:color="auto"/>
            </w:tcBorders>
          </w:tcPr>
          <w:p w14:paraId="1039E82D" w14:textId="665EAC43" w:rsidR="005273D4" w:rsidRPr="00941F90" w:rsidRDefault="00626AAF" w:rsidP="00162710">
            <w:pPr>
              <w:pStyle w:val="NoSpacing"/>
              <w:ind w:left="0" w:firstLine="0"/>
              <w:jc w:val="right"/>
              <w:rPr>
                <w:sz w:val="20"/>
                <w:szCs w:val="20"/>
              </w:rPr>
            </w:pPr>
            <w:r w:rsidRPr="00941F90">
              <w:rPr>
                <w:sz w:val="20"/>
                <w:szCs w:val="20"/>
              </w:rPr>
              <w:t>33</w:t>
            </w:r>
          </w:p>
        </w:tc>
      </w:tr>
      <w:tr w:rsidR="005273D4" w14:paraId="03087D37" w14:textId="77777777" w:rsidTr="00941F90">
        <w:tc>
          <w:tcPr>
            <w:tcW w:w="851" w:type="dxa"/>
            <w:tcBorders>
              <w:top w:val="single" w:sz="8" w:space="0" w:color="auto"/>
            </w:tcBorders>
            <w:shd w:val="clear" w:color="auto" w:fill="B8CCE4" w:themeFill="accent1" w:themeFillTint="66"/>
          </w:tcPr>
          <w:p w14:paraId="4F2F13B9" w14:textId="77777777" w:rsidR="005273D4" w:rsidRPr="00941F90" w:rsidRDefault="005273D4" w:rsidP="00162710">
            <w:pPr>
              <w:pStyle w:val="NoSpacing"/>
              <w:ind w:left="0" w:firstLine="0"/>
              <w:rPr>
                <w:b/>
                <w:sz w:val="20"/>
                <w:szCs w:val="20"/>
              </w:rPr>
            </w:pPr>
          </w:p>
        </w:tc>
        <w:tc>
          <w:tcPr>
            <w:tcW w:w="6804" w:type="dxa"/>
            <w:tcBorders>
              <w:top w:val="single" w:sz="8" w:space="0" w:color="auto"/>
            </w:tcBorders>
            <w:shd w:val="clear" w:color="auto" w:fill="B8CCE4" w:themeFill="accent1" w:themeFillTint="66"/>
          </w:tcPr>
          <w:p w14:paraId="5C147759" w14:textId="5CC01BF6" w:rsidR="005273D4" w:rsidRPr="00941F90" w:rsidRDefault="005273D4" w:rsidP="00162710">
            <w:pPr>
              <w:pStyle w:val="NoSpacing"/>
              <w:ind w:left="0" w:firstLine="0"/>
              <w:rPr>
                <w:b/>
                <w:sz w:val="20"/>
                <w:szCs w:val="20"/>
              </w:rPr>
            </w:pPr>
            <w:r w:rsidRPr="00941F90">
              <w:rPr>
                <w:b/>
                <w:sz w:val="20"/>
                <w:szCs w:val="20"/>
              </w:rPr>
              <w:t>Total</w:t>
            </w:r>
            <w:r w:rsidR="00626AAF" w:rsidRPr="00941F90">
              <w:rPr>
                <w:b/>
                <w:sz w:val="20"/>
                <w:szCs w:val="20"/>
              </w:rPr>
              <w:t xml:space="preserve"> </w:t>
            </w:r>
            <w:r w:rsidR="00BA2947" w:rsidRPr="00941F90">
              <w:rPr>
                <w:b/>
                <w:sz w:val="20"/>
                <w:szCs w:val="20"/>
              </w:rPr>
              <w:t>corrections</w:t>
            </w:r>
            <w:r w:rsidR="001C11BE" w:rsidRPr="00941F90">
              <w:rPr>
                <w:b/>
                <w:sz w:val="20"/>
                <w:szCs w:val="20"/>
              </w:rPr>
              <w:t xml:space="preserve"> between core and non-core in 2019</w:t>
            </w:r>
            <w:r w:rsidR="00626AAF" w:rsidRPr="00941F90">
              <w:rPr>
                <w:b/>
                <w:sz w:val="20"/>
                <w:szCs w:val="20"/>
              </w:rPr>
              <w:t xml:space="preserve"> </w:t>
            </w:r>
          </w:p>
        </w:tc>
        <w:tc>
          <w:tcPr>
            <w:tcW w:w="1559" w:type="dxa"/>
            <w:tcBorders>
              <w:top w:val="single" w:sz="8" w:space="0" w:color="auto"/>
            </w:tcBorders>
            <w:shd w:val="clear" w:color="auto" w:fill="B8CCE4" w:themeFill="accent1" w:themeFillTint="66"/>
          </w:tcPr>
          <w:p w14:paraId="183374B1" w14:textId="05564070" w:rsidR="005273D4" w:rsidRPr="000C5FFB" w:rsidRDefault="00626AAF" w:rsidP="00162710">
            <w:pPr>
              <w:pStyle w:val="NoSpacing"/>
              <w:ind w:left="0" w:firstLine="0"/>
              <w:jc w:val="right"/>
              <w:rPr>
                <w:b/>
                <w:sz w:val="20"/>
                <w:szCs w:val="20"/>
              </w:rPr>
            </w:pPr>
            <w:r w:rsidRPr="000C5FFB">
              <w:rPr>
                <w:b/>
                <w:sz w:val="20"/>
                <w:szCs w:val="20"/>
              </w:rPr>
              <w:t>115</w:t>
            </w:r>
          </w:p>
        </w:tc>
      </w:tr>
    </w:tbl>
    <w:p w14:paraId="54667EDB" w14:textId="36B8FFC5" w:rsidR="005273D4" w:rsidRPr="00C730BF" w:rsidRDefault="00DB623C" w:rsidP="00941F90">
      <w:pPr>
        <w:pStyle w:val="NoSpacing"/>
        <w:ind w:left="0" w:firstLine="0"/>
        <w:rPr>
          <w:i/>
          <w:sz w:val="20"/>
          <w:szCs w:val="20"/>
        </w:rPr>
      </w:pPr>
      <w:r w:rsidRPr="00C730BF">
        <w:rPr>
          <w:i/>
          <w:sz w:val="20"/>
          <w:szCs w:val="20"/>
        </w:rPr>
        <w:t>*total of 75K is used instead of CHF 94K approved</w:t>
      </w:r>
    </w:p>
    <w:p w14:paraId="7238F91D" w14:textId="020F21F8" w:rsidR="004E30C5" w:rsidRPr="00C730BF" w:rsidRDefault="004E30C5" w:rsidP="00941F90">
      <w:pPr>
        <w:pStyle w:val="NoSpacing"/>
        <w:ind w:left="0" w:firstLine="0"/>
        <w:rPr>
          <w:i/>
          <w:sz w:val="20"/>
          <w:szCs w:val="20"/>
        </w:rPr>
      </w:pPr>
      <w:r w:rsidRPr="00C730BF">
        <w:rPr>
          <w:i/>
          <w:sz w:val="20"/>
          <w:szCs w:val="20"/>
        </w:rPr>
        <w:t>** included in the 2019 expenditure</w:t>
      </w:r>
    </w:p>
    <w:p w14:paraId="242724E1" w14:textId="749967C3" w:rsidR="00304F7C" w:rsidRDefault="00304F7C" w:rsidP="00162710">
      <w:pPr>
        <w:pStyle w:val="NoSpacing"/>
        <w:ind w:left="0" w:firstLine="0"/>
      </w:pPr>
    </w:p>
    <w:p w14:paraId="3C2E9B0D" w14:textId="77777777" w:rsidR="00DA6FAA" w:rsidRDefault="00DA6FAA" w:rsidP="00162710">
      <w:pPr>
        <w:pStyle w:val="NoSpacing"/>
        <w:ind w:left="0" w:firstLine="0"/>
      </w:pPr>
    </w:p>
    <w:p w14:paraId="302A4460" w14:textId="3CAE3C06" w:rsidR="00241BD9" w:rsidRDefault="00FA0633" w:rsidP="00162710">
      <w:r>
        <w:t>13.</w:t>
      </w:r>
      <w:r>
        <w:tab/>
      </w:r>
      <w:r w:rsidR="00241BD9">
        <w:t xml:space="preserve">The final amount used to complement voluntary funding for COP13 sponsored </w:t>
      </w:r>
      <w:r w:rsidR="00241BD9" w:rsidRPr="00A154A5">
        <w:t>delegate support was CHF 75K instead of CHF 94K approved</w:t>
      </w:r>
      <w:r w:rsidR="00241BD9">
        <w:t>. The reduction is due to reimbursement of unused funds allocated to delegates’ credit cards for daily expenses.</w:t>
      </w:r>
    </w:p>
    <w:p w14:paraId="12FAA4CC" w14:textId="77777777" w:rsidR="00241BD9" w:rsidRDefault="00241BD9" w:rsidP="00162710">
      <w:pPr>
        <w:pStyle w:val="NoSpacing"/>
      </w:pPr>
    </w:p>
    <w:p w14:paraId="07385D5D" w14:textId="439D5C09" w:rsidR="00F1054B" w:rsidRPr="00496317" w:rsidRDefault="00F1054B" w:rsidP="00FA0633">
      <w:pPr>
        <w:ind w:left="0" w:firstLine="0"/>
        <w:rPr>
          <w:i/>
        </w:rPr>
      </w:pPr>
      <w:r>
        <w:rPr>
          <w:i/>
        </w:rPr>
        <w:t xml:space="preserve">Adjustments to </w:t>
      </w:r>
      <w:r w:rsidR="008E683D">
        <w:rPr>
          <w:i/>
        </w:rPr>
        <w:t xml:space="preserve">the </w:t>
      </w:r>
      <w:r>
        <w:rPr>
          <w:i/>
        </w:rPr>
        <w:t xml:space="preserve">2019 </w:t>
      </w:r>
      <w:r w:rsidR="008E683D">
        <w:rPr>
          <w:i/>
        </w:rPr>
        <w:t xml:space="preserve">core </w:t>
      </w:r>
      <w:r>
        <w:rPr>
          <w:i/>
        </w:rPr>
        <w:t>budget</w:t>
      </w:r>
    </w:p>
    <w:p w14:paraId="18625D81" w14:textId="77777777" w:rsidR="00F1054B" w:rsidRPr="00421152" w:rsidRDefault="00F1054B" w:rsidP="00162710"/>
    <w:p w14:paraId="10A9D17E" w14:textId="15F017BA" w:rsidR="00F1054B" w:rsidRDefault="00FA0633" w:rsidP="00162710">
      <w:r>
        <w:t>14</w:t>
      </w:r>
      <w:r w:rsidR="00F1054B">
        <w:t>.</w:t>
      </w:r>
      <w:r w:rsidR="00F1054B">
        <w:tab/>
        <w:t>The following adjustments were m</w:t>
      </w:r>
      <w:r>
        <w:t>ade to the core budget in 2019:</w:t>
      </w:r>
    </w:p>
    <w:p w14:paraId="5DD68804" w14:textId="77777777" w:rsidR="00F1054B" w:rsidRDefault="00F1054B" w:rsidP="00162710"/>
    <w:p w14:paraId="0A2CF8F8" w14:textId="7B437308" w:rsidR="00F1054B" w:rsidRDefault="00FA0633" w:rsidP="00FA0633">
      <w:pPr>
        <w:pStyle w:val="NoSpacing"/>
        <w:ind w:left="851"/>
      </w:pPr>
      <w:r>
        <w:t>a.</w:t>
      </w:r>
      <w:r>
        <w:tab/>
      </w:r>
      <w:r w:rsidR="00F1054B" w:rsidRPr="0093328F">
        <w:t xml:space="preserve">In 2019 the Secretariat reallocated CHF 12K </w:t>
      </w:r>
      <w:r w:rsidR="00753CDA">
        <w:t xml:space="preserve">of the </w:t>
      </w:r>
      <w:r w:rsidR="00F1054B" w:rsidRPr="0093328F">
        <w:t xml:space="preserve">travel budget from Regional Advice and Support to </w:t>
      </w:r>
      <w:r w:rsidR="00F1054B">
        <w:t xml:space="preserve">Scientific and Technical </w:t>
      </w:r>
      <w:r w:rsidR="007107C4">
        <w:t>S</w:t>
      </w:r>
      <w:r w:rsidR="00F1054B">
        <w:t>ervices</w:t>
      </w:r>
      <w:r w:rsidR="008E683D">
        <w:t>,</w:t>
      </w:r>
      <w:r w:rsidR="00F1054B">
        <w:t xml:space="preserve"> to respond to </w:t>
      </w:r>
      <w:r w:rsidR="004E59AF">
        <w:t xml:space="preserve">travel </w:t>
      </w:r>
      <w:r w:rsidR="00F1054B">
        <w:t xml:space="preserve">needs in accordance with the approved workplan. </w:t>
      </w:r>
      <w:r w:rsidR="00F1054B" w:rsidRPr="00150C96">
        <w:t xml:space="preserve">This change </w:t>
      </w:r>
      <w:r w:rsidR="007107C4">
        <w:t xml:space="preserve">was </w:t>
      </w:r>
      <w:r w:rsidR="00F1054B" w:rsidRPr="00150C96">
        <w:t xml:space="preserve">made in line with </w:t>
      </w:r>
      <w:r w:rsidR="00EA44B5" w:rsidRPr="00150C96">
        <w:t>paragraph 28</w:t>
      </w:r>
      <w:r w:rsidR="00EA44B5">
        <w:t xml:space="preserve"> of </w:t>
      </w:r>
      <w:r w:rsidR="00F1054B" w:rsidRPr="00150C96">
        <w:t>Resolution XII</w:t>
      </w:r>
      <w:r w:rsidR="00EA44B5">
        <w:t>I</w:t>
      </w:r>
      <w:r w:rsidR="00F1054B" w:rsidRPr="00150C96">
        <w:t xml:space="preserve">.2 , which </w:t>
      </w:r>
      <w:r w:rsidR="00F1054B">
        <w:t>“</w:t>
      </w:r>
      <w:r w:rsidR="00F1054B" w:rsidRPr="00150C96">
        <w:t>authorises the Secretary General to transfer resources between travel budget lines, ensuring that the Subgroup on Finance is informed and that such transfers are reported to the Standi</w:t>
      </w:r>
      <w:r w:rsidR="00F1054B">
        <w:t xml:space="preserve">ng Committee at its next </w:t>
      </w:r>
      <w:r w:rsidR="00F1054B" w:rsidRPr="00150C96">
        <w:t>meeting</w:t>
      </w:r>
      <w:r w:rsidR="00F1054B">
        <w:t>”</w:t>
      </w:r>
      <w:r w:rsidR="00F1054B" w:rsidRPr="00150C96">
        <w:t xml:space="preserve">. </w:t>
      </w:r>
    </w:p>
    <w:p w14:paraId="7A57EAB4" w14:textId="77777777" w:rsidR="00F1054B" w:rsidRDefault="00F1054B" w:rsidP="00FA0633">
      <w:pPr>
        <w:pStyle w:val="NoSpacing"/>
        <w:ind w:left="851"/>
      </w:pPr>
    </w:p>
    <w:p w14:paraId="19D3E677" w14:textId="21123F8C" w:rsidR="00F1054B" w:rsidRDefault="00FA0633" w:rsidP="00FA0633">
      <w:pPr>
        <w:pStyle w:val="NoSpacing"/>
        <w:ind w:left="851"/>
      </w:pPr>
      <w:r>
        <w:t>b.</w:t>
      </w:r>
      <w:r>
        <w:tab/>
      </w:r>
      <w:r w:rsidR="00F1054B">
        <w:t>Decision SC57-48 approved the allocation of CHF</w:t>
      </w:r>
      <w:r w:rsidR="007107C4">
        <w:t xml:space="preserve"> </w:t>
      </w:r>
      <w:r w:rsidR="00F1054B">
        <w:t xml:space="preserve">100K from the core budget to Ramsar Regional Initiatives and instructed the Secretariat to contact </w:t>
      </w:r>
      <w:r w:rsidR="007107C4">
        <w:t>the Ramsar Regional Initiative for the Senegal River Basin (</w:t>
      </w:r>
      <w:r w:rsidR="00F1054B">
        <w:t>SenegalWet</w:t>
      </w:r>
      <w:r w:rsidR="007107C4">
        <w:t>)</w:t>
      </w:r>
      <w:r w:rsidR="00F1054B">
        <w:t xml:space="preserve"> regarding the unspent balance from the previous years and inquire if an additional allocation of CHF 25K was needed. SenegalWet reported that the funds were not needed. The Secretariat then followed the instructions from Decision</w:t>
      </w:r>
      <w:r w:rsidR="00096FAE">
        <w:t xml:space="preserve"> </w:t>
      </w:r>
      <w:r w:rsidR="00F1054B">
        <w:t>SC57-48 to distribute the CHF</w:t>
      </w:r>
      <w:r w:rsidR="00096FAE">
        <w:t xml:space="preserve"> </w:t>
      </w:r>
      <w:r w:rsidR="00F1054B">
        <w:t>100K available to the Amazon River Basin Regional Initiative, Central Asia Regional Initiative and the Indo-Burma Regional Initiative equally. This adjustment is reflected in the 2019 budget.</w:t>
      </w:r>
    </w:p>
    <w:p w14:paraId="206DD118" w14:textId="323E93C4" w:rsidR="001968D7" w:rsidRPr="00421152" w:rsidRDefault="001968D7" w:rsidP="001B3288">
      <w:pPr>
        <w:ind w:left="0" w:firstLine="0"/>
      </w:pPr>
    </w:p>
    <w:p w14:paraId="0FAD30C8" w14:textId="41E4C32C" w:rsidR="00E32440" w:rsidRPr="00421152" w:rsidRDefault="00E32440" w:rsidP="00162710">
      <w:pPr>
        <w:pStyle w:val="NoSpacing"/>
        <w:keepNext/>
        <w:ind w:left="0" w:firstLine="0"/>
        <w:rPr>
          <w:b/>
        </w:rPr>
      </w:pPr>
      <w:r w:rsidRPr="00421152">
        <w:rPr>
          <w:b/>
        </w:rPr>
        <w:t>201</w:t>
      </w:r>
      <w:r w:rsidR="00583E4B">
        <w:rPr>
          <w:b/>
        </w:rPr>
        <w:t>9</w:t>
      </w:r>
      <w:r w:rsidRPr="00421152">
        <w:rPr>
          <w:b/>
        </w:rPr>
        <w:t xml:space="preserve"> </w:t>
      </w:r>
      <w:r w:rsidR="00EA33CB">
        <w:rPr>
          <w:b/>
        </w:rPr>
        <w:t>carry forward</w:t>
      </w:r>
    </w:p>
    <w:p w14:paraId="4EC14AA2" w14:textId="642F6BE8" w:rsidR="008F4DA8" w:rsidRPr="00421152" w:rsidRDefault="008F4DA8" w:rsidP="00162710">
      <w:pPr>
        <w:keepNext/>
      </w:pPr>
    </w:p>
    <w:p w14:paraId="0A4B8178" w14:textId="4A309DEF" w:rsidR="008F4DA8" w:rsidRPr="009D2783" w:rsidRDefault="00AD0650" w:rsidP="00162710">
      <w:r>
        <w:t>15</w:t>
      </w:r>
      <w:r w:rsidR="008F4DA8" w:rsidRPr="00421152">
        <w:t>.</w:t>
      </w:r>
      <w:r w:rsidR="008F4DA8" w:rsidRPr="00421152">
        <w:tab/>
      </w:r>
      <w:r w:rsidR="00063F47" w:rsidRPr="00942026">
        <w:t xml:space="preserve">The statement of income and expenditure for </w:t>
      </w:r>
      <w:r w:rsidR="00B35466" w:rsidRPr="00942026">
        <w:t>201</w:t>
      </w:r>
      <w:r w:rsidR="00583E4B" w:rsidRPr="00942026">
        <w:t>9</w:t>
      </w:r>
      <w:r w:rsidR="00063F47" w:rsidRPr="00942026">
        <w:t xml:space="preserve"> in the audited financial statements (</w:t>
      </w:r>
      <w:r w:rsidR="00326625" w:rsidRPr="00942026">
        <w:t xml:space="preserve">see </w:t>
      </w:r>
      <w:r w:rsidR="00063F47" w:rsidRPr="00942026">
        <w:t>Annex 1</w:t>
      </w:r>
      <w:r w:rsidR="00326625" w:rsidRPr="00942026">
        <w:t>, table II</w:t>
      </w:r>
      <w:r w:rsidR="00063F47" w:rsidRPr="00942026">
        <w:t xml:space="preserve">) shows that the </w:t>
      </w:r>
      <w:r w:rsidR="001E1873" w:rsidRPr="00942026">
        <w:t xml:space="preserve">core </w:t>
      </w:r>
      <w:r w:rsidR="00063F47" w:rsidRPr="00942026">
        <w:t xml:space="preserve">fund balance at the end of the year </w:t>
      </w:r>
      <w:r w:rsidR="006A4C5B" w:rsidRPr="00942026">
        <w:t xml:space="preserve">was </w:t>
      </w:r>
      <w:r w:rsidR="008F4DA8" w:rsidRPr="009D2783">
        <w:t xml:space="preserve">CHF </w:t>
      </w:r>
      <w:r w:rsidR="001E1873" w:rsidRPr="009D2783">
        <w:t>2,648</w:t>
      </w:r>
      <w:r w:rsidR="008F4DA8" w:rsidRPr="009D2783">
        <w:t>K. This includes</w:t>
      </w:r>
      <w:r w:rsidR="00AE5291" w:rsidRPr="009D2783">
        <w:t xml:space="preserve"> the </w:t>
      </w:r>
      <w:r w:rsidR="00583E4B" w:rsidRPr="009D2783">
        <w:t xml:space="preserve">2018 </w:t>
      </w:r>
      <w:r w:rsidR="00942026" w:rsidRPr="009D2783">
        <w:t xml:space="preserve">core </w:t>
      </w:r>
      <w:r w:rsidR="00AE5291" w:rsidRPr="009D2783">
        <w:t xml:space="preserve">fund balance (at the beginning of </w:t>
      </w:r>
      <w:r w:rsidR="00583E4B" w:rsidRPr="009D2783">
        <w:t>2019</w:t>
      </w:r>
      <w:r w:rsidR="00AE5291" w:rsidRPr="009D2783">
        <w:t>)</w:t>
      </w:r>
      <w:r w:rsidR="00B35466" w:rsidRPr="009D2783">
        <w:t xml:space="preserve"> of CHF </w:t>
      </w:r>
      <w:r w:rsidR="00583E4B" w:rsidRPr="009D2783">
        <w:t>2,196</w:t>
      </w:r>
      <w:r w:rsidR="00B35466" w:rsidRPr="009D2783">
        <w:t>K</w:t>
      </w:r>
      <w:r w:rsidR="00AE5291" w:rsidRPr="009D2783">
        <w:t xml:space="preserve"> and the</w:t>
      </w:r>
      <w:r w:rsidR="002B27B1" w:rsidRPr="009D2783">
        <w:t xml:space="preserve"> </w:t>
      </w:r>
      <w:r w:rsidR="00AE5291" w:rsidRPr="009D2783">
        <w:t>net</w:t>
      </w:r>
      <w:r w:rsidR="002B27B1" w:rsidRPr="009D2783">
        <w:t xml:space="preserve"> income</w:t>
      </w:r>
      <w:r w:rsidR="00583E4B" w:rsidRPr="009D2783">
        <w:t xml:space="preserve"> </w:t>
      </w:r>
      <w:r w:rsidR="002B27B1" w:rsidRPr="009D2783">
        <w:t xml:space="preserve">over expenditure for </w:t>
      </w:r>
      <w:r w:rsidR="00583E4B" w:rsidRPr="009D2783">
        <w:t xml:space="preserve">2019 </w:t>
      </w:r>
      <w:r w:rsidR="00273EDF" w:rsidRPr="009D2783">
        <w:t xml:space="preserve">of CHF </w:t>
      </w:r>
      <w:r w:rsidR="001E1873" w:rsidRPr="009D2783">
        <w:t>452</w:t>
      </w:r>
      <w:r w:rsidR="00583E4B" w:rsidRPr="009D2783">
        <w:t xml:space="preserve">K </w:t>
      </w:r>
      <w:r w:rsidR="002B27B1" w:rsidRPr="009D2783">
        <w:t xml:space="preserve">as per the </w:t>
      </w:r>
      <w:r w:rsidR="00847570" w:rsidRPr="009D2783">
        <w:t xml:space="preserve">audited </w:t>
      </w:r>
      <w:r w:rsidR="002B27B1" w:rsidRPr="009D2783">
        <w:t xml:space="preserve">financial statements </w:t>
      </w:r>
      <w:r w:rsidR="00273EDF" w:rsidRPr="009D2783">
        <w:t xml:space="preserve">and </w:t>
      </w:r>
      <w:r w:rsidR="00583E4B" w:rsidRPr="009D2783">
        <w:t xml:space="preserve">2019 </w:t>
      </w:r>
      <w:r w:rsidR="00FD2E2F" w:rsidRPr="009D2783">
        <w:t>core results</w:t>
      </w:r>
      <w:r w:rsidR="00273EDF" w:rsidRPr="009D2783">
        <w:t xml:space="preserve"> for the period 1 January to 31 December </w:t>
      </w:r>
      <w:r w:rsidR="00583E4B" w:rsidRPr="009D2783">
        <w:t xml:space="preserve">2019 </w:t>
      </w:r>
      <w:r w:rsidR="002B27B1" w:rsidRPr="009D2783">
        <w:t>(Annex</w:t>
      </w:r>
      <w:r w:rsidR="00A523BE" w:rsidRPr="009D2783">
        <w:t xml:space="preserve"> 2</w:t>
      </w:r>
      <w:r w:rsidR="002B27B1" w:rsidRPr="009D2783">
        <w:t>).</w:t>
      </w:r>
    </w:p>
    <w:p w14:paraId="1D8AC35B" w14:textId="63B6219E" w:rsidR="00AE5291" w:rsidRPr="009D2783" w:rsidRDefault="00AE5291" w:rsidP="00162710"/>
    <w:p w14:paraId="550BBAB1" w14:textId="0324F03D" w:rsidR="00155710" w:rsidRPr="009D2783" w:rsidRDefault="00AD0650" w:rsidP="00162710">
      <w:r w:rsidRPr="009D2783">
        <w:t>16</w:t>
      </w:r>
      <w:r w:rsidR="00A523BE" w:rsidRPr="009D2783">
        <w:t>.</w:t>
      </w:r>
      <w:r w:rsidR="00A523BE" w:rsidRPr="009D2783">
        <w:tab/>
      </w:r>
      <w:r w:rsidR="00AE5291" w:rsidRPr="009D2783">
        <w:t xml:space="preserve">The </w:t>
      </w:r>
      <w:r w:rsidR="003B0AD8">
        <w:t xml:space="preserve">2019 </w:t>
      </w:r>
      <w:r w:rsidR="0008231A">
        <w:t xml:space="preserve">core </w:t>
      </w:r>
      <w:r w:rsidR="00AE5291" w:rsidRPr="009D2783">
        <w:t xml:space="preserve">fund balance </w:t>
      </w:r>
      <w:r w:rsidR="0008231A">
        <w:t xml:space="preserve">above </w:t>
      </w:r>
      <w:r w:rsidR="00AE5291" w:rsidRPr="009D2783">
        <w:t>includes t</w:t>
      </w:r>
      <w:r w:rsidR="008E3029" w:rsidRPr="009D2783">
        <w:t xml:space="preserve">he </w:t>
      </w:r>
      <w:r w:rsidR="00302FEE" w:rsidRPr="009D2783">
        <w:t xml:space="preserve">reserve fund </w:t>
      </w:r>
      <w:r w:rsidR="005139ED" w:rsidRPr="009D2783">
        <w:t xml:space="preserve">of </w:t>
      </w:r>
      <w:r w:rsidR="00AE5291" w:rsidRPr="009D2783">
        <w:t>CHF 762K</w:t>
      </w:r>
      <w:r w:rsidR="003B0AD8">
        <w:t>. This corresponds</w:t>
      </w:r>
      <w:r w:rsidR="00AE5291" w:rsidRPr="009D2783">
        <w:t xml:space="preserve"> to 15% of the annual core budget</w:t>
      </w:r>
      <w:r w:rsidR="003B0AD8">
        <w:t>,</w:t>
      </w:r>
      <w:r w:rsidR="003B0AD8" w:rsidRPr="009D2783">
        <w:t xml:space="preserve"> the maximum level approved by </w:t>
      </w:r>
      <w:r w:rsidR="00AE5291" w:rsidRPr="009D2783">
        <w:t xml:space="preserve">COP13 in </w:t>
      </w:r>
      <w:r w:rsidR="00997B4C" w:rsidRPr="009D2783">
        <w:t>paragraph 33</w:t>
      </w:r>
      <w:r w:rsidR="0008231A">
        <w:t xml:space="preserve"> </w:t>
      </w:r>
      <w:r w:rsidR="00997B4C" w:rsidRPr="009D2783">
        <w:t xml:space="preserve">of </w:t>
      </w:r>
      <w:r w:rsidR="00AE5291" w:rsidRPr="009D2783">
        <w:t>Resolution XIII.2.</w:t>
      </w:r>
      <w:r w:rsidR="00A523BE" w:rsidRPr="009D2783">
        <w:t xml:space="preserve"> </w:t>
      </w:r>
      <w:r w:rsidR="00516ECE">
        <w:t>Therefore</w:t>
      </w:r>
      <w:r w:rsidR="00AE5291" w:rsidRPr="009D2783">
        <w:t xml:space="preserve"> there is no need to reallocate resources for this purpose.</w:t>
      </w:r>
      <w:r w:rsidR="005A313D" w:rsidRPr="009D2783">
        <w:t xml:space="preserve"> </w:t>
      </w:r>
    </w:p>
    <w:p w14:paraId="3510C178" w14:textId="77777777" w:rsidR="00155710" w:rsidRPr="009D2783" w:rsidRDefault="00155710" w:rsidP="00162710"/>
    <w:p w14:paraId="1E5D1501" w14:textId="387011C2" w:rsidR="00155710" w:rsidRPr="009D2783" w:rsidRDefault="00AD0650" w:rsidP="00AD0650">
      <w:r w:rsidRPr="009D2783">
        <w:t>17.</w:t>
      </w:r>
      <w:r w:rsidRPr="009D2783">
        <w:tab/>
      </w:r>
      <w:r w:rsidR="00674A48" w:rsidRPr="009D2783">
        <w:t>Th</w:t>
      </w:r>
      <w:r w:rsidR="00122175">
        <w:t>e core fund</w:t>
      </w:r>
      <w:r w:rsidR="00674A48" w:rsidRPr="009D2783">
        <w:t xml:space="preserve"> </w:t>
      </w:r>
      <w:r w:rsidR="0015502B" w:rsidRPr="009D2783">
        <w:t>balance</w:t>
      </w:r>
      <w:r w:rsidR="00886249" w:rsidRPr="009D2783">
        <w:t xml:space="preserve"> </w:t>
      </w:r>
      <w:r w:rsidR="00155710" w:rsidRPr="009D2783">
        <w:t>also includes</w:t>
      </w:r>
      <w:r w:rsidR="004E59AF" w:rsidRPr="009D2783">
        <w:t xml:space="preserve"> the</w:t>
      </w:r>
      <w:r w:rsidR="00155710" w:rsidRPr="009D2783">
        <w:t xml:space="preserve"> approved use </w:t>
      </w:r>
      <w:r w:rsidR="00620208" w:rsidRPr="009D2783">
        <w:t xml:space="preserve">for the 2019-2021 triennium </w:t>
      </w:r>
      <w:r w:rsidR="00155710" w:rsidRPr="009D2783">
        <w:t xml:space="preserve">of </w:t>
      </w:r>
      <w:r w:rsidR="00620208" w:rsidRPr="009D2783">
        <w:t xml:space="preserve">the </w:t>
      </w:r>
      <w:r w:rsidR="00155710" w:rsidRPr="009D2783">
        <w:t>2018 surplus of CHF 228K (Resolution XIII.2, paragraph 15)</w:t>
      </w:r>
      <w:r w:rsidR="0064639B" w:rsidRPr="009D2783">
        <w:t xml:space="preserve">, to cover the gap created in the </w:t>
      </w:r>
      <w:r w:rsidR="00620208" w:rsidRPr="009D2783">
        <w:t xml:space="preserve">core </w:t>
      </w:r>
      <w:r w:rsidR="0064639B" w:rsidRPr="009D2783">
        <w:t>budget of the Secretariat to cover the cost of a new position of Finance and Accounting Assistant (cuts were made to communications, travel, STRP and planning and capacity-building budget lines that were filled with this surplus)</w:t>
      </w:r>
      <w:r w:rsidR="00155710" w:rsidRPr="009D2783">
        <w:t xml:space="preserve">. The </w:t>
      </w:r>
      <w:r w:rsidR="009A176F" w:rsidRPr="009D2783">
        <w:t xml:space="preserve">funds </w:t>
      </w:r>
      <w:r w:rsidR="00155710" w:rsidRPr="009D2783">
        <w:t>to be used in 2020 and 2021</w:t>
      </w:r>
      <w:r w:rsidR="009A176F" w:rsidRPr="009D2783">
        <w:t xml:space="preserve"> </w:t>
      </w:r>
      <w:r w:rsidR="000B2366">
        <w:t>total</w:t>
      </w:r>
      <w:r w:rsidR="009A176F" w:rsidRPr="009D2783">
        <w:t xml:space="preserve"> CHF 152K</w:t>
      </w:r>
      <w:r w:rsidR="00155710" w:rsidRPr="009D2783">
        <w:t>.</w:t>
      </w:r>
    </w:p>
    <w:p w14:paraId="334F59CD" w14:textId="1874C176" w:rsidR="008E00BF" w:rsidRPr="009D2783" w:rsidRDefault="008E00BF" w:rsidP="00162710"/>
    <w:p w14:paraId="73FB9789" w14:textId="3B0A2263" w:rsidR="00155710" w:rsidRPr="009D2783" w:rsidRDefault="00463CEC" w:rsidP="00162710">
      <w:r w:rsidRPr="009D2783">
        <w:t>18</w:t>
      </w:r>
      <w:r w:rsidR="008E00BF" w:rsidRPr="009D2783">
        <w:t>.</w:t>
      </w:r>
      <w:r w:rsidR="008E00BF" w:rsidRPr="009D2783">
        <w:tab/>
      </w:r>
      <w:r w:rsidR="00155710" w:rsidRPr="009D2783">
        <w:t xml:space="preserve">Furthermore, in line with Standing Committee Decision SC57-47, </w:t>
      </w:r>
      <w:r w:rsidR="00620208" w:rsidRPr="009D2783">
        <w:t xml:space="preserve">an </w:t>
      </w:r>
      <w:r w:rsidR="00155710" w:rsidRPr="009D2783">
        <w:t xml:space="preserve">additional CHF 228K has been added to </w:t>
      </w:r>
      <w:r w:rsidR="0064639B" w:rsidRPr="009D2783">
        <w:t xml:space="preserve">an </w:t>
      </w:r>
      <w:r w:rsidR="00155710" w:rsidRPr="009D2783">
        <w:t>operational reserve to fill</w:t>
      </w:r>
      <w:r w:rsidR="0064639B" w:rsidRPr="009D2783">
        <w:t xml:space="preserve"> this gap in the next triennium</w:t>
      </w:r>
      <w:r w:rsidR="007672B7" w:rsidRPr="009D2783">
        <w:t>.</w:t>
      </w:r>
      <w:r w:rsidR="00155710" w:rsidRPr="009D2783">
        <w:t xml:space="preserve"> This gap w</w:t>
      </w:r>
      <w:r w:rsidR="007672B7" w:rsidRPr="009D2783">
        <w:t xml:space="preserve">ould otherwise </w:t>
      </w:r>
      <w:r w:rsidR="00155710" w:rsidRPr="009D2783">
        <w:t xml:space="preserve">remain unless Contracting Parties </w:t>
      </w:r>
      <w:r w:rsidR="00FE2266" w:rsidRPr="009D2783">
        <w:t xml:space="preserve">were to </w:t>
      </w:r>
      <w:r w:rsidR="00155710" w:rsidRPr="009D2783">
        <w:t>increase the total budget and thus their contributions.</w:t>
      </w:r>
    </w:p>
    <w:p w14:paraId="49F6ADE5" w14:textId="3A699440" w:rsidR="0049688C" w:rsidRPr="009D2783" w:rsidRDefault="0049688C" w:rsidP="00162710">
      <w:pPr>
        <w:ind w:left="0" w:firstLine="0"/>
      </w:pPr>
    </w:p>
    <w:p w14:paraId="73FD656F" w14:textId="7F694100" w:rsidR="00772619" w:rsidRPr="009D2783" w:rsidRDefault="00463CEC" w:rsidP="00463CEC">
      <w:r w:rsidRPr="009D2783">
        <w:t>19.</w:t>
      </w:r>
      <w:r w:rsidRPr="009D2783">
        <w:tab/>
      </w:r>
      <w:r w:rsidR="00AC5BA6" w:rsidRPr="009D2783">
        <w:t xml:space="preserve">Additionally, </w:t>
      </w:r>
      <w:r w:rsidR="00182B75" w:rsidRPr="009D2783">
        <w:t xml:space="preserve">unspent </w:t>
      </w:r>
      <w:r w:rsidR="00AC5BA6" w:rsidRPr="009D2783">
        <w:t>and pre</w:t>
      </w:r>
      <w:r w:rsidR="002A1A4B" w:rsidRPr="009D2783">
        <w:t>-</w:t>
      </w:r>
      <w:r w:rsidR="00AC5BA6" w:rsidRPr="009D2783">
        <w:t>committed balances</w:t>
      </w:r>
      <w:r w:rsidR="00D535A9" w:rsidRPr="009D2783">
        <w:t xml:space="preserve"> of </w:t>
      </w:r>
      <w:r w:rsidR="00CD1D81" w:rsidRPr="009D2783">
        <w:t xml:space="preserve">CHF </w:t>
      </w:r>
      <w:r w:rsidR="00D535A9" w:rsidRPr="009D2783">
        <w:t>588K,</w:t>
      </w:r>
      <w:r w:rsidR="00AC5BA6" w:rsidRPr="009D2783">
        <w:t xml:space="preserve"> including the</w:t>
      </w:r>
      <w:r w:rsidR="008F5E92" w:rsidRPr="009D2783">
        <w:t xml:space="preserve"> </w:t>
      </w:r>
      <w:r w:rsidR="00FE2266" w:rsidRPr="009D2783">
        <w:t>authorized</w:t>
      </w:r>
      <w:r w:rsidR="00772619" w:rsidRPr="009D2783">
        <w:t xml:space="preserve"> use of 2018 surplus</w:t>
      </w:r>
      <w:r w:rsidR="00EF5E91" w:rsidRPr="009D2783">
        <w:t xml:space="preserve"> (Decision </w:t>
      </w:r>
      <w:r w:rsidR="00A87BA0" w:rsidRPr="009D2783">
        <w:t>SC</w:t>
      </w:r>
      <w:r w:rsidR="00EF5E91" w:rsidRPr="009D2783">
        <w:t>57-47)</w:t>
      </w:r>
      <w:r w:rsidR="00772619" w:rsidRPr="009D2783">
        <w:t xml:space="preserve">, </w:t>
      </w:r>
      <w:r w:rsidR="008F5E92" w:rsidRPr="009D2783">
        <w:t xml:space="preserve">as </w:t>
      </w:r>
      <w:r w:rsidR="00AC5BA6" w:rsidRPr="009D2783">
        <w:t xml:space="preserve">detailed in Table 1 and paragraph </w:t>
      </w:r>
      <w:r w:rsidR="00335206" w:rsidRPr="009D2783">
        <w:t>7</w:t>
      </w:r>
      <w:r w:rsidR="00AC5BA6" w:rsidRPr="009D2783">
        <w:t>,</w:t>
      </w:r>
      <w:r w:rsidR="00D535A9" w:rsidRPr="009D2783">
        <w:t xml:space="preserve"> will be spent in 2020</w:t>
      </w:r>
      <w:r w:rsidR="002A1A4B" w:rsidRPr="009D2783">
        <w:t xml:space="preserve"> and thus have</w:t>
      </w:r>
      <w:r w:rsidR="00D535A9" w:rsidRPr="009D2783">
        <w:t xml:space="preserve"> been included in the 2020 budget.</w:t>
      </w:r>
    </w:p>
    <w:p w14:paraId="38DAA067" w14:textId="145F4A9D" w:rsidR="00AC5BA6" w:rsidRPr="009D2783" w:rsidRDefault="00AC5BA6" w:rsidP="00162710">
      <w:pPr>
        <w:ind w:firstLine="0"/>
      </w:pPr>
    </w:p>
    <w:p w14:paraId="177A095A" w14:textId="28D464B1" w:rsidR="0049688C" w:rsidRDefault="00DA6FAA" w:rsidP="00DA6FAA">
      <w:r w:rsidRPr="009D2783">
        <w:t>20.</w:t>
      </w:r>
      <w:r w:rsidRPr="009D2783">
        <w:tab/>
      </w:r>
      <w:r w:rsidR="00AC5BA6" w:rsidRPr="009D2783">
        <w:t xml:space="preserve">Finally, there are </w:t>
      </w:r>
      <w:r w:rsidR="00182B75" w:rsidRPr="009D2783">
        <w:t>unspent</w:t>
      </w:r>
      <w:r w:rsidR="00AC5BA6" w:rsidRPr="009D2783">
        <w:t xml:space="preserve"> and uncommitted balances amounting to CHF 919K as de</w:t>
      </w:r>
      <w:r w:rsidR="00AC5BA6">
        <w:t>tailed in Table 1</w:t>
      </w:r>
      <w:r w:rsidR="00A87BA0">
        <w:t xml:space="preserve"> above</w:t>
      </w:r>
      <w:r w:rsidR="00AC5BA6">
        <w:t>.</w:t>
      </w:r>
      <w:r w:rsidR="00797BC5">
        <w:t xml:space="preserve"> </w:t>
      </w:r>
      <w:r w:rsidR="0049688C" w:rsidRPr="00CD3D1A">
        <w:t xml:space="preserve">In line with Standing Committee Decision SC57-50, “In accordance with the responsibilities defined in Resolution 5.2 on </w:t>
      </w:r>
      <w:r w:rsidR="0049688C" w:rsidRPr="00A87BA0">
        <w:rPr>
          <w:i/>
        </w:rPr>
        <w:t>Financial and budgetary matters</w:t>
      </w:r>
      <w:r w:rsidR="0049688C" w:rsidRPr="00CD3D1A">
        <w:t>, Annex, 3, paragraph 8, the Standing Committee agreed that uncommitted/unexpended balances for budget lines can be carried forward to the next year within the triennium and presented to the following meeting of the Subgroup on Finance”. Thus, the Secretariat is pr</w:t>
      </w:r>
      <w:r w:rsidR="00776FB3">
        <w:t>esenting</w:t>
      </w:r>
      <w:r w:rsidR="0049688C" w:rsidRPr="00CD3D1A">
        <w:t xml:space="preserve"> uncommitted</w:t>
      </w:r>
      <w:r w:rsidR="002A1A4B">
        <w:t>/</w:t>
      </w:r>
      <w:r w:rsidR="007F0A14">
        <w:t>unspent</w:t>
      </w:r>
      <w:r w:rsidR="00EA444A" w:rsidRPr="00CD3D1A">
        <w:t xml:space="preserve"> </w:t>
      </w:r>
      <w:r w:rsidR="0049688C" w:rsidRPr="00CD3D1A">
        <w:t xml:space="preserve">2019 balances </w:t>
      </w:r>
      <w:r w:rsidR="002A1A4B">
        <w:t>as being</w:t>
      </w:r>
      <w:r w:rsidR="00776FB3">
        <w:t xml:space="preserve"> carried forward </w:t>
      </w:r>
      <w:r w:rsidR="0049688C" w:rsidRPr="00CD3D1A">
        <w:t>to 2020</w:t>
      </w:r>
      <w:r w:rsidR="00D535A9">
        <w:t>.</w:t>
      </w:r>
      <w:r w:rsidR="0049688C" w:rsidRPr="00CD3D1A">
        <w:t xml:space="preserve"> </w:t>
      </w:r>
    </w:p>
    <w:p w14:paraId="67D22B17" w14:textId="4B3038F7" w:rsidR="003F3307" w:rsidRDefault="003F3307" w:rsidP="00162710">
      <w:pPr>
        <w:ind w:left="0" w:firstLine="0"/>
      </w:pPr>
      <w:r>
        <w:t xml:space="preserve"> </w:t>
      </w:r>
    </w:p>
    <w:p w14:paraId="10BCD7EB" w14:textId="10F55179" w:rsidR="00FF0082" w:rsidRPr="00421152" w:rsidRDefault="00FF0082" w:rsidP="00162710">
      <w:pPr>
        <w:pStyle w:val="NoSpacing"/>
        <w:keepNext/>
        <w:rPr>
          <w:b/>
        </w:rPr>
      </w:pPr>
      <w:r w:rsidRPr="00421152">
        <w:rPr>
          <w:b/>
        </w:rPr>
        <w:t>201</w:t>
      </w:r>
      <w:r w:rsidR="00CA6702">
        <w:rPr>
          <w:b/>
        </w:rPr>
        <w:t>9</w:t>
      </w:r>
      <w:r w:rsidRPr="00421152">
        <w:rPr>
          <w:b/>
        </w:rPr>
        <w:t xml:space="preserve"> results: non-core budget and voluntary contributions </w:t>
      </w:r>
    </w:p>
    <w:p w14:paraId="37B40F4A" w14:textId="77777777" w:rsidR="00C73471" w:rsidRPr="00421152" w:rsidRDefault="00C73471" w:rsidP="00162710">
      <w:pPr>
        <w:pStyle w:val="NoSpacing"/>
        <w:keepNext/>
        <w:rPr>
          <w:b/>
        </w:rPr>
      </w:pPr>
    </w:p>
    <w:p w14:paraId="11BB5736" w14:textId="3551BEA3" w:rsidR="002A1D70" w:rsidRPr="00A154A5" w:rsidRDefault="00DA6FAA" w:rsidP="00464D2B">
      <w:r>
        <w:t>21</w:t>
      </w:r>
      <w:r w:rsidR="00112F62" w:rsidRPr="00421152">
        <w:t>.</w:t>
      </w:r>
      <w:r w:rsidR="00112F62" w:rsidRPr="00421152">
        <w:tab/>
      </w:r>
      <w:r w:rsidR="00D90262">
        <w:t xml:space="preserve">As </w:t>
      </w:r>
      <w:r w:rsidR="001E7E9C">
        <w:t>per</w:t>
      </w:r>
      <w:r w:rsidR="00C467C8">
        <w:t xml:space="preserve"> Annex 1</w:t>
      </w:r>
      <w:r w:rsidR="001E7E9C">
        <w:t>, section II</w:t>
      </w:r>
      <w:r w:rsidR="002A1D70" w:rsidRPr="00A154A5">
        <w:t>,</w:t>
      </w:r>
      <w:r w:rsidR="008F4B8B">
        <w:t xml:space="preserve"> project income</w:t>
      </w:r>
      <w:r w:rsidR="002A1D70" w:rsidRPr="00A154A5">
        <w:t xml:space="preserve"> </w:t>
      </w:r>
      <w:r w:rsidR="0075376A" w:rsidRPr="00A154A5">
        <w:t xml:space="preserve">of CHF </w:t>
      </w:r>
      <w:r w:rsidR="00C14D49">
        <w:t>379</w:t>
      </w:r>
      <w:r w:rsidR="000A212C" w:rsidRPr="00A154A5">
        <w:t>K</w:t>
      </w:r>
      <w:r w:rsidR="0075376A" w:rsidRPr="00A154A5">
        <w:t xml:space="preserve"> </w:t>
      </w:r>
      <w:r w:rsidR="002A1D70" w:rsidRPr="00A154A5">
        <w:t>and African voluntary contributions</w:t>
      </w:r>
      <w:r w:rsidR="00301DF1">
        <w:rPr>
          <w:rStyle w:val="FootnoteReference"/>
        </w:rPr>
        <w:footnoteReference w:id="2"/>
      </w:r>
      <w:r w:rsidR="002A1D70" w:rsidRPr="00A154A5">
        <w:t xml:space="preserve"> of CHF </w:t>
      </w:r>
      <w:r w:rsidR="00FD3719" w:rsidRPr="00A154A5">
        <w:t>2</w:t>
      </w:r>
      <w:r w:rsidR="007B228B" w:rsidRPr="00A154A5">
        <w:t xml:space="preserve">K </w:t>
      </w:r>
      <w:r w:rsidR="0075376A" w:rsidRPr="00A154A5">
        <w:t>were received</w:t>
      </w:r>
      <w:r w:rsidR="001E7E9C" w:rsidRPr="001E7E9C">
        <w:t xml:space="preserve"> </w:t>
      </w:r>
      <w:r w:rsidR="001E7E9C">
        <w:t>in</w:t>
      </w:r>
      <w:r w:rsidR="001E7E9C" w:rsidRPr="00A154A5">
        <w:t xml:space="preserve"> 2019</w:t>
      </w:r>
      <w:r w:rsidR="00EF5C9D">
        <w:rPr>
          <w:rStyle w:val="CommentReference"/>
        </w:rPr>
        <w:t>,</w:t>
      </w:r>
      <w:r w:rsidR="002A1D70" w:rsidRPr="00A154A5">
        <w:t xml:space="preserve"> result</w:t>
      </w:r>
      <w:r w:rsidR="00EF5C9D">
        <w:t>ing</w:t>
      </w:r>
      <w:r w:rsidR="002A1D70" w:rsidRPr="00A154A5">
        <w:t xml:space="preserve"> in a total income of non-core </w:t>
      </w:r>
      <w:r w:rsidR="008F4B8B" w:rsidRPr="00A154A5">
        <w:t xml:space="preserve">voluntary contributions </w:t>
      </w:r>
      <w:r w:rsidR="002A1D70" w:rsidRPr="00A154A5">
        <w:t xml:space="preserve">of CHF </w:t>
      </w:r>
      <w:r w:rsidR="00C14D49">
        <w:t>381</w:t>
      </w:r>
      <w:r w:rsidR="002A1D70" w:rsidRPr="00A154A5">
        <w:t xml:space="preserve">K. </w:t>
      </w:r>
      <w:r w:rsidR="00C467C8" w:rsidRPr="00A154A5">
        <w:t xml:space="preserve">The </w:t>
      </w:r>
      <w:r w:rsidR="001E7E9C">
        <w:t xml:space="preserve">details </w:t>
      </w:r>
      <w:r w:rsidR="00C467C8" w:rsidRPr="00A154A5">
        <w:t>of non-core funding as of 31 December 2019 can be found in Annex 3</w:t>
      </w:r>
      <w:r w:rsidR="00C467C8">
        <w:t>.</w:t>
      </w:r>
    </w:p>
    <w:p w14:paraId="5B0D777A" w14:textId="77777777" w:rsidR="00112F62" w:rsidRPr="00A154A5" w:rsidRDefault="00112F62" w:rsidP="00162710"/>
    <w:p w14:paraId="2EAD5A63" w14:textId="7AD84DA6" w:rsidR="0075376A" w:rsidRPr="00421152" w:rsidRDefault="00DA6FAA" w:rsidP="00162710">
      <w:r>
        <w:t>22</w:t>
      </w:r>
      <w:r w:rsidR="00112F62" w:rsidRPr="00A154A5">
        <w:t>.</w:t>
      </w:r>
      <w:r w:rsidR="00112F62" w:rsidRPr="00A154A5">
        <w:tab/>
      </w:r>
      <w:r w:rsidR="0075376A" w:rsidRPr="00A154A5">
        <w:t>The</w:t>
      </w:r>
      <w:r w:rsidR="002A1D70" w:rsidRPr="00A154A5">
        <w:t xml:space="preserve"> voluntary </w:t>
      </w:r>
      <w:r w:rsidR="0075376A" w:rsidRPr="00A154A5">
        <w:t xml:space="preserve">contributions </w:t>
      </w:r>
      <w:r w:rsidR="002A1D70" w:rsidRPr="00A154A5">
        <w:t>received in 201</w:t>
      </w:r>
      <w:r w:rsidR="007B228B" w:rsidRPr="00A154A5">
        <w:t>9</w:t>
      </w:r>
      <w:r w:rsidR="002A1D70" w:rsidRPr="00A154A5">
        <w:t xml:space="preserve"> </w:t>
      </w:r>
      <w:r w:rsidR="0075376A" w:rsidRPr="00A154A5">
        <w:t xml:space="preserve">are outlined in </w:t>
      </w:r>
      <w:r w:rsidR="003A0924" w:rsidRPr="00A154A5">
        <w:t>T</w:t>
      </w:r>
      <w:r w:rsidR="0075376A" w:rsidRPr="00A154A5">
        <w:t xml:space="preserve">able </w:t>
      </w:r>
      <w:r w:rsidR="008A1F61">
        <w:t>3</w:t>
      </w:r>
      <w:r w:rsidR="008A1F61" w:rsidRPr="00A154A5">
        <w:t xml:space="preserve"> </w:t>
      </w:r>
      <w:r w:rsidR="0075376A" w:rsidRPr="00A154A5">
        <w:t>below</w:t>
      </w:r>
      <w:r w:rsidR="002A1D70" w:rsidRPr="00A154A5">
        <w:t>.</w:t>
      </w:r>
      <w:r w:rsidR="00A8663A" w:rsidRPr="00A154A5">
        <w:t xml:space="preserve"> As </w:t>
      </w:r>
      <w:r w:rsidR="003A0924" w:rsidRPr="00A154A5">
        <w:t>instructed by</w:t>
      </w:r>
      <w:r w:rsidR="003A0924">
        <w:t xml:space="preserve"> the Standing Committee through</w:t>
      </w:r>
      <w:r w:rsidR="003A0924" w:rsidRPr="00421152">
        <w:t xml:space="preserve"> </w:t>
      </w:r>
      <w:r w:rsidR="00A8663A" w:rsidRPr="00421152">
        <w:t>D</w:t>
      </w:r>
      <w:r w:rsidR="0075376A" w:rsidRPr="00421152">
        <w:t xml:space="preserve">ecision SC53-32, </w:t>
      </w:r>
      <w:r w:rsidR="009D2CC9">
        <w:t>the table</w:t>
      </w:r>
      <w:r w:rsidR="00213C8C" w:rsidRPr="00421152">
        <w:t xml:space="preserve"> </w:t>
      </w:r>
      <w:r w:rsidR="0075376A" w:rsidRPr="00421152">
        <w:t>provides an overview o</w:t>
      </w:r>
      <w:r w:rsidR="00883712" w:rsidRPr="00421152">
        <w:t>f</w:t>
      </w:r>
      <w:r w:rsidR="0075376A" w:rsidRPr="00421152">
        <w:t xml:space="preserve"> </w:t>
      </w:r>
      <w:r w:rsidR="009D2CC9">
        <w:t>the</w:t>
      </w:r>
      <w:r w:rsidR="009D2CC9" w:rsidRPr="00421152">
        <w:t xml:space="preserve"> </w:t>
      </w:r>
      <w:r w:rsidR="0075376A" w:rsidRPr="00421152">
        <w:t xml:space="preserve">contributions received </w:t>
      </w:r>
      <w:r w:rsidR="007B2601">
        <w:t>and</w:t>
      </w:r>
      <w:r w:rsidR="001032EA" w:rsidRPr="009B44BD">
        <w:t xml:space="preserve"> the</w:t>
      </w:r>
      <w:r w:rsidR="00747E18" w:rsidRPr="009B44BD">
        <w:t>ir designated</w:t>
      </w:r>
      <w:r w:rsidR="001032EA" w:rsidRPr="009B44BD">
        <w:t xml:space="preserve"> use. Reference is made to the priorities for fundraising </w:t>
      </w:r>
      <w:r w:rsidR="003A0924" w:rsidRPr="009B44BD">
        <w:t xml:space="preserve">of the Contracting Parties </w:t>
      </w:r>
      <w:r w:rsidR="001032EA" w:rsidRPr="009B44BD">
        <w:t xml:space="preserve">provided in </w:t>
      </w:r>
      <w:r w:rsidR="0075376A" w:rsidRPr="009B44BD">
        <w:t>Annex 3 of Resolution XII</w:t>
      </w:r>
      <w:r w:rsidR="00747E18" w:rsidRPr="009B44BD">
        <w:t>I</w:t>
      </w:r>
      <w:r w:rsidR="0075376A" w:rsidRPr="009B44BD">
        <w:t>.</w:t>
      </w:r>
      <w:r w:rsidR="00747E18" w:rsidRPr="009B44BD">
        <w:t>2</w:t>
      </w:r>
      <w:r w:rsidR="0075376A" w:rsidRPr="009B44BD">
        <w:t>.</w:t>
      </w:r>
    </w:p>
    <w:p w14:paraId="7AD3FD17" w14:textId="7DBA6ABF" w:rsidR="00DA6FAA" w:rsidRDefault="00DA6FAA" w:rsidP="009D2CC9">
      <w:pPr>
        <w:pStyle w:val="NoSpacing"/>
        <w:keepNext/>
        <w:ind w:left="0" w:firstLine="0"/>
        <w:rPr>
          <w:i/>
        </w:rPr>
      </w:pPr>
      <w:r w:rsidRPr="00162710">
        <w:rPr>
          <w:rFonts w:eastAsia="Times New Roman" w:cs="Calibri"/>
          <w:i/>
          <w:iCs/>
          <w:lang w:eastAsia="en-GB"/>
        </w:rPr>
        <w:lastRenderedPageBreak/>
        <w:t xml:space="preserve">Table 3: </w:t>
      </w:r>
      <w:r w:rsidR="006B595B">
        <w:rPr>
          <w:rFonts w:eastAsia="Times New Roman" w:cs="Calibri"/>
          <w:i/>
          <w:iCs/>
          <w:lang w:eastAsia="en-GB"/>
        </w:rPr>
        <w:t>Project income from c</w:t>
      </w:r>
      <w:r w:rsidRPr="00162710">
        <w:rPr>
          <w:rFonts w:eastAsia="Times New Roman" w:cs="Calibri"/>
          <w:i/>
          <w:iCs/>
          <w:lang w:eastAsia="en-GB"/>
        </w:rPr>
        <w:t xml:space="preserve">oluntary non-core contributions received in 2019 (in ‘000 CHF, </w:t>
      </w:r>
      <w:r w:rsidRPr="00162710">
        <w:rPr>
          <w:rFonts w:asciiTheme="minorHAnsi" w:eastAsia="Times New Roman" w:hAnsiTheme="minorHAnsi" w:cs="Arial"/>
          <w:bCs/>
          <w:i/>
          <w:lang w:eastAsia="en-GB"/>
        </w:rPr>
        <w:t>includes possible rounding differences</w:t>
      </w:r>
      <w:r w:rsidRPr="00162710">
        <w:rPr>
          <w:rFonts w:eastAsia="Times New Roman" w:cs="Calibri"/>
          <w:i/>
          <w:iCs/>
          <w:lang w:eastAsia="en-GB"/>
        </w:rPr>
        <w:t>)</w:t>
      </w:r>
    </w:p>
    <w:tbl>
      <w:tblPr>
        <w:tblW w:w="9214" w:type="dxa"/>
        <w:tblInd w:w="-10" w:type="dxa"/>
        <w:tblCellMar>
          <w:top w:w="28" w:type="dxa"/>
          <w:left w:w="57" w:type="dxa"/>
          <w:bottom w:w="28" w:type="dxa"/>
          <w:right w:w="57" w:type="dxa"/>
        </w:tblCellMar>
        <w:tblLook w:val="04A0" w:firstRow="1" w:lastRow="0" w:firstColumn="1" w:lastColumn="0" w:noHBand="0" w:noVBand="1"/>
      </w:tblPr>
      <w:tblGrid>
        <w:gridCol w:w="3544"/>
        <w:gridCol w:w="1559"/>
        <w:gridCol w:w="4111"/>
      </w:tblGrid>
      <w:tr w:rsidR="001F0844" w:rsidRPr="00941F90" w14:paraId="70C72200" w14:textId="77777777" w:rsidTr="001F0844">
        <w:trPr>
          <w:trHeight w:val="244"/>
        </w:trPr>
        <w:tc>
          <w:tcPr>
            <w:tcW w:w="354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55125EF8" w14:textId="44876279" w:rsidR="001F0844" w:rsidRPr="00941F90" w:rsidRDefault="001F0844" w:rsidP="009D2CC9">
            <w:pPr>
              <w:keepNext/>
              <w:ind w:left="0" w:firstLine="0"/>
              <w:jc w:val="center"/>
              <w:rPr>
                <w:rFonts w:eastAsia="Times New Roman" w:cs="Calibri"/>
                <w:b/>
                <w:bCs/>
                <w:color w:val="000000"/>
                <w:sz w:val="20"/>
                <w:szCs w:val="20"/>
                <w:lang w:eastAsia="en-GB"/>
              </w:rPr>
            </w:pPr>
            <w:r w:rsidRPr="00941F90">
              <w:rPr>
                <w:rFonts w:eastAsia="Times New Roman" w:cs="Calibri"/>
                <w:b/>
                <w:bCs/>
                <w:color w:val="000000"/>
                <w:sz w:val="20"/>
                <w:szCs w:val="20"/>
                <w:lang w:eastAsia="en-GB"/>
              </w:rPr>
              <w:t>Donor name</w:t>
            </w:r>
          </w:p>
        </w:tc>
        <w:tc>
          <w:tcPr>
            <w:tcW w:w="155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3CD2395E" w14:textId="18D987CA" w:rsidR="001F0844" w:rsidRPr="00941F90" w:rsidRDefault="001F0844" w:rsidP="009D2CC9">
            <w:pPr>
              <w:keepNext/>
              <w:ind w:left="0" w:firstLine="0"/>
              <w:jc w:val="center"/>
              <w:rPr>
                <w:rFonts w:eastAsia="Times New Roman" w:cs="Calibri"/>
                <w:b/>
                <w:bCs/>
                <w:color w:val="000000"/>
                <w:sz w:val="20"/>
                <w:szCs w:val="20"/>
                <w:lang w:eastAsia="en-GB"/>
              </w:rPr>
            </w:pPr>
            <w:r w:rsidRPr="00941F90">
              <w:rPr>
                <w:rFonts w:eastAsia="Times New Roman" w:cs="Calibri"/>
                <w:b/>
                <w:bCs/>
                <w:color w:val="000000"/>
                <w:sz w:val="20"/>
                <w:szCs w:val="20"/>
                <w:lang w:eastAsia="en-GB"/>
              </w:rPr>
              <w:t>Income amount</w:t>
            </w:r>
          </w:p>
        </w:tc>
        <w:tc>
          <w:tcPr>
            <w:tcW w:w="4111"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67EFACDA" w14:textId="6C3AFCF6" w:rsidR="001F0844" w:rsidRPr="00941F90" w:rsidRDefault="001F0844" w:rsidP="009D2CC9">
            <w:pPr>
              <w:keepNext/>
              <w:ind w:left="0" w:firstLine="0"/>
              <w:jc w:val="center"/>
              <w:rPr>
                <w:rFonts w:eastAsia="Times New Roman" w:cs="Calibri"/>
                <w:b/>
                <w:bCs/>
                <w:color w:val="000000"/>
                <w:sz w:val="20"/>
                <w:szCs w:val="20"/>
                <w:lang w:eastAsia="en-GB"/>
              </w:rPr>
            </w:pPr>
            <w:r w:rsidRPr="00941F90">
              <w:rPr>
                <w:rFonts w:eastAsia="Times New Roman" w:cs="Calibri"/>
                <w:b/>
                <w:bCs/>
                <w:color w:val="000000"/>
                <w:sz w:val="20"/>
                <w:szCs w:val="20"/>
                <w:lang w:eastAsia="en-GB"/>
              </w:rPr>
              <w:t>Description</w:t>
            </w:r>
          </w:p>
        </w:tc>
      </w:tr>
      <w:tr w:rsidR="00032E44" w:rsidRPr="00941F90" w14:paraId="36B7C22F"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53684B49" w14:textId="4931047E" w:rsidR="00032E44" w:rsidRPr="00941F90" w:rsidRDefault="009D2CC9" w:rsidP="009D2CC9">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J</w:t>
            </w:r>
            <w:r w:rsidR="00032E44" w:rsidRPr="00941F90">
              <w:rPr>
                <w:rFonts w:eastAsia="Times New Roman" w:cs="Calibri"/>
                <w:color w:val="000000"/>
                <w:sz w:val="20"/>
                <w:szCs w:val="20"/>
                <w:lang w:eastAsia="en-GB"/>
              </w:rPr>
              <w:t>apan</w:t>
            </w:r>
          </w:p>
        </w:tc>
        <w:tc>
          <w:tcPr>
            <w:tcW w:w="1559" w:type="dxa"/>
            <w:tcBorders>
              <w:top w:val="nil"/>
              <w:left w:val="nil"/>
              <w:bottom w:val="single" w:sz="8" w:space="0" w:color="auto"/>
              <w:right w:val="single" w:sz="8" w:space="0" w:color="auto"/>
            </w:tcBorders>
            <w:shd w:val="clear" w:color="auto" w:fill="auto"/>
            <w:vAlign w:val="center"/>
            <w:hideMark/>
          </w:tcPr>
          <w:p w14:paraId="631D20D0" w14:textId="77777777" w:rsidR="00032E44" w:rsidRPr="00941F90" w:rsidRDefault="00032E44" w:rsidP="009D2CC9">
            <w:pPr>
              <w:keepNext/>
              <w:ind w:left="0" w:firstLine="0"/>
              <w:jc w:val="right"/>
              <w:rPr>
                <w:rFonts w:eastAsia="Times New Roman" w:cs="Calibri"/>
                <w:color w:val="000000"/>
                <w:sz w:val="20"/>
                <w:szCs w:val="20"/>
                <w:lang w:eastAsia="en-GB"/>
              </w:rPr>
            </w:pPr>
            <w:r w:rsidRPr="00941F90">
              <w:rPr>
                <w:rFonts w:eastAsia="Times New Roman" w:cs="Calibri"/>
                <w:color w:val="000000"/>
                <w:sz w:val="20"/>
                <w:szCs w:val="20"/>
                <w:lang w:eastAsia="en-GB"/>
              </w:rPr>
              <w:t>90</w:t>
            </w:r>
          </w:p>
        </w:tc>
        <w:tc>
          <w:tcPr>
            <w:tcW w:w="4111" w:type="dxa"/>
            <w:tcBorders>
              <w:top w:val="nil"/>
              <w:left w:val="nil"/>
              <w:bottom w:val="single" w:sz="8" w:space="0" w:color="auto"/>
              <w:right w:val="single" w:sz="8" w:space="0" w:color="auto"/>
            </w:tcBorders>
            <w:shd w:val="clear" w:color="auto" w:fill="auto"/>
            <w:vAlign w:val="center"/>
            <w:hideMark/>
          </w:tcPr>
          <w:p w14:paraId="6F80AE9D"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Nagao Wetland Fund</w:t>
            </w:r>
          </w:p>
        </w:tc>
      </w:tr>
      <w:tr w:rsidR="00032E44" w:rsidRPr="00941F90" w14:paraId="705D2F0D"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42A1565F"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Danone</w:t>
            </w:r>
          </w:p>
        </w:tc>
        <w:tc>
          <w:tcPr>
            <w:tcW w:w="1559" w:type="dxa"/>
            <w:tcBorders>
              <w:top w:val="nil"/>
              <w:left w:val="nil"/>
              <w:bottom w:val="single" w:sz="8" w:space="0" w:color="auto"/>
              <w:right w:val="single" w:sz="8" w:space="0" w:color="auto"/>
            </w:tcBorders>
            <w:shd w:val="clear" w:color="auto" w:fill="auto"/>
            <w:vAlign w:val="center"/>
            <w:hideMark/>
          </w:tcPr>
          <w:p w14:paraId="427B576C" w14:textId="77777777" w:rsidR="00032E44" w:rsidRPr="00941F90" w:rsidRDefault="00032E44" w:rsidP="009D2CC9">
            <w:pPr>
              <w:keepNext/>
              <w:ind w:left="0" w:firstLine="0"/>
              <w:jc w:val="right"/>
              <w:rPr>
                <w:rFonts w:eastAsia="Times New Roman" w:cs="Calibri"/>
                <w:color w:val="000000"/>
                <w:sz w:val="20"/>
                <w:szCs w:val="20"/>
                <w:lang w:eastAsia="en-GB"/>
              </w:rPr>
            </w:pPr>
            <w:r w:rsidRPr="00941F90">
              <w:rPr>
                <w:rFonts w:eastAsia="Times New Roman" w:cs="Calibri"/>
                <w:color w:val="000000"/>
                <w:sz w:val="20"/>
                <w:szCs w:val="20"/>
                <w:lang w:eastAsia="en-GB"/>
              </w:rPr>
              <w:t>125</w:t>
            </w:r>
          </w:p>
        </w:tc>
        <w:tc>
          <w:tcPr>
            <w:tcW w:w="4111" w:type="dxa"/>
            <w:tcBorders>
              <w:top w:val="nil"/>
              <w:left w:val="nil"/>
              <w:bottom w:val="single" w:sz="8" w:space="0" w:color="auto"/>
              <w:right w:val="single" w:sz="8" w:space="0" w:color="auto"/>
            </w:tcBorders>
            <w:shd w:val="clear" w:color="auto" w:fill="auto"/>
            <w:vAlign w:val="center"/>
            <w:hideMark/>
          </w:tcPr>
          <w:p w14:paraId="10D5AD11"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Contribution for 2019 Danone project activities</w:t>
            </w:r>
          </w:p>
        </w:tc>
      </w:tr>
      <w:tr w:rsidR="00032E44" w:rsidRPr="00941F90" w14:paraId="0DC29543"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41E309AC"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Finland</w:t>
            </w:r>
          </w:p>
        </w:tc>
        <w:tc>
          <w:tcPr>
            <w:tcW w:w="1559" w:type="dxa"/>
            <w:tcBorders>
              <w:top w:val="nil"/>
              <w:left w:val="nil"/>
              <w:bottom w:val="single" w:sz="8" w:space="0" w:color="auto"/>
              <w:right w:val="single" w:sz="8" w:space="0" w:color="auto"/>
            </w:tcBorders>
            <w:shd w:val="clear" w:color="auto" w:fill="auto"/>
            <w:vAlign w:val="center"/>
            <w:hideMark/>
          </w:tcPr>
          <w:p w14:paraId="3DF6E061" w14:textId="77777777" w:rsidR="00032E44" w:rsidRPr="00941F90" w:rsidRDefault="00032E44" w:rsidP="009D2CC9">
            <w:pPr>
              <w:keepNext/>
              <w:ind w:left="0" w:firstLine="0"/>
              <w:jc w:val="right"/>
              <w:rPr>
                <w:rFonts w:eastAsia="Times New Roman" w:cs="Calibri"/>
                <w:color w:val="000000"/>
                <w:sz w:val="20"/>
                <w:szCs w:val="20"/>
                <w:lang w:eastAsia="en-GB"/>
              </w:rPr>
            </w:pPr>
            <w:r w:rsidRPr="00941F90">
              <w:rPr>
                <w:rFonts w:eastAsia="Times New Roman" w:cs="Calibri"/>
                <w:color w:val="000000"/>
                <w:sz w:val="20"/>
                <w:szCs w:val="20"/>
                <w:lang w:eastAsia="en-GB"/>
              </w:rPr>
              <w:t>12</w:t>
            </w:r>
          </w:p>
        </w:tc>
        <w:tc>
          <w:tcPr>
            <w:tcW w:w="4111" w:type="dxa"/>
            <w:tcBorders>
              <w:top w:val="nil"/>
              <w:left w:val="nil"/>
              <w:bottom w:val="single" w:sz="8" w:space="0" w:color="auto"/>
              <w:right w:val="single" w:sz="8" w:space="0" w:color="auto"/>
            </w:tcBorders>
            <w:shd w:val="clear" w:color="auto" w:fill="auto"/>
            <w:vAlign w:val="center"/>
            <w:hideMark/>
          </w:tcPr>
          <w:p w14:paraId="430ABB5C"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Gender work</w:t>
            </w:r>
          </w:p>
        </w:tc>
      </w:tr>
      <w:tr w:rsidR="00032E44" w:rsidRPr="00941F90" w14:paraId="600B331A"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7CE4E0D6"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Norway</w:t>
            </w:r>
          </w:p>
        </w:tc>
        <w:tc>
          <w:tcPr>
            <w:tcW w:w="1559" w:type="dxa"/>
            <w:tcBorders>
              <w:top w:val="nil"/>
              <w:left w:val="nil"/>
              <w:bottom w:val="single" w:sz="8" w:space="0" w:color="auto"/>
              <w:right w:val="single" w:sz="8" w:space="0" w:color="auto"/>
            </w:tcBorders>
            <w:shd w:val="clear" w:color="auto" w:fill="auto"/>
            <w:vAlign w:val="center"/>
            <w:hideMark/>
          </w:tcPr>
          <w:p w14:paraId="7392661A" w14:textId="77777777" w:rsidR="00032E44" w:rsidRPr="00941F90" w:rsidRDefault="00032E44" w:rsidP="009D2CC9">
            <w:pPr>
              <w:keepNext/>
              <w:ind w:left="0" w:firstLine="0"/>
              <w:jc w:val="right"/>
              <w:rPr>
                <w:rFonts w:eastAsia="Times New Roman" w:cs="Calibri"/>
                <w:color w:val="000000"/>
                <w:sz w:val="20"/>
                <w:szCs w:val="20"/>
                <w:lang w:eastAsia="en-GB"/>
              </w:rPr>
            </w:pPr>
            <w:r w:rsidRPr="00941F90">
              <w:rPr>
                <w:rFonts w:eastAsia="Times New Roman" w:cs="Calibri"/>
                <w:color w:val="000000"/>
                <w:sz w:val="20"/>
                <w:szCs w:val="20"/>
                <w:lang w:eastAsia="en-GB"/>
              </w:rPr>
              <w:t>43</w:t>
            </w:r>
          </w:p>
        </w:tc>
        <w:tc>
          <w:tcPr>
            <w:tcW w:w="4111" w:type="dxa"/>
            <w:tcBorders>
              <w:top w:val="nil"/>
              <w:left w:val="nil"/>
              <w:bottom w:val="single" w:sz="8" w:space="0" w:color="auto"/>
              <w:right w:val="single" w:sz="8" w:space="0" w:color="auto"/>
            </w:tcBorders>
            <w:shd w:val="clear" w:color="auto" w:fill="auto"/>
            <w:vAlign w:val="center"/>
            <w:hideMark/>
          </w:tcPr>
          <w:p w14:paraId="5263F718"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Gender work</w:t>
            </w:r>
          </w:p>
        </w:tc>
      </w:tr>
      <w:tr w:rsidR="00032E44" w:rsidRPr="00941F90" w14:paraId="54A74AC0"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28B44F0D"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Norway</w:t>
            </w:r>
          </w:p>
        </w:tc>
        <w:tc>
          <w:tcPr>
            <w:tcW w:w="1559" w:type="dxa"/>
            <w:tcBorders>
              <w:top w:val="nil"/>
              <w:left w:val="nil"/>
              <w:bottom w:val="single" w:sz="8" w:space="0" w:color="auto"/>
              <w:right w:val="single" w:sz="8" w:space="0" w:color="auto"/>
            </w:tcBorders>
            <w:shd w:val="clear" w:color="auto" w:fill="auto"/>
            <w:vAlign w:val="center"/>
            <w:hideMark/>
          </w:tcPr>
          <w:p w14:paraId="28498110" w14:textId="77777777" w:rsidR="00032E44" w:rsidRPr="00941F90" w:rsidRDefault="00032E44" w:rsidP="009D2CC9">
            <w:pPr>
              <w:keepNext/>
              <w:ind w:left="0" w:firstLine="0"/>
              <w:jc w:val="right"/>
              <w:rPr>
                <w:rFonts w:eastAsia="Times New Roman" w:cs="Calibri"/>
                <w:color w:val="000000"/>
                <w:sz w:val="20"/>
                <w:szCs w:val="20"/>
                <w:lang w:eastAsia="en-GB"/>
              </w:rPr>
            </w:pPr>
            <w:r w:rsidRPr="00941F90">
              <w:rPr>
                <w:rFonts w:eastAsia="Times New Roman" w:cs="Calibri"/>
                <w:color w:val="000000"/>
                <w:sz w:val="20"/>
                <w:szCs w:val="20"/>
                <w:lang w:eastAsia="en-GB"/>
              </w:rPr>
              <w:t>43</w:t>
            </w:r>
          </w:p>
        </w:tc>
        <w:tc>
          <w:tcPr>
            <w:tcW w:w="4111" w:type="dxa"/>
            <w:tcBorders>
              <w:top w:val="nil"/>
              <w:left w:val="nil"/>
              <w:bottom w:val="single" w:sz="8" w:space="0" w:color="auto"/>
              <w:right w:val="single" w:sz="8" w:space="0" w:color="auto"/>
            </w:tcBorders>
            <w:shd w:val="clear" w:color="auto" w:fill="auto"/>
            <w:vAlign w:val="center"/>
            <w:hideMark/>
          </w:tcPr>
          <w:p w14:paraId="26E90666" w14:textId="73896D88" w:rsidR="00032E44" w:rsidRPr="00941F90" w:rsidRDefault="00032E44" w:rsidP="00D414B1">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 xml:space="preserve">Climate </w:t>
            </w:r>
            <w:r w:rsidR="00D414B1" w:rsidRPr="00941F90">
              <w:rPr>
                <w:rFonts w:eastAsia="Times New Roman" w:cs="Calibri"/>
                <w:color w:val="000000"/>
                <w:sz w:val="20"/>
                <w:szCs w:val="20"/>
                <w:lang w:eastAsia="en-GB"/>
              </w:rPr>
              <w:t>change</w:t>
            </w:r>
            <w:r w:rsidR="00D414B1">
              <w:rPr>
                <w:rFonts w:eastAsia="Times New Roman" w:cs="Calibri"/>
                <w:color w:val="000000"/>
                <w:sz w:val="20"/>
                <w:szCs w:val="20"/>
                <w:lang w:eastAsia="en-GB"/>
              </w:rPr>
              <w:t xml:space="preserve"> </w:t>
            </w:r>
            <w:r w:rsidR="001922F3" w:rsidRPr="00941F90">
              <w:rPr>
                <w:rFonts w:eastAsia="Times New Roman" w:cs="Calibri"/>
                <w:color w:val="000000"/>
                <w:sz w:val="20"/>
                <w:szCs w:val="20"/>
                <w:lang w:eastAsia="en-GB"/>
              </w:rPr>
              <w:t xml:space="preserve">related STRP </w:t>
            </w:r>
            <w:r w:rsidR="009D2CC9" w:rsidRPr="00941F90">
              <w:rPr>
                <w:rFonts w:eastAsia="Times New Roman" w:cs="Calibri"/>
                <w:color w:val="000000"/>
                <w:sz w:val="20"/>
                <w:szCs w:val="20"/>
                <w:lang w:eastAsia="en-GB"/>
              </w:rPr>
              <w:t>work</w:t>
            </w:r>
          </w:p>
        </w:tc>
      </w:tr>
      <w:tr w:rsidR="00032E44" w:rsidRPr="00941F90" w14:paraId="76148065"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30EB7D78" w14:textId="77777777"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Norway</w:t>
            </w:r>
          </w:p>
        </w:tc>
        <w:tc>
          <w:tcPr>
            <w:tcW w:w="1559" w:type="dxa"/>
            <w:tcBorders>
              <w:top w:val="nil"/>
              <w:left w:val="nil"/>
              <w:bottom w:val="single" w:sz="8" w:space="0" w:color="auto"/>
              <w:right w:val="single" w:sz="8" w:space="0" w:color="auto"/>
            </w:tcBorders>
            <w:shd w:val="clear" w:color="auto" w:fill="auto"/>
            <w:vAlign w:val="center"/>
            <w:hideMark/>
          </w:tcPr>
          <w:p w14:paraId="553936A4" w14:textId="77777777" w:rsidR="00032E44" w:rsidRPr="00941F90" w:rsidRDefault="00032E44" w:rsidP="009D2CC9">
            <w:pPr>
              <w:keepNext/>
              <w:ind w:left="0" w:firstLine="0"/>
              <w:jc w:val="right"/>
              <w:rPr>
                <w:rFonts w:eastAsia="Times New Roman" w:cs="Calibri"/>
                <w:color w:val="000000"/>
                <w:sz w:val="20"/>
                <w:szCs w:val="20"/>
                <w:lang w:eastAsia="en-GB"/>
              </w:rPr>
            </w:pPr>
            <w:r w:rsidRPr="00941F90">
              <w:rPr>
                <w:rFonts w:eastAsia="Times New Roman" w:cs="Calibri"/>
                <w:color w:val="000000"/>
                <w:sz w:val="20"/>
                <w:szCs w:val="20"/>
                <w:lang w:eastAsia="en-GB"/>
              </w:rPr>
              <w:t>65</w:t>
            </w:r>
          </w:p>
        </w:tc>
        <w:tc>
          <w:tcPr>
            <w:tcW w:w="4111" w:type="dxa"/>
            <w:tcBorders>
              <w:top w:val="nil"/>
              <w:left w:val="nil"/>
              <w:bottom w:val="single" w:sz="8" w:space="0" w:color="auto"/>
              <w:right w:val="single" w:sz="8" w:space="0" w:color="auto"/>
            </w:tcBorders>
            <w:shd w:val="clear" w:color="auto" w:fill="auto"/>
            <w:vAlign w:val="center"/>
            <w:hideMark/>
          </w:tcPr>
          <w:p w14:paraId="0EF20773" w14:textId="54D37464" w:rsidR="00032E44" w:rsidRPr="00941F90" w:rsidRDefault="00032E44" w:rsidP="009D2CC9">
            <w:pPr>
              <w:keepNext/>
              <w:ind w:left="0" w:firstLine="0"/>
              <w:rPr>
                <w:rFonts w:eastAsia="Times New Roman" w:cs="Calibri"/>
                <w:color w:val="000000"/>
                <w:sz w:val="20"/>
                <w:szCs w:val="20"/>
                <w:lang w:eastAsia="en-GB"/>
              </w:rPr>
            </w:pPr>
            <w:r w:rsidRPr="00941F90">
              <w:rPr>
                <w:rFonts w:eastAsia="Times New Roman" w:cs="Calibri"/>
                <w:color w:val="000000"/>
                <w:sz w:val="20"/>
                <w:szCs w:val="20"/>
                <w:lang w:eastAsia="en-GB"/>
              </w:rPr>
              <w:t xml:space="preserve">Tropical </w:t>
            </w:r>
            <w:r w:rsidR="009D2CC9">
              <w:rPr>
                <w:rFonts w:eastAsia="Times New Roman" w:cs="Calibri"/>
                <w:color w:val="000000"/>
                <w:sz w:val="20"/>
                <w:szCs w:val="20"/>
                <w:lang w:eastAsia="en-GB"/>
              </w:rPr>
              <w:t>p</w:t>
            </w:r>
            <w:r w:rsidR="009D2CC9" w:rsidRPr="00941F90">
              <w:rPr>
                <w:rFonts w:eastAsia="Times New Roman" w:cs="Calibri"/>
                <w:color w:val="000000"/>
                <w:sz w:val="20"/>
                <w:szCs w:val="20"/>
                <w:lang w:eastAsia="en-GB"/>
              </w:rPr>
              <w:t xml:space="preserve">eatlands </w:t>
            </w:r>
            <w:r w:rsidR="001922F3" w:rsidRPr="00941F90">
              <w:rPr>
                <w:rFonts w:eastAsia="Times New Roman" w:cs="Calibri"/>
                <w:color w:val="000000"/>
                <w:sz w:val="20"/>
                <w:szCs w:val="20"/>
                <w:lang w:eastAsia="en-GB"/>
              </w:rPr>
              <w:t>related STRP</w:t>
            </w:r>
            <w:r w:rsidR="009D2CC9" w:rsidRPr="00941F90">
              <w:rPr>
                <w:rFonts w:eastAsia="Times New Roman" w:cs="Calibri"/>
                <w:color w:val="000000"/>
                <w:sz w:val="20"/>
                <w:szCs w:val="20"/>
                <w:lang w:eastAsia="en-GB"/>
              </w:rPr>
              <w:t xml:space="preserve"> work</w:t>
            </w:r>
          </w:p>
        </w:tc>
      </w:tr>
      <w:tr w:rsidR="00AD6EB6" w:rsidRPr="00941F90" w14:paraId="254869CA" w14:textId="77777777" w:rsidTr="00941F90">
        <w:tc>
          <w:tcPr>
            <w:tcW w:w="354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A874DBA" w14:textId="341A1CFF" w:rsidR="00AD6EB6" w:rsidRPr="00941F90" w:rsidRDefault="00990677" w:rsidP="006B595B">
            <w:pPr>
              <w:ind w:left="0" w:firstLine="0"/>
              <w:rPr>
                <w:rFonts w:eastAsia="Times New Roman" w:cs="Calibri"/>
                <w:b/>
                <w:sz w:val="20"/>
                <w:szCs w:val="20"/>
                <w:lang w:eastAsia="en-GB"/>
              </w:rPr>
            </w:pPr>
            <w:r w:rsidRPr="00941F90">
              <w:rPr>
                <w:rFonts w:eastAsia="Times New Roman" w:cs="Calibri"/>
                <w:b/>
                <w:sz w:val="20"/>
                <w:szCs w:val="20"/>
                <w:lang w:eastAsia="en-GB"/>
              </w:rPr>
              <w:t xml:space="preserve">Total </w:t>
            </w:r>
            <w:r w:rsidR="006B595B">
              <w:rPr>
                <w:rFonts w:eastAsia="Times New Roman" w:cs="Calibri"/>
                <w:b/>
                <w:sz w:val="20"/>
                <w:szCs w:val="20"/>
                <w:lang w:eastAsia="en-GB"/>
              </w:rPr>
              <w:t>project income</w:t>
            </w:r>
          </w:p>
        </w:tc>
        <w:tc>
          <w:tcPr>
            <w:tcW w:w="1559"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13BDB842" w14:textId="5C7268D2" w:rsidR="00AD6EB6" w:rsidRPr="00D414B1" w:rsidRDefault="00AD6EB6" w:rsidP="00162710">
            <w:pPr>
              <w:ind w:left="0" w:firstLine="0"/>
              <w:jc w:val="right"/>
              <w:rPr>
                <w:rFonts w:eastAsia="Times New Roman" w:cs="Calibri"/>
                <w:b/>
                <w:sz w:val="20"/>
                <w:szCs w:val="20"/>
                <w:lang w:eastAsia="en-GB"/>
              </w:rPr>
            </w:pPr>
            <w:r w:rsidRPr="00D414B1">
              <w:rPr>
                <w:rFonts w:eastAsia="Times New Roman" w:cs="Calibri"/>
                <w:b/>
                <w:sz w:val="20"/>
                <w:szCs w:val="20"/>
                <w:lang w:eastAsia="en-GB"/>
              </w:rPr>
              <w:t>379</w:t>
            </w:r>
          </w:p>
        </w:tc>
        <w:tc>
          <w:tcPr>
            <w:tcW w:w="4111"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70526DBA" w14:textId="67D1E81C" w:rsidR="00AD6EB6" w:rsidRPr="00941F90" w:rsidRDefault="00AD6EB6" w:rsidP="00162710">
            <w:pPr>
              <w:ind w:left="0" w:firstLine="0"/>
              <w:rPr>
                <w:rFonts w:eastAsia="Times New Roman" w:cs="Calibri"/>
                <w:color w:val="000000"/>
                <w:sz w:val="20"/>
                <w:szCs w:val="20"/>
                <w:lang w:eastAsia="en-GB"/>
              </w:rPr>
            </w:pPr>
          </w:p>
        </w:tc>
      </w:tr>
    </w:tbl>
    <w:p w14:paraId="061E91E0" w14:textId="21365482" w:rsidR="00D76E4A" w:rsidRDefault="00D76E4A" w:rsidP="00162710"/>
    <w:p w14:paraId="3C54D133" w14:textId="77777777" w:rsidR="00DA6FAA" w:rsidRDefault="00DA6FAA" w:rsidP="00162710"/>
    <w:p w14:paraId="466FD5C8" w14:textId="181559BE" w:rsidR="00CA08CF" w:rsidRPr="00421152" w:rsidRDefault="00DA6FAA" w:rsidP="00162710">
      <w:r>
        <w:t>23</w:t>
      </w:r>
      <w:r w:rsidR="00B10EA9" w:rsidRPr="00421152">
        <w:t>.</w:t>
      </w:r>
      <w:r w:rsidR="00B10EA9" w:rsidRPr="00421152">
        <w:tab/>
      </w:r>
      <w:r w:rsidR="00FB5B4B">
        <w:t>A</w:t>
      </w:r>
      <w:r w:rsidR="00CC01F6" w:rsidRPr="00421152">
        <w:t xml:space="preserve"> </w:t>
      </w:r>
      <w:r w:rsidR="00CC01F6" w:rsidRPr="004B6DE6">
        <w:t xml:space="preserve">total of </w:t>
      </w:r>
      <w:r w:rsidR="004D0395">
        <w:t>CHF</w:t>
      </w:r>
      <w:r w:rsidR="004D0395" w:rsidRPr="004B6DE6">
        <w:t xml:space="preserve"> </w:t>
      </w:r>
      <w:r w:rsidR="004D0395">
        <w:t>125K</w:t>
      </w:r>
      <w:r w:rsidR="00FB187B" w:rsidRPr="004B6DE6">
        <w:t xml:space="preserve"> </w:t>
      </w:r>
      <w:r w:rsidR="00FB5B4B" w:rsidRPr="004B6DE6">
        <w:t xml:space="preserve">(EUR </w:t>
      </w:r>
      <w:r w:rsidR="00FB5B4B">
        <w:t>115K</w:t>
      </w:r>
      <w:r w:rsidR="00FB5B4B" w:rsidRPr="004B6DE6">
        <w:t>)</w:t>
      </w:r>
      <w:r w:rsidR="00FB5B4B">
        <w:t xml:space="preserve"> </w:t>
      </w:r>
      <w:r w:rsidR="00FB187B" w:rsidRPr="004B6DE6">
        <w:t xml:space="preserve">was received in </w:t>
      </w:r>
      <w:r w:rsidR="009F406C" w:rsidRPr="004B6DE6">
        <w:t>201</w:t>
      </w:r>
      <w:r w:rsidR="009F406C">
        <w:t>9</w:t>
      </w:r>
      <w:r w:rsidR="009F406C" w:rsidRPr="004B6DE6">
        <w:t xml:space="preserve"> </w:t>
      </w:r>
      <w:r w:rsidR="00FB5B4B">
        <w:t>from</w:t>
      </w:r>
      <w:r w:rsidR="00FB5B4B" w:rsidRPr="00421152">
        <w:t xml:space="preserve"> Danone</w:t>
      </w:r>
      <w:r w:rsidR="00FB5B4B">
        <w:t>.</w:t>
      </w:r>
      <w:r w:rsidR="00FB5B4B" w:rsidRPr="00421152">
        <w:t xml:space="preserve"> </w:t>
      </w:r>
      <w:r w:rsidR="001032EA" w:rsidRPr="008A7E5E">
        <w:t>The Secretariat is approaching possible donors to seek alternative resources</w:t>
      </w:r>
      <w:r w:rsidR="00747E18" w:rsidRPr="008A7E5E">
        <w:t xml:space="preserve"> for World Wetlands Day</w:t>
      </w:r>
      <w:r w:rsidR="00852801" w:rsidRPr="008A7E5E">
        <w:t xml:space="preserve"> should Danone no longer fund this initiative in the future</w:t>
      </w:r>
      <w:r w:rsidR="001032EA" w:rsidRPr="008A7E5E">
        <w:t xml:space="preserve">. </w:t>
      </w:r>
      <w:r w:rsidR="00FC5AAA" w:rsidRPr="008A7E5E">
        <w:t>Efforts will continue to secure</w:t>
      </w:r>
      <w:r w:rsidR="00852801" w:rsidRPr="008A7E5E">
        <w:t xml:space="preserve"> future</w:t>
      </w:r>
      <w:r w:rsidR="00FC5AAA" w:rsidRPr="008A7E5E">
        <w:t xml:space="preserve"> funding </w:t>
      </w:r>
      <w:r w:rsidR="001032EA" w:rsidRPr="008A7E5E">
        <w:t>for this important area of work and for the</w:t>
      </w:r>
      <w:r w:rsidR="00E91F83" w:rsidRPr="008A7E5E">
        <w:t xml:space="preserve"> </w:t>
      </w:r>
      <w:r w:rsidR="0002452B" w:rsidRPr="008A7E5E">
        <w:t>Ramsar Awards</w:t>
      </w:r>
      <w:r w:rsidR="00CA08CF" w:rsidRPr="008A7E5E">
        <w:t>.</w:t>
      </w:r>
    </w:p>
    <w:p w14:paraId="4B694507" w14:textId="77777777" w:rsidR="00B10EA9" w:rsidRPr="00421152" w:rsidRDefault="00B10EA9" w:rsidP="00162710"/>
    <w:p w14:paraId="208A028C" w14:textId="251DCE97" w:rsidR="008B157F" w:rsidRDefault="00DA6FAA" w:rsidP="00162710">
      <w:r>
        <w:t>24</w:t>
      </w:r>
      <w:r w:rsidR="00B10EA9" w:rsidRPr="00421152">
        <w:t>.</w:t>
      </w:r>
      <w:r w:rsidR="00B10EA9" w:rsidRPr="00421152">
        <w:tab/>
      </w:r>
      <w:r w:rsidR="00FC5AAA">
        <w:t xml:space="preserve">Contracting </w:t>
      </w:r>
      <w:r w:rsidR="008B157F" w:rsidRPr="00421152">
        <w:t xml:space="preserve">Parties and other </w:t>
      </w:r>
      <w:r w:rsidR="00FC5AAA">
        <w:t>potential donors</w:t>
      </w:r>
      <w:r w:rsidR="00FC5AAA" w:rsidRPr="00421152">
        <w:t xml:space="preserve"> </w:t>
      </w:r>
      <w:r w:rsidR="00D414B1">
        <w:t xml:space="preserve">have been approached </w:t>
      </w:r>
      <w:r w:rsidR="008B157F" w:rsidRPr="00421152">
        <w:t>regarding funding of</w:t>
      </w:r>
      <w:r w:rsidR="00E215B3" w:rsidRPr="00421152">
        <w:t xml:space="preserve"> </w:t>
      </w:r>
      <w:r w:rsidR="003D1E05" w:rsidRPr="00421152">
        <w:t>other</w:t>
      </w:r>
      <w:r w:rsidR="00E91F83" w:rsidRPr="00421152">
        <w:t xml:space="preserve"> </w:t>
      </w:r>
      <w:r w:rsidR="008B157F" w:rsidRPr="00421152">
        <w:t xml:space="preserve">budgeted non-core priority items identified in </w:t>
      </w:r>
      <w:r w:rsidR="00D414B1" w:rsidRPr="00421152">
        <w:t>Annex 3</w:t>
      </w:r>
      <w:r w:rsidR="00D414B1">
        <w:t xml:space="preserve"> of </w:t>
      </w:r>
      <w:r w:rsidR="008B157F" w:rsidRPr="00421152">
        <w:t xml:space="preserve">Resolution XIII.2. </w:t>
      </w:r>
      <w:r w:rsidR="00364316">
        <w:t>A m</w:t>
      </w:r>
      <w:r w:rsidR="003D5354">
        <w:t xml:space="preserve">ain priority in this regard for </w:t>
      </w:r>
      <w:r w:rsidR="00364316">
        <w:t>P</w:t>
      </w:r>
      <w:r w:rsidR="00A47386">
        <w:t>a</w:t>
      </w:r>
      <w:r w:rsidR="003D5354">
        <w:t xml:space="preserve">rties to be aware </w:t>
      </w:r>
      <w:r w:rsidR="00364316">
        <w:t xml:space="preserve">of </w:t>
      </w:r>
      <w:r w:rsidR="003D5354">
        <w:t xml:space="preserve">in 2020 is funding for </w:t>
      </w:r>
      <w:r w:rsidR="00B47A2B">
        <w:t>COP14</w:t>
      </w:r>
      <w:r w:rsidR="003D5354">
        <w:t xml:space="preserve">, </w:t>
      </w:r>
      <w:r w:rsidR="00B47A2B">
        <w:t>especially</w:t>
      </w:r>
      <w:r w:rsidR="003D5354">
        <w:t xml:space="preserve"> for </w:t>
      </w:r>
      <w:r w:rsidR="00364316">
        <w:t>sponsored</w:t>
      </w:r>
      <w:r w:rsidR="003D5354">
        <w:t xml:space="preserve"> delegates. </w:t>
      </w:r>
      <w:r w:rsidR="00B47A2B" w:rsidRPr="006D6A50">
        <w:t>The</w:t>
      </w:r>
      <w:r w:rsidR="003D5354" w:rsidRPr="006D6A50">
        <w:t xml:space="preserve"> Secre</w:t>
      </w:r>
      <w:r w:rsidR="00B47A2B" w:rsidRPr="006D6A50">
        <w:t>tariat</w:t>
      </w:r>
      <w:r w:rsidR="003D5354" w:rsidRPr="006D6A50">
        <w:t xml:space="preserve"> would </w:t>
      </w:r>
      <w:r w:rsidR="00364316">
        <w:t xml:space="preserve">welcome guidance from Parties on </w:t>
      </w:r>
      <w:r w:rsidR="00B47A2B" w:rsidRPr="006D6A50">
        <w:t>potential</w:t>
      </w:r>
      <w:r w:rsidR="003D5354" w:rsidRPr="006D6A50">
        <w:t xml:space="preserve"> donor</w:t>
      </w:r>
      <w:r w:rsidR="00B47A2B" w:rsidRPr="006D6A50">
        <w:t>s</w:t>
      </w:r>
      <w:r w:rsidR="003D5354" w:rsidRPr="006D6A50">
        <w:t xml:space="preserve"> </w:t>
      </w:r>
      <w:r w:rsidR="00714E11">
        <w:t>to ensure participation of all Contracting Parties at</w:t>
      </w:r>
      <w:r w:rsidR="003D5354" w:rsidRPr="006D6A50">
        <w:t xml:space="preserve"> COP</w:t>
      </w:r>
      <w:r w:rsidR="00B47A2B" w:rsidRPr="006D6A50">
        <w:t>14</w:t>
      </w:r>
      <w:r w:rsidR="003D5354" w:rsidRPr="006D6A50">
        <w:t>.</w:t>
      </w:r>
    </w:p>
    <w:p w14:paraId="69908900" w14:textId="66B9CAFC" w:rsidR="00B10EA9" w:rsidRPr="00421152" w:rsidRDefault="00B10EA9" w:rsidP="00162710">
      <w:pPr>
        <w:ind w:left="0" w:firstLine="0"/>
      </w:pPr>
    </w:p>
    <w:p w14:paraId="49AC15B8" w14:textId="5513DA51" w:rsidR="007768A1" w:rsidRDefault="00DA6FAA" w:rsidP="00162710">
      <w:r>
        <w:t>25</w:t>
      </w:r>
      <w:r w:rsidR="00B10EA9" w:rsidRPr="00421152">
        <w:t>.</w:t>
      </w:r>
      <w:r w:rsidR="00B10EA9" w:rsidRPr="00421152">
        <w:tab/>
      </w:r>
      <w:r w:rsidR="0075376A" w:rsidRPr="00421152">
        <w:t xml:space="preserve">The Secretariat would like to express its sincere appreciation to Contracting Parties and donors for </w:t>
      </w:r>
      <w:r w:rsidR="00D414B1">
        <w:t xml:space="preserve">their </w:t>
      </w:r>
      <w:r w:rsidR="0075376A" w:rsidRPr="00421152">
        <w:t>voluntary contributions to non-core activities of the Convention.</w:t>
      </w:r>
    </w:p>
    <w:p w14:paraId="2C01C7D5" w14:textId="0A350482" w:rsidR="007768A1" w:rsidRDefault="007768A1" w:rsidP="00464D2B">
      <w:pPr>
        <w:pStyle w:val="NoSpacing"/>
        <w:rPr>
          <w:b/>
        </w:rPr>
      </w:pPr>
    </w:p>
    <w:p w14:paraId="5C5D0DAF" w14:textId="77777777" w:rsidR="0075376A" w:rsidRPr="00421152" w:rsidRDefault="0075376A" w:rsidP="00162710">
      <w:pPr>
        <w:pStyle w:val="NoSpacing"/>
        <w:rPr>
          <w:i/>
        </w:rPr>
      </w:pPr>
      <w:r w:rsidRPr="00421152">
        <w:rPr>
          <w:i/>
        </w:rPr>
        <w:t>African voluntary contributions</w:t>
      </w:r>
    </w:p>
    <w:p w14:paraId="78E2E3CA" w14:textId="77777777" w:rsidR="00A42238" w:rsidRPr="00464D2B" w:rsidRDefault="00A42238" w:rsidP="00464D2B">
      <w:pPr>
        <w:pStyle w:val="NoSpacing"/>
        <w:rPr>
          <w:b/>
        </w:rPr>
      </w:pPr>
    </w:p>
    <w:p w14:paraId="0ADA0EFC" w14:textId="672FCBB2" w:rsidR="00D87A0A" w:rsidRDefault="00DA6FAA" w:rsidP="00162710">
      <w:r>
        <w:t>26</w:t>
      </w:r>
      <w:r w:rsidR="00B10EA9" w:rsidRPr="00421152">
        <w:t>.</w:t>
      </w:r>
      <w:r w:rsidR="00B10EA9" w:rsidRPr="00421152">
        <w:tab/>
      </w:r>
      <w:r w:rsidR="00D87A0A">
        <w:t>In 2019</w:t>
      </w:r>
      <w:r w:rsidR="00714E11">
        <w:t>,</w:t>
      </w:r>
      <w:r w:rsidR="00D87A0A">
        <w:t xml:space="preserve"> </w:t>
      </w:r>
      <w:r w:rsidR="00714E11">
        <w:t xml:space="preserve">a </w:t>
      </w:r>
      <w:r w:rsidR="00D87A0A">
        <w:t>n</w:t>
      </w:r>
      <w:r w:rsidR="00D87A0A" w:rsidRPr="00942026">
        <w:t xml:space="preserve">et </w:t>
      </w:r>
      <w:r w:rsidR="007C47AE" w:rsidRPr="00942026">
        <w:t xml:space="preserve">voluntary </w:t>
      </w:r>
      <w:r w:rsidR="0075376A" w:rsidRPr="00942026">
        <w:t xml:space="preserve">contribution of CHF </w:t>
      </w:r>
      <w:r w:rsidR="004D0395" w:rsidRPr="00942026">
        <w:t>2</w:t>
      </w:r>
      <w:r w:rsidR="00895280" w:rsidRPr="00942026">
        <w:t xml:space="preserve">K was </w:t>
      </w:r>
      <w:r w:rsidR="0075376A" w:rsidRPr="00942026">
        <w:t>r</w:t>
      </w:r>
      <w:r w:rsidR="00880FB8" w:rsidRPr="00942026">
        <w:t>eceived</w:t>
      </w:r>
      <w:r w:rsidR="0075376A" w:rsidRPr="00942026">
        <w:t xml:space="preserve"> from Contracting Parties in the Africa region</w:t>
      </w:r>
      <w:r w:rsidR="00B00E07" w:rsidRPr="00942026">
        <w:t>.</w:t>
      </w:r>
      <w:r w:rsidR="00E91F83" w:rsidRPr="00942026">
        <w:t xml:space="preserve"> </w:t>
      </w:r>
    </w:p>
    <w:p w14:paraId="25738155" w14:textId="77777777" w:rsidR="00D87A0A" w:rsidRDefault="00D87A0A" w:rsidP="00162710"/>
    <w:p w14:paraId="168AFAFB" w14:textId="0171C8E0" w:rsidR="00ED64C2" w:rsidRDefault="00DA6FAA" w:rsidP="00DA6FAA">
      <w:r>
        <w:t>27.</w:t>
      </w:r>
      <w:r>
        <w:tab/>
      </w:r>
      <w:r w:rsidR="00C50540">
        <w:t xml:space="preserve">As mentioned in </w:t>
      </w:r>
      <w:r w:rsidR="00D268F3">
        <w:t xml:space="preserve">paragraph 24 of </w:t>
      </w:r>
      <w:r w:rsidR="00C50540">
        <w:t>document SC58</w:t>
      </w:r>
      <w:r w:rsidR="00D268F3">
        <w:t xml:space="preserve"> Doc.</w:t>
      </w:r>
      <w:r w:rsidR="00C50540">
        <w:t xml:space="preserve">8.3, </w:t>
      </w:r>
      <w:r w:rsidR="00D87A0A">
        <w:t>i</w:t>
      </w:r>
      <w:r w:rsidR="00D87A0A" w:rsidRPr="00D87A0A">
        <w:t xml:space="preserve">n accordance with </w:t>
      </w:r>
      <w:r w:rsidR="00D268F3" w:rsidRPr="00D87A0A">
        <w:t>paragraph 24</w:t>
      </w:r>
      <w:r w:rsidR="00D268F3">
        <w:t xml:space="preserve"> of </w:t>
      </w:r>
      <w:r w:rsidR="00D87A0A" w:rsidRPr="00D87A0A">
        <w:t xml:space="preserve">Resolution XIII.2, the Secretariat </w:t>
      </w:r>
      <w:r w:rsidR="00ED64C2">
        <w:t>has received requests from the</w:t>
      </w:r>
      <w:r w:rsidR="00D87A0A" w:rsidRPr="00D87A0A">
        <w:t xml:space="preserve"> Ramsar Regional Initiatives in Africa </w:t>
      </w:r>
      <w:r w:rsidR="00ED64C2">
        <w:t xml:space="preserve">and </w:t>
      </w:r>
      <w:r w:rsidR="00ED64C2" w:rsidRPr="00ED64C2">
        <w:t xml:space="preserve">submitted </w:t>
      </w:r>
      <w:r w:rsidR="00ED64C2">
        <w:t xml:space="preserve">them </w:t>
      </w:r>
      <w:r w:rsidR="00ED64C2" w:rsidRPr="00ED64C2">
        <w:t xml:space="preserve">to the African Regional Representatives to the Standing Committee for their decision on the allocation of </w:t>
      </w:r>
      <w:r w:rsidR="00ED64C2">
        <w:t xml:space="preserve">the funds </w:t>
      </w:r>
      <w:r w:rsidR="00ED64C2" w:rsidRPr="00ED64C2">
        <w:t>available</w:t>
      </w:r>
      <w:r w:rsidR="00ED64C2">
        <w:t xml:space="preserve"> </w:t>
      </w:r>
      <w:r w:rsidR="00ED64C2" w:rsidRPr="00D87A0A">
        <w:t>as at 31 December 2019 of CHF 91K</w:t>
      </w:r>
      <w:r w:rsidR="00ED64C2" w:rsidRPr="00ED64C2">
        <w:t>. These Representatives will inform the Secretariat of their decision.</w:t>
      </w:r>
    </w:p>
    <w:p w14:paraId="3608533D" w14:textId="77777777" w:rsidR="00ED64C2" w:rsidRDefault="00ED64C2" w:rsidP="00162710">
      <w:pPr>
        <w:ind w:left="0" w:firstLine="0"/>
      </w:pPr>
    </w:p>
    <w:p w14:paraId="78F4631F" w14:textId="35962959" w:rsidR="0075376A" w:rsidRPr="00C730BF" w:rsidRDefault="0075376A" w:rsidP="00162710">
      <w:pPr>
        <w:ind w:left="0" w:firstLine="0"/>
      </w:pPr>
      <w:r w:rsidRPr="00421152">
        <w:rPr>
          <w:b/>
        </w:rPr>
        <w:t>Review of non-core balances</w:t>
      </w:r>
      <w:r w:rsidR="00C04BC6" w:rsidRPr="00421152">
        <w:rPr>
          <w:b/>
        </w:rPr>
        <w:t xml:space="preserve"> (Annex 3)</w:t>
      </w:r>
      <w:r w:rsidRPr="00421152">
        <w:rPr>
          <w:b/>
        </w:rPr>
        <w:t xml:space="preserve"> </w:t>
      </w:r>
    </w:p>
    <w:p w14:paraId="528DE113" w14:textId="77777777" w:rsidR="0075376A" w:rsidRPr="00421152" w:rsidRDefault="0075376A" w:rsidP="00162710">
      <w:pPr>
        <w:pStyle w:val="NoSpacing"/>
      </w:pPr>
    </w:p>
    <w:p w14:paraId="2C671FDE" w14:textId="6F3727E0" w:rsidR="00AE2D1A" w:rsidRDefault="00DA6FAA" w:rsidP="00162710">
      <w:pPr>
        <w:pStyle w:val="NoSpacing"/>
      </w:pPr>
      <w:r>
        <w:t>28</w:t>
      </w:r>
      <w:r w:rsidR="008A23C2" w:rsidRPr="00421152">
        <w:t>.</w:t>
      </w:r>
      <w:r w:rsidR="008A23C2" w:rsidRPr="00421152">
        <w:tab/>
      </w:r>
      <w:r w:rsidR="00E93BB6" w:rsidRPr="00421152">
        <w:t xml:space="preserve">The Secretary General </w:t>
      </w:r>
      <w:r w:rsidR="00AD0AE9">
        <w:t xml:space="preserve">has continued the process started in </w:t>
      </w:r>
      <w:r w:rsidR="00E93BB6" w:rsidRPr="00421152">
        <w:t>2016</w:t>
      </w:r>
      <w:r w:rsidR="00B2601D">
        <w:t xml:space="preserve"> </w:t>
      </w:r>
      <w:r w:rsidR="00AD0AE9">
        <w:t>to</w:t>
      </w:r>
      <w:r w:rsidR="00E93BB6" w:rsidRPr="00421152">
        <w:t xml:space="preserve"> put in place a more structured and transparent approach to the use of non-core funding and balances. The internal review of old non-core projects has continued during </w:t>
      </w:r>
      <w:r w:rsidR="00E93BB6">
        <w:t>2019</w:t>
      </w:r>
      <w:r w:rsidR="00AD0AE9">
        <w:t xml:space="preserve"> and </w:t>
      </w:r>
      <w:r w:rsidR="004B21F7">
        <w:t>a further</w:t>
      </w:r>
      <w:r w:rsidR="00E93BB6" w:rsidRPr="00421152">
        <w:t xml:space="preserve"> </w:t>
      </w:r>
      <w:r w:rsidR="00E93BB6">
        <w:t>25</w:t>
      </w:r>
      <w:r w:rsidR="00E93BB6" w:rsidRPr="00421152">
        <w:t xml:space="preserve"> projects have been closed in the financial system</w:t>
      </w:r>
      <w:r w:rsidR="00E93BB6">
        <w:t xml:space="preserve">, resulting from adjustments made </w:t>
      </w:r>
      <w:r w:rsidR="004B21F7">
        <w:t xml:space="preserve">and </w:t>
      </w:r>
      <w:r w:rsidR="00E93BB6">
        <w:t>balances spent, reimbursed or moved to active projects following donor approvals</w:t>
      </w:r>
      <w:r w:rsidR="00E93BB6" w:rsidRPr="00421152">
        <w:t xml:space="preserve">. Improvements are </w:t>
      </w:r>
      <w:r w:rsidR="00E93BB6">
        <w:t xml:space="preserve">continuously </w:t>
      </w:r>
      <w:r w:rsidR="00E93BB6" w:rsidRPr="00421152">
        <w:t>also being made in the processes and procedures as well as in the system, in close cooperation with IUCN.</w:t>
      </w:r>
    </w:p>
    <w:p w14:paraId="4BE457BD" w14:textId="1206C81A" w:rsidR="009244AD" w:rsidRDefault="009244AD" w:rsidP="00162710">
      <w:pPr>
        <w:pStyle w:val="NoSpacing"/>
      </w:pPr>
    </w:p>
    <w:p w14:paraId="4923FF80" w14:textId="75C695B3" w:rsidR="009244AD" w:rsidRDefault="00DA6FAA" w:rsidP="00DA6FAA">
      <w:pPr>
        <w:rPr>
          <w:highlight w:val="yellow"/>
        </w:rPr>
      </w:pPr>
      <w:r>
        <w:t>29.</w:t>
      </w:r>
      <w:r>
        <w:tab/>
      </w:r>
      <w:r w:rsidR="009244AD">
        <w:t xml:space="preserve">As a result of </w:t>
      </w:r>
      <w:r w:rsidR="004B21F7">
        <w:t xml:space="preserve">a </w:t>
      </w:r>
      <w:r w:rsidR="009244AD">
        <w:t xml:space="preserve">further review of project available balances, the Secretariat identified balances on two projects resulting from the old practice of </w:t>
      </w:r>
      <w:r w:rsidR="006041A2">
        <w:t>allocating</w:t>
      </w:r>
      <w:r w:rsidR="009244AD">
        <w:t xml:space="preserve"> core </w:t>
      </w:r>
      <w:r w:rsidR="006041A2">
        <w:t xml:space="preserve">funds </w:t>
      </w:r>
      <w:r w:rsidR="009244AD">
        <w:t xml:space="preserve">to non-core </w:t>
      </w:r>
      <w:r w:rsidR="006041A2">
        <w:t xml:space="preserve">projects </w:t>
      </w:r>
      <w:r w:rsidR="009244AD">
        <w:t xml:space="preserve">back in 2013. The balances remain on the projects for activities that no longer exist within the </w:t>
      </w:r>
      <w:r w:rsidR="009244AD">
        <w:lastRenderedPageBreak/>
        <w:t xml:space="preserve">Secretariat: a) Science </w:t>
      </w:r>
      <w:r w:rsidR="004B21F7">
        <w:t xml:space="preserve">review </w:t>
      </w:r>
      <w:r w:rsidR="009244AD">
        <w:t>project</w:t>
      </w:r>
      <w:r w:rsidR="004B21F7">
        <w:t>,</w:t>
      </w:r>
      <w:r w:rsidR="009244AD">
        <w:t xml:space="preserve"> of CHF 33K and b) Strategic Plan 2016</w:t>
      </w:r>
      <w:r w:rsidR="004B21F7">
        <w:t xml:space="preserve">, </w:t>
      </w:r>
      <w:r w:rsidR="009244AD">
        <w:t xml:space="preserve">of CHF </w:t>
      </w:r>
      <w:r w:rsidR="009244AD" w:rsidRPr="0055175A">
        <w:t>18K</w:t>
      </w:r>
      <w:r w:rsidR="009244AD" w:rsidRPr="00065E42">
        <w:t>.</w:t>
      </w:r>
      <w:r w:rsidR="00573F8B">
        <w:t xml:space="preserve"> </w:t>
      </w:r>
      <w:r w:rsidR="009244AD" w:rsidRPr="00065E42">
        <w:t xml:space="preserve">The Secretariat is reviewing possible </w:t>
      </w:r>
      <w:r w:rsidR="004B21F7">
        <w:t>uses</w:t>
      </w:r>
      <w:r w:rsidR="004B21F7" w:rsidRPr="00065E42">
        <w:t xml:space="preserve"> </w:t>
      </w:r>
      <w:r w:rsidR="009244AD" w:rsidRPr="00065E42">
        <w:t xml:space="preserve">for </w:t>
      </w:r>
      <w:r w:rsidR="004B21F7">
        <w:t>these</w:t>
      </w:r>
      <w:r w:rsidR="004B21F7" w:rsidRPr="00065E42">
        <w:t xml:space="preserve"> </w:t>
      </w:r>
      <w:r w:rsidR="009244AD" w:rsidRPr="00065E42">
        <w:t>resources and will present any suggestions to the Standing Committee for its consideration in due course.</w:t>
      </w:r>
    </w:p>
    <w:p w14:paraId="0B3E48FD" w14:textId="77777777" w:rsidR="00AE2D1A" w:rsidRPr="00421152" w:rsidRDefault="00AE2D1A" w:rsidP="00162710">
      <w:pPr>
        <w:pStyle w:val="NoSpacing"/>
      </w:pPr>
    </w:p>
    <w:p w14:paraId="3C2D35E8" w14:textId="3D1E9C83" w:rsidR="00502524" w:rsidRPr="00421152" w:rsidRDefault="00DA6FAA" w:rsidP="00162710">
      <w:pPr>
        <w:pStyle w:val="NoSpacing"/>
      </w:pPr>
      <w:r>
        <w:t>30</w:t>
      </w:r>
      <w:r w:rsidR="0042598C">
        <w:t>.</w:t>
      </w:r>
      <w:r w:rsidR="0042598C">
        <w:tab/>
      </w:r>
      <w:r w:rsidR="00E93BB6" w:rsidRPr="00421152">
        <w:t xml:space="preserve">The </w:t>
      </w:r>
      <w:r w:rsidR="0095500A">
        <w:t xml:space="preserve">unspent </w:t>
      </w:r>
      <w:r w:rsidR="00AD0AE9">
        <w:t xml:space="preserve">balance </w:t>
      </w:r>
      <w:r w:rsidR="00E93BB6">
        <w:t xml:space="preserve">of </w:t>
      </w:r>
      <w:r w:rsidR="00AD0AE9">
        <w:t xml:space="preserve">the funds provided by the United Arab Emirates for the organization of COP13 in Dubai in 2018 amounted to </w:t>
      </w:r>
      <w:r w:rsidR="00E93BB6">
        <w:t>CHF 206K</w:t>
      </w:r>
      <w:r w:rsidR="0095500A">
        <w:t>,</w:t>
      </w:r>
      <w:r w:rsidR="006308CF">
        <w:t xml:space="preserve"> </w:t>
      </w:r>
      <w:r w:rsidR="00AD0AE9">
        <w:t xml:space="preserve">and </w:t>
      </w:r>
      <w:r w:rsidR="0095500A">
        <w:t xml:space="preserve">was </w:t>
      </w:r>
      <w:r w:rsidR="00E93BB6">
        <w:t xml:space="preserve">reimbursed to </w:t>
      </w:r>
      <w:r w:rsidR="00AD0AE9">
        <w:t>the host country</w:t>
      </w:r>
      <w:r w:rsidR="00E93BB6">
        <w:t xml:space="preserve"> in July 2019.</w:t>
      </w:r>
    </w:p>
    <w:p w14:paraId="14EC010D" w14:textId="7B016DBA" w:rsidR="00301BD4" w:rsidRPr="00421152" w:rsidRDefault="00301BD4" w:rsidP="00162710">
      <w:pPr>
        <w:ind w:left="0" w:firstLine="0"/>
      </w:pPr>
    </w:p>
    <w:p w14:paraId="20592C01" w14:textId="0DD48148" w:rsidR="006E414B" w:rsidRDefault="00DA6FAA" w:rsidP="00162710">
      <w:r>
        <w:t>31</w:t>
      </w:r>
      <w:r w:rsidR="00301BD4" w:rsidRPr="00421152">
        <w:t>.</w:t>
      </w:r>
      <w:r w:rsidR="00301BD4" w:rsidRPr="00421152">
        <w:tab/>
      </w:r>
      <w:r w:rsidR="00C42674">
        <w:t xml:space="preserve">As </w:t>
      </w:r>
      <w:r w:rsidR="006E414B">
        <w:t xml:space="preserve">instructed </w:t>
      </w:r>
      <w:r w:rsidR="00714E11">
        <w:t>in</w:t>
      </w:r>
      <w:r w:rsidR="006E414B">
        <w:t xml:space="preserve"> Decision</w:t>
      </w:r>
      <w:r w:rsidR="00A86DA6">
        <w:t xml:space="preserve"> SC57-51</w:t>
      </w:r>
      <w:r w:rsidR="006E414B">
        <w:t>,</w:t>
      </w:r>
      <w:r w:rsidR="00A86DA6">
        <w:t xml:space="preserve"> </w:t>
      </w:r>
      <w:r w:rsidR="006E414B">
        <w:t>the Secretariat has taken action to phase out the Small Grants Fund programme by allocating a first tranch</w:t>
      </w:r>
      <w:r w:rsidR="003562A0">
        <w:t>e</w:t>
      </w:r>
      <w:r w:rsidR="006E414B">
        <w:t xml:space="preserve"> of funding to the four pro</w:t>
      </w:r>
      <w:r w:rsidR="00923B9F">
        <w:t>jects approved in this decision</w:t>
      </w:r>
      <w:r w:rsidR="00D7776A">
        <w:t>.</w:t>
      </w:r>
      <w:r w:rsidR="00923B9F">
        <w:t xml:space="preserve"> </w:t>
      </w:r>
      <w:r w:rsidR="00114BA0">
        <w:t>The Secretariat is due to receive m</w:t>
      </w:r>
      <w:r w:rsidR="006E414B">
        <w:t xml:space="preserve">id-project </w:t>
      </w:r>
      <w:r w:rsidR="00AD0AE9">
        <w:t xml:space="preserve">implementation </w:t>
      </w:r>
      <w:r w:rsidR="006E414B">
        <w:t xml:space="preserve">reports nine months </w:t>
      </w:r>
      <w:r w:rsidR="00114BA0">
        <w:t xml:space="preserve">after </w:t>
      </w:r>
      <w:r w:rsidR="006E414B">
        <w:t>receipt of the funding by the project</w:t>
      </w:r>
      <w:r w:rsidR="00714E11">
        <w:t xml:space="preserve"> </w:t>
      </w:r>
      <w:r w:rsidR="004E68DE">
        <w:t>recipients</w:t>
      </w:r>
      <w:r w:rsidR="009C4E55">
        <w:t>.</w:t>
      </w:r>
      <w:r w:rsidR="006E414B">
        <w:t xml:space="preserve"> </w:t>
      </w:r>
      <w:r w:rsidR="003562A0">
        <w:t xml:space="preserve">Additionally, the balances </w:t>
      </w:r>
      <w:r w:rsidR="00714E11">
        <w:t xml:space="preserve">are being </w:t>
      </w:r>
      <w:r w:rsidR="00B60835">
        <w:t xml:space="preserve">managed within one project (see </w:t>
      </w:r>
      <w:r w:rsidR="00114BA0">
        <w:t xml:space="preserve">item </w:t>
      </w:r>
      <w:r w:rsidR="00B60835">
        <w:t xml:space="preserve">R100163- </w:t>
      </w:r>
      <w:r w:rsidR="00B60835" w:rsidRPr="00B60835">
        <w:t>SGF-2009-2020</w:t>
      </w:r>
      <w:r w:rsidR="00B60835">
        <w:t xml:space="preserve"> in Annex 3</w:t>
      </w:r>
      <w:r w:rsidR="00B60835">
        <w:rPr>
          <w:rFonts w:eastAsia="Times New Roman" w:cs="Calibri"/>
          <w:color w:val="000000"/>
          <w:sz w:val="20"/>
          <w:szCs w:val="20"/>
          <w:lang w:eastAsia="en-GB"/>
        </w:rPr>
        <w:t>)</w:t>
      </w:r>
      <w:r w:rsidR="00D7776A">
        <w:rPr>
          <w:rFonts w:eastAsia="Times New Roman" w:cs="Calibri"/>
          <w:color w:val="000000"/>
          <w:sz w:val="20"/>
          <w:szCs w:val="20"/>
          <w:lang w:eastAsia="en-GB"/>
        </w:rPr>
        <w:t>.</w:t>
      </w:r>
      <w:r w:rsidR="00B60835">
        <w:rPr>
          <w:rFonts w:eastAsia="Times New Roman" w:cs="Calibri"/>
          <w:color w:val="000000"/>
          <w:sz w:val="20"/>
          <w:szCs w:val="20"/>
          <w:lang w:eastAsia="en-GB"/>
        </w:rPr>
        <w:t xml:space="preserve"> </w:t>
      </w:r>
      <w:r w:rsidR="0099769F">
        <w:t xml:space="preserve">Table </w:t>
      </w:r>
      <w:r w:rsidR="00065E42">
        <w:t>4</w:t>
      </w:r>
      <w:r w:rsidR="003562A0">
        <w:t xml:space="preserve"> below shows the disbursements</w:t>
      </w:r>
      <w:r w:rsidR="000518FC">
        <w:t xml:space="preserve"> of the </w:t>
      </w:r>
      <w:r w:rsidR="00114BA0">
        <w:t xml:space="preserve">first </w:t>
      </w:r>
      <w:r w:rsidR="000518FC">
        <w:t xml:space="preserve">tranche representing 60% of the total </w:t>
      </w:r>
      <w:r w:rsidR="004E68DE">
        <w:t xml:space="preserve">budget </w:t>
      </w:r>
      <w:r w:rsidR="003562A0">
        <w:t>of the Small Grants Funds.</w:t>
      </w:r>
      <w:r w:rsidR="00B2601D">
        <w:t xml:space="preserve"> The </w:t>
      </w:r>
      <w:r w:rsidR="00114BA0">
        <w:t xml:space="preserve">second </w:t>
      </w:r>
      <w:r w:rsidR="00DF1D6D">
        <w:t xml:space="preserve">and final </w:t>
      </w:r>
      <w:r w:rsidR="00B2601D">
        <w:t xml:space="preserve">tranche representing </w:t>
      </w:r>
      <w:r w:rsidR="00114BA0">
        <w:t xml:space="preserve">the remaining </w:t>
      </w:r>
      <w:r w:rsidR="00B2601D">
        <w:t xml:space="preserve">40% will be </w:t>
      </w:r>
      <w:r w:rsidR="00DF1D6D">
        <w:t>disbursed upon receipt and satisfactory review of the final project reports, in 2021.</w:t>
      </w:r>
    </w:p>
    <w:p w14:paraId="6ED3671C" w14:textId="3DB3BDD0" w:rsidR="00B55BCE" w:rsidRDefault="00B55BCE" w:rsidP="00162710"/>
    <w:p w14:paraId="1290D9CD" w14:textId="4F6DAC11" w:rsidR="003562A0" w:rsidRPr="00B55BCE" w:rsidRDefault="0099769F" w:rsidP="00DA6FAA">
      <w:pPr>
        <w:ind w:left="0" w:firstLine="0"/>
        <w:rPr>
          <w:i/>
        </w:rPr>
      </w:pPr>
      <w:r w:rsidRPr="00B55BCE">
        <w:rPr>
          <w:i/>
        </w:rPr>
        <w:t xml:space="preserve">Table </w:t>
      </w:r>
      <w:r w:rsidR="00065E42" w:rsidRPr="00B55BCE">
        <w:rPr>
          <w:i/>
        </w:rPr>
        <w:t>4</w:t>
      </w:r>
      <w:r w:rsidR="00CC3282">
        <w:rPr>
          <w:i/>
        </w:rPr>
        <w:t>:</w:t>
      </w:r>
      <w:r w:rsidR="003562A0" w:rsidRPr="00B55BCE">
        <w:rPr>
          <w:i/>
        </w:rPr>
        <w:t xml:space="preserve"> Small Grants Fund programme disbursements </w:t>
      </w:r>
      <w:r w:rsidR="00CC3282">
        <w:rPr>
          <w:i/>
        </w:rPr>
        <w:t xml:space="preserve">in </w:t>
      </w:r>
      <w:r w:rsidR="003562A0" w:rsidRPr="00B55BCE">
        <w:rPr>
          <w:i/>
        </w:rPr>
        <w:t>2019</w:t>
      </w:r>
      <w:r w:rsidR="002657EF" w:rsidRPr="00B55BCE">
        <w:rPr>
          <w:i/>
        </w:rPr>
        <w:t xml:space="preserve"> </w:t>
      </w:r>
      <w:r w:rsidR="002657EF" w:rsidRPr="00B55BCE">
        <w:rPr>
          <w:rFonts w:eastAsia="Times New Roman" w:cs="Calibri"/>
          <w:i/>
          <w:iCs/>
          <w:lang w:eastAsia="en-GB"/>
        </w:rPr>
        <w:t xml:space="preserve">(in ‘000 CHF, </w:t>
      </w:r>
      <w:r w:rsidR="002657EF" w:rsidRPr="00B55BCE">
        <w:rPr>
          <w:rFonts w:asciiTheme="minorHAnsi" w:eastAsia="Times New Roman" w:hAnsiTheme="minorHAnsi" w:cs="Arial"/>
          <w:bCs/>
          <w:i/>
          <w:lang w:eastAsia="en-GB"/>
        </w:rPr>
        <w:t>includes possible rounding differences</w:t>
      </w:r>
      <w:r w:rsidR="002657EF" w:rsidRPr="00B55BCE">
        <w:rPr>
          <w:rFonts w:eastAsia="Times New Roman" w:cs="Calibri"/>
          <w:i/>
          <w:iCs/>
          <w:lang w:eastAsia="en-GB"/>
        </w:rPr>
        <w:t>)</w:t>
      </w:r>
    </w:p>
    <w:tbl>
      <w:tblPr>
        <w:tblStyle w:val="TableGrid"/>
        <w:tblW w:w="9214" w:type="dxa"/>
        <w:tblInd w:w="-5" w:type="dxa"/>
        <w:tblBorders>
          <w:insideH w:val="none" w:sz="0" w:space="0" w:color="auto"/>
          <w:insideV w:val="none" w:sz="0" w:space="0" w:color="auto"/>
        </w:tblBorders>
        <w:tblLook w:val="04A0" w:firstRow="1" w:lastRow="0" w:firstColumn="1" w:lastColumn="0" w:noHBand="0" w:noVBand="1"/>
      </w:tblPr>
      <w:tblGrid>
        <w:gridCol w:w="882"/>
        <w:gridCol w:w="6524"/>
        <w:gridCol w:w="1808"/>
      </w:tblGrid>
      <w:tr w:rsidR="001068D9" w:rsidRPr="00DA6FAA" w14:paraId="0CDA90EB" w14:textId="77777777" w:rsidTr="00DA6FAA">
        <w:tc>
          <w:tcPr>
            <w:tcW w:w="882" w:type="dxa"/>
            <w:tcBorders>
              <w:top w:val="single" w:sz="4" w:space="0" w:color="auto"/>
              <w:bottom w:val="single" w:sz="4" w:space="0" w:color="auto"/>
              <w:right w:val="single" w:sz="4" w:space="0" w:color="auto"/>
            </w:tcBorders>
            <w:shd w:val="clear" w:color="auto" w:fill="DBE5F1" w:themeFill="accent1" w:themeFillTint="33"/>
          </w:tcPr>
          <w:p w14:paraId="60460551" w14:textId="5487652E" w:rsidR="001068D9" w:rsidRPr="00DA6FAA" w:rsidRDefault="00513871" w:rsidP="00162710">
            <w:pPr>
              <w:ind w:left="0" w:firstLine="0"/>
              <w:rPr>
                <w:b/>
              </w:rPr>
            </w:pPr>
            <w:r w:rsidRPr="00DA6FAA">
              <w:rPr>
                <w:b/>
              </w:rPr>
              <w:t>Item</w:t>
            </w:r>
          </w:p>
        </w:tc>
        <w:tc>
          <w:tcPr>
            <w:tcW w:w="6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46E2A4" w14:textId="46174A5F" w:rsidR="001068D9" w:rsidRPr="00DA6FAA" w:rsidRDefault="00E42115" w:rsidP="00162710">
            <w:pPr>
              <w:ind w:left="0" w:firstLine="0"/>
              <w:rPr>
                <w:b/>
              </w:rPr>
            </w:pPr>
            <w:r w:rsidRPr="00DA6FAA">
              <w:rPr>
                <w:b/>
              </w:rPr>
              <w:t>Description</w:t>
            </w:r>
          </w:p>
        </w:tc>
        <w:tc>
          <w:tcPr>
            <w:tcW w:w="1808" w:type="dxa"/>
            <w:tcBorders>
              <w:top w:val="single" w:sz="4" w:space="0" w:color="auto"/>
              <w:left w:val="single" w:sz="4" w:space="0" w:color="auto"/>
              <w:bottom w:val="single" w:sz="4" w:space="0" w:color="auto"/>
            </w:tcBorders>
            <w:shd w:val="clear" w:color="auto" w:fill="DBE5F1" w:themeFill="accent1" w:themeFillTint="33"/>
          </w:tcPr>
          <w:p w14:paraId="2F71B533" w14:textId="5F5EFB9B" w:rsidR="001068D9" w:rsidRPr="00DA6FAA" w:rsidRDefault="002657EF" w:rsidP="00162710">
            <w:pPr>
              <w:ind w:left="0" w:firstLine="0"/>
              <w:jc w:val="center"/>
              <w:rPr>
                <w:b/>
              </w:rPr>
            </w:pPr>
            <w:r w:rsidRPr="00DA6FAA">
              <w:rPr>
                <w:b/>
              </w:rPr>
              <w:t>Amount</w:t>
            </w:r>
          </w:p>
        </w:tc>
      </w:tr>
      <w:tr w:rsidR="001068D9" w:rsidRPr="00DA6FAA" w14:paraId="70647DE1" w14:textId="77777777" w:rsidTr="00DA6FAA">
        <w:tc>
          <w:tcPr>
            <w:tcW w:w="882" w:type="dxa"/>
            <w:tcBorders>
              <w:top w:val="single" w:sz="4" w:space="0" w:color="auto"/>
              <w:bottom w:val="single" w:sz="4" w:space="0" w:color="auto"/>
              <w:right w:val="single" w:sz="4" w:space="0" w:color="auto"/>
            </w:tcBorders>
          </w:tcPr>
          <w:p w14:paraId="37F645A3" w14:textId="565B96F5" w:rsidR="001068D9" w:rsidRPr="00DA6FAA" w:rsidRDefault="00FE3C89" w:rsidP="00162710">
            <w:pPr>
              <w:ind w:left="0" w:firstLine="0"/>
            </w:pPr>
            <w:r w:rsidRPr="00DA6FAA">
              <w:t>(I)</w:t>
            </w:r>
          </w:p>
        </w:tc>
        <w:tc>
          <w:tcPr>
            <w:tcW w:w="6524" w:type="dxa"/>
            <w:tcBorders>
              <w:top w:val="single" w:sz="4" w:space="0" w:color="auto"/>
              <w:left w:val="single" w:sz="4" w:space="0" w:color="auto"/>
              <w:bottom w:val="single" w:sz="4" w:space="0" w:color="auto"/>
              <w:right w:val="single" w:sz="4" w:space="0" w:color="auto"/>
            </w:tcBorders>
          </w:tcPr>
          <w:p w14:paraId="7DDA55E1" w14:textId="246835A0" w:rsidR="001068D9" w:rsidRPr="00DA6FAA" w:rsidRDefault="001068D9" w:rsidP="00162710">
            <w:pPr>
              <w:ind w:left="0" w:firstLine="0"/>
            </w:pPr>
            <w:r w:rsidRPr="00DA6FAA">
              <w:t>Opening balance 1 January 2019</w:t>
            </w:r>
          </w:p>
        </w:tc>
        <w:tc>
          <w:tcPr>
            <w:tcW w:w="1808" w:type="dxa"/>
            <w:tcBorders>
              <w:top w:val="single" w:sz="4" w:space="0" w:color="auto"/>
              <w:left w:val="single" w:sz="4" w:space="0" w:color="auto"/>
              <w:bottom w:val="single" w:sz="4" w:space="0" w:color="auto"/>
            </w:tcBorders>
          </w:tcPr>
          <w:p w14:paraId="3C1D8682" w14:textId="7CC594F5" w:rsidR="001068D9" w:rsidRPr="00DA6FAA" w:rsidRDefault="001068D9" w:rsidP="00162710">
            <w:pPr>
              <w:ind w:left="0" w:firstLine="0"/>
              <w:jc w:val="right"/>
            </w:pPr>
            <w:r w:rsidRPr="00DA6FAA">
              <w:t>138</w:t>
            </w:r>
          </w:p>
        </w:tc>
      </w:tr>
      <w:tr w:rsidR="001068D9" w:rsidRPr="00DA6FAA" w14:paraId="18CEB90D" w14:textId="77777777" w:rsidTr="00DA6FAA">
        <w:tc>
          <w:tcPr>
            <w:tcW w:w="882" w:type="dxa"/>
            <w:tcBorders>
              <w:top w:val="single" w:sz="4" w:space="0" w:color="auto"/>
              <w:bottom w:val="nil"/>
              <w:right w:val="single" w:sz="4" w:space="0" w:color="auto"/>
            </w:tcBorders>
          </w:tcPr>
          <w:p w14:paraId="5A3E1480" w14:textId="3233CDE5" w:rsidR="001068D9" w:rsidRPr="00DA6FAA" w:rsidRDefault="00FE3C89" w:rsidP="00162710">
            <w:pPr>
              <w:ind w:left="0" w:firstLine="0"/>
            </w:pPr>
            <w:r w:rsidRPr="00DA6FAA">
              <w:t>(II)</w:t>
            </w:r>
          </w:p>
        </w:tc>
        <w:tc>
          <w:tcPr>
            <w:tcW w:w="6524" w:type="dxa"/>
            <w:tcBorders>
              <w:top w:val="single" w:sz="4" w:space="0" w:color="auto"/>
              <w:left w:val="single" w:sz="4" w:space="0" w:color="auto"/>
              <w:bottom w:val="nil"/>
              <w:right w:val="single" w:sz="4" w:space="0" w:color="auto"/>
            </w:tcBorders>
          </w:tcPr>
          <w:p w14:paraId="1AA564C5" w14:textId="03F42B83" w:rsidR="001068D9" w:rsidRPr="00D97CAE" w:rsidRDefault="00513871" w:rsidP="00CC3282">
            <w:pPr>
              <w:ind w:left="432" w:hanging="432"/>
            </w:pPr>
            <w:r w:rsidRPr="00D97CAE">
              <w:t>T</w:t>
            </w:r>
            <w:r w:rsidR="001068D9" w:rsidRPr="00D97CAE">
              <w:t>ranche 1 payments</w:t>
            </w:r>
            <w:r w:rsidR="009E5117" w:rsidRPr="00D97CAE">
              <w:t xml:space="preserve"> disbursed in 2019</w:t>
            </w:r>
            <w:r w:rsidR="001068D9" w:rsidRPr="00D97CAE">
              <w:t xml:space="preserve"> </w:t>
            </w:r>
            <w:r w:rsidRPr="00D97CAE">
              <w:t xml:space="preserve">(recipients </w:t>
            </w:r>
            <w:r w:rsidR="00CB0294">
              <w:t>and</w:t>
            </w:r>
            <w:r w:rsidRPr="00D97CAE">
              <w:t xml:space="preserve"> dates):</w:t>
            </w:r>
          </w:p>
        </w:tc>
        <w:tc>
          <w:tcPr>
            <w:tcW w:w="1808" w:type="dxa"/>
            <w:tcBorders>
              <w:top w:val="single" w:sz="4" w:space="0" w:color="auto"/>
              <w:left w:val="single" w:sz="4" w:space="0" w:color="auto"/>
              <w:bottom w:val="nil"/>
            </w:tcBorders>
          </w:tcPr>
          <w:p w14:paraId="56178D1E" w14:textId="297F67D5" w:rsidR="001068D9" w:rsidRPr="00DA6FAA" w:rsidRDefault="001068D9" w:rsidP="00162710">
            <w:pPr>
              <w:ind w:left="0" w:firstLine="0"/>
              <w:jc w:val="right"/>
            </w:pPr>
            <w:r w:rsidRPr="00DA6FAA">
              <w:t>82</w:t>
            </w:r>
          </w:p>
        </w:tc>
      </w:tr>
      <w:tr w:rsidR="001068D9" w:rsidRPr="00DA6FAA" w14:paraId="61B8BDD7" w14:textId="77777777" w:rsidTr="00DA6FAA">
        <w:tc>
          <w:tcPr>
            <w:tcW w:w="882" w:type="dxa"/>
            <w:tcBorders>
              <w:top w:val="nil"/>
              <w:bottom w:val="nil"/>
              <w:right w:val="single" w:sz="4" w:space="0" w:color="auto"/>
            </w:tcBorders>
          </w:tcPr>
          <w:p w14:paraId="1D8FBB62" w14:textId="77777777" w:rsidR="001068D9" w:rsidRPr="00DA6FAA" w:rsidRDefault="001068D9" w:rsidP="00162710">
            <w:pPr>
              <w:ind w:left="0" w:firstLine="0"/>
            </w:pPr>
          </w:p>
        </w:tc>
        <w:tc>
          <w:tcPr>
            <w:tcW w:w="6524" w:type="dxa"/>
            <w:tcBorders>
              <w:top w:val="nil"/>
              <w:left w:val="single" w:sz="4" w:space="0" w:color="auto"/>
              <w:bottom w:val="nil"/>
              <w:right w:val="single" w:sz="4" w:space="0" w:color="auto"/>
            </w:tcBorders>
          </w:tcPr>
          <w:p w14:paraId="2E146B41" w14:textId="0215FC43" w:rsidR="001068D9" w:rsidRPr="00D97CAE" w:rsidRDefault="001068D9" w:rsidP="00CC3282">
            <w:pPr>
              <w:pStyle w:val="ListParagraph"/>
              <w:numPr>
                <w:ilvl w:val="0"/>
                <w:numId w:val="6"/>
              </w:numPr>
              <w:ind w:left="432" w:hanging="432"/>
            </w:pPr>
            <w:r w:rsidRPr="00D97CAE">
              <w:t>Sokoine University</w:t>
            </w:r>
            <w:r w:rsidR="000518FC" w:rsidRPr="00D97CAE">
              <w:t xml:space="preserve"> of Agriculture</w:t>
            </w:r>
            <w:r w:rsidRPr="00D97CAE">
              <w:t xml:space="preserve">, </w:t>
            </w:r>
            <w:r w:rsidR="000518FC" w:rsidRPr="00D97CAE">
              <w:t>Tanzania on 2 September 2019</w:t>
            </w:r>
          </w:p>
        </w:tc>
        <w:tc>
          <w:tcPr>
            <w:tcW w:w="1808" w:type="dxa"/>
            <w:tcBorders>
              <w:top w:val="nil"/>
              <w:left w:val="single" w:sz="4" w:space="0" w:color="auto"/>
              <w:bottom w:val="nil"/>
            </w:tcBorders>
          </w:tcPr>
          <w:p w14:paraId="60636F7B" w14:textId="77777777" w:rsidR="001068D9" w:rsidRPr="00DA6FAA" w:rsidRDefault="001068D9" w:rsidP="00162710">
            <w:pPr>
              <w:ind w:left="0" w:firstLine="0"/>
              <w:jc w:val="right"/>
            </w:pPr>
          </w:p>
        </w:tc>
      </w:tr>
      <w:tr w:rsidR="000518FC" w:rsidRPr="00DA6FAA" w14:paraId="1886A757" w14:textId="77777777" w:rsidTr="00DA6FAA">
        <w:tc>
          <w:tcPr>
            <w:tcW w:w="882" w:type="dxa"/>
            <w:tcBorders>
              <w:top w:val="nil"/>
              <w:bottom w:val="nil"/>
              <w:right w:val="single" w:sz="4" w:space="0" w:color="auto"/>
            </w:tcBorders>
          </w:tcPr>
          <w:p w14:paraId="617AE2A1" w14:textId="77777777" w:rsidR="000518FC" w:rsidRPr="00DA6FAA" w:rsidRDefault="000518FC" w:rsidP="00162710">
            <w:pPr>
              <w:ind w:left="0" w:firstLine="0"/>
            </w:pPr>
          </w:p>
        </w:tc>
        <w:tc>
          <w:tcPr>
            <w:tcW w:w="6524" w:type="dxa"/>
            <w:tcBorders>
              <w:top w:val="nil"/>
              <w:left w:val="single" w:sz="4" w:space="0" w:color="auto"/>
              <w:bottom w:val="nil"/>
              <w:right w:val="single" w:sz="4" w:space="0" w:color="auto"/>
            </w:tcBorders>
          </w:tcPr>
          <w:p w14:paraId="425529E8" w14:textId="18C958E8" w:rsidR="000518FC" w:rsidRPr="00D97CAE" w:rsidRDefault="000518FC" w:rsidP="00CC3282">
            <w:pPr>
              <w:pStyle w:val="ListParagraph"/>
              <w:numPr>
                <w:ilvl w:val="0"/>
                <w:numId w:val="6"/>
              </w:numPr>
              <w:ind w:left="432" w:hanging="432"/>
            </w:pPr>
            <w:r w:rsidRPr="00D97CAE">
              <w:t>BirdLife International Cambodia Programme, Cambodia on 12 September 2019</w:t>
            </w:r>
          </w:p>
        </w:tc>
        <w:tc>
          <w:tcPr>
            <w:tcW w:w="1808" w:type="dxa"/>
            <w:tcBorders>
              <w:top w:val="nil"/>
              <w:left w:val="single" w:sz="4" w:space="0" w:color="auto"/>
              <w:bottom w:val="nil"/>
            </w:tcBorders>
          </w:tcPr>
          <w:p w14:paraId="583586F1" w14:textId="77777777" w:rsidR="000518FC" w:rsidRPr="00DA6FAA" w:rsidRDefault="000518FC" w:rsidP="00162710">
            <w:pPr>
              <w:ind w:left="0" w:firstLine="0"/>
              <w:jc w:val="right"/>
            </w:pPr>
          </w:p>
        </w:tc>
      </w:tr>
      <w:tr w:rsidR="000518FC" w:rsidRPr="00DA6FAA" w14:paraId="10842A13" w14:textId="77777777" w:rsidTr="00DA6FAA">
        <w:tc>
          <w:tcPr>
            <w:tcW w:w="882" w:type="dxa"/>
            <w:tcBorders>
              <w:top w:val="nil"/>
              <w:bottom w:val="nil"/>
              <w:right w:val="single" w:sz="4" w:space="0" w:color="auto"/>
            </w:tcBorders>
          </w:tcPr>
          <w:p w14:paraId="04BB43E7" w14:textId="77777777" w:rsidR="000518FC" w:rsidRPr="00DA6FAA" w:rsidRDefault="000518FC" w:rsidP="00162710">
            <w:pPr>
              <w:ind w:left="0" w:firstLine="0"/>
            </w:pPr>
          </w:p>
        </w:tc>
        <w:tc>
          <w:tcPr>
            <w:tcW w:w="6524" w:type="dxa"/>
            <w:tcBorders>
              <w:top w:val="nil"/>
              <w:left w:val="single" w:sz="4" w:space="0" w:color="auto"/>
              <w:bottom w:val="nil"/>
              <w:right w:val="single" w:sz="4" w:space="0" w:color="auto"/>
            </w:tcBorders>
          </w:tcPr>
          <w:p w14:paraId="1F28B6DB" w14:textId="7BA7026B" w:rsidR="000518FC" w:rsidRPr="00D97CAE" w:rsidRDefault="000518FC" w:rsidP="00CC3282">
            <w:pPr>
              <w:pStyle w:val="ListParagraph"/>
              <w:numPr>
                <w:ilvl w:val="0"/>
                <w:numId w:val="6"/>
              </w:numPr>
              <w:ind w:left="432" w:hanging="432"/>
            </w:pPr>
            <w:r w:rsidRPr="00D97CAE">
              <w:t>FONNOR A.C., Mexico on 4 October 2019</w:t>
            </w:r>
          </w:p>
        </w:tc>
        <w:tc>
          <w:tcPr>
            <w:tcW w:w="1808" w:type="dxa"/>
            <w:tcBorders>
              <w:top w:val="nil"/>
              <w:left w:val="single" w:sz="4" w:space="0" w:color="auto"/>
              <w:bottom w:val="nil"/>
            </w:tcBorders>
          </w:tcPr>
          <w:p w14:paraId="77FBC366" w14:textId="77777777" w:rsidR="000518FC" w:rsidRPr="00DA6FAA" w:rsidRDefault="000518FC" w:rsidP="00162710">
            <w:pPr>
              <w:ind w:left="0" w:firstLine="0"/>
              <w:jc w:val="right"/>
            </w:pPr>
          </w:p>
        </w:tc>
      </w:tr>
      <w:tr w:rsidR="000518FC" w:rsidRPr="00DA6FAA" w14:paraId="32BCA87E" w14:textId="77777777" w:rsidTr="00DA6FAA">
        <w:tc>
          <w:tcPr>
            <w:tcW w:w="882" w:type="dxa"/>
            <w:tcBorders>
              <w:top w:val="nil"/>
              <w:bottom w:val="single" w:sz="4" w:space="0" w:color="auto"/>
              <w:right w:val="single" w:sz="4" w:space="0" w:color="auto"/>
            </w:tcBorders>
          </w:tcPr>
          <w:p w14:paraId="5D8AEDD2" w14:textId="77777777" w:rsidR="000518FC" w:rsidRPr="00DA6FAA" w:rsidRDefault="000518FC" w:rsidP="00162710">
            <w:pPr>
              <w:ind w:left="0" w:firstLine="0"/>
            </w:pPr>
          </w:p>
        </w:tc>
        <w:tc>
          <w:tcPr>
            <w:tcW w:w="6524" w:type="dxa"/>
            <w:tcBorders>
              <w:top w:val="nil"/>
              <w:left w:val="single" w:sz="4" w:space="0" w:color="auto"/>
              <w:bottom w:val="single" w:sz="4" w:space="0" w:color="auto"/>
              <w:right w:val="single" w:sz="4" w:space="0" w:color="auto"/>
            </w:tcBorders>
          </w:tcPr>
          <w:p w14:paraId="35D2764B" w14:textId="534A9452" w:rsidR="000518FC" w:rsidRPr="00D97CAE" w:rsidRDefault="000518FC" w:rsidP="00CC3282">
            <w:pPr>
              <w:pStyle w:val="ListParagraph"/>
              <w:numPr>
                <w:ilvl w:val="0"/>
                <w:numId w:val="6"/>
              </w:numPr>
              <w:ind w:left="432" w:hanging="432"/>
            </w:pPr>
            <w:r w:rsidRPr="00D97CAE">
              <w:t>Guyra, Parag</w:t>
            </w:r>
            <w:r w:rsidR="00D7776A" w:rsidRPr="00D97CAE">
              <w:t>u</w:t>
            </w:r>
            <w:r w:rsidRPr="00D97CAE">
              <w:t>ay on 7 November 2019</w:t>
            </w:r>
          </w:p>
        </w:tc>
        <w:tc>
          <w:tcPr>
            <w:tcW w:w="1808" w:type="dxa"/>
            <w:tcBorders>
              <w:top w:val="nil"/>
              <w:left w:val="single" w:sz="4" w:space="0" w:color="auto"/>
              <w:bottom w:val="single" w:sz="4" w:space="0" w:color="auto"/>
            </w:tcBorders>
          </w:tcPr>
          <w:p w14:paraId="6610EF63" w14:textId="77777777" w:rsidR="000518FC" w:rsidRPr="00DA6FAA" w:rsidRDefault="000518FC" w:rsidP="00162710">
            <w:pPr>
              <w:ind w:left="0" w:firstLine="0"/>
              <w:jc w:val="right"/>
            </w:pPr>
          </w:p>
        </w:tc>
      </w:tr>
      <w:tr w:rsidR="001068D9" w:rsidRPr="00DA6FAA" w14:paraId="080CE843" w14:textId="77777777" w:rsidTr="00DA6FAA">
        <w:tc>
          <w:tcPr>
            <w:tcW w:w="882" w:type="dxa"/>
            <w:tcBorders>
              <w:top w:val="single" w:sz="4" w:space="0" w:color="auto"/>
              <w:bottom w:val="single" w:sz="4" w:space="0" w:color="auto"/>
              <w:right w:val="single" w:sz="4" w:space="0" w:color="auto"/>
            </w:tcBorders>
            <w:shd w:val="clear" w:color="auto" w:fill="DBE5F1" w:themeFill="accent1" w:themeFillTint="33"/>
          </w:tcPr>
          <w:p w14:paraId="4D9DDF18" w14:textId="3ED16F07" w:rsidR="001068D9" w:rsidRPr="00DA6FAA" w:rsidRDefault="00FE3C89" w:rsidP="00162710">
            <w:pPr>
              <w:ind w:left="0" w:firstLine="0"/>
            </w:pPr>
            <w:r w:rsidRPr="00DA6FAA">
              <w:t>(III=I-II)</w:t>
            </w:r>
          </w:p>
        </w:tc>
        <w:tc>
          <w:tcPr>
            <w:tcW w:w="65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847E7A" w14:textId="388EB55C" w:rsidR="001068D9" w:rsidRPr="00DA6FAA" w:rsidRDefault="00513871" w:rsidP="00162710">
            <w:pPr>
              <w:ind w:left="0" w:firstLine="0"/>
              <w:rPr>
                <w:b/>
              </w:rPr>
            </w:pPr>
            <w:r w:rsidRPr="00DA6FAA">
              <w:rPr>
                <w:b/>
              </w:rPr>
              <w:t xml:space="preserve">SGF </w:t>
            </w:r>
            <w:r w:rsidR="00936293" w:rsidRPr="00DA6FAA">
              <w:rPr>
                <w:b/>
              </w:rPr>
              <w:t xml:space="preserve">committed </w:t>
            </w:r>
            <w:r w:rsidRPr="00DA6FAA">
              <w:rPr>
                <w:b/>
              </w:rPr>
              <w:t>b</w:t>
            </w:r>
            <w:r w:rsidR="001068D9" w:rsidRPr="00DA6FAA">
              <w:rPr>
                <w:b/>
              </w:rPr>
              <w:t>alance</w:t>
            </w:r>
            <w:r w:rsidRPr="00DA6FAA">
              <w:rPr>
                <w:b/>
              </w:rPr>
              <w:t>s</w:t>
            </w:r>
            <w:r w:rsidR="001068D9" w:rsidRPr="00DA6FAA">
              <w:rPr>
                <w:b/>
              </w:rPr>
              <w:t xml:space="preserve"> to be disbursed in </w:t>
            </w:r>
            <w:r w:rsidR="00713E0D" w:rsidRPr="00DA6FAA">
              <w:rPr>
                <w:b/>
              </w:rPr>
              <w:t>2021</w:t>
            </w:r>
          </w:p>
        </w:tc>
        <w:tc>
          <w:tcPr>
            <w:tcW w:w="1808" w:type="dxa"/>
            <w:tcBorders>
              <w:top w:val="single" w:sz="4" w:space="0" w:color="auto"/>
              <w:left w:val="single" w:sz="4" w:space="0" w:color="auto"/>
              <w:bottom w:val="single" w:sz="4" w:space="0" w:color="auto"/>
            </w:tcBorders>
            <w:shd w:val="clear" w:color="auto" w:fill="DBE5F1" w:themeFill="accent1" w:themeFillTint="33"/>
          </w:tcPr>
          <w:p w14:paraId="41F4D13B" w14:textId="77CBDEB8" w:rsidR="001068D9" w:rsidRPr="00DA6FAA" w:rsidRDefault="001068D9" w:rsidP="00162710">
            <w:pPr>
              <w:ind w:left="0" w:firstLine="0"/>
              <w:jc w:val="right"/>
            </w:pPr>
            <w:r w:rsidRPr="00DA6FAA">
              <w:t>56</w:t>
            </w:r>
          </w:p>
        </w:tc>
      </w:tr>
    </w:tbl>
    <w:p w14:paraId="2D8528C6" w14:textId="65BBAB0D" w:rsidR="00713E0D" w:rsidRDefault="00713E0D" w:rsidP="00162710">
      <w:pPr>
        <w:ind w:left="0" w:firstLine="0"/>
      </w:pPr>
    </w:p>
    <w:p w14:paraId="0404D325" w14:textId="27058319" w:rsidR="00321AAD" w:rsidRDefault="00321AAD" w:rsidP="00162710">
      <w:pPr>
        <w:ind w:left="0" w:firstLine="0"/>
      </w:pPr>
    </w:p>
    <w:p w14:paraId="7BF95380" w14:textId="3F6AFE99" w:rsidR="00B6236E" w:rsidRPr="00421152" w:rsidRDefault="00B6236E" w:rsidP="00162710">
      <w:pPr>
        <w:pStyle w:val="NoSpacing"/>
      </w:pPr>
      <w:r w:rsidRPr="00421152">
        <w:rPr>
          <w:b/>
        </w:rPr>
        <w:t>Core budget 20</w:t>
      </w:r>
      <w:r>
        <w:rPr>
          <w:b/>
        </w:rPr>
        <w:t>20</w:t>
      </w:r>
      <w:r w:rsidR="00B47A2B">
        <w:rPr>
          <w:b/>
        </w:rPr>
        <w:t xml:space="preserve"> (Annex 4)</w:t>
      </w:r>
    </w:p>
    <w:p w14:paraId="270546CB" w14:textId="77777777" w:rsidR="00B6236E" w:rsidRPr="00421152" w:rsidRDefault="00B6236E" w:rsidP="00162710">
      <w:pPr>
        <w:pStyle w:val="NoSpacing"/>
        <w:ind w:left="360" w:firstLine="0"/>
      </w:pPr>
    </w:p>
    <w:p w14:paraId="701BDA68" w14:textId="51551FEC" w:rsidR="00B6236E" w:rsidRPr="00AE14CA" w:rsidRDefault="00DA6FAA" w:rsidP="00162710">
      <w:r>
        <w:t>32</w:t>
      </w:r>
      <w:r w:rsidR="00B6236E" w:rsidRPr="00421152">
        <w:t>.</w:t>
      </w:r>
      <w:r w:rsidR="00B6236E" w:rsidRPr="00421152">
        <w:tab/>
        <w:t xml:space="preserve">An </w:t>
      </w:r>
      <w:r w:rsidR="00B6236E" w:rsidRPr="00A154A5">
        <w:t xml:space="preserve">overview of the 2020 </w:t>
      </w:r>
      <w:r w:rsidR="00B6236E" w:rsidRPr="000F55F2">
        <w:t xml:space="preserve">budget is provided </w:t>
      </w:r>
      <w:r w:rsidR="004E68DE">
        <w:t>in</w:t>
      </w:r>
      <w:r w:rsidR="00B6236E" w:rsidRPr="000F55F2">
        <w:t xml:space="preserve"> Annex 4. It includes the </w:t>
      </w:r>
      <w:r w:rsidR="00CC3282" w:rsidRPr="000F55F2">
        <w:t>COP13</w:t>
      </w:r>
      <w:r w:rsidR="00CC3282">
        <w:t>-</w:t>
      </w:r>
      <w:r w:rsidR="00B6236E" w:rsidRPr="000F55F2">
        <w:t>approved budget</w:t>
      </w:r>
      <w:r w:rsidR="004E68DE">
        <w:t xml:space="preserve"> of</w:t>
      </w:r>
      <w:r w:rsidR="009C4E55">
        <w:t xml:space="preserve"> </w:t>
      </w:r>
      <w:r w:rsidR="00B6236E" w:rsidRPr="000F55F2">
        <w:t xml:space="preserve">CHF 5,081K; </w:t>
      </w:r>
      <w:r w:rsidR="00CC3282">
        <w:t xml:space="preserve">the </w:t>
      </w:r>
      <w:r w:rsidR="00FE2266">
        <w:t>authorized</w:t>
      </w:r>
      <w:r w:rsidR="00B6236E" w:rsidRPr="000F55F2">
        <w:t xml:space="preserve"> use of </w:t>
      </w:r>
      <w:r w:rsidR="00CC3282">
        <w:t xml:space="preserve">the </w:t>
      </w:r>
      <w:r w:rsidR="003956B3" w:rsidRPr="000F55F2">
        <w:t>2018 surplus (Resolution XIII.2, paragraph 15)</w:t>
      </w:r>
      <w:r w:rsidR="004E68DE">
        <w:t xml:space="preserve"> of</w:t>
      </w:r>
      <w:r w:rsidR="00B6236E" w:rsidRPr="000F55F2">
        <w:t xml:space="preserve"> </w:t>
      </w:r>
      <w:r w:rsidR="006308CF" w:rsidRPr="000F55F2">
        <w:t>CHF</w:t>
      </w:r>
      <w:r w:rsidR="006308CF">
        <w:t> </w:t>
      </w:r>
      <w:r w:rsidR="00B6236E" w:rsidRPr="000F55F2">
        <w:t>76K</w:t>
      </w:r>
      <w:r w:rsidR="00CC3282">
        <w:t>;</w:t>
      </w:r>
      <w:r w:rsidR="004F5397">
        <w:t xml:space="preserve"> </w:t>
      </w:r>
      <w:r w:rsidR="00CC3282">
        <w:t>the</w:t>
      </w:r>
      <w:r w:rsidR="00CC3282" w:rsidRPr="000F55F2">
        <w:t xml:space="preserve"> </w:t>
      </w:r>
      <w:r w:rsidR="000F55F2" w:rsidRPr="000F55F2">
        <w:t xml:space="preserve">pre-committed 2019 </w:t>
      </w:r>
      <w:r w:rsidR="00CC3282">
        <w:t xml:space="preserve">budget funds </w:t>
      </w:r>
      <w:r w:rsidR="000F55F2" w:rsidRPr="000F55F2">
        <w:t>t</w:t>
      </w:r>
      <w:r w:rsidR="00AD3CE9">
        <w:t>o be spent in 2020 of CHF 5</w:t>
      </w:r>
      <w:r w:rsidR="00CF67EB">
        <w:t>8</w:t>
      </w:r>
      <w:r w:rsidR="00AD3CE9">
        <w:t>8K</w:t>
      </w:r>
      <w:r w:rsidR="00CC3282">
        <w:t>;</w:t>
      </w:r>
      <w:r w:rsidR="006631A2">
        <w:t xml:space="preserve"> and </w:t>
      </w:r>
      <w:r w:rsidR="00AD3CE9" w:rsidRPr="00C94A20">
        <w:t>uncommitted balances of CHF</w:t>
      </w:r>
      <w:r w:rsidR="006A5240" w:rsidRPr="00C94A20">
        <w:t xml:space="preserve"> 9</w:t>
      </w:r>
      <w:r w:rsidR="00CF67EB">
        <w:t>1</w:t>
      </w:r>
      <w:r w:rsidR="006A5240" w:rsidRPr="00C94A20">
        <w:t>9</w:t>
      </w:r>
      <w:r w:rsidR="00AD3CE9" w:rsidRPr="00C94A20">
        <w:t>K</w:t>
      </w:r>
      <w:r w:rsidR="006631A2" w:rsidRPr="00C94A20">
        <w:t xml:space="preserve"> to be carried forward</w:t>
      </w:r>
      <w:r w:rsidR="00AD3CE9" w:rsidRPr="00C94A20">
        <w:t>.</w:t>
      </w:r>
      <w:r w:rsidR="006631A2" w:rsidRPr="00C94A20">
        <w:t xml:space="preserve"> Paragraph </w:t>
      </w:r>
      <w:r w:rsidR="00790C01">
        <w:t>20 above</w:t>
      </w:r>
      <w:r w:rsidR="00790C01" w:rsidRPr="00C94A20">
        <w:t xml:space="preserve"> </w:t>
      </w:r>
      <w:r w:rsidR="006631A2" w:rsidRPr="00C94A20">
        <w:t xml:space="preserve">explains in more detail the funds carried forward from 2019 to 2020. </w:t>
      </w:r>
      <w:r w:rsidR="00B6236E" w:rsidRPr="00C94A20">
        <w:t xml:space="preserve">The total proposed core </w:t>
      </w:r>
      <w:r w:rsidR="00B6236E" w:rsidRPr="009C4E55">
        <w:t>budget</w:t>
      </w:r>
      <w:r w:rsidR="009C4E55">
        <w:t xml:space="preserve"> </w:t>
      </w:r>
      <w:r w:rsidR="007B26DA" w:rsidRPr="009C4E55">
        <w:t xml:space="preserve">for </w:t>
      </w:r>
      <w:r w:rsidR="00B6236E" w:rsidRPr="009C4E55">
        <w:t xml:space="preserve">2020 is </w:t>
      </w:r>
      <w:r w:rsidR="006631A2" w:rsidRPr="009C4E55">
        <w:t xml:space="preserve">thus </w:t>
      </w:r>
      <w:r w:rsidR="00B6236E" w:rsidRPr="009C4E55">
        <w:t xml:space="preserve">CHF </w:t>
      </w:r>
      <w:r w:rsidR="00E822EB" w:rsidRPr="009C4E55">
        <w:t>6,66</w:t>
      </w:r>
      <w:r w:rsidR="006A5240" w:rsidRPr="009C4E55">
        <w:t>4</w:t>
      </w:r>
      <w:r w:rsidR="00E822EB" w:rsidRPr="009C4E55">
        <w:t>K</w:t>
      </w:r>
      <w:r w:rsidR="00B6236E" w:rsidRPr="00C94A20">
        <w:t>.</w:t>
      </w:r>
    </w:p>
    <w:p w14:paraId="25776686" w14:textId="77777777" w:rsidR="00776FB3" w:rsidRDefault="00776FB3" w:rsidP="00162710">
      <w:pPr>
        <w:ind w:firstLine="0"/>
        <w:rPr>
          <w:highlight w:val="green"/>
        </w:rPr>
      </w:pPr>
    </w:p>
    <w:p w14:paraId="0DA5C8AC" w14:textId="5860B615" w:rsidR="00776FB3" w:rsidRDefault="00790C01" w:rsidP="00790C01">
      <w:r w:rsidRPr="009D2783">
        <w:t>33.</w:t>
      </w:r>
      <w:r w:rsidRPr="009D2783">
        <w:tab/>
      </w:r>
      <w:r w:rsidR="00776FB3" w:rsidRPr="009D2783">
        <w:t xml:space="preserve">The Secretariat foresees some </w:t>
      </w:r>
      <w:r w:rsidR="007B26DA" w:rsidRPr="009D2783">
        <w:t>adjust</w:t>
      </w:r>
      <w:r w:rsidR="00776FB3" w:rsidRPr="009D2783">
        <w:t xml:space="preserve">ments to the 2020 budget and use of </w:t>
      </w:r>
      <w:r w:rsidR="007B26DA" w:rsidRPr="009D2783">
        <w:t xml:space="preserve">2019 </w:t>
      </w:r>
      <w:r w:rsidR="00776FB3" w:rsidRPr="009D2783">
        <w:t>carry forward.</w:t>
      </w:r>
    </w:p>
    <w:p w14:paraId="1136384C" w14:textId="59556EEA" w:rsidR="005C353C" w:rsidRDefault="005C353C" w:rsidP="00790C01"/>
    <w:p w14:paraId="2BFDF3A0" w14:textId="242EEB1A" w:rsidR="007D02A0" w:rsidRPr="00E27915" w:rsidRDefault="006B42D7" w:rsidP="007D02A0">
      <w:r w:rsidRPr="00E27915">
        <w:t>34.</w:t>
      </w:r>
      <w:r w:rsidRPr="00E27915">
        <w:tab/>
      </w:r>
      <w:r w:rsidR="007D02A0" w:rsidRPr="00E27915">
        <w:t xml:space="preserve">As mentioned in paragraph 16 of document SC58 Doc 22.2 </w:t>
      </w:r>
      <w:r w:rsidR="007D02A0" w:rsidRPr="00E27915">
        <w:rPr>
          <w:i/>
        </w:rPr>
        <w:t>Report of the Secretariat on the Ramsar Regional Initiatives</w:t>
      </w:r>
      <w:r w:rsidR="007D02A0" w:rsidRPr="00E27915">
        <w:t>, the Secretariat invites the Standing Committee at SC58 to consider and approve the allocation of funds to RRIs proposed in the 2020 Ramsar core budget. The Secretariat proposes in that document an allocation of CHF 25,000 to each of the four eligible RRIs for their activities in 2020.</w:t>
      </w:r>
    </w:p>
    <w:p w14:paraId="2C1037D7" w14:textId="77777777" w:rsidR="00776FB3" w:rsidRPr="00E7726B" w:rsidRDefault="00776FB3" w:rsidP="00162710">
      <w:pPr>
        <w:ind w:firstLine="0"/>
        <w:rPr>
          <w:highlight w:val="green"/>
        </w:rPr>
      </w:pPr>
    </w:p>
    <w:p w14:paraId="053B0648" w14:textId="03EEC9EE" w:rsidR="00776FB3" w:rsidRPr="002021BF" w:rsidRDefault="006B42D7" w:rsidP="00162710">
      <w:r>
        <w:t>35</w:t>
      </w:r>
      <w:r w:rsidR="002B18A7">
        <w:t>.</w:t>
      </w:r>
      <w:r w:rsidR="002B18A7">
        <w:tab/>
      </w:r>
      <w:r w:rsidR="000575AD" w:rsidRPr="009C4E55">
        <w:t xml:space="preserve">As mentioned in </w:t>
      </w:r>
      <w:r w:rsidR="00790C01" w:rsidRPr="009C4E55">
        <w:t>paragraph 37</w:t>
      </w:r>
      <w:r w:rsidR="00790C01">
        <w:t xml:space="preserve"> of </w:t>
      </w:r>
      <w:r w:rsidR="000575AD" w:rsidRPr="009C4E55">
        <w:t>document SC58</w:t>
      </w:r>
      <w:r w:rsidR="00790C01">
        <w:t xml:space="preserve"> Doc.</w:t>
      </w:r>
      <w:r w:rsidR="000575AD" w:rsidRPr="009C4E55">
        <w:t xml:space="preserve">13 </w:t>
      </w:r>
      <w:r w:rsidR="000575AD" w:rsidRPr="00790C01">
        <w:rPr>
          <w:i/>
        </w:rPr>
        <w:t xml:space="preserve">Review of </w:t>
      </w:r>
      <w:r w:rsidR="00B67EE6" w:rsidRPr="00790C01">
        <w:rPr>
          <w:i/>
        </w:rPr>
        <w:t xml:space="preserve">all </w:t>
      </w:r>
      <w:r w:rsidR="000575AD" w:rsidRPr="00790C01">
        <w:rPr>
          <w:i/>
        </w:rPr>
        <w:t xml:space="preserve">previous Resolutions and </w:t>
      </w:r>
      <w:r w:rsidR="00790C01">
        <w:rPr>
          <w:i/>
        </w:rPr>
        <w:t>d</w:t>
      </w:r>
      <w:r w:rsidR="000575AD" w:rsidRPr="00790C01">
        <w:rPr>
          <w:i/>
        </w:rPr>
        <w:t>ecisions</w:t>
      </w:r>
      <w:r w:rsidR="000575AD" w:rsidRPr="009C4E55">
        <w:t>,</w:t>
      </w:r>
      <w:r w:rsidR="00776FB3" w:rsidRPr="009C4E55">
        <w:t xml:space="preserve"> the Secretariat </w:t>
      </w:r>
      <w:r w:rsidR="007B26DA" w:rsidRPr="009C4E55">
        <w:t xml:space="preserve">has identified the need for resources </w:t>
      </w:r>
      <w:r w:rsidR="00790C01" w:rsidRPr="009C4E55">
        <w:t xml:space="preserve">amounting to CHF 30K </w:t>
      </w:r>
      <w:r w:rsidR="007B26DA" w:rsidRPr="009C4E55">
        <w:t>to take the next steps for this task</w:t>
      </w:r>
      <w:r w:rsidR="002B18A7">
        <w:t>.</w:t>
      </w:r>
      <w:r w:rsidR="00776FB3" w:rsidRPr="009C4E55">
        <w:t xml:space="preserve"> </w:t>
      </w:r>
      <w:r w:rsidR="000575AD" w:rsidRPr="009C4E55">
        <w:t xml:space="preserve">The Secretariat proposes that these resources be allocated </w:t>
      </w:r>
      <w:r w:rsidR="00776FB3" w:rsidRPr="009C4E55">
        <w:t>from the 2019 carry forward in legal services</w:t>
      </w:r>
      <w:r w:rsidR="00790C01">
        <w:t>,</w:t>
      </w:r>
      <w:r w:rsidR="007B26DA" w:rsidRPr="009C4E55">
        <w:t xml:space="preserve"> and requests </w:t>
      </w:r>
      <w:r w:rsidR="00790C01">
        <w:t xml:space="preserve">the </w:t>
      </w:r>
      <w:r w:rsidR="007B26DA" w:rsidRPr="009C4E55">
        <w:t xml:space="preserve">approval </w:t>
      </w:r>
      <w:r w:rsidR="00790C01">
        <w:t xml:space="preserve">of </w:t>
      </w:r>
      <w:r w:rsidR="007B26DA" w:rsidRPr="009C4E55">
        <w:t>SC58</w:t>
      </w:r>
      <w:r w:rsidR="00790C01">
        <w:t xml:space="preserve"> for this action</w:t>
      </w:r>
      <w:r w:rsidR="007B26DA" w:rsidRPr="009C4E55">
        <w:t>.</w:t>
      </w:r>
    </w:p>
    <w:p w14:paraId="5D6D6991" w14:textId="77777777" w:rsidR="00A10F42" w:rsidRDefault="00A10F42" w:rsidP="00162710">
      <w:pPr>
        <w:ind w:left="0" w:firstLine="0"/>
      </w:pPr>
    </w:p>
    <w:p w14:paraId="47ED97F4" w14:textId="7AC568A1" w:rsidR="00A10F42" w:rsidRDefault="006B42D7" w:rsidP="00790C01">
      <w:r>
        <w:t>36</w:t>
      </w:r>
      <w:r w:rsidR="00790C01">
        <w:t>.</w:t>
      </w:r>
      <w:r w:rsidR="00790C01">
        <w:tab/>
      </w:r>
      <w:r w:rsidR="00A10F42">
        <w:t xml:space="preserve">The Secretariat foresees </w:t>
      </w:r>
      <w:r w:rsidR="007B26DA">
        <w:t xml:space="preserve">that </w:t>
      </w:r>
      <w:r w:rsidR="00A10F42">
        <w:t>adjustments to the budget</w:t>
      </w:r>
      <w:r w:rsidR="007B26DA">
        <w:t xml:space="preserve"> will be required</w:t>
      </w:r>
      <w:r w:rsidR="00B45795">
        <w:t xml:space="preserve"> with regard to the</w:t>
      </w:r>
      <w:r w:rsidR="007B26DA">
        <w:t xml:space="preserve"> </w:t>
      </w:r>
      <w:r w:rsidR="00A10F42" w:rsidRPr="00164326">
        <w:t xml:space="preserve">provision for outstanding </w:t>
      </w:r>
      <w:r w:rsidR="002A76E0">
        <w:t>contributions,</w:t>
      </w:r>
      <w:r w:rsidR="002A76E0" w:rsidRPr="00164326">
        <w:t xml:space="preserve"> </w:t>
      </w:r>
      <w:r w:rsidR="00D82766">
        <w:t xml:space="preserve">for which </w:t>
      </w:r>
      <w:r w:rsidR="00B45795">
        <w:t xml:space="preserve">an increase </w:t>
      </w:r>
      <w:r w:rsidR="00A10F42" w:rsidRPr="00164326">
        <w:t>might be necessary for 2020</w:t>
      </w:r>
      <w:r w:rsidR="00A10F42">
        <w:t xml:space="preserve">. The </w:t>
      </w:r>
      <w:r w:rsidR="00A10F42" w:rsidRPr="00164326">
        <w:t xml:space="preserve">Secretariat will prepare the estimates for this provision, as well as </w:t>
      </w:r>
      <w:r w:rsidR="00A10F42">
        <w:t xml:space="preserve">any additional </w:t>
      </w:r>
      <w:r w:rsidR="00A10F42" w:rsidRPr="00164326">
        <w:t xml:space="preserve">options to re-allocate funds from the 2020 budget </w:t>
      </w:r>
      <w:r w:rsidR="00A10F42">
        <w:t>and share the analysis</w:t>
      </w:r>
      <w:r w:rsidR="00A10F42" w:rsidRPr="00164326">
        <w:t xml:space="preserve"> closer to the date of the Standing Committee for consideration </w:t>
      </w:r>
      <w:r w:rsidR="00B45795">
        <w:t>by</w:t>
      </w:r>
      <w:r w:rsidR="00A10F42" w:rsidRPr="00164326">
        <w:t xml:space="preserve"> the S</w:t>
      </w:r>
      <w:r w:rsidR="00A10F42">
        <w:t xml:space="preserve">ubgroup on Finance. The calculation for </w:t>
      </w:r>
      <w:r w:rsidR="001B6041">
        <w:t xml:space="preserve">the </w:t>
      </w:r>
      <w:r w:rsidR="00A10F42">
        <w:t xml:space="preserve">estimated increase </w:t>
      </w:r>
      <w:r w:rsidR="006041A2">
        <w:t xml:space="preserve">for 2020 </w:t>
      </w:r>
      <w:r w:rsidR="001B6041">
        <w:t xml:space="preserve">in the </w:t>
      </w:r>
      <w:r w:rsidR="00A10F42">
        <w:t>provision</w:t>
      </w:r>
      <w:r w:rsidR="006041A2">
        <w:t>s</w:t>
      </w:r>
      <w:r w:rsidR="00A10F42">
        <w:t xml:space="preserve"> for outstanding dues</w:t>
      </w:r>
      <w:r w:rsidR="006041A2">
        <w:t xml:space="preserve"> </w:t>
      </w:r>
      <w:r w:rsidR="00A10F42">
        <w:t xml:space="preserve">will be based on outstanding balances not paid for more than four years, for which the full provision of 100% will need to be applied. </w:t>
      </w:r>
      <w:r w:rsidR="00B45795">
        <w:t>A s</w:t>
      </w:r>
      <w:r w:rsidR="00A10F42">
        <w:t>imilar approach will be needed for 2021.</w:t>
      </w:r>
    </w:p>
    <w:p w14:paraId="00EB4363" w14:textId="77777777" w:rsidR="00A10F42" w:rsidRDefault="00A10F42" w:rsidP="00162710">
      <w:pPr>
        <w:ind w:left="0" w:firstLine="0"/>
      </w:pPr>
    </w:p>
    <w:p w14:paraId="6D0BFD4E" w14:textId="024BD909" w:rsidR="00A10F42" w:rsidRPr="00AE14CA" w:rsidRDefault="006B42D7" w:rsidP="00162710">
      <w:r>
        <w:t>37</w:t>
      </w:r>
      <w:r w:rsidR="001B6041">
        <w:t>.</w:t>
      </w:r>
      <w:r w:rsidR="00A10F42">
        <w:tab/>
      </w:r>
      <w:r w:rsidR="00FB5632">
        <w:t>Furthermore</w:t>
      </w:r>
      <w:r w:rsidR="00A10F42">
        <w:t>, taking into account the uncertainties in</w:t>
      </w:r>
      <w:r w:rsidR="00B45795">
        <w:t xml:space="preserve"> the</w:t>
      </w:r>
      <w:r w:rsidR="00A10F42">
        <w:t xml:space="preserve"> implementation of the budget </w:t>
      </w:r>
      <w:r w:rsidR="00B45795">
        <w:t xml:space="preserve">that </w:t>
      </w:r>
      <w:r w:rsidR="00A10F42">
        <w:t>we are facing in 2020 due to the COVID-19 pandemic outbreak, the Secretariat anticipates that other adjustment</w:t>
      </w:r>
      <w:r w:rsidR="001B6041">
        <w:t>s</w:t>
      </w:r>
      <w:r w:rsidR="00A10F42">
        <w:t xml:space="preserve"> may result</w:t>
      </w:r>
      <w:r w:rsidR="001B6041">
        <w:t>, for example</w:t>
      </w:r>
      <w:r w:rsidR="00A10F42">
        <w:t xml:space="preserve"> from the cancellation </w:t>
      </w:r>
      <w:r w:rsidR="00D82766">
        <w:t xml:space="preserve">or postponement </w:t>
      </w:r>
      <w:r w:rsidR="001B6041">
        <w:t xml:space="preserve">of </w:t>
      </w:r>
      <w:r w:rsidR="00A10F42">
        <w:t>meetings of governing and subsidiary bodies, or decrease in travel.</w:t>
      </w:r>
      <w:r w:rsidR="00B45795">
        <w:t xml:space="preserve"> The Secretariat will provide an analysis and proposal closer to the meeting.</w:t>
      </w:r>
    </w:p>
    <w:p w14:paraId="5450CD3F" w14:textId="0520609C" w:rsidR="006631A2" w:rsidRDefault="006631A2" w:rsidP="00162710">
      <w:pPr>
        <w:pStyle w:val="NoSpacing"/>
        <w:rPr>
          <w:b/>
        </w:rPr>
      </w:pPr>
    </w:p>
    <w:p w14:paraId="00695CC2" w14:textId="77777777" w:rsidR="00264303" w:rsidRDefault="00264303" w:rsidP="00464D2B">
      <w:pPr>
        <w:pStyle w:val="NoSpacing"/>
        <w:keepNext/>
        <w:rPr>
          <w:b/>
        </w:rPr>
      </w:pPr>
      <w:r w:rsidRPr="00B6236E">
        <w:rPr>
          <w:b/>
        </w:rPr>
        <w:t xml:space="preserve">Other </w:t>
      </w:r>
      <w:r>
        <w:rPr>
          <w:b/>
        </w:rPr>
        <w:t>matters for consideration</w:t>
      </w:r>
    </w:p>
    <w:p w14:paraId="65182D3B" w14:textId="77777777" w:rsidR="00264303" w:rsidRPr="00B6236E" w:rsidRDefault="00264303" w:rsidP="00464D2B">
      <w:pPr>
        <w:pStyle w:val="NoSpacing"/>
        <w:keepNext/>
        <w:rPr>
          <w:b/>
        </w:rPr>
      </w:pPr>
    </w:p>
    <w:p w14:paraId="6B8C1776" w14:textId="77777777" w:rsidR="00264303" w:rsidRPr="00421152" w:rsidRDefault="00264303" w:rsidP="00464D2B">
      <w:pPr>
        <w:keepNext/>
        <w:ind w:left="0" w:firstLine="0"/>
      </w:pPr>
      <w:r w:rsidRPr="00421152">
        <w:rPr>
          <w:rFonts w:asciiTheme="minorHAnsi" w:hAnsiTheme="minorHAnsi" w:cs="Arial"/>
          <w:i/>
        </w:rPr>
        <w:t>Management review of non-core funds</w:t>
      </w:r>
      <w:r w:rsidRPr="00421152">
        <w:t xml:space="preserve"> </w:t>
      </w:r>
    </w:p>
    <w:p w14:paraId="786CE8B9" w14:textId="77777777" w:rsidR="00264303" w:rsidRPr="00421152" w:rsidRDefault="00264303" w:rsidP="00464D2B">
      <w:pPr>
        <w:keepNext/>
        <w:ind w:left="0" w:firstLine="0"/>
      </w:pPr>
    </w:p>
    <w:p w14:paraId="6738B471" w14:textId="32D1DB27" w:rsidR="008B2B9E" w:rsidRDefault="006B42D7" w:rsidP="00162710">
      <w:r>
        <w:t>38</w:t>
      </w:r>
      <w:r w:rsidR="00264303" w:rsidRPr="00421152">
        <w:t>.</w:t>
      </w:r>
      <w:r w:rsidR="00264303" w:rsidRPr="00421152">
        <w:tab/>
        <w:t xml:space="preserve">As a </w:t>
      </w:r>
      <w:r w:rsidR="00BC0EEC" w:rsidRPr="00421152">
        <w:t>follow</w:t>
      </w:r>
      <w:r w:rsidR="00BC0EEC">
        <w:t>-</w:t>
      </w:r>
      <w:r w:rsidR="00264303" w:rsidRPr="00421152">
        <w:t xml:space="preserve">up to the internal review conducted by the Secretary General, </w:t>
      </w:r>
      <w:r w:rsidR="00BC0EEC">
        <w:t>D</w:t>
      </w:r>
      <w:r w:rsidR="00264303" w:rsidRPr="00421152">
        <w:t>ecision SC53-33 requested the Secretariat to take steps to conduct an external review of non-core projects. The Secretary General asked the IUCN Oversight Unit to undertake this management and financial review. The external auditors received this initiative</w:t>
      </w:r>
      <w:r w:rsidR="00BC0EEC" w:rsidRPr="00BC0EEC">
        <w:t xml:space="preserve"> </w:t>
      </w:r>
      <w:r w:rsidR="00BC0EEC" w:rsidRPr="00421152">
        <w:t>favourably</w:t>
      </w:r>
      <w:r w:rsidR="00264303" w:rsidRPr="00421152">
        <w:t xml:space="preserve">. The preliminary results of the review were presented at SC54 and the final results of the review were presented to SC55 as </w:t>
      </w:r>
      <w:r w:rsidR="00264303" w:rsidRPr="00E43E6D">
        <w:t>document</w:t>
      </w:r>
      <w:r w:rsidR="00264303" w:rsidRPr="00421152">
        <w:t xml:space="preserve"> </w:t>
      </w:r>
      <w:r w:rsidR="00264303">
        <w:t>SC55 Doc.</w:t>
      </w:r>
      <w:r w:rsidR="00264303" w:rsidRPr="00421152">
        <w:t>8.2</w:t>
      </w:r>
      <w:r w:rsidR="00264303">
        <w:t xml:space="preserve"> on </w:t>
      </w:r>
      <w:r w:rsidR="00264303" w:rsidRPr="00710D2E">
        <w:rPr>
          <w:i/>
        </w:rPr>
        <w:t xml:space="preserve">Financial </w:t>
      </w:r>
      <w:r w:rsidR="00264303" w:rsidRPr="00710D2E">
        <w:rPr>
          <w:rFonts w:cs="Calibri"/>
          <w:i/>
        </w:rPr>
        <w:t xml:space="preserve">Management </w:t>
      </w:r>
      <w:r w:rsidR="00264303" w:rsidRPr="00710D2E">
        <w:rPr>
          <w:i/>
        </w:rPr>
        <w:t>Review of Non-core (Restricted) Fund Accounts</w:t>
      </w:r>
      <w:r w:rsidR="00E43E6D" w:rsidRPr="00E43E6D">
        <w:rPr>
          <w:rStyle w:val="FootnoteReference"/>
        </w:rPr>
        <w:footnoteReference w:id="3"/>
      </w:r>
      <w:r w:rsidR="00264303" w:rsidRPr="00E43E6D">
        <w:rPr>
          <w:i/>
        </w:rPr>
        <w:t>.</w:t>
      </w:r>
    </w:p>
    <w:p w14:paraId="742AB0C1" w14:textId="77777777" w:rsidR="008B2B9E" w:rsidRDefault="008B2B9E" w:rsidP="00162710"/>
    <w:p w14:paraId="547B98B6" w14:textId="37D13971" w:rsidR="00AF539B" w:rsidRDefault="006B42D7" w:rsidP="00162710">
      <w:r>
        <w:t>39</w:t>
      </w:r>
      <w:r w:rsidR="00264303" w:rsidRPr="00421152">
        <w:t>.</w:t>
      </w:r>
      <w:r w:rsidR="00264303" w:rsidRPr="00421152">
        <w:tab/>
      </w:r>
      <w:r w:rsidR="00264303">
        <w:t>In the course of 2019</w:t>
      </w:r>
      <w:r w:rsidR="00B14F8E">
        <w:t>,</w:t>
      </w:r>
      <w:r w:rsidR="00264303">
        <w:t xml:space="preserve"> the Secretariat engaged in further implementation of </w:t>
      </w:r>
      <w:r w:rsidR="00264303" w:rsidRPr="004142A8">
        <w:rPr>
          <w:rFonts w:cs="Calibri"/>
        </w:rPr>
        <w:t xml:space="preserve">the recommendations </w:t>
      </w:r>
      <w:r w:rsidR="00E43E6D">
        <w:rPr>
          <w:rFonts w:cs="Calibri"/>
        </w:rPr>
        <w:t>of</w:t>
      </w:r>
      <w:r w:rsidR="00E43E6D" w:rsidRPr="004142A8">
        <w:rPr>
          <w:rFonts w:cs="Calibri"/>
        </w:rPr>
        <w:t xml:space="preserve"> </w:t>
      </w:r>
      <w:r w:rsidR="00264303" w:rsidRPr="004142A8">
        <w:rPr>
          <w:rFonts w:cs="Calibri"/>
        </w:rPr>
        <w:t xml:space="preserve">the IUCN </w:t>
      </w:r>
      <w:r w:rsidR="00264303">
        <w:rPr>
          <w:rFonts w:cs="Calibri"/>
        </w:rPr>
        <w:t xml:space="preserve">review. </w:t>
      </w:r>
      <w:r w:rsidR="00264303" w:rsidRPr="00421152">
        <w:t xml:space="preserve">The updated status of the management response and </w:t>
      </w:r>
      <w:r w:rsidR="00E43E6D">
        <w:t xml:space="preserve">the </w:t>
      </w:r>
      <w:r w:rsidR="00264303" w:rsidRPr="00421152">
        <w:t xml:space="preserve">actions </w:t>
      </w:r>
      <w:r w:rsidR="00264303">
        <w:t>of</w:t>
      </w:r>
      <w:r w:rsidR="00264303" w:rsidRPr="00421152">
        <w:t xml:space="preserve"> the Secretariat is that </w:t>
      </w:r>
      <w:r w:rsidR="00264303">
        <w:t>eight</w:t>
      </w:r>
      <w:r w:rsidR="00264303" w:rsidRPr="00421152">
        <w:t xml:space="preserve"> of the ten recommendations have been </w:t>
      </w:r>
      <w:r w:rsidR="00264303">
        <w:t xml:space="preserve">closed and reported to the IUCN Oversight Unit as fully implemented and closed. </w:t>
      </w:r>
    </w:p>
    <w:p w14:paraId="6881B09B" w14:textId="77777777" w:rsidR="00AF539B" w:rsidRDefault="00AF539B" w:rsidP="00162710"/>
    <w:p w14:paraId="0EBB313F" w14:textId="70957F76" w:rsidR="00264303" w:rsidRPr="00797BC5" w:rsidRDefault="006B42D7" w:rsidP="009B5C76">
      <w:r>
        <w:t>40</w:t>
      </w:r>
      <w:r w:rsidR="009B5C76">
        <w:t>.</w:t>
      </w:r>
      <w:r w:rsidR="009B5C76">
        <w:tab/>
      </w:r>
      <w:r w:rsidR="00264303">
        <w:t xml:space="preserve">Progress has been made and will continue in 2020 </w:t>
      </w:r>
      <w:r w:rsidR="00F91BD4">
        <w:t>in the</w:t>
      </w:r>
      <w:r w:rsidR="00B14F8E">
        <w:t xml:space="preserve"> </w:t>
      </w:r>
      <w:r w:rsidR="00264303">
        <w:t>implementation</w:t>
      </w:r>
      <w:r w:rsidR="00B14F8E">
        <w:t xml:space="preserve"> of </w:t>
      </w:r>
      <w:r w:rsidR="00AF539B">
        <w:t>R</w:t>
      </w:r>
      <w:r w:rsidR="00B14F8E">
        <w:t>ecommendation</w:t>
      </w:r>
      <w:r w:rsidR="00264303">
        <w:t xml:space="preserve"> </w:t>
      </w:r>
      <w:r w:rsidR="00AF539B">
        <w:t xml:space="preserve">5 </w:t>
      </w:r>
      <w:r w:rsidR="00E43E6D">
        <w:t xml:space="preserve">of the </w:t>
      </w:r>
      <w:r w:rsidR="00E43E6D" w:rsidRPr="00E43E6D">
        <w:t>Review</w:t>
      </w:r>
      <w:r w:rsidR="00E43E6D">
        <w:t xml:space="preserve"> </w:t>
      </w:r>
      <w:r w:rsidR="00264303">
        <w:t xml:space="preserve">on </w:t>
      </w:r>
      <w:r w:rsidR="00E43E6D">
        <w:t xml:space="preserve">the </w:t>
      </w:r>
      <w:r w:rsidR="00264303" w:rsidRPr="00797BC5">
        <w:t>internal control self-assessment process</w:t>
      </w:r>
      <w:r w:rsidR="00797BC5" w:rsidRPr="00797BC5">
        <w:t>.</w:t>
      </w:r>
      <w:r w:rsidR="00F91BD4" w:rsidRPr="00797BC5">
        <w:t xml:space="preserve"> </w:t>
      </w:r>
      <w:r w:rsidR="00AF539B" w:rsidRPr="00797BC5">
        <w:t xml:space="preserve">The Secretariat has been in contact with </w:t>
      </w:r>
      <w:r w:rsidR="0039249B" w:rsidRPr="00797BC5">
        <w:t xml:space="preserve">IUCN regarding the </w:t>
      </w:r>
      <w:r w:rsidR="00E43E6D" w:rsidRPr="00797BC5">
        <w:t>self</w:t>
      </w:r>
      <w:r w:rsidR="00E43E6D">
        <w:t>-</w:t>
      </w:r>
      <w:r w:rsidR="0039249B" w:rsidRPr="00797BC5">
        <w:t xml:space="preserve">assessment methodology. </w:t>
      </w:r>
      <w:r w:rsidR="00AF539B" w:rsidRPr="00797BC5">
        <w:t xml:space="preserve">IUCN is currently developing and piloting </w:t>
      </w:r>
      <w:r w:rsidR="00264303" w:rsidRPr="00797BC5">
        <w:t>online tool</w:t>
      </w:r>
      <w:r w:rsidR="00AF539B" w:rsidRPr="00797BC5">
        <w:t>s. The Secretariat is following this process</w:t>
      </w:r>
      <w:r w:rsidR="00264303" w:rsidRPr="00797BC5">
        <w:t xml:space="preserve"> </w:t>
      </w:r>
      <w:r w:rsidR="00E43E6D">
        <w:t xml:space="preserve">and </w:t>
      </w:r>
      <w:r w:rsidR="00264303" w:rsidRPr="00797BC5">
        <w:t>will report once the development of these tools is finalized</w:t>
      </w:r>
      <w:r w:rsidR="00E43E6D">
        <w:t>,</w:t>
      </w:r>
      <w:r w:rsidR="00264303" w:rsidRPr="00797BC5">
        <w:t xml:space="preserve"> and </w:t>
      </w:r>
      <w:r w:rsidR="00E43E6D">
        <w:t xml:space="preserve">will </w:t>
      </w:r>
      <w:r w:rsidR="00264303" w:rsidRPr="00797BC5">
        <w:t>confirm whether similar internal controls would be usef</w:t>
      </w:r>
      <w:r w:rsidR="00797BC5" w:rsidRPr="00797BC5">
        <w:t>ul</w:t>
      </w:r>
      <w:r w:rsidR="0039249B" w:rsidRPr="00797BC5">
        <w:t xml:space="preserve"> in the context of the Convention.</w:t>
      </w:r>
    </w:p>
    <w:p w14:paraId="3E5CFC74" w14:textId="77777777" w:rsidR="00264303" w:rsidRPr="00797BC5" w:rsidRDefault="00264303" w:rsidP="00162710"/>
    <w:p w14:paraId="5D16912F" w14:textId="3247C2C9" w:rsidR="00D7462E" w:rsidRDefault="006B42D7" w:rsidP="009B5C76">
      <w:r>
        <w:t>41</w:t>
      </w:r>
      <w:r w:rsidR="009B5C76">
        <w:t>.</w:t>
      </w:r>
      <w:r w:rsidR="009B5C76">
        <w:tab/>
      </w:r>
      <w:r w:rsidR="00AF539B" w:rsidRPr="00797BC5">
        <w:t>Recommendat</w:t>
      </w:r>
      <w:r w:rsidR="00797BC5">
        <w:t xml:space="preserve">ion 8 </w:t>
      </w:r>
      <w:r w:rsidR="00E43E6D">
        <w:t xml:space="preserve">of the Review </w:t>
      </w:r>
      <w:r w:rsidR="00797BC5">
        <w:t>on processes for charging</w:t>
      </w:r>
      <w:r w:rsidR="00AF539B" w:rsidRPr="00797BC5">
        <w:t xml:space="preserve"> management fees on non-core projects </w:t>
      </w:r>
      <w:r w:rsidR="00797BC5">
        <w:t xml:space="preserve">has </w:t>
      </w:r>
      <w:r w:rsidR="00AF539B" w:rsidRPr="00797BC5">
        <w:t>been part</w:t>
      </w:r>
      <w:r w:rsidR="00225A7C">
        <w:t>ial</w:t>
      </w:r>
      <w:r w:rsidR="00AF539B" w:rsidRPr="00797BC5">
        <w:t>ly implemented</w:t>
      </w:r>
      <w:r w:rsidR="0039249B" w:rsidRPr="00797BC5">
        <w:t>.</w:t>
      </w:r>
      <w:r w:rsidR="00AF539B" w:rsidRPr="00797BC5">
        <w:t xml:space="preserve"> </w:t>
      </w:r>
      <w:r w:rsidR="0039249B" w:rsidRPr="00797BC5">
        <w:t xml:space="preserve">The yearly </w:t>
      </w:r>
      <w:r w:rsidR="00264303" w:rsidRPr="00797BC5">
        <w:t>process to charge management fees on non-core projects</w:t>
      </w:r>
      <w:r w:rsidR="0039249B" w:rsidRPr="00797BC5">
        <w:t xml:space="preserve"> is in place and has been strengthened</w:t>
      </w:r>
      <w:r w:rsidR="00744554" w:rsidRPr="00797BC5">
        <w:t xml:space="preserve"> in 2019</w:t>
      </w:r>
      <w:r w:rsidR="00264303" w:rsidRPr="00797BC5">
        <w:t>.</w:t>
      </w:r>
      <w:r w:rsidR="00264303">
        <w:t xml:space="preserve"> </w:t>
      </w:r>
    </w:p>
    <w:p w14:paraId="5910D5AB" w14:textId="77777777" w:rsidR="00D7462E" w:rsidRDefault="00D7462E" w:rsidP="00162710">
      <w:pPr>
        <w:ind w:firstLine="0"/>
      </w:pPr>
    </w:p>
    <w:p w14:paraId="73365AB5" w14:textId="060868AC" w:rsidR="00CD1D81" w:rsidRDefault="006B42D7" w:rsidP="009B5C76">
      <w:r>
        <w:t>42</w:t>
      </w:r>
      <w:r w:rsidR="009B5C76">
        <w:t>.</w:t>
      </w:r>
      <w:r w:rsidR="009B5C76">
        <w:tab/>
      </w:r>
      <w:r w:rsidR="00744554" w:rsidRPr="00CD1D81">
        <w:t>T</w:t>
      </w:r>
      <w:r w:rsidR="00264303" w:rsidRPr="00CD1D81">
        <w:t xml:space="preserve">he management fees, as reported earlier on, </w:t>
      </w:r>
      <w:r w:rsidR="00744554" w:rsidRPr="00CD1D81">
        <w:t>are booked</w:t>
      </w:r>
      <w:r w:rsidR="00264303" w:rsidRPr="00CD1D81">
        <w:t xml:space="preserve"> in a </w:t>
      </w:r>
      <w:r w:rsidR="00A250D6">
        <w:t>designated</w:t>
      </w:r>
      <w:r w:rsidR="00A250D6" w:rsidRPr="00CD1D81">
        <w:t xml:space="preserve"> </w:t>
      </w:r>
      <w:r w:rsidR="00264303" w:rsidRPr="00CD1D81">
        <w:t>non-core budget line (“Admin”) to ensure transparency.</w:t>
      </w:r>
      <w:r w:rsidR="009244AD" w:rsidRPr="00CD1D81">
        <w:t xml:space="preserve"> The balance by end of 2019 </w:t>
      </w:r>
      <w:r w:rsidR="00FB03BD">
        <w:t>of</w:t>
      </w:r>
      <w:r w:rsidR="00FB03BD" w:rsidRPr="00CD1D81">
        <w:t xml:space="preserve"> </w:t>
      </w:r>
      <w:r w:rsidR="009244AD" w:rsidRPr="00CD1D81">
        <w:t>this budget</w:t>
      </w:r>
      <w:r w:rsidR="006D32FC" w:rsidRPr="00CD1D81">
        <w:t xml:space="preserve"> line </w:t>
      </w:r>
      <w:r w:rsidR="00FB03BD">
        <w:t>was</w:t>
      </w:r>
      <w:r w:rsidR="00FB03BD" w:rsidRPr="00CD1D81">
        <w:t xml:space="preserve"> </w:t>
      </w:r>
      <w:r w:rsidR="007F0728" w:rsidRPr="00CD1D81">
        <w:t>CHF</w:t>
      </w:r>
      <w:r w:rsidR="007F0728">
        <w:t> </w:t>
      </w:r>
      <w:r w:rsidR="006D32FC" w:rsidRPr="00CD1D81">
        <w:t>368K</w:t>
      </w:r>
      <w:r w:rsidR="009244AD" w:rsidRPr="00CD1D81">
        <w:t>.</w:t>
      </w:r>
      <w:r w:rsidR="00264303" w:rsidRPr="00CD1D81">
        <w:t xml:space="preserve"> As per Decision SC54-26 </w:t>
      </w:r>
      <w:r w:rsidR="006D32FC" w:rsidRPr="00CD1D81">
        <w:t>approving</w:t>
      </w:r>
      <w:r w:rsidR="00264303" w:rsidRPr="00CD1D81">
        <w:t xml:space="preserve"> the report of the Subgroup</w:t>
      </w:r>
      <w:r w:rsidR="00FB03BD">
        <w:t xml:space="preserve"> on</w:t>
      </w:r>
      <w:r w:rsidR="00264303" w:rsidRPr="00CD1D81">
        <w:t xml:space="preserve"> </w:t>
      </w:r>
      <w:r w:rsidR="00FB03BD" w:rsidRPr="00CD1D81">
        <w:t xml:space="preserve">Finance </w:t>
      </w:r>
      <w:r w:rsidR="00264303" w:rsidRPr="00CD1D81">
        <w:t>and more specifically, item 2</w:t>
      </w:r>
      <w:r w:rsidR="00FB03BD">
        <w:t xml:space="preserve"> of</w:t>
      </w:r>
      <w:r w:rsidR="00FB03BD" w:rsidRPr="00CD1D81">
        <w:t xml:space="preserve"> </w:t>
      </w:r>
      <w:r w:rsidR="00264303" w:rsidRPr="00CD1D81">
        <w:t>Annex 5 of the SC54 report, the Secretariat</w:t>
      </w:r>
      <w:r w:rsidR="00434024" w:rsidRPr="00CD1D81">
        <w:t xml:space="preserve"> should</w:t>
      </w:r>
      <w:r w:rsidR="00264303" w:rsidRPr="00CD1D81">
        <w:t xml:space="preserve"> appl</w:t>
      </w:r>
      <w:r w:rsidR="00434024" w:rsidRPr="00CD1D81">
        <w:t>y</w:t>
      </w:r>
      <w:r w:rsidR="00264303" w:rsidRPr="00CD1D81">
        <w:t xml:space="preserve"> IUCN policies and guidelines for the use of </w:t>
      </w:r>
      <w:r w:rsidR="00434024" w:rsidRPr="00CD1D81">
        <w:t xml:space="preserve">management fees. </w:t>
      </w:r>
    </w:p>
    <w:p w14:paraId="303BB90F" w14:textId="77777777" w:rsidR="00CD1D81" w:rsidRDefault="00CD1D81" w:rsidP="00162710">
      <w:pPr>
        <w:ind w:firstLine="0"/>
      </w:pPr>
    </w:p>
    <w:p w14:paraId="284C32E2" w14:textId="0BA44530" w:rsidR="00DC6804" w:rsidRPr="00CD1D81" w:rsidRDefault="006B42D7" w:rsidP="009B5C76">
      <w:r>
        <w:lastRenderedPageBreak/>
        <w:t>43</w:t>
      </w:r>
      <w:r w:rsidR="009B5C76">
        <w:t>.</w:t>
      </w:r>
      <w:r w:rsidR="009B5C76">
        <w:tab/>
      </w:r>
      <w:r w:rsidR="00434024" w:rsidRPr="00CD1D81">
        <w:t xml:space="preserve">The Secretariat has reviewed IUCN’s approach </w:t>
      </w:r>
      <w:r w:rsidR="00A250D6">
        <w:t>for the use of management fees</w:t>
      </w:r>
      <w:r w:rsidR="000E34D0" w:rsidRPr="00CD1D81">
        <w:t xml:space="preserve"> and notes that </w:t>
      </w:r>
      <w:r w:rsidR="00A250D6">
        <w:t xml:space="preserve">IUCN </w:t>
      </w:r>
      <w:r w:rsidR="000E34D0" w:rsidRPr="00CD1D81">
        <w:t xml:space="preserve">applies </w:t>
      </w:r>
      <w:r w:rsidR="00434024" w:rsidRPr="00CD1D81">
        <w:t xml:space="preserve">cost recovery </w:t>
      </w:r>
      <w:r w:rsidR="000E34D0" w:rsidRPr="00CD1D81">
        <w:t>for</w:t>
      </w:r>
      <w:r w:rsidR="00434024" w:rsidRPr="00CD1D81">
        <w:t xml:space="preserve"> corporate and operational functions. In the Secretariat, operational functions are covered with core funds, thu</w:t>
      </w:r>
      <w:r w:rsidR="00CD1D81">
        <w:t>s the Secretariat propose</w:t>
      </w:r>
      <w:r w:rsidR="00A250D6">
        <w:t xml:space="preserve">s </w:t>
      </w:r>
      <w:r w:rsidR="00CD1D81">
        <w:t xml:space="preserve">that, </w:t>
      </w:r>
      <w:r w:rsidR="00A250D6">
        <w:t xml:space="preserve">similar to </w:t>
      </w:r>
      <w:r w:rsidR="00434024" w:rsidRPr="00CD1D81">
        <w:t>IUCN</w:t>
      </w:r>
      <w:r w:rsidR="00AE672A">
        <w:t>’s</w:t>
      </w:r>
      <w:r w:rsidR="00434024" w:rsidRPr="00CD1D81">
        <w:t xml:space="preserve"> Project Budgeting Guidelines</w:t>
      </w:r>
      <w:r w:rsidR="00987AA8" w:rsidRPr="00CD1D81">
        <w:t xml:space="preserve"> of 2014</w:t>
      </w:r>
      <w:r w:rsidR="00CD1D81">
        <w:t>,</w:t>
      </w:r>
      <w:r w:rsidR="00987AA8" w:rsidRPr="00CD1D81">
        <w:t xml:space="preserve"> </w:t>
      </w:r>
      <w:r w:rsidR="00342C26" w:rsidRPr="00CD1D81">
        <w:t>“</w:t>
      </w:r>
      <w:r w:rsidR="00434024" w:rsidRPr="00CD1D81">
        <w:t>management fees be used for programme support and communications</w:t>
      </w:r>
      <w:r w:rsidR="00342C26" w:rsidRPr="00CD1D81">
        <w:t>”</w:t>
      </w:r>
      <w:r w:rsidR="00434024" w:rsidRPr="00CD1D81">
        <w:t>.</w:t>
      </w:r>
      <w:r w:rsidR="00987AA8" w:rsidRPr="00CD1D81">
        <w:t xml:space="preserve"> </w:t>
      </w:r>
      <w:r w:rsidR="00A3128F" w:rsidRPr="00CD1D81">
        <w:t xml:space="preserve">Corporate functions that could be covered </w:t>
      </w:r>
      <w:r w:rsidR="00AE672A">
        <w:t xml:space="preserve">within this guidance </w:t>
      </w:r>
      <w:r w:rsidR="00A3128F" w:rsidRPr="00CD1D81">
        <w:t xml:space="preserve">include </w:t>
      </w:r>
      <w:r w:rsidR="006D32FC" w:rsidRPr="00CD1D81">
        <w:t>programme support, communications, management, finance, IT, HR and office services.</w:t>
      </w:r>
      <w:r w:rsidR="00A3128F" w:rsidRPr="00CD1D81">
        <w:t xml:space="preserve"> </w:t>
      </w:r>
      <w:r w:rsidR="00FB03BD">
        <w:t xml:space="preserve">The </w:t>
      </w:r>
      <w:r w:rsidR="00987AA8" w:rsidRPr="00CD1D81">
        <w:t>IUCN Project Costing Framework of 2020 further indicates that indirect costs c</w:t>
      </w:r>
      <w:r w:rsidR="00A3128F" w:rsidRPr="00CD1D81">
        <w:t>an c</w:t>
      </w:r>
      <w:r w:rsidR="00987AA8" w:rsidRPr="00CD1D81">
        <w:t xml:space="preserve">over programme support, communications, administration, fundraising, management and leadership, legal </w:t>
      </w:r>
      <w:r w:rsidR="00FB03BD">
        <w:t xml:space="preserve">advice </w:t>
      </w:r>
      <w:r w:rsidR="00987AA8" w:rsidRPr="00CD1D81">
        <w:t xml:space="preserve">and oversight. </w:t>
      </w:r>
      <w:r w:rsidR="000E34D0" w:rsidRPr="00CD1D81">
        <w:t xml:space="preserve">The Secretariat </w:t>
      </w:r>
      <w:r w:rsidR="0068105F">
        <w:t xml:space="preserve">accordingly </w:t>
      </w:r>
      <w:r w:rsidR="000E34D0" w:rsidRPr="00CD1D81">
        <w:t xml:space="preserve">proposes that </w:t>
      </w:r>
      <w:r w:rsidR="00987AA8" w:rsidRPr="00CD1D81">
        <w:t xml:space="preserve">management fees be used for programme support and communications, </w:t>
      </w:r>
      <w:r w:rsidR="00A3128F" w:rsidRPr="00CD1D81">
        <w:t xml:space="preserve">and more specifically programme support, </w:t>
      </w:r>
      <w:r w:rsidR="000E34D0" w:rsidRPr="00CD1D81">
        <w:t>fundraising, communications</w:t>
      </w:r>
      <w:r w:rsidR="002F6A98">
        <w:t>, evaluation, legal advice</w:t>
      </w:r>
      <w:r w:rsidR="00FB03BD">
        <w:t>,</w:t>
      </w:r>
      <w:r w:rsidR="002F6A98">
        <w:t xml:space="preserve"> and</w:t>
      </w:r>
      <w:r w:rsidR="000E34D0" w:rsidRPr="00CD1D81">
        <w:t xml:space="preserve"> </w:t>
      </w:r>
      <w:r w:rsidR="00DC6804" w:rsidRPr="00CD1D81">
        <w:t>finance and</w:t>
      </w:r>
      <w:r w:rsidR="00A3128F" w:rsidRPr="00CD1D81">
        <w:t xml:space="preserve"> </w:t>
      </w:r>
      <w:r w:rsidR="000E34D0" w:rsidRPr="00CD1D81">
        <w:t>administration</w:t>
      </w:r>
      <w:r w:rsidR="00A3128F" w:rsidRPr="00CD1D81">
        <w:t xml:space="preserve">, </w:t>
      </w:r>
      <w:r w:rsidR="000E34D0" w:rsidRPr="00CD1D81">
        <w:t xml:space="preserve">as needed. </w:t>
      </w:r>
    </w:p>
    <w:p w14:paraId="648E428F" w14:textId="77777777" w:rsidR="00DC6804" w:rsidRPr="00CD1D81" w:rsidRDefault="00DC6804" w:rsidP="00162710">
      <w:pPr>
        <w:ind w:firstLine="0"/>
      </w:pPr>
    </w:p>
    <w:p w14:paraId="091AA2D3" w14:textId="37FEE67B" w:rsidR="00D4539F" w:rsidRPr="00CD1D81" w:rsidRDefault="006B42D7" w:rsidP="00FB03BD">
      <w:r>
        <w:t>44</w:t>
      </w:r>
      <w:r w:rsidR="00FB03BD">
        <w:t>.</w:t>
      </w:r>
      <w:r w:rsidR="00FB03BD">
        <w:tab/>
      </w:r>
      <w:r w:rsidR="006C15C3" w:rsidRPr="00CD1D81">
        <w:t xml:space="preserve">The Secretariat invites </w:t>
      </w:r>
      <w:r w:rsidR="00FB03BD">
        <w:t xml:space="preserve">the Standing Committee at </w:t>
      </w:r>
      <w:r w:rsidR="006C15C3" w:rsidRPr="00CD1D81">
        <w:t xml:space="preserve">SC58 to consider and approve this proposal. </w:t>
      </w:r>
    </w:p>
    <w:p w14:paraId="6015D0B5" w14:textId="77777777" w:rsidR="006C7F1C" w:rsidRDefault="006C7F1C" w:rsidP="00162710">
      <w:pPr>
        <w:ind w:left="0" w:firstLine="0"/>
      </w:pPr>
    </w:p>
    <w:p w14:paraId="566E493C" w14:textId="77777777" w:rsidR="00264303" w:rsidRPr="0079732F" w:rsidRDefault="00264303" w:rsidP="00162710">
      <w:pPr>
        <w:ind w:left="0" w:firstLine="0"/>
        <w:rPr>
          <w:i/>
        </w:rPr>
      </w:pPr>
      <w:r>
        <w:rPr>
          <w:rFonts w:asciiTheme="minorHAnsi" w:hAnsiTheme="minorHAnsi" w:cs="Arial"/>
          <w:i/>
        </w:rPr>
        <w:t>P</w:t>
      </w:r>
      <w:r w:rsidRPr="00421152">
        <w:rPr>
          <w:rFonts w:asciiTheme="minorHAnsi" w:hAnsiTheme="minorHAnsi" w:cs="Arial"/>
          <w:i/>
        </w:rPr>
        <w:t xml:space="preserve">rovision for outstanding Contracting </w:t>
      </w:r>
      <w:r w:rsidRPr="0079732F">
        <w:rPr>
          <w:rFonts w:asciiTheme="minorHAnsi" w:hAnsiTheme="minorHAnsi" w:cs="Arial"/>
          <w:i/>
        </w:rPr>
        <w:t>Party contributions</w:t>
      </w:r>
      <w:r w:rsidRPr="0079732F">
        <w:rPr>
          <w:i/>
        </w:rPr>
        <w:t xml:space="preserve"> and actions to encourage payment of outstanding contributions.</w:t>
      </w:r>
    </w:p>
    <w:p w14:paraId="5FFC6241" w14:textId="77777777" w:rsidR="00264303" w:rsidRPr="00421152" w:rsidRDefault="00264303" w:rsidP="00162710">
      <w:pPr>
        <w:ind w:left="0" w:firstLine="0"/>
      </w:pPr>
    </w:p>
    <w:p w14:paraId="7052412F" w14:textId="48DCBE52" w:rsidR="00264303" w:rsidRPr="00A154A5" w:rsidRDefault="006B42D7" w:rsidP="00162710">
      <w:r>
        <w:t>45</w:t>
      </w:r>
      <w:r w:rsidR="00264303" w:rsidRPr="00421152">
        <w:t>.</w:t>
      </w:r>
      <w:r w:rsidR="00264303" w:rsidRPr="00421152">
        <w:tab/>
      </w:r>
      <w:r w:rsidR="00264303">
        <w:t>Following the external auditor</w:t>
      </w:r>
      <w:r w:rsidR="00FB03BD">
        <w:t>’s</w:t>
      </w:r>
      <w:r w:rsidR="00264303">
        <w:t xml:space="preserve"> request and Standing Committee Decision SC57-39, the new </w:t>
      </w:r>
      <w:r w:rsidR="00B054BE">
        <w:t xml:space="preserve">methodology </w:t>
      </w:r>
      <w:r w:rsidR="00264303">
        <w:t>has been applied in</w:t>
      </w:r>
      <w:r w:rsidR="00443025">
        <w:t xml:space="preserve"> the</w:t>
      </w:r>
      <w:r w:rsidR="00264303">
        <w:t xml:space="preserve"> calculation for the provision against dues receivable from Contracting Parties in 2019. </w:t>
      </w:r>
    </w:p>
    <w:p w14:paraId="1E9BA5A8" w14:textId="77777777" w:rsidR="00264303" w:rsidRPr="00A154A5" w:rsidRDefault="00264303" w:rsidP="00162710"/>
    <w:p w14:paraId="542EE1FE" w14:textId="577E2E1F" w:rsidR="00264303" w:rsidRPr="00A154A5" w:rsidRDefault="006B42D7" w:rsidP="00414B55">
      <w:r>
        <w:t>46</w:t>
      </w:r>
      <w:r w:rsidR="00414B55">
        <w:t>.</w:t>
      </w:r>
      <w:r w:rsidR="00414B55">
        <w:tab/>
      </w:r>
      <w:r w:rsidR="00264303" w:rsidRPr="00A154A5">
        <w:t>The Secretariat has made effort</w:t>
      </w:r>
      <w:r w:rsidR="00264303">
        <w:t>s</w:t>
      </w:r>
      <w:r w:rsidR="00264303" w:rsidRPr="00A154A5">
        <w:t xml:space="preserve"> in </w:t>
      </w:r>
      <w:r w:rsidR="00D7462E" w:rsidRPr="00A154A5">
        <w:t>implementing</w:t>
      </w:r>
      <w:r w:rsidR="00264303" w:rsidRPr="00A154A5">
        <w:t xml:space="preserve"> Decisions SC57-44 and SC57-45 to encourage timely payment of annual contributions. In </w:t>
      </w:r>
      <w:r w:rsidR="00264303">
        <w:t xml:space="preserve">November </w:t>
      </w:r>
      <w:r w:rsidR="00107704">
        <w:t xml:space="preserve">2019 </w:t>
      </w:r>
      <w:r w:rsidR="00264303" w:rsidRPr="00A154A5">
        <w:t xml:space="preserve">a reminder </w:t>
      </w:r>
      <w:r w:rsidR="00264303">
        <w:t xml:space="preserve">was sent </w:t>
      </w:r>
      <w:r w:rsidR="00264303" w:rsidRPr="00A154A5">
        <w:t>to</w:t>
      </w:r>
      <w:r w:rsidR="007F0728">
        <w:t xml:space="preserve"> </w:t>
      </w:r>
      <w:r w:rsidR="00414B55">
        <w:t>those</w:t>
      </w:r>
      <w:r w:rsidR="00573F8B">
        <w:t xml:space="preserve"> </w:t>
      </w:r>
      <w:r w:rsidR="00264303" w:rsidRPr="00A154A5">
        <w:t>Contracting Parties with unpaid balances of annual contributions</w:t>
      </w:r>
      <w:r w:rsidR="00414B55">
        <w:t>,</w:t>
      </w:r>
      <w:r w:rsidR="00264303" w:rsidRPr="00A154A5">
        <w:t xml:space="preserve"> with </w:t>
      </w:r>
      <w:r w:rsidR="00414B55">
        <w:t>a</w:t>
      </w:r>
      <w:r w:rsidR="00414B55" w:rsidRPr="00A154A5">
        <w:t xml:space="preserve"> </w:t>
      </w:r>
      <w:r w:rsidR="00264303" w:rsidRPr="00A154A5">
        <w:t xml:space="preserve">copy of </w:t>
      </w:r>
      <w:r w:rsidR="00414B55">
        <w:t xml:space="preserve">their </w:t>
      </w:r>
      <w:r w:rsidR="00264303" w:rsidRPr="00A154A5">
        <w:t xml:space="preserve">2019 invoice and </w:t>
      </w:r>
      <w:r w:rsidR="00414B55">
        <w:t xml:space="preserve">an </w:t>
      </w:r>
      <w:r w:rsidR="00264303" w:rsidRPr="00A154A5">
        <w:t xml:space="preserve">updated </w:t>
      </w:r>
      <w:r w:rsidR="00443025">
        <w:t>s</w:t>
      </w:r>
      <w:r w:rsidR="00264303" w:rsidRPr="00A154A5">
        <w:t xml:space="preserve">tatus of the assessed contributions (Diplomatic Note 2019/8). An </w:t>
      </w:r>
      <w:r w:rsidR="00414B55">
        <w:t xml:space="preserve">email message was also </w:t>
      </w:r>
      <w:r w:rsidR="00264303" w:rsidRPr="00A154A5">
        <w:t>sent to all Contracting Parties for information only</w:t>
      </w:r>
      <w:r w:rsidR="00414B55" w:rsidRPr="00414B55">
        <w:t xml:space="preserve"> </w:t>
      </w:r>
      <w:r w:rsidR="00414B55">
        <w:t>through the Ramsar Exchange mailing list</w:t>
      </w:r>
      <w:r w:rsidR="00264303" w:rsidRPr="00A154A5">
        <w:t xml:space="preserve">, including those Parties that </w:t>
      </w:r>
      <w:r w:rsidR="00414B55" w:rsidRPr="00A154A5">
        <w:t>ha</w:t>
      </w:r>
      <w:r w:rsidR="00414B55">
        <w:t>d</w:t>
      </w:r>
      <w:r w:rsidR="00414B55" w:rsidRPr="00A154A5">
        <w:t xml:space="preserve"> </w:t>
      </w:r>
      <w:r w:rsidR="00264303" w:rsidRPr="00A154A5">
        <w:t>already paid all their arrears.</w:t>
      </w:r>
    </w:p>
    <w:p w14:paraId="25A09D73" w14:textId="77777777" w:rsidR="00264303" w:rsidRPr="00A154A5" w:rsidRDefault="00264303" w:rsidP="00162710">
      <w:pPr>
        <w:ind w:left="0" w:firstLine="0"/>
      </w:pPr>
    </w:p>
    <w:p w14:paraId="1DC505E4" w14:textId="1EBC4F67" w:rsidR="00264303" w:rsidRPr="00421152" w:rsidRDefault="006B42D7" w:rsidP="00414B55">
      <w:r>
        <w:t>47</w:t>
      </w:r>
      <w:r w:rsidR="00414B55">
        <w:t>.</w:t>
      </w:r>
      <w:r w:rsidR="00414B55">
        <w:tab/>
      </w:r>
      <w:r w:rsidR="00264303" w:rsidRPr="00A154A5">
        <w:t xml:space="preserve">More details are </w:t>
      </w:r>
      <w:r w:rsidR="00264303">
        <w:t xml:space="preserve">provided </w:t>
      </w:r>
      <w:r w:rsidR="00264303" w:rsidRPr="00A154A5">
        <w:t xml:space="preserve">in document </w:t>
      </w:r>
      <w:r w:rsidR="00264303">
        <w:t>SC58</w:t>
      </w:r>
      <w:r w:rsidR="00414B55">
        <w:t xml:space="preserve"> Doc.</w:t>
      </w:r>
      <w:r w:rsidR="00264303" w:rsidRPr="00A154A5">
        <w:t>8.3</w:t>
      </w:r>
      <w:r w:rsidR="00264303">
        <w:t xml:space="preserve"> </w:t>
      </w:r>
      <w:r w:rsidR="00264303" w:rsidRPr="00630583">
        <w:rPr>
          <w:i/>
        </w:rPr>
        <w:t>Status</w:t>
      </w:r>
      <w:r w:rsidR="00630583" w:rsidRPr="00630583">
        <w:rPr>
          <w:i/>
        </w:rPr>
        <w:t xml:space="preserve"> of</w:t>
      </w:r>
      <w:r w:rsidR="00264303" w:rsidRPr="00630583">
        <w:rPr>
          <w:i/>
        </w:rPr>
        <w:t xml:space="preserve"> annual contributions</w:t>
      </w:r>
      <w:r w:rsidR="00264303" w:rsidRPr="00A154A5">
        <w:t>, paragraph</w:t>
      </w:r>
      <w:r w:rsidR="00264303">
        <w:t>s 15, 17 and 18.</w:t>
      </w:r>
    </w:p>
    <w:p w14:paraId="2A7FCFC0" w14:textId="77777777" w:rsidR="00264303" w:rsidRDefault="00264303" w:rsidP="00162710">
      <w:pPr>
        <w:ind w:left="0" w:firstLine="0"/>
        <w:rPr>
          <w:rFonts w:asciiTheme="minorHAnsi" w:hAnsiTheme="minorHAnsi" w:cs="Arial"/>
          <w:i/>
        </w:rPr>
      </w:pPr>
    </w:p>
    <w:p w14:paraId="4ECCE1C6" w14:textId="77777777" w:rsidR="00264303" w:rsidRPr="00421152" w:rsidRDefault="00264303" w:rsidP="00162710">
      <w:pPr>
        <w:ind w:left="0" w:firstLine="0"/>
      </w:pPr>
      <w:r w:rsidRPr="00421152">
        <w:rPr>
          <w:rFonts w:asciiTheme="minorHAnsi" w:hAnsiTheme="minorHAnsi" w:cs="Arial"/>
          <w:i/>
        </w:rPr>
        <w:t xml:space="preserve">External auditor’s requested modification of their audit approach for </w:t>
      </w:r>
      <w:r>
        <w:rPr>
          <w:rFonts w:asciiTheme="minorHAnsi" w:hAnsiTheme="minorHAnsi" w:cs="Arial"/>
          <w:i/>
        </w:rPr>
        <w:t xml:space="preserve">audit confirmations of </w:t>
      </w:r>
      <w:r w:rsidRPr="00421152">
        <w:rPr>
          <w:rFonts w:asciiTheme="minorHAnsi" w:hAnsiTheme="minorHAnsi" w:cs="Arial"/>
          <w:i/>
        </w:rPr>
        <w:t xml:space="preserve">outstanding Contracting Party balances </w:t>
      </w:r>
      <w:r>
        <w:rPr>
          <w:rFonts w:asciiTheme="minorHAnsi" w:hAnsiTheme="minorHAnsi" w:cs="Arial"/>
          <w:i/>
        </w:rPr>
        <w:t xml:space="preserve">and approval of a group approach </w:t>
      </w:r>
    </w:p>
    <w:p w14:paraId="24FE3FEC" w14:textId="77777777" w:rsidR="00264303" w:rsidRPr="00421152" w:rsidRDefault="00264303" w:rsidP="00162710">
      <w:pPr>
        <w:ind w:left="0" w:firstLine="0"/>
      </w:pPr>
    </w:p>
    <w:p w14:paraId="15D07236" w14:textId="393EEAB9" w:rsidR="00D4539F" w:rsidRDefault="006B42D7" w:rsidP="00162710">
      <w:r>
        <w:t>48</w:t>
      </w:r>
      <w:r w:rsidR="00264303" w:rsidRPr="00421152">
        <w:t>.</w:t>
      </w:r>
      <w:r w:rsidR="00264303" w:rsidRPr="00421152">
        <w:tab/>
        <w:t>The external auditor</w:t>
      </w:r>
      <w:r w:rsidR="00264303">
        <w:t>’s</w:t>
      </w:r>
      <w:r w:rsidR="00264303" w:rsidRPr="00421152">
        <w:t xml:space="preserve"> request to send confirmation letters to a selection of Contracting Parties with outstanding contribution balances, as a part of the standard audit procedures</w:t>
      </w:r>
      <w:r w:rsidR="00443025">
        <w:t>,</w:t>
      </w:r>
      <w:r w:rsidR="00264303">
        <w:t xml:space="preserve"> was presented to the Standing Committee during SC57. Following the discussion</w:t>
      </w:r>
      <w:r w:rsidR="00443025">
        <w:t>,</w:t>
      </w:r>
      <w:r w:rsidR="00264303">
        <w:t xml:space="preserve"> Decision </w:t>
      </w:r>
    </w:p>
    <w:p w14:paraId="48E71627" w14:textId="0D535F53" w:rsidR="00264303" w:rsidRDefault="00264303" w:rsidP="00162710">
      <w:pPr>
        <w:ind w:firstLine="0"/>
      </w:pPr>
      <w:r>
        <w:t>SC57-40 was adopted with the Standing Committee instructing the Secretariat to explore the practicality of a group approach or other creative solution</w:t>
      </w:r>
      <w:r w:rsidRPr="00FB1F2D">
        <w:t>s for confirmation of outstanding Contracting Party balances for the 2019 audit</w:t>
      </w:r>
      <w:r w:rsidRPr="00421152">
        <w:t>.</w:t>
      </w:r>
      <w:r w:rsidR="00573F8B">
        <w:t xml:space="preserve"> </w:t>
      </w:r>
    </w:p>
    <w:p w14:paraId="6449B2B4" w14:textId="77777777" w:rsidR="00264303" w:rsidRDefault="00264303" w:rsidP="00162710"/>
    <w:p w14:paraId="7A5989BD" w14:textId="3DBF9FE9" w:rsidR="00264303" w:rsidRDefault="006B42D7" w:rsidP="00162710">
      <w:r>
        <w:t>49</w:t>
      </w:r>
      <w:r w:rsidR="00D4539F">
        <w:t>.</w:t>
      </w:r>
      <w:r w:rsidR="00D4539F">
        <w:tab/>
      </w:r>
      <w:r w:rsidR="00443025" w:rsidRPr="003236D1">
        <w:t>The Secretariat</w:t>
      </w:r>
      <w:r w:rsidR="00264303" w:rsidRPr="003236D1">
        <w:t xml:space="preserve"> discuss</w:t>
      </w:r>
      <w:r w:rsidR="00443025" w:rsidRPr="003236D1">
        <w:t>ed</w:t>
      </w:r>
      <w:r w:rsidR="00264303" w:rsidRPr="003236D1">
        <w:t xml:space="preserve"> </w:t>
      </w:r>
      <w:r w:rsidR="00E253A0">
        <w:t xml:space="preserve">the matter </w:t>
      </w:r>
      <w:r w:rsidR="00264303" w:rsidRPr="003236D1">
        <w:t xml:space="preserve">with the external auditor, </w:t>
      </w:r>
      <w:r w:rsidR="00443025" w:rsidRPr="003236D1">
        <w:t xml:space="preserve">and </w:t>
      </w:r>
      <w:r w:rsidR="00264303" w:rsidRPr="003236D1">
        <w:t>the following recommendation</w:t>
      </w:r>
      <w:r w:rsidR="00443025" w:rsidRPr="003236D1">
        <w:t xml:space="preserve"> is proposed for </w:t>
      </w:r>
      <w:r w:rsidR="00630583">
        <w:t xml:space="preserve">the </w:t>
      </w:r>
      <w:r w:rsidR="00443025" w:rsidRPr="003236D1">
        <w:t xml:space="preserve">consideration and </w:t>
      </w:r>
      <w:r w:rsidR="00264303" w:rsidRPr="003236D1">
        <w:t xml:space="preserve">decision </w:t>
      </w:r>
      <w:r w:rsidR="00630583">
        <w:t xml:space="preserve">of </w:t>
      </w:r>
      <w:r w:rsidR="00264303" w:rsidRPr="003236D1">
        <w:t>S</w:t>
      </w:r>
      <w:r w:rsidR="00443025" w:rsidRPr="003236D1">
        <w:t>C58</w:t>
      </w:r>
      <w:r w:rsidR="005A5AD3">
        <w:t>.</w:t>
      </w:r>
    </w:p>
    <w:p w14:paraId="58061C82" w14:textId="77777777" w:rsidR="00264303" w:rsidRDefault="00264303" w:rsidP="00162710"/>
    <w:p w14:paraId="483B95C6" w14:textId="7B668C47" w:rsidR="008B2B9E" w:rsidRDefault="006B42D7" w:rsidP="008B2B9E">
      <w:pPr>
        <w:rPr>
          <w:strike/>
          <w:color w:val="FF0000"/>
        </w:rPr>
      </w:pPr>
      <w:r>
        <w:t>50</w:t>
      </w:r>
      <w:r w:rsidR="00630583">
        <w:t>.</w:t>
      </w:r>
      <w:r w:rsidR="00630583">
        <w:tab/>
      </w:r>
      <w:r w:rsidR="00264303">
        <w:t xml:space="preserve">As per </w:t>
      </w:r>
      <w:r w:rsidR="00630583">
        <w:t xml:space="preserve">the </w:t>
      </w:r>
      <w:r w:rsidR="00264303">
        <w:t xml:space="preserve">external auditor’s suggestion, the </w:t>
      </w:r>
      <w:r w:rsidR="00264303" w:rsidRPr="00A154A5">
        <w:t>Standing Committee w</w:t>
      </w:r>
      <w:r w:rsidR="00671ED8">
        <w:t>ould</w:t>
      </w:r>
      <w:r w:rsidR="00264303" w:rsidRPr="00A154A5">
        <w:t xml:space="preserve"> acknowledge</w:t>
      </w:r>
      <w:r w:rsidR="00264303">
        <w:t xml:space="preserve"> the status of the annual contributions intersessional</w:t>
      </w:r>
      <w:r w:rsidR="00630583">
        <w:t>l</w:t>
      </w:r>
      <w:r w:rsidR="00264303">
        <w:t xml:space="preserve">y. The request for the intersessional acknowledgement </w:t>
      </w:r>
      <w:r w:rsidR="00630583">
        <w:t xml:space="preserve">would </w:t>
      </w:r>
      <w:r w:rsidR="00264303">
        <w:t>be provided by the Secretariat</w:t>
      </w:r>
      <w:r w:rsidR="00671ED8">
        <w:t xml:space="preserve"> to the Standing </w:t>
      </w:r>
      <w:r w:rsidR="002B18A7">
        <w:t>Committee</w:t>
      </w:r>
      <w:r w:rsidR="00264303">
        <w:t>, on behalf of the external auditor</w:t>
      </w:r>
      <w:r w:rsidR="00B054BE">
        <w:t>,</w:t>
      </w:r>
      <w:r w:rsidR="00264303">
        <w:t xml:space="preserve"> in the period following the closing of accounts and prior to the signing of the </w:t>
      </w:r>
      <w:r w:rsidR="00E253A0">
        <w:t>f</w:t>
      </w:r>
      <w:r w:rsidR="00264303">
        <w:t xml:space="preserve">inancial </w:t>
      </w:r>
      <w:r w:rsidR="00E253A0">
        <w:t xml:space="preserve">statements </w:t>
      </w:r>
      <w:r w:rsidR="00264303">
        <w:t>by the auditors.</w:t>
      </w:r>
    </w:p>
    <w:p w14:paraId="100E08AE" w14:textId="77777777" w:rsidR="008B2B9E" w:rsidRDefault="008B2B9E" w:rsidP="008B2B9E">
      <w:pPr>
        <w:rPr>
          <w:strike/>
          <w:color w:val="FF0000"/>
        </w:rPr>
      </w:pPr>
    </w:p>
    <w:p w14:paraId="412FE358" w14:textId="28206972" w:rsidR="002A1371" w:rsidRPr="008B2B9E" w:rsidRDefault="006B42D7" w:rsidP="008B2B9E">
      <w:pPr>
        <w:rPr>
          <w:strike/>
          <w:color w:val="FF0000"/>
        </w:rPr>
      </w:pPr>
      <w:r>
        <w:lastRenderedPageBreak/>
        <w:t>51</w:t>
      </w:r>
      <w:r w:rsidR="00E253A0">
        <w:t>.</w:t>
      </w:r>
      <w:r w:rsidR="00E253A0">
        <w:tab/>
      </w:r>
      <w:r w:rsidR="00264303" w:rsidRPr="002B18A7">
        <w:t xml:space="preserve">The Secretariat invites the Standing Committee to approve the above </w:t>
      </w:r>
      <w:r w:rsidR="00B054BE" w:rsidRPr="002B18A7">
        <w:t xml:space="preserve">recommendation </w:t>
      </w:r>
      <w:r w:rsidR="00264303" w:rsidRPr="002B18A7">
        <w:t xml:space="preserve">for intersessional </w:t>
      </w:r>
      <w:r w:rsidR="00671ED8" w:rsidRPr="002B18A7">
        <w:t>acknowledgement of the status of annual contributions.</w:t>
      </w:r>
      <w:r w:rsidR="00264303">
        <w:t xml:space="preserve"> </w:t>
      </w:r>
    </w:p>
    <w:p w14:paraId="3EE28DC8" w14:textId="77777777" w:rsidR="00C13B23" w:rsidRDefault="00C13B23" w:rsidP="00162710">
      <w:pPr>
        <w:ind w:left="0" w:firstLine="0"/>
        <w:rPr>
          <w:rFonts w:asciiTheme="minorHAnsi" w:hAnsiTheme="minorHAnsi" w:cs="Arial"/>
          <w:i/>
        </w:rPr>
      </w:pPr>
    </w:p>
    <w:p w14:paraId="7119DEBD" w14:textId="470DB5DB" w:rsidR="00C13B23" w:rsidRPr="00C13B23" w:rsidRDefault="00C13B23" w:rsidP="007F0A14">
      <w:pPr>
        <w:keepNext/>
        <w:ind w:left="0" w:firstLine="0"/>
        <w:rPr>
          <w:rFonts w:asciiTheme="minorHAnsi" w:hAnsiTheme="minorHAnsi" w:cs="Arial"/>
          <w:i/>
        </w:rPr>
      </w:pPr>
      <w:r>
        <w:rPr>
          <w:rFonts w:asciiTheme="minorHAnsi" w:hAnsiTheme="minorHAnsi" w:cs="Arial"/>
          <w:i/>
        </w:rPr>
        <w:t>Other</w:t>
      </w:r>
      <w:r w:rsidR="000E18F4">
        <w:rPr>
          <w:rFonts w:asciiTheme="minorHAnsi" w:hAnsiTheme="minorHAnsi" w:cs="Arial"/>
          <w:i/>
        </w:rPr>
        <w:t xml:space="preserve"> matters</w:t>
      </w:r>
    </w:p>
    <w:p w14:paraId="22C31158" w14:textId="40D9F4E3" w:rsidR="00C13B23" w:rsidRPr="00A154A5" w:rsidRDefault="00C13B23" w:rsidP="007F0A14">
      <w:pPr>
        <w:keepNext/>
        <w:ind w:left="0" w:firstLine="0"/>
      </w:pPr>
    </w:p>
    <w:p w14:paraId="307D3323" w14:textId="7E79F262" w:rsidR="00C13B23" w:rsidRPr="00A154A5" w:rsidRDefault="006B42D7" w:rsidP="00162710">
      <w:r>
        <w:t>52</w:t>
      </w:r>
      <w:r w:rsidR="00C13B23" w:rsidRPr="00A154A5">
        <w:t xml:space="preserve">. </w:t>
      </w:r>
      <w:r w:rsidR="00C13B23" w:rsidRPr="00A154A5">
        <w:tab/>
      </w:r>
      <w:r w:rsidR="00E253A0">
        <w:t xml:space="preserve">Through </w:t>
      </w:r>
      <w:r w:rsidR="00C13B23" w:rsidRPr="00103B40">
        <w:t xml:space="preserve">Decision SC57-41 </w:t>
      </w:r>
      <w:r w:rsidR="00E253A0">
        <w:t xml:space="preserve">the Standing Committee </w:t>
      </w:r>
      <w:r w:rsidR="00C13B23" w:rsidRPr="00103B40">
        <w:t>requested that the Secretariat include a note regarding the existence or lack thereof of other potential large provision items, such as future pension obligations. The Secretariat has checked and would like to confirm that there is no outstanding liability for future pension obligation</w:t>
      </w:r>
      <w:r w:rsidR="00E253A0">
        <w:t>s</w:t>
      </w:r>
      <w:r w:rsidR="00C13B23" w:rsidRPr="00103B40">
        <w:t>, the liability being with a Swiss pension fund</w:t>
      </w:r>
      <w:r w:rsidR="00671ED8">
        <w:t>. In consequence</w:t>
      </w:r>
      <w:r w:rsidR="00C13B23" w:rsidRPr="00103B40">
        <w:t xml:space="preserve">, </w:t>
      </w:r>
      <w:r w:rsidR="00E253A0">
        <w:t xml:space="preserve">no </w:t>
      </w:r>
      <w:r w:rsidR="00C13B23" w:rsidRPr="00103B40">
        <w:t xml:space="preserve">such note has been </w:t>
      </w:r>
      <w:r w:rsidR="00C13B23" w:rsidRPr="00797BC5">
        <w:t>included</w:t>
      </w:r>
      <w:r w:rsidR="00C62065" w:rsidRPr="00797BC5">
        <w:t xml:space="preserve"> in the financial statements</w:t>
      </w:r>
      <w:r w:rsidR="00C13B23" w:rsidRPr="00797BC5">
        <w:t>.</w:t>
      </w:r>
    </w:p>
    <w:p w14:paraId="4E1F9B35" w14:textId="77777777" w:rsidR="00C13B23" w:rsidRPr="00A154A5" w:rsidRDefault="00C13B23" w:rsidP="00162710"/>
    <w:p w14:paraId="2EE23D38" w14:textId="27548DBE" w:rsidR="004E1C7E" w:rsidRDefault="006B42D7" w:rsidP="00162710">
      <w:r>
        <w:t>53</w:t>
      </w:r>
      <w:r w:rsidR="00C13B23" w:rsidRPr="00A154A5">
        <w:t>.</w:t>
      </w:r>
      <w:r w:rsidR="00C13B23" w:rsidRPr="00A154A5">
        <w:tab/>
      </w:r>
      <w:r w:rsidR="00E253A0">
        <w:t xml:space="preserve">Through </w:t>
      </w:r>
      <w:r w:rsidR="00C13B23" w:rsidRPr="00A154A5">
        <w:t xml:space="preserve">Decision SC57-42 </w:t>
      </w:r>
      <w:r w:rsidR="00E253A0">
        <w:t xml:space="preserve">the Standing Committee </w:t>
      </w:r>
      <w:r w:rsidR="00671ED8">
        <w:t xml:space="preserve">requested that </w:t>
      </w:r>
      <w:r w:rsidR="00C13B23" w:rsidRPr="00A154A5">
        <w:t xml:space="preserve">the Secretariat provide input to IUCN and invite Parties to work with their counterparts responsible for IUCN to provide feedback on any IUCN consideration of options for future auditing contracts. </w:t>
      </w:r>
      <w:r w:rsidR="00C13B23" w:rsidRPr="00103B40">
        <w:t xml:space="preserve">In 2019 the IUCN Council decided to make a recommendation to </w:t>
      </w:r>
      <w:r w:rsidR="00671ED8">
        <w:t xml:space="preserve">the IUCN </w:t>
      </w:r>
      <w:r w:rsidR="00C13B23" w:rsidRPr="00103B40">
        <w:t>Congress to appoint PwC for 2021 and 2022 and put the audit out to tender for 2023 onwards.</w:t>
      </w:r>
    </w:p>
    <w:p w14:paraId="7306439B" w14:textId="77777777" w:rsidR="004E1C7E" w:rsidRDefault="004E1C7E">
      <w:r>
        <w:br w:type="page"/>
      </w:r>
    </w:p>
    <w:p w14:paraId="16FA2C6F" w14:textId="55262708" w:rsidR="001458BE" w:rsidRPr="00421152" w:rsidRDefault="001458BE" w:rsidP="00162710">
      <w:pPr>
        <w:pStyle w:val="NoSpacing"/>
        <w:ind w:left="0" w:firstLine="0"/>
        <w:rPr>
          <w:b/>
          <w:sz w:val="24"/>
          <w:szCs w:val="24"/>
        </w:rPr>
      </w:pPr>
      <w:r w:rsidRPr="00421152">
        <w:rPr>
          <w:b/>
          <w:sz w:val="24"/>
          <w:szCs w:val="24"/>
        </w:rPr>
        <w:lastRenderedPageBreak/>
        <w:t>Annex 1</w:t>
      </w:r>
    </w:p>
    <w:p w14:paraId="16876955" w14:textId="48B159C0" w:rsidR="00C54D5B" w:rsidRPr="00421152" w:rsidRDefault="00271D3D" w:rsidP="00162710">
      <w:pPr>
        <w:pStyle w:val="NoSpacing"/>
        <w:ind w:left="0" w:firstLine="0"/>
        <w:rPr>
          <w:b/>
          <w:sz w:val="24"/>
          <w:szCs w:val="24"/>
        </w:rPr>
      </w:pPr>
      <w:r w:rsidRPr="00421152">
        <w:rPr>
          <w:b/>
          <w:sz w:val="24"/>
          <w:szCs w:val="24"/>
        </w:rPr>
        <w:t xml:space="preserve">Audited </w:t>
      </w:r>
      <w:r w:rsidR="00C54D5B" w:rsidRPr="00421152">
        <w:rPr>
          <w:b/>
          <w:sz w:val="24"/>
          <w:szCs w:val="24"/>
        </w:rPr>
        <w:t xml:space="preserve">financial statements as of 31 December </w:t>
      </w:r>
      <w:r w:rsidR="009F5180" w:rsidRPr="00421152">
        <w:rPr>
          <w:b/>
          <w:sz w:val="24"/>
          <w:szCs w:val="24"/>
        </w:rPr>
        <w:t>201</w:t>
      </w:r>
      <w:r w:rsidR="009F5180">
        <w:rPr>
          <w:b/>
          <w:sz w:val="24"/>
          <w:szCs w:val="24"/>
        </w:rPr>
        <w:t>9</w:t>
      </w:r>
      <w:r w:rsidR="009F5180" w:rsidRPr="00421152">
        <w:rPr>
          <w:b/>
          <w:sz w:val="24"/>
          <w:szCs w:val="24"/>
        </w:rPr>
        <w:t xml:space="preserve"> </w:t>
      </w:r>
      <w:r w:rsidR="00C54D5B" w:rsidRPr="00421152">
        <w:rPr>
          <w:b/>
          <w:sz w:val="24"/>
          <w:szCs w:val="24"/>
        </w:rPr>
        <w:t>(Swiss reporting format)</w:t>
      </w:r>
    </w:p>
    <w:p w14:paraId="2B5261A3" w14:textId="3021FF68" w:rsidR="0074567B" w:rsidRPr="00421152" w:rsidRDefault="0074567B" w:rsidP="00BD2863">
      <w:pPr>
        <w:pStyle w:val="NoSpacing"/>
        <w:ind w:left="0" w:firstLine="0"/>
        <w:rPr>
          <w:b/>
          <w:sz w:val="24"/>
          <w:szCs w:val="24"/>
        </w:rPr>
      </w:pPr>
    </w:p>
    <w:p w14:paraId="029E0D77" w14:textId="77777777" w:rsidR="003F135F" w:rsidRDefault="003F135F" w:rsidP="00633DD5">
      <w:pPr>
        <w:pStyle w:val="NoSpacing"/>
        <w:rPr>
          <w:b/>
        </w:rPr>
      </w:pPr>
    </w:p>
    <w:p w14:paraId="38C90180" w14:textId="1B50B78B" w:rsidR="004C03D9" w:rsidRPr="00421152" w:rsidRDefault="003D733E" w:rsidP="00633DD5">
      <w:pPr>
        <w:pStyle w:val="NoSpacing"/>
        <w:rPr>
          <w:b/>
        </w:rPr>
      </w:pPr>
      <w:r w:rsidRPr="00421152">
        <w:rPr>
          <w:b/>
        </w:rPr>
        <w:t>I.</w:t>
      </w:r>
      <w:r w:rsidRPr="00421152">
        <w:rPr>
          <w:b/>
        </w:rPr>
        <w:tab/>
      </w:r>
      <w:r w:rsidR="00D418B6" w:rsidRPr="00421152">
        <w:rPr>
          <w:b/>
        </w:rPr>
        <w:t>Balance sheet as of 31 December</w:t>
      </w:r>
      <w:r w:rsidR="006A24F1" w:rsidRPr="006D777A">
        <w:rPr>
          <w:rStyle w:val="FootnoteReference"/>
        </w:rPr>
        <w:footnoteReference w:id="4"/>
      </w:r>
    </w:p>
    <w:p w14:paraId="3E22D7C5" w14:textId="02358777" w:rsidR="003F135F" w:rsidRDefault="003F135F" w:rsidP="00633DD5">
      <w:pPr>
        <w:pStyle w:val="NoSpacing"/>
        <w:rPr>
          <w:b/>
        </w:rPr>
      </w:pPr>
    </w:p>
    <w:tbl>
      <w:tblPr>
        <w:tblW w:w="8899" w:type="dxa"/>
        <w:tblCellMar>
          <w:left w:w="57" w:type="dxa"/>
          <w:right w:w="57" w:type="dxa"/>
        </w:tblCellMar>
        <w:tblLook w:val="04A0" w:firstRow="1" w:lastRow="0" w:firstColumn="1" w:lastColumn="0" w:noHBand="0" w:noVBand="1"/>
      </w:tblPr>
      <w:tblGrid>
        <w:gridCol w:w="4962"/>
        <w:gridCol w:w="890"/>
        <w:gridCol w:w="1215"/>
        <w:gridCol w:w="164"/>
        <w:gridCol w:w="216"/>
        <w:gridCol w:w="1288"/>
        <w:gridCol w:w="164"/>
      </w:tblGrid>
      <w:tr w:rsidR="003F135F" w:rsidRPr="003F135F" w14:paraId="56312645" w14:textId="77777777" w:rsidTr="00E84205">
        <w:trPr>
          <w:trHeight w:val="588"/>
        </w:trPr>
        <w:tc>
          <w:tcPr>
            <w:tcW w:w="4962" w:type="dxa"/>
            <w:tcBorders>
              <w:top w:val="nil"/>
              <w:left w:val="nil"/>
              <w:bottom w:val="single" w:sz="8" w:space="0" w:color="auto"/>
              <w:right w:val="nil"/>
            </w:tcBorders>
            <w:shd w:val="clear" w:color="000000" w:fill="FFFFFF"/>
            <w:noWrap/>
            <w:vAlign w:val="bottom"/>
            <w:hideMark/>
          </w:tcPr>
          <w:p w14:paraId="227A0CE2" w14:textId="77777777" w:rsidR="003F135F" w:rsidRPr="003F135F" w:rsidRDefault="003F135F" w:rsidP="003F135F">
            <w:pPr>
              <w:ind w:left="0" w:firstLine="0"/>
              <w:rPr>
                <w:rFonts w:eastAsia="Times New Roman" w:cs="Calibri"/>
                <w:i/>
                <w:iCs/>
                <w:sz w:val="20"/>
                <w:szCs w:val="20"/>
                <w:lang w:eastAsia="en-GB"/>
              </w:rPr>
            </w:pPr>
            <w:r w:rsidRPr="003F135F">
              <w:rPr>
                <w:rFonts w:eastAsia="Times New Roman" w:cs="Calibri"/>
                <w:i/>
                <w:iCs/>
                <w:sz w:val="20"/>
                <w:szCs w:val="20"/>
                <w:lang w:eastAsia="en-GB"/>
              </w:rPr>
              <w:t>in thousands of Swiss Francs (CHF '000s)</w:t>
            </w:r>
          </w:p>
        </w:tc>
        <w:tc>
          <w:tcPr>
            <w:tcW w:w="890" w:type="dxa"/>
            <w:tcBorders>
              <w:top w:val="nil"/>
              <w:left w:val="nil"/>
              <w:bottom w:val="single" w:sz="8" w:space="0" w:color="auto"/>
              <w:right w:val="nil"/>
            </w:tcBorders>
            <w:shd w:val="clear" w:color="000000" w:fill="FFFFFF"/>
            <w:noWrap/>
            <w:vAlign w:val="center"/>
            <w:hideMark/>
          </w:tcPr>
          <w:p w14:paraId="3F4CF572"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 xml:space="preserve"> Notes </w:t>
            </w:r>
          </w:p>
        </w:tc>
        <w:tc>
          <w:tcPr>
            <w:tcW w:w="1379" w:type="dxa"/>
            <w:gridSpan w:val="2"/>
            <w:tcBorders>
              <w:top w:val="nil"/>
              <w:left w:val="nil"/>
              <w:bottom w:val="single" w:sz="8" w:space="0" w:color="auto"/>
              <w:right w:val="nil"/>
            </w:tcBorders>
            <w:shd w:val="clear" w:color="000000" w:fill="8DB4E2"/>
            <w:vAlign w:val="center"/>
            <w:hideMark/>
          </w:tcPr>
          <w:p w14:paraId="0670EADD"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 xml:space="preserve"> 2019 </w:t>
            </w:r>
          </w:p>
        </w:tc>
        <w:tc>
          <w:tcPr>
            <w:tcW w:w="216" w:type="dxa"/>
            <w:tcBorders>
              <w:top w:val="nil"/>
              <w:left w:val="nil"/>
              <w:bottom w:val="single" w:sz="8" w:space="0" w:color="auto"/>
              <w:right w:val="nil"/>
            </w:tcBorders>
            <w:shd w:val="clear" w:color="000000" w:fill="D9D9D9"/>
            <w:noWrap/>
            <w:vAlign w:val="center"/>
            <w:hideMark/>
          </w:tcPr>
          <w:p w14:paraId="34EEC89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452" w:type="dxa"/>
            <w:gridSpan w:val="2"/>
            <w:tcBorders>
              <w:top w:val="nil"/>
              <w:left w:val="nil"/>
              <w:bottom w:val="single" w:sz="8" w:space="0" w:color="auto"/>
              <w:right w:val="nil"/>
            </w:tcBorders>
            <w:shd w:val="clear" w:color="000000" w:fill="D8E4BC"/>
            <w:noWrap/>
            <w:vAlign w:val="center"/>
            <w:hideMark/>
          </w:tcPr>
          <w:p w14:paraId="479264C8"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 xml:space="preserve"> 2018 </w:t>
            </w:r>
          </w:p>
        </w:tc>
      </w:tr>
      <w:tr w:rsidR="003F135F" w:rsidRPr="003F135F" w14:paraId="157F70E8" w14:textId="77777777" w:rsidTr="00E84205">
        <w:trPr>
          <w:trHeight w:val="330"/>
        </w:trPr>
        <w:tc>
          <w:tcPr>
            <w:tcW w:w="4962" w:type="dxa"/>
            <w:tcBorders>
              <w:top w:val="nil"/>
              <w:left w:val="nil"/>
              <w:bottom w:val="nil"/>
              <w:right w:val="nil"/>
            </w:tcBorders>
            <w:shd w:val="clear" w:color="000000" w:fill="FFFFFF"/>
            <w:vAlign w:val="bottom"/>
            <w:hideMark/>
          </w:tcPr>
          <w:p w14:paraId="36960833"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ASSETS</w:t>
            </w:r>
          </w:p>
        </w:tc>
        <w:tc>
          <w:tcPr>
            <w:tcW w:w="890" w:type="dxa"/>
            <w:tcBorders>
              <w:top w:val="nil"/>
              <w:left w:val="nil"/>
              <w:bottom w:val="nil"/>
              <w:right w:val="nil"/>
            </w:tcBorders>
            <w:shd w:val="clear" w:color="000000" w:fill="FFFFFF"/>
            <w:noWrap/>
            <w:vAlign w:val="bottom"/>
            <w:hideMark/>
          </w:tcPr>
          <w:p w14:paraId="34C54BEB"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0FFE437A"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286F4F47"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514113DC"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48A3BA2F"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4C2A800E"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11C2C6F0" w14:textId="77777777" w:rsidTr="00E84205">
        <w:trPr>
          <w:trHeight w:val="330"/>
        </w:trPr>
        <w:tc>
          <w:tcPr>
            <w:tcW w:w="4962" w:type="dxa"/>
            <w:tcBorders>
              <w:top w:val="nil"/>
              <w:left w:val="nil"/>
              <w:bottom w:val="nil"/>
              <w:right w:val="nil"/>
            </w:tcBorders>
            <w:shd w:val="clear" w:color="000000" w:fill="FFFFFF"/>
            <w:vAlign w:val="bottom"/>
            <w:hideMark/>
          </w:tcPr>
          <w:p w14:paraId="551B2343"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Current assets</w:t>
            </w:r>
          </w:p>
        </w:tc>
        <w:tc>
          <w:tcPr>
            <w:tcW w:w="890" w:type="dxa"/>
            <w:tcBorders>
              <w:top w:val="nil"/>
              <w:left w:val="nil"/>
              <w:bottom w:val="nil"/>
              <w:right w:val="nil"/>
            </w:tcBorders>
            <w:shd w:val="clear" w:color="000000" w:fill="FFFFFF"/>
            <w:noWrap/>
            <w:vAlign w:val="bottom"/>
            <w:hideMark/>
          </w:tcPr>
          <w:p w14:paraId="0D2496E9"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4FBE2CC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4DC7C63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040C57F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68968D38"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72B480EC"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16AFCA3E" w14:textId="77777777" w:rsidTr="00E84205">
        <w:trPr>
          <w:trHeight w:val="330"/>
        </w:trPr>
        <w:tc>
          <w:tcPr>
            <w:tcW w:w="4962" w:type="dxa"/>
            <w:tcBorders>
              <w:top w:val="nil"/>
              <w:left w:val="nil"/>
              <w:bottom w:val="nil"/>
              <w:right w:val="nil"/>
            </w:tcBorders>
            <w:shd w:val="clear" w:color="000000" w:fill="FFFFFF"/>
            <w:vAlign w:val="bottom"/>
            <w:hideMark/>
          </w:tcPr>
          <w:p w14:paraId="7856998F" w14:textId="1F2DD08D" w:rsidR="003F135F" w:rsidRPr="003F135F" w:rsidRDefault="003F135F" w:rsidP="003F135F">
            <w:pPr>
              <w:ind w:left="0" w:firstLine="0"/>
              <w:rPr>
                <w:rFonts w:eastAsia="Times New Roman" w:cs="Calibri"/>
                <w:lang w:eastAsia="en-GB"/>
              </w:rPr>
            </w:pPr>
            <w:r w:rsidRPr="003F135F">
              <w:rPr>
                <w:rFonts w:eastAsia="Times New Roman" w:cs="Calibri"/>
                <w:lang w:eastAsia="en-GB"/>
              </w:rPr>
              <w:t>Cash and short term bank deposits</w:t>
            </w:r>
          </w:p>
        </w:tc>
        <w:tc>
          <w:tcPr>
            <w:tcW w:w="890" w:type="dxa"/>
            <w:tcBorders>
              <w:top w:val="nil"/>
              <w:left w:val="nil"/>
              <w:bottom w:val="nil"/>
              <w:right w:val="nil"/>
            </w:tcBorders>
            <w:shd w:val="clear" w:color="000000" w:fill="FFFFFF"/>
            <w:noWrap/>
            <w:vAlign w:val="bottom"/>
            <w:hideMark/>
          </w:tcPr>
          <w:p w14:paraId="2D4E01E1"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24AAE331"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3,827</w:t>
            </w:r>
          </w:p>
        </w:tc>
        <w:tc>
          <w:tcPr>
            <w:tcW w:w="164" w:type="dxa"/>
            <w:tcBorders>
              <w:top w:val="nil"/>
              <w:left w:val="nil"/>
              <w:bottom w:val="nil"/>
              <w:right w:val="nil"/>
            </w:tcBorders>
            <w:shd w:val="clear" w:color="000000" w:fill="FFFFFF"/>
            <w:noWrap/>
            <w:vAlign w:val="bottom"/>
            <w:hideMark/>
          </w:tcPr>
          <w:p w14:paraId="4ADA8918"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3CCA43B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3693E5AC"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5,196</w:t>
            </w:r>
          </w:p>
        </w:tc>
        <w:tc>
          <w:tcPr>
            <w:tcW w:w="164" w:type="dxa"/>
            <w:tcBorders>
              <w:top w:val="nil"/>
              <w:left w:val="nil"/>
              <w:bottom w:val="nil"/>
              <w:right w:val="nil"/>
            </w:tcBorders>
            <w:shd w:val="clear" w:color="000000" w:fill="FFFFFF"/>
            <w:noWrap/>
            <w:vAlign w:val="bottom"/>
            <w:hideMark/>
          </w:tcPr>
          <w:p w14:paraId="62DEC170"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7545E74E" w14:textId="77777777" w:rsidTr="00E84205">
        <w:trPr>
          <w:trHeight w:val="339"/>
        </w:trPr>
        <w:tc>
          <w:tcPr>
            <w:tcW w:w="4962" w:type="dxa"/>
            <w:tcBorders>
              <w:top w:val="nil"/>
              <w:left w:val="nil"/>
              <w:bottom w:val="nil"/>
              <w:right w:val="nil"/>
            </w:tcBorders>
            <w:shd w:val="clear" w:color="000000" w:fill="FFFFFF"/>
            <w:vAlign w:val="bottom"/>
            <w:hideMark/>
          </w:tcPr>
          <w:p w14:paraId="70EE7D38" w14:textId="3BA67F60" w:rsidR="003F135F" w:rsidRPr="003F135F" w:rsidRDefault="003F135F" w:rsidP="003F135F">
            <w:pPr>
              <w:ind w:left="0" w:firstLine="0"/>
              <w:rPr>
                <w:rFonts w:eastAsia="Times New Roman" w:cs="Calibri"/>
                <w:lang w:eastAsia="en-GB"/>
              </w:rPr>
            </w:pPr>
            <w:r w:rsidRPr="003F135F">
              <w:rPr>
                <w:rFonts w:eastAsia="Times New Roman" w:cs="Calibri"/>
                <w:lang w:eastAsia="en-GB"/>
              </w:rPr>
              <w:t>Contracting Party receivables (net)</w:t>
            </w:r>
          </w:p>
        </w:tc>
        <w:tc>
          <w:tcPr>
            <w:tcW w:w="890" w:type="dxa"/>
            <w:tcBorders>
              <w:top w:val="nil"/>
              <w:left w:val="nil"/>
              <w:bottom w:val="nil"/>
              <w:right w:val="nil"/>
            </w:tcBorders>
            <w:shd w:val="clear" w:color="000000" w:fill="FFFFFF"/>
            <w:noWrap/>
            <w:vAlign w:val="bottom"/>
            <w:hideMark/>
          </w:tcPr>
          <w:p w14:paraId="0846BF3D"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6</w:t>
            </w:r>
          </w:p>
        </w:tc>
        <w:tc>
          <w:tcPr>
            <w:tcW w:w="1215" w:type="dxa"/>
            <w:tcBorders>
              <w:top w:val="nil"/>
              <w:left w:val="nil"/>
              <w:bottom w:val="nil"/>
              <w:right w:val="nil"/>
            </w:tcBorders>
            <w:shd w:val="clear" w:color="000000" w:fill="FFFFFF"/>
            <w:noWrap/>
            <w:vAlign w:val="bottom"/>
            <w:hideMark/>
          </w:tcPr>
          <w:p w14:paraId="1D233E3C"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2,364</w:t>
            </w:r>
          </w:p>
        </w:tc>
        <w:tc>
          <w:tcPr>
            <w:tcW w:w="164" w:type="dxa"/>
            <w:tcBorders>
              <w:top w:val="nil"/>
              <w:left w:val="nil"/>
              <w:bottom w:val="nil"/>
              <w:right w:val="nil"/>
            </w:tcBorders>
            <w:shd w:val="clear" w:color="000000" w:fill="FFFFFF"/>
            <w:noWrap/>
            <w:vAlign w:val="bottom"/>
            <w:hideMark/>
          </w:tcPr>
          <w:p w14:paraId="6C174AAD"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5498C89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0454C298"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833</w:t>
            </w:r>
          </w:p>
        </w:tc>
        <w:tc>
          <w:tcPr>
            <w:tcW w:w="164" w:type="dxa"/>
            <w:tcBorders>
              <w:top w:val="nil"/>
              <w:left w:val="nil"/>
              <w:bottom w:val="nil"/>
              <w:right w:val="nil"/>
            </w:tcBorders>
            <w:shd w:val="clear" w:color="000000" w:fill="FFFFFF"/>
            <w:noWrap/>
            <w:vAlign w:val="bottom"/>
            <w:hideMark/>
          </w:tcPr>
          <w:p w14:paraId="42BA045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17423F77" w14:textId="77777777" w:rsidTr="00E84205">
        <w:trPr>
          <w:trHeight w:val="339"/>
        </w:trPr>
        <w:tc>
          <w:tcPr>
            <w:tcW w:w="4962" w:type="dxa"/>
            <w:tcBorders>
              <w:top w:val="nil"/>
              <w:left w:val="nil"/>
              <w:bottom w:val="nil"/>
              <w:right w:val="nil"/>
            </w:tcBorders>
            <w:shd w:val="clear" w:color="000000" w:fill="FFFFFF"/>
            <w:vAlign w:val="bottom"/>
            <w:hideMark/>
          </w:tcPr>
          <w:p w14:paraId="15C789C8" w14:textId="7D714AA8" w:rsidR="003F135F" w:rsidRPr="003F135F" w:rsidRDefault="003F135F" w:rsidP="003F135F">
            <w:pPr>
              <w:ind w:left="0" w:firstLine="0"/>
              <w:rPr>
                <w:rFonts w:eastAsia="Times New Roman" w:cs="Calibri"/>
                <w:lang w:eastAsia="en-GB"/>
              </w:rPr>
            </w:pPr>
            <w:r w:rsidRPr="003F135F">
              <w:rPr>
                <w:rFonts w:eastAsia="Times New Roman" w:cs="Calibri"/>
                <w:lang w:eastAsia="en-GB"/>
              </w:rPr>
              <w:t>Other account receivables</w:t>
            </w:r>
          </w:p>
        </w:tc>
        <w:tc>
          <w:tcPr>
            <w:tcW w:w="890" w:type="dxa"/>
            <w:tcBorders>
              <w:top w:val="nil"/>
              <w:left w:val="nil"/>
              <w:bottom w:val="nil"/>
              <w:right w:val="nil"/>
            </w:tcBorders>
            <w:shd w:val="clear" w:color="000000" w:fill="FFFFFF"/>
            <w:noWrap/>
            <w:vAlign w:val="bottom"/>
            <w:hideMark/>
          </w:tcPr>
          <w:p w14:paraId="22FD8D9B"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7</w:t>
            </w:r>
          </w:p>
        </w:tc>
        <w:tc>
          <w:tcPr>
            <w:tcW w:w="1215" w:type="dxa"/>
            <w:tcBorders>
              <w:top w:val="nil"/>
              <w:left w:val="nil"/>
              <w:bottom w:val="single" w:sz="4" w:space="0" w:color="auto"/>
              <w:right w:val="nil"/>
            </w:tcBorders>
            <w:shd w:val="clear" w:color="000000" w:fill="FFFFFF"/>
            <w:noWrap/>
            <w:vAlign w:val="bottom"/>
            <w:hideMark/>
          </w:tcPr>
          <w:p w14:paraId="742E45E0"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142</w:t>
            </w:r>
          </w:p>
        </w:tc>
        <w:tc>
          <w:tcPr>
            <w:tcW w:w="164" w:type="dxa"/>
            <w:tcBorders>
              <w:top w:val="nil"/>
              <w:left w:val="nil"/>
              <w:bottom w:val="single" w:sz="4" w:space="0" w:color="auto"/>
              <w:right w:val="nil"/>
            </w:tcBorders>
            <w:shd w:val="clear" w:color="000000" w:fill="FFFFFF"/>
            <w:noWrap/>
            <w:vAlign w:val="bottom"/>
            <w:hideMark/>
          </w:tcPr>
          <w:p w14:paraId="2E3BA906"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14:paraId="41D00E6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14:paraId="65C4E98B"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54</w:t>
            </w:r>
          </w:p>
        </w:tc>
        <w:tc>
          <w:tcPr>
            <w:tcW w:w="164" w:type="dxa"/>
            <w:tcBorders>
              <w:top w:val="nil"/>
              <w:left w:val="nil"/>
              <w:bottom w:val="nil"/>
              <w:right w:val="nil"/>
            </w:tcBorders>
            <w:shd w:val="clear" w:color="000000" w:fill="FFFFFF"/>
            <w:noWrap/>
            <w:vAlign w:val="bottom"/>
            <w:hideMark/>
          </w:tcPr>
          <w:p w14:paraId="4E4063D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2117CE43" w14:textId="77777777" w:rsidTr="00E84205">
        <w:trPr>
          <w:trHeight w:val="330"/>
        </w:trPr>
        <w:tc>
          <w:tcPr>
            <w:tcW w:w="4962" w:type="dxa"/>
            <w:tcBorders>
              <w:top w:val="nil"/>
              <w:left w:val="nil"/>
              <w:bottom w:val="nil"/>
              <w:right w:val="nil"/>
            </w:tcBorders>
            <w:shd w:val="clear" w:color="000000" w:fill="FFFFFF"/>
            <w:vAlign w:val="bottom"/>
            <w:hideMark/>
          </w:tcPr>
          <w:p w14:paraId="63897957"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current assets</w:t>
            </w:r>
          </w:p>
        </w:tc>
        <w:tc>
          <w:tcPr>
            <w:tcW w:w="890" w:type="dxa"/>
            <w:tcBorders>
              <w:top w:val="nil"/>
              <w:left w:val="nil"/>
              <w:bottom w:val="nil"/>
              <w:right w:val="nil"/>
            </w:tcBorders>
            <w:shd w:val="clear" w:color="000000" w:fill="FFFFFF"/>
            <w:noWrap/>
            <w:vAlign w:val="bottom"/>
            <w:hideMark/>
          </w:tcPr>
          <w:p w14:paraId="2C00F8E4"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3C590717"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6,333</w:t>
            </w:r>
          </w:p>
        </w:tc>
        <w:tc>
          <w:tcPr>
            <w:tcW w:w="164" w:type="dxa"/>
            <w:tcBorders>
              <w:top w:val="nil"/>
              <w:left w:val="nil"/>
              <w:bottom w:val="nil"/>
              <w:right w:val="nil"/>
            </w:tcBorders>
            <w:shd w:val="clear" w:color="000000" w:fill="FFFFFF"/>
            <w:noWrap/>
            <w:vAlign w:val="bottom"/>
            <w:hideMark/>
          </w:tcPr>
          <w:p w14:paraId="3E71C30A"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14:paraId="2D542DA0"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14:paraId="1167288C"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6,083</w:t>
            </w:r>
          </w:p>
        </w:tc>
        <w:tc>
          <w:tcPr>
            <w:tcW w:w="164" w:type="dxa"/>
            <w:tcBorders>
              <w:top w:val="nil"/>
              <w:left w:val="nil"/>
              <w:bottom w:val="nil"/>
              <w:right w:val="nil"/>
            </w:tcBorders>
            <w:shd w:val="clear" w:color="000000" w:fill="FFFFFF"/>
            <w:noWrap/>
            <w:vAlign w:val="bottom"/>
            <w:hideMark/>
          </w:tcPr>
          <w:p w14:paraId="3D8B3908"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2A75ADC9" w14:textId="77777777" w:rsidTr="00E84205">
        <w:trPr>
          <w:trHeight w:val="330"/>
        </w:trPr>
        <w:tc>
          <w:tcPr>
            <w:tcW w:w="4962" w:type="dxa"/>
            <w:tcBorders>
              <w:top w:val="nil"/>
              <w:left w:val="nil"/>
              <w:bottom w:val="nil"/>
              <w:right w:val="nil"/>
            </w:tcBorders>
            <w:shd w:val="clear" w:color="000000" w:fill="FFFFFF"/>
            <w:vAlign w:val="bottom"/>
            <w:hideMark/>
          </w:tcPr>
          <w:p w14:paraId="29509876"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14:paraId="13F5C295"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56368E3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05F9D34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5C2A3C3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5B547DB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5366D13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07E418C5" w14:textId="77777777" w:rsidTr="00E84205">
        <w:trPr>
          <w:trHeight w:val="339"/>
        </w:trPr>
        <w:tc>
          <w:tcPr>
            <w:tcW w:w="4962" w:type="dxa"/>
            <w:tcBorders>
              <w:top w:val="nil"/>
              <w:left w:val="nil"/>
              <w:bottom w:val="nil"/>
              <w:right w:val="nil"/>
            </w:tcBorders>
            <w:shd w:val="clear" w:color="000000" w:fill="FFFFFF"/>
            <w:vAlign w:val="bottom"/>
            <w:hideMark/>
          </w:tcPr>
          <w:p w14:paraId="7F98BA54"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Fixed assets (net)</w:t>
            </w:r>
          </w:p>
        </w:tc>
        <w:tc>
          <w:tcPr>
            <w:tcW w:w="890" w:type="dxa"/>
            <w:tcBorders>
              <w:top w:val="nil"/>
              <w:left w:val="nil"/>
              <w:bottom w:val="nil"/>
              <w:right w:val="nil"/>
            </w:tcBorders>
            <w:shd w:val="clear" w:color="000000" w:fill="FFFFFF"/>
            <w:noWrap/>
            <w:vAlign w:val="bottom"/>
            <w:hideMark/>
          </w:tcPr>
          <w:p w14:paraId="21311F34"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9</w:t>
            </w:r>
          </w:p>
        </w:tc>
        <w:tc>
          <w:tcPr>
            <w:tcW w:w="1215" w:type="dxa"/>
            <w:tcBorders>
              <w:top w:val="nil"/>
              <w:left w:val="nil"/>
              <w:bottom w:val="nil"/>
              <w:right w:val="nil"/>
            </w:tcBorders>
            <w:shd w:val="clear" w:color="000000" w:fill="FFFFFF"/>
            <w:noWrap/>
            <w:vAlign w:val="bottom"/>
            <w:hideMark/>
          </w:tcPr>
          <w:p w14:paraId="7486DCF0"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16</w:t>
            </w:r>
          </w:p>
        </w:tc>
        <w:tc>
          <w:tcPr>
            <w:tcW w:w="164" w:type="dxa"/>
            <w:tcBorders>
              <w:top w:val="nil"/>
              <w:left w:val="nil"/>
              <w:bottom w:val="nil"/>
              <w:right w:val="nil"/>
            </w:tcBorders>
            <w:shd w:val="clear" w:color="000000" w:fill="FFFFFF"/>
            <w:noWrap/>
            <w:vAlign w:val="bottom"/>
            <w:hideMark/>
          </w:tcPr>
          <w:p w14:paraId="74D6D53A"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70BEFD97"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6A137CDE"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18</w:t>
            </w:r>
          </w:p>
        </w:tc>
        <w:tc>
          <w:tcPr>
            <w:tcW w:w="164" w:type="dxa"/>
            <w:tcBorders>
              <w:top w:val="nil"/>
              <w:left w:val="nil"/>
              <w:bottom w:val="nil"/>
              <w:right w:val="nil"/>
            </w:tcBorders>
            <w:shd w:val="clear" w:color="000000" w:fill="FFFFFF"/>
            <w:noWrap/>
            <w:vAlign w:val="bottom"/>
            <w:hideMark/>
          </w:tcPr>
          <w:p w14:paraId="08AA49F6"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4D29C375" w14:textId="77777777" w:rsidTr="00E84205">
        <w:trPr>
          <w:trHeight w:val="339"/>
        </w:trPr>
        <w:tc>
          <w:tcPr>
            <w:tcW w:w="4962" w:type="dxa"/>
            <w:tcBorders>
              <w:top w:val="nil"/>
              <w:left w:val="nil"/>
              <w:bottom w:val="nil"/>
              <w:right w:val="nil"/>
            </w:tcBorders>
            <w:shd w:val="clear" w:color="000000" w:fill="FFFFFF"/>
            <w:vAlign w:val="bottom"/>
            <w:hideMark/>
          </w:tcPr>
          <w:p w14:paraId="5496EC19"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non-current assets</w:t>
            </w:r>
          </w:p>
        </w:tc>
        <w:tc>
          <w:tcPr>
            <w:tcW w:w="890" w:type="dxa"/>
            <w:tcBorders>
              <w:top w:val="nil"/>
              <w:left w:val="nil"/>
              <w:bottom w:val="nil"/>
              <w:right w:val="nil"/>
            </w:tcBorders>
            <w:shd w:val="clear" w:color="000000" w:fill="FFFFFF"/>
            <w:noWrap/>
            <w:vAlign w:val="bottom"/>
            <w:hideMark/>
          </w:tcPr>
          <w:p w14:paraId="3CEC4D34"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single" w:sz="4" w:space="0" w:color="auto"/>
              <w:left w:val="nil"/>
              <w:bottom w:val="nil"/>
              <w:right w:val="nil"/>
            </w:tcBorders>
            <w:shd w:val="clear" w:color="000000" w:fill="FFFFFF"/>
            <w:noWrap/>
            <w:vAlign w:val="bottom"/>
            <w:hideMark/>
          </w:tcPr>
          <w:p w14:paraId="505AA0BA"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16</w:t>
            </w:r>
          </w:p>
        </w:tc>
        <w:tc>
          <w:tcPr>
            <w:tcW w:w="164" w:type="dxa"/>
            <w:tcBorders>
              <w:top w:val="single" w:sz="4" w:space="0" w:color="auto"/>
              <w:left w:val="nil"/>
              <w:bottom w:val="nil"/>
              <w:right w:val="nil"/>
            </w:tcBorders>
            <w:shd w:val="clear" w:color="000000" w:fill="FFFFFF"/>
            <w:noWrap/>
            <w:vAlign w:val="bottom"/>
            <w:hideMark/>
          </w:tcPr>
          <w:p w14:paraId="3FD4DB6F"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single" w:sz="4" w:space="0" w:color="auto"/>
              <w:left w:val="nil"/>
              <w:bottom w:val="nil"/>
              <w:right w:val="nil"/>
            </w:tcBorders>
            <w:shd w:val="clear" w:color="000000" w:fill="D9D9D9"/>
            <w:noWrap/>
            <w:vAlign w:val="bottom"/>
            <w:hideMark/>
          </w:tcPr>
          <w:p w14:paraId="63F2FF53"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single" w:sz="4" w:space="0" w:color="auto"/>
              <w:left w:val="nil"/>
              <w:bottom w:val="nil"/>
              <w:right w:val="nil"/>
            </w:tcBorders>
            <w:shd w:val="clear" w:color="000000" w:fill="FFFFFF"/>
            <w:noWrap/>
            <w:vAlign w:val="bottom"/>
            <w:hideMark/>
          </w:tcPr>
          <w:p w14:paraId="7C39F05C"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18</w:t>
            </w:r>
          </w:p>
        </w:tc>
        <w:tc>
          <w:tcPr>
            <w:tcW w:w="164" w:type="dxa"/>
            <w:tcBorders>
              <w:top w:val="nil"/>
              <w:left w:val="nil"/>
              <w:bottom w:val="nil"/>
              <w:right w:val="nil"/>
            </w:tcBorders>
            <w:shd w:val="clear" w:color="000000" w:fill="FFFFFF"/>
            <w:noWrap/>
            <w:vAlign w:val="bottom"/>
            <w:hideMark/>
          </w:tcPr>
          <w:p w14:paraId="55C6F820"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118E2418" w14:textId="77777777" w:rsidTr="00E84205">
        <w:trPr>
          <w:trHeight w:val="330"/>
        </w:trPr>
        <w:tc>
          <w:tcPr>
            <w:tcW w:w="4962" w:type="dxa"/>
            <w:tcBorders>
              <w:top w:val="nil"/>
              <w:left w:val="nil"/>
              <w:bottom w:val="nil"/>
              <w:right w:val="nil"/>
            </w:tcBorders>
            <w:shd w:val="clear" w:color="000000" w:fill="FFFFFF"/>
            <w:vAlign w:val="bottom"/>
            <w:hideMark/>
          </w:tcPr>
          <w:p w14:paraId="563C458E"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890" w:type="dxa"/>
            <w:tcBorders>
              <w:top w:val="nil"/>
              <w:left w:val="nil"/>
              <w:bottom w:val="nil"/>
              <w:right w:val="nil"/>
            </w:tcBorders>
            <w:shd w:val="clear" w:color="000000" w:fill="FFFFFF"/>
            <w:noWrap/>
            <w:vAlign w:val="bottom"/>
            <w:hideMark/>
          </w:tcPr>
          <w:p w14:paraId="6145418F"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auto" w:fill="auto"/>
            <w:noWrap/>
            <w:vAlign w:val="bottom"/>
            <w:hideMark/>
          </w:tcPr>
          <w:p w14:paraId="38F0F725" w14:textId="77777777" w:rsidR="003F135F" w:rsidRPr="003F135F" w:rsidRDefault="003F135F" w:rsidP="003F135F">
            <w:pPr>
              <w:ind w:left="0" w:firstLine="0"/>
              <w:jc w:val="center"/>
              <w:rPr>
                <w:rFonts w:eastAsia="Times New Roman" w:cs="Calibri"/>
                <w:lang w:eastAsia="en-GB"/>
              </w:rPr>
            </w:pPr>
          </w:p>
        </w:tc>
        <w:tc>
          <w:tcPr>
            <w:tcW w:w="164" w:type="dxa"/>
            <w:tcBorders>
              <w:top w:val="nil"/>
              <w:left w:val="nil"/>
              <w:bottom w:val="nil"/>
              <w:right w:val="nil"/>
            </w:tcBorders>
            <w:shd w:val="clear" w:color="000000" w:fill="FFFFFF"/>
            <w:noWrap/>
            <w:vAlign w:val="bottom"/>
            <w:hideMark/>
          </w:tcPr>
          <w:p w14:paraId="0F462B60"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11FAA8B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5826453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4F3A7B0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2F2628BE" w14:textId="77777777" w:rsidTr="00E84205">
        <w:trPr>
          <w:trHeight w:val="480"/>
        </w:trPr>
        <w:tc>
          <w:tcPr>
            <w:tcW w:w="4962" w:type="dxa"/>
            <w:tcBorders>
              <w:top w:val="nil"/>
              <w:left w:val="nil"/>
              <w:bottom w:val="nil"/>
              <w:right w:val="nil"/>
            </w:tcBorders>
            <w:shd w:val="clear" w:color="000000" w:fill="FFFFFF"/>
            <w:vAlign w:val="center"/>
            <w:hideMark/>
          </w:tcPr>
          <w:p w14:paraId="150B65D1"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ASSETS</w:t>
            </w:r>
          </w:p>
        </w:tc>
        <w:tc>
          <w:tcPr>
            <w:tcW w:w="890" w:type="dxa"/>
            <w:tcBorders>
              <w:top w:val="nil"/>
              <w:left w:val="nil"/>
              <w:bottom w:val="nil"/>
              <w:right w:val="nil"/>
            </w:tcBorders>
            <w:shd w:val="clear" w:color="000000" w:fill="FFFFFF"/>
            <w:noWrap/>
            <w:vAlign w:val="center"/>
            <w:hideMark/>
          </w:tcPr>
          <w:p w14:paraId="714DC622"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single" w:sz="4" w:space="0" w:color="auto"/>
              <w:left w:val="nil"/>
              <w:bottom w:val="single" w:sz="4" w:space="0" w:color="auto"/>
              <w:right w:val="nil"/>
            </w:tcBorders>
            <w:shd w:val="clear" w:color="000000" w:fill="FFFFFF"/>
            <w:noWrap/>
            <w:vAlign w:val="center"/>
            <w:hideMark/>
          </w:tcPr>
          <w:p w14:paraId="4FB703EE"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6,349</w:t>
            </w:r>
          </w:p>
        </w:tc>
        <w:tc>
          <w:tcPr>
            <w:tcW w:w="164" w:type="dxa"/>
            <w:tcBorders>
              <w:top w:val="single" w:sz="4" w:space="0" w:color="auto"/>
              <w:left w:val="nil"/>
              <w:bottom w:val="single" w:sz="4" w:space="0" w:color="auto"/>
              <w:right w:val="nil"/>
            </w:tcBorders>
            <w:shd w:val="clear" w:color="000000" w:fill="FFFFFF"/>
            <w:noWrap/>
            <w:vAlign w:val="center"/>
            <w:hideMark/>
          </w:tcPr>
          <w:p w14:paraId="3B1EABC9"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22B10E32"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single" w:sz="4" w:space="0" w:color="auto"/>
              <w:left w:val="nil"/>
              <w:bottom w:val="single" w:sz="4" w:space="0" w:color="auto"/>
              <w:right w:val="nil"/>
            </w:tcBorders>
            <w:shd w:val="clear" w:color="000000" w:fill="FFFFFF"/>
            <w:noWrap/>
            <w:vAlign w:val="center"/>
            <w:hideMark/>
          </w:tcPr>
          <w:p w14:paraId="7D7A5546"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6,101</w:t>
            </w:r>
          </w:p>
        </w:tc>
        <w:tc>
          <w:tcPr>
            <w:tcW w:w="164" w:type="dxa"/>
            <w:tcBorders>
              <w:top w:val="nil"/>
              <w:left w:val="nil"/>
              <w:bottom w:val="nil"/>
              <w:right w:val="nil"/>
            </w:tcBorders>
            <w:shd w:val="clear" w:color="000000" w:fill="FFFFFF"/>
            <w:noWrap/>
            <w:vAlign w:val="center"/>
            <w:hideMark/>
          </w:tcPr>
          <w:p w14:paraId="592658B6"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09ACA039" w14:textId="77777777" w:rsidTr="00E84205">
        <w:trPr>
          <w:trHeight w:val="330"/>
        </w:trPr>
        <w:tc>
          <w:tcPr>
            <w:tcW w:w="4962" w:type="dxa"/>
            <w:tcBorders>
              <w:top w:val="nil"/>
              <w:left w:val="nil"/>
              <w:bottom w:val="nil"/>
              <w:right w:val="nil"/>
            </w:tcBorders>
            <w:shd w:val="clear" w:color="000000" w:fill="FFFFFF"/>
            <w:vAlign w:val="bottom"/>
            <w:hideMark/>
          </w:tcPr>
          <w:p w14:paraId="65F5C6B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890" w:type="dxa"/>
            <w:tcBorders>
              <w:top w:val="nil"/>
              <w:left w:val="nil"/>
              <w:bottom w:val="nil"/>
              <w:right w:val="nil"/>
            </w:tcBorders>
            <w:shd w:val="clear" w:color="000000" w:fill="FFFFFF"/>
            <w:noWrap/>
            <w:vAlign w:val="bottom"/>
            <w:hideMark/>
          </w:tcPr>
          <w:p w14:paraId="20D4E4BF"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225848CF"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2FEDE360"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543899DD"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1A7391C6"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5EAC0E47"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0E6D1B58" w14:textId="77777777" w:rsidTr="00E84205">
        <w:trPr>
          <w:trHeight w:val="330"/>
        </w:trPr>
        <w:tc>
          <w:tcPr>
            <w:tcW w:w="4962" w:type="dxa"/>
            <w:tcBorders>
              <w:top w:val="nil"/>
              <w:left w:val="nil"/>
              <w:bottom w:val="nil"/>
              <w:right w:val="nil"/>
            </w:tcBorders>
            <w:shd w:val="clear" w:color="000000" w:fill="FFFFFF"/>
            <w:vAlign w:val="bottom"/>
            <w:hideMark/>
          </w:tcPr>
          <w:p w14:paraId="3E8B69CC"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LIABILITIES AND FUND BALANCES</w:t>
            </w:r>
          </w:p>
        </w:tc>
        <w:tc>
          <w:tcPr>
            <w:tcW w:w="890" w:type="dxa"/>
            <w:tcBorders>
              <w:top w:val="nil"/>
              <w:left w:val="nil"/>
              <w:bottom w:val="nil"/>
              <w:right w:val="nil"/>
            </w:tcBorders>
            <w:shd w:val="clear" w:color="000000" w:fill="FFFFFF"/>
            <w:noWrap/>
            <w:vAlign w:val="bottom"/>
            <w:hideMark/>
          </w:tcPr>
          <w:p w14:paraId="05668EB4"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4A7D4FD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446C59F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0BC3824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66692D03"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6BF0C2C6"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0F7CD9D9" w14:textId="77777777" w:rsidTr="00E84205">
        <w:trPr>
          <w:trHeight w:val="330"/>
        </w:trPr>
        <w:tc>
          <w:tcPr>
            <w:tcW w:w="4962" w:type="dxa"/>
            <w:tcBorders>
              <w:top w:val="nil"/>
              <w:left w:val="nil"/>
              <w:bottom w:val="nil"/>
              <w:right w:val="nil"/>
            </w:tcBorders>
            <w:shd w:val="clear" w:color="000000" w:fill="FFFFFF"/>
            <w:vAlign w:val="bottom"/>
            <w:hideMark/>
          </w:tcPr>
          <w:p w14:paraId="0ABECABA"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Current liabilities</w:t>
            </w:r>
          </w:p>
        </w:tc>
        <w:tc>
          <w:tcPr>
            <w:tcW w:w="890" w:type="dxa"/>
            <w:tcBorders>
              <w:top w:val="nil"/>
              <w:left w:val="nil"/>
              <w:bottom w:val="nil"/>
              <w:right w:val="nil"/>
            </w:tcBorders>
            <w:shd w:val="clear" w:color="000000" w:fill="FFFFFF"/>
            <w:noWrap/>
            <w:vAlign w:val="bottom"/>
            <w:hideMark/>
          </w:tcPr>
          <w:p w14:paraId="5473E72F"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7D78D6F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1FDB4986"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3AA06F53"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37DB8E3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7CEC476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60A9222C" w14:textId="77777777" w:rsidTr="00E84205">
        <w:trPr>
          <w:trHeight w:val="339"/>
        </w:trPr>
        <w:tc>
          <w:tcPr>
            <w:tcW w:w="4962" w:type="dxa"/>
            <w:tcBorders>
              <w:top w:val="nil"/>
              <w:left w:val="nil"/>
              <w:bottom w:val="nil"/>
              <w:right w:val="nil"/>
            </w:tcBorders>
            <w:shd w:val="clear" w:color="000000" w:fill="FFFFFF"/>
            <w:vAlign w:val="bottom"/>
            <w:hideMark/>
          </w:tcPr>
          <w:p w14:paraId="43BE049E" w14:textId="7E4A057D" w:rsidR="003F135F" w:rsidRPr="003F135F" w:rsidRDefault="003F135F" w:rsidP="003F135F">
            <w:pPr>
              <w:ind w:left="0" w:firstLine="0"/>
              <w:rPr>
                <w:rFonts w:eastAsia="Times New Roman" w:cs="Calibri"/>
                <w:lang w:eastAsia="en-GB"/>
              </w:rPr>
            </w:pPr>
            <w:r w:rsidRPr="003F135F">
              <w:rPr>
                <w:rFonts w:eastAsia="Times New Roman" w:cs="Calibri"/>
                <w:lang w:eastAsia="en-GB"/>
              </w:rPr>
              <w:t>Amount owed to IUCN</w:t>
            </w:r>
          </w:p>
        </w:tc>
        <w:tc>
          <w:tcPr>
            <w:tcW w:w="890" w:type="dxa"/>
            <w:tcBorders>
              <w:top w:val="nil"/>
              <w:left w:val="nil"/>
              <w:bottom w:val="nil"/>
              <w:right w:val="nil"/>
            </w:tcBorders>
            <w:shd w:val="clear" w:color="000000" w:fill="FFFFFF"/>
            <w:noWrap/>
            <w:vAlign w:val="bottom"/>
            <w:hideMark/>
          </w:tcPr>
          <w:p w14:paraId="6BC3F05F"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56E95795"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367</w:t>
            </w:r>
          </w:p>
        </w:tc>
        <w:tc>
          <w:tcPr>
            <w:tcW w:w="164" w:type="dxa"/>
            <w:tcBorders>
              <w:top w:val="nil"/>
              <w:left w:val="nil"/>
              <w:bottom w:val="nil"/>
              <w:right w:val="nil"/>
            </w:tcBorders>
            <w:shd w:val="clear" w:color="000000" w:fill="FFFFFF"/>
            <w:noWrap/>
            <w:vAlign w:val="bottom"/>
            <w:hideMark/>
          </w:tcPr>
          <w:p w14:paraId="50D1DEB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1E593E43"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60B663E2"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338</w:t>
            </w:r>
          </w:p>
        </w:tc>
        <w:tc>
          <w:tcPr>
            <w:tcW w:w="164" w:type="dxa"/>
            <w:tcBorders>
              <w:top w:val="nil"/>
              <w:left w:val="nil"/>
              <w:bottom w:val="nil"/>
              <w:right w:val="nil"/>
            </w:tcBorders>
            <w:shd w:val="clear" w:color="000000" w:fill="FFFFFF"/>
            <w:noWrap/>
            <w:vAlign w:val="bottom"/>
            <w:hideMark/>
          </w:tcPr>
          <w:p w14:paraId="5022C33F"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4F434C21" w14:textId="77777777" w:rsidTr="00E84205">
        <w:trPr>
          <w:trHeight w:val="330"/>
        </w:trPr>
        <w:tc>
          <w:tcPr>
            <w:tcW w:w="4962" w:type="dxa"/>
            <w:tcBorders>
              <w:top w:val="nil"/>
              <w:left w:val="nil"/>
              <w:bottom w:val="nil"/>
              <w:right w:val="nil"/>
            </w:tcBorders>
            <w:shd w:val="clear" w:color="000000" w:fill="FFFFFF"/>
            <w:vAlign w:val="bottom"/>
            <w:hideMark/>
          </w:tcPr>
          <w:p w14:paraId="5390ED77" w14:textId="78C1935A" w:rsidR="003F135F" w:rsidRPr="003F135F" w:rsidRDefault="003F135F" w:rsidP="003F135F">
            <w:pPr>
              <w:ind w:left="0" w:firstLine="0"/>
              <w:rPr>
                <w:rFonts w:eastAsia="Times New Roman" w:cs="Calibri"/>
                <w:lang w:eastAsia="en-GB"/>
              </w:rPr>
            </w:pPr>
            <w:r w:rsidRPr="003F135F">
              <w:rPr>
                <w:rFonts w:eastAsia="Times New Roman" w:cs="Calibri"/>
                <w:lang w:eastAsia="en-GB"/>
              </w:rPr>
              <w:t>Other Payables</w:t>
            </w:r>
          </w:p>
        </w:tc>
        <w:tc>
          <w:tcPr>
            <w:tcW w:w="890" w:type="dxa"/>
            <w:tcBorders>
              <w:top w:val="nil"/>
              <w:left w:val="nil"/>
              <w:bottom w:val="nil"/>
              <w:right w:val="nil"/>
            </w:tcBorders>
            <w:shd w:val="clear" w:color="000000" w:fill="FFFFFF"/>
            <w:noWrap/>
            <w:vAlign w:val="bottom"/>
            <w:hideMark/>
          </w:tcPr>
          <w:p w14:paraId="79F2D541"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8</w:t>
            </w:r>
          </w:p>
        </w:tc>
        <w:tc>
          <w:tcPr>
            <w:tcW w:w="1215" w:type="dxa"/>
            <w:tcBorders>
              <w:top w:val="nil"/>
              <w:left w:val="nil"/>
              <w:bottom w:val="nil"/>
              <w:right w:val="nil"/>
            </w:tcBorders>
            <w:shd w:val="clear" w:color="000000" w:fill="FFFFFF"/>
            <w:noWrap/>
            <w:vAlign w:val="bottom"/>
            <w:hideMark/>
          </w:tcPr>
          <w:p w14:paraId="73EC1572"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749</w:t>
            </w:r>
          </w:p>
        </w:tc>
        <w:tc>
          <w:tcPr>
            <w:tcW w:w="164" w:type="dxa"/>
            <w:tcBorders>
              <w:top w:val="nil"/>
              <w:left w:val="nil"/>
              <w:bottom w:val="nil"/>
              <w:right w:val="nil"/>
            </w:tcBorders>
            <w:shd w:val="clear" w:color="000000" w:fill="FFFFFF"/>
            <w:noWrap/>
            <w:vAlign w:val="bottom"/>
            <w:hideMark/>
          </w:tcPr>
          <w:p w14:paraId="42FFB9EA"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678C177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046CA7FE"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827</w:t>
            </w:r>
          </w:p>
        </w:tc>
        <w:tc>
          <w:tcPr>
            <w:tcW w:w="164" w:type="dxa"/>
            <w:tcBorders>
              <w:top w:val="nil"/>
              <w:left w:val="nil"/>
              <w:bottom w:val="nil"/>
              <w:right w:val="nil"/>
            </w:tcBorders>
            <w:shd w:val="clear" w:color="000000" w:fill="FFFFFF"/>
            <w:noWrap/>
            <w:vAlign w:val="bottom"/>
            <w:hideMark/>
          </w:tcPr>
          <w:p w14:paraId="57756F7F"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0356AEF2" w14:textId="77777777" w:rsidTr="00E84205">
        <w:trPr>
          <w:trHeight w:val="339"/>
        </w:trPr>
        <w:tc>
          <w:tcPr>
            <w:tcW w:w="4962" w:type="dxa"/>
            <w:tcBorders>
              <w:top w:val="nil"/>
              <w:left w:val="nil"/>
              <w:bottom w:val="nil"/>
              <w:right w:val="nil"/>
            </w:tcBorders>
            <w:shd w:val="clear" w:color="000000" w:fill="FFFFFF"/>
            <w:vAlign w:val="bottom"/>
            <w:hideMark/>
          </w:tcPr>
          <w:p w14:paraId="63CC6487" w14:textId="353EE925" w:rsidR="003F135F" w:rsidRPr="003F135F" w:rsidRDefault="003F135F" w:rsidP="003F135F">
            <w:pPr>
              <w:ind w:left="0" w:firstLine="0"/>
              <w:rPr>
                <w:rFonts w:eastAsia="Times New Roman" w:cs="Calibri"/>
                <w:lang w:eastAsia="en-GB"/>
              </w:rPr>
            </w:pPr>
            <w:r w:rsidRPr="003F135F">
              <w:rPr>
                <w:rFonts w:eastAsia="Times New Roman" w:cs="Calibri"/>
                <w:lang w:eastAsia="en-GB"/>
              </w:rPr>
              <w:t>Accrued liabilities</w:t>
            </w:r>
          </w:p>
        </w:tc>
        <w:tc>
          <w:tcPr>
            <w:tcW w:w="890" w:type="dxa"/>
            <w:tcBorders>
              <w:top w:val="nil"/>
              <w:left w:val="nil"/>
              <w:bottom w:val="nil"/>
              <w:right w:val="nil"/>
            </w:tcBorders>
            <w:shd w:val="clear" w:color="000000" w:fill="FFFFFF"/>
            <w:noWrap/>
            <w:vAlign w:val="bottom"/>
            <w:hideMark/>
          </w:tcPr>
          <w:p w14:paraId="33398761"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single" w:sz="4" w:space="0" w:color="auto"/>
              <w:right w:val="nil"/>
            </w:tcBorders>
            <w:shd w:val="clear" w:color="000000" w:fill="FFFFFF"/>
            <w:noWrap/>
            <w:vAlign w:val="bottom"/>
            <w:hideMark/>
          </w:tcPr>
          <w:p w14:paraId="410B6323"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71</w:t>
            </w:r>
          </w:p>
        </w:tc>
        <w:tc>
          <w:tcPr>
            <w:tcW w:w="164" w:type="dxa"/>
            <w:tcBorders>
              <w:top w:val="nil"/>
              <w:left w:val="nil"/>
              <w:bottom w:val="single" w:sz="4" w:space="0" w:color="auto"/>
              <w:right w:val="nil"/>
            </w:tcBorders>
            <w:shd w:val="clear" w:color="000000" w:fill="FFFFFF"/>
            <w:noWrap/>
            <w:vAlign w:val="bottom"/>
            <w:hideMark/>
          </w:tcPr>
          <w:p w14:paraId="6CE719D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14:paraId="78D65A8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14:paraId="525C4476"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155</w:t>
            </w:r>
          </w:p>
        </w:tc>
        <w:tc>
          <w:tcPr>
            <w:tcW w:w="164" w:type="dxa"/>
            <w:tcBorders>
              <w:top w:val="nil"/>
              <w:left w:val="nil"/>
              <w:bottom w:val="nil"/>
              <w:right w:val="nil"/>
            </w:tcBorders>
            <w:shd w:val="clear" w:color="000000" w:fill="FFFFFF"/>
            <w:noWrap/>
            <w:vAlign w:val="bottom"/>
            <w:hideMark/>
          </w:tcPr>
          <w:p w14:paraId="38BB451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2E46E661" w14:textId="77777777" w:rsidTr="00E84205">
        <w:trPr>
          <w:trHeight w:val="330"/>
        </w:trPr>
        <w:tc>
          <w:tcPr>
            <w:tcW w:w="4962" w:type="dxa"/>
            <w:tcBorders>
              <w:top w:val="nil"/>
              <w:left w:val="nil"/>
              <w:bottom w:val="nil"/>
              <w:right w:val="nil"/>
            </w:tcBorders>
            <w:shd w:val="clear" w:color="000000" w:fill="FFFFFF"/>
            <w:vAlign w:val="bottom"/>
            <w:hideMark/>
          </w:tcPr>
          <w:p w14:paraId="2F822BBE"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current liabilities</w:t>
            </w:r>
          </w:p>
        </w:tc>
        <w:tc>
          <w:tcPr>
            <w:tcW w:w="890" w:type="dxa"/>
            <w:tcBorders>
              <w:top w:val="nil"/>
              <w:left w:val="nil"/>
              <w:bottom w:val="nil"/>
              <w:right w:val="nil"/>
            </w:tcBorders>
            <w:shd w:val="clear" w:color="000000" w:fill="FFFFFF"/>
            <w:noWrap/>
            <w:vAlign w:val="bottom"/>
            <w:hideMark/>
          </w:tcPr>
          <w:p w14:paraId="2FD4E9D9"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161BEACC"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1,187</w:t>
            </w:r>
          </w:p>
        </w:tc>
        <w:tc>
          <w:tcPr>
            <w:tcW w:w="164" w:type="dxa"/>
            <w:tcBorders>
              <w:top w:val="nil"/>
              <w:left w:val="nil"/>
              <w:bottom w:val="nil"/>
              <w:right w:val="nil"/>
            </w:tcBorders>
            <w:shd w:val="clear" w:color="000000" w:fill="FFFFFF"/>
            <w:noWrap/>
            <w:vAlign w:val="bottom"/>
            <w:hideMark/>
          </w:tcPr>
          <w:p w14:paraId="480B5A18"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14:paraId="768C1738"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14:paraId="7763AAA3"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1,320</w:t>
            </w:r>
          </w:p>
        </w:tc>
        <w:tc>
          <w:tcPr>
            <w:tcW w:w="164" w:type="dxa"/>
            <w:tcBorders>
              <w:top w:val="nil"/>
              <w:left w:val="nil"/>
              <w:bottom w:val="nil"/>
              <w:right w:val="nil"/>
            </w:tcBorders>
            <w:shd w:val="clear" w:color="000000" w:fill="FFFFFF"/>
            <w:noWrap/>
            <w:vAlign w:val="bottom"/>
            <w:hideMark/>
          </w:tcPr>
          <w:p w14:paraId="4596339D"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7A4BE73F" w14:textId="77777777" w:rsidTr="00E84205">
        <w:trPr>
          <w:trHeight w:val="330"/>
        </w:trPr>
        <w:tc>
          <w:tcPr>
            <w:tcW w:w="4962" w:type="dxa"/>
            <w:tcBorders>
              <w:top w:val="nil"/>
              <w:left w:val="nil"/>
              <w:bottom w:val="nil"/>
              <w:right w:val="nil"/>
            </w:tcBorders>
            <w:shd w:val="clear" w:color="000000" w:fill="FFFFFF"/>
            <w:vAlign w:val="bottom"/>
            <w:hideMark/>
          </w:tcPr>
          <w:p w14:paraId="7100D0A1"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14:paraId="4750B5EF"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7E607EFE"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56F4C910"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07D24F25"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2A32FA3C"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00B6A7B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2C8684D9" w14:textId="77777777" w:rsidTr="00E84205">
        <w:trPr>
          <w:trHeight w:val="330"/>
        </w:trPr>
        <w:tc>
          <w:tcPr>
            <w:tcW w:w="4962" w:type="dxa"/>
            <w:tcBorders>
              <w:top w:val="nil"/>
              <w:left w:val="nil"/>
              <w:bottom w:val="nil"/>
              <w:right w:val="nil"/>
            </w:tcBorders>
            <w:shd w:val="clear" w:color="000000" w:fill="FFFFFF"/>
            <w:vAlign w:val="bottom"/>
            <w:hideMark/>
          </w:tcPr>
          <w:p w14:paraId="4CF353B3"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Provisions</w:t>
            </w:r>
          </w:p>
        </w:tc>
        <w:tc>
          <w:tcPr>
            <w:tcW w:w="890" w:type="dxa"/>
            <w:tcBorders>
              <w:top w:val="nil"/>
              <w:left w:val="nil"/>
              <w:bottom w:val="nil"/>
              <w:right w:val="nil"/>
            </w:tcBorders>
            <w:shd w:val="clear" w:color="000000" w:fill="FFFFFF"/>
            <w:noWrap/>
            <w:vAlign w:val="bottom"/>
            <w:hideMark/>
          </w:tcPr>
          <w:p w14:paraId="2DDECA21"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56FD0E2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4514066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2C46149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17903AF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133327B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31173F0C" w14:textId="77777777" w:rsidTr="00E84205">
        <w:trPr>
          <w:trHeight w:val="330"/>
        </w:trPr>
        <w:tc>
          <w:tcPr>
            <w:tcW w:w="4962" w:type="dxa"/>
            <w:tcBorders>
              <w:top w:val="nil"/>
              <w:left w:val="nil"/>
              <w:bottom w:val="nil"/>
              <w:right w:val="nil"/>
            </w:tcBorders>
            <w:shd w:val="clear" w:color="000000" w:fill="FFFFFF"/>
            <w:vAlign w:val="bottom"/>
            <w:hideMark/>
          </w:tcPr>
          <w:p w14:paraId="3FA3409D" w14:textId="4982F740" w:rsidR="003F135F" w:rsidRPr="003F135F" w:rsidRDefault="003F135F" w:rsidP="003F135F">
            <w:pPr>
              <w:ind w:left="0" w:firstLine="0"/>
              <w:rPr>
                <w:rFonts w:eastAsia="Times New Roman" w:cs="Calibri"/>
                <w:lang w:eastAsia="en-GB"/>
              </w:rPr>
            </w:pPr>
            <w:r w:rsidRPr="003F135F">
              <w:rPr>
                <w:rFonts w:eastAsia="Times New Roman" w:cs="Calibri"/>
                <w:lang w:eastAsia="en-GB"/>
              </w:rPr>
              <w:t>Staff repatriation</w:t>
            </w:r>
          </w:p>
        </w:tc>
        <w:tc>
          <w:tcPr>
            <w:tcW w:w="890" w:type="dxa"/>
            <w:tcBorders>
              <w:top w:val="nil"/>
              <w:left w:val="nil"/>
              <w:bottom w:val="nil"/>
              <w:right w:val="nil"/>
            </w:tcBorders>
            <w:shd w:val="clear" w:color="000000" w:fill="FFFFFF"/>
            <w:noWrap/>
            <w:vAlign w:val="bottom"/>
            <w:hideMark/>
          </w:tcPr>
          <w:p w14:paraId="74F2A152"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5</w:t>
            </w:r>
          </w:p>
        </w:tc>
        <w:tc>
          <w:tcPr>
            <w:tcW w:w="1215" w:type="dxa"/>
            <w:tcBorders>
              <w:top w:val="nil"/>
              <w:left w:val="nil"/>
              <w:bottom w:val="nil"/>
              <w:right w:val="nil"/>
            </w:tcBorders>
            <w:shd w:val="clear" w:color="000000" w:fill="FFFFFF"/>
            <w:noWrap/>
            <w:vAlign w:val="bottom"/>
            <w:hideMark/>
          </w:tcPr>
          <w:p w14:paraId="1B23C246"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150</w:t>
            </w:r>
          </w:p>
        </w:tc>
        <w:tc>
          <w:tcPr>
            <w:tcW w:w="164" w:type="dxa"/>
            <w:tcBorders>
              <w:top w:val="nil"/>
              <w:left w:val="nil"/>
              <w:bottom w:val="nil"/>
              <w:right w:val="nil"/>
            </w:tcBorders>
            <w:shd w:val="clear" w:color="000000" w:fill="FFFFFF"/>
            <w:noWrap/>
            <w:vAlign w:val="bottom"/>
            <w:hideMark/>
          </w:tcPr>
          <w:p w14:paraId="45E0B818"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5903413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6CE8D1C9"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164</w:t>
            </w:r>
          </w:p>
        </w:tc>
        <w:tc>
          <w:tcPr>
            <w:tcW w:w="164" w:type="dxa"/>
            <w:tcBorders>
              <w:top w:val="nil"/>
              <w:left w:val="nil"/>
              <w:bottom w:val="nil"/>
              <w:right w:val="nil"/>
            </w:tcBorders>
            <w:shd w:val="clear" w:color="000000" w:fill="FFFFFF"/>
            <w:noWrap/>
            <w:vAlign w:val="bottom"/>
            <w:hideMark/>
          </w:tcPr>
          <w:p w14:paraId="3AC4F5D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6012525C" w14:textId="77777777" w:rsidTr="00E84205">
        <w:trPr>
          <w:trHeight w:val="330"/>
        </w:trPr>
        <w:tc>
          <w:tcPr>
            <w:tcW w:w="4962" w:type="dxa"/>
            <w:tcBorders>
              <w:top w:val="nil"/>
              <w:left w:val="nil"/>
              <w:bottom w:val="nil"/>
              <w:right w:val="nil"/>
            </w:tcBorders>
            <w:shd w:val="clear" w:color="000000" w:fill="FFFFFF"/>
            <w:vAlign w:val="bottom"/>
            <w:hideMark/>
          </w:tcPr>
          <w:p w14:paraId="63DA8D51" w14:textId="40541EAD" w:rsidR="003F135F" w:rsidRPr="003F135F" w:rsidRDefault="003F135F" w:rsidP="003F135F">
            <w:pPr>
              <w:ind w:left="0" w:firstLine="0"/>
              <w:rPr>
                <w:rFonts w:eastAsia="Times New Roman" w:cs="Calibri"/>
                <w:lang w:eastAsia="en-GB"/>
              </w:rPr>
            </w:pPr>
            <w:r w:rsidRPr="003F135F">
              <w:rPr>
                <w:rFonts w:eastAsia="Times New Roman" w:cs="Calibri"/>
                <w:lang w:eastAsia="en-GB"/>
              </w:rPr>
              <w:t xml:space="preserve">Staff leave </w:t>
            </w:r>
          </w:p>
        </w:tc>
        <w:tc>
          <w:tcPr>
            <w:tcW w:w="890" w:type="dxa"/>
            <w:tcBorders>
              <w:top w:val="nil"/>
              <w:left w:val="nil"/>
              <w:bottom w:val="nil"/>
              <w:right w:val="nil"/>
            </w:tcBorders>
            <w:shd w:val="clear" w:color="000000" w:fill="FFFFFF"/>
            <w:noWrap/>
            <w:vAlign w:val="bottom"/>
            <w:hideMark/>
          </w:tcPr>
          <w:p w14:paraId="526C5416"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5</w:t>
            </w:r>
          </w:p>
        </w:tc>
        <w:tc>
          <w:tcPr>
            <w:tcW w:w="1215" w:type="dxa"/>
            <w:tcBorders>
              <w:top w:val="nil"/>
              <w:left w:val="nil"/>
              <w:bottom w:val="nil"/>
              <w:right w:val="nil"/>
            </w:tcBorders>
            <w:shd w:val="clear" w:color="000000" w:fill="FFFFFF"/>
            <w:noWrap/>
            <w:vAlign w:val="bottom"/>
            <w:hideMark/>
          </w:tcPr>
          <w:p w14:paraId="20E2ACE8"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137</w:t>
            </w:r>
          </w:p>
        </w:tc>
        <w:tc>
          <w:tcPr>
            <w:tcW w:w="164" w:type="dxa"/>
            <w:tcBorders>
              <w:top w:val="nil"/>
              <w:left w:val="nil"/>
              <w:bottom w:val="nil"/>
              <w:right w:val="nil"/>
            </w:tcBorders>
            <w:shd w:val="clear" w:color="000000" w:fill="FFFFFF"/>
            <w:noWrap/>
            <w:vAlign w:val="bottom"/>
            <w:hideMark/>
          </w:tcPr>
          <w:p w14:paraId="330FFCC0"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07601BA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0D10CD14"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141</w:t>
            </w:r>
          </w:p>
        </w:tc>
        <w:tc>
          <w:tcPr>
            <w:tcW w:w="164" w:type="dxa"/>
            <w:tcBorders>
              <w:top w:val="nil"/>
              <w:left w:val="nil"/>
              <w:bottom w:val="nil"/>
              <w:right w:val="nil"/>
            </w:tcBorders>
            <w:shd w:val="clear" w:color="000000" w:fill="FFFFFF"/>
            <w:noWrap/>
            <w:vAlign w:val="bottom"/>
            <w:hideMark/>
          </w:tcPr>
          <w:p w14:paraId="589826B8"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6587FC98" w14:textId="77777777" w:rsidTr="00E84205">
        <w:trPr>
          <w:trHeight w:val="330"/>
        </w:trPr>
        <w:tc>
          <w:tcPr>
            <w:tcW w:w="4962" w:type="dxa"/>
            <w:tcBorders>
              <w:top w:val="nil"/>
              <w:left w:val="nil"/>
              <w:bottom w:val="nil"/>
              <w:right w:val="nil"/>
            </w:tcBorders>
            <w:shd w:val="clear" w:color="000000" w:fill="FFFFFF"/>
            <w:vAlign w:val="bottom"/>
            <w:hideMark/>
          </w:tcPr>
          <w:p w14:paraId="39EE7461" w14:textId="7629B72C" w:rsidR="003F135F" w:rsidRPr="003F135F" w:rsidRDefault="003F135F" w:rsidP="003F135F">
            <w:pPr>
              <w:ind w:left="0" w:firstLine="0"/>
              <w:rPr>
                <w:rFonts w:eastAsia="Times New Roman" w:cs="Calibri"/>
                <w:lang w:eastAsia="en-GB"/>
              </w:rPr>
            </w:pPr>
            <w:r w:rsidRPr="003F135F">
              <w:rPr>
                <w:rFonts w:eastAsia="Times New Roman" w:cs="Calibri"/>
                <w:lang w:eastAsia="en-GB"/>
              </w:rPr>
              <w:t>Staff termination</w:t>
            </w:r>
          </w:p>
        </w:tc>
        <w:tc>
          <w:tcPr>
            <w:tcW w:w="890" w:type="dxa"/>
            <w:tcBorders>
              <w:top w:val="nil"/>
              <w:left w:val="nil"/>
              <w:bottom w:val="nil"/>
              <w:right w:val="nil"/>
            </w:tcBorders>
            <w:shd w:val="clear" w:color="000000" w:fill="FFFFFF"/>
            <w:noWrap/>
            <w:vAlign w:val="bottom"/>
            <w:hideMark/>
          </w:tcPr>
          <w:p w14:paraId="0BF388BB"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5</w:t>
            </w:r>
          </w:p>
        </w:tc>
        <w:tc>
          <w:tcPr>
            <w:tcW w:w="1215" w:type="dxa"/>
            <w:tcBorders>
              <w:top w:val="nil"/>
              <w:left w:val="nil"/>
              <w:bottom w:val="single" w:sz="4" w:space="0" w:color="auto"/>
              <w:right w:val="nil"/>
            </w:tcBorders>
            <w:shd w:val="clear" w:color="000000" w:fill="FFFFFF"/>
            <w:noWrap/>
            <w:vAlign w:val="bottom"/>
            <w:hideMark/>
          </w:tcPr>
          <w:p w14:paraId="18D11918"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154</w:t>
            </w:r>
          </w:p>
        </w:tc>
        <w:tc>
          <w:tcPr>
            <w:tcW w:w="164" w:type="dxa"/>
            <w:tcBorders>
              <w:top w:val="nil"/>
              <w:left w:val="nil"/>
              <w:bottom w:val="single" w:sz="4" w:space="0" w:color="auto"/>
              <w:right w:val="nil"/>
            </w:tcBorders>
            <w:shd w:val="clear" w:color="000000" w:fill="FFFFFF"/>
            <w:noWrap/>
            <w:vAlign w:val="bottom"/>
            <w:hideMark/>
          </w:tcPr>
          <w:p w14:paraId="28BC792C"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14:paraId="61816373"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14:paraId="3BD12425"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147</w:t>
            </w:r>
          </w:p>
        </w:tc>
        <w:tc>
          <w:tcPr>
            <w:tcW w:w="164" w:type="dxa"/>
            <w:tcBorders>
              <w:top w:val="nil"/>
              <w:left w:val="nil"/>
              <w:bottom w:val="nil"/>
              <w:right w:val="nil"/>
            </w:tcBorders>
            <w:shd w:val="clear" w:color="000000" w:fill="FFFFFF"/>
            <w:noWrap/>
            <w:vAlign w:val="bottom"/>
            <w:hideMark/>
          </w:tcPr>
          <w:p w14:paraId="61647276"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59297D70" w14:textId="77777777" w:rsidTr="00E84205">
        <w:trPr>
          <w:trHeight w:val="330"/>
        </w:trPr>
        <w:tc>
          <w:tcPr>
            <w:tcW w:w="4962" w:type="dxa"/>
            <w:tcBorders>
              <w:top w:val="nil"/>
              <w:left w:val="nil"/>
              <w:bottom w:val="nil"/>
              <w:right w:val="nil"/>
            </w:tcBorders>
            <w:shd w:val="clear" w:color="000000" w:fill="FFFFFF"/>
            <w:vAlign w:val="bottom"/>
            <w:hideMark/>
          </w:tcPr>
          <w:p w14:paraId="2CF24A5B"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provisions</w:t>
            </w:r>
          </w:p>
        </w:tc>
        <w:tc>
          <w:tcPr>
            <w:tcW w:w="890" w:type="dxa"/>
            <w:tcBorders>
              <w:top w:val="nil"/>
              <w:left w:val="nil"/>
              <w:bottom w:val="nil"/>
              <w:right w:val="nil"/>
            </w:tcBorders>
            <w:shd w:val="clear" w:color="000000" w:fill="FFFFFF"/>
            <w:noWrap/>
            <w:vAlign w:val="bottom"/>
            <w:hideMark/>
          </w:tcPr>
          <w:p w14:paraId="661B578D"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41FABBE7"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441</w:t>
            </w:r>
          </w:p>
        </w:tc>
        <w:tc>
          <w:tcPr>
            <w:tcW w:w="164" w:type="dxa"/>
            <w:tcBorders>
              <w:top w:val="nil"/>
              <w:left w:val="nil"/>
              <w:bottom w:val="nil"/>
              <w:right w:val="nil"/>
            </w:tcBorders>
            <w:shd w:val="clear" w:color="000000" w:fill="FFFFFF"/>
            <w:noWrap/>
            <w:vAlign w:val="bottom"/>
            <w:hideMark/>
          </w:tcPr>
          <w:p w14:paraId="4B07542D"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14:paraId="73351238"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14:paraId="5608E04F"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452</w:t>
            </w:r>
          </w:p>
        </w:tc>
        <w:tc>
          <w:tcPr>
            <w:tcW w:w="164" w:type="dxa"/>
            <w:tcBorders>
              <w:top w:val="nil"/>
              <w:left w:val="nil"/>
              <w:bottom w:val="nil"/>
              <w:right w:val="nil"/>
            </w:tcBorders>
            <w:shd w:val="clear" w:color="000000" w:fill="FFFFFF"/>
            <w:noWrap/>
            <w:vAlign w:val="bottom"/>
            <w:hideMark/>
          </w:tcPr>
          <w:p w14:paraId="2D921B2E"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639BC391" w14:textId="77777777" w:rsidTr="00E84205">
        <w:trPr>
          <w:trHeight w:val="330"/>
        </w:trPr>
        <w:tc>
          <w:tcPr>
            <w:tcW w:w="4962" w:type="dxa"/>
            <w:tcBorders>
              <w:top w:val="nil"/>
              <w:left w:val="nil"/>
              <w:bottom w:val="nil"/>
              <w:right w:val="nil"/>
            </w:tcBorders>
            <w:shd w:val="clear" w:color="000000" w:fill="FFFFFF"/>
            <w:vAlign w:val="bottom"/>
            <w:hideMark/>
          </w:tcPr>
          <w:p w14:paraId="27BE27B4"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14:paraId="4505DB17"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0CB2CBC3"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14:paraId="423FB97A"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14:paraId="21BB5BA8"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14:paraId="2BB809CF"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14:paraId="4E5D1281"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4603F650" w14:textId="77777777" w:rsidTr="00E84205">
        <w:trPr>
          <w:trHeight w:val="330"/>
        </w:trPr>
        <w:tc>
          <w:tcPr>
            <w:tcW w:w="4962" w:type="dxa"/>
            <w:tcBorders>
              <w:top w:val="nil"/>
              <w:left w:val="nil"/>
              <w:bottom w:val="nil"/>
              <w:right w:val="nil"/>
            </w:tcBorders>
            <w:shd w:val="clear" w:color="000000" w:fill="FFFFFF"/>
            <w:vAlign w:val="bottom"/>
            <w:hideMark/>
          </w:tcPr>
          <w:p w14:paraId="69AA704F"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Fund and Reserves</w:t>
            </w:r>
          </w:p>
        </w:tc>
        <w:tc>
          <w:tcPr>
            <w:tcW w:w="890" w:type="dxa"/>
            <w:tcBorders>
              <w:top w:val="nil"/>
              <w:left w:val="nil"/>
              <w:bottom w:val="nil"/>
              <w:right w:val="nil"/>
            </w:tcBorders>
            <w:shd w:val="clear" w:color="000000" w:fill="FFFFFF"/>
            <w:noWrap/>
            <w:vAlign w:val="bottom"/>
            <w:hideMark/>
          </w:tcPr>
          <w:p w14:paraId="4AA37059"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7B19E483"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2B608228"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306E0915"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085F283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64" w:type="dxa"/>
            <w:tcBorders>
              <w:top w:val="nil"/>
              <w:left w:val="nil"/>
              <w:bottom w:val="nil"/>
              <w:right w:val="nil"/>
            </w:tcBorders>
            <w:shd w:val="clear" w:color="000000" w:fill="FFFFFF"/>
            <w:noWrap/>
            <w:vAlign w:val="bottom"/>
            <w:hideMark/>
          </w:tcPr>
          <w:p w14:paraId="4596D205"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6E5634BD" w14:textId="77777777" w:rsidTr="00E84205">
        <w:trPr>
          <w:trHeight w:val="330"/>
        </w:trPr>
        <w:tc>
          <w:tcPr>
            <w:tcW w:w="4962" w:type="dxa"/>
            <w:tcBorders>
              <w:top w:val="nil"/>
              <w:left w:val="nil"/>
              <w:bottom w:val="nil"/>
              <w:right w:val="nil"/>
            </w:tcBorders>
            <w:shd w:val="clear" w:color="000000" w:fill="FFFFFF"/>
            <w:vAlign w:val="bottom"/>
            <w:hideMark/>
          </w:tcPr>
          <w:p w14:paraId="210D3581" w14:textId="39651B81" w:rsidR="003F135F" w:rsidRPr="003F135F" w:rsidRDefault="003F135F" w:rsidP="003F135F">
            <w:pPr>
              <w:ind w:left="0" w:firstLine="0"/>
              <w:rPr>
                <w:rFonts w:eastAsia="Times New Roman" w:cs="Calibri"/>
                <w:lang w:eastAsia="en-GB"/>
              </w:rPr>
            </w:pPr>
            <w:r w:rsidRPr="003F135F">
              <w:rPr>
                <w:rFonts w:eastAsia="Times New Roman" w:cs="Calibri"/>
                <w:lang w:eastAsia="en-GB"/>
              </w:rPr>
              <w:t>Core reserve fund</w:t>
            </w:r>
          </w:p>
        </w:tc>
        <w:tc>
          <w:tcPr>
            <w:tcW w:w="890" w:type="dxa"/>
            <w:tcBorders>
              <w:top w:val="nil"/>
              <w:left w:val="nil"/>
              <w:bottom w:val="nil"/>
              <w:right w:val="nil"/>
            </w:tcBorders>
            <w:shd w:val="clear" w:color="000000" w:fill="FFFFFF"/>
            <w:noWrap/>
            <w:vAlign w:val="bottom"/>
            <w:hideMark/>
          </w:tcPr>
          <w:p w14:paraId="12CA528F"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11</w:t>
            </w:r>
          </w:p>
        </w:tc>
        <w:tc>
          <w:tcPr>
            <w:tcW w:w="1215" w:type="dxa"/>
            <w:tcBorders>
              <w:top w:val="nil"/>
              <w:left w:val="nil"/>
              <w:bottom w:val="nil"/>
              <w:right w:val="nil"/>
            </w:tcBorders>
            <w:shd w:val="clear" w:color="000000" w:fill="FFFFFF"/>
            <w:noWrap/>
            <w:vAlign w:val="bottom"/>
            <w:hideMark/>
          </w:tcPr>
          <w:p w14:paraId="76CDF05E"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2,648</w:t>
            </w:r>
          </w:p>
        </w:tc>
        <w:tc>
          <w:tcPr>
            <w:tcW w:w="164" w:type="dxa"/>
            <w:tcBorders>
              <w:top w:val="nil"/>
              <w:left w:val="nil"/>
              <w:bottom w:val="nil"/>
              <w:right w:val="nil"/>
            </w:tcBorders>
            <w:shd w:val="clear" w:color="000000" w:fill="FFFFFF"/>
            <w:noWrap/>
            <w:vAlign w:val="bottom"/>
            <w:hideMark/>
          </w:tcPr>
          <w:p w14:paraId="558B3DBC"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nil"/>
              <w:right w:val="nil"/>
            </w:tcBorders>
            <w:shd w:val="clear" w:color="000000" w:fill="D9D9D9"/>
            <w:noWrap/>
            <w:vAlign w:val="bottom"/>
            <w:hideMark/>
          </w:tcPr>
          <w:p w14:paraId="59CC2B3D"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nil"/>
              <w:right w:val="nil"/>
            </w:tcBorders>
            <w:shd w:val="clear" w:color="000000" w:fill="FFFFFF"/>
            <w:noWrap/>
            <w:vAlign w:val="bottom"/>
            <w:hideMark/>
          </w:tcPr>
          <w:p w14:paraId="08A3AA1E"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2,196</w:t>
            </w:r>
          </w:p>
        </w:tc>
        <w:tc>
          <w:tcPr>
            <w:tcW w:w="164" w:type="dxa"/>
            <w:tcBorders>
              <w:top w:val="nil"/>
              <w:left w:val="nil"/>
              <w:bottom w:val="nil"/>
              <w:right w:val="nil"/>
            </w:tcBorders>
            <w:shd w:val="clear" w:color="000000" w:fill="FFFFFF"/>
            <w:noWrap/>
            <w:vAlign w:val="bottom"/>
            <w:hideMark/>
          </w:tcPr>
          <w:p w14:paraId="09C1E40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7D5A8AF8" w14:textId="77777777" w:rsidTr="00E84205">
        <w:trPr>
          <w:trHeight w:val="330"/>
        </w:trPr>
        <w:tc>
          <w:tcPr>
            <w:tcW w:w="4962" w:type="dxa"/>
            <w:tcBorders>
              <w:top w:val="nil"/>
              <w:left w:val="nil"/>
              <w:bottom w:val="nil"/>
              <w:right w:val="nil"/>
            </w:tcBorders>
            <w:shd w:val="clear" w:color="000000" w:fill="FFFFFF"/>
            <w:vAlign w:val="bottom"/>
            <w:hideMark/>
          </w:tcPr>
          <w:p w14:paraId="7C322015" w14:textId="76DCFBE7" w:rsidR="003F135F" w:rsidRPr="003F135F" w:rsidRDefault="003F135F" w:rsidP="003F135F">
            <w:pPr>
              <w:ind w:left="0" w:firstLine="0"/>
              <w:rPr>
                <w:rFonts w:eastAsia="Times New Roman" w:cs="Calibri"/>
                <w:lang w:eastAsia="en-GB"/>
              </w:rPr>
            </w:pPr>
            <w:r w:rsidRPr="003F135F">
              <w:rPr>
                <w:rFonts w:eastAsia="Times New Roman" w:cs="Calibri"/>
                <w:lang w:eastAsia="en-GB"/>
              </w:rPr>
              <w:t>Non-core Projects</w:t>
            </w:r>
          </w:p>
        </w:tc>
        <w:tc>
          <w:tcPr>
            <w:tcW w:w="890" w:type="dxa"/>
            <w:tcBorders>
              <w:top w:val="nil"/>
              <w:left w:val="nil"/>
              <w:bottom w:val="nil"/>
              <w:right w:val="nil"/>
            </w:tcBorders>
            <w:shd w:val="clear" w:color="000000" w:fill="FFFFFF"/>
            <w:noWrap/>
            <w:vAlign w:val="bottom"/>
            <w:hideMark/>
          </w:tcPr>
          <w:p w14:paraId="2A05B559"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12</w:t>
            </w:r>
          </w:p>
        </w:tc>
        <w:tc>
          <w:tcPr>
            <w:tcW w:w="1215" w:type="dxa"/>
            <w:tcBorders>
              <w:top w:val="nil"/>
              <w:left w:val="nil"/>
              <w:bottom w:val="single" w:sz="4" w:space="0" w:color="auto"/>
              <w:right w:val="nil"/>
            </w:tcBorders>
            <w:shd w:val="clear" w:color="000000" w:fill="FFFFFF"/>
            <w:noWrap/>
            <w:vAlign w:val="bottom"/>
            <w:hideMark/>
          </w:tcPr>
          <w:p w14:paraId="380AEA94"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2,073</w:t>
            </w:r>
          </w:p>
        </w:tc>
        <w:tc>
          <w:tcPr>
            <w:tcW w:w="164" w:type="dxa"/>
            <w:tcBorders>
              <w:top w:val="nil"/>
              <w:left w:val="nil"/>
              <w:bottom w:val="single" w:sz="4" w:space="0" w:color="auto"/>
              <w:right w:val="nil"/>
            </w:tcBorders>
            <w:shd w:val="clear" w:color="000000" w:fill="FFFFFF"/>
            <w:noWrap/>
            <w:vAlign w:val="bottom"/>
            <w:hideMark/>
          </w:tcPr>
          <w:p w14:paraId="15D6020A"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16" w:type="dxa"/>
            <w:tcBorders>
              <w:top w:val="nil"/>
              <w:left w:val="nil"/>
              <w:bottom w:val="single" w:sz="4" w:space="0" w:color="auto"/>
              <w:right w:val="nil"/>
            </w:tcBorders>
            <w:shd w:val="clear" w:color="000000" w:fill="D9D9D9"/>
            <w:noWrap/>
            <w:vAlign w:val="bottom"/>
            <w:hideMark/>
          </w:tcPr>
          <w:p w14:paraId="4E18FE0B"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88" w:type="dxa"/>
            <w:tcBorders>
              <w:top w:val="nil"/>
              <w:left w:val="nil"/>
              <w:bottom w:val="single" w:sz="4" w:space="0" w:color="auto"/>
              <w:right w:val="nil"/>
            </w:tcBorders>
            <w:shd w:val="clear" w:color="000000" w:fill="FFFFFF"/>
            <w:noWrap/>
            <w:vAlign w:val="bottom"/>
            <w:hideMark/>
          </w:tcPr>
          <w:p w14:paraId="2FD6BF9E" w14:textId="77777777" w:rsidR="003F135F" w:rsidRPr="003F135F" w:rsidRDefault="003F135F" w:rsidP="003F135F">
            <w:pPr>
              <w:ind w:left="0" w:firstLine="0"/>
              <w:jc w:val="right"/>
              <w:rPr>
                <w:rFonts w:eastAsia="Times New Roman" w:cs="Calibri"/>
                <w:lang w:eastAsia="en-GB"/>
              </w:rPr>
            </w:pPr>
            <w:r w:rsidRPr="003F135F">
              <w:rPr>
                <w:rFonts w:eastAsia="Times New Roman" w:cs="Calibri"/>
                <w:lang w:eastAsia="en-GB"/>
              </w:rPr>
              <w:t>2,133</w:t>
            </w:r>
          </w:p>
        </w:tc>
        <w:tc>
          <w:tcPr>
            <w:tcW w:w="164" w:type="dxa"/>
            <w:tcBorders>
              <w:top w:val="nil"/>
              <w:left w:val="nil"/>
              <w:bottom w:val="nil"/>
              <w:right w:val="nil"/>
            </w:tcBorders>
            <w:shd w:val="clear" w:color="000000" w:fill="FFFFFF"/>
            <w:noWrap/>
            <w:vAlign w:val="bottom"/>
            <w:hideMark/>
          </w:tcPr>
          <w:p w14:paraId="5C81DF26"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10065621" w14:textId="77777777" w:rsidTr="00E84205">
        <w:trPr>
          <w:trHeight w:val="339"/>
        </w:trPr>
        <w:tc>
          <w:tcPr>
            <w:tcW w:w="4962" w:type="dxa"/>
            <w:tcBorders>
              <w:top w:val="nil"/>
              <w:left w:val="nil"/>
              <w:bottom w:val="nil"/>
              <w:right w:val="nil"/>
            </w:tcBorders>
            <w:shd w:val="clear" w:color="000000" w:fill="FFFFFF"/>
            <w:vAlign w:val="bottom"/>
            <w:hideMark/>
          </w:tcPr>
          <w:p w14:paraId="159247F4"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fund and reserves</w:t>
            </w:r>
          </w:p>
        </w:tc>
        <w:tc>
          <w:tcPr>
            <w:tcW w:w="890" w:type="dxa"/>
            <w:tcBorders>
              <w:top w:val="nil"/>
              <w:left w:val="nil"/>
              <w:bottom w:val="nil"/>
              <w:right w:val="nil"/>
            </w:tcBorders>
            <w:shd w:val="clear" w:color="000000" w:fill="FFFFFF"/>
            <w:noWrap/>
            <w:vAlign w:val="bottom"/>
            <w:hideMark/>
          </w:tcPr>
          <w:p w14:paraId="27DF18DC"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34C972C2"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4,721</w:t>
            </w:r>
          </w:p>
        </w:tc>
        <w:tc>
          <w:tcPr>
            <w:tcW w:w="164" w:type="dxa"/>
            <w:tcBorders>
              <w:top w:val="nil"/>
              <w:left w:val="nil"/>
              <w:bottom w:val="nil"/>
              <w:right w:val="nil"/>
            </w:tcBorders>
            <w:shd w:val="clear" w:color="000000" w:fill="FFFFFF"/>
            <w:noWrap/>
            <w:vAlign w:val="bottom"/>
            <w:hideMark/>
          </w:tcPr>
          <w:p w14:paraId="2F445737"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14:paraId="6BD2B18B"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14:paraId="0CF2162A"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4,329</w:t>
            </w:r>
          </w:p>
        </w:tc>
        <w:tc>
          <w:tcPr>
            <w:tcW w:w="164" w:type="dxa"/>
            <w:tcBorders>
              <w:top w:val="nil"/>
              <w:left w:val="nil"/>
              <w:bottom w:val="nil"/>
              <w:right w:val="nil"/>
            </w:tcBorders>
            <w:shd w:val="clear" w:color="000000" w:fill="FFFFFF"/>
            <w:noWrap/>
            <w:vAlign w:val="bottom"/>
            <w:hideMark/>
          </w:tcPr>
          <w:p w14:paraId="3E48F5B1"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121D6F5C" w14:textId="77777777" w:rsidTr="00E84205">
        <w:trPr>
          <w:trHeight w:val="288"/>
        </w:trPr>
        <w:tc>
          <w:tcPr>
            <w:tcW w:w="4962" w:type="dxa"/>
            <w:tcBorders>
              <w:top w:val="nil"/>
              <w:left w:val="nil"/>
              <w:bottom w:val="nil"/>
              <w:right w:val="nil"/>
            </w:tcBorders>
            <w:shd w:val="clear" w:color="000000" w:fill="FFFFFF"/>
            <w:vAlign w:val="bottom"/>
            <w:hideMark/>
          </w:tcPr>
          <w:p w14:paraId="5E22E6C2"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890" w:type="dxa"/>
            <w:tcBorders>
              <w:top w:val="nil"/>
              <w:left w:val="nil"/>
              <w:bottom w:val="nil"/>
              <w:right w:val="nil"/>
            </w:tcBorders>
            <w:shd w:val="clear" w:color="000000" w:fill="FFFFFF"/>
            <w:noWrap/>
            <w:vAlign w:val="bottom"/>
            <w:hideMark/>
          </w:tcPr>
          <w:p w14:paraId="7BFB9835"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nil"/>
              <w:left w:val="nil"/>
              <w:bottom w:val="nil"/>
              <w:right w:val="nil"/>
            </w:tcBorders>
            <w:shd w:val="clear" w:color="000000" w:fill="FFFFFF"/>
            <w:noWrap/>
            <w:vAlign w:val="bottom"/>
            <w:hideMark/>
          </w:tcPr>
          <w:p w14:paraId="7E0B337E"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14:paraId="0EC36DED"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nil"/>
              <w:left w:val="nil"/>
              <w:bottom w:val="nil"/>
              <w:right w:val="nil"/>
            </w:tcBorders>
            <w:shd w:val="clear" w:color="000000" w:fill="D9D9D9"/>
            <w:noWrap/>
            <w:vAlign w:val="bottom"/>
            <w:hideMark/>
          </w:tcPr>
          <w:p w14:paraId="7A5CC807"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nil"/>
              <w:left w:val="nil"/>
              <w:bottom w:val="nil"/>
              <w:right w:val="nil"/>
            </w:tcBorders>
            <w:shd w:val="clear" w:color="000000" w:fill="FFFFFF"/>
            <w:noWrap/>
            <w:vAlign w:val="bottom"/>
            <w:hideMark/>
          </w:tcPr>
          <w:p w14:paraId="5472B7D1"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64" w:type="dxa"/>
            <w:tcBorders>
              <w:top w:val="nil"/>
              <w:left w:val="nil"/>
              <w:bottom w:val="nil"/>
              <w:right w:val="nil"/>
            </w:tcBorders>
            <w:shd w:val="clear" w:color="000000" w:fill="FFFFFF"/>
            <w:noWrap/>
            <w:vAlign w:val="bottom"/>
            <w:hideMark/>
          </w:tcPr>
          <w:p w14:paraId="5002AFC1"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r w:rsidR="003F135F" w:rsidRPr="003F135F" w14:paraId="71286551" w14:textId="77777777" w:rsidTr="00E84205">
        <w:trPr>
          <w:trHeight w:val="459"/>
        </w:trPr>
        <w:tc>
          <w:tcPr>
            <w:tcW w:w="4962" w:type="dxa"/>
            <w:tcBorders>
              <w:top w:val="nil"/>
              <w:left w:val="nil"/>
              <w:bottom w:val="nil"/>
              <w:right w:val="nil"/>
            </w:tcBorders>
            <w:shd w:val="clear" w:color="000000" w:fill="FFFFFF"/>
            <w:vAlign w:val="center"/>
            <w:hideMark/>
          </w:tcPr>
          <w:p w14:paraId="0E45D3A6"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TOTAL LIABILITIES AND FUND BALANCES</w:t>
            </w:r>
          </w:p>
        </w:tc>
        <w:tc>
          <w:tcPr>
            <w:tcW w:w="890" w:type="dxa"/>
            <w:tcBorders>
              <w:top w:val="nil"/>
              <w:left w:val="nil"/>
              <w:bottom w:val="nil"/>
              <w:right w:val="nil"/>
            </w:tcBorders>
            <w:shd w:val="clear" w:color="000000" w:fill="FFFFFF"/>
            <w:noWrap/>
            <w:vAlign w:val="center"/>
            <w:hideMark/>
          </w:tcPr>
          <w:p w14:paraId="27D535C3" w14:textId="77777777" w:rsidR="003F135F" w:rsidRPr="003F135F" w:rsidRDefault="003F135F" w:rsidP="003F135F">
            <w:pPr>
              <w:ind w:left="0" w:firstLine="0"/>
              <w:jc w:val="center"/>
              <w:rPr>
                <w:rFonts w:eastAsia="Times New Roman" w:cs="Calibri"/>
                <w:lang w:eastAsia="en-GB"/>
              </w:rPr>
            </w:pPr>
            <w:r w:rsidRPr="003F135F">
              <w:rPr>
                <w:rFonts w:eastAsia="Times New Roman" w:cs="Calibri"/>
                <w:lang w:eastAsia="en-GB"/>
              </w:rPr>
              <w:t> </w:t>
            </w:r>
          </w:p>
        </w:tc>
        <w:tc>
          <w:tcPr>
            <w:tcW w:w="1215" w:type="dxa"/>
            <w:tcBorders>
              <w:top w:val="single" w:sz="4" w:space="0" w:color="auto"/>
              <w:left w:val="nil"/>
              <w:bottom w:val="single" w:sz="4" w:space="0" w:color="auto"/>
              <w:right w:val="nil"/>
            </w:tcBorders>
            <w:shd w:val="clear" w:color="000000" w:fill="C5D9F1"/>
            <w:noWrap/>
            <w:vAlign w:val="center"/>
            <w:hideMark/>
          </w:tcPr>
          <w:p w14:paraId="397C44FE"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6,349</w:t>
            </w:r>
          </w:p>
        </w:tc>
        <w:tc>
          <w:tcPr>
            <w:tcW w:w="164" w:type="dxa"/>
            <w:tcBorders>
              <w:top w:val="single" w:sz="4" w:space="0" w:color="auto"/>
              <w:left w:val="nil"/>
              <w:bottom w:val="single" w:sz="4" w:space="0" w:color="auto"/>
              <w:right w:val="nil"/>
            </w:tcBorders>
            <w:shd w:val="clear" w:color="000000" w:fill="C5D9F1"/>
            <w:noWrap/>
            <w:vAlign w:val="center"/>
            <w:hideMark/>
          </w:tcPr>
          <w:p w14:paraId="6F6FA53A"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2922A3EC"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c>
          <w:tcPr>
            <w:tcW w:w="1288" w:type="dxa"/>
            <w:tcBorders>
              <w:top w:val="single" w:sz="4" w:space="0" w:color="auto"/>
              <w:left w:val="nil"/>
              <w:bottom w:val="single" w:sz="4" w:space="0" w:color="auto"/>
              <w:right w:val="nil"/>
            </w:tcBorders>
            <w:shd w:val="clear" w:color="000000" w:fill="EBF1DE"/>
            <w:noWrap/>
            <w:vAlign w:val="center"/>
            <w:hideMark/>
          </w:tcPr>
          <w:p w14:paraId="30F76655" w14:textId="77777777" w:rsidR="003F135F" w:rsidRPr="003F135F" w:rsidRDefault="003F135F" w:rsidP="003F135F">
            <w:pPr>
              <w:ind w:left="0" w:firstLine="0"/>
              <w:jc w:val="right"/>
              <w:rPr>
                <w:rFonts w:eastAsia="Times New Roman" w:cs="Calibri"/>
                <w:b/>
                <w:bCs/>
                <w:lang w:eastAsia="en-GB"/>
              </w:rPr>
            </w:pPr>
            <w:r w:rsidRPr="003F135F">
              <w:rPr>
                <w:rFonts w:eastAsia="Times New Roman" w:cs="Calibri"/>
                <w:b/>
                <w:bCs/>
                <w:lang w:eastAsia="en-GB"/>
              </w:rPr>
              <w:t>6,101</w:t>
            </w:r>
          </w:p>
        </w:tc>
        <w:tc>
          <w:tcPr>
            <w:tcW w:w="164" w:type="dxa"/>
            <w:tcBorders>
              <w:top w:val="single" w:sz="4" w:space="0" w:color="auto"/>
              <w:left w:val="nil"/>
              <w:bottom w:val="single" w:sz="4" w:space="0" w:color="auto"/>
              <w:right w:val="nil"/>
            </w:tcBorders>
            <w:shd w:val="clear" w:color="000000" w:fill="EBF1DE"/>
            <w:noWrap/>
            <w:vAlign w:val="center"/>
            <w:hideMark/>
          </w:tcPr>
          <w:p w14:paraId="1E1D9D4D" w14:textId="77777777" w:rsidR="003F135F" w:rsidRPr="003F135F" w:rsidRDefault="003F135F" w:rsidP="003F135F">
            <w:pPr>
              <w:ind w:left="0" w:firstLine="0"/>
              <w:rPr>
                <w:rFonts w:eastAsia="Times New Roman" w:cs="Calibri"/>
                <w:b/>
                <w:bCs/>
                <w:lang w:eastAsia="en-GB"/>
              </w:rPr>
            </w:pPr>
            <w:r w:rsidRPr="003F135F">
              <w:rPr>
                <w:rFonts w:eastAsia="Times New Roman" w:cs="Calibri"/>
                <w:b/>
                <w:bCs/>
                <w:lang w:eastAsia="en-GB"/>
              </w:rPr>
              <w:t> </w:t>
            </w:r>
          </w:p>
        </w:tc>
      </w:tr>
    </w:tbl>
    <w:p w14:paraId="5A9A82EC" w14:textId="77777777" w:rsidR="003F135F" w:rsidRDefault="003F135F" w:rsidP="00633DD5">
      <w:pPr>
        <w:pStyle w:val="NoSpacing"/>
        <w:rPr>
          <w:b/>
        </w:rPr>
      </w:pPr>
    </w:p>
    <w:p w14:paraId="42024014" w14:textId="14ADD72C" w:rsidR="006C1657" w:rsidRDefault="003D733E" w:rsidP="00633DD5">
      <w:pPr>
        <w:pStyle w:val="NoSpacing"/>
        <w:rPr>
          <w:rFonts w:eastAsia="Times New Roman" w:cs="Arial"/>
          <w:b/>
          <w:bCs/>
          <w:lang w:eastAsia="en-GB"/>
        </w:rPr>
      </w:pPr>
      <w:r w:rsidRPr="00421152">
        <w:rPr>
          <w:rFonts w:eastAsia="Times New Roman" w:cs="Arial"/>
          <w:b/>
          <w:bCs/>
          <w:lang w:eastAsia="en-GB"/>
        </w:rPr>
        <w:lastRenderedPageBreak/>
        <w:t>II.</w:t>
      </w:r>
      <w:r w:rsidR="002B478C" w:rsidRPr="00421152">
        <w:rPr>
          <w:rFonts w:eastAsia="Times New Roman" w:cs="Arial"/>
          <w:b/>
          <w:bCs/>
          <w:lang w:eastAsia="en-GB"/>
        </w:rPr>
        <w:tab/>
        <w:t>Statement of income and expenditure for the year ended 31 December</w:t>
      </w:r>
      <w:r w:rsidRPr="00421152">
        <w:rPr>
          <w:rFonts w:eastAsia="Times New Roman" w:cs="Arial"/>
          <w:b/>
          <w:bCs/>
          <w:lang w:eastAsia="en-GB"/>
        </w:rPr>
        <w:tab/>
      </w:r>
    </w:p>
    <w:p w14:paraId="6C247957" w14:textId="25F96AAF" w:rsidR="003F135F" w:rsidRDefault="003F135F" w:rsidP="00633DD5">
      <w:pPr>
        <w:pStyle w:val="NoSpacing"/>
        <w:rPr>
          <w:rFonts w:eastAsia="Times New Roman" w:cs="Arial"/>
          <w:b/>
          <w:bCs/>
          <w:lang w:eastAsia="en-GB"/>
        </w:rPr>
      </w:pPr>
    </w:p>
    <w:tbl>
      <w:tblPr>
        <w:tblW w:w="9719" w:type="dxa"/>
        <w:tblInd w:w="-284" w:type="dxa"/>
        <w:tblLayout w:type="fixed"/>
        <w:tblCellMar>
          <w:left w:w="57" w:type="dxa"/>
          <w:right w:w="57" w:type="dxa"/>
        </w:tblCellMar>
        <w:tblLook w:val="04A0" w:firstRow="1" w:lastRow="0" w:firstColumn="1" w:lastColumn="0" w:noHBand="0" w:noVBand="1"/>
      </w:tblPr>
      <w:tblGrid>
        <w:gridCol w:w="3529"/>
        <w:gridCol w:w="844"/>
        <w:gridCol w:w="849"/>
        <w:gridCol w:w="850"/>
        <w:gridCol w:w="166"/>
        <w:gridCol w:w="688"/>
        <w:gridCol w:w="239"/>
        <w:gridCol w:w="850"/>
        <w:gridCol w:w="850"/>
        <w:gridCol w:w="66"/>
        <w:gridCol w:w="788"/>
      </w:tblGrid>
      <w:tr w:rsidR="003F135F" w:rsidRPr="003F135F" w14:paraId="1AAF4489" w14:textId="77777777" w:rsidTr="004C00DF">
        <w:tc>
          <w:tcPr>
            <w:tcW w:w="3529" w:type="dxa"/>
            <w:tcBorders>
              <w:top w:val="nil"/>
              <w:left w:val="nil"/>
              <w:bottom w:val="nil"/>
              <w:right w:val="nil"/>
            </w:tcBorders>
            <w:shd w:val="clear" w:color="000000" w:fill="FFFFFF"/>
            <w:noWrap/>
            <w:vAlign w:val="bottom"/>
            <w:hideMark/>
          </w:tcPr>
          <w:p w14:paraId="0F21387F" w14:textId="77777777" w:rsidR="003F135F" w:rsidRPr="003F135F" w:rsidRDefault="003F135F"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textDirection w:val="btLr"/>
            <w:vAlign w:val="center"/>
            <w:hideMark/>
          </w:tcPr>
          <w:p w14:paraId="08811E1B" w14:textId="77777777" w:rsidR="003F135F" w:rsidRPr="003F135F" w:rsidRDefault="003F135F"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2553" w:type="dxa"/>
            <w:gridSpan w:val="4"/>
            <w:tcBorders>
              <w:top w:val="nil"/>
              <w:left w:val="nil"/>
              <w:bottom w:val="nil"/>
              <w:right w:val="nil"/>
            </w:tcBorders>
            <w:shd w:val="clear" w:color="000000" w:fill="8DB4E2"/>
            <w:noWrap/>
            <w:vAlign w:val="center"/>
            <w:hideMark/>
          </w:tcPr>
          <w:p w14:paraId="5C6CAD9A" w14:textId="77777777" w:rsidR="003F135F" w:rsidRPr="003F135F" w:rsidRDefault="003F135F"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2019</w:t>
            </w:r>
          </w:p>
        </w:tc>
        <w:tc>
          <w:tcPr>
            <w:tcW w:w="239" w:type="dxa"/>
            <w:tcBorders>
              <w:top w:val="nil"/>
              <w:left w:val="nil"/>
              <w:bottom w:val="nil"/>
              <w:right w:val="nil"/>
            </w:tcBorders>
            <w:shd w:val="clear" w:color="000000" w:fill="D9D9D9"/>
            <w:noWrap/>
            <w:vAlign w:val="center"/>
            <w:hideMark/>
          </w:tcPr>
          <w:p w14:paraId="504CC4D6" w14:textId="77777777" w:rsidR="003F135F" w:rsidRPr="003F135F" w:rsidRDefault="003F135F"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2554" w:type="dxa"/>
            <w:gridSpan w:val="4"/>
            <w:tcBorders>
              <w:top w:val="nil"/>
              <w:left w:val="nil"/>
              <w:bottom w:val="nil"/>
              <w:right w:val="nil"/>
            </w:tcBorders>
            <w:shd w:val="clear" w:color="auto" w:fill="C2D69B" w:themeFill="accent3" w:themeFillTint="99"/>
            <w:noWrap/>
            <w:vAlign w:val="center"/>
            <w:hideMark/>
          </w:tcPr>
          <w:p w14:paraId="2C28220E" w14:textId="77777777" w:rsidR="003F135F" w:rsidRPr="003F135F" w:rsidRDefault="003F135F"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2018</w:t>
            </w:r>
          </w:p>
        </w:tc>
      </w:tr>
      <w:tr w:rsidR="00EB4CBD" w:rsidRPr="003F135F" w14:paraId="6982AFF8" w14:textId="77777777" w:rsidTr="004C00DF">
        <w:tc>
          <w:tcPr>
            <w:tcW w:w="3529" w:type="dxa"/>
            <w:tcBorders>
              <w:top w:val="nil"/>
              <w:left w:val="nil"/>
              <w:bottom w:val="single" w:sz="8" w:space="0" w:color="auto"/>
              <w:right w:val="nil"/>
            </w:tcBorders>
            <w:shd w:val="clear" w:color="000000" w:fill="FFFFFF"/>
            <w:noWrap/>
            <w:vAlign w:val="bottom"/>
            <w:hideMark/>
          </w:tcPr>
          <w:p w14:paraId="50E50041" w14:textId="77777777" w:rsidR="00EB4CBD" w:rsidRPr="003F135F" w:rsidRDefault="00EB4CBD" w:rsidP="003F135F">
            <w:pPr>
              <w:ind w:left="0" w:firstLine="0"/>
              <w:rPr>
                <w:rFonts w:asciiTheme="minorHAnsi" w:eastAsia="Times New Roman" w:hAnsiTheme="minorHAnsi" w:cstheme="minorHAnsi"/>
                <w:i/>
                <w:iCs/>
                <w:sz w:val="20"/>
                <w:szCs w:val="20"/>
                <w:lang w:eastAsia="en-GB"/>
              </w:rPr>
            </w:pPr>
            <w:r w:rsidRPr="003F135F">
              <w:rPr>
                <w:rFonts w:asciiTheme="minorHAnsi" w:eastAsia="Times New Roman" w:hAnsiTheme="minorHAnsi" w:cstheme="minorHAnsi"/>
                <w:i/>
                <w:iCs/>
                <w:sz w:val="20"/>
                <w:szCs w:val="20"/>
                <w:lang w:eastAsia="en-GB"/>
              </w:rPr>
              <w:t>in thousands of Swiss Francs (CHF '000s)</w:t>
            </w:r>
          </w:p>
        </w:tc>
        <w:tc>
          <w:tcPr>
            <w:tcW w:w="844" w:type="dxa"/>
            <w:tcBorders>
              <w:top w:val="nil"/>
              <w:left w:val="nil"/>
              <w:bottom w:val="single" w:sz="8" w:space="0" w:color="auto"/>
              <w:right w:val="nil"/>
            </w:tcBorders>
            <w:shd w:val="clear" w:color="000000" w:fill="FFFFFF"/>
            <w:noWrap/>
            <w:vAlign w:val="center"/>
            <w:hideMark/>
          </w:tcPr>
          <w:p w14:paraId="7C479833"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Notes</w:t>
            </w:r>
          </w:p>
        </w:tc>
        <w:tc>
          <w:tcPr>
            <w:tcW w:w="849" w:type="dxa"/>
            <w:tcBorders>
              <w:top w:val="nil"/>
              <w:left w:val="nil"/>
              <w:bottom w:val="single" w:sz="8" w:space="0" w:color="auto"/>
              <w:right w:val="nil"/>
            </w:tcBorders>
            <w:shd w:val="clear" w:color="000000" w:fill="FFFFFF"/>
            <w:vAlign w:val="center"/>
            <w:hideMark/>
          </w:tcPr>
          <w:p w14:paraId="61A6CD84"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Core Funds</w:t>
            </w:r>
          </w:p>
        </w:tc>
        <w:tc>
          <w:tcPr>
            <w:tcW w:w="1016" w:type="dxa"/>
            <w:gridSpan w:val="2"/>
            <w:tcBorders>
              <w:top w:val="nil"/>
              <w:left w:val="nil"/>
              <w:bottom w:val="single" w:sz="8" w:space="0" w:color="auto"/>
              <w:right w:val="nil"/>
            </w:tcBorders>
            <w:shd w:val="clear" w:color="000000" w:fill="FFFFFF"/>
            <w:vAlign w:val="center"/>
            <w:hideMark/>
          </w:tcPr>
          <w:p w14:paraId="177CF2E5"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Non-Core Projects</w:t>
            </w:r>
          </w:p>
        </w:tc>
        <w:tc>
          <w:tcPr>
            <w:tcW w:w="688" w:type="dxa"/>
            <w:tcBorders>
              <w:top w:val="nil"/>
              <w:left w:val="nil"/>
              <w:bottom w:val="single" w:sz="8" w:space="0" w:color="auto"/>
              <w:right w:val="nil"/>
            </w:tcBorders>
            <w:shd w:val="clear" w:color="000000" w:fill="FFFFFF"/>
            <w:noWrap/>
            <w:vAlign w:val="center"/>
            <w:hideMark/>
          </w:tcPr>
          <w:p w14:paraId="37B2F876"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Total</w:t>
            </w:r>
          </w:p>
        </w:tc>
        <w:tc>
          <w:tcPr>
            <w:tcW w:w="239" w:type="dxa"/>
            <w:tcBorders>
              <w:top w:val="nil"/>
              <w:left w:val="nil"/>
              <w:bottom w:val="single" w:sz="8" w:space="0" w:color="auto"/>
              <w:right w:val="nil"/>
            </w:tcBorders>
            <w:shd w:val="clear" w:color="000000" w:fill="D9D9D9"/>
            <w:noWrap/>
            <w:vAlign w:val="center"/>
            <w:hideMark/>
          </w:tcPr>
          <w:p w14:paraId="67F2941E"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single" w:sz="8" w:space="0" w:color="auto"/>
              <w:right w:val="nil"/>
            </w:tcBorders>
            <w:shd w:val="clear" w:color="000000" w:fill="FFFFFF"/>
            <w:vAlign w:val="center"/>
            <w:hideMark/>
          </w:tcPr>
          <w:p w14:paraId="60292727"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Core Funds</w:t>
            </w:r>
          </w:p>
        </w:tc>
        <w:tc>
          <w:tcPr>
            <w:tcW w:w="916" w:type="dxa"/>
            <w:gridSpan w:val="2"/>
            <w:tcBorders>
              <w:top w:val="nil"/>
              <w:left w:val="nil"/>
              <w:bottom w:val="single" w:sz="8" w:space="0" w:color="auto"/>
              <w:right w:val="nil"/>
            </w:tcBorders>
            <w:shd w:val="clear" w:color="000000" w:fill="FFFFFF"/>
            <w:vAlign w:val="center"/>
            <w:hideMark/>
          </w:tcPr>
          <w:p w14:paraId="32922512"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Non-Core Projects</w:t>
            </w:r>
          </w:p>
        </w:tc>
        <w:tc>
          <w:tcPr>
            <w:tcW w:w="788" w:type="dxa"/>
            <w:tcBorders>
              <w:top w:val="nil"/>
              <w:left w:val="nil"/>
              <w:bottom w:val="single" w:sz="8" w:space="0" w:color="auto"/>
              <w:right w:val="nil"/>
            </w:tcBorders>
            <w:shd w:val="clear" w:color="000000" w:fill="FFFFFF"/>
            <w:noWrap/>
            <w:vAlign w:val="center"/>
            <w:hideMark/>
          </w:tcPr>
          <w:p w14:paraId="73E9C049" w14:textId="77777777" w:rsidR="00EB4CBD" w:rsidRPr="003F135F" w:rsidRDefault="00EB4CBD" w:rsidP="003F135F">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Total</w:t>
            </w:r>
          </w:p>
        </w:tc>
      </w:tr>
      <w:tr w:rsidR="00EB4CBD" w:rsidRPr="003F135F" w14:paraId="0CE9826C" w14:textId="77777777" w:rsidTr="00E84205">
        <w:tc>
          <w:tcPr>
            <w:tcW w:w="3529" w:type="dxa"/>
            <w:tcBorders>
              <w:top w:val="nil"/>
              <w:left w:val="nil"/>
              <w:bottom w:val="nil"/>
              <w:right w:val="nil"/>
            </w:tcBorders>
            <w:shd w:val="clear" w:color="000000" w:fill="FFFFFF"/>
            <w:noWrap/>
            <w:vAlign w:val="bottom"/>
            <w:hideMark/>
          </w:tcPr>
          <w:p w14:paraId="55A5BC3F" w14:textId="77777777"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4" w:type="dxa"/>
            <w:tcBorders>
              <w:top w:val="nil"/>
              <w:left w:val="nil"/>
              <w:bottom w:val="nil"/>
              <w:right w:val="nil"/>
            </w:tcBorders>
            <w:shd w:val="clear" w:color="000000" w:fill="FFFFFF"/>
            <w:noWrap/>
            <w:vAlign w:val="bottom"/>
            <w:hideMark/>
          </w:tcPr>
          <w:p w14:paraId="5233A017"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bottom"/>
            <w:hideMark/>
          </w:tcPr>
          <w:p w14:paraId="21917F1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bottom"/>
            <w:hideMark/>
          </w:tcPr>
          <w:p w14:paraId="4E81A69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bottom"/>
            <w:hideMark/>
          </w:tcPr>
          <w:p w14:paraId="6029C28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bottom"/>
            <w:hideMark/>
          </w:tcPr>
          <w:p w14:paraId="3D17B3B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bottom"/>
            <w:hideMark/>
          </w:tcPr>
          <w:p w14:paraId="5156600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bottom"/>
            <w:hideMark/>
          </w:tcPr>
          <w:p w14:paraId="649E34E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bottom"/>
            <w:hideMark/>
          </w:tcPr>
          <w:p w14:paraId="3D3A9EC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2EF705D8" w14:textId="77777777" w:rsidTr="00E84205">
        <w:tc>
          <w:tcPr>
            <w:tcW w:w="3529" w:type="dxa"/>
            <w:tcBorders>
              <w:top w:val="nil"/>
              <w:left w:val="nil"/>
              <w:bottom w:val="nil"/>
              <w:right w:val="nil"/>
            </w:tcBorders>
            <w:shd w:val="clear" w:color="000000" w:fill="FFFFFF"/>
            <w:noWrap/>
            <w:vAlign w:val="center"/>
            <w:hideMark/>
          </w:tcPr>
          <w:p w14:paraId="753D2C11" w14:textId="77777777" w:rsidR="00EB4CBD" w:rsidRPr="003F135F" w:rsidRDefault="00EB4CBD" w:rsidP="003F135F">
            <w:pPr>
              <w:ind w:left="0" w:firstLine="0"/>
              <w:rPr>
                <w:rFonts w:asciiTheme="minorHAnsi" w:eastAsia="Times New Roman" w:hAnsiTheme="minorHAnsi" w:cstheme="minorHAnsi"/>
                <w:b/>
                <w:bCs/>
                <w:color w:val="000000"/>
                <w:sz w:val="20"/>
                <w:szCs w:val="20"/>
                <w:lang w:eastAsia="en-GB"/>
              </w:rPr>
            </w:pPr>
            <w:r w:rsidRPr="003F135F">
              <w:rPr>
                <w:rFonts w:asciiTheme="minorHAnsi" w:eastAsia="Times New Roman" w:hAnsiTheme="minorHAnsi" w:cstheme="minorHAnsi"/>
                <w:b/>
                <w:bCs/>
                <w:color w:val="000000"/>
                <w:sz w:val="20"/>
                <w:szCs w:val="20"/>
                <w:lang w:eastAsia="en-GB"/>
              </w:rPr>
              <w:t>Income</w:t>
            </w:r>
          </w:p>
        </w:tc>
        <w:tc>
          <w:tcPr>
            <w:tcW w:w="844" w:type="dxa"/>
            <w:tcBorders>
              <w:top w:val="nil"/>
              <w:left w:val="nil"/>
              <w:bottom w:val="nil"/>
              <w:right w:val="nil"/>
            </w:tcBorders>
            <w:shd w:val="clear" w:color="000000" w:fill="FFFFFF"/>
            <w:noWrap/>
            <w:vAlign w:val="center"/>
            <w:hideMark/>
          </w:tcPr>
          <w:p w14:paraId="46D08947"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492F416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2C98D9D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4EEB6D0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38C36E8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3C750777"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ACC4FB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0A6181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6CEA371E" w14:textId="77777777" w:rsidTr="00E84205">
        <w:tc>
          <w:tcPr>
            <w:tcW w:w="3529" w:type="dxa"/>
            <w:tcBorders>
              <w:top w:val="nil"/>
              <w:left w:val="nil"/>
              <w:bottom w:val="nil"/>
              <w:right w:val="nil"/>
            </w:tcBorders>
            <w:shd w:val="clear" w:color="000000" w:fill="FFFFFF"/>
            <w:noWrap/>
            <w:vAlign w:val="center"/>
            <w:hideMark/>
          </w:tcPr>
          <w:p w14:paraId="55A80111" w14:textId="77777777" w:rsidR="00EB4CBD" w:rsidRPr="003F135F" w:rsidRDefault="00EB4CBD" w:rsidP="003F135F">
            <w:pPr>
              <w:ind w:left="0" w:firstLine="0"/>
              <w:rPr>
                <w:rFonts w:asciiTheme="minorHAnsi" w:eastAsia="Times New Roman" w:hAnsiTheme="minorHAnsi" w:cstheme="minorHAnsi"/>
                <w:i/>
                <w:iCs/>
                <w:color w:val="000000"/>
                <w:sz w:val="20"/>
                <w:szCs w:val="20"/>
                <w:lang w:eastAsia="en-GB"/>
              </w:rPr>
            </w:pPr>
            <w:r w:rsidRPr="003F135F">
              <w:rPr>
                <w:rFonts w:asciiTheme="minorHAnsi" w:eastAsia="Times New Roman" w:hAnsiTheme="minorHAnsi" w:cstheme="minorHAnsi"/>
                <w:i/>
                <w:iCs/>
                <w:color w:val="000000"/>
                <w:sz w:val="20"/>
                <w:szCs w:val="20"/>
                <w:lang w:eastAsia="en-GB"/>
              </w:rPr>
              <w:t>External income:</w:t>
            </w:r>
          </w:p>
        </w:tc>
        <w:tc>
          <w:tcPr>
            <w:tcW w:w="844" w:type="dxa"/>
            <w:tcBorders>
              <w:top w:val="nil"/>
              <w:left w:val="nil"/>
              <w:bottom w:val="nil"/>
              <w:right w:val="nil"/>
            </w:tcBorders>
            <w:shd w:val="clear" w:color="000000" w:fill="FFFFFF"/>
            <w:noWrap/>
            <w:vAlign w:val="center"/>
            <w:hideMark/>
          </w:tcPr>
          <w:p w14:paraId="293DBB99"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4052AEE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A86269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7EC8FF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495C045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A1F897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3C9AE5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030B8B4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4EF18562" w14:textId="77777777" w:rsidTr="00E84205">
        <w:tc>
          <w:tcPr>
            <w:tcW w:w="3529" w:type="dxa"/>
            <w:tcBorders>
              <w:top w:val="nil"/>
              <w:left w:val="nil"/>
              <w:bottom w:val="nil"/>
              <w:right w:val="nil"/>
            </w:tcBorders>
            <w:shd w:val="clear" w:color="000000" w:fill="FFFFFF"/>
            <w:noWrap/>
            <w:vAlign w:val="center"/>
            <w:hideMark/>
          </w:tcPr>
          <w:p w14:paraId="7051796D" w14:textId="16B8B72B"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Contributions from Contracting Parties</w:t>
            </w:r>
          </w:p>
        </w:tc>
        <w:tc>
          <w:tcPr>
            <w:tcW w:w="844" w:type="dxa"/>
            <w:tcBorders>
              <w:top w:val="nil"/>
              <w:left w:val="nil"/>
              <w:bottom w:val="nil"/>
              <w:right w:val="nil"/>
            </w:tcBorders>
            <w:shd w:val="clear" w:color="000000" w:fill="FFFFFF"/>
            <w:noWrap/>
            <w:vAlign w:val="center"/>
            <w:hideMark/>
          </w:tcPr>
          <w:p w14:paraId="00AC415D"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6B543C83" w14:textId="15102A2C"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3,779 </w:t>
            </w:r>
          </w:p>
        </w:tc>
        <w:tc>
          <w:tcPr>
            <w:tcW w:w="850" w:type="dxa"/>
            <w:tcBorders>
              <w:top w:val="nil"/>
              <w:left w:val="nil"/>
              <w:bottom w:val="nil"/>
              <w:right w:val="nil"/>
            </w:tcBorders>
            <w:shd w:val="clear" w:color="000000" w:fill="FFFFFF"/>
            <w:noWrap/>
            <w:vAlign w:val="center"/>
            <w:hideMark/>
          </w:tcPr>
          <w:p w14:paraId="05A8D57D" w14:textId="60C0450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14:paraId="22C95D1D" w14:textId="65978E2C"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3,779 </w:t>
            </w:r>
          </w:p>
        </w:tc>
        <w:tc>
          <w:tcPr>
            <w:tcW w:w="239" w:type="dxa"/>
            <w:tcBorders>
              <w:top w:val="nil"/>
              <w:left w:val="nil"/>
              <w:bottom w:val="nil"/>
              <w:right w:val="nil"/>
            </w:tcBorders>
            <w:shd w:val="clear" w:color="000000" w:fill="D9D9D9"/>
            <w:noWrap/>
            <w:vAlign w:val="center"/>
            <w:hideMark/>
          </w:tcPr>
          <w:p w14:paraId="2205D4F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4C6C5E4" w14:textId="0AED0AFF"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3,779 </w:t>
            </w:r>
          </w:p>
        </w:tc>
        <w:tc>
          <w:tcPr>
            <w:tcW w:w="850" w:type="dxa"/>
            <w:tcBorders>
              <w:top w:val="nil"/>
              <w:left w:val="nil"/>
              <w:bottom w:val="nil"/>
              <w:right w:val="nil"/>
            </w:tcBorders>
            <w:shd w:val="clear" w:color="000000" w:fill="FFFFFF"/>
            <w:noWrap/>
            <w:vAlign w:val="center"/>
            <w:hideMark/>
          </w:tcPr>
          <w:p w14:paraId="40E16C75" w14:textId="4B24EC11"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14:paraId="67D419E0" w14:textId="139D5F4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3,779 </w:t>
            </w:r>
          </w:p>
        </w:tc>
      </w:tr>
      <w:tr w:rsidR="00EB4CBD" w:rsidRPr="003F135F" w14:paraId="3C465289" w14:textId="77777777" w:rsidTr="00E84205">
        <w:tc>
          <w:tcPr>
            <w:tcW w:w="3529" w:type="dxa"/>
            <w:tcBorders>
              <w:top w:val="nil"/>
              <w:left w:val="nil"/>
              <w:bottom w:val="nil"/>
              <w:right w:val="nil"/>
            </w:tcBorders>
            <w:shd w:val="clear" w:color="000000" w:fill="FFFFFF"/>
            <w:noWrap/>
            <w:vAlign w:val="center"/>
            <w:hideMark/>
          </w:tcPr>
          <w:p w14:paraId="2296E6BB" w14:textId="175DB9DC"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US voluntary contributions</w:t>
            </w:r>
          </w:p>
        </w:tc>
        <w:tc>
          <w:tcPr>
            <w:tcW w:w="844" w:type="dxa"/>
            <w:tcBorders>
              <w:top w:val="nil"/>
              <w:left w:val="nil"/>
              <w:bottom w:val="nil"/>
              <w:right w:val="nil"/>
            </w:tcBorders>
            <w:shd w:val="clear" w:color="000000" w:fill="FFFFFF"/>
            <w:noWrap/>
            <w:vAlign w:val="center"/>
            <w:hideMark/>
          </w:tcPr>
          <w:p w14:paraId="121E5D84"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31F652AB" w14:textId="3971E55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1,066 </w:t>
            </w:r>
          </w:p>
        </w:tc>
        <w:tc>
          <w:tcPr>
            <w:tcW w:w="850" w:type="dxa"/>
            <w:tcBorders>
              <w:top w:val="nil"/>
              <w:left w:val="nil"/>
              <w:bottom w:val="nil"/>
              <w:right w:val="nil"/>
            </w:tcBorders>
            <w:shd w:val="clear" w:color="000000" w:fill="FFFFFF"/>
            <w:noWrap/>
            <w:vAlign w:val="center"/>
            <w:hideMark/>
          </w:tcPr>
          <w:p w14:paraId="6D0A1477" w14:textId="62812FC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14:paraId="000A46C4" w14:textId="6F274C31"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1,066 </w:t>
            </w:r>
          </w:p>
        </w:tc>
        <w:tc>
          <w:tcPr>
            <w:tcW w:w="239" w:type="dxa"/>
            <w:tcBorders>
              <w:top w:val="nil"/>
              <w:left w:val="nil"/>
              <w:bottom w:val="nil"/>
              <w:right w:val="nil"/>
            </w:tcBorders>
            <w:shd w:val="clear" w:color="000000" w:fill="D9D9D9"/>
            <w:noWrap/>
            <w:vAlign w:val="center"/>
            <w:hideMark/>
          </w:tcPr>
          <w:p w14:paraId="25497EC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F92881F" w14:textId="521E27C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1,066 </w:t>
            </w:r>
          </w:p>
        </w:tc>
        <w:tc>
          <w:tcPr>
            <w:tcW w:w="850" w:type="dxa"/>
            <w:tcBorders>
              <w:top w:val="nil"/>
              <w:left w:val="nil"/>
              <w:bottom w:val="nil"/>
              <w:right w:val="nil"/>
            </w:tcBorders>
            <w:shd w:val="clear" w:color="000000" w:fill="FFFFFF"/>
            <w:noWrap/>
            <w:vAlign w:val="center"/>
            <w:hideMark/>
          </w:tcPr>
          <w:p w14:paraId="64260264" w14:textId="1113AD55"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nil"/>
              <w:right w:val="nil"/>
            </w:tcBorders>
            <w:shd w:val="clear" w:color="000000" w:fill="FFFFFF"/>
            <w:noWrap/>
            <w:vAlign w:val="center"/>
            <w:hideMark/>
          </w:tcPr>
          <w:p w14:paraId="47705A55" w14:textId="34E2C01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1,066 </w:t>
            </w:r>
          </w:p>
        </w:tc>
      </w:tr>
      <w:tr w:rsidR="00EB4CBD" w:rsidRPr="003F135F" w14:paraId="60CB4D90" w14:textId="77777777" w:rsidTr="00E84205">
        <w:tc>
          <w:tcPr>
            <w:tcW w:w="3529" w:type="dxa"/>
            <w:tcBorders>
              <w:top w:val="nil"/>
              <w:left w:val="nil"/>
              <w:bottom w:val="nil"/>
              <w:right w:val="nil"/>
            </w:tcBorders>
            <w:shd w:val="clear" w:color="000000" w:fill="FFFFFF"/>
            <w:noWrap/>
            <w:vAlign w:val="center"/>
            <w:hideMark/>
          </w:tcPr>
          <w:p w14:paraId="70D91B92" w14:textId="12A979FC"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African voluntary contributions</w:t>
            </w:r>
          </w:p>
        </w:tc>
        <w:tc>
          <w:tcPr>
            <w:tcW w:w="844" w:type="dxa"/>
            <w:tcBorders>
              <w:top w:val="nil"/>
              <w:left w:val="nil"/>
              <w:bottom w:val="nil"/>
              <w:right w:val="nil"/>
            </w:tcBorders>
            <w:shd w:val="clear" w:color="000000" w:fill="FFFFFF"/>
            <w:noWrap/>
            <w:vAlign w:val="center"/>
            <w:hideMark/>
          </w:tcPr>
          <w:p w14:paraId="5403AD05"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2C1171C2" w14:textId="79080E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auto" w:fill="auto"/>
            <w:noWrap/>
            <w:vAlign w:val="center"/>
            <w:hideMark/>
          </w:tcPr>
          <w:p w14:paraId="7938A417" w14:textId="451FF4B9"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 </w:t>
            </w:r>
          </w:p>
        </w:tc>
        <w:tc>
          <w:tcPr>
            <w:tcW w:w="854" w:type="dxa"/>
            <w:gridSpan w:val="2"/>
            <w:tcBorders>
              <w:top w:val="nil"/>
              <w:left w:val="nil"/>
              <w:bottom w:val="nil"/>
              <w:right w:val="nil"/>
            </w:tcBorders>
            <w:shd w:val="clear" w:color="000000" w:fill="FFFFFF"/>
            <w:noWrap/>
            <w:vAlign w:val="center"/>
            <w:hideMark/>
          </w:tcPr>
          <w:p w14:paraId="392A696D" w14:textId="091575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 </w:t>
            </w:r>
          </w:p>
        </w:tc>
        <w:tc>
          <w:tcPr>
            <w:tcW w:w="239" w:type="dxa"/>
            <w:tcBorders>
              <w:top w:val="nil"/>
              <w:left w:val="nil"/>
              <w:bottom w:val="nil"/>
              <w:right w:val="nil"/>
            </w:tcBorders>
            <w:shd w:val="clear" w:color="000000" w:fill="D9D9D9"/>
            <w:noWrap/>
            <w:vAlign w:val="center"/>
            <w:hideMark/>
          </w:tcPr>
          <w:p w14:paraId="2B1B57A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2FEB8CC" w14:textId="75FC4308"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14:paraId="6DCEDA81" w14:textId="0665A28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7 </w:t>
            </w:r>
          </w:p>
        </w:tc>
        <w:tc>
          <w:tcPr>
            <w:tcW w:w="854" w:type="dxa"/>
            <w:gridSpan w:val="2"/>
            <w:tcBorders>
              <w:top w:val="nil"/>
              <w:left w:val="nil"/>
              <w:bottom w:val="nil"/>
              <w:right w:val="nil"/>
            </w:tcBorders>
            <w:shd w:val="clear" w:color="000000" w:fill="FFFFFF"/>
            <w:noWrap/>
            <w:vAlign w:val="center"/>
            <w:hideMark/>
          </w:tcPr>
          <w:p w14:paraId="54F89DD1" w14:textId="0419B6F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7 </w:t>
            </w:r>
          </w:p>
        </w:tc>
      </w:tr>
      <w:tr w:rsidR="00EB4CBD" w:rsidRPr="003F135F" w14:paraId="7E5776D7" w14:textId="77777777" w:rsidTr="00E84205">
        <w:tc>
          <w:tcPr>
            <w:tcW w:w="3529" w:type="dxa"/>
            <w:tcBorders>
              <w:top w:val="nil"/>
              <w:left w:val="nil"/>
              <w:bottom w:val="nil"/>
              <w:right w:val="nil"/>
            </w:tcBorders>
            <w:shd w:val="clear" w:color="000000" w:fill="FFFFFF"/>
            <w:noWrap/>
            <w:vAlign w:val="center"/>
            <w:hideMark/>
          </w:tcPr>
          <w:p w14:paraId="726B8A11" w14:textId="1747FFE5"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Project income </w:t>
            </w:r>
          </w:p>
        </w:tc>
        <w:tc>
          <w:tcPr>
            <w:tcW w:w="844" w:type="dxa"/>
            <w:tcBorders>
              <w:top w:val="nil"/>
              <w:left w:val="nil"/>
              <w:bottom w:val="nil"/>
              <w:right w:val="nil"/>
            </w:tcBorders>
            <w:shd w:val="clear" w:color="000000" w:fill="FFFFFF"/>
            <w:noWrap/>
            <w:vAlign w:val="center"/>
            <w:hideMark/>
          </w:tcPr>
          <w:p w14:paraId="229C9893"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6C96168B" w14:textId="69A4845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14:paraId="71AC40A3" w14:textId="626E5D4C"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379 </w:t>
            </w:r>
          </w:p>
        </w:tc>
        <w:tc>
          <w:tcPr>
            <w:tcW w:w="854" w:type="dxa"/>
            <w:gridSpan w:val="2"/>
            <w:tcBorders>
              <w:top w:val="nil"/>
              <w:left w:val="nil"/>
              <w:bottom w:val="nil"/>
              <w:right w:val="nil"/>
            </w:tcBorders>
            <w:shd w:val="clear" w:color="000000" w:fill="FFFFFF"/>
            <w:noWrap/>
            <w:vAlign w:val="center"/>
            <w:hideMark/>
          </w:tcPr>
          <w:p w14:paraId="2FB566F7" w14:textId="3CC75E64"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379 </w:t>
            </w:r>
          </w:p>
        </w:tc>
        <w:tc>
          <w:tcPr>
            <w:tcW w:w="239" w:type="dxa"/>
            <w:tcBorders>
              <w:top w:val="nil"/>
              <w:left w:val="nil"/>
              <w:bottom w:val="nil"/>
              <w:right w:val="nil"/>
            </w:tcBorders>
            <w:shd w:val="clear" w:color="000000" w:fill="D9D9D9"/>
            <w:noWrap/>
            <w:vAlign w:val="center"/>
            <w:hideMark/>
          </w:tcPr>
          <w:p w14:paraId="5D3BD2F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B1A3C21" w14:textId="6775CFF3"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14:paraId="3FF222F2" w14:textId="5E4CC99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1,657 </w:t>
            </w:r>
          </w:p>
        </w:tc>
        <w:tc>
          <w:tcPr>
            <w:tcW w:w="854" w:type="dxa"/>
            <w:gridSpan w:val="2"/>
            <w:tcBorders>
              <w:top w:val="nil"/>
              <w:left w:val="nil"/>
              <w:bottom w:val="nil"/>
              <w:right w:val="nil"/>
            </w:tcBorders>
            <w:shd w:val="clear" w:color="000000" w:fill="FFFFFF"/>
            <w:noWrap/>
            <w:vAlign w:val="center"/>
            <w:hideMark/>
          </w:tcPr>
          <w:p w14:paraId="1B0A89DC" w14:textId="53DFA0D4"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1,657 </w:t>
            </w:r>
          </w:p>
        </w:tc>
      </w:tr>
      <w:tr w:rsidR="00EB4CBD" w:rsidRPr="003F135F" w14:paraId="733786BF" w14:textId="77777777" w:rsidTr="00E84205">
        <w:tc>
          <w:tcPr>
            <w:tcW w:w="3529" w:type="dxa"/>
            <w:tcBorders>
              <w:top w:val="nil"/>
              <w:left w:val="nil"/>
              <w:bottom w:val="nil"/>
              <w:right w:val="nil"/>
            </w:tcBorders>
            <w:shd w:val="clear" w:color="000000" w:fill="FFFFFF"/>
            <w:noWrap/>
            <w:vAlign w:val="center"/>
            <w:hideMark/>
          </w:tcPr>
          <w:p w14:paraId="7C76FF9A" w14:textId="4529B6B0"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Swiss tax rebates</w:t>
            </w:r>
          </w:p>
        </w:tc>
        <w:tc>
          <w:tcPr>
            <w:tcW w:w="844" w:type="dxa"/>
            <w:tcBorders>
              <w:top w:val="nil"/>
              <w:left w:val="nil"/>
              <w:bottom w:val="nil"/>
              <w:right w:val="nil"/>
            </w:tcBorders>
            <w:shd w:val="clear" w:color="000000" w:fill="FFFFFF"/>
            <w:noWrap/>
            <w:vAlign w:val="center"/>
            <w:hideMark/>
          </w:tcPr>
          <w:p w14:paraId="7C38AD8E"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10</w:t>
            </w:r>
          </w:p>
        </w:tc>
        <w:tc>
          <w:tcPr>
            <w:tcW w:w="849" w:type="dxa"/>
            <w:tcBorders>
              <w:top w:val="nil"/>
              <w:left w:val="nil"/>
              <w:bottom w:val="single" w:sz="4" w:space="0" w:color="auto"/>
              <w:right w:val="nil"/>
            </w:tcBorders>
            <w:shd w:val="clear" w:color="000000" w:fill="FFFFFF"/>
            <w:noWrap/>
            <w:vAlign w:val="center"/>
            <w:hideMark/>
          </w:tcPr>
          <w:p w14:paraId="25670F1B" w14:textId="2DB78F05"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202 </w:t>
            </w:r>
          </w:p>
        </w:tc>
        <w:tc>
          <w:tcPr>
            <w:tcW w:w="850" w:type="dxa"/>
            <w:tcBorders>
              <w:top w:val="nil"/>
              <w:left w:val="nil"/>
              <w:bottom w:val="single" w:sz="4" w:space="0" w:color="auto"/>
              <w:right w:val="nil"/>
            </w:tcBorders>
            <w:shd w:val="clear" w:color="000000" w:fill="FFFFFF"/>
            <w:noWrap/>
            <w:vAlign w:val="center"/>
            <w:hideMark/>
          </w:tcPr>
          <w:p w14:paraId="16D1AF27" w14:textId="75F68250"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7D02DE78" w14:textId="5208E46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202 </w:t>
            </w:r>
          </w:p>
        </w:tc>
        <w:tc>
          <w:tcPr>
            <w:tcW w:w="239" w:type="dxa"/>
            <w:tcBorders>
              <w:top w:val="nil"/>
              <w:left w:val="nil"/>
              <w:bottom w:val="single" w:sz="4" w:space="0" w:color="auto"/>
              <w:right w:val="nil"/>
            </w:tcBorders>
            <w:shd w:val="clear" w:color="000000" w:fill="D9D9D9"/>
            <w:noWrap/>
            <w:vAlign w:val="center"/>
            <w:hideMark/>
          </w:tcPr>
          <w:p w14:paraId="721DA53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single" w:sz="4" w:space="0" w:color="auto"/>
              <w:right w:val="nil"/>
            </w:tcBorders>
            <w:shd w:val="clear" w:color="000000" w:fill="FFFFFF"/>
            <w:noWrap/>
            <w:vAlign w:val="center"/>
            <w:hideMark/>
          </w:tcPr>
          <w:p w14:paraId="76591AE7" w14:textId="781BE7C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221 </w:t>
            </w:r>
          </w:p>
        </w:tc>
        <w:tc>
          <w:tcPr>
            <w:tcW w:w="850" w:type="dxa"/>
            <w:tcBorders>
              <w:top w:val="nil"/>
              <w:left w:val="nil"/>
              <w:bottom w:val="single" w:sz="4" w:space="0" w:color="auto"/>
              <w:right w:val="nil"/>
            </w:tcBorders>
            <w:shd w:val="clear" w:color="000000" w:fill="FFFFFF"/>
            <w:noWrap/>
            <w:vAlign w:val="center"/>
            <w:hideMark/>
          </w:tcPr>
          <w:p w14:paraId="284C77C0" w14:textId="0CF22C8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04D82607" w14:textId="1BEF8A8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221 </w:t>
            </w:r>
          </w:p>
        </w:tc>
      </w:tr>
      <w:tr w:rsidR="00EB4CBD" w:rsidRPr="003F135F" w14:paraId="265C0501" w14:textId="77777777" w:rsidTr="00E84205">
        <w:tc>
          <w:tcPr>
            <w:tcW w:w="3529" w:type="dxa"/>
            <w:tcBorders>
              <w:top w:val="nil"/>
              <w:left w:val="nil"/>
              <w:bottom w:val="nil"/>
              <w:right w:val="nil"/>
            </w:tcBorders>
            <w:shd w:val="clear" w:color="000000" w:fill="FFFFFF"/>
            <w:noWrap/>
            <w:vAlign w:val="center"/>
            <w:hideMark/>
          </w:tcPr>
          <w:p w14:paraId="34395409" w14:textId="77777777" w:rsidR="00EB4CBD" w:rsidRPr="003F135F" w:rsidRDefault="00EB4CBD" w:rsidP="003F135F">
            <w:pPr>
              <w:ind w:left="-1520" w:firstLine="1520"/>
              <w:rPr>
                <w:rFonts w:asciiTheme="minorHAnsi" w:eastAsia="Times New Roman" w:hAnsiTheme="minorHAnsi" w:cstheme="minorHAnsi"/>
                <w:i/>
                <w:iCs/>
                <w:sz w:val="20"/>
                <w:szCs w:val="20"/>
                <w:lang w:eastAsia="en-GB"/>
              </w:rPr>
            </w:pPr>
            <w:r w:rsidRPr="003F135F">
              <w:rPr>
                <w:rFonts w:asciiTheme="minorHAnsi" w:eastAsia="Times New Roman" w:hAnsiTheme="minorHAnsi" w:cstheme="minorHAnsi"/>
                <w:i/>
                <w:iCs/>
                <w:sz w:val="20"/>
                <w:szCs w:val="20"/>
                <w:lang w:eastAsia="en-GB"/>
              </w:rPr>
              <w:t>Total external income</w:t>
            </w:r>
          </w:p>
        </w:tc>
        <w:tc>
          <w:tcPr>
            <w:tcW w:w="844" w:type="dxa"/>
            <w:tcBorders>
              <w:top w:val="nil"/>
              <w:left w:val="nil"/>
              <w:bottom w:val="nil"/>
              <w:right w:val="nil"/>
            </w:tcBorders>
            <w:shd w:val="clear" w:color="000000" w:fill="FFFFFF"/>
            <w:noWrap/>
            <w:vAlign w:val="center"/>
            <w:hideMark/>
          </w:tcPr>
          <w:p w14:paraId="1659A07C"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076E65E7" w14:textId="30F6145F"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5,047 </w:t>
            </w:r>
          </w:p>
        </w:tc>
        <w:tc>
          <w:tcPr>
            <w:tcW w:w="850" w:type="dxa"/>
            <w:tcBorders>
              <w:top w:val="nil"/>
              <w:left w:val="nil"/>
              <w:bottom w:val="nil"/>
              <w:right w:val="nil"/>
            </w:tcBorders>
            <w:shd w:val="clear" w:color="000000" w:fill="FFFFFF"/>
            <w:noWrap/>
            <w:vAlign w:val="center"/>
            <w:hideMark/>
          </w:tcPr>
          <w:p w14:paraId="350911EA" w14:textId="181FEC5D"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381 </w:t>
            </w:r>
          </w:p>
        </w:tc>
        <w:tc>
          <w:tcPr>
            <w:tcW w:w="854" w:type="dxa"/>
            <w:gridSpan w:val="2"/>
            <w:tcBorders>
              <w:top w:val="nil"/>
              <w:left w:val="nil"/>
              <w:bottom w:val="nil"/>
              <w:right w:val="nil"/>
            </w:tcBorders>
            <w:shd w:val="clear" w:color="000000" w:fill="FFFFFF"/>
            <w:noWrap/>
            <w:vAlign w:val="center"/>
            <w:hideMark/>
          </w:tcPr>
          <w:p w14:paraId="19481C2F" w14:textId="1BBB6B8D"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5,428 </w:t>
            </w:r>
          </w:p>
        </w:tc>
        <w:tc>
          <w:tcPr>
            <w:tcW w:w="239" w:type="dxa"/>
            <w:tcBorders>
              <w:top w:val="nil"/>
              <w:left w:val="nil"/>
              <w:bottom w:val="nil"/>
              <w:right w:val="nil"/>
            </w:tcBorders>
            <w:shd w:val="clear" w:color="000000" w:fill="D9D9D9"/>
            <w:noWrap/>
            <w:vAlign w:val="center"/>
            <w:hideMark/>
          </w:tcPr>
          <w:p w14:paraId="7E6DFB55"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5C4FD7ED" w14:textId="2C825C99"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5,066 </w:t>
            </w:r>
          </w:p>
        </w:tc>
        <w:tc>
          <w:tcPr>
            <w:tcW w:w="850" w:type="dxa"/>
            <w:tcBorders>
              <w:top w:val="nil"/>
              <w:left w:val="nil"/>
              <w:bottom w:val="nil"/>
              <w:right w:val="nil"/>
            </w:tcBorders>
            <w:shd w:val="clear" w:color="000000" w:fill="FFFFFF"/>
            <w:noWrap/>
            <w:vAlign w:val="center"/>
            <w:hideMark/>
          </w:tcPr>
          <w:p w14:paraId="7E93E583" w14:textId="19E413CF"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1,664 </w:t>
            </w:r>
          </w:p>
        </w:tc>
        <w:tc>
          <w:tcPr>
            <w:tcW w:w="854" w:type="dxa"/>
            <w:gridSpan w:val="2"/>
            <w:tcBorders>
              <w:top w:val="nil"/>
              <w:left w:val="nil"/>
              <w:bottom w:val="nil"/>
              <w:right w:val="nil"/>
            </w:tcBorders>
            <w:shd w:val="clear" w:color="000000" w:fill="FFFFFF"/>
            <w:noWrap/>
            <w:vAlign w:val="center"/>
            <w:hideMark/>
          </w:tcPr>
          <w:p w14:paraId="3A4C90CE" w14:textId="59B4CA0E"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6,730 </w:t>
            </w:r>
          </w:p>
        </w:tc>
      </w:tr>
      <w:tr w:rsidR="00EB4CBD" w:rsidRPr="003F135F" w14:paraId="5DF2E78A" w14:textId="77777777" w:rsidTr="00E84205">
        <w:tc>
          <w:tcPr>
            <w:tcW w:w="3529" w:type="dxa"/>
            <w:tcBorders>
              <w:top w:val="nil"/>
              <w:left w:val="nil"/>
              <w:bottom w:val="nil"/>
              <w:right w:val="nil"/>
            </w:tcBorders>
            <w:shd w:val="clear" w:color="000000" w:fill="FFFFFF"/>
            <w:noWrap/>
            <w:vAlign w:val="center"/>
            <w:hideMark/>
          </w:tcPr>
          <w:p w14:paraId="3338CCDC" w14:textId="77777777" w:rsidR="00EB4CBD" w:rsidRPr="003F135F" w:rsidRDefault="00EB4CBD" w:rsidP="003F135F">
            <w:pPr>
              <w:ind w:left="0" w:firstLine="0"/>
              <w:rPr>
                <w:rFonts w:asciiTheme="minorHAnsi" w:eastAsia="Times New Roman" w:hAnsiTheme="minorHAnsi" w:cstheme="minorHAnsi"/>
                <w:color w:val="000000"/>
                <w:sz w:val="20"/>
                <w:szCs w:val="20"/>
                <w:lang w:eastAsia="en-GB"/>
              </w:rPr>
            </w:pPr>
            <w:r w:rsidRPr="003F135F">
              <w:rPr>
                <w:rFonts w:asciiTheme="minorHAnsi" w:eastAsia="Times New Roman" w:hAnsiTheme="minorHAnsi" w:cstheme="minorHAnsi"/>
                <w:color w:val="000000"/>
                <w:sz w:val="20"/>
                <w:szCs w:val="20"/>
                <w:lang w:eastAsia="en-GB"/>
              </w:rPr>
              <w:t> </w:t>
            </w:r>
          </w:p>
        </w:tc>
        <w:tc>
          <w:tcPr>
            <w:tcW w:w="844" w:type="dxa"/>
            <w:tcBorders>
              <w:top w:val="nil"/>
              <w:left w:val="nil"/>
              <w:bottom w:val="nil"/>
              <w:right w:val="nil"/>
            </w:tcBorders>
            <w:shd w:val="clear" w:color="000000" w:fill="FFFFFF"/>
            <w:noWrap/>
            <w:vAlign w:val="center"/>
            <w:hideMark/>
          </w:tcPr>
          <w:p w14:paraId="2517D111"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1DBC350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DF23AB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13AA2D5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029B352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752315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DFBE007"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6FB3C0A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5B96B3EC" w14:textId="77777777" w:rsidTr="00E84205">
        <w:tc>
          <w:tcPr>
            <w:tcW w:w="3529" w:type="dxa"/>
            <w:tcBorders>
              <w:top w:val="nil"/>
              <w:left w:val="nil"/>
              <w:bottom w:val="nil"/>
              <w:right w:val="nil"/>
            </w:tcBorders>
            <w:shd w:val="clear" w:color="000000" w:fill="FFFFFF"/>
            <w:noWrap/>
            <w:vAlign w:val="center"/>
            <w:hideMark/>
          </w:tcPr>
          <w:p w14:paraId="4AA9725F"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Transfer between core and non-core projects</w:t>
            </w:r>
          </w:p>
        </w:tc>
        <w:tc>
          <w:tcPr>
            <w:tcW w:w="844" w:type="dxa"/>
            <w:tcBorders>
              <w:top w:val="nil"/>
              <w:left w:val="nil"/>
              <w:bottom w:val="nil"/>
              <w:right w:val="nil"/>
            </w:tcBorders>
            <w:shd w:val="clear" w:color="000000" w:fill="FFFFFF"/>
            <w:noWrap/>
            <w:vAlign w:val="center"/>
            <w:hideMark/>
          </w:tcPr>
          <w:p w14:paraId="61958D29"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41555841" w14:textId="3A3018B8"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(115)</w:t>
            </w:r>
          </w:p>
        </w:tc>
        <w:tc>
          <w:tcPr>
            <w:tcW w:w="850" w:type="dxa"/>
            <w:tcBorders>
              <w:top w:val="nil"/>
              <w:left w:val="nil"/>
              <w:bottom w:val="nil"/>
              <w:right w:val="nil"/>
            </w:tcBorders>
            <w:shd w:val="clear" w:color="000000" w:fill="FFFFFF"/>
            <w:noWrap/>
            <w:vAlign w:val="center"/>
            <w:hideMark/>
          </w:tcPr>
          <w:p w14:paraId="4086A008" w14:textId="0019C9C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115 </w:t>
            </w:r>
          </w:p>
        </w:tc>
        <w:tc>
          <w:tcPr>
            <w:tcW w:w="854" w:type="dxa"/>
            <w:gridSpan w:val="2"/>
            <w:tcBorders>
              <w:top w:val="nil"/>
              <w:left w:val="nil"/>
              <w:bottom w:val="nil"/>
              <w:right w:val="nil"/>
            </w:tcBorders>
            <w:shd w:val="clear" w:color="000000" w:fill="FFFFFF"/>
            <w:noWrap/>
            <w:vAlign w:val="center"/>
            <w:hideMark/>
          </w:tcPr>
          <w:p w14:paraId="7280A854" w14:textId="41A3EFD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239" w:type="dxa"/>
            <w:tcBorders>
              <w:top w:val="nil"/>
              <w:left w:val="nil"/>
              <w:bottom w:val="nil"/>
              <w:right w:val="nil"/>
            </w:tcBorders>
            <w:shd w:val="clear" w:color="000000" w:fill="D9D9D9"/>
            <w:noWrap/>
            <w:vAlign w:val="center"/>
            <w:hideMark/>
          </w:tcPr>
          <w:p w14:paraId="4CC683BE"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76B8F925" w14:textId="785FA58C"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(3)</w:t>
            </w:r>
          </w:p>
        </w:tc>
        <w:tc>
          <w:tcPr>
            <w:tcW w:w="850" w:type="dxa"/>
            <w:tcBorders>
              <w:top w:val="nil"/>
              <w:left w:val="nil"/>
              <w:bottom w:val="nil"/>
              <w:right w:val="nil"/>
            </w:tcBorders>
            <w:shd w:val="clear" w:color="000000" w:fill="FFFFFF"/>
            <w:noWrap/>
            <w:vAlign w:val="center"/>
            <w:hideMark/>
          </w:tcPr>
          <w:p w14:paraId="3EABB63D" w14:textId="0EBE68C3"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3 </w:t>
            </w:r>
          </w:p>
        </w:tc>
        <w:tc>
          <w:tcPr>
            <w:tcW w:w="854" w:type="dxa"/>
            <w:gridSpan w:val="2"/>
            <w:tcBorders>
              <w:top w:val="nil"/>
              <w:left w:val="nil"/>
              <w:bottom w:val="nil"/>
              <w:right w:val="nil"/>
            </w:tcBorders>
            <w:shd w:val="clear" w:color="000000" w:fill="FFFFFF"/>
            <w:noWrap/>
            <w:vAlign w:val="center"/>
            <w:hideMark/>
          </w:tcPr>
          <w:p w14:paraId="7A3B9A2D" w14:textId="4935FEE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r>
      <w:tr w:rsidR="00EB4CBD" w:rsidRPr="003F135F" w14:paraId="40F0881F" w14:textId="77777777" w:rsidTr="00E84205">
        <w:tc>
          <w:tcPr>
            <w:tcW w:w="3529" w:type="dxa"/>
            <w:tcBorders>
              <w:top w:val="nil"/>
              <w:left w:val="nil"/>
              <w:bottom w:val="nil"/>
              <w:right w:val="nil"/>
            </w:tcBorders>
            <w:shd w:val="clear" w:color="000000" w:fill="FFFFFF"/>
            <w:noWrap/>
            <w:vAlign w:val="center"/>
            <w:hideMark/>
          </w:tcPr>
          <w:p w14:paraId="3F813D13"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5C10E1A9"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0EADEF7B"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854B65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6B09918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69202A0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1F832E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3508A0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26FC87C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5F6CB3C3" w14:textId="77777777" w:rsidTr="00E84205">
        <w:tc>
          <w:tcPr>
            <w:tcW w:w="3529" w:type="dxa"/>
            <w:tcBorders>
              <w:top w:val="nil"/>
              <w:left w:val="nil"/>
              <w:bottom w:val="nil"/>
              <w:right w:val="nil"/>
            </w:tcBorders>
            <w:shd w:val="clear" w:color="000000" w:fill="FFFFFF"/>
            <w:noWrap/>
            <w:vAlign w:val="center"/>
            <w:hideMark/>
          </w:tcPr>
          <w:p w14:paraId="66A2F004" w14:textId="77777777"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Total Income</w:t>
            </w:r>
          </w:p>
        </w:tc>
        <w:tc>
          <w:tcPr>
            <w:tcW w:w="844" w:type="dxa"/>
            <w:tcBorders>
              <w:top w:val="nil"/>
              <w:left w:val="nil"/>
              <w:bottom w:val="nil"/>
              <w:right w:val="nil"/>
            </w:tcBorders>
            <w:shd w:val="clear" w:color="000000" w:fill="FFFFFF"/>
            <w:noWrap/>
            <w:vAlign w:val="center"/>
            <w:hideMark/>
          </w:tcPr>
          <w:p w14:paraId="13DEB2BB"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single" w:sz="4" w:space="0" w:color="auto"/>
              <w:left w:val="nil"/>
              <w:bottom w:val="single" w:sz="4" w:space="0" w:color="auto"/>
              <w:right w:val="nil"/>
            </w:tcBorders>
            <w:shd w:val="clear" w:color="000000" w:fill="FFFFFF"/>
            <w:noWrap/>
            <w:vAlign w:val="center"/>
            <w:hideMark/>
          </w:tcPr>
          <w:p w14:paraId="617B6B46" w14:textId="388B0FB3"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4,932 </w:t>
            </w:r>
          </w:p>
        </w:tc>
        <w:tc>
          <w:tcPr>
            <w:tcW w:w="850" w:type="dxa"/>
            <w:tcBorders>
              <w:top w:val="single" w:sz="4" w:space="0" w:color="auto"/>
              <w:left w:val="nil"/>
              <w:bottom w:val="single" w:sz="4" w:space="0" w:color="auto"/>
              <w:right w:val="nil"/>
            </w:tcBorders>
            <w:shd w:val="clear" w:color="000000" w:fill="FFFFFF"/>
            <w:noWrap/>
            <w:vAlign w:val="center"/>
            <w:hideMark/>
          </w:tcPr>
          <w:p w14:paraId="6B528DD5" w14:textId="49E61EE4"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496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0CA80C3E" w14:textId="1C3BFB01"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5,428 </w:t>
            </w:r>
          </w:p>
        </w:tc>
        <w:tc>
          <w:tcPr>
            <w:tcW w:w="239" w:type="dxa"/>
            <w:tcBorders>
              <w:top w:val="single" w:sz="4" w:space="0" w:color="auto"/>
              <w:left w:val="nil"/>
              <w:bottom w:val="single" w:sz="4" w:space="0" w:color="auto"/>
              <w:right w:val="nil"/>
            </w:tcBorders>
            <w:shd w:val="clear" w:color="000000" w:fill="D9D9D9"/>
            <w:noWrap/>
            <w:vAlign w:val="center"/>
            <w:hideMark/>
          </w:tcPr>
          <w:p w14:paraId="25EA6A4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single" w:sz="4" w:space="0" w:color="auto"/>
              <w:left w:val="nil"/>
              <w:bottom w:val="single" w:sz="4" w:space="0" w:color="auto"/>
              <w:right w:val="nil"/>
            </w:tcBorders>
            <w:shd w:val="clear" w:color="000000" w:fill="FFFFFF"/>
            <w:noWrap/>
            <w:vAlign w:val="center"/>
            <w:hideMark/>
          </w:tcPr>
          <w:p w14:paraId="2CFB479C" w14:textId="3515BF95"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5,063 </w:t>
            </w:r>
          </w:p>
        </w:tc>
        <w:tc>
          <w:tcPr>
            <w:tcW w:w="850" w:type="dxa"/>
            <w:tcBorders>
              <w:top w:val="single" w:sz="4" w:space="0" w:color="auto"/>
              <w:left w:val="nil"/>
              <w:bottom w:val="single" w:sz="4" w:space="0" w:color="auto"/>
              <w:right w:val="nil"/>
            </w:tcBorders>
            <w:shd w:val="clear" w:color="000000" w:fill="FFFFFF"/>
            <w:noWrap/>
            <w:vAlign w:val="center"/>
            <w:hideMark/>
          </w:tcPr>
          <w:p w14:paraId="23C0F99A" w14:textId="6D3EA5F2"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1,667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1C17FDB4" w14:textId="6832E9B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6,730 </w:t>
            </w:r>
          </w:p>
        </w:tc>
      </w:tr>
      <w:tr w:rsidR="00EB4CBD" w:rsidRPr="003F135F" w14:paraId="2182DE1F" w14:textId="77777777" w:rsidTr="00E84205">
        <w:tc>
          <w:tcPr>
            <w:tcW w:w="3529" w:type="dxa"/>
            <w:tcBorders>
              <w:top w:val="nil"/>
              <w:left w:val="nil"/>
              <w:bottom w:val="nil"/>
              <w:right w:val="nil"/>
            </w:tcBorders>
            <w:shd w:val="clear" w:color="000000" w:fill="FFFFFF"/>
            <w:noWrap/>
            <w:vAlign w:val="center"/>
            <w:hideMark/>
          </w:tcPr>
          <w:p w14:paraId="683923B8" w14:textId="77777777" w:rsidR="00EB4CBD" w:rsidRPr="003F135F" w:rsidRDefault="00EB4CBD" w:rsidP="003F135F">
            <w:pPr>
              <w:ind w:left="0" w:firstLine="0"/>
              <w:rPr>
                <w:rFonts w:asciiTheme="minorHAnsi" w:eastAsia="Times New Roman" w:hAnsiTheme="minorHAnsi" w:cstheme="minorHAnsi"/>
                <w:color w:val="000000"/>
                <w:sz w:val="20"/>
                <w:szCs w:val="20"/>
                <w:lang w:eastAsia="en-GB"/>
              </w:rPr>
            </w:pPr>
            <w:r w:rsidRPr="003F135F">
              <w:rPr>
                <w:rFonts w:asciiTheme="minorHAnsi" w:eastAsia="Times New Roman" w:hAnsiTheme="minorHAnsi" w:cstheme="minorHAnsi"/>
                <w:color w:val="000000"/>
                <w:sz w:val="20"/>
                <w:szCs w:val="20"/>
                <w:lang w:eastAsia="en-GB"/>
              </w:rPr>
              <w:t> </w:t>
            </w:r>
          </w:p>
        </w:tc>
        <w:tc>
          <w:tcPr>
            <w:tcW w:w="844" w:type="dxa"/>
            <w:tcBorders>
              <w:top w:val="nil"/>
              <w:left w:val="nil"/>
              <w:bottom w:val="nil"/>
              <w:right w:val="nil"/>
            </w:tcBorders>
            <w:shd w:val="clear" w:color="000000" w:fill="FFFFFF"/>
            <w:noWrap/>
            <w:vAlign w:val="center"/>
            <w:hideMark/>
          </w:tcPr>
          <w:p w14:paraId="731C288D"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1A4C99D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53AE31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2DD2CF2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0B6155B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302346A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0AF40F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38C2BAB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773FA633" w14:textId="77777777" w:rsidTr="00E84205">
        <w:tc>
          <w:tcPr>
            <w:tcW w:w="3529" w:type="dxa"/>
            <w:tcBorders>
              <w:top w:val="nil"/>
              <w:left w:val="nil"/>
              <w:bottom w:val="nil"/>
              <w:right w:val="nil"/>
            </w:tcBorders>
            <w:shd w:val="clear" w:color="000000" w:fill="FFFFFF"/>
            <w:noWrap/>
            <w:vAlign w:val="center"/>
            <w:hideMark/>
          </w:tcPr>
          <w:p w14:paraId="34900F99" w14:textId="77777777"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Expenditure</w:t>
            </w:r>
          </w:p>
        </w:tc>
        <w:tc>
          <w:tcPr>
            <w:tcW w:w="844" w:type="dxa"/>
            <w:tcBorders>
              <w:top w:val="nil"/>
              <w:left w:val="nil"/>
              <w:bottom w:val="nil"/>
              <w:right w:val="nil"/>
            </w:tcBorders>
            <w:shd w:val="clear" w:color="000000" w:fill="FFFFFF"/>
            <w:noWrap/>
            <w:vAlign w:val="center"/>
            <w:hideMark/>
          </w:tcPr>
          <w:p w14:paraId="15B32D3D"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15DB29A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3ADE9C0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6E4A5B7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35A3619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7E469D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81FD1A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1179585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190D2D9A" w14:textId="77777777" w:rsidTr="00E84205">
        <w:tc>
          <w:tcPr>
            <w:tcW w:w="3529" w:type="dxa"/>
            <w:tcBorders>
              <w:top w:val="nil"/>
              <w:left w:val="nil"/>
              <w:bottom w:val="nil"/>
              <w:right w:val="nil"/>
            </w:tcBorders>
            <w:shd w:val="clear" w:color="000000" w:fill="FFFFFF"/>
            <w:noWrap/>
            <w:vAlign w:val="center"/>
            <w:hideMark/>
          </w:tcPr>
          <w:p w14:paraId="5FD7D821" w14:textId="77777777" w:rsidR="00EB4CBD" w:rsidRPr="003F135F" w:rsidRDefault="00EB4CBD" w:rsidP="003F135F">
            <w:pPr>
              <w:ind w:left="0" w:firstLine="0"/>
              <w:rPr>
                <w:rFonts w:asciiTheme="minorHAnsi" w:eastAsia="Times New Roman" w:hAnsiTheme="minorHAnsi" w:cstheme="minorHAnsi"/>
                <w:i/>
                <w:iCs/>
                <w:color w:val="000000"/>
                <w:sz w:val="20"/>
                <w:szCs w:val="20"/>
                <w:lang w:eastAsia="en-GB"/>
              </w:rPr>
            </w:pPr>
            <w:r w:rsidRPr="003F135F">
              <w:rPr>
                <w:rFonts w:asciiTheme="minorHAnsi" w:eastAsia="Times New Roman" w:hAnsiTheme="minorHAnsi" w:cstheme="minorHAnsi"/>
                <w:i/>
                <w:iCs/>
                <w:color w:val="000000"/>
                <w:sz w:val="20"/>
                <w:szCs w:val="20"/>
                <w:lang w:eastAsia="en-GB"/>
              </w:rPr>
              <w:t>Operating expenditure:</w:t>
            </w:r>
          </w:p>
        </w:tc>
        <w:tc>
          <w:tcPr>
            <w:tcW w:w="844" w:type="dxa"/>
            <w:tcBorders>
              <w:top w:val="nil"/>
              <w:left w:val="nil"/>
              <w:bottom w:val="nil"/>
              <w:right w:val="nil"/>
            </w:tcBorders>
            <w:shd w:val="clear" w:color="000000" w:fill="FFFFFF"/>
            <w:noWrap/>
            <w:vAlign w:val="center"/>
            <w:hideMark/>
          </w:tcPr>
          <w:p w14:paraId="768B4F83"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5976598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E25CE1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51AD61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2193AEC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39A50FB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BD6B11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4A2C1AC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09589BE3" w14:textId="77777777" w:rsidTr="00E84205">
        <w:tc>
          <w:tcPr>
            <w:tcW w:w="3529" w:type="dxa"/>
            <w:tcBorders>
              <w:top w:val="nil"/>
              <w:left w:val="nil"/>
              <w:bottom w:val="nil"/>
              <w:right w:val="nil"/>
            </w:tcBorders>
            <w:shd w:val="clear" w:color="000000" w:fill="FFFFFF"/>
            <w:noWrap/>
            <w:vAlign w:val="center"/>
            <w:hideMark/>
          </w:tcPr>
          <w:p w14:paraId="299B1B7A" w14:textId="043D0C84"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Resource Mobilisation and Outreach</w:t>
            </w:r>
          </w:p>
        </w:tc>
        <w:tc>
          <w:tcPr>
            <w:tcW w:w="844" w:type="dxa"/>
            <w:tcBorders>
              <w:top w:val="nil"/>
              <w:left w:val="nil"/>
              <w:bottom w:val="nil"/>
              <w:right w:val="nil"/>
            </w:tcBorders>
            <w:shd w:val="clear" w:color="000000" w:fill="FFFFFF"/>
            <w:noWrap/>
            <w:vAlign w:val="center"/>
            <w:hideMark/>
          </w:tcPr>
          <w:p w14:paraId="3E79E971"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65FD70E3" w14:textId="39C5C660"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(319)</w:t>
            </w:r>
          </w:p>
        </w:tc>
        <w:tc>
          <w:tcPr>
            <w:tcW w:w="850" w:type="dxa"/>
            <w:tcBorders>
              <w:top w:val="nil"/>
              <w:left w:val="nil"/>
              <w:bottom w:val="nil"/>
              <w:right w:val="nil"/>
            </w:tcBorders>
            <w:shd w:val="clear" w:color="000000" w:fill="FFFFFF"/>
            <w:noWrap/>
            <w:vAlign w:val="center"/>
            <w:hideMark/>
          </w:tcPr>
          <w:p w14:paraId="300DB484" w14:textId="04DAAE08"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(159)</w:t>
            </w:r>
          </w:p>
        </w:tc>
        <w:tc>
          <w:tcPr>
            <w:tcW w:w="854" w:type="dxa"/>
            <w:gridSpan w:val="2"/>
            <w:tcBorders>
              <w:top w:val="nil"/>
              <w:left w:val="nil"/>
              <w:bottom w:val="nil"/>
              <w:right w:val="nil"/>
            </w:tcBorders>
            <w:shd w:val="clear" w:color="000000" w:fill="FFFFFF"/>
            <w:noWrap/>
            <w:vAlign w:val="center"/>
            <w:hideMark/>
          </w:tcPr>
          <w:p w14:paraId="73136898" w14:textId="735819E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(478)</w:t>
            </w:r>
          </w:p>
        </w:tc>
        <w:tc>
          <w:tcPr>
            <w:tcW w:w="239" w:type="dxa"/>
            <w:tcBorders>
              <w:top w:val="nil"/>
              <w:left w:val="nil"/>
              <w:bottom w:val="nil"/>
              <w:right w:val="nil"/>
            </w:tcBorders>
            <w:shd w:val="clear" w:color="000000" w:fill="D9D9D9"/>
            <w:noWrap/>
            <w:vAlign w:val="center"/>
            <w:hideMark/>
          </w:tcPr>
          <w:p w14:paraId="4AA09557"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0D8E09D8" w14:textId="1343CF7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(556)</w:t>
            </w:r>
          </w:p>
        </w:tc>
        <w:tc>
          <w:tcPr>
            <w:tcW w:w="850" w:type="dxa"/>
            <w:tcBorders>
              <w:top w:val="nil"/>
              <w:left w:val="nil"/>
              <w:bottom w:val="nil"/>
              <w:right w:val="nil"/>
            </w:tcBorders>
            <w:shd w:val="clear" w:color="000000" w:fill="FFFFFF"/>
            <w:noWrap/>
            <w:vAlign w:val="center"/>
            <w:hideMark/>
          </w:tcPr>
          <w:p w14:paraId="6279FC82" w14:textId="2EAE061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(321)</w:t>
            </w:r>
          </w:p>
        </w:tc>
        <w:tc>
          <w:tcPr>
            <w:tcW w:w="854" w:type="dxa"/>
            <w:gridSpan w:val="2"/>
            <w:tcBorders>
              <w:top w:val="nil"/>
              <w:left w:val="nil"/>
              <w:bottom w:val="nil"/>
              <w:right w:val="nil"/>
            </w:tcBorders>
            <w:shd w:val="clear" w:color="000000" w:fill="FFFFFF"/>
            <w:noWrap/>
            <w:vAlign w:val="center"/>
            <w:hideMark/>
          </w:tcPr>
          <w:p w14:paraId="298C6056" w14:textId="54F6C25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(877)</w:t>
            </w:r>
          </w:p>
        </w:tc>
      </w:tr>
      <w:tr w:rsidR="00EB4CBD" w:rsidRPr="003F135F" w14:paraId="4C710109" w14:textId="77777777" w:rsidTr="00E84205">
        <w:tc>
          <w:tcPr>
            <w:tcW w:w="3529" w:type="dxa"/>
            <w:tcBorders>
              <w:top w:val="nil"/>
              <w:left w:val="nil"/>
              <w:bottom w:val="nil"/>
              <w:right w:val="nil"/>
            </w:tcBorders>
            <w:shd w:val="clear" w:color="000000" w:fill="FFFFFF"/>
            <w:noWrap/>
            <w:vAlign w:val="center"/>
            <w:hideMark/>
          </w:tcPr>
          <w:p w14:paraId="2761025F" w14:textId="1989AB31"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Regional Advice, Initiatives and Support</w:t>
            </w:r>
          </w:p>
        </w:tc>
        <w:tc>
          <w:tcPr>
            <w:tcW w:w="844" w:type="dxa"/>
            <w:tcBorders>
              <w:top w:val="nil"/>
              <w:left w:val="nil"/>
              <w:bottom w:val="nil"/>
              <w:right w:val="nil"/>
            </w:tcBorders>
            <w:shd w:val="clear" w:color="000000" w:fill="FFFFFF"/>
            <w:noWrap/>
            <w:vAlign w:val="center"/>
            <w:hideMark/>
          </w:tcPr>
          <w:p w14:paraId="4FA4C51C"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7F2AB1C3" w14:textId="4419179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(1,245)</w:t>
            </w:r>
          </w:p>
        </w:tc>
        <w:tc>
          <w:tcPr>
            <w:tcW w:w="850" w:type="dxa"/>
            <w:tcBorders>
              <w:top w:val="nil"/>
              <w:left w:val="nil"/>
              <w:bottom w:val="nil"/>
              <w:right w:val="nil"/>
            </w:tcBorders>
            <w:shd w:val="clear" w:color="000000" w:fill="FFFFFF"/>
            <w:noWrap/>
            <w:vAlign w:val="center"/>
            <w:hideMark/>
          </w:tcPr>
          <w:p w14:paraId="2AA29F05" w14:textId="25AACC73"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(174)</w:t>
            </w:r>
          </w:p>
        </w:tc>
        <w:tc>
          <w:tcPr>
            <w:tcW w:w="854" w:type="dxa"/>
            <w:gridSpan w:val="2"/>
            <w:tcBorders>
              <w:top w:val="nil"/>
              <w:left w:val="nil"/>
              <w:bottom w:val="nil"/>
              <w:right w:val="nil"/>
            </w:tcBorders>
            <w:shd w:val="clear" w:color="000000" w:fill="FFFFFF"/>
            <w:noWrap/>
            <w:vAlign w:val="center"/>
            <w:hideMark/>
          </w:tcPr>
          <w:p w14:paraId="1B7A2641" w14:textId="30A718E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(1,419)</w:t>
            </w:r>
          </w:p>
        </w:tc>
        <w:tc>
          <w:tcPr>
            <w:tcW w:w="239" w:type="dxa"/>
            <w:tcBorders>
              <w:top w:val="nil"/>
              <w:left w:val="nil"/>
              <w:bottom w:val="nil"/>
              <w:right w:val="nil"/>
            </w:tcBorders>
            <w:shd w:val="clear" w:color="000000" w:fill="D9D9D9"/>
            <w:noWrap/>
            <w:vAlign w:val="center"/>
            <w:hideMark/>
          </w:tcPr>
          <w:p w14:paraId="381A3A12"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61328FB1" w14:textId="3780A2EF"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(1,389)</w:t>
            </w:r>
          </w:p>
        </w:tc>
        <w:tc>
          <w:tcPr>
            <w:tcW w:w="850" w:type="dxa"/>
            <w:tcBorders>
              <w:top w:val="nil"/>
              <w:left w:val="nil"/>
              <w:bottom w:val="nil"/>
              <w:right w:val="nil"/>
            </w:tcBorders>
            <w:shd w:val="clear" w:color="000000" w:fill="FFFFFF"/>
            <w:noWrap/>
            <w:vAlign w:val="center"/>
            <w:hideMark/>
          </w:tcPr>
          <w:p w14:paraId="26F67177" w14:textId="0DFA765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(197)</w:t>
            </w:r>
          </w:p>
        </w:tc>
        <w:tc>
          <w:tcPr>
            <w:tcW w:w="854" w:type="dxa"/>
            <w:gridSpan w:val="2"/>
            <w:tcBorders>
              <w:top w:val="nil"/>
              <w:left w:val="nil"/>
              <w:bottom w:val="nil"/>
              <w:right w:val="nil"/>
            </w:tcBorders>
            <w:shd w:val="clear" w:color="000000" w:fill="FFFFFF"/>
            <w:noWrap/>
            <w:vAlign w:val="center"/>
            <w:hideMark/>
          </w:tcPr>
          <w:p w14:paraId="59DE9E6F" w14:textId="5CF77B7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(1,585)</w:t>
            </w:r>
          </w:p>
        </w:tc>
      </w:tr>
      <w:tr w:rsidR="00EB4CBD" w:rsidRPr="003F135F" w14:paraId="5488D7FB" w14:textId="77777777" w:rsidTr="00E84205">
        <w:tc>
          <w:tcPr>
            <w:tcW w:w="3529" w:type="dxa"/>
            <w:tcBorders>
              <w:top w:val="nil"/>
              <w:left w:val="nil"/>
              <w:bottom w:val="nil"/>
              <w:right w:val="nil"/>
            </w:tcBorders>
            <w:shd w:val="clear" w:color="000000" w:fill="FFFFFF"/>
            <w:noWrap/>
            <w:vAlign w:val="center"/>
            <w:hideMark/>
          </w:tcPr>
          <w:p w14:paraId="264181A6" w14:textId="35D13D0C"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Scientific and Technical Services</w:t>
            </w:r>
          </w:p>
        </w:tc>
        <w:tc>
          <w:tcPr>
            <w:tcW w:w="844" w:type="dxa"/>
            <w:tcBorders>
              <w:top w:val="nil"/>
              <w:left w:val="nil"/>
              <w:bottom w:val="nil"/>
              <w:right w:val="nil"/>
            </w:tcBorders>
            <w:shd w:val="clear" w:color="000000" w:fill="FFFFFF"/>
            <w:noWrap/>
            <w:vAlign w:val="center"/>
            <w:hideMark/>
          </w:tcPr>
          <w:p w14:paraId="3A178CCE"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348189F6" w14:textId="15E79D20"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(640)</w:t>
            </w:r>
          </w:p>
        </w:tc>
        <w:tc>
          <w:tcPr>
            <w:tcW w:w="850" w:type="dxa"/>
            <w:tcBorders>
              <w:top w:val="nil"/>
              <w:left w:val="nil"/>
              <w:bottom w:val="nil"/>
              <w:right w:val="nil"/>
            </w:tcBorders>
            <w:shd w:val="clear" w:color="000000" w:fill="FFFFFF"/>
            <w:noWrap/>
            <w:vAlign w:val="center"/>
            <w:hideMark/>
          </w:tcPr>
          <w:p w14:paraId="6F13DB57" w14:textId="1D47AF5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0 </w:t>
            </w:r>
          </w:p>
        </w:tc>
        <w:tc>
          <w:tcPr>
            <w:tcW w:w="854" w:type="dxa"/>
            <w:gridSpan w:val="2"/>
            <w:tcBorders>
              <w:top w:val="nil"/>
              <w:left w:val="nil"/>
              <w:bottom w:val="nil"/>
              <w:right w:val="nil"/>
            </w:tcBorders>
            <w:shd w:val="clear" w:color="000000" w:fill="FFFFFF"/>
            <w:noWrap/>
            <w:vAlign w:val="center"/>
            <w:hideMark/>
          </w:tcPr>
          <w:p w14:paraId="1137FD3F" w14:textId="5E599B7F"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(640)</w:t>
            </w:r>
          </w:p>
        </w:tc>
        <w:tc>
          <w:tcPr>
            <w:tcW w:w="239" w:type="dxa"/>
            <w:tcBorders>
              <w:top w:val="nil"/>
              <w:left w:val="nil"/>
              <w:bottom w:val="nil"/>
              <w:right w:val="nil"/>
            </w:tcBorders>
            <w:shd w:val="clear" w:color="000000" w:fill="D9D9D9"/>
            <w:noWrap/>
            <w:vAlign w:val="center"/>
            <w:hideMark/>
          </w:tcPr>
          <w:p w14:paraId="2BFB256A"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CD730F1" w14:textId="58C19BB1"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(301)</w:t>
            </w:r>
          </w:p>
        </w:tc>
        <w:tc>
          <w:tcPr>
            <w:tcW w:w="850" w:type="dxa"/>
            <w:tcBorders>
              <w:top w:val="nil"/>
              <w:left w:val="nil"/>
              <w:bottom w:val="nil"/>
              <w:right w:val="nil"/>
            </w:tcBorders>
            <w:shd w:val="clear" w:color="000000" w:fill="FFFFFF"/>
            <w:noWrap/>
            <w:vAlign w:val="center"/>
            <w:hideMark/>
          </w:tcPr>
          <w:p w14:paraId="56DCB781" w14:textId="11AB384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27 </w:t>
            </w:r>
          </w:p>
        </w:tc>
        <w:tc>
          <w:tcPr>
            <w:tcW w:w="854" w:type="dxa"/>
            <w:gridSpan w:val="2"/>
            <w:tcBorders>
              <w:top w:val="nil"/>
              <w:left w:val="nil"/>
              <w:bottom w:val="nil"/>
              <w:right w:val="nil"/>
            </w:tcBorders>
            <w:shd w:val="clear" w:color="000000" w:fill="FFFFFF"/>
            <w:noWrap/>
            <w:vAlign w:val="center"/>
            <w:hideMark/>
          </w:tcPr>
          <w:p w14:paraId="6D078511" w14:textId="1714529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(275)</w:t>
            </w:r>
          </w:p>
        </w:tc>
      </w:tr>
      <w:tr w:rsidR="00EB4CBD" w:rsidRPr="003F135F" w14:paraId="2B661FDD" w14:textId="77777777" w:rsidTr="00E84205">
        <w:tc>
          <w:tcPr>
            <w:tcW w:w="3529" w:type="dxa"/>
            <w:tcBorders>
              <w:top w:val="nil"/>
              <w:left w:val="nil"/>
              <w:bottom w:val="nil"/>
              <w:right w:val="nil"/>
            </w:tcBorders>
            <w:shd w:val="clear" w:color="000000" w:fill="FFFFFF"/>
            <w:noWrap/>
            <w:vAlign w:val="center"/>
            <w:hideMark/>
          </w:tcPr>
          <w:p w14:paraId="20D2AD4C" w14:textId="01B1AE93"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Management, Operations and Support</w:t>
            </w:r>
          </w:p>
        </w:tc>
        <w:tc>
          <w:tcPr>
            <w:tcW w:w="844" w:type="dxa"/>
            <w:tcBorders>
              <w:top w:val="nil"/>
              <w:left w:val="nil"/>
              <w:bottom w:val="nil"/>
              <w:right w:val="nil"/>
            </w:tcBorders>
            <w:shd w:val="clear" w:color="000000" w:fill="FFFFFF"/>
            <w:noWrap/>
            <w:vAlign w:val="center"/>
            <w:hideMark/>
          </w:tcPr>
          <w:p w14:paraId="4D4F12C7"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single" w:sz="4" w:space="0" w:color="auto"/>
              <w:right w:val="nil"/>
            </w:tcBorders>
            <w:shd w:val="clear" w:color="000000" w:fill="FFFFFF"/>
            <w:noWrap/>
            <w:vAlign w:val="center"/>
            <w:hideMark/>
          </w:tcPr>
          <w:p w14:paraId="6D9031C9" w14:textId="709BB524"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(2,025)</w:t>
            </w:r>
          </w:p>
        </w:tc>
        <w:tc>
          <w:tcPr>
            <w:tcW w:w="850" w:type="dxa"/>
            <w:tcBorders>
              <w:top w:val="nil"/>
              <w:left w:val="nil"/>
              <w:bottom w:val="single" w:sz="4" w:space="0" w:color="auto"/>
              <w:right w:val="nil"/>
            </w:tcBorders>
            <w:shd w:val="clear" w:color="000000" w:fill="FFFFFF"/>
            <w:noWrap/>
            <w:vAlign w:val="center"/>
            <w:hideMark/>
          </w:tcPr>
          <w:p w14:paraId="657029E9" w14:textId="621E57CC"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3 </w:t>
            </w:r>
          </w:p>
        </w:tc>
        <w:tc>
          <w:tcPr>
            <w:tcW w:w="854" w:type="dxa"/>
            <w:gridSpan w:val="2"/>
            <w:tcBorders>
              <w:top w:val="nil"/>
              <w:left w:val="nil"/>
              <w:bottom w:val="single" w:sz="4" w:space="0" w:color="auto"/>
              <w:right w:val="nil"/>
            </w:tcBorders>
            <w:shd w:val="clear" w:color="000000" w:fill="FFFFFF"/>
            <w:noWrap/>
            <w:vAlign w:val="center"/>
            <w:hideMark/>
          </w:tcPr>
          <w:p w14:paraId="1DA7630E" w14:textId="073B6898"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(2,022)</w:t>
            </w:r>
          </w:p>
        </w:tc>
        <w:tc>
          <w:tcPr>
            <w:tcW w:w="239" w:type="dxa"/>
            <w:tcBorders>
              <w:top w:val="nil"/>
              <w:left w:val="nil"/>
              <w:bottom w:val="single" w:sz="4" w:space="0" w:color="auto"/>
              <w:right w:val="nil"/>
            </w:tcBorders>
            <w:shd w:val="clear" w:color="000000" w:fill="D9D9D9"/>
            <w:noWrap/>
            <w:vAlign w:val="center"/>
            <w:hideMark/>
          </w:tcPr>
          <w:p w14:paraId="398FE1E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single" w:sz="4" w:space="0" w:color="auto"/>
              <w:right w:val="nil"/>
            </w:tcBorders>
            <w:shd w:val="clear" w:color="000000" w:fill="FFFFFF"/>
            <w:noWrap/>
            <w:vAlign w:val="center"/>
            <w:hideMark/>
          </w:tcPr>
          <w:p w14:paraId="5FDA689B" w14:textId="411B19FB"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(2,446)</w:t>
            </w:r>
          </w:p>
        </w:tc>
        <w:tc>
          <w:tcPr>
            <w:tcW w:w="850" w:type="dxa"/>
            <w:tcBorders>
              <w:top w:val="nil"/>
              <w:left w:val="nil"/>
              <w:bottom w:val="single" w:sz="4" w:space="0" w:color="auto"/>
              <w:right w:val="nil"/>
            </w:tcBorders>
            <w:shd w:val="clear" w:color="000000" w:fill="FFFFFF"/>
            <w:noWrap/>
            <w:vAlign w:val="center"/>
            <w:hideMark/>
          </w:tcPr>
          <w:p w14:paraId="6E2F6F88" w14:textId="47C0891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(1,353)</w:t>
            </w:r>
          </w:p>
        </w:tc>
        <w:tc>
          <w:tcPr>
            <w:tcW w:w="854" w:type="dxa"/>
            <w:gridSpan w:val="2"/>
            <w:tcBorders>
              <w:top w:val="nil"/>
              <w:left w:val="nil"/>
              <w:bottom w:val="single" w:sz="4" w:space="0" w:color="auto"/>
              <w:right w:val="nil"/>
            </w:tcBorders>
            <w:shd w:val="clear" w:color="000000" w:fill="FFFFFF"/>
            <w:noWrap/>
            <w:vAlign w:val="center"/>
            <w:hideMark/>
          </w:tcPr>
          <w:p w14:paraId="40B99A6D" w14:textId="405878E5"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(3,799)</w:t>
            </w:r>
          </w:p>
        </w:tc>
      </w:tr>
      <w:tr w:rsidR="00EB4CBD" w:rsidRPr="003F135F" w14:paraId="38652CD8" w14:textId="77777777" w:rsidTr="00E84205">
        <w:tc>
          <w:tcPr>
            <w:tcW w:w="3529" w:type="dxa"/>
            <w:tcBorders>
              <w:top w:val="nil"/>
              <w:left w:val="nil"/>
              <w:bottom w:val="nil"/>
              <w:right w:val="nil"/>
            </w:tcBorders>
            <w:shd w:val="clear" w:color="000000" w:fill="FFFFFF"/>
            <w:noWrap/>
            <w:vAlign w:val="center"/>
            <w:hideMark/>
          </w:tcPr>
          <w:p w14:paraId="07E13A14" w14:textId="77777777" w:rsidR="00EB4CBD" w:rsidRPr="003F135F" w:rsidRDefault="00EB4CBD" w:rsidP="003F135F">
            <w:pPr>
              <w:ind w:left="0" w:firstLine="0"/>
              <w:rPr>
                <w:rFonts w:asciiTheme="minorHAnsi" w:eastAsia="Times New Roman" w:hAnsiTheme="minorHAnsi" w:cstheme="minorHAnsi"/>
                <w:i/>
                <w:iCs/>
                <w:sz w:val="20"/>
                <w:szCs w:val="20"/>
                <w:lang w:eastAsia="en-GB"/>
              </w:rPr>
            </w:pPr>
            <w:r w:rsidRPr="003F135F">
              <w:rPr>
                <w:rFonts w:asciiTheme="minorHAnsi" w:eastAsia="Times New Roman" w:hAnsiTheme="minorHAnsi" w:cstheme="minorHAnsi"/>
                <w:i/>
                <w:iCs/>
                <w:sz w:val="20"/>
                <w:szCs w:val="20"/>
                <w:lang w:eastAsia="en-GB"/>
              </w:rPr>
              <w:t>Total operating expenditure</w:t>
            </w:r>
          </w:p>
        </w:tc>
        <w:tc>
          <w:tcPr>
            <w:tcW w:w="844" w:type="dxa"/>
            <w:tcBorders>
              <w:top w:val="nil"/>
              <w:left w:val="nil"/>
              <w:bottom w:val="nil"/>
              <w:right w:val="nil"/>
            </w:tcBorders>
            <w:shd w:val="clear" w:color="000000" w:fill="FFFFFF"/>
            <w:noWrap/>
            <w:vAlign w:val="center"/>
            <w:hideMark/>
          </w:tcPr>
          <w:p w14:paraId="667DCE1B"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0358CE89" w14:textId="208117BF"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(4,230)</w:t>
            </w:r>
          </w:p>
        </w:tc>
        <w:tc>
          <w:tcPr>
            <w:tcW w:w="850" w:type="dxa"/>
            <w:tcBorders>
              <w:top w:val="nil"/>
              <w:left w:val="nil"/>
              <w:bottom w:val="nil"/>
              <w:right w:val="nil"/>
            </w:tcBorders>
            <w:shd w:val="clear" w:color="000000" w:fill="FFFFFF"/>
            <w:noWrap/>
            <w:vAlign w:val="center"/>
            <w:hideMark/>
          </w:tcPr>
          <w:p w14:paraId="4533ACA8" w14:textId="63AE9AC3"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(329)</w:t>
            </w:r>
          </w:p>
        </w:tc>
        <w:tc>
          <w:tcPr>
            <w:tcW w:w="854" w:type="dxa"/>
            <w:gridSpan w:val="2"/>
            <w:tcBorders>
              <w:top w:val="nil"/>
              <w:left w:val="nil"/>
              <w:bottom w:val="nil"/>
              <w:right w:val="nil"/>
            </w:tcBorders>
            <w:shd w:val="clear" w:color="000000" w:fill="FFFFFF"/>
            <w:noWrap/>
            <w:vAlign w:val="center"/>
            <w:hideMark/>
          </w:tcPr>
          <w:p w14:paraId="6D5957AB" w14:textId="307546B8"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(4,559)</w:t>
            </w:r>
          </w:p>
        </w:tc>
        <w:tc>
          <w:tcPr>
            <w:tcW w:w="239" w:type="dxa"/>
            <w:tcBorders>
              <w:top w:val="nil"/>
              <w:left w:val="nil"/>
              <w:bottom w:val="nil"/>
              <w:right w:val="nil"/>
            </w:tcBorders>
            <w:shd w:val="clear" w:color="000000" w:fill="D9D9D9"/>
            <w:noWrap/>
            <w:vAlign w:val="center"/>
            <w:hideMark/>
          </w:tcPr>
          <w:p w14:paraId="17853E5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DB4ABB9" w14:textId="1D22C9DA"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(4,693)</w:t>
            </w:r>
          </w:p>
        </w:tc>
        <w:tc>
          <w:tcPr>
            <w:tcW w:w="850" w:type="dxa"/>
            <w:tcBorders>
              <w:top w:val="nil"/>
              <w:left w:val="nil"/>
              <w:bottom w:val="nil"/>
              <w:right w:val="nil"/>
            </w:tcBorders>
            <w:shd w:val="clear" w:color="000000" w:fill="FFFFFF"/>
            <w:noWrap/>
            <w:vAlign w:val="center"/>
            <w:hideMark/>
          </w:tcPr>
          <w:p w14:paraId="1DBC2E60" w14:textId="5AA66FCF"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(1,844)</w:t>
            </w:r>
          </w:p>
        </w:tc>
        <w:tc>
          <w:tcPr>
            <w:tcW w:w="854" w:type="dxa"/>
            <w:gridSpan w:val="2"/>
            <w:tcBorders>
              <w:top w:val="nil"/>
              <w:left w:val="nil"/>
              <w:bottom w:val="nil"/>
              <w:right w:val="nil"/>
            </w:tcBorders>
            <w:shd w:val="clear" w:color="000000" w:fill="FFFFFF"/>
            <w:noWrap/>
            <w:vAlign w:val="center"/>
            <w:hideMark/>
          </w:tcPr>
          <w:p w14:paraId="13D6F441" w14:textId="3E1C3A35"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(6,537)</w:t>
            </w:r>
          </w:p>
        </w:tc>
      </w:tr>
      <w:tr w:rsidR="00EB4CBD" w:rsidRPr="003F135F" w14:paraId="544BBD52" w14:textId="77777777" w:rsidTr="00E84205">
        <w:tc>
          <w:tcPr>
            <w:tcW w:w="3529" w:type="dxa"/>
            <w:tcBorders>
              <w:top w:val="nil"/>
              <w:left w:val="nil"/>
              <w:bottom w:val="nil"/>
              <w:right w:val="nil"/>
            </w:tcBorders>
            <w:shd w:val="clear" w:color="000000" w:fill="FFFFFF"/>
            <w:noWrap/>
            <w:vAlign w:val="center"/>
            <w:hideMark/>
          </w:tcPr>
          <w:p w14:paraId="1C761C09"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7A1E3645"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7414ED5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21B3189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4A38DC0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025D257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A7275C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121EA8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59D17A4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47F27602" w14:textId="77777777" w:rsidTr="00E84205">
        <w:tc>
          <w:tcPr>
            <w:tcW w:w="3529" w:type="dxa"/>
            <w:tcBorders>
              <w:top w:val="nil"/>
              <w:left w:val="nil"/>
              <w:bottom w:val="nil"/>
              <w:right w:val="nil"/>
            </w:tcBorders>
            <w:shd w:val="clear" w:color="000000" w:fill="FFFFFF"/>
            <w:noWrap/>
            <w:vAlign w:val="center"/>
            <w:hideMark/>
          </w:tcPr>
          <w:p w14:paraId="78AAC4FB" w14:textId="23927134"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Net Surplus/(Deficit) </w:t>
            </w:r>
            <w:r w:rsidR="004C00DF">
              <w:rPr>
                <w:rFonts w:asciiTheme="minorHAnsi" w:eastAsia="Times New Roman" w:hAnsiTheme="minorHAnsi" w:cstheme="minorHAnsi"/>
                <w:b/>
                <w:bCs/>
                <w:sz w:val="20"/>
                <w:szCs w:val="20"/>
                <w:lang w:eastAsia="en-GB"/>
              </w:rPr>
              <w:t>before Other Income/Expenditure</w:t>
            </w:r>
          </w:p>
        </w:tc>
        <w:tc>
          <w:tcPr>
            <w:tcW w:w="844" w:type="dxa"/>
            <w:tcBorders>
              <w:top w:val="nil"/>
              <w:left w:val="nil"/>
              <w:bottom w:val="nil"/>
              <w:right w:val="nil"/>
            </w:tcBorders>
            <w:shd w:val="clear" w:color="000000" w:fill="FFFFFF"/>
            <w:noWrap/>
            <w:vAlign w:val="center"/>
            <w:hideMark/>
          </w:tcPr>
          <w:p w14:paraId="4A53DB5A"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single" w:sz="4" w:space="0" w:color="auto"/>
              <w:left w:val="nil"/>
              <w:bottom w:val="single" w:sz="4" w:space="0" w:color="auto"/>
              <w:right w:val="nil"/>
            </w:tcBorders>
            <w:shd w:val="clear" w:color="000000" w:fill="FFFFFF"/>
            <w:noWrap/>
            <w:vAlign w:val="center"/>
            <w:hideMark/>
          </w:tcPr>
          <w:p w14:paraId="0E12E371" w14:textId="5BF1CD35"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702 </w:t>
            </w:r>
          </w:p>
        </w:tc>
        <w:tc>
          <w:tcPr>
            <w:tcW w:w="850" w:type="dxa"/>
            <w:tcBorders>
              <w:top w:val="single" w:sz="4" w:space="0" w:color="auto"/>
              <w:left w:val="nil"/>
              <w:bottom w:val="single" w:sz="4" w:space="0" w:color="auto"/>
              <w:right w:val="nil"/>
            </w:tcBorders>
            <w:shd w:val="clear" w:color="000000" w:fill="FFFFFF"/>
            <w:noWrap/>
            <w:vAlign w:val="center"/>
            <w:hideMark/>
          </w:tcPr>
          <w:p w14:paraId="34A45581" w14:textId="1378C2FF"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166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4C244437" w14:textId="4EDD4409"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868 </w:t>
            </w:r>
          </w:p>
        </w:tc>
        <w:tc>
          <w:tcPr>
            <w:tcW w:w="239" w:type="dxa"/>
            <w:tcBorders>
              <w:top w:val="single" w:sz="4" w:space="0" w:color="auto"/>
              <w:left w:val="nil"/>
              <w:bottom w:val="single" w:sz="4" w:space="0" w:color="auto"/>
              <w:right w:val="nil"/>
            </w:tcBorders>
            <w:shd w:val="clear" w:color="000000" w:fill="D9D9D9"/>
            <w:noWrap/>
            <w:vAlign w:val="center"/>
            <w:hideMark/>
          </w:tcPr>
          <w:p w14:paraId="2659BF75"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single" w:sz="4" w:space="0" w:color="auto"/>
              <w:left w:val="nil"/>
              <w:bottom w:val="single" w:sz="4" w:space="0" w:color="auto"/>
              <w:right w:val="nil"/>
            </w:tcBorders>
            <w:shd w:val="clear" w:color="000000" w:fill="FFFFFF"/>
            <w:noWrap/>
            <w:vAlign w:val="center"/>
            <w:hideMark/>
          </w:tcPr>
          <w:p w14:paraId="5C12BE4C" w14:textId="1E651372"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370 </w:t>
            </w:r>
          </w:p>
        </w:tc>
        <w:tc>
          <w:tcPr>
            <w:tcW w:w="850" w:type="dxa"/>
            <w:tcBorders>
              <w:top w:val="single" w:sz="4" w:space="0" w:color="auto"/>
              <w:left w:val="nil"/>
              <w:bottom w:val="single" w:sz="4" w:space="0" w:color="auto"/>
              <w:right w:val="nil"/>
            </w:tcBorders>
            <w:shd w:val="clear" w:color="000000" w:fill="FFFFFF"/>
            <w:noWrap/>
            <w:vAlign w:val="center"/>
            <w:hideMark/>
          </w:tcPr>
          <w:p w14:paraId="7310953E" w14:textId="0A166F60"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(177)</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00FEBF03" w14:textId="7C207B34"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193 </w:t>
            </w:r>
          </w:p>
        </w:tc>
      </w:tr>
      <w:tr w:rsidR="00EB4CBD" w:rsidRPr="003F135F" w14:paraId="565C3031" w14:textId="77777777" w:rsidTr="00E84205">
        <w:tc>
          <w:tcPr>
            <w:tcW w:w="3529" w:type="dxa"/>
            <w:tcBorders>
              <w:top w:val="nil"/>
              <w:left w:val="nil"/>
              <w:bottom w:val="nil"/>
              <w:right w:val="nil"/>
            </w:tcBorders>
            <w:shd w:val="clear" w:color="000000" w:fill="FFFFFF"/>
            <w:noWrap/>
            <w:vAlign w:val="center"/>
            <w:hideMark/>
          </w:tcPr>
          <w:p w14:paraId="3BA6131A"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6D37B2B8"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0CD03ABA"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FD384B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58EBE50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6CBF2F0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D7B79A0"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A75350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50C5FBD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65EDAD52" w14:textId="77777777" w:rsidTr="00E84205">
        <w:tc>
          <w:tcPr>
            <w:tcW w:w="3529" w:type="dxa"/>
            <w:tcBorders>
              <w:top w:val="nil"/>
              <w:left w:val="nil"/>
              <w:bottom w:val="nil"/>
              <w:right w:val="nil"/>
            </w:tcBorders>
            <w:shd w:val="clear" w:color="000000" w:fill="FFFFFF"/>
            <w:noWrap/>
            <w:vAlign w:val="center"/>
            <w:hideMark/>
          </w:tcPr>
          <w:p w14:paraId="29B198A6" w14:textId="0152806D" w:rsidR="00EB4CBD" w:rsidRPr="003F135F" w:rsidRDefault="00EB4CBD" w:rsidP="004C00DF">
            <w:pPr>
              <w:ind w:left="0" w:firstLine="0"/>
              <w:rPr>
                <w:rFonts w:asciiTheme="minorHAnsi" w:eastAsia="Times New Roman" w:hAnsiTheme="minorHAnsi" w:cstheme="minorHAnsi"/>
                <w:i/>
                <w:iCs/>
                <w:sz w:val="20"/>
                <w:szCs w:val="20"/>
                <w:lang w:eastAsia="en-GB"/>
              </w:rPr>
            </w:pPr>
            <w:r w:rsidRPr="003F135F">
              <w:rPr>
                <w:rFonts w:asciiTheme="minorHAnsi" w:eastAsia="Times New Roman" w:hAnsiTheme="minorHAnsi" w:cstheme="minorHAnsi"/>
                <w:i/>
                <w:iCs/>
                <w:sz w:val="20"/>
                <w:szCs w:val="20"/>
                <w:lang w:eastAsia="en-GB"/>
              </w:rPr>
              <w:t>Other income (expenditure):</w:t>
            </w:r>
          </w:p>
        </w:tc>
        <w:tc>
          <w:tcPr>
            <w:tcW w:w="844" w:type="dxa"/>
            <w:tcBorders>
              <w:top w:val="nil"/>
              <w:left w:val="nil"/>
              <w:bottom w:val="nil"/>
              <w:right w:val="nil"/>
            </w:tcBorders>
            <w:shd w:val="clear" w:color="000000" w:fill="FFFFFF"/>
            <w:noWrap/>
            <w:vAlign w:val="center"/>
            <w:hideMark/>
          </w:tcPr>
          <w:p w14:paraId="1D39F1C6"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4</w:t>
            </w:r>
          </w:p>
        </w:tc>
        <w:tc>
          <w:tcPr>
            <w:tcW w:w="849" w:type="dxa"/>
            <w:tcBorders>
              <w:top w:val="nil"/>
              <w:left w:val="nil"/>
              <w:bottom w:val="nil"/>
              <w:right w:val="nil"/>
            </w:tcBorders>
            <w:shd w:val="clear" w:color="000000" w:fill="FFFFFF"/>
            <w:noWrap/>
            <w:vAlign w:val="center"/>
            <w:hideMark/>
          </w:tcPr>
          <w:p w14:paraId="52FCE7C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D7D4D4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09FAFEE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7D10BCE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62BC87B"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8CF490B"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73FCEC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779FCD9E" w14:textId="77777777" w:rsidTr="00E84205">
        <w:tc>
          <w:tcPr>
            <w:tcW w:w="3529" w:type="dxa"/>
            <w:tcBorders>
              <w:top w:val="nil"/>
              <w:left w:val="nil"/>
              <w:bottom w:val="nil"/>
              <w:right w:val="nil"/>
            </w:tcBorders>
            <w:shd w:val="clear" w:color="000000" w:fill="FFFFFF"/>
            <w:noWrap/>
            <w:vAlign w:val="center"/>
            <w:hideMark/>
          </w:tcPr>
          <w:p w14:paraId="6A1EFF9F" w14:textId="05237DFE"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Net financial income/(expense)</w:t>
            </w:r>
          </w:p>
        </w:tc>
        <w:tc>
          <w:tcPr>
            <w:tcW w:w="844" w:type="dxa"/>
            <w:tcBorders>
              <w:top w:val="nil"/>
              <w:left w:val="nil"/>
              <w:bottom w:val="nil"/>
              <w:right w:val="nil"/>
            </w:tcBorders>
            <w:shd w:val="clear" w:color="000000" w:fill="FFFFFF"/>
            <w:noWrap/>
            <w:vAlign w:val="center"/>
            <w:hideMark/>
          </w:tcPr>
          <w:p w14:paraId="424178FD"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64CB4FE9" w14:textId="665A4EC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(16)</w:t>
            </w:r>
          </w:p>
        </w:tc>
        <w:tc>
          <w:tcPr>
            <w:tcW w:w="850" w:type="dxa"/>
            <w:tcBorders>
              <w:top w:val="nil"/>
              <w:left w:val="nil"/>
              <w:bottom w:val="nil"/>
              <w:right w:val="nil"/>
            </w:tcBorders>
            <w:shd w:val="clear" w:color="000000" w:fill="FFFFFF"/>
            <w:noWrap/>
            <w:vAlign w:val="center"/>
            <w:hideMark/>
          </w:tcPr>
          <w:p w14:paraId="4106FBE6" w14:textId="318E2BE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0 </w:t>
            </w:r>
          </w:p>
        </w:tc>
        <w:tc>
          <w:tcPr>
            <w:tcW w:w="854" w:type="dxa"/>
            <w:gridSpan w:val="2"/>
            <w:tcBorders>
              <w:top w:val="nil"/>
              <w:left w:val="nil"/>
              <w:bottom w:val="nil"/>
              <w:right w:val="nil"/>
            </w:tcBorders>
            <w:shd w:val="clear" w:color="000000" w:fill="FFFFFF"/>
            <w:noWrap/>
            <w:vAlign w:val="center"/>
            <w:hideMark/>
          </w:tcPr>
          <w:p w14:paraId="7CFF8A25" w14:textId="3E3DCD33"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(16)</w:t>
            </w:r>
          </w:p>
        </w:tc>
        <w:tc>
          <w:tcPr>
            <w:tcW w:w="239" w:type="dxa"/>
            <w:tcBorders>
              <w:top w:val="nil"/>
              <w:left w:val="nil"/>
              <w:bottom w:val="nil"/>
              <w:right w:val="nil"/>
            </w:tcBorders>
            <w:shd w:val="clear" w:color="000000" w:fill="D9D9D9"/>
            <w:noWrap/>
            <w:vAlign w:val="center"/>
            <w:hideMark/>
          </w:tcPr>
          <w:p w14:paraId="72639A8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22C6597" w14:textId="02D0128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(32)</w:t>
            </w:r>
          </w:p>
        </w:tc>
        <w:tc>
          <w:tcPr>
            <w:tcW w:w="850" w:type="dxa"/>
            <w:tcBorders>
              <w:top w:val="nil"/>
              <w:left w:val="nil"/>
              <w:bottom w:val="nil"/>
              <w:right w:val="nil"/>
            </w:tcBorders>
            <w:shd w:val="clear" w:color="000000" w:fill="FFFFFF"/>
            <w:noWrap/>
            <w:vAlign w:val="center"/>
            <w:hideMark/>
          </w:tcPr>
          <w:p w14:paraId="03C68411" w14:textId="1ADD647D"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(7)</w:t>
            </w:r>
          </w:p>
        </w:tc>
        <w:tc>
          <w:tcPr>
            <w:tcW w:w="854" w:type="dxa"/>
            <w:gridSpan w:val="2"/>
            <w:tcBorders>
              <w:top w:val="nil"/>
              <w:left w:val="nil"/>
              <w:bottom w:val="nil"/>
              <w:right w:val="nil"/>
            </w:tcBorders>
            <w:shd w:val="clear" w:color="000000" w:fill="FFFFFF"/>
            <w:noWrap/>
            <w:vAlign w:val="center"/>
            <w:hideMark/>
          </w:tcPr>
          <w:p w14:paraId="3604F7B6" w14:textId="5692D685"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(39)</w:t>
            </w:r>
          </w:p>
        </w:tc>
      </w:tr>
      <w:tr w:rsidR="00EB4CBD" w:rsidRPr="003F135F" w14:paraId="5FB124A5" w14:textId="77777777" w:rsidTr="00E84205">
        <w:tc>
          <w:tcPr>
            <w:tcW w:w="3529" w:type="dxa"/>
            <w:tcBorders>
              <w:top w:val="nil"/>
              <w:left w:val="nil"/>
              <w:bottom w:val="nil"/>
              <w:right w:val="nil"/>
            </w:tcBorders>
            <w:shd w:val="clear" w:color="000000" w:fill="FFFFFF"/>
            <w:noWrap/>
            <w:vAlign w:val="center"/>
            <w:hideMark/>
          </w:tcPr>
          <w:p w14:paraId="48A011B2" w14:textId="5A3C95E4"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Non-recurring or prior period expense</w:t>
            </w:r>
          </w:p>
        </w:tc>
        <w:tc>
          <w:tcPr>
            <w:tcW w:w="844" w:type="dxa"/>
            <w:tcBorders>
              <w:top w:val="nil"/>
              <w:left w:val="nil"/>
              <w:bottom w:val="nil"/>
              <w:right w:val="nil"/>
            </w:tcBorders>
            <w:shd w:val="clear" w:color="000000" w:fill="FFFFFF"/>
            <w:noWrap/>
            <w:vAlign w:val="center"/>
            <w:hideMark/>
          </w:tcPr>
          <w:p w14:paraId="3FD3B7B3"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383B264B" w14:textId="3636E215"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0" w:type="dxa"/>
            <w:tcBorders>
              <w:top w:val="nil"/>
              <w:left w:val="nil"/>
              <w:bottom w:val="nil"/>
              <w:right w:val="nil"/>
            </w:tcBorders>
            <w:shd w:val="clear" w:color="000000" w:fill="FFFFFF"/>
            <w:noWrap/>
            <w:vAlign w:val="center"/>
            <w:hideMark/>
          </w:tcPr>
          <w:p w14:paraId="3191107A" w14:textId="2EA898D8"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(227)</w:t>
            </w:r>
          </w:p>
        </w:tc>
        <w:tc>
          <w:tcPr>
            <w:tcW w:w="854" w:type="dxa"/>
            <w:gridSpan w:val="2"/>
            <w:tcBorders>
              <w:top w:val="nil"/>
              <w:left w:val="nil"/>
              <w:bottom w:val="nil"/>
              <w:right w:val="nil"/>
            </w:tcBorders>
            <w:shd w:val="clear" w:color="000000" w:fill="FFFFFF"/>
            <w:noWrap/>
            <w:vAlign w:val="center"/>
            <w:hideMark/>
          </w:tcPr>
          <w:p w14:paraId="05388232" w14:textId="6CEEF08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(227)</w:t>
            </w:r>
          </w:p>
        </w:tc>
        <w:tc>
          <w:tcPr>
            <w:tcW w:w="239" w:type="dxa"/>
            <w:tcBorders>
              <w:top w:val="nil"/>
              <w:left w:val="nil"/>
              <w:bottom w:val="nil"/>
              <w:right w:val="nil"/>
            </w:tcBorders>
            <w:shd w:val="clear" w:color="000000" w:fill="D9D9D9"/>
            <w:noWrap/>
            <w:vAlign w:val="center"/>
            <w:hideMark/>
          </w:tcPr>
          <w:p w14:paraId="63E7687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3FA089A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3714D4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3A5811D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3EA7155B" w14:textId="77777777" w:rsidTr="00E84205">
        <w:tc>
          <w:tcPr>
            <w:tcW w:w="3529" w:type="dxa"/>
            <w:tcBorders>
              <w:top w:val="nil"/>
              <w:left w:val="nil"/>
              <w:bottom w:val="nil"/>
              <w:right w:val="nil"/>
            </w:tcBorders>
            <w:shd w:val="clear" w:color="000000" w:fill="FFFFFF"/>
            <w:noWrap/>
            <w:vAlign w:val="center"/>
            <w:hideMark/>
          </w:tcPr>
          <w:p w14:paraId="29D7A8FB" w14:textId="14FC6A64"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Provisions and write-offs (expense)</w:t>
            </w:r>
          </w:p>
        </w:tc>
        <w:tc>
          <w:tcPr>
            <w:tcW w:w="844" w:type="dxa"/>
            <w:tcBorders>
              <w:top w:val="nil"/>
              <w:left w:val="nil"/>
              <w:bottom w:val="nil"/>
              <w:right w:val="nil"/>
            </w:tcBorders>
            <w:shd w:val="clear" w:color="000000" w:fill="FFFFFF"/>
            <w:noWrap/>
            <w:vAlign w:val="center"/>
            <w:hideMark/>
          </w:tcPr>
          <w:p w14:paraId="517A7342"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single" w:sz="4" w:space="0" w:color="auto"/>
              <w:right w:val="nil"/>
            </w:tcBorders>
            <w:shd w:val="clear" w:color="000000" w:fill="FFFFFF"/>
            <w:noWrap/>
            <w:vAlign w:val="center"/>
            <w:hideMark/>
          </w:tcPr>
          <w:p w14:paraId="61A48F27" w14:textId="258E5345"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(234)</w:t>
            </w:r>
          </w:p>
        </w:tc>
        <w:tc>
          <w:tcPr>
            <w:tcW w:w="850" w:type="dxa"/>
            <w:tcBorders>
              <w:top w:val="nil"/>
              <w:left w:val="nil"/>
              <w:bottom w:val="single" w:sz="4" w:space="0" w:color="auto"/>
              <w:right w:val="nil"/>
            </w:tcBorders>
            <w:shd w:val="clear" w:color="000000" w:fill="FFFFFF"/>
            <w:noWrap/>
            <w:vAlign w:val="center"/>
            <w:hideMark/>
          </w:tcPr>
          <w:p w14:paraId="14F336E3" w14:textId="601D4B04"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(0)</w:t>
            </w:r>
          </w:p>
        </w:tc>
        <w:tc>
          <w:tcPr>
            <w:tcW w:w="854" w:type="dxa"/>
            <w:gridSpan w:val="2"/>
            <w:tcBorders>
              <w:top w:val="nil"/>
              <w:left w:val="nil"/>
              <w:bottom w:val="single" w:sz="4" w:space="0" w:color="auto"/>
              <w:right w:val="nil"/>
            </w:tcBorders>
            <w:shd w:val="clear" w:color="000000" w:fill="FFFFFF"/>
            <w:noWrap/>
            <w:vAlign w:val="center"/>
            <w:hideMark/>
          </w:tcPr>
          <w:p w14:paraId="3668F8C0" w14:textId="5ED3C73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(234)</w:t>
            </w:r>
          </w:p>
        </w:tc>
        <w:tc>
          <w:tcPr>
            <w:tcW w:w="239" w:type="dxa"/>
            <w:tcBorders>
              <w:top w:val="nil"/>
              <w:left w:val="nil"/>
              <w:bottom w:val="single" w:sz="4" w:space="0" w:color="auto"/>
              <w:right w:val="nil"/>
            </w:tcBorders>
            <w:shd w:val="clear" w:color="000000" w:fill="D9D9D9"/>
            <w:noWrap/>
            <w:vAlign w:val="center"/>
            <w:hideMark/>
          </w:tcPr>
          <w:p w14:paraId="741BB3C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single" w:sz="4" w:space="0" w:color="auto"/>
              <w:right w:val="nil"/>
            </w:tcBorders>
            <w:shd w:val="clear" w:color="000000" w:fill="FFFFFF"/>
            <w:noWrap/>
            <w:vAlign w:val="center"/>
            <w:hideMark/>
          </w:tcPr>
          <w:p w14:paraId="65CC541F" w14:textId="3A64DD90"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57 </w:t>
            </w:r>
          </w:p>
        </w:tc>
        <w:tc>
          <w:tcPr>
            <w:tcW w:w="850" w:type="dxa"/>
            <w:tcBorders>
              <w:top w:val="nil"/>
              <w:left w:val="nil"/>
              <w:bottom w:val="single" w:sz="4" w:space="0" w:color="auto"/>
              <w:right w:val="nil"/>
            </w:tcBorders>
            <w:shd w:val="clear" w:color="000000" w:fill="FFFFFF"/>
            <w:noWrap/>
            <w:vAlign w:val="center"/>
            <w:hideMark/>
          </w:tcPr>
          <w:p w14:paraId="7F69AF13" w14:textId="728C1D10"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6C66CBD8" w14:textId="431B692E"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57 </w:t>
            </w:r>
          </w:p>
        </w:tc>
      </w:tr>
      <w:tr w:rsidR="00EB4CBD" w:rsidRPr="003F135F" w14:paraId="6506AF3A" w14:textId="77777777" w:rsidTr="00E84205">
        <w:tc>
          <w:tcPr>
            <w:tcW w:w="3529" w:type="dxa"/>
            <w:tcBorders>
              <w:top w:val="nil"/>
              <w:left w:val="nil"/>
              <w:bottom w:val="nil"/>
              <w:right w:val="nil"/>
            </w:tcBorders>
            <w:shd w:val="clear" w:color="000000" w:fill="FFFFFF"/>
            <w:noWrap/>
            <w:vAlign w:val="center"/>
            <w:hideMark/>
          </w:tcPr>
          <w:p w14:paraId="2AEB0F83" w14:textId="5271AEFA" w:rsidR="00EB4CBD" w:rsidRPr="003F135F" w:rsidRDefault="004F058A" w:rsidP="003F135F">
            <w:pPr>
              <w:ind w:left="0" w:firstLine="0"/>
              <w:rPr>
                <w:rFonts w:asciiTheme="minorHAnsi" w:eastAsia="Times New Roman" w:hAnsiTheme="minorHAnsi" w:cstheme="minorHAnsi"/>
                <w:i/>
                <w:iCs/>
                <w:sz w:val="20"/>
                <w:szCs w:val="20"/>
                <w:lang w:eastAsia="en-GB"/>
              </w:rPr>
            </w:pPr>
            <w:r>
              <w:rPr>
                <w:rFonts w:asciiTheme="minorHAnsi" w:eastAsia="Times New Roman" w:hAnsiTheme="minorHAnsi" w:cstheme="minorHAnsi"/>
                <w:i/>
                <w:iCs/>
                <w:sz w:val="20"/>
                <w:szCs w:val="20"/>
                <w:lang w:eastAsia="en-GB"/>
              </w:rPr>
              <w:t>Total other income/expenditure</w:t>
            </w:r>
          </w:p>
        </w:tc>
        <w:tc>
          <w:tcPr>
            <w:tcW w:w="844" w:type="dxa"/>
            <w:tcBorders>
              <w:top w:val="nil"/>
              <w:left w:val="nil"/>
              <w:bottom w:val="nil"/>
              <w:right w:val="nil"/>
            </w:tcBorders>
            <w:shd w:val="clear" w:color="000000" w:fill="FFFFFF"/>
            <w:noWrap/>
            <w:vAlign w:val="center"/>
            <w:hideMark/>
          </w:tcPr>
          <w:p w14:paraId="16BEEB0F"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354C6974" w14:textId="7D8DB4D5"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(250)</w:t>
            </w:r>
          </w:p>
        </w:tc>
        <w:tc>
          <w:tcPr>
            <w:tcW w:w="850" w:type="dxa"/>
            <w:tcBorders>
              <w:top w:val="nil"/>
              <w:left w:val="nil"/>
              <w:bottom w:val="nil"/>
              <w:right w:val="nil"/>
            </w:tcBorders>
            <w:shd w:val="clear" w:color="000000" w:fill="FFFFFF"/>
            <w:noWrap/>
            <w:vAlign w:val="center"/>
            <w:hideMark/>
          </w:tcPr>
          <w:p w14:paraId="0A6DBAA1" w14:textId="37696520"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(227)</w:t>
            </w:r>
          </w:p>
        </w:tc>
        <w:tc>
          <w:tcPr>
            <w:tcW w:w="854" w:type="dxa"/>
            <w:gridSpan w:val="2"/>
            <w:tcBorders>
              <w:top w:val="nil"/>
              <w:left w:val="nil"/>
              <w:bottom w:val="nil"/>
              <w:right w:val="nil"/>
            </w:tcBorders>
            <w:shd w:val="clear" w:color="000000" w:fill="FFFFFF"/>
            <w:noWrap/>
            <w:vAlign w:val="center"/>
            <w:hideMark/>
          </w:tcPr>
          <w:p w14:paraId="6601B60C" w14:textId="405F5042"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(477)</w:t>
            </w:r>
          </w:p>
        </w:tc>
        <w:tc>
          <w:tcPr>
            <w:tcW w:w="239" w:type="dxa"/>
            <w:tcBorders>
              <w:top w:val="nil"/>
              <w:left w:val="nil"/>
              <w:bottom w:val="nil"/>
              <w:right w:val="nil"/>
            </w:tcBorders>
            <w:shd w:val="clear" w:color="000000" w:fill="D9D9D9"/>
            <w:noWrap/>
            <w:vAlign w:val="center"/>
            <w:hideMark/>
          </w:tcPr>
          <w:p w14:paraId="6AB1EA0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66C48E4" w14:textId="0D9EEA39"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25 </w:t>
            </w:r>
          </w:p>
        </w:tc>
        <w:tc>
          <w:tcPr>
            <w:tcW w:w="850" w:type="dxa"/>
            <w:tcBorders>
              <w:top w:val="nil"/>
              <w:left w:val="nil"/>
              <w:bottom w:val="nil"/>
              <w:right w:val="nil"/>
            </w:tcBorders>
            <w:shd w:val="clear" w:color="000000" w:fill="FFFFFF"/>
            <w:noWrap/>
            <w:vAlign w:val="center"/>
            <w:hideMark/>
          </w:tcPr>
          <w:p w14:paraId="68811EFE" w14:textId="248C3E63"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(7)</w:t>
            </w:r>
          </w:p>
        </w:tc>
        <w:tc>
          <w:tcPr>
            <w:tcW w:w="854" w:type="dxa"/>
            <w:gridSpan w:val="2"/>
            <w:tcBorders>
              <w:top w:val="nil"/>
              <w:left w:val="nil"/>
              <w:bottom w:val="nil"/>
              <w:right w:val="nil"/>
            </w:tcBorders>
            <w:shd w:val="clear" w:color="000000" w:fill="FFFFFF"/>
            <w:noWrap/>
            <w:vAlign w:val="center"/>
            <w:hideMark/>
          </w:tcPr>
          <w:p w14:paraId="4F6807F9" w14:textId="33421FDA"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18 </w:t>
            </w:r>
          </w:p>
        </w:tc>
      </w:tr>
      <w:tr w:rsidR="00EB4CBD" w:rsidRPr="003F135F" w14:paraId="10D148F5" w14:textId="77777777" w:rsidTr="00E84205">
        <w:tc>
          <w:tcPr>
            <w:tcW w:w="3529" w:type="dxa"/>
            <w:tcBorders>
              <w:top w:val="nil"/>
              <w:left w:val="nil"/>
              <w:bottom w:val="nil"/>
              <w:right w:val="nil"/>
            </w:tcBorders>
            <w:shd w:val="clear" w:color="000000" w:fill="FFFFFF"/>
            <w:noWrap/>
            <w:vAlign w:val="center"/>
            <w:hideMark/>
          </w:tcPr>
          <w:p w14:paraId="4C7D20C2"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775E8066" w14:textId="77777777" w:rsidR="00EB4CBD" w:rsidRPr="003F135F" w:rsidRDefault="00EB4CBD" w:rsidP="003F135F">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7F70C5A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F0550E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390C841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30351AE9"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0563657"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5B60C7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39085C7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6FDF131F" w14:textId="77777777" w:rsidTr="00E84205">
        <w:tc>
          <w:tcPr>
            <w:tcW w:w="3529" w:type="dxa"/>
            <w:tcBorders>
              <w:top w:val="nil"/>
              <w:left w:val="nil"/>
              <w:bottom w:val="nil"/>
              <w:right w:val="nil"/>
            </w:tcBorders>
            <w:shd w:val="clear" w:color="000000" w:fill="FFFFFF"/>
            <w:noWrap/>
            <w:vAlign w:val="center"/>
            <w:hideMark/>
          </w:tcPr>
          <w:p w14:paraId="47E8AA28" w14:textId="009B2E97"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Net Surplus/(Deficit)</w:t>
            </w:r>
            <w:r w:rsidR="004F058A">
              <w:rPr>
                <w:rFonts w:asciiTheme="minorHAnsi" w:eastAsia="Times New Roman" w:hAnsiTheme="minorHAnsi" w:cstheme="minorHAnsi"/>
                <w:b/>
                <w:bCs/>
                <w:sz w:val="20"/>
                <w:szCs w:val="20"/>
                <w:lang w:eastAsia="en-GB"/>
              </w:rPr>
              <w:t xml:space="preserve"> after Other Income/Expenditure</w:t>
            </w:r>
          </w:p>
        </w:tc>
        <w:tc>
          <w:tcPr>
            <w:tcW w:w="844" w:type="dxa"/>
            <w:tcBorders>
              <w:top w:val="nil"/>
              <w:left w:val="nil"/>
              <w:bottom w:val="nil"/>
              <w:right w:val="nil"/>
            </w:tcBorders>
            <w:shd w:val="clear" w:color="000000" w:fill="FFFFFF"/>
            <w:noWrap/>
            <w:vAlign w:val="center"/>
            <w:hideMark/>
          </w:tcPr>
          <w:p w14:paraId="43D4A17D"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single" w:sz="4" w:space="0" w:color="auto"/>
              <w:left w:val="nil"/>
              <w:bottom w:val="single" w:sz="4" w:space="0" w:color="auto"/>
              <w:right w:val="nil"/>
            </w:tcBorders>
            <w:shd w:val="clear" w:color="000000" w:fill="C5D9F1"/>
            <w:noWrap/>
            <w:vAlign w:val="center"/>
            <w:hideMark/>
          </w:tcPr>
          <w:p w14:paraId="4F4413E6" w14:textId="0443DC10"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452 </w:t>
            </w:r>
          </w:p>
        </w:tc>
        <w:tc>
          <w:tcPr>
            <w:tcW w:w="850" w:type="dxa"/>
            <w:tcBorders>
              <w:top w:val="single" w:sz="4" w:space="0" w:color="auto"/>
              <w:left w:val="nil"/>
              <w:bottom w:val="single" w:sz="4" w:space="0" w:color="auto"/>
              <w:right w:val="nil"/>
            </w:tcBorders>
            <w:shd w:val="clear" w:color="000000" w:fill="C5D9F1"/>
            <w:noWrap/>
            <w:vAlign w:val="center"/>
            <w:hideMark/>
          </w:tcPr>
          <w:p w14:paraId="2B8D3AB8" w14:textId="0ACCB76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(60)</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14:paraId="34118E12" w14:textId="680FC2E0"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392 </w:t>
            </w:r>
          </w:p>
        </w:tc>
        <w:tc>
          <w:tcPr>
            <w:tcW w:w="239" w:type="dxa"/>
            <w:tcBorders>
              <w:top w:val="single" w:sz="4" w:space="0" w:color="auto"/>
              <w:left w:val="nil"/>
              <w:bottom w:val="single" w:sz="4" w:space="0" w:color="auto"/>
              <w:right w:val="nil"/>
            </w:tcBorders>
            <w:shd w:val="clear" w:color="000000" w:fill="D9D9D9"/>
            <w:noWrap/>
            <w:vAlign w:val="center"/>
            <w:hideMark/>
          </w:tcPr>
          <w:p w14:paraId="2084127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single" w:sz="4" w:space="0" w:color="auto"/>
              <w:left w:val="nil"/>
              <w:bottom w:val="single" w:sz="4" w:space="0" w:color="auto"/>
              <w:right w:val="nil"/>
            </w:tcBorders>
            <w:shd w:val="clear" w:color="000000" w:fill="EBF1DE"/>
            <w:noWrap/>
            <w:vAlign w:val="center"/>
            <w:hideMark/>
          </w:tcPr>
          <w:p w14:paraId="05C65055" w14:textId="13A44DA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395 </w:t>
            </w:r>
          </w:p>
        </w:tc>
        <w:tc>
          <w:tcPr>
            <w:tcW w:w="850" w:type="dxa"/>
            <w:tcBorders>
              <w:top w:val="single" w:sz="4" w:space="0" w:color="auto"/>
              <w:left w:val="nil"/>
              <w:bottom w:val="single" w:sz="4" w:space="0" w:color="auto"/>
              <w:right w:val="nil"/>
            </w:tcBorders>
            <w:shd w:val="clear" w:color="000000" w:fill="EBF1DE"/>
            <w:noWrap/>
            <w:vAlign w:val="center"/>
            <w:hideMark/>
          </w:tcPr>
          <w:p w14:paraId="5A5E4482" w14:textId="3DFCFB73"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(184)</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14:paraId="0B2D9CA5" w14:textId="30E5D0A1"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211 </w:t>
            </w:r>
          </w:p>
        </w:tc>
      </w:tr>
      <w:tr w:rsidR="00EB4CBD" w:rsidRPr="003F135F" w14:paraId="49888106" w14:textId="77777777" w:rsidTr="00E84205">
        <w:tc>
          <w:tcPr>
            <w:tcW w:w="3529" w:type="dxa"/>
            <w:tcBorders>
              <w:top w:val="nil"/>
              <w:left w:val="nil"/>
              <w:bottom w:val="nil"/>
              <w:right w:val="nil"/>
            </w:tcBorders>
            <w:shd w:val="clear" w:color="000000" w:fill="FFFFFF"/>
            <w:noWrap/>
            <w:vAlign w:val="center"/>
            <w:hideMark/>
          </w:tcPr>
          <w:p w14:paraId="5BED7A68"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407DC238"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3390C16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C55BD53"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283D108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14:paraId="49B001E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045001D"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20DFED7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224844EA"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569D2FDF" w14:textId="77777777" w:rsidTr="00E84205">
        <w:tc>
          <w:tcPr>
            <w:tcW w:w="3529" w:type="dxa"/>
            <w:tcBorders>
              <w:top w:val="nil"/>
              <w:left w:val="nil"/>
              <w:bottom w:val="nil"/>
              <w:right w:val="nil"/>
            </w:tcBorders>
            <w:shd w:val="clear" w:color="000000" w:fill="FFFFFF"/>
            <w:noWrap/>
            <w:vAlign w:val="center"/>
            <w:hideMark/>
          </w:tcPr>
          <w:p w14:paraId="14CAAFFB"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3ECDD9C5"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7A282D2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7005B36"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4949E92"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14:paraId="04943975"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456CFF1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441D464"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26383D87"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32100802" w14:textId="77777777" w:rsidTr="00E84205">
        <w:tc>
          <w:tcPr>
            <w:tcW w:w="3529" w:type="dxa"/>
            <w:tcBorders>
              <w:top w:val="nil"/>
              <w:left w:val="nil"/>
              <w:bottom w:val="nil"/>
              <w:right w:val="nil"/>
            </w:tcBorders>
            <w:shd w:val="clear" w:color="000000" w:fill="FFFFFF"/>
            <w:noWrap/>
            <w:vAlign w:val="center"/>
            <w:hideMark/>
          </w:tcPr>
          <w:p w14:paraId="674250F5"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7628A3C3"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101F6B1A"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54C379A"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4CC7FE87"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14:paraId="2F7C5AB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0B1A20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448F19B"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3D098A6B"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0C4DA2C9" w14:textId="77777777" w:rsidTr="00E84205">
        <w:tc>
          <w:tcPr>
            <w:tcW w:w="3529" w:type="dxa"/>
            <w:tcBorders>
              <w:top w:val="nil"/>
              <w:left w:val="nil"/>
              <w:bottom w:val="nil"/>
              <w:right w:val="nil"/>
            </w:tcBorders>
            <w:shd w:val="clear" w:color="000000" w:fill="FFFFFF"/>
            <w:noWrap/>
            <w:vAlign w:val="center"/>
            <w:hideMark/>
          </w:tcPr>
          <w:p w14:paraId="2C10061A"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7DC6D0F5"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4F4B4C13"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4ED7961"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4E6672F4"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14:paraId="4B54C9FD"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ED5D677"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2C7A9D9E"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59C67F9"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158F219B" w14:textId="77777777" w:rsidTr="00E84205">
        <w:tc>
          <w:tcPr>
            <w:tcW w:w="3529" w:type="dxa"/>
            <w:tcBorders>
              <w:top w:val="nil"/>
              <w:left w:val="nil"/>
              <w:bottom w:val="nil"/>
              <w:right w:val="nil"/>
            </w:tcBorders>
            <w:shd w:val="clear" w:color="000000" w:fill="FFFFFF"/>
            <w:noWrap/>
            <w:vAlign w:val="center"/>
            <w:hideMark/>
          </w:tcPr>
          <w:p w14:paraId="196ABF15" w14:textId="77777777"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STATEMENT OF FUND BALANCE</w:t>
            </w:r>
          </w:p>
        </w:tc>
        <w:tc>
          <w:tcPr>
            <w:tcW w:w="844" w:type="dxa"/>
            <w:tcBorders>
              <w:top w:val="nil"/>
              <w:left w:val="nil"/>
              <w:bottom w:val="nil"/>
              <w:right w:val="nil"/>
            </w:tcBorders>
            <w:shd w:val="clear" w:color="000000" w:fill="FFFFFF"/>
            <w:noWrap/>
            <w:vAlign w:val="center"/>
            <w:hideMark/>
          </w:tcPr>
          <w:p w14:paraId="2F3135BD"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0DE7547A"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F02DEE4"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617D16E6"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14:paraId="16E45385"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064C040"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84DEBBB"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62A6015C"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090F2DB3" w14:textId="77777777" w:rsidTr="00E84205">
        <w:tc>
          <w:tcPr>
            <w:tcW w:w="3529" w:type="dxa"/>
            <w:tcBorders>
              <w:top w:val="nil"/>
              <w:left w:val="nil"/>
              <w:bottom w:val="nil"/>
              <w:right w:val="nil"/>
            </w:tcBorders>
            <w:shd w:val="clear" w:color="000000" w:fill="FFFFFF"/>
            <w:noWrap/>
            <w:vAlign w:val="center"/>
            <w:hideMark/>
          </w:tcPr>
          <w:p w14:paraId="2F090277" w14:textId="77777777" w:rsidR="00EB4CBD" w:rsidRPr="003F135F" w:rsidRDefault="00EB4CBD" w:rsidP="003F135F">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for the year ended 31 December </w:t>
            </w:r>
          </w:p>
        </w:tc>
        <w:tc>
          <w:tcPr>
            <w:tcW w:w="844" w:type="dxa"/>
            <w:tcBorders>
              <w:top w:val="nil"/>
              <w:left w:val="nil"/>
              <w:bottom w:val="nil"/>
              <w:right w:val="nil"/>
            </w:tcBorders>
            <w:shd w:val="clear" w:color="000000" w:fill="FFFFFF"/>
            <w:noWrap/>
            <w:vAlign w:val="center"/>
            <w:hideMark/>
          </w:tcPr>
          <w:p w14:paraId="07B049D4"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110CFF25"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613CB465"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167F76B0"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FFFFFF"/>
            <w:noWrap/>
            <w:vAlign w:val="center"/>
            <w:hideMark/>
          </w:tcPr>
          <w:p w14:paraId="32F8EAAC"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24F8CD2"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1B2E906D"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6B35C68E" w14:textId="77777777" w:rsidR="00EB4CBD" w:rsidRPr="003F135F" w:rsidRDefault="00EB4CBD" w:rsidP="003F135F">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C07DBD" w:rsidRPr="003F135F" w14:paraId="2F9A9B33" w14:textId="198662E8" w:rsidTr="004C00DF">
        <w:tc>
          <w:tcPr>
            <w:tcW w:w="3529" w:type="dxa"/>
            <w:tcBorders>
              <w:top w:val="nil"/>
              <w:left w:val="nil"/>
              <w:bottom w:val="nil"/>
              <w:right w:val="nil"/>
            </w:tcBorders>
            <w:shd w:val="clear" w:color="000000" w:fill="FFFFFF"/>
            <w:noWrap/>
            <w:vAlign w:val="center"/>
            <w:hideMark/>
          </w:tcPr>
          <w:p w14:paraId="2658E619" w14:textId="77777777" w:rsidR="00C07DBD" w:rsidRPr="003F135F" w:rsidRDefault="00C07D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3B801E28" w14:textId="77777777" w:rsidR="00C07DBD" w:rsidRPr="003F135F" w:rsidRDefault="00C07D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553" w:type="dxa"/>
            <w:gridSpan w:val="4"/>
            <w:tcBorders>
              <w:top w:val="nil"/>
              <w:left w:val="nil"/>
              <w:bottom w:val="nil"/>
              <w:right w:val="nil"/>
            </w:tcBorders>
            <w:shd w:val="clear" w:color="auto" w:fill="95B3D7" w:themeFill="accent1" w:themeFillTint="99"/>
            <w:noWrap/>
            <w:vAlign w:val="center"/>
            <w:hideMark/>
          </w:tcPr>
          <w:p w14:paraId="40B9B67C" w14:textId="3AA31F49" w:rsidR="00C07DBD" w:rsidRPr="003F135F" w:rsidRDefault="00C07DBD" w:rsidP="00896643">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201</w:t>
            </w:r>
            <w:r w:rsidR="00896643">
              <w:rPr>
                <w:rFonts w:asciiTheme="minorHAnsi" w:eastAsia="Times New Roman" w:hAnsiTheme="minorHAnsi" w:cstheme="minorHAnsi"/>
                <w:b/>
                <w:bCs/>
                <w:sz w:val="20"/>
                <w:szCs w:val="20"/>
                <w:lang w:eastAsia="en-GB"/>
              </w:rPr>
              <w:t>9</w:t>
            </w:r>
            <w:bookmarkStart w:id="0" w:name="_GoBack"/>
            <w:bookmarkEnd w:id="0"/>
          </w:p>
        </w:tc>
        <w:tc>
          <w:tcPr>
            <w:tcW w:w="239" w:type="dxa"/>
            <w:shd w:val="clear" w:color="auto" w:fill="D9D9D9" w:themeFill="background1" w:themeFillShade="D9"/>
            <w:vAlign w:val="center"/>
          </w:tcPr>
          <w:p w14:paraId="538D0DA3" w14:textId="6E50F835" w:rsidR="00C07DBD" w:rsidRPr="003F135F" w:rsidRDefault="00C07DBD" w:rsidP="00EB4CBD">
            <w:pPr>
              <w:rPr>
                <w:rFonts w:asciiTheme="minorHAnsi" w:eastAsia="Times New Roman" w:hAnsiTheme="minorHAnsi" w:cstheme="minorHAnsi"/>
                <w:sz w:val="20"/>
                <w:szCs w:val="20"/>
                <w:lang w:eastAsia="en-GB"/>
              </w:rPr>
            </w:pPr>
            <w:r w:rsidRPr="003F135F">
              <w:rPr>
                <w:rFonts w:asciiTheme="minorHAnsi" w:eastAsia="Times New Roman" w:hAnsiTheme="minorHAnsi" w:cstheme="minorHAnsi"/>
                <w:b/>
                <w:bCs/>
                <w:sz w:val="20"/>
                <w:szCs w:val="20"/>
                <w:lang w:eastAsia="en-GB"/>
              </w:rPr>
              <w:t> </w:t>
            </w:r>
          </w:p>
        </w:tc>
        <w:tc>
          <w:tcPr>
            <w:tcW w:w="2554" w:type="dxa"/>
            <w:gridSpan w:val="4"/>
            <w:shd w:val="clear" w:color="auto" w:fill="C2D69B" w:themeFill="accent3" w:themeFillTint="99"/>
            <w:vAlign w:val="center"/>
          </w:tcPr>
          <w:p w14:paraId="6550F842" w14:textId="334EE93D" w:rsidR="00C07DBD" w:rsidRPr="003F135F" w:rsidRDefault="00C07DBD" w:rsidP="004C00DF">
            <w:pPr>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b/>
                <w:bCs/>
                <w:sz w:val="20"/>
                <w:szCs w:val="20"/>
                <w:lang w:eastAsia="en-GB"/>
              </w:rPr>
              <w:t>2018</w:t>
            </w:r>
          </w:p>
        </w:tc>
      </w:tr>
      <w:tr w:rsidR="00EB4CBD" w:rsidRPr="003F135F" w14:paraId="7C07D150" w14:textId="77777777" w:rsidTr="004C00DF">
        <w:tc>
          <w:tcPr>
            <w:tcW w:w="3529" w:type="dxa"/>
            <w:tcBorders>
              <w:top w:val="nil"/>
              <w:left w:val="nil"/>
              <w:bottom w:val="single" w:sz="8" w:space="0" w:color="auto"/>
              <w:right w:val="nil"/>
            </w:tcBorders>
            <w:shd w:val="clear" w:color="000000" w:fill="FFFFFF"/>
            <w:noWrap/>
            <w:vAlign w:val="bottom"/>
            <w:hideMark/>
          </w:tcPr>
          <w:p w14:paraId="5940B96F" w14:textId="77777777" w:rsidR="00EB4CBD" w:rsidRPr="003F135F" w:rsidRDefault="00EB4CBD" w:rsidP="00EB4CBD">
            <w:pPr>
              <w:ind w:left="0" w:firstLine="0"/>
              <w:rPr>
                <w:rFonts w:asciiTheme="minorHAnsi" w:eastAsia="Times New Roman" w:hAnsiTheme="minorHAnsi" w:cstheme="minorHAnsi"/>
                <w:i/>
                <w:iCs/>
                <w:sz w:val="20"/>
                <w:szCs w:val="20"/>
                <w:lang w:eastAsia="en-GB"/>
              </w:rPr>
            </w:pPr>
            <w:r w:rsidRPr="003F135F">
              <w:rPr>
                <w:rFonts w:asciiTheme="minorHAnsi" w:eastAsia="Times New Roman" w:hAnsiTheme="minorHAnsi" w:cstheme="minorHAnsi"/>
                <w:i/>
                <w:iCs/>
                <w:sz w:val="20"/>
                <w:szCs w:val="20"/>
                <w:lang w:eastAsia="en-GB"/>
              </w:rPr>
              <w:t>in thousands of Swiss Francs (CHF '000s)</w:t>
            </w:r>
          </w:p>
        </w:tc>
        <w:tc>
          <w:tcPr>
            <w:tcW w:w="844" w:type="dxa"/>
            <w:tcBorders>
              <w:top w:val="nil"/>
              <w:left w:val="nil"/>
              <w:bottom w:val="single" w:sz="8" w:space="0" w:color="auto"/>
              <w:right w:val="nil"/>
            </w:tcBorders>
            <w:shd w:val="clear" w:color="000000" w:fill="FFFFFF"/>
            <w:noWrap/>
            <w:vAlign w:val="center"/>
            <w:hideMark/>
          </w:tcPr>
          <w:p w14:paraId="2316C339" w14:textId="77777777" w:rsidR="00EB4CBD" w:rsidRPr="003F135F" w:rsidRDefault="00EB4C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single" w:sz="8" w:space="0" w:color="auto"/>
              <w:right w:val="nil"/>
            </w:tcBorders>
            <w:shd w:val="clear" w:color="000000" w:fill="FFFFFF"/>
            <w:vAlign w:val="center"/>
            <w:hideMark/>
          </w:tcPr>
          <w:p w14:paraId="3B4C2AC3"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Core Funds</w:t>
            </w:r>
          </w:p>
        </w:tc>
        <w:tc>
          <w:tcPr>
            <w:tcW w:w="1016" w:type="dxa"/>
            <w:gridSpan w:val="2"/>
            <w:tcBorders>
              <w:top w:val="nil"/>
              <w:left w:val="nil"/>
              <w:bottom w:val="single" w:sz="8" w:space="0" w:color="auto"/>
              <w:right w:val="nil"/>
            </w:tcBorders>
            <w:shd w:val="clear" w:color="000000" w:fill="FFFFFF"/>
            <w:vAlign w:val="center"/>
            <w:hideMark/>
          </w:tcPr>
          <w:p w14:paraId="587D0249"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Non-Core Projects</w:t>
            </w:r>
          </w:p>
        </w:tc>
        <w:tc>
          <w:tcPr>
            <w:tcW w:w="688" w:type="dxa"/>
            <w:tcBorders>
              <w:top w:val="nil"/>
              <w:left w:val="nil"/>
              <w:bottom w:val="single" w:sz="8" w:space="0" w:color="auto"/>
              <w:right w:val="nil"/>
            </w:tcBorders>
            <w:shd w:val="clear" w:color="000000" w:fill="FFFFFF"/>
            <w:noWrap/>
            <w:vAlign w:val="center"/>
            <w:hideMark/>
          </w:tcPr>
          <w:p w14:paraId="404CAD36"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Total</w:t>
            </w:r>
          </w:p>
        </w:tc>
        <w:tc>
          <w:tcPr>
            <w:tcW w:w="239" w:type="dxa"/>
            <w:tcBorders>
              <w:top w:val="nil"/>
              <w:left w:val="nil"/>
              <w:bottom w:val="single" w:sz="8" w:space="0" w:color="auto"/>
              <w:right w:val="nil"/>
            </w:tcBorders>
            <w:shd w:val="clear" w:color="000000" w:fill="D9D9D9"/>
            <w:noWrap/>
            <w:vAlign w:val="center"/>
            <w:hideMark/>
          </w:tcPr>
          <w:p w14:paraId="589DC476"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single" w:sz="8" w:space="0" w:color="auto"/>
              <w:right w:val="nil"/>
            </w:tcBorders>
            <w:shd w:val="clear" w:color="000000" w:fill="FFFFFF"/>
            <w:vAlign w:val="center"/>
            <w:hideMark/>
          </w:tcPr>
          <w:p w14:paraId="3786C686"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Core Funds</w:t>
            </w:r>
          </w:p>
        </w:tc>
        <w:tc>
          <w:tcPr>
            <w:tcW w:w="916" w:type="dxa"/>
            <w:gridSpan w:val="2"/>
            <w:tcBorders>
              <w:top w:val="nil"/>
              <w:left w:val="nil"/>
              <w:bottom w:val="single" w:sz="8" w:space="0" w:color="auto"/>
              <w:right w:val="nil"/>
            </w:tcBorders>
            <w:shd w:val="clear" w:color="000000" w:fill="FFFFFF"/>
            <w:vAlign w:val="center"/>
            <w:hideMark/>
          </w:tcPr>
          <w:p w14:paraId="2A0387AA"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Non-Core Projects</w:t>
            </w:r>
          </w:p>
        </w:tc>
        <w:tc>
          <w:tcPr>
            <w:tcW w:w="788" w:type="dxa"/>
            <w:tcBorders>
              <w:top w:val="nil"/>
              <w:left w:val="nil"/>
              <w:bottom w:val="single" w:sz="8" w:space="0" w:color="auto"/>
              <w:right w:val="nil"/>
            </w:tcBorders>
            <w:shd w:val="clear" w:color="000000" w:fill="FFFFFF"/>
            <w:noWrap/>
            <w:vAlign w:val="center"/>
            <w:hideMark/>
          </w:tcPr>
          <w:p w14:paraId="78AF66CD" w14:textId="77777777" w:rsidR="00EB4CBD" w:rsidRPr="003F135F" w:rsidRDefault="00EB4CBD" w:rsidP="00EB4CBD">
            <w:pPr>
              <w:ind w:left="0" w:firstLine="0"/>
              <w:jc w:val="center"/>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Total</w:t>
            </w:r>
          </w:p>
        </w:tc>
      </w:tr>
      <w:tr w:rsidR="00EB4CBD" w:rsidRPr="003F135F" w14:paraId="5F734205" w14:textId="77777777" w:rsidTr="00E84205">
        <w:tc>
          <w:tcPr>
            <w:tcW w:w="3529" w:type="dxa"/>
            <w:tcBorders>
              <w:top w:val="nil"/>
              <w:left w:val="nil"/>
              <w:bottom w:val="nil"/>
              <w:right w:val="nil"/>
            </w:tcBorders>
            <w:shd w:val="clear" w:color="000000" w:fill="FFFFFF"/>
            <w:noWrap/>
            <w:vAlign w:val="center"/>
            <w:hideMark/>
          </w:tcPr>
          <w:p w14:paraId="52F5DA3B" w14:textId="77777777" w:rsidR="00EB4CBD" w:rsidRPr="003F135F" w:rsidRDefault="00EB4C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4" w:type="dxa"/>
            <w:tcBorders>
              <w:top w:val="nil"/>
              <w:left w:val="nil"/>
              <w:bottom w:val="nil"/>
              <w:right w:val="nil"/>
            </w:tcBorders>
            <w:shd w:val="clear" w:color="000000" w:fill="FFFFFF"/>
            <w:noWrap/>
            <w:vAlign w:val="center"/>
            <w:hideMark/>
          </w:tcPr>
          <w:p w14:paraId="3CC1E020" w14:textId="77777777" w:rsidR="00EB4CBD" w:rsidRPr="003F135F" w:rsidRDefault="00EB4C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74C00B8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FB23388"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4CD634A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239" w:type="dxa"/>
            <w:tcBorders>
              <w:top w:val="nil"/>
              <w:left w:val="nil"/>
              <w:bottom w:val="nil"/>
              <w:right w:val="nil"/>
            </w:tcBorders>
            <w:shd w:val="clear" w:color="000000" w:fill="D9D9D9"/>
            <w:noWrap/>
            <w:vAlign w:val="center"/>
            <w:hideMark/>
          </w:tcPr>
          <w:p w14:paraId="50ADE3C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3A08E4BF"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5F43120B"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53D9A3F1"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r>
      <w:tr w:rsidR="00EB4CBD" w:rsidRPr="003F135F" w14:paraId="136EF968" w14:textId="77777777" w:rsidTr="00E84205">
        <w:tc>
          <w:tcPr>
            <w:tcW w:w="3529" w:type="dxa"/>
            <w:tcBorders>
              <w:top w:val="nil"/>
              <w:left w:val="nil"/>
              <w:bottom w:val="nil"/>
              <w:right w:val="nil"/>
            </w:tcBorders>
            <w:shd w:val="clear" w:color="000000" w:fill="FFFFFF"/>
            <w:noWrap/>
            <w:vAlign w:val="center"/>
            <w:hideMark/>
          </w:tcPr>
          <w:p w14:paraId="63B8A21D" w14:textId="77777777" w:rsidR="00EB4CBD" w:rsidRPr="003F135F" w:rsidRDefault="00EB4C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Fund balance at the beginning of the year</w:t>
            </w:r>
          </w:p>
        </w:tc>
        <w:tc>
          <w:tcPr>
            <w:tcW w:w="844" w:type="dxa"/>
            <w:tcBorders>
              <w:top w:val="nil"/>
              <w:left w:val="nil"/>
              <w:bottom w:val="nil"/>
              <w:right w:val="nil"/>
            </w:tcBorders>
            <w:shd w:val="clear" w:color="000000" w:fill="FFFFFF"/>
            <w:noWrap/>
            <w:vAlign w:val="center"/>
            <w:hideMark/>
          </w:tcPr>
          <w:p w14:paraId="3D302CBE" w14:textId="77777777" w:rsidR="00EB4CBD" w:rsidRPr="003F135F" w:rsidRDefault="00EB4C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49" w:type="dxa"/>
            <w:tcBorders>
              <w:top w:val="nil"/>
              <w:left w:val="nil"/>
              <w:bottom w:val="nil"/>
              <w:right w:val="nil"/>
            </w:tcBorders>
            <w:shd w:val="clear" w:color="000000" w:fill="FFFFFF"/>
            <w:noWrap/>
            <w:vAlign w:val="center"/>
            <w:hideMark/>
          </w:tcPr>
          <w:p w14:paraId="7C3158AD" w14:textId="3FB4035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2,196 </w:t>
            </w:r>
          </w:p>
        </w:tc>
        <w:tc>
          <w:tcPr>
            <w:tcW w:w="850" w:type="dxa"/>
            <w:tcBorders>
              <w:top w:val="nil"/>
              <w:left w:val="nil"/>
              <w:bottom w:val="nil"/>
              <w:right w:val="nil"/>
            </w:tcBorders>
            <w:shd w:val="clear" w:color="000000" w:fill="FFFFFF"/>
            <w:noWrap/>
            <w:vAlign w:val="center"/>
            <w:hideMark/>
          </w:tcPr>
          <w:p w14:paraId="55AFD125" w14:textId="3A5DFEFF"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2,133 </w:t>
            </w:r>
          </w:p>
        </w:tc>
        <w:tc>
          <w:tcPr>
            <w:tcW w:w="854" w:type="dxa"/>
            <w:gridSpan w:val="2"/>
            <w:tcBorders>
              <w:top w:val="nil"/>
              <w:left w:val="nil"/>
              <w:bottom w:val="nil"/>
              <w:right w:val="nil"/>
            </w:tcBorders>
            <w:shd w:val="clear" w:color="000000" w:fill="FFFFFF"/>
            <w:noWrap/>
            <w:vAlign w:val="center"/>
            <w:hideMark/>
          </w:tcPr>
          <w:p w14:paraId="30053B5B" w14:textId="6AA4AFA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4,329 </w:t>
            </w:r>
          </w:p>
        </w:tc>
        <w:tc>
          <w:tcPr>
            <w:tcW w:w="239" w:type="dxa"/>
            <w:tcBorders>
              <w:top w:val="nil"/>
              <w:left w:val="nil"/>
              <w:bottom w:val="nil"/>
              <w:right w:val="nil"/>
            </w:tcBorders>
            <w:shd w:val="clear" w:color="000000" w:fill="D9D9D9"/>
            <w:noWrap/>
            <w:vAlign w:val="center"/>
            <w:hideMark/>
          </w:tcPr>
          <w:p w14:paraId="53C2D08C"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73C7776D" w14:textId="1BF2CB2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1,801 </w:t>
            </w:r>
          </w:p>
        </w:tc>
        <w:tc>
          <w:tcPr>
            <w:tcW w:w="850" w:type="dxa"/>
            <w:tcBorders>
              <w:top w:val="nil"/>
              <w:left w:val="nil"/>
              <w:bottom w:val="nil"/>
              <w:right w:val="nil"/>
            </w:tcBorders>
            <w:shd w:val="clear" w:color="000000" w:fill="FFFFFF"/>
            <w:noWrap/>
            <w:vAlign w:val="center"/>
            <w:hideMark/>
          </w:tcPr>
          <w:p w14:paraId="440B2D15" w14:textId="57DC2F6C"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2,317 </w:t>
            </w:r>
          </w:p>
        </w:tc>
        <w:tc>
          <w:tcPr>
            <w:tcW w:w="854" w:type="dxa"/>
            <w:gridSpan w:val="2"/>
            <w:tcBorders>
              <w:top w:val="nil"/>
              <w:left w:val="nil"/>
              <w:bottom w:val="nil"/>
              <w:right w:val="nil"/>
            </w:tcBorders>
            <w:shd w:val="clear" w:color="000000" w:fill="FFFFFF"/>
            <w:noWrap/>
            <w:vAlign w:val="center"/>
            <w:hideMark/>
          </w:tcPr>
          <w:p w14:paraId="1093DC16" w14:textId="625A35FB"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4,118 </w:t>
            </w:r>
          </w:p>
        </w:tc>
      </w:tr>
      <w:tr w:rsidR="00EB4CBD" w:rsidRPr="003F135F" w14:paraId="6E79F192" w14:textId="77777777" w:rsidTr="00E84205">
        <w:tc>
          <w:tcPr>
            <w:tcW w:w="3529" w:type="dxa"/>
            <w:tcBorders>
              <w:top w:val="nil"/>
              <w:left w:val="nil"/>
              <w:bottom w:val="nil"/>
              <w:right w:val="nil"/>
            </w:tcBorders>
            <w:shd w:val="clear" w:color="000000" w:fill="FFFFFF"/>
            <w:noWrap/>
            <w:vAlign w:val="center"/>
            <w:hideMark/>
          </w:tcPr>
          <w:p w14:paraId="2362D437" w14:textId="77777777" w:rsidR="00EB4CBD" w:rsidRPr="003F135F" w:rsidRDefault="00EB4CBD" w:rsidP="00EB4CBD">
            <w:pPr>
              <w:ind w:left="0" w:firstLine="0"/>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Net income / (expenditure) for the year</w:t>
            </w:r>
          </w:p>
        </w:tc>
        <w:tc>
          <w:tcPr>
            <w:tcW w:w="844" w:type="dxa"/>
            <w:tcBorders>
              <w:top w:val="nil"/>
              <w:left w:val="nil"/>
              <w:bottom w:val="nil"/>
              <w:right w:val="nil"/>
            </w:tcBorders>
            <w:shd w:val="clear" w:color="000000" w:fill="FFFFFF"/>
            <w:noWrap/>
            <w:vAlign w:val="center"/>
            <w:hideMark/>
          </w:tcPr>
          <w:p w14:paraId="2173F5C2" w14:textId="77777777" w:rsidR="00EB4CBD" w:rsidRPr="003F135F" w:rsidRDefault="00EB4CBD" w:rsidP="00EB4CBD">
            <w:pPr>
              <w:ind w:left="0" w:firstLine="0"/>
              <w:jc w:val="center"/>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11</w:t>
            </w:r>
          </w:p>
        </w:tc>
        <w:tc>
          <w:tcPr>
            <w:tcW w:w="849" w:type="dxa"/>
            <w:tcBorders>
              <w:top w:val="nil"/>
              <w:left w:val="nil"/>
              <w:bottom w:val="nil"/>
              <w:right w:val="nil"/>
            </w:tcBorders>
            <w:shd w:val="clear" w:color="000000" w:fill="FFFFFF"/>
            <w:noWrap/>
            <w:vAlign w:val="center"/>
            <w:hideMark/>
          </w:tcPr>
          <w:p w14:paraId="78A7DAA8" w14:textId="430C446B"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452 </w:t>
            </w:r>
          </w:p>
        </w:tc>
        <w:tc>
          <w:tcPr>
            <w:tcW w:w="850" w:type="dxa"/>
            <w:tcBorders>
              <w:top w:val="nil"/>
              <w:left w:val="nil"/>
              <w:bottom w:val="nil"/>
              <w:right w:val="nil"/>
            </w:tcBorders>
            <w:shd w:val="clear" w:color="000000" w:fill="FFFFFF"/>
            <w:noWrap/>
            <w:vAlign w:val="center"/>
            <w:hideMark/>
          </w:tcPr>
          <w:p w14:paraId="6DD4AFC5" w14:textId="4AF36D3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(60)</w:t>
            </w:r>
          </w:p>
        </w:tc>
        <w:tc>
          <w:tcPr>
            <w:tcW w:w="854" w:type="dxa"/>
            <w:gridSpan w:val="2"/>
            <w:tcBorders>
              <w:top w:val="nil"/>
              <w:left w:val="nil"/>
              <w:bottom w:val="nil"/>
              <w:right w:val="nil"/>
            </w:tcBorders>
            <w:shd w:val="clear" w:color="000000" w:fill="FFFFFF"/>
            <w:noWrap/>
            <w:vAlign w:val="center"/>
            <w:hideMark/>
          </w:tcPr>
          <w:p w14:paraId="185D93D7" w14:textId="6BE8681A"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392 </w:t>
            </w:r>
          </w:p>
        </w:tc>
        <w:tc>
          <w:tcPr>
            <w:tcW w:w="239" w:type="dxa"/>
            <w:tcBorders>
              <w:top w:val="nil"/>
              <w:left w:val="nil"/>
              <w:bottom w:val="nil"/>
              <w:right w:val="nil"/>
            </w:tcBorders>
            <w:shd w:val="clear" w:color="000000" w:fill="D9D9D9"/>
            <w:noWrap/>
            <w:vAlign w:val="center"/>
            <w:hideMark/>
          </w:tcPr>
          <w:p w14:paraId="58FD617E" w14:textId="7777777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w:t>
            </w:r>
          </w:p>
        </w:tc>
        <w:tc>
          <w:tcPr>
            <w:tcW w:w="850" w:type="dxa"/>
            <w:tcBorders>
              <w:top w:val="nil"/>
              <w:left w:val="nil"/>
              <w:bottom w:val="nil"/>
              <w:right w:val="nil"/>
            </w:tcBorders>
            <w:shd w:val="clear" w:color="000000" w:fill="FFFFFF"/>
            <w:noWrap/>
            <w:vAlign w:val="center"/>
            <w:hideMark/>
          </w:tcPr>
          <w:p w14:paraId="0B91F612" w14:textId="673EE032"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395 </w:t>
            </w:r>
          </w:p>
        </w:tc>
        <w:tc>
          <w:tcPr>
            <w:tcW w:w="850" w:type="dxa"/>
            <w:tcBorders>
              <w:top w:val="nil"/>
              <w:left w:val="nil"/>
              <w:bottom w:val="nil"/>
              <w:right w:val="nil"/>
            </w:tcBorders>
            <w:shd w:val="clear" w:color="000000" w:fill="FFFFFF"/>
            <w:noWrap/>
            <w:vAlign w:val="center"/>
            <w:hideMark/>
          </w:tcPr>
          <w:p w14:paraId="18C598DD" w14:textId="13E55D07"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  (184)</w:t>
            </w:r>
          </w:p>
        </w:tc>
        <w:tc>
          <w:tcPr>
            <w:tcW w:w="854" w:type="dxa"/>
            <w:gridSpan w:val="2"/>
            <w:tcBorders>
              <w:top w:val="nil"/>
              <w:left w:val="nil"/>
              <w:bottom w:val="nil"/>
              <w:right w:val="nil"/>
            </w:tcBorders>
            <w:shd w:val="clear" w:color="000000" w:fill="FFFFFF"/>
            <w:noWrap/>
            <w:vAlign w:val="center"/>
            <w:hideMark/>
          </w:tcPr>
          <w:p w14:paraId="064DB734" w14:textId="425003A6" w:rsidR="00EB4CBD" w:rsidRPr="003F135F" w:rsidRDefault="00EB4CBD" w:rsidP="00E84205">
            <w:pPr>
              <w:ind w:left="0" w:firstLine="0"/>
              <w:jc w:val="right"/>
              <w:rPr>
                <w:rFonts w:asciiTheme="minorHAnsi" w:eastAsia="Times New Roman" w:hAnsiTheme="minorHAnsi" w:cstheme="minorHAnsi"/>
                <w:sz w:val="20"/>
                <w:szCs w:val="20"/>
                <w:lang w:eastAsia="en-GB"/>
              </w:rPr>
            </w:pPr>
            <w:r w:rsidRPr="003F135F">
              <w:rPr>
                <w:rFonts w:asciiTheme="minorHAnsi" w:eastAsia="Times New Roman" w:hAnsiTheme="minorHAnsi" w:cstheme="minorHAnsi"/>
                <w:sz w:val="20"/>
                <w:szCs w:val="20"/>
                <w:lang w:eastAsia="en-GB"/>
              </w:rPr>
              <w:t xml:space="preserve">211 </w:t>
            </w:r>
          </w:p>
        </w:tc>
      </w:tr>
      <w:tr w:rsidR="00EB4CBD" w:rsidRPr="003F135F" w14:paraId="48BABC04" w14:textId="77777777" w:rsidTr="00E84205">
        <w:tc>
          <w:tcPr>
            <w:tcW w:w="3529" w:type="dxa"/>
            <w:tcBorders>
              <w:top w:val="nil"/>
              <w:left w:val="nil"/>
              <w:bottom w:val="nil"/>
              <w:right w:val="nil"/>
            </w:tcBorders>
            <w:shd w:val="clear" w:color="000000" w:fill="FFFFFF"/>
            <w:noWrap/>
            <w:vAlign w:val="center"/>
            <w:hideMark/>
          </w:tcPr>
          <w:p w14:paraId="57356A45" w14:textId="77777777" w:rsidR="00EB4CBD" w:rsidRPr="003F135F" w:rsidRDefault="00EB4CBD"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4" w:type="dxa"/>
            <w:tcBorders>
              <w:top w:val="nil"/>
              <w:left w:val="nil"/>
              <w:bottom w:val="nil"/>
              <w:right w:val="nil"/>
            </w:tcBorders>
            <w:shd w:val="clear" w:color="000000" w:fill="FFFFFF"/>
            <w:noWrap/>
            <w:vAlign w:val="center"/>
            <w:hideMark/>
          </w:tcPr>
          <w:p w14:paraId="373AB933" w14:textId="77777777" w:rsidR="00EB4CBD" w:rsidRPr="003F135F" w:rsidRDefault="00EB4CBD"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9" w:type="dxa"/>
            <w:tcBorders>
              <w:top w:val="nil"/>
              <w:left w:val="nil"/>
              <w:bottom w:val="nil"/>
              <w:right w:val="nil"/>
            </w:tcBorders>
            <w:shd w:val="clear" w:color="000000" w:fill="FFFFFF"/>
            <w:noWrap/>
            <w:vAlign w:val="center"/>
            <w:hideMark/>
          </w:tcPr>
          <w:p w14:paraId="62DFB517"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305A4B2A"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5D53E9ED"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239" w:type="dxa"/>
            <w:tcBorders>
              <w:top w:val="nil"/>
              <w:left w:val="nil"/>
              <w:bottom w:val="nil"/>
              <w:right w:val="nil"/>
            </w:tcBorders>
            <w:shd w:val="clear" w:color="000000" w:fill="D9D9D9"/>
            <w:noWrap/>
            <w:vAlign w:val="center"/>
            <w:hideMark/>
          </w:tcPr>
          <w:p w14:paraId="77420DE0"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3C1B2FFA"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nil"/>
              <w:left w:val="nil"/>
              <w:bottom w:val="nil"/>
              <w:right w:val="nil"/>
            </w:tcBorders>
            <w:shd w:val="clear" w:color="000000" w:fill="FFFFFF"/>
            <w:noWrap/>
            <w:vAlign w:val="center"/>
            <w:hideMark/>
          </w:tcPr>
          <w:p w14:paraId="4A1887E4"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4" w:type="dxa"/>
            <w:gridSpan w:val="2"/>
            <w:tcBorders>
              <w:top w:val="nil"/>
              <w:left w:val="nil"/>
              <w:bottom w:val="nil"/>
              <w:right w:val="nil"/>
            </w:tcBorders>
            <w:shd w:val="clear" w:color="000000" w:fill="FFFFFF"/>
            <w:noWrap/>
            <w:vAlign w:val="center"/>
            <w:hideMark/>
          </w:tcPr>
          <w:p w14:paraId="7918D545"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r>
      <w:tr w:rsidR="00EB4CBD" w:rsidRPr="003F135F" w14:paraId="0036A837" w14:textId="77777777" w:rsidTr="00E84205">
        <w:tc>
          <w:tcPr>
            <w:tcW w:w="3529" w:type="dxa"/>
            <w:tcBorders>
              <w:top w:val="nil"/>
              <w:left w:val="nil"/>
              <w:bottom w:val="nil"/>
              <w:right w:val="nil"/>
            </w:tcBorders>
            <w:shd w:val="clear" w:color="000000" w:fill="FFFFFF"/>
            <w:noWrap/>
            <w:vAlign w:val="center"/>
            <w:hideMark/>
          </w:tcPr>
          <w:p w14:paraId="3ECBBA59" w14:textId="77777777" w:rsidR="00EB4CBD" w:rsidRPr="003F135F" w:rsidRDefault="00EB4CBD"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Fund balance at the end of the year</w:t>
            </w:r>
          </w:p>
        </w:tc>
        <w:tc>
          <w:tcPr>
            <w:tcW w:w="844" w:type="dxa"/>
            <w:tcBorders>
              <w:top w:val="nil"/>
              <w:left w:val="nil"/>
              <w:bottom w:val="nil"/>
              <w:right w:val="nil"/>
            </w:tcBorders>
            <w:shd w:val="clear" w:color="000000" w:fill="FFFFFF"/>
            <w:noWrap/>
            <w:vAlign w:val="center"/>
            <w:hideMark/>
          </w:tcPr>
          <w:p w14:paraId="28B8BA75" w14:textId="77777777" w:rsidR="00EB4CBD" w:rsidRPr="003F135F" w:rsidRDefault="00EB4CBD" w:rsidP="00EB4CBD">
            <w:pPr>
              <w:ind w:left="0" w:firstLine="0"/>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49" w:type="dxa"/>
            <w:tcBorders>
              <w:top w:val="single" w:sz="4" w:space="0" w:color="auto"/>
              <w:left w:val="nil"/>
              <w:bottom w:val="single" w:sz="4" w:space="0" w:color="auto"/>
              <w:right w:val="nil"/>
            </w:tcBorders>
            <w:shd w:val="clear" w:color="000000" w:fill="C5D9F1"/>
            <w:noWrap/>
            <w:vAlign w:val="center"/>
            <w:hideMark/>
          </w:tcPr>
          <w:p w14:paraId="51D5D0FA" w14:textId="77B19EC2"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2,648 </w:t>
            </w:r>
          </w:p>
        </w:tc>
        <w:tc>
          <w:tcPr>
            <w:tcW w:w="850" w:type="dxa"/>
            <w:tcBorders>
              <w:top w:val="single" w:sz="4" w:space="0" w:color="auto"/>
              <w:left w:val="nil"/>
              <w:bottom w:val="single" w:sz="4" w:space="0" w:color="auto"/>
              <w:right w:val="nil"/>
            </w:tcBorders>
            <w:shd w:val="clear" w:color="000000" w:fill="C5D9F1"/>
            <w:noWrap/>
            <w:vAlign w:val="center"/>
            <w:hideMark/>
          </w:tcPr>
          <w:p w14:paraId="400B2193" w14:textId="48A99729"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2,073 </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14:paraId="43C31C60" w14:textId="74247920"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4,721 </w:t>
            </w:r>
          </w:p>
        </w:tc>
        <w:tc>
          <w:tcPr>
            <w:tcW w:w="239" w:type="dxa"/>
            <w:tcBorders>
              <w:top w:val="single" w:sz="4" w:space="0" w:color="auto"/>
              <w:left w:val="nil"/>
              <w:bottom w:val="single" w:sz="4" w:space="0" w:color="auto"/>
              <w:right w:val="nil"/>
            </w:tcBorders>
            <w:shd w:val="clear" w:color="000000" w:fill="D9D9D9"/>
            <w:noWrap/>
            <w:vAlign w:val="center"/>
            <w:hideMark/>
          </w:tcPr>
          <w:p w14:paraId="2F246EA2" w14:textId="77777777"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w:t>
            </w:r>
          </w:p>
        </w:tc>
        <w:tc>
          <w:tcPr>
            <w:tcW w:w="850" w:type="dxa"/>
            <w:tcBorders>
              <w:top w:val="single" w:sz="4" w:space="0" w:color="auto"/>
              <w:left w:val="nil"/>
              <w:bottom w:val="single" w:sz="4" w:space="0" w:color="auto"/>
              <w:right w:val="nil"/>
            </w:tcBorders>
            <w:shd w:val="clear" w:color="000000" w:fill="EBF1DE"/>
            <w:noWrap/>
            <w:vAlign w:val="center"/>
            <w:hideMark/>
          </w:tcPr>
          <w:p w14:paraId="23B51BF0" w14:textId="2E90097D"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2,196 </w:t>
            </w:r>
          </w:p>
        </w:tc>
        <w:tc>
          <w:tcPr>
            <w:tcW w:w="850" w:type="dxa"/>
            <w:tcBorders>
              <w:top w:val="single" w:sz="4" w:space="0" w:color="auto"/>
              <w:left w:val="nil"/>
              <w:bottom w:val="single" w:sz="4" w:space="0" w:color="auto"/>
              <w:right w:val="nil"/>
            </w:tcBorders>
            <w:shd w:val="clear" w:color="000000" w:fill="EBF1DE"/>
            <w:noWrap/>
            <w:vAlign w:val="center"/>
            <w:hideMark/>
          </w:tcPr>
          <w:p w14:paraId="1B13FF32" w14:textId="42ABB7F3"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2,133 </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14:paraId="39EACFE7" w14:textId="7136B383" w:rsidR="00EB4CBD" w:rsidRPr="003F135F" w:rsidRDefault="00EB4CBD" w:rsidP="00E84205">
            <w:pPr>
              <w:ind w:left="0" w:firstLine="0"/>
              <w:jc w:val="right"/>
              <w:rPr>
                <w:rFonts w:asciiTheme="minorHAnsi" w:eastAsia="Times New Roman" w:hAnsiTheme="minorHAnsi" w:cstheme="minorHAnsi"/>
                <w:b/>
                <w:bCs/>
                <w:sz w:val="20"/>
                <w:szCs w:val="20"/>
                <w:lang w:eastAsia="en-GB"/>
              </w:rPr>
            </w:pPr>
            <w:r w:rsidRPr="003F135F">
              <w:rPr>
                <w:rFonts w:asciiTheme="minorHAnsi" w:eastAsia="Times New Roman" w:hAnsiTheme="minorHAnsi" w:cstheme="minorHAnsi"/>
                <w:b/>
                <w:bCs/>
                <w:sz w:val="20"/>
                <w:szCs w:val="20"/>
                <w:lang w:eastAsia="en-GB"/>
              </w:rPr>
              <w:t xml:space="preserve"> 4,329 </w:t>
            </w:r>
          </w:p>
        </w:tc>
      </w:tr>
    </w:tbl>
    <w:p w14:paraId="6C7E7A10" w14:textId="77777777" w:rsidR="003F135F" w:rsidRDefault="003F135F" w:rsidP="00633DD5">
      <w:pPr>
        <w:pStyle w:val="NoSpacing"/>
        <w:rPr>
          <w:rFonts w:eastAsia="Times New Roman" w:cs="Arial"/>
          <w:b/>
          <w:bCs/>
          <w:lang w:eastAsia="en-GB"/>
        </w:rPr>
      </w:pPr>
    </w:p>
    <w:p w14:paraId="15877AF7" w14:textId="0EBAF5D3" w:rsidR="0012277D" w:rsidRDefault="0012277D" w:rsidP="00633DD5">
      <w:pPr>
        <w:pStyle w:val="NoSpacing"/>
        <w:rPr>
          <w:rFonts w:eastAsia="Times New Roman" w:cs="Arial"/>
          <w:b/>
          <w:bCs/>
          <w:lang w:eastAsia="en-GB"/>
        </w:rPr>
      </w:pPr>
    </w:p>
    <w:p w14:paraId="357560D7" w14:textId="6F4EABEC" w:rsidR="0012277D" w:rsidRPr="00421152" w:rsidRDefault="0012277D" w:rsidP="00633DD5">
      <w:pPr>
        <w:pStyle w:val="NoSpacing"/>
        <w:rPr>
          <w:b/>
        </w:rPr>
      </w:pPr>
    </w:p>
    <w:p w14:paraId="6E733272" w14:textId="5C8784A2" w:rsidR="00F96BA5" w:rsidRDefault="001C5386" w:rsidP="00F96BA5">
      <w:pPr>
        <w:pStyle w:val="NoSpacing"/>
        <w:rPr>
          <w:rFonts w:eastAsia="Times New Roman" w:cs="Arial"/>
          <w:b/>
          <w:bCs/>
          <w:lang w:eastAsia="en-GB"/>
        </w:rPr>
      </w:pPr>
      <w:r w:rsidRPr="00421152">
        <w:rPr>
          <w:b/>
        </w:rPr>
        <w:lastRenderedPageBreak/>
        <w:t xml:space="preserve"> </w:t>
      </w:r>
      <w:r w:rsidR="00F96BA5" w:rsidRPr="00421152">
        <w:rPr>
          <w:rFonts w:eastAsia="Times New Roman" w:cs="Arial"/>
          <w:b/>
          <w:bCs/>
          <w:lang w:eastAsia="en-GB"/>
        </w:rPr>
        <w:t>III.</w:t>
      </w:r>
      <w:r w:rsidR="00F96BA5" w:rsidRPr="00421152">
        <w:rPr>
          <w:rFonts w:eastAsia="Times New Roman" w:cs="Arial"/>
          <w:b/>
          <w:bCs/>
          <w:lang w:eastAsia="en-GB"/>
        </w:rPr>
        <w:tab/>
        <w:t>Cash Flow Statement for the year ended 31 December 201</w:t>
      </w:r>
      <w:r w:rsidR="0012277D">
        <w:rPr>
          <w:rFonts w:eastAsia="Times New Roman" w:cs="Arial"/>
          <w:b/>
          <w:bCs/>
          <w:lang w:eastAsia="en-GB"/>
        </w:rPr>
        <w:t>9</w:t>
      </w:r>
    </w:p>
    <w:p w14:paraId="5A700D26" w14:textId="70530081" w:rsidR="00F62368" w:rsidRDefault="00F62368" w:rsidP="00F96BA5">
      <w:pPr>
        <w:pStyle w:val="NoSpacing"/>
        <w:rPr>
          <w:rFonts w:eastAsia="Times New Roman" w:cs="Arial"/>
          <w:b/>
          <w:bCs/>
          <w:lang w:eastAsia="en-GB"/>
        </w:rPr>
      </w:pPr>
    </w:p>
    <w:tbl>
      <w:tblPr>
        <w:tblW w:w="9207" w:type="dxa"/>
        <w:tblLook w:val="04A0" w:firstRow="1" w:lastRow="0" w:firstColumn="1" w:lastColumn="0" w:noHBand="0" w:noVBand="1"/>
      </w:tblPr>
      <w:tblGrid>
        <w:gridCol w:w="6237"/>
        <w:gridCol w:w="1219"/>
        <w:gridCol w:w="266"/>
        <w:gridCol w:w="266"/>
        <w:gridCol w:w="1219"/>
      </w:tblGrid>
      <w:tr w:rsidR="003F135F" w:rsidRPr="003F135F" w14:paraId="42D783B2" w14:textId="77777777" w:rsidTr="005315C8">
        <w:trPr>
          <w:trHeight w:val="324"/>
        </w:trPr>
        <w:tc>
          <w:tcPr>
            <w:tcW w:w="6237" w:type="dxa"/>
            <w:tcBorders>
              <w:top w:val="nil"/>
              <w:left w:val="nil"/>
              <w:bottom w:val="single" w:sz="8" w:space="0" w:color="auto"/>
              <w:right w:val="nil"/>
            </w:tcBorders>
            <w:shd w:val="clear" w:color="000000" w:fill="FFFFFF"/>
            <w:noWrap/>
            <w:vAlign w:val="bottom"/>
            <w:hideMark/>
          </w:tcPr>
          <w:p w14:paraId="5195A11C" w14:textId="77777777" w:rsidR="003F135F" w:rsidRPr="003F135F" w:rsidRDefault="003F135F" w:rsidP="003F135F">
            <w:pPr>
              <w:ind w:left="0" w:firstLine="0"/>
              <w:rPr>
                <w:rFonts w:eastAsia="Times New Roman" w:cs="Calibri"/>
                <w:i/>
                <w:iCs/>
                <w:sz w:val="20"/>
                <w:szCs w:val="20"/>
                <w:lang w:eastAsia="en-GB"/>
              </w:rPr>
            </w:pPr>
            <w:r w:rsidRPr="003F135F">
              <w:rPr>
                <w:rFonts w:eastAsia="Times New Roman" w:cs="Calibri"/>
                <w:i/>
                <w:iCs/>
                <w:sz w:val="20"/>
                <w:szCs w:val="20"/>
                <w:lang w:eastAsia="en-GB"/>
              </w:rPr>
              <w:t>in thousands of Swiss Francs (CHF '000s)</w:t>
            </w:r>
          </w:p>
        </w:tc>
        <w:tc>
          <w:tcPr>
            <w:tcW w:w="1219" w:type="dxa"/>
            <w:tcBorders>
              <w:top w:val="nil"/>
              <w:left w:val="nil"/>
              <w:bottom w:val="single" w:sz="8" w:space="0" w:color="auto"/>
              <w:right w:val="nil"/>
            </w:tcBorders>
            <w:shd w:val="clear" w:color="000000" w:fill="8DB4E2"/>
            <w:noWrap/>
            <w:vAlign w:val="center"/>
            <w:hideMark/>
          </w:tcPr>
          <w:p w14:paraId="74527F6B"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2019</w:t>
            </w:r>
          </w:p>
        </w:tc>
        <w:tc>
          <w:tcPr>
            <w:tcW w:w="266" w:type="dxa"/>
            <w:tcBorders>
              <w:top w:val="nil"/>
              <w:left w:val="nil"/>
              <w:bottom w:val="single" w:sz="8" w:space="0" w:color="auto"/>
              <w:right w:val="nil"/>
            </w:tcBorders>
            <w:shd w:val="clear" w:color="000000" w:fill="8DB4E2"/>
            <w:noWrap/>
            <w:vAlign w:val="center"/>
            <w:hideMark/>
          </w:tcPr>
          <w:p w14:paraId="1BEF1A51"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single" w:sz="8" w:space="0" w:color="auto"/>
              <w:right w:val="nil"/>
            </w:tcBorders>
            <w:shd w:val="clear" w:color="000000" w:fill="D9D9D9"/>
            <w:noWrap/>
            <w:vAlign w:val="center"/>
            <w:hideMark/>
          </w:tcPr>
          <w:p w14:paraId="3ED16560"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single" w:sz="8" w:space="0" w:color="auto"/>
              <w:right w:val="nil"/>
            </w:tcBorders>
            <w:shd w:val="clear" w:color="000000" w:fill="D8E4BC"/>
            <w:noWrap/>
            <w:vAlign w:val="center"/>
            <w:hideMark/>
          </w:tcPr>
          <w:p w14:paraId="022AE673" w14:textId="77777777" w:rsidR="003F135F" w:rsidRPr="003F135F" w:rsidRDefault="003F135F" w:rsidP="003F135F">
            <w:pPr>
              <w:ind w:left="0" w:firstLine="0"/>
              <w:jc w:val="center"/>
              <w:rPr>
                <w:rFonts w:eastAsia="Times New Roman" w:cs="Calibri"/>
                <w:b/>
                <w:bCs/>
                <w:lang w:eastAsia="en-GB"/>
              </w:rPr>
            </w:pPr>
            <w:r w:rsidRPr="003F135F">
              <w:rPr>
                <w:rFonts w:eastAsia="Times New Roman" w:cs="Calibri"/>
                <w:b/>
                <w:bCs/>
                <w:lang w:eastAsia="en-GB"/>
              </w:rPr>
              <w:t>2018</w:t>
            </w:r>
          </w:p>
        </w:tc>
      </w:tr>
      <w:tr w:rsidR="003F135F" w:rsidRPr="003F135F" w14:paraId="7342E728" w14:textId="77777777" w:rsidTr="005315C8">
        <w:trPr>
          <w:trHeight w:val="288"/>
        </w:trPr>
        <w:tc>
          <w:tcPr>
            <w:tcW w:w="6237" w:type="dxa"/>
            <w:tcBorders>
              <w:top w:val="nil"/>
              <w:left w:val="nil"/>
              <w:bottom w:val="nil"/>
              <w:right w:val="nil"/>
            </w:tcBorders>
            <w:shd w:val="clear" w:color="000000" w:fill="FFFFFF"/>
            <w:noWrap/>
            <w:vAlign w:val="center"/>
            <w:hideMark/>
          </w:tcPr>
          <w:p w14:paraId="60E42D2A"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2CA58B83"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65E5DF9A"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3EC00DEF"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68E34E6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7095D1B5" w14:textId="77777777" w:rsidTr="005315C8">
        <w:trPr>
          <w:trHeight w:val="288"/>
        </w:trPr>
        <w:tc>
          <w:tcPr>
            <w:tcW w:w="6237" w:type="dxa"/>
            <w:tcBorders>
              <w:top w:val="nil"/>
              <w:left w:val="nil"/>
              <w:bottom w:val="nil"/>
              <w:right w:val="nil"/>
            </w:tcBorders>
            <w:shd w:val="clear" w:color="000000" w:fill="FFFFFF"/>
            <w:noWrap/>
            <w:vAlign w:val="center"/>
            <w:hideMark/>
          </w:tcPr>
          <w:p w14:paraId="68AAD666"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Cash flow from operations</w:t>
            </w:r>
          </w:p>
        </w:tc>
        <w:tc>
          <w:tcPr>
            <w:tcW w:w="1219" w:type="dxa"/>
            <w:tcBorders>
              <w:top w:val="nil"/>
              <w:left w:val="nil"/>
              <w:bottom w:val="nil"/>
              <w:right w:val="nil"/>
            </w:tcBorders>
            <w:shd w:val="clear" w:color="000000" w:fill="FFFFFF"/>
            <w:noWrap/>
            <w:vAlign w:val="center"/>
            <w:hideMark/>
          </w:tcPr>
          <w:p w14:paraId="7CF00468"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1EE60591"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797041D9"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629B082F"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20F5E3B9" w14:textId="77777777" w:rsidTr="005315C8">
        <w:trPr>
          <w:trHeight w:val="288"/>
        </w:trPr>
        <w:tc>
          <w:tcPr>
            <w:tcW w:w="6237" w:type="dxa"/>
            <w:tcBorders>
              <w:top w:val="nil"/>
              <w:left w:val="nil"/>
              <w:bottom w:val="nil"/>
              <w:right w:val="nil"/>
            </w:tcBorders>
            <w:shd w:val="clear" w:color="000000" w:fill="FFFFFF"/>
            <w:noWrap/>
            <w:vAlign w:val="center"/>
            <w:hideMark/>
          </w:tcPr>
          <w:p w14:paraId="3E9AF667"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59EBABC0"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4128D8E4"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57156B22"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6BBBDC0E" w14:textId="77777777" w:rsidR="003F135F" w:rsidRPr="003F135F" w:rsidRDefault="003F135F" w:rsidP="003F135F">
            <w:pPr>
              <w:ind w:left="0" w:firstLine="0"/>
              <w:rPr>
                <w:rFonts w:eastAsia="Times New Roman" w:cs="Calibri"/>
                <w:lang w:eastAsia="en-GB"/>
              </w:rPr>
            </w:pPr>
            <w:r w:rsidRPr="003F135F">
              <w:rPr>
                <w:rFonts w:eastAsia="Times New Roman" w:cs="Calibri"/>
                <w:lang w:eastAsia="en-GB"/>
              </w:rPr>
              <w:t> </w:t>
            </w:r>
          </w:p>
        </w:tc>
      </w:tr>
      <w:tr w:rsidR="003F135F" w:rsidRPr="003F135F" w14:paraId="63ADAA2E" w14:textId="77777777" w:rsidTr="005315C8">
        <w:trPr>
          <w:trHeight w:val="288"/>
        </w:trPr>
        <w:tc>
          <w:tcPr>
            <w:tcW w:w="6237" w:type="dxa"/>
            <w:tcBorders>
              <w:top w:val="nil"/>
              <w:left w:val="nil"/>
              <w:bottom w:val="nil"/>
              <w:right w:val="nil"/>
            </w:tcBorders>
            <w:shd w:val="clear" w:color="000000" w:fill="FFFFFF"/>
            <w:noWrap/>
            <w:vAlign w:val="center"/>
            <w:hideMark/>
          </w:tcPr>
          <w:p w14:paraId="142DF392"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Surplus/(Deficit) from Operations</w:t>
            </w:r>
          </w:p>
        </w:tc>
        <w:tc>
          <w:tcPr>
            <w:tcW w:w="1219" w:type="dxa"/>
            <w:tcBorders>
              <w:top w:val="nil"/>
              <w:left w:val="nil"/>
              <w:bottom w:val="single" w:sz="4" w:space="0" w:color="auto"/>
              <w:right w:val="nil"/>
            </w:tcBorders>
            <w:shd w:val="clear" w:color="000000" w:fill="FFFFFF"/>
            <w:noWrap/>
            <w:vAlign w:val="center"/>
            <w:hideMark/>
          </w:tcPr>
          <w:p w14:paraId="41E5E6D4"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392</w:t>
            </w:r>
          </w:p>
        </w:tc>
        <w:tc>
          <w:tcPr>
            <w:tcW w:w="266" w:type="dxa"/>
            <w:tcBorders>
              <w:top w:val="nil"/>
              <w:left w:val="nil"/>
              <w:bottom w:val="single" w:sz="4" w:space="0" w:color="auto"/>
              <w:right w:val="nil"/>
            </w:tcBorders>
            <w:shd w:val="clear" w:color="000000" w:fill="FFFFFF"/>
            <w:noWrap/>
            <w:vAlign w:val="center"/>
            <w:hideMark/>
          </w:tcPr>
          <w:p w14:paraId="2BD53519"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single" w:sz="4" w:space="0" w:color="auto"/>
              <w:right w:val="nil"/>
            </w:tcBorders>
            <w:shd w:val="clear" w:color="000000" w:fill="D9D9D9"/>
            <w:noWrap/>
            <w:vAlign w:val="center"/>
            <w:hideMark/>
          </w:tcPr>
          <w:p w14:paraId="2D62D102"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single" w:sz="4" w:space="0" w:color="auto"/>
              <w:right w:val="nil"/>
            </w:tcBorders>
            <w:shd w:val="clear" w:color="000000" w:fill="FFFFFF"/>
            <w:noWrap/>
            <w:vAlign w:val="center"/>
            <w:hideMark/>
          </w:tcPr>
          <w:p w14:paraId="42F8F3CC"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211</w:t>
            </w:r>
          </w:p>
        </w:tc>
      </w:tr>
      <w:tr w:rsidR="003F135F" w:rsidRPr="003F135F" w14:paraId="64F21FFA" w14:textId="77777777" w:rsidTr="005315C8">
        <w:trPr>
          <w:trHeight w:val="288"/>
        </w:trPr>
        <w:tc>
          <w:tcPr>
            <w:tcW w:w="6237" w:type="dxa"/>
            <w:tcBorders>
              <w:top w:val="nil"/>
              <w:left w:val="nil"/>
              <w:bottom w:val="nil"/>
              <w:right w:val="nil"/>
            </w:tcBorders>
            <w:shd w:val="clear" w:color="000000" w:fill="FFFFFF"/>
            <w:noWrap/>
            <w:vAlign w:val="center"/>
            <w:hideMark/>
          </w:tcPr>
          <w:p w14:paraId="18669515"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32720F76"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nil"/>
              <w:right w:val="nil"/>
            </w:tcBorders>
            <w:shd w:val="clear" w:color="000000" w:fill="FFFFFF"/>
            <w:noWrap/>
            <w:vAlign w:val="center"/>
            <w:hideMark/>
          </w:tcPr>
          <w:p w14:paraId="5CC7EA9F"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nil"/>
              <w:left w:val="nil"/>
              <w:bottom w:val="nil"/>
              <w:right w:val="nil"/>
            </w:tcBorders>
            <w:shd w:val="clear" w:color="000000" w:fill="D9D9D9"/>
            <w:noWrap/>
            <w:vAlign w:val="center"/>
            <w:hideMark/>
          </w:tcPr>
          <w:p w14:paraId="7C80BDE9"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72027FEA"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r>
      <w:tr w:rsidR="003F135F" w:rsidRPr="003F135F" w14:paraId="72779AB8" w14:textId="77777777" w:rsidTr="005315C8">
        <w:trPr>
          <w:trHeight w:val="288"/>
        </w:trPr>
        <w:tc>
          <w:tcPr>
            <w:tcW w:w="6237" w:type="dxa"/>
            <w:tcBorders>
              <w:top w:val="nil"/>
              <w:left w:val="nil"/>
              <w:bottom w:val="nil"/>
              <w:right w:val="nil"/>
            </w:tcBorders>
            <w:shd w:val="clear" w:color="000000" w:fill="FFFFFF"/>
            <w:noWrap/>
            <w:vAlign w:val="center"/>
            <w:hideMark/>
          </w:tcPr>
          <w:p w14:paraId="37C1B048" w14:textId="5A91966F" w:rsidR="003F135F" w:rsidRPr="003F135F" w:rsidRDefault="003F135F" w:rsidP="005315C8">
            <w:pPr>
              <w:ind w:left="0" w:firstLine="0"/>
              <w:rPr>
                <w:rFonts w:eastAsia="Times New Roman" w:cs="Calibri"/>
                <w:color w:val="000000"/>
                <w:lang w:eastAsia="en-GB"/>
              </w:rPr>
            </w:pPr>
            <w:r w:rsidRPr="003F135F">
              <w:rPr>
                <w:rFonts w:eastAsia="Times New Roman" w:cs="Calibri"/>
                <w:color w:val="000000"/>
                <w:lang w:eastAsia="en-GB"/>
              </w:rPr>
              <w:t>Depreciation of fixed assets</w:t>
            </w:r>
          </w:p>
        </w:tc>
        <w:tc>
          <w:tcPr>
            <w:tcW w:w="1219" w:type="dxa"/>
            <w:tcBorders>
              <w:top w:val="nil"/>
              <w:left w:val="nil"/>
              <w:bottom w:val="nil"/>
              <w:right w:val="nil"/>
            </w:tcBorders>
            <w:shd w:val="clear" w:color="000000" w:fill="FFFFFF"/>
            <w:noWrap/>
            <w:vAlign w:val="center"/>
            <w:hideMark/>
          </w:tcPr>
          <w:p w14:paraId="1C949AAB"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8</w:t>
            </w:r>
          </w:p>
        </w:tc>
        <w:tc>
          <w:tcPr>
            <w:tcW w:w="266" w:type="dxa"/>
            <w:tcBorders>
              <w:top w:val="nil"/>
              <w:left w:val="nil"/>
              <w:bottom w:val="nil"/>
              <w:right w:val="nil"/>
            </w:tcBorders>
            <w:shd w:val="clear" w:color="000000" w:fill="FFFFFF"/>
            <w:noWrap/>
            <w:vAlign w:val="center"/>
            <w:hideMark/>
          </w:tcPr>
          <w:p w14:paraId="0BFE43CD"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347BD35C"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0D6839A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10</w:t>
            </w:r>
          </w:p>
        </w:tc>
      </w:tr>
      <w:tr w:rsidR="003F135F" w:rsidRPr="003F135F" w14:paraId="7143E45C" w14:textId="77777777" w:rsidTr="005315C8">
        <w:trPr>
          <w:trHeight w:val="288"/>
        </w:trPr>
        <w:tc>
          <w:tcPr>
            <w:tcW w:w="6237" w:type="dxa"/>
            <w:tcBorders>
              <w:top w:val="nil"/>
              <w:left w:val="nil"/>
              <w:bottom w:val="nil"/>
              <w:right w:val="nil"/>
            </w:tcBorders>
            <w:shd w:val="clear" w:color="000000" w:fill="FFFFFF"/>
            <w:noWrap/>
            <w:vAlign w:val="center"/>
            <w:hideMark/>
          </w:tcPr>
          <w:p w14:paraId="71777EC0" w14:textId="1E450541"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provisions for membership dues in arrears</w:t>
            </w:r>
          </w:p>
        </w:tc>
        <w:tc>
          <w:tcPr>
            <w:tcW w:w="1219" w:type="dxa"/>
            <w:tcBorders>
              <w:top w:val="nil"/>
              <w:left w:val="nil"/>
              <w:bottom w:val="nil"/>
              <w:right w:val="nil"/>
            </w:tcBorders>
            <w:shd w:val="clear" w:color="000000" w:fill="FFFFFF"/>
            <w:noWrap/>
            <w:vAlign w:val="center"/>
            <w:hideMark/>
          </w:tcPr>
          <w:p w14:paraId="104679F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233</w:t>
            </w:r>
          </w:p>
        </w:tc>
        <w:tc>
          <w:tcPr>
            <w:tcW w:w="266" w:type="dxa"/>
            <w:tcBorders>
              <w:top w:val="nil"/>
              <w:left w:val="nil"/>
              <w:bottom w:val="nil"/>
              <w:right w:val="nil"/>
            </w:tcBorders>
            <w:shd w:val="clear" w:color="000000" w:fill="FFFFFF"/>
            <w:noWrap/>
            <w:vAlign w:val="center"/>
            <w:hideMark/>
          </w:tcPr>
          <w:p w14:paraId="7AC2006C"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7F972D8F"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65BBD0BE"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(57)</w:t>
            </w:r>
          </w:p>
        </w:tc>
      </w:tr>
      <w:tr w:rsidR="003F135F" w:rsidRPr="003F135F" w14:paraId="077971A9" w14:textId="77777777" w:rsidTr="005315C8">
        <w:trPr>
          <w:trHeight w:val="312"/>
        </w:trPr>
        <w:tc>
          <w:tcPr>
            <w:tcW w:w="6237" w:type="dxa"/>
            <w:tcBorders>
              <w:top w:val="nil"/>
              <w:left w:val="nil"/>
              <w:bottom w:val="nil"/>
              <w:right w:val="nil"/>
            </w:tcBorders>
            <w:shd w:val="clear" w:color="000000" w:fill="FFFFFF"/>
            <w:noWrap/>
            <w:vAlign w:val="center"/>
            <w:hideMark/>
          </w:tcPr>
          <w:p w14:paraId="549C875F" w14:textId="58E75BCA"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staff leave and repatriation liabilities</w:t>
            </w:r>
          </w:p>
        </w:tc>
        <w:tc>
          <w:tcPr>
            <w:tcW w:w="1219" w:type="dxa"/>
            <w:tcBorders>
              <w:top w:val="nil"/>
              <w:left w:val="nil"/>
              <w:bottom w:val="nil"/>
              <w:right w:val="nil"/>
            </w:tcBorders>
            <w:shd w:val="clear" w:color="000000" w:fill="FFFFFF"/>
            <w:noWrap/>
            <w:vAlign w:val="center"/>
            <w:hideMark/>
          </w:tcPr>
          <w:p w14:paraId="14021B5C"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(17)</w:t>
            </w:r>
          </w:p>
        </w:tc>
        <w:tc>
          <w:tcPr>
            <w:tcW w:w="266" w:type="dxa"/>
            <w:tcBorders>
              <w:top w:val="nil"/>
              <w:left w:val="nil"/>
              <w:bottom w:val="nil"/>
              <w:right w:val="nil"/>
            </w:tcBorders>
            <w:shd w:val="clear" w:color="000000" w:fill="FFFFFF"/>
            <w:noWrap/>
            <w:vAlign w:val="center"/>
            <w:hideMark/>
          </w:tcPr>
          <w:p w14:paraId="2FE055B7"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4C45174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119B2224"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31</w:t>
            </w:r>
          </w:p>
        </w:tc>
      </w:tr>
      <w:tr w:rsidR="003F135F" w:rsidRPr="003F135F" w14:paraId="7A8F9642" w14:textId="77777777" w:rsidTr="005315C8">
        <w:trPr>
          <w:trHeight w:val="312"/>
        </w:trPr>
        <w:tc>
          <w:tcPr>
            <w:tcW w:w="6237" w:type="dxa"/>
            <w:tcBorders>
              <w:top w:val="nil"/>
              <w:left w:val="nil"/>
              <w:bottom w:val="nil"/>
              <w:right w:val="nil"/>
            </w:tcBorders>
            <w:shd w:val="clear" w:color="000000" w:fill="FFFFFF"/>
            <w:noWrap/>
            <w:vAlign w:val="center"/>
            <w:hideMark/>
          </w:tcPr>
          <w:p w14:paraId="590A04CF" w14:textId="3EB931AB"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the provision for staff termination</w:t>
            </w:r>
          </w:p>
        </w:tc>
        <w:tc>
          <w:tcPr>
            <w:tcW w:w="1219" w:type="dxa"/>
            <w:tcBorders>
              <w:top w:val="nil"/>
              <w:left w:val="nil"/>
              <w:bottom w:val="nil"/>
              <w:right w:val="nil"/>
            </w:tcBorders>
            <w:shd w:val="clear" w:color="000000" w:fill="FFFFFF"/>
            <w:noWrap/>
            <w:vAlign w:val="center"/>
            <w:hideMark/>
          </w:tcPr>
          <w:p w14:paraId="70675DAD"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7</w:t>
            </w:r>
          </w:p>
        </w:tc>
        <w:tc>
          <w:tcPr>
            <w:tcW w:w="266" w:type="dxa"/>
            <w:tcBorders>
              <w:top w:val="nil"/>
              <w:left w:val="nil"/>
              <w:bottom w:val="nil"/>
              <w:right w:val="nil"/>
            </w:tcBorders>
            <w:shd w:val="clear" w:color="000000" w:fill="FFFFFF"/>
            <w:noWrap/>
            <w:vAlign w:val="center"/>
            <w:hideMark/>
          </w:tcPr>
          <w:p w14:paraId="4881A5F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30C7DE33"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7EA42796"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24</w:t>
            </w:r>
          </w:p>
        </w:tc>
      </w:tr>
      <w:tr w:rsidR="003F135F" w:rsidRPr="003F135F" w14:paraId="7DDC0B2D" w14:textId="77777777" w:rsidTr="005315C8">
        <w:trPr>
          <w:trHeight w:val="312"/>
        </w:trPr>
        <w:tc>
          <w:tcPr>
            <w:tcW w:w="6237" w:type="dxa"/>
            <w:tcBorders>
              <w:top w:val="nil"/>
              <w:left w:val="nil"/>
              <w:bottom w:val="nil"/>
              <w:right w:val="nil"/>
            </w:tcBorders>
            <w:shd w:val="clear" w:color="000000" w:fill="FFFFFF"/>
            <w:noWrap/>
            <w:vAlign w:val="center"/>
            <w:hideMark/>
          </w:tcPr>
          <w:p w14:paraId="71844A0D" w14:textId="61B34C6E"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membership dues receivables (gross)</w:t>
            </w:r>
          </w:p>
        </w:tc>
        <w:tc>
          <w:tcPr>
            <w:tcW w:w="1219" w:type="dxa"/>
            <w:tcBorders>
              <w:top w:val="nil"/>
              <w:left w:val="nil"/>
              <w:bottom w:val="nil"/>
              <w:right w:val="nil"/>
            </w:tcBorders>
            <w:shd w:val="clear" w:color="000000" w:fill="FFFFFF"/>
            <w:noWrap/>
            <w:vAlign w:val="center"/>
            <w:hideMark/>
          </w:tcPr>
          <w:p w14:paraId="7B19BA1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(1,764)</w:t>
            </w:r>
          </w:p>
        </w:tc>
        <w:tc>
          <w:tcPr>
            <w:tcW w:w="266" w:type="dxa"/>
            <w:tcBorders>
              <w:top w:val="nil"/>
              <w:left w:val="nil"/>
              <w:bottom w:val="nil"/>
              <w:right w:val="nil"/>
            </w:tcBorders>
            <w:shd w:val="clear" w:color="000000" w:fill="FFFFFF"/>
            <w:noWrap/>
            <w:vAlign w:val="center"/>
            <w:hideMark/>
          </w:tcPr>
          <w:p w14:paraId="25054825"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56AD7F0B"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58EFAD66"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390</w:t>
            </w:r>
          </w:p>
        </w:tc>
      </w:tr>
      <w:tr w:rsidR="003F135F" w:rsidRPr="003F135F" w14:paraId="3208D023" w14:textId="77777777" w:rsidTr="005315C8">
        <w:trPr>
          <w:trHeight w:val="288"/>
        </w:trPr>
        <w:tc>
          <w:tcPr>
            <w:tcW w:w="6237" w:type="dxa"/>
            <w:tcBorders>
              <w:top w:val="nil"/>
              <w:left w:val="nil"/>
              <w:bottom w:val="nil"/>
              <w:right w:val="nil"/>
            </w:tcBorders>
            <w:shd w:val="clear" w:color="000000" w:fill="FFFFFF"/>
            <w:noWrap/>
            <w:vAlign w:val="center"/>
            <w:hideMark/>
          </w:tcPr>
          <w:p w14:paraId="7DA5B77A" w14:textId="3687F399"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payables to partner organisations</w:t>
            </w:r>
          </w:p>
        </w:tc>
        <w:tc>
          <w:tcPr>
            <w:tcW w:w="1219" w:type="dxa"/>
            <w:tcBorders>
              <w:top w:val="nil"/>
              <w:left w:val="nil"/>
              <w:bottom w:val="nil"/>
              <w:right w:val="nil"/>
            </w:tcBorders>
            <w:shd w:val="clear" w:color="000000" w:fill="FFFFFF"/>
            <w:noWrap/>
            <w:vAlign w:val="center"/>
            <w:hideMark/>
          </w:tcPr>
          <w:p w14:paraId="597CC685"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29</w:t>
            </w:r>
          </w:p>
        </w:tc>
        <w:tc>
          <w:tcPr>
            <w:tcW w:w="266" w:type="dxa"/>
            <w:tcBorders>
              <w:top w:val="nil"/>
              <w:left w:val="nil"/>
              <w:bottom w:val="nil"/>
              <w:right w:val="nil"/>
            </w:tcBorders>
            <w:shd w:val="clear" w:color="000000" w:fill="FFFFFF"/>
            <w:noWrap/>
            <w:vAlign w:val="center"/>
            <w:hideMark/>
          </w:tcPr>
          <w:p w14:paraId="22D8B84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6F216A94"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7002AF37"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(137)</w:t>
            </w:r>
          </w:p>
        </w:tc>
      </w:tr>
      <w:tr w:rsidR="003F135F" w:rsidRPr="003F135F" w14:paraId="67546694" w14:textId="77777777" w:rsidTr="005315C8">
        <w:trPr>
          <w:trHeight w:val="288"/>
        </w:trPr>
        <w:tc>
          <w:tcPr>
            <w:tcW w:w="6237" w:type="dxa"/>
            <w:tcBorders>
              <w:top w:val="nil"/>
              <w:left w:val="nil"/>
              <w:bottom w:val="nil"/>
              <w:right w:val="nil"/>
            </w:tcBorders>
            <w:shd w:val="clear" w:color="000000" w:fill="FFFFFF"/>
            <w:noWrap/>
            <w:vAlign w:val="center"/>
            <w:hideMark/>
          </w:tcPr>
          <w:p w14:paraId="17258BA2" w14:textId="1899140B"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other accounts receivable</w:t>
            </w:r>
          </w:p>
        </w:tc>
        <w:tc>
          <w:tcPr>
            <w:tcW w:w="1219" w:type="dxa"/>
            <w:tcBorders>
              <w:top w:val="nil"/>
              <w:left w:val="nil"/>
              <w:bottom w:val="nil"/>
              <w:right w:val="nil"/>
            </w:tcBorders>
            <w:shd w:val="clear" w:color="000000" w:fill="FFFFFF"/>
            <w:noWrap/>
            <w:vAlign w:val="center"/>
            <w:hideMark/>
          </w:tcPr>
          <w:p w14:paraId="166A932E"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(88)</w:t>
            </w:r>
          </w:p>
        </w:tc>
        <w:tc>
          <w:tcPr>
            <w:tcW w:w="266" w:type="dxa"/>
            <w:tcBorders>
              <w:top w:val="nil"/>
              <w:left w:val="nil"/>
              <w:bottom w:val="nil"/>
              <w:right w:val="nil"/>
            </w:tcBorders>
            <w:shd w:val="clear" w:color="000000" w:fill="FFFFFF"/>
            <w:noWrap/>
            <w:vAlign w:val="center"/>
            <w:hideMark/>
          </w:tcPr>
          <w:p w14:paraId="119D1093"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5191881B"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571F5032"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20</w:t>
            </w:r>
          </w:p>
        </w:tc>
      </w:tr>
      <w:tr w:rsidR="003F135F" w:rsidRPr="003F135F" w14:paraId="098CBD6A" w14:textId="77777777" w:rsidTr="005315C8">
        <w:trPr>
          <w:trHeight w:val="288"/>
        </w:trPr>
        <w:tc>
          <w:tcPr>
            <w:tcW w:w="6237" w:type="dxa"/>
            <w:tcBorders>
              <w:top w:val="nil"/>
              <w:left w:val="nil"/>
              <w:bottom w:val="nil"/>
              <w:right w:val="nil"/>
            </w:tcBorders>
            <w:shd w:val="clear" w:color="000000" w:fill="FFFFFF"/>
            <w:noWrap/>
            <w:vAlign w:val="center"/>
            <w:hideMark/>
          </w:tcPr>
          <w:p w14:paraId="2BF0227E" w14:textId="43A2AD35"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membership dues paid in advance</w:t>
            </w:r>
          </w:p>
        </w:tc>
        <w:tc>
          <w:tcPr>
            <w:tcW w:w="1219" w:type="dxa"/>
            <w:tcBorders>
              <w:top w:val="nil"/>
              <w:left w:val="nil"/>
              <w:bottom w:val="nil"/>
              <w:right w:val="nil"/>
            </w:tcBorders>
            <w:shd w:val="clear" w:color="000000" w:fill="FFFFFF"/>
            <w:noWrap/>
            <w:vAlign w:val="center"/>
            <w:hideMark/>
          </w:tcPr>
          <w:p w14:paraId="366816BD"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10</w:t>
            </w:r>
          </w:p>
        </w:tc>
        <w:tc>
          <w:tcPr>
            <w:tcW w:w="266" w:type="dxa"/>
            <w:tcBorders>
              <w:top w:val="nil"/>
              <w:left w:val="nil"/>
              <w:bottom w:val="nil"/>
              <w:right w:val="nil"/>
            </w:tcBorders>
            <w:shd w:val="clear" w:color="000000" w:fill="FFFFFF"/>
            <w:noWrap/>
            <w:vAlign w:val="center"/>
            <w:hideMark/>
          </w:tcPr>
          <w:p w14:paraId="523D17C4"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0CC5A282"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14F802B6"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280</w:t>
            </w:r>
          </w:p>
        </w:tc>
      </w:tr>
      <w:tr w:rsidR="003F135F" w:rsidRPr="003F135F" w14:paraId="56126666" w14:textId="77777777" w:rsidTr="005315C8">
        <w:trPr>
          <w:trHeight w:val="288"/>
        </w:trPr>
        <w:tc>
          <w:tcPr>
            <w:tcW w:w="6237" w:type="dxa"/>
            <w:tcBorders>
              <w:top w:val="nil"/>
              <w:left w:val="nil"/>
              <w:bottom w:val="nil"/>
              <w:right w:val="nil"/>
            </w:tcBorders>
            <w:shd w:val="clear" w:color="000000" w:fill="FFFFFF"/>
            <w:noWrap/>
            <w:vAlign w:val="center"/>
            <w:hideMark/>
          </w:tcPr>
          <w:p w14:paraId="774B2EF2" w14:textId="52DBA178"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accounts payable and accrued liabilities</w:t>
            </w:r>
          </w:p>
        </w:tc>
        <w:tc>
          <w:tcPr>
            <w:tcW w:w="1219" w:type="dxa"/>
            <w:tcBorders>
              <w:top w:val="nil"/>
              <w:left w:val="nil"/>
              <w:bottom w:val="nil"/>
              <w:right w:val="nil"/>
            </w:tcBorders>
            <w:shd w:val="clear" w:color="000000" w:fill="FFFFFF"/>
            <w:noWrap/>
            <w:vAlign w:val="center"/>
            <w:hideMark/>
          </w:tcPr>
          <w:p w14:paraId="1A54F6E6"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(129)</w:t>
            </w:r>
          </w:p>
        </w:tc>
        <w:tc>
          <w:tcPr>
            <w:tcW w:w="266" w:type="dxa"/>
            <w:tcBorders>
              <w:top w:val="nil"/>
              <w:left w:val="nil"/>
              <w:bottom w:val="nil"/>
              <w:right w:val="nil"/>
            </w:tcBorders>
            <w:shd w:val="clear" w:color="000000" w:fill="FFFFFF"/>
            <w:noWrap/>
            <w:vAlign w:val="center"/>
            <w:hideMark/>
          </w:tcPr>
          <w:p w14:paraId="48908822"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6BC34B2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3E261578"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(46)</w:t>
            </w:r>
          </w:p>
        </w:tc>
      </w:tr>
      <w:tr w:rsidR="003F135F" w:rsidRPr="003F135F" w14:paraId="2C2D337F" w14:textId="77777777" w:rsidTr="005315C8">
        <w:trPr>
          <w:trHeight w:val="288"/>
        </w:trPr>
        <w:tc>
          <w:tcPr>
            <w:tcW w:w="6237" w:type="dxa"/>
            <w:tcBorders>
              <w:top w:val="nil"/>
              <w:left w:val="nil"/>
              <w:bottom w:val="nil"/>
              <w:right w:val="nil"/>
            </w:tcBorders>
            <w:shd w:val="clear" w:color="000000" w:fill="FFFFFF"/>
            <w:noWrap/>
            <w:vAlign w:val="center"/>
            <w:hideMark/>
          </w:tcPr>
          <w:p w14:paraId="1AEF2DAD" w14:textId="4ECE62EB" w:rsidR="003F135F" w:rsidRPr="003F135F" w:rsidRDefault="003F135F" w:rsidP="005315C8">
            <w:pPr>
              <w:ind w:left="0" w:firstLine="0"/>
              <w:rPr>
                <w:rFonts w:eastAsia="Times New Roman" w:cs="Calibri"/>
                <w:lang w:eastAsia="en-GB"/>
              </w:rPr>
            </w:pPr>
            <w:r w:rsidRPr="003F135F">
              <w:rPr>
                <w:rFonts w:eastAsia="Times New Roman" w:cs="Calibri"/>
                <w:lang w:eastAsia="en-GB"/>
              </w:rPr>
              <w:t>Increase / (decrease) in social charges payable</w:t>
            </w:r>
          </w:p>
        </w:tc>
        <w:tc>
          <w:tcPr>
            <w:tcW w:w="1219" w:type="dxa"/>
            <w:tcBorders>
              <w:top w:val="nil"/>
              <w:left w:val="nil"/>
              <w:bottom w:val="nil"/>
              <w:right w:val="nil"/>
            </w:tcBorders>
            <w:shd w:val="clear" w:color="000000" w:fill="FFFFFF"/>
            <w:noWrap/>
            <w:vAlign w:val="center"/>
            <w:hideMark/>
          </w:tcPr>
          <w:p w14:paraId="64B7F86C"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(44)</w:t>
            </w:r>
          </w:p>
        </w:tc>
        <w:tc>
          <w:tcPr>
            <w:tcW w:w="266" w:type="dxa"/>
            <w:tcBorders>
              <w:top w:val="nil"/>
              <w:left w:val="nil"/>
              <w:bottom w:val="nil"/>
              <w:right w:val="nil"/>
            </w:tcBorders>
            <w:shd w:val="clear" w:color="000000" w:fill="FFFFFF"/>
            <w:noWrap/>
            <w:vAlign w:val="center"/>
            <w:hideMark/>
          </w:tcPr>
          <w:p w14:paraId="00C2386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35F99F5B"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44632FC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10</w:t>
            </w:r>
          </w:p>
        </w:tc>
      </w:tr>
      <w:tr w:rsidR="003F135F" w:rsidRPr="003F135F" w14:paraId="65090270" w14:textId="77777777" w:rsidTr="005315C8">
        <w:trPr>
          <w:trHeight w:val="288"/>
        </w:trPr>
        <w:tc>
          <w:tcPr>
            <w:tcW w:w="6237" w:type="dxa"/>
            <w:tcBorders>
              <w:top w:val="nil"/>
              <w:left w:val="nil"/>
              <w:bottom w:val="nil"/>
              <w:right w:val="nil"/>
            </w:tcBorders>
            <w:shd w:val="clear" w:color="000000" w:fill="FFFFFF"/>
            <w:noWrap/>
            <w:vAlign w:val="center"/>
            <w:hideMark/>
          </w:tcPr>
          <w:p w14:paraId="5D1D642E"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4B9918C5"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4B58122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0CBD8B82"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5E9DC12F"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2F6B58EC" w14:textId="77777777" w:rsidTr="005315C8">
        <w:trPr>
          <w:trHeight w:val="492"/>
        </w:trPr>
        <w:tc>
          <w:tcPr>
            <w:tcW w:w="6237" w:type="dxa"/>
            <w:tcBorders>
              <w:top w:val="nil"/>
              <w:left w:val="nil"/>
              <w:bottom w:val="nil"/>
              <w:right w:val="nil"/>
            </w:tcBorders>
            <w:shd w:val="clear" w:color="000000" w:fill="FFFFFF"/>
            <w:noWrap/>
            <w:vAlign w:val="center"/>
            <w:hideMark/>
          </w:tcPr>
          <w:p w14:paraId="25AF5EC7"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Total Cash flow from operations</w:t>
            </w:r>
          </w:p>
        </w:tc>
        <w:tc>
          <w:tcPr>
            <w:tcW w:w="1219" w:type="dxa"/>
            <w:tcBorders>
              <w:top w:val="single" w:sz="4" w:space="0" w:color="auto"/>
              <w:left w:val="nil"/>
              <w:bottom w:val="nil"/>
              <w:right w:val="nil"/>
            </w:tcBorders>
            <w:shd w:val="clear" w:color="000000" w:fill="FFFFFF"/>
            <w:noWrap/>
            <w:vAlign w:val="center"/>
            <w:hideMark/>
          </w:tcPr>
          <w:p w14:paraId="53D3B4D6"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(1,363)</w:t>
            </w:r>
          </w:p>
        </w:tc>
        <w:tc>
          <w:tcPr>
            <w:tcW w:w="266" w:type="dxa"/>
            <w:tcBorders>
              <w:top w:val="single" w:sz="4" w:space="0" w:color="auto"/>
              <w:left w:val="nil"/>
              <w:bottom w:val="nil"/>
              <w:right w:val="nil"/>
            </w:tcBorders>
            <w:shd w:val="clear" w:color="000000" w:fill="FFFFFF"/>
            <w:noWrap/>
            <w:vAlign w:val="center"/>
            <w:hideMark/>
          </w:tcPr>
          <w:p w14:paraId="7BCD4696"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nil"/>
              <w:right w:val="nil"/>
            </w:tcBorders>
            <w:shd w:val="clear" w:color="000000" w:fill="D9D9D9"/>
            <w:noWrap/>
            <w:vAlign w:val="center"/>
            <w:hideMark/>
          </w:tcPr>
          <w:p w14:paraId="0D19E853"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nil"/>
              <w:right w:val="nil"/>
            </w:tcBorders>
            <w:shd w:val="clear" w:color="000000" w:fill="FFFFFF"/>
            <w:noWrap/>
            <w:vAlign w:val="center"/>
            <w:hideMark/>
          </w:tcPr>
          <w:p w14:paraId="35F26722"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737</w:t>
            </w:r>
          </w:p>
        </w:tc>
      </w:tr>
      <w:tr w:rsidR="003F135F" w:rsidRPr="003F135F" w14:paraId="17DD293B" w14:textId="77777777" w:rsidTr="005315C8">
        <w:trPr>
          <w:trHeight w:val="288"/>
        </w:trPr>
        <w:tc>
          <w:tcPr>
            <w:tcW w:w="6237" w:type="dxa"/>
            <w:tcBorders>
              <w:top w:val="nil"/>
              <w:left w:val="nil"/>
              <w:bottom w:val="nil"/>
              <w:right w:val="nil"/>
            </w:tcBorders>
            <w:shd w:val="clear" w:color="000000" w:fill="FFFFFF"/>
            <w:noWrap/>
            <w:vAlign w:val="center"/>
            <w:hideMark/>
          </w:tcPr>
          <w:p w14:paraId="443F19D8"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43CF5194"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03797A0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664A26AB"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45BA51B3"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0D62CE98" w14:textId="77777777" w:rsidTr="005315C8">
        <w:trPr>
          <w:trHeight w:val="288"/>
        </w:trPr>
        <w:tc>
          <w:tcPr>
            <w:tcW w:w="6237" w:type="dxa"/>
            <w:tcBorders>
              <w:top w:val="nil"/>
              <w:left w:val="nil"/>
              <w:bottom w:val="nil"/>
              <w:right w:val="nil"/>
            </w:tcBorders>
            <w:shd w:val="clear" w:color="000000" w:fill="FFFFFF"/>
            <w:noWrap/>
            <w:vAlign w:val="center"/>
            <w:hideMark/>
          </w:tcPr>
          <w:p w14:paraId="1A8370D0"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Cash flow from investing activities</w:t>
            </w:r>
          </w:p>
        </w:tc>
        <w:tc>
          <w:tcPr>
            <w:tcW w:w="1219" w:type="dxa"/>
            <w:tcBorders>
              <w:top w:val="nil"/>
              <w:left w:val="nil"/>
              <w:bottom w:val="nil"/>
              <w:right w:val="nil"/>
            </w:tcBorders>
            <w:shd w:val="clear" w:color="000000" w:fill="FFFFFF"/>
            <w:noWrap/>
            <w:vAlign w:val="center"/>
            <w:hideMark/>
          </w:tcPr>
          <w:p w14:paraId="3F8B8DC4"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67CA6680"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5ACB3595"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40D3835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5F2E8AE8" w14:textId="77777777" w:rsidTr="005315C8">
        <w:trPr>
          <w:trHeight w:val="312"/>
        </w:trPr>
        <w:tc>
          <w:tcPr>
            <w:tcW w:w="6237" w:type="dxa"/>
            <w:tcBorders>
              <w:top w:val="nil"/>
              <w:left w:val="nil"/>
              <w:bottom w:val="nil"/>
              <w:right w:val="nil"/>
            </w:tcBorders>
            <w:shd w:val="clear" w:color="000000" w:fill="FFFFFF"/>
            <w:noWrap/>
            <w:vAlign w:val="center"/>
            <w:hideMark/>
          </w:tcPr>
          <w:p w14:paraId="229C47DB" w14:textId="5EB5A18B" w:rsidR="003F135F" w:rsidRPr="003F135F" w:rsidRDefault="003F135F" w:rsidP="005315C8">
            <w:pPr>
              <w:ind w:left="0" w:firstLine="0"/>
              <w:rPr>
                <w:rFonts w:eastAsia="Times New Roman" w:cs="Calibri"/>
                <w:color w:val="000000"/>
                <w:lang w:eastAsia="en-GB"/>
              </w:rPr>
            </w:pPr>
            <w:r w:rsidRPr="003F135F">
              <w:rPr>
                <w:rFonts w:eastAsia="Times New Roman" w:cs="Calibri"/>
                <w:color w:val="000000"/>
                <w:lang w:eastAsia="en-GB"/>
              </w:rPr>
              <w:t>Purchase of fixed assets</w:t>
            </w:r>
          </w:p>
        </w:tc>
        <w:tc>
          <w:tcPr>
            <w:tcW w:w="1219" w:type="dxa"/>
            <w:tcBorders>
              <w:top w:val="nil"/>
              <w:left w:val="nil"/>
              <w:bottom w:val="nil"/>
              <w:right w:val="nil"/>
            </w:tcBorders>
            <w:shd w:val="clear" w:color="000000" w:fill="FFFFFF"/>
            <w:noWrap/>
            <w:vAlign w:val="center"/>
            <w:hideMark/>
          </w:tcPr>
          <w:p w14:paraId="607D5D98"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(6)</w:t>
            </w:r>
          </w:p>
        </w:tc>
        <w:tc>
          <w:tcPr>
            <w:tcW w:w="266" w:type="dxa"/>
            <w:tcBorders>
              <w:top w:val="nil"/>
              <w:left w:val="nil"/>
              <w:bottom w:val="nil"/>
              <w:right w:val="nil"/>
            </w:tcBorders>
            <w:shd w:val="clear" w:color="000000" w:fill="FFFFFF"/>
            <w:noWrap/>
            <w:vAlign w:val="center"/>
            <w:hideMark/>
          </w:tcPr>
          <w:p w14:paraId="447C838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77CEE726"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5786887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(7)</w:t>
            </w:r>
          </w:p>
        </w:tc>
      </w:tr>
      <w:tr w:rsidR="003F135F" w:rsidRPr="003F135F" w14:paraId="09BF37AC" w14:textId="77777777" w:rsidTr="005315C8">
        <w:trPr>
          <w:trHeight w:val="288"/>
        </w:trPr>
        <w:tc>
          <w:tcPr>
            <w:tcW w:w="6237" w:type="dxa"/>
            <w:tcBorders>
              <w:top w:val="nil"/>
              <w:left w:val="nil"/>
              <w:bottom w:val="nil"/>
              <w:right w:val="nil"/>
            </w:tcBorders>
            <w:shd w:val="clear" w:color="000000" w:fill="FFFFFF"/>
            <w:noWrap/>
            <w:vAlign w:val="center"/>
            <w:hideMark/>
          </w:tcPr>
          <w:p w14:paraId="1793D747" w14:textId="77777777" w:rsidR="003F135F" w:rsidRPr="003F135F" w:rsidRDefault="003F135F" w:rsidP="005315C8">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auto" w:fill="auto"/>
            <w:noWrap/>
            <w:vAlign w:val="center"/>
            <w:hideMark/>
          </w:tcPr>
          <w:p w14:paraId="1DB66EF9" w14:textId="77777777" w:rsidR="003F135F" w:rsidRPr="003F135F" w:rsidRDefault="003F135F" w:rsidP="005315C8">
            <w:pPr>
              <w:ind w:left="0" w:firstLine="0"/>
              <w:jc w:val="right"/>
              <w:rPr>
                <w:rFonts w:eastAsia="Times New Roman" w:cs="Calibri"/>
                <w:lang w:eastAsia="en-GB"/>
              </w:rPr>
            </w:pPr>
          </w:p>
        </w:tc>
        <w:tc>
          <w:tcPr>
            <w:tcW w:w="266" w:type="dxa"/>
            <w:tcBorders>
              <w:top w:val="nil"/>
              <w:left w:val="nil"/>
              <w:bottom w:val="nil"/>
              <w:right w:val="nil"/>
            </w:tcBorders>
            <w:shd w:val="clear" w:color="000000" w:fill="FFFFFF"/>
            <w:noWrap/>
            <w:vAlign w:val="center"/>
            <w:hideMark/>
          </w:tcPr>
          <w:p w14:paraId="7ACC186D"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02D202DD"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4DC4961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47C64511" w14:textId="77777777" w:rsidTr="005315C8">
        <w:trPr>
          <w:trHeight w:val="480"/>
        </w:trPr>
        <w:tc>
          <w:tcPr>
            <w:tcW w:w="6237" w:type="dxa"/>
            <w:tcBorders>
              <w:top w:val="nil"/>
              <w:left w:val="nil"/>
              <w:bottom w:val="nil"/>
              <w:right w:val="nil"/>
            </w:tcBorders>
            <w:shd w:val="clear" w:color="000000" w:fill="FFFFFF"/>
            <w:noWrap/>
            <w:vAlign w:val="center"/>
            <w:hideMark/>
          </w:tcPr>
          <w:p w14:paraId="07C76BE6"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Total Cash flow from investing activities</w:t>
            </w:r>
          </w:p>
        </w:tc>
        <w:tc>
          <w:tcPr>
            <w:tcW w:w="1219" w:type="dxa"/>
            <w:tcBorders>
              <w:top w:val="single" w:sz="4" w:space="0" w:color="auto"/>
              <w:left w:val="nil"/>
              <w:bottom w:val="nil"/>
              <w:right w:val="nil"/>
            </w:tcBorders>
            <w:shd w:val="clear" w:color="000000" w:fill="FFFFFF"/>
            <w:noWrap/>
            <w:vAlign w:val="center"/>
            <w:hideMark/>
          </w:tcPr>
          <w:p w14:paraId="088302B1"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(6)</w:t>
            </w:r>
          </w:p>
        </w:tc>
        <w:tc>
          <w:tcPr>
            <w:tcW w:w="266" w:type="dxa"/>
            <w:tcBorders>
              <w:top w:val="single" w:sz="4" w:space="0" w:color="auto"/>
              <w:left w:val="nil"/>
              <w:bottom w:val="nil"/>
              <w:right w:val="nil"/>
            </w:tcBorders>
            <w:shd w:val="clear" w:color="000000" w:fill="FFFFFF"/>
            <w:noWrap/>
            <w:vAlign w:val="center"/>
            <w:hideMark/>
          </w:tcPr>
          <w:p w14:paraId="250AF341"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nil"/>
              <w:right w:val="nil"/>
            </w:tcBorders>
            <w:shd w:val="clear" w:color="000000" w:fill="D9D9D9"/>
            <w:noWrap/>
            <w:vAlign w:val="center"/>
            <w:hideMark/>
          </w:tcPr>
          <w:p w14:paraId="3022CBDF"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nil"/>
              <w:right w:val="nil"/>
            </w:tcBorders>
            <w:shd w:val="clear" w:color="000000" w:fill="FFFFFF"/>
            <w:noWrap/>
            <w:vAlign w:val="center"/>
            <w:hideMark/>
          </w:tcPr>
          <w:p w14:paraId="41F3F9E3"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(7)</w:t>
            </w:r>
          </w:p>
        </w:tc>
      </w:tr>
      <w:tr w:rsidR="003F135F" w:rsidRPr="003F135F" w14:paraId="448CC172" w14:textId="77777777" w:rsidTr="005315C8">
        <w:trPr>
          <w:trHeight w:val="288"/>
        </w:trPr>
        <w:tc>
          <w:tcPr>
            <w:tcW w:w="6237" w:type="dxa"/>
            <w:tcBorders>
              <w:top w:val="nil"/>
              <w:left w:val="nil"/>
              <w:bottom w:val="nil"/>
              <w:right w:val="nil"/>
            </w:tcBorders>
            <w:shd w:val="clear" w:color="000000" w:fill="FFFFFF"/>
            <w:noWrap/>
            <w:vAlign w:val="center"/>
            <w:hideMark/>
          </w:tcPr>
          <w:p w14:paraId="1C548195" w14:textId="77777777" w:rsidR="003F135F" w:rsidRPr="003F135F" w:rsidRDefault="003F135F" w:rsidP="005315C8">
            <w:pPr>
              <w:ind w:left="0" w:firstLine="0"/>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70FBF3E3"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0CC8459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7A22DB6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264873BC"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3AC96892" w14:textId="77777777" w:rsidTr="005315C8">
        <w:trPr>
          <w:trHeight w:val="480"/>
        </w:trPr>
        <w:tc>
          <w:tcPr>
            <w:tcW w:w="6237" w:type="dxa"/>
            <w:tcBorders>
              <w:top w:val="nil"/>
              <w:left w:val="nil"/>
              <w:bottom w:val="nil"/>
              <w:right w:val="nil"/>
            </w:tcBorders>
            <w:shd w:val="clear" w:color="000000" w:fill="FFFFFF"/>
            <w:noWrap/>
            <w:vAlign w:val="center"/>
            <w:hideMark/>
          </w:tcPr>
          <w:p w14:paraId="66E61D8F"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Net Cash inflow/(outflow) for the year</w:t>
            </w:r>
          </w:p>
        </w:tc>
        <w:tc>
          <w:tcPr>
            <w:tcW w:w="1219" w:type="dxa"/>
            <w:tcBorders>
              <w:top w:val="single" w:sz="4" w:space="0" w:color="auto"/>
              <w:left w:val="nil"/>
              <w:bottom w:val="single" w:sz="4" w:space="0" w:color="auto"/>
              <w:right w:val="nil"/>
            </w:tcBorders>
            <w:shd w:val="clear" w:color="auto" w:fill="auto"/>
            <w:noWrap/>
            <w:vAlign w:val="center"/>
            <w:hideMark/>
          </w:tcPr>
          <w:p w14:paraId="2508ED6A"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(1,369)</w:t>
            </w:r>
          </w:p>
        </w:tc>
        <w:tc>
          <w:tcPr>
            <w:tcW w:w="266" w:type="dxa"/>
            <w:tcBorders>
              <w:top w:val="single" w:sz="4" w:space="0" w:color="auto"/>
              <w:left w:val="nil"/>
              <w:bottom w:val="single" w:sz="4" w:space="0" w:color="auto"/>
              <w:right w:val="nil"/>
            </w:tcBorders>
            <w:shd w:val="clear" w:color="000000" w:fill="FFFFFF"/>
            <w:noWrap/>
            <w:vAlign w:val="center"/>
            <w:hideMark/>
          </w:tcPr>
          <w:p w14:paraId="6288B5A6"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31AD9FB6"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single" w:sz="4" w:space="0" w:color="auto"/>
              <w:right w:val="nil"/>
            </w:tcBorders>
            <w:shd w:val="clear" w:color="000000" w:fill="FFFFFF"/>
            <w:noWrap/>
            <w:vAlign w:val="center"/>
            <w:hideMark/>
          </w:tcPr>
          <w:p w14:paraId="6CD4CD00"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730</w:t>
            </w:r>
          </w:p>
        </w:tc>
      </w:tr>
      <w:tr w:rsidR="003F135F" w:rsidRPr="003F135F" w14:paraId="1065BEF2" w14:textId="77777777" w:rsidTr="005315C8">
        <w:trPr>
          <w:trHeight w:val="288"/>
        </w:trPr>
        <w:tc>
          <w:tcPr>
            <w:tcW w:w="6237" w:type="dxa"/>
            <w:tcBorders>
              <w:top w:val="nil"/>
              <w:left w:val="nil"/>
              <w:bottom w:val="nil"/>
              <w:right w:val="nil"/>
            </w:tcBorders>
            <w:shd w:val="clear" w:color="000000" w:fill="FFFFFF"/>
            <w:noWrap/>
            <w:vAlign w:val="center"/>
            <w:hideMark/>
          </w:tcPr>
          <w:p w14:paraId="5BBD6E59"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0D3F26D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4AC2167E"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12E5BA71"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122E2C4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29FA41D5" w14:textId="77777777" w:rsidTr="005315C8">
        <w:trPr>
          <w:trHeight w:val="288"/>
        </w:trPr>
        <w:tc>
          <w:tcPr>
            <w:tcW w:w="6237" w:type="dxa"/>
            <w:tcBorders>
              <w:top w:val="nil"/>
              <w:left w:val="nil"/>
              <w:bottom w:val="nil"/>
              <w:right w:val="nil"/>
            </w:tcBorders>
            <w:shd w:val="clear" w:color="000000" w:fill="FFFFFF"/>
            <w:noWrap/>
            <w:vAlign w:val="center"/>
            <w:hideMark/>
          </w:tcPr>
          <w:p w14:paraId="2A5AF5E6" w14:textId="77777777" w:rsidR="003F135F" w:rsidRPr="003F135F" w:rsidRDefault="003F135F" w:rsidP="005315C8">
            <w:pPr>
              <w:ind w:left="0" w:firstLine="0"/>
              <w:rPr>
                <w:rFonts w:eastAsia="Times New Roman" w:cs="Calibri"/>
                <w:lang w:eastAsia="en-GB"/>
              </w:rPr>
            </w:pPr>
            <w:r w:rsidRPr="003F135F">
              <w:rPr>
                <w:rFonts w:eastAsia="Times New Roman" w:cs="Calibri"/>
                <w:lang w:eastAsia="en-GB"/>
              </w:rPr>
              <w:t>Cash and short term deposits at the beginning of the year</w:t>
            </w:r>
          </w:p>
        </w:tc>
        <w:tc>
          <w:tcPr>
            <w:tcW w:w="1219" w:type="dxa"/>
            <w:tcBorders>
              <w:top w:val="nil"/>
              <w:left w:val="nil"/>
              <w:bottom w:val="nil"/>
              <w:right w:val="nil"/>
            </w:tcBorders>
            <w:shd w:val="clear" w:color="000000" w:fill="FFFFFF"/>
            <w:noWrap/>
            <w:vAlign w:val="center"/>
            <w:hideMark/>
          </w:tcPr>
          <w:p w14:paraId="7E9843EE"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5,196</w:t>
            </w:r>
          </w:p>
        </w:tc>
        <w:tc>
          <w:tcPr>
            <w:tcW w:w="266" w:type="dxa"/>
            <w:tcBorders>
              <w:top w:val="nil"/>
              <w:left w:val="nil"/>
              <w:bottom w:val="nil"/>
              <w:right w:val="nil"/>
            </w:tcBorders>
            <w:shd w:val="clear" w:color="000000" w:fill="FFFFFF"/>
            <w:noWrap/>
            <w:vAlign w:val="center"/>
            <w:hideMark/>
          </w:tcPr>
          <w:p w14:paraId="3272F753"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7F86FA59"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783F284E"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4,466</w:t>
            </w:r>
          </w:p>
        </w:tc>
      </w:tr>
      <w:tr w:rsidR="003F135F" w:rsidRPr="003F135F" w14:paraId="396D4D0E" w14:textId="77777777" w:rsidTr="005315C8">
        <w:trPr>
          <w:trHeight w:val="288"/>
        </w:trPr>
        <w:tc>
          <w:tcPr>
            <w:tcW w:w="6237" w:type="dxa"/>
            <w:tcBorders>
              <w:top w:val="nil"/>
              <w:left w:val="nil"/>
              <w:bottom w:val="nil"/>
              <w:right w:val="nil"/>
            </w:tcBorders>
            <w:shd w:val="clear" w:color="000000" w:fill="FFFFFF"/>
            <w:noWrap/>
            <w:vAlign w:val="center"/>
            <w:hideMark/>
          </w:tcPr>
          <w:p w14:paraId="00BC47D9"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 </w:t>
            </w:r>
          </w:p>
        </w:tc>
        <w:tc>
          <w:tcPr>
            <w:tcW w:w="1219" w:type="dxa"/>
            <w:tcBorders>
              <w:top w:val="nil"/>
              <w:left w:val="nil"/>
              <w:bottom w:val="nil"/>
              <w:right w:val="nil"/>
            </w:tcBorders>
            <w:shd w:val="clear" w:color="000000" w:fill="FFFFFF"/>
            <w:noWrap/>
            <w:vAlign w:val="center"/>
            <w:hideMark/>
          </w:tcPr>
          <w:p w14:paraId="521CFD8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FFFFFF"/>
            <w:noWrap/>
            <w:vAlign w:val="center"/>
            <w:hideMark/>
          </w:tcPr>
          <w:p w14:paraId="3D376955"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266" w:type="dxa"/>
            <w:tcBorders>
              <w:top w:val="nil"/>
              <w:left w:val="nil"/>
              <w:bottom w:val="nil"/>
              <w:right w:val="nil"/>
            </w:tcBorders>
            <w:shd w:val="clear" w:color="000000" w:fill="D9D9D9"/>
            <w:noWrap/>
            <w:vAlign w:val="center"/>
            <w:hideMark/>
          </w:tcPr>
          <w:p w14:paraId="11D0AACA"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c>
          <w:tcPr>
            <w:tcW w:w="1219" w:type="dxa"/>
            <w:tcBorders>
              <w:top w:val="nil"/>
              <w:left w:val="nil"/>
              <w:bottom w:val="nil"/>
              <w:right w:val="nil"/>
            </w:tcBorders>
            <w:shd w:val="clear" w:color="000000" w:fill="FFFFFF"/>
            <w:noWrap/>
            <w:vAlign w:val="center"/>
            <w:hideMark/>
          </w:tcPr>
          <w:p w14:paraId="0D34B0BF" w14:textId="77777777" w:rsidR="003F135F" w:rsidRPr="003F135F" w:rsidRDefault="003F135F" w:rsidP="005315C8">
            <w:pPr>
              <w:ind w:left="0" w:firstLine="0"/>
              <w:jc w:val="right"/>
              <w:rPr>
                <w:rFonts w:eastAsia="Times New Roman" w:cs="Calibri"/>
                <w:lang w:eastAsia="en-GB"/>
              </w:rPr>
            </w:pPr>
            <w:r w:rsidRPr="003F135F">
              <w:rPr>
                <w:rFonts w:eastAsia="Times New Roman" w:cs="Calibri"/>
                <w:lang w:eastAsia="en-GB"/>
              </w:rPr>
              <w:t> </w:t>
            </w:r>
          </w:p>
        </w:tc>
      </w:tr>
      <w:tr w:rsidR="003F135F" w:rsidRPr="003F135F" w14:paraId="49A934D6" w14:textId="77777777" w:rsidTr="005315C8">
        <w:trPr>
          <w:trHeight w:val="480"/>
        </w:trPr>
        <w:tc>
          <w:tcPr>
            <w:tcW w:w="6237" w:type="dxa"/>
            <w:tcBorders>
              <w:top w:val="nil"/>
              <w:left w:val="nil"/>
              <w:bottom w:val="nil"/>
              <w:right w:val="nil"/>
            </w:tcBorders>
            <w:shd w:val="clear" w:color="auto" w:fill="auto"/>
            <w:noWrap/>
            <w:vAlign w:val="center"/>
            <w:hideMark/>
          </w:tcPr>
          <w:p w14:paraId="3131D85F" w14:textId="77777777" w:rsidR="003F135F" w:rsidRPr="003F135F" w:rsidRDefault="003F135F" w:rsidP="005315C8">
            <w:pPr>
              <w:ind w:left="0" w:firstLine="0"/>
              <w:rPr>
                <w:rFonts w:eastAsia="Times New Roman" w:cs="Calibri"/>
                <w:b/>
                <w:bCs/>
                <w:lang w:eastAsia="en-GB"/>
              </w:rPr>
            </w:pPr>
            <w:r w:rsidRPr="003F135F">
              <w:rPr>
                <w:rFonts w:eastAsia="Times New Roman" w:cs="Calibri"/>
                <w:b/>
                <w:bCs/>
                <w:lang w:eastAsia="en-GB"/>
              </w:rPr>
              <w:t>Cash and short term deposits at the end of the year</w:t>
            </w:r>
          </w:p>
        </w:tc>
        <w:tc>
          <w:tcPr>
            <w:tcW w:w="1219" w:type="dxa"/>
            <w:tcBorders>
              <w:top w:val="single" w:sz="4" w:space="0" w:color="auto"/>
              <w:left w:val="nil"/>
              <w:bottom w:val="single" w:sz="4" w:space="0" w:color="auto"/>
              <w:right w:val="nil"/>
            </w:tcBorders>
            <w:shd w:val="clear" w:color="000000" w:fill="C5D9F1"/>
            <w:noWrap/>
            <w:vAlign w:val="center"/>
            <w:hideMark/>
          </w:tcPr>
          <w:p w14:paraId="60467686"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3,827</w:t>
            </w:r>
          </w:p>
        </w:tc>
        <w:tc>
          <w:tcPr>
            <w:tcW w:w="266" w:type="dxa"/>
            <w:tcBorders>
              <w:top w:val="single" w:sz="4" w:space="0" w:color="auto"/>
              <w:left w:val="nil"/>
              <w:bottom w:val="single" w:sz="4" w:space="0" w:color="auto"/>
              <w:right w:val="nil"/>
            </w:tcBorders>
            <w:shd w:val="clear" w:color="000000" w:fill="C5D9F1"/>
            <w:noWrap/>
            <w:vAlign w:val="center"/>
            <w:hideMark/>
          </w:tcPr>
          <w:p w14:paraId="0A3DCD7F"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00013A50"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 </w:t>
            </w:r>
          </w:p>
        </w:tc>
        <w:tc>
          <w:tcPr>
            <w:tcW w:w="1219" w:type="dxa"/>
            <w:tcBorders>
              <w:top w:val="single" w:sz="4" w:space="0" w:color="auto"/>
              <w:left w:val="nil"/>
              <w:bottom w:val="single" w:sz="4" w:space="0" w:color="auto"/>
              <w:right w:val="nil"/>
            </w:tcBorders>
            <w:shd w:val="clear" w:color="000000" w:fill="EBF1DE"/>
            <w:noWrap/>
            <w:vAlign w:val="center"/>
            <w:hideMark/>
          </w:tcPr>
          <w:p w14:paraId="4A26B2E1" w14:textId="77777777" w:rsidR="003F135F" w:rsidRPr="003F135F" w:rsidRDefault="003F135F" w:rsidP="005315C8">
            <w:pPr>
              <w:ind w:left="0" w:firstLine="0"/>
              <w:jc w:val="right"/>
              <w:rPr>
                <w:rFonts w:eastAsia="Times New Roman" w:cs="Calibri"/>
                <w:b/>
                <w:bCs/>
                <w:lang w:eastAsia="en-GB"/>
              </w:rPr>
            </w:pPr>
            <w:r w:rsidRPr="003F135F">
              <w:rPr>
                <w:rFonts w:eastAsia="Times New Roman" w:cs="Calibri"/>
                <w:b/>
                <w:bCs/>
                <w:lang w:eastAsia="en-GB"/>
              </w:rPr>
              <w:t>5,196</w:t>
            </w:r>
          </w:p>
        </w:tc>
      </w:tr>
    </w:tbl>
    <w:p w14:paraId="3B474CAD" w14:textId="1FC37F92" w:rsidR="003F135F" w:rsidRDefault="003F135F" w:rsidP="00F96BA5">
      <w:pPr>
        <w:pStyle w:val="NoSpacing"/>
        <w:rPr>
          <w:rFonts w:eastAsia="Times New Roman" w:cs="Arial"/>
          <w:b/>
          <w:bCs/>
          <w:lang w:eastAsia="en-GB"/>
        </w:rPr>
      </w:pPr>
    </w:p>
    <w:p w14:paraId="2A01BFAF" w14:textId="77777777" w:rsidR="003F135F" w:rsidRDefault="003F135F" w:rsidP="00F96BA5">
      <w:pPr>
        <w:pStyle w:val="NoSpacing"/>
        <w:rPr>
          <w:rFonts w:eastAsia="Times New Roman" w:cs="Arial"/>
          <w:b/>
          <w:bCs/>
          <w:lang w:eastAsia="en-GB"/>
        </w:rPr>
      </w:pPr>
    </w:p>
    <w:p w14:paraId="01AAA142" w14:textId="671BF396" w:rsidR="0012277D" w:rsidRDefault="0012277D" w:rsidP="00F96BA5">
      <w:pPr>
        <w:pStyle w:val="NoSpacing"/>
        <w:rPr>
          <w:rFonts w:eastAsia="Times New Roman" w:cs="Arial"/>
          <w:b/>
          <w:bCs/>
          <w:lang w:eastAsia="en-GB"/>
        </w:rPr>
      </w:pPr>
    </w:p>
    <w:p w14:paraId="365CAAFE" w14:textId="1A9F0E65" w:rsidR="0012277D" w:rsidRPr="00421152" w:rsidRDefault="0012277D" w:rsidP="00F96BA5">
      <w:pPr>
        <w:pStyle w:val="NoSpacing"/>
        <w:rPr>
          <w:rFonts w:eastAsia="Times New Roman" w:cs="Arial"/>
          <w:b/>
          <w:bCs/>
          <w:lang w:eastAsia="en-GB"/>
        </w:rPr>
      </w:pPr>
    </w:p>
    <w:p w14:paraId="5CF38DD0" w14:textId="77777777" w:rsidR="00F96BA5" w:rsidRPr="00421152" w:rsidRDefault="00F96BA5" w:rsidP="007114B2">
      <w:pPr>
        <w:ind w:left="0" w:firstLine="0"/>
        <w:rPr>
          <w:b/>
        </w:rPr>
      </w:pPr>
    </w:p>
    <w:p w14:paraId="56446B55" w14:textId="77777777" w:rsidR="001404C4" w:rsidRDefault="00162EE8" w:rsidP="007114B2">
      <w:pPr>
        <w:ind w:left="0" w:firstLine="0"/>
        <w:rPr>
          <w:b/>
        </w:rPr>
      </w:pPr>
      <w:r>
        <w:rPr>
          <w:b/>
        </w:rPr>
        <w:br w:type="page"/>
      </w:r>
    </w:p>
    <w:p w14:paraId="0FC5D3C7" w14:textId="77777777" w:rsidR="001404C4" w:rsidRDefault="001404C4" w:rsidP="001404C4">
      <w:pPr>
        <w:pStyle w:val="NoSpacing"/>
        <w:ind w:left="0" w:firstLine="0"/>
        <w:rPr>
          <w:b/>
          <w:sz w:val="24"/>
          <w:szCs w:val="24"/>
        </w:rPr>
      </w:pPr>
      <w:r w:rsidRPr="00421152">
        <w:rPr>
          <w:b/>
          <w:sz w:val="24"/>
          <w:szCs w:val="24"/>
        </w:rPr>
        <w:lastRenderedPageBreak/>
        <w:t xml:space="preserve">Annex </w:t>
      </w:r>
      <w:r>
        <w:rPr>
          <w:b/>
          <w:sz w:val="24"/>
          <w:szCs w:val="24"/>
        </w:rPr>
        <w:t>2</w:t>
      </w:r>
    </w:p>
    <w:p w14:paraId="335A262D" w14:textId="77777777" w:rsidR="001404C4" w:rsidRDefault="001404C4" w:rsidP="001404C4">
      <w:pPr>
        <w:pStyle w:val="NoSpacing"/>
        <w:ind w:left="0" w:firstLine="0"/>
        <w:rPr>
          <w:b/>
        </w:rPr>
      </w:pPr>
      <w:r w:rsidRPr="007114B2">
        <w:rPr>
          <w:b/>
        </w:rPr>
        <w:t>2019 Core results for the period 01 January – 31 December 2019</w:t>
      </w:r>
    </w:p>
    <w:p w14:paraId="24775E9F" w14:textId="77777777" w:rsidR="001404C4" w:rsidRDefault="001404C4" w:rsidP="001404C4">
      <w:pPr>
        <w:pStyle w:val="NoSpacing"/>
        <w:ind w:left="0" w:firstLine="0"/>
        <w:rPr>
          <w:rFonts w:asciiTheme="minorHAnsi" w:eastAsia="Times New Roman" w:hAnsiTheme="minorHAnsi" w:cs="Arial"/>
          <w:bCs/>
          <w:i/>
          <w:sz w:val="20"/>
          <w:szCs w:val="20"/>
          <w:lang w:eastAsia="en-GB"/>
        </w:rPr>
      </w:pPr>
      <w:r w:rsidRPr="00330040">
        <w:rPr>
          <w:rFonts w:asciiTheme="minorHAnsi" w:eastAsia="Times New Roman" w:hAnsiTheme="minorHAnsi" w:cs="Arial"/>
          <w:bCs/>
          <w:i/>
          <w:sz w:val="20"/>
          <w:szCs w:val="20"/>
          <w:lang w:eastAsia="en-GB"/>
        </w:rPr>
        <w:t>(CHF ‘000s, includes possible rounding differences)</w:t>
      </w:r>
    </w:p>
    <w:p w14:paraId="1275BE2D" w14:textId="77777777" w:rsidR="001404C4" w:rsidRDefault="001404C4" w:rsidP="001404C4">
      <w:pPr>
        <w:pStyle w:val="NoSpacing"/>
        <w:ind w:left="0" w:firstLine="0"/>
        <w:rPr>
          <w:rFonts w:asciiTheme="minorHAnsi" w:eastAsia="Times New Roman" w:hAnsiTheme="minorHAnsi" w:cs="Arial"/>
          <w:bCs/>
          <w:i/>
          <w:sz w:val="20"/>
          <w:szCs w:val="20"/>
          <w:lang w:eastAsia="en-GB"/>
        </w:rPr>
      </w:pPr>
    </w:p>
    <w:tbl>
      <w:tblPr>
        <w:tblStyle w:val="TableGrid"/>
        <w:tblW w:w="9924" w:type="dxa"/>
        <w:tblInd w:w="-431" w:type="dxa"/>
        <w:tblLayout w:type="fixed"/>
        <w:tblCellMar>
          <w:top w:w="28" w:type="dxa"/>
          <w:left w:w="57" w:type="dxa"/>
          <w:bottom w:w="28" w:type="dxa"/>
          <w:right w:w="57" w:type="dxa"/>
        </w:tblCellMar>
        <w:tblLook w:val="04A0" w:firstRow="1" w:lastRow="0" w:firstColumn="1" w:lastColumn="0" w:noHBand="0" w:noVBand="1"/>
      </w:tblPr>
      <w:tblGrid>
        <w:gridCol w:w="2725"/>
        <w:gridCol w:w="1028"/>
        <w:gridCol w:w="1028"/>
        <w:gridCol w:w="1029"/>
        <w:gridCol w:w="1028"/>
        <w:gridCol w:w="1029"/>
        <w:gridCol w:w="1028"/>
        <w:gridCol w:w="1029"/>
      </w:tblGrid>
      <w:tr w:rsidR="001404C4" w:rsidRPr="00E8596C" w14:paraId="1AE585C7" w14:textId="77777777" w:rsidTr="00F45CC2">
        <w:trPr>
          <w:tblHeader/>
        </w:trPr>
        <w:tc>
          <w:tcPr>
            <w:tcW w:w="2725" w:type="dxa"/>
            <w:tcBorders>
              <w:bottom w:val="nil"/>
            </w:tcBorders>
            <w:shd w:val="clear" w:color="auto" w:fill="D6E3BC" w:themeFill="accent3" w:themeFillTint="66"/>
            <w:vAlign w:val="center"/>
            <w:hideMark/>
          </w:tcPr>
          <w:p w14:paraId="4A0D719B"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2019 Ramsar Budget</w:t>
            </w:r>
          </w:p>
          <w:p w14:paraId="00CC1610"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SC55 Approved</w:t>
            </w:r>
          </w:p>
        </w:tc>
        <w:tc>
          <w:tcPr>
            <w:tcW w:w="1028" w:type="dxa"/>
            <w:tcBorders>
              <w:bottom w:val="nil"/>
            </w:tcBorders>
            <w:shd w:val="clear" w:color="auto" w:fill="D6E3BC" w:themeFill="accent3" w:themeFillTint="66"/>
            <w:vAlign w:val="center"/>
            <w:hideMark/>
          </w:tcPr>
          <w:p w14:paraId="3077139E"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Approved budget</w:t>
            </w:r>
          </w:p>
        </w:tc>
        <w:tc>
          <w:tcPr>
            <w:tcW w:w="1028" w:type="dxa"/>
            <w:tcBorders>
              <w:bottom w:val="nil"/>
            </w:tcBorders>
            <w:shd w:val="clear" w:color="auto" w:fill="D6E3BC" w:themeFill="accent3" w:themeFillTint="66"/>
            <w:vAlign w:val="center"/>
            <w:hideMark/>
          </w:tcPr>
          <w:p w14:paraId="633869E4"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Author</w:t>
            </w:r>
            <w:r>
              <w:rPr>
                <w:rFonts w:asciiTheme="minorHAnsi" w:eastAsia="Times New Roman" w:hAnsiTheme="minorHAnsi" w:cstheme="minorHAnsi"/>
                <w:b/>
                <w:bCs/>
                <w:sz w:val="18"/>
                <w:szCs w:val="18"/>
                <w:lang w:eastAsia="en-GB"/>
              </w:rPr>
              <w:t>ize</w:t>
            </w:r>
            <w:r w:rsidRPr="00E8596C">
              <w:rPr>
                <w:rFonts w:asciiTheme="minorHAnsi" w:eastAsia="Times New Roman" w:hAnsiTheme="minorHAnsi" w:cstheme="minorHAnsi"/>
                <w:b/>
                <w:bCs/>
                <w:sz w:val="18"/>
                <w:szCs w:val="18"/>
                <w:lang w:eastAsia="en-GB"/>
              </w:rPr>
              <w:t xml:space="preserve">d use of surplus COP </w:t>
            </w:r>
            <w:r>
              <w:rPr>
                <w:rFonts w:asciiTheme="minorHAnsi" w:eastAsia="Times New Roman" w:hAnsiTheme="minorHAnsi" w:cstheme="minorHAnsi"/>
                <w:b/>
                <w:bCs/>
                <w:sz w:val="18"/>
                <w:szCs w:val="18"/>
                <w:lang w:eastAsia="en-GB"/>
              </w:rPr>
              <w:t xml:space="preserve">per Res. </w:t>
            </w:r>
            <w:r w:rsidRPr="00E8596C">
              <w:rPr>
                <w:rFonts w:asciiTheme="minorHAnsi" w:eastAsia="Times New Roman" w:hAnsiTheme="minorHAnsi" w:cstheme="minorHAnsi"/>
                <w:b/>
                <w:bCs/>
                <w:sz w:val="18"/>
                <w:szCs w:val="18"/>
                <w:lang w:eastAsia="en-GB"/>
              </w:rPr>
              <w:t>XIII.2 (yearly)</w:t>
            </w:r>
          </w:p>
        </w:tc>
        <w:tc>
          <w:tcPr>
            <w:tcW w:w="1029" w:type="dxa"/>
            <w:tcBorders>
              <w:bottom w:val="nil"/>
            </w:tcBorders>
            <w:shd w:val="clear" w:color="auto" w:fill="D6E3BC" w:themeFill="accent3" w:themeFillTint="66"/>
            <w:vAlign w:val="center"/>
            <w:hideMark/>
          </w:tcPr>
          <w:p w14:paraId="06433ED7"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Commit</w:t>
            </w:r>
            <w:r>
              <w:rPr>
                <w:rFonts w:asciiTheme="minorHAnsi" w:eastAsia="Times New Roman" w:hAnsiTheme="minorHAnsi" w:cstheme="minorHAnsi"/>
                <w:b/>
                <w:bCs/>
                <w:sz w:val="18"/>
                <w:szCs w:val="18"/>
                <w:lang w:eastAsia="en-GB"/>
              </w:rPr>
              <w:t>t</w:t>
            </w:r>
            <w:r w:rsidRPr="00E8596C">
              <w:rPr>
                <w:rFonts w:asciiTheme="minorHAnsi" w:eastAsia="Times New Roman" w:hAnsiTheme="minorHAnsi" w:cstheme="minorHAnsi"/>
                <w:b/>
                <w:bCs/>
                <w:sz w:val="18"/>
                <w:szCs w:val="18"/>
                <w:lang w:eastAsia="en-GB"/>
              </w:rPr>
              <w:t xml:space="preserve">ed balances and </w:t>
            </w:r>
            <w:r>
              <w:rPr>
                <w:rFonts w:asciiTheme="minorHAnsi" w:eastAsia="Times New Roman" w:hAnsiTheme="minorHAnsi" w:cstheme="minorHAnsi"/>
                <w:b/>
                <w:bCs/>
                <w:sz w:val="18"/>
                <w:szCs w:val="18"/>
                <w:lang w:eastAsia="en-GB"/>
              </w:rPr>
              <w:t>authorized</w:t>
            </w:r>
            <w:r w:rsidRPr="00E8596C">
              <w:rPr>
                <w:rFonts w:asciiTheme="minorHAnsi" w:eastAsia="Times New Roman" w:hAnsiTheme="minorHAnsi" w:cstheme="minorHAnsi"/>
                <w:b/>
                <w:bCs/>
                <w:sz w:val="18"/>
                <w:szCs w:val="18"/>
                <w:lang w:eastAsia="en-GB"/>
              </w:rPr>
              <w:t xml:space="preserve"> use 2018 surplus</w:t>
            </w:r>
          </w:p>
        </w:tc>
        <w:tc>
          <w:tcPr>
            <w:tcW w:w="1028" w:type="dxa"/>
            <w:tcBorders>
              <w:bottom w:val="nil"/>
            </w:tcBorders>
            <w:shd w:val="clear" w:color="auto" w:fill="D6E3BC" w:themeFill="accent3" w:themeFillTint="66"/>
            <w:vAlign w:val="center"/>
            <w:hideMark/>
          </w:tcPr>
          <w:p w14:paraId="5CCE6238"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Budget reallocation 2019</w:t>
            </w:r>
          </w:p>
        </w:tc>
        <w:tc>
          <w:tcPr>
            <w:tcW w:w="1029" w:type="dxa"/>
            <w:tcBorders>
              <w:bottom w:val="nil"/>
            </w:tcBorders>
            <w:shd w:val="clear" w:color="auto" w:fill="D6E3BC" w:themeFill="accent3" w:themeFillTint="66"/>
            <w:vAlign w:val="center"/>
            <w:hideMark/>
          </w:tcPr>
          <w:p w14:paraId="749AED4F"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Total available budget</w:t>
            </w:r>
          </w:p>
        </w:tc>
        <w:tc>
          <w:tcPr>
            <w:tcW w:w="1028" w:type="dxa"/>
            <w:tcBorders>
              <w:bottom w:val="nil"/>
            </w:tcBorders>
            <w:shd w:val="clear" w:color="auto" w:fill="D6E3BC" w:themeFill="accent3" w:themeFillTint="66"/>
            <w:vAlign w:val="center"/>
            <w:hideMark/>
          </w:tcPr>
          <w:p w14:paraId="768EF046"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 xml:space="preserve">Actual </w:t>
            </w:r>
            <w:r>
              <w:rPr>
                <w:rFonts w:asciiTheme="minorHAnsi" w:eastAsia="Times New Roman" w:hAnsiTheme="minorHAnsi" w:cstheme="minorHAnsi"/>
                <w:b/>
                <w:bCs/>
                <w:sz w:val="18"/>
                <w:szCs w:val="18"/>
                <w:lang w:eastAsia="en-GB"/>
              </w:rPr>
              <w:t xml:space="preserve">income and </w:t>
            </w:r>
            <w:r w:rsidRPr="00E8596C">
              <w:rPr>
                <w:rFonts w:asciiTheme="minorHAnsi" w:eastAsia="Times New Roman" w:hAnsiTheme="minorHAnsi" w:cstheme="minorHAnsi"/>
                <w:b/>
                <w:bCs/>
                <w:sz w:val="18"/>
                <w:szCs w:val="18"/>
                <w:lang w:eastAsia="en-GB"/>
              </w:rPr>
              <w:t>expenditure</w:t>
            </w:r>
          </w:p>
        </w:tc>
        <w:tc>
          <w:tcPr>
            <w:tcW w:w="1029" w:type="dxa"/>
            <w:tcBorders>
              <w:bottom w:val="nil"/>
            </w:tcBorders>
            <w:shd w:val="clear" w:color="auto" w:fill="D6E3BC" w:themeFill="accent3" w:themeFillTint="66"/>
            <w:vAlign w:val="center"/>
            <w:hideMark/>
          </w:tcPr>
          <w:p w14:paraId="64A4A1F1"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Balance</w:t>
            </w:r>
          </w:p>
        </w:tc>
      </w:tr>
      <w:tr w:rsidR="001404C4" w:rsidRPr="00E8596C" w14:paraId="16D877D4" w14:textId="77777777" w:rsidTr="00F45CC2">
        <w:trPr>
          <w:tblHeader/>
        </w:trPr>
        <w:tc>
          <w:tcPr>
            <w:tcW w:w="2725" w:type="dxa"/>
            <w:tcBorders>
              <w:top w:val="nil"/>
            </w:tcBorders>
            <w:shd w:val="clear" w:color="auto" w:fill="D6E3BC" w:themeFill="accent3" w:themeFillTint="66"/>
            <w:hideMark/>
          </w:tcPr>
          <w:p w14:paraId="7249D3FE"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CHF ‘000s</w:t>
            </w:r>
          </w:p>
        </w:tc>
        <w:tc>
          <w:tcPr>
            <w:tcW w:w="1028" w:type="dxa"/>
            <w:tcBorders>
              <w:top w:val="nil"/>
            </w:tcBorders>
            <w:shd w:val="clear" w:color="auto" w:fill="D6E3BC" w:themeFill="accent3" w:themeFillTint="66"/>
            <w:hideMark/>
          </w:tcPr>
          <w:p w14:paraId="1556BA07"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(A)</w:t>
            </w:r>
          </w:p>
        </w:tc>
        <w:tc>
          <w:tcPr>
            <w:tcW w:w="1028" w:type="dxa"/>
            <w:tcBorders>
              <w:top w:val="nil"/>
            </w:tcBorders>
            <w:shd w:val="clear" w:color="auto" w:fill="D6E3BC" w:themeFill="accent3" w:themeFillTint="66"/>
            <w:hideMark/>
          </w:tcPr>
          <w:p w14:paraId="3B2B50AC"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(B)</w:t>
            </w:r>
          </w:p>
        </w:tc>
        <w:tc>
          <w:tcPr>
            <w:tcW w:w="1029" w:type="dxa"/>
            <w:tcBorders>
              <w:top w:val="nil"/>
            </w:tcBorders>
            <w:shd w:val="clear" w:color="auto" w:fill="D6E3BC" w:themeFill="accent3" w:themeFillTint="66"/>
            <w:hideMark/>
          </w:tcPr>
          <w:p w14:paraId="07C29DD2"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(C)</w:t>
            </w:r>
          </w:p>
        </w:tc>
        <w:tc>
          <w:tcPr>
            <w:tcW w:w="1028" w:type="dxa"/>
            <w:tcBorders>
              <w:top w:val="nil"/>
            </w:tcBorders>
            <w:shd w:val="clear" w:color="auto" w:fill="D6E3BC" w:themeFill="accent3" w:themeFillTint="66"/>
            <w:hideMark/>
          </w:tcPr>
          <w:p w14:paraId="502D31C4"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(D)</w:t>
            </w:r>
          </w:p>
        </w:tc>
        <w:tc>
          <w:tcPr>
            <w:tcW w:w="1029" w:type="dxa"/>
            <w:tcBorders>
              <w:top w:val="nil"/>
            </w:tcBorders>
            <w:shd w:val="clear" w:color="auto" w:fill="D6E3BC" w:themeFill="accent3" w:themeFillTint="66"/>
            <w:hideMark/>
          </w:tcPr>
          <w:p w14:paraId="70DB1A0C"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(E)</w:t>
            </w:r>
            <w:r>
              <w:rPr>
                <w:rFonts w:asciiTheme="minorHAnsi" w:eastAsia="Times New Roman" w:hAnsiTheme="minorHAnsi" w:cstheme="minorHAnsi"/>
                <w:b/>
                <w:bCs/>
                <w:sz w:val="18"/>
                <w:szCs w:val="18"/>
                <w:lang w:eastAsia="en-GB"/>
              </w:rPr>
              <w:br/>
            </w:r>
            <w:r w:rsidRPr="00E8596C">
              <w:rPr>
                <w:rFonts w:asciiTheme="minorHAnsi" w:eastAsia="Times New Roman" w:hAnsiTheme="minorHAnsi" w:cstheme="minorHAnsi"/>
                <w:b/>
                <w:bCs/>
                <w:sz w:val="18"/>
                <w:szCs w:val="18"/>
                <w:lang w:eastAsia="en-GB"/>
              </w:rPr>
              <w:t>=A+B+C+D</w:t>
            </w:r>
          </w:p>
        </w:tc>
        <w:tc>
          <w:tcPr>
            <w:tcW w:w="1028" w:type="dxa"/>
            <w:tcBorders>
              <w:top w:val="nil"/>
            </w:tcBorders>
            <w:shd w:val="clear" w:color="auto" w:fill="D6E3BC" w:themeFill="accent3" w:themeFillTint="66"/>
            <w:hideMark/>
          </w:tcPr>
          <w:p w14:paraId="20832324"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(F)</w:t>
            </w:r>
          </w:p>
        </w:tc>
        <w:tc>
          <w:tcPr>
            <w:tcW w:w="1029" w:type="dxa"/>
            <w:tcBorders>
              <w:top w:val="nil"/>
            </w:tcBorders>
            <w:shd w:val="clear" w:color="auto" w:fill="D6E3BC" w:themeFill="accent3" w:themeFillTint="66"/>
            <w:hideMark/>
          </w:tcPr>
          <w:p w14:paraId="61E7DB64" w14:textId="77777777" w:rsidR="001404C4" w:rsidRPr="00E8596C" w:rsidRDefault="001404C4" w:rsidP="00F45CC2">
            <w:pPr>
              <w:pStyle w:val="NoSpacing"/>
              <w:ind w:left="0" w:firstLine="0"/>
              <w:jc w:val="center"/>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(G)</w:t>
            </w:r>
            <w:r>
              <w:rPr>
                <w:rFonts w:asciiTheme="minorHAnsi" w:eastAsia="Times New Roman" w:hAnsiTheme="minorHAnsi" w:cstheme="minorHAnsi"/>
                <w:b/>
                <w:bCs/>
                <w:sz w:val="18"/>
                <w:szCs w:val="18"/>
                <w:lang w:eastAsia="en-GB"/>
              </w:rPr>
              <w:br/>
            </w:r>
            <w:r w:rsidRPr="00E8596C">
              <w:rPr>
                <w:rFonts w:asciiTheme="minorHAnsi" w:eastAsia="Times New Roman" w:hAnsiTheme="minorHAnsi" w:cstheme="minorHAnsi"/>
                <w:b/>
                <w:bCs/>
                <w:sz w:val="18"/>
                <w:szCs w:val="18"/>
                <w:lang w:eastAsia="en-GB"/>
              </w:rPr>
              <w:t>=(E)-(F)</w:t>
            </w:r>
          </w:p>
        </w:tc>
      </w:tr>
      <w:tr w:rsidR="001404C4" w:rsidRPr="00E8596C" w14:paraId="12E62D15" w14:textId="77777777" w:rsidTr="00F45CC2">
        <w:tc>
          <w:tcPr>
            <w:tcW w:w="2725" w:type="dxa"/>
            <w:noWrap/>
            <w:hideMark/>
          </w:tcPr>
          <w:p w14:paraId="0979B418" w14:textId="77777777" w:rsidR="001404C4" w:rsidRDefault="001404C4" w:rsidP="00F45CC2">
            <w:pPr>
              <w:pStyle w:val="NoSpacing"/>
              <w:ind w:left="0" w:firstLine="0"/>
              <w:rPr>
                <w:rFonts w:asciiTheme="minorHAnsi" w:eastAsia="Times New Roman" w:hAnsiTheme="minorHAnsi" w:cstheme="minorHAnsi"/>
                <w:b/>
                <w:bCs/>
                <w:sz w:val="18"/>
                <w:szCs w:val="18"/>
                <w:lang w:eastAsia="en-GB"/>
              </w:rPr>
            </w:pPr>
          </w:p>
          <w:p w14:paraId="1CFEB96A"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INCOME</w:t>
            </w:r>
          </w:p>
        </w:tc>
        <w:tc>
          <w:tcPr>
            <w:tcW w:w="1028" w:type="dxa"/>
            <w:hideMark/>
          </w:tcPr>
          <w:p w14:paraId="731BCFED"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8" w:type="dxa"/>
            <w:hideMark/>
          </w:tcPr>
          <w:p w14:paraId="0D04AEB0"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noWrap/>
            <w:hideMark/>
          </w:tcPr>
          <w:p w14:paraId="07AE4585"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 </w:t>
            </w:r>
          </w:p>
        </w:tc>
        <w:tc>
          <w:tcPr>
            <w:tcW w:w="1028" w:type="dxa"/>
            <w:hideMark/>
          </w:tcPr>
          <w:p w14:paraId="43ADBFE8"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hideMark/>
          </w:tcPr>
          <w:p w14:paraId="7BA7F0C8"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8" w:type="dxa"/>
            <w:hideMark/>
          </w:tcPr>
          <w:p w14:paraId="74CD3020"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c>
          <w:tcPr>
            <w:tcW w:w="1029" w:type="dxa"/>
            <w:hideMark/>
          </w:tcPr>
          <w:p w14:paraId="7EBC250C"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p>
        </w:tc>
      </w:tr>
      <w:tr w:rsidR="001404C4" w:rsidRPr="00E8596C" w14:paraId="490D6166" w14:textId="77777777" w:rsidTr="00F45CC2">
        <w:tc>
          <w:tcPr>
            <w:tcW w:w="2725" w:type="dxa"/>
            <w:noWrap/>
            <w:hideMark/>
          </w:tcPr>
          <w:p w14:paraId="235C2B83"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Parties’ Contributions</w:t>
            </w:r>
          </w:p>
        </w:tc>
        <w:tc>
          <w:tcPr>
            <w:tcW w:w="1028" w:type="dxa"/>
            <w:noWrap/>
            <w:hideMark/>
          </w:tcPr>
          <w:p w14:paraId="21FE12D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3,779</w:t>
            </w:r>
          </w:p>
        </w:tc>
        <w:tc>
          <w:tcPr>
            <w:tcW w:w="1028" w:type="dxa"/>
            <w:noWrap/>
            <w:hideMark/>
          </w:tcPr>
          <w:p w14:paraId="2B266CB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C24BC4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28580B4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4B52C4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3,779</w:t>
            </w:r>
          </w:p>
        </w:tc>
        <w:tc>
          <w:tcPr>
            <w:tcW w:w="1028" w:type="dxa"/>
            <w:noWrap/>
            <w:hideMark/>
          </w:tcPr>
          <w:p w14:paraId="4571AF2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3,779</w:t>
            </w:r>
          </w:p>
        </w:tc>
        <w:tc>
          <w:tcPr>
            <w:tcW w:w="1029" w:type="dxa"/>
            <w:noWrap/>
            <w:hideMark/>
          </w:tcPr>
          <w:p w14:paraId="3559974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042D3F68" w14:textId="77777777" w:rsidTr="00F45CC2">
        <w:tc>
          <w:tcPr>
            <w:tcW w:w="2725" w:type="dxa"/>
            <w:noWrap/>
            <w:hideMark/>
          </w:tcPr>
          <w:p w14:paraId="215E6165"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Voluntary contributions</w:t>
            </w:r>
          </w:p>
        </w:tc>
        <w:tc>
          <w:tcPr>
            <w:tcW w:w="1028" w:type="dxa"/>
            <w:noWrap/>
            <w:hideMark/>
          </w:tcPr>
          <w:p w14:paraId="3CCB234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1,065</w:t>
            </w:r>
          </w:p>
        </w:tc>
        <w:tc>
          <w:tcPr>
            <w:tcW w:w="1028" w:type="dxa"/>
            <w:noWrap/>
            <w:hideMark/>
          </w:tcPr>
          <w:p w14:paraId="58152E7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FA5472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42A68F0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ACA222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1,065</w:t>
            </w:r>
          </w:p>
        </w:tc>
        <w:tc>
          <w:tcPr>
            <w:tcW w:w="1028" w:type="dxa"/>
            <w:noWrap/>
            <w:hideMark/>
          </w:tcPr>
          <w:p w14:paraId="078C78B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1,066</w:t>
            </w:r>
          </w:p>
        </w:tc>
        <w:tc>
          <w:tcPr>
            <w:tcW w:w="1029" w:type="dxa"/>
            <w:noWrap/>
            <w:hideMark/>
          </w:tcPr>
          <w:p w14:paraId="32FF38A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w:t>
            </w:r>
          </w:p>
        </w:tc>
      </w:tr>
      <w:tr w:rsidR="001404C4" w:rsidRPr="00E8596C" w14:paraId="35D3A364" w14:textId="77777777" w:rsidTr="00F45CC2">
        <w:tc>
          <w:tcPr>
            <w:tcW w:w="2725" w:type="dxa"/>
            <w:noWrap/>
            <w:hideMark/>
          </w:tcPr>
          <w:p w14:paraId="56E61900"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Income Tax</w:t>
            </w:r>
          </w:p>
        </w:tc>
        <w:tc>
          <w:tcPr>
            <w:tcW w:w="1028" w:type="dxa"/>
            <w:noWrap/>
            <w:hideMark/>
          </w:tcPr>
          <w:p w14:paraId="5459F2E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225</w:t>
            </w:r>
          </w:p>
        </w:tc>
        <w:tc>
          <w:tcPr>
            <w:tcW w:w="1028" w:type="dxa"/>
            <w:noWrap/>
            <w:hideMark/>
          </w:tcPr>
          <w:p w14:paraId="19C7B8C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1E0924C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5FD4C8B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1263B2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225</w:t>
            </w:r>
          </w:p>
        </w:tc>
        <w:tc>
          <w:tcPr>
            <w:tcW w:w="1028" w:type="dxa"/>
            <w:noWrap/>
            <w:hideMark/>
          </w:tcPr>
          <w:p w14:paraId="32B812F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202</w:t>
            </w:r>
          </w:p>
        </w:tc>
        <w:tc>
          <w:tcPr>
            <w:tcW w:w="1029" w:type="dxa"/>
            <w:noWrap/>
            <w:hideMark/>
          </w:tcPr>
          <w:p w14:paraId="5ABD939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23</w:t>
            </w:r>
          </w:p>
        </w:tc>
      </w:tr>
      <w:tr w:rsidR="001404C4" w:rsidRPr="00E8596C" w14:paraId="1A222064" w14:textId="77777777" w:rsidTr="00F45CC2">
        <w:tc>
          <w:tcPr>
            <w:tcW w:w="2725" w:type="dxa"/>
            <w:noWrap/>
            <w:hideMark/>
          </w:tcPr>
          <w:p w14:paraId="133016D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Other Income (including Interest Income)</w:t>
            </w:r>
          </w:p>
        </w:tc>
        <w:tc>
          <w:tcPr>
            <w:tcW w:w="1028" w:type="dxa"/>
            <w:noWrap/>
            <w:hideMark/>
          </w:tcPr>
          <w:p w14:paraId="36E8CB9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w:t>
            </w:r>
          </w:p>
        </w:tc>
        <w:tc>
          <w:tcPr>
            <w:tcW w:w="1028" w:type="dxa"/>
            <w:noWrap/>
            <w:hideMark/>
          </w:tcPr>
          <w:p w14:paraId="1BD7FE8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84C7F9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9C7E26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44570B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w:t>
            </w:r>
          </w:p>
        </w:tc>
        <w:tc>
          <w:tcPr>
            <w:tcW w:w="1028" w:type="dxa"/>
            <w:noWrap/>
            <w:hideMark/>
          </w:tcPr>
          <w:p w14:paraId="3703155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w:t>
            </w:r>
          </w:p>
        </w:tc>
        <w:tc>
          <w:tcPr>
            <w:tcW w:w="1029" w:type="dxa"/>
            <w:noWrap/>
            <w:hideMark/>
          </w:tcPr>
          <w:p w14:paraId="0C57AA0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w:t>
            </w:r>
          </w:p>
        </w:tc>
      </w:tr>
      <w:tr w:rsidR="001404C4" w:rsidRPr="00E8596C" w14:paraId="216409A9" w14:textId="77777777" w:rsidTr="00F45CC2">
        <w:tc>
          <w:tcPr>
            <w:tcW w:w="2725" w:type="dxa"/>
            <w:shd w:val="clear" w:color="auto" w:fill="D6E3BC" w:themeFill="accent3" w:themeFillTint="66"/>
            <w:noWrap/>
            <w:hideMark/>
          </w:tcPr>
          <w:p w14:paraId="2A415400"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TOTAL INCOME</w:t>
            </w:r>
          </w:p>
        </w:tc>
        <w:tc>
          <w:tcPr>
            <w:tcW w:w="1028" w:type="dxa"/>
            <w:shd w:val="clear" w:color="auto" w:fill="D6E3BC" w:themeFill="accent3" w:themeFillTint="66"/>
            <w:noWrap/>
            <w:hideMark/>
          </w:tcPr>
          <w:p w14:paraId="27405C44"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5,081</w:t>
            </w:r>
          </w:p>
        </w:tc>
        <w:tc>
          <w:tcPr>
            <w:tcW w:w="1028" w:type="dxa"/>
            <w:shd w:val="clear" w:color="auto" w:fill="D6E3BC" w:themeFill="accent3" w:themeFillTint="66"/>
            <w:noWrap/>
            <w:hideMark/>
          </w:tcPr>
          <w:p w14:paraId="6B20757E"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0</w:t>
            </w:r>
          </w:p>
        </w:tc>
        <w:tc>
          <w:tcPr>
            <w:tcW w:w="1029" w:type="dxa"/>
            <w:shd w:val="clear" w:color="auto" w:fill="D6E3BC" w:themeFill="accent3" w:themeFillTint="66"/>
            <w:noWrap/>
            <w:hideMark/>
          </w:tcPr>
          <w:p w14:paraId="574845FA"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0</w:t>
            </w:r>
          </w:p>
        </w:tc>
        <w:tc>
          <w:tcPr>
            <w:tcW w:w="1028" w:type="dxa"/>
            <w:shd w:val="clear" w:color="auto" w:fill="D6E3BC" w:themeFill="accent3" w:themeFillTint="66"/>
            <w:noWrap/>
            <w:hideMark/>
          </w:tcPr>
          <w:p w14:paraId="0AB1748B"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0</w:t>
            </w:r>
          </w:p>
        </w:tc>
        <w:tc>
          <w:tcPr>
            <w:tcW w:w="1029" w:type="dxa"/>
            <w:shd w:val="clear" w:color="auto" w:fill="D6E3BC" w:themeFill="accent3" w:themeFillTint="66"/>
            <w:noWrap/>
            <w:hideMark/>
          </w:tcPr>
          <w:p w14:paraId="54D0C17A"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5,081</w:t>
            </w:r>
          </w:p>
        </w:tc>
        <w:tc>
          <w:tcPr>
            <w:tcW w:w="1028" w:type="dxa"/>
            <w:shd w:val="clear" w:color="auto" w:fill="D6E3BC" w:themeFill="accent3" w:themeFillTint="66"/>
            <w:noWrap/>
            <w:hideMark/>
          </w:tcPr>
          <w:p w14:paraId="679B3C03"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5,062</w:t>
            </w:r>
          </w:p>
        </w:tc>
        <w:tc>
          <w:tcPr>
            <w:tcW w:w="1029" w:type="dxa"/>
            <w:shd w:val="clear" w:color="auto" w:fill="D6E3BC" w:themeFill="accent3" w:themeFillTint="66"/>
            <w:noWrap/>
            <w:hideMark/>
          </w:tcPr>
          <w:p w14:paraId="495A1EFF"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19</w:t>
            </w:r>
          </w:p>
        </w:tc>
      </w:tr>
      <w:tr w:rsidR="001404C4" w:rsidRPr="00E8596C" w14:paraId="3519FEA9" w14:textId="77777777" w:rsidTr="00F45CC2">
        <w:tc>
          <w:tcPr>
            <w:tcW w:w="2725" w:type="dxa"/>
            <w:noWrap/>
            <w:hideMark/>
          </w:tcPr>
          <w:p w14:paraId="15D356E3" w14:textId="77777777" w:rsidR="001404C4" w:rsidRDefault="001404C4" w:rsidP="00F45CC2">
            <w:pPr>
              <w:pStyle w:val="NoSpacing"/>
              <w:ind w:left="0" w:firstLine="0"/>
              <w:rPr>
                <w:rFonts w:asciiTheme="minorHAnsi" w:eastAsia="Times New Roman" w:hAnsiTheme="minorHAnsi" w:cstheme="minorHAnsi"/>
                <w:b/>
                <w:bCs/>
                <w:sz w:val="18"/>
                <w:szCs w:val="18"/>
                <w:lang w:eastAsia="en-GB"/>
              </w:rPr>
            </w:pPr>
          </w:p>
          <w:p w14:paraId="67B908AC" w14:textId="77777777" w:rsidR="001404C4" w:rsidRPr="00E8596C" w:rsidRDefault="001404C4" w:rsidP="00F45CC2">
            <w:pPr>
              <w:pStyle w:val="NoSpacing"/>
              <w:ind w:left="0" w:firstLine="0"/>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EXPENDITURE</w:t>
            </w:r>
          </w:p>
        </w:tc>
        <w:tc>
          <w:tcPr>
            <w:tcW w:w="1028" w:type="dxa"/>
            <w:hideMark/>
          </w:tcPr>
          <w:p w14:paraId="408E8FE4"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8" w:type="dxa"/>
            <w:hideMark/>
          </w:tcPr>
          <w:p w14:paraId="3832FCC3"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noWrap/>
            <w:hideMark/>
          </w:tcPr>
          <w:p w14:paraId="1717A400"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r w:rsidRPr="00E8596C">
              <w:rPr>
                <w:rFonts w:asciiTheme="minorHAnsi" w:eastAsia="Times New Roman" w:hAnsiTheme="minorHAnsi" w:cstheme="minorHAnsi"/>
                <w:b/>
                <w:bCs/>
                <w:sz w:val="18"/>
                <w:szCs w:val="18"/>
                <w:lang w:eastAsia="en-GB"/>
              </w:rPr>
              <w:t> </w:t>
            </w:r>
          </w:p>
        </w:tc>
        <w:tc>
          <w:tcPr>
            <w:tcW w:w="1028" w:type="dxa"/>
            <w:hideMark/>
          </w:tcPr>
          <w:p w14:paraId="00FB61B4"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hideMark/>
          </w:tcPr>
          <w:p w14:paraId="46DFF7BA"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8" w:type="dxa"/>
            <w:hideMark/>
          </w:tcPr>
          <w:p w14:paraId="192F8366"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c>
          <w:tcPr>
            <w:tcW w:w="1029" w:type="dxa"/>
            <w:hideMark/>
          </w:tcPr>
          <w:p w14:paraId="4ED0A36A" w14:textId="77777777" w:rsidR="001404C4" w:rsidRPr="00E8596C" w:rsidRDefault="001404C4" w:rsidP="00F45CC2">
            <w:pPr>
              <w:pStyle w:val="NoSpacing"/>
              <w:ind w:left="0" w:firstLine="0"/>
              <w:jc w:val="right"/>
              <w:rPr>
                <w:rFonts w:asciiTheme="minorHAnsi" w:eastAsia="Times New Roman" w:hAnsiTheme="minorHAnsi" w:cstheme="minorHAnsi"/>
                <w:b/>
                <w:bCs/>
                <w:sz w:val="18"/>
                <w:szCs w:val="18"/>
                <w:lang w:eastAsia="en-GB"/>
              </w:rPr>
            </w:pPr>
          </w:p>
        </w:tc>
      </w:tr>
      <w:tr w:rsidR="001404C4" w:rsidRPr="00E8596C" w14:paraId="737F9B11" w14:textId="77777777" w:rsidTr="00F45CC2">
        <w:tc>
          <w:tcPr>
            <w:tcW w:w="2725" w:type="dxa"/>
            <w:shd w:val="clear" w:color="auto" w:fill="EAF1DD" w:themeFill="accent3" w:themeFillTint="33"/>
            <w:noWrap/>
            <w:hideMark/>
          </w:tcPr>
          <w:p w14:paraId="414B7B7A"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A.</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Secretariat Senior Management</w:t>
            </w:r>
          </w:p>
        </w:tc>
        <w:tc>
          <w:tcPr>
            <w:tcW w:w="1028" w:type="dxa"/>
            <w:shd w:val="clear" w:color="auto" w:fill="EAF1DD" w:themeFill="accent3" w:themeFillTint="33"/>
            <w:noWrap/>
            <w:hideMark/>
          </w:tcPr>
          <w:p w14:paraId="07CCC83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1,009</w:t>
            </w:r>
          </w:p>
        </w:tc>
        <w:tc>
          <w:tcPr>
            <w:tcW w:w="1028" w:type="dxa"/>
            <w:shd w:val="clear" w:color="auto" w:fill="EAF1DD" w:themeFill="accent3" w:themeFillTint="33"/>
            <w:noWrap/>
            <w:hideMark/>
          </w:tcPr>
          <w:p w14:paraId="562AD2F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9" w:type="dxa"/>
            <w:shd w:val="clear" w:color="auto" w:fill="EAF1DD" w:themeFill="accent3" w:themeFillTint="33"/>
            <w:noWrap/>
            <w:hideMark/>
          </w:tcPr>
          <w:p w14:paraId="43EBD21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shd w:val="clear" w:color="auto" w:fill="EAF1DD" w:themeFill="accent3" w:themeFillTint="33"/>
            <w:noWrap/>
            <w:hideMark/>
          </w:tcPr>
          <w:p w14:paraId="48E7114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638E734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1,014</w:t>
            </w:r>
          </w:p>
        </w:tc>
        <w:tc>
          <w:tcPr>
            <w:tcW w:w="1028" w:type="dxa"/>
            <w:shd w:val="clear" w:color="auto" w:fill="EAF1DD" w:themeFill="accent3" w:themeFillTint="33"/>
            <w:noWrap/>
            <w:hideMark/>
          </w:tcPr>
          <w:p w14:paraId="6AE89A1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888</w:t>
            </w:r>
          </w:p>
        </w:tc>
        <w:tc>
          <w:tcPr>
            <w:tcW w:w="1029" w:type="dxa"/>
            <w:shd w:val="clear" w:color="auto" w:fill="EAF1DD" w:themeFill="accent3" w:themeFillTint="33"/>
            <w:noWrap/>
            <w:hideMark/>
          </w:tcPr>
          <w:p w14:paraId="786C72D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126</w:t>
            </w:r>
          </w:p>
        </w:tc>
      </w:tr>
      <w:tr w:rsidR="001404C4" w:rsidRPr="00E8596C" w14:paraId="4205D705" w14:textId="77777777" w:rsidTr="00F45CC2">
        <w:tc>
          <w:tcPr>
            <w:tcW w:w="2725" w:type="dxa"/>
            <w:noWrap/>
            <w:hideMark/>
          </w:tcPr>
          <w:p w14:paraId="016CD51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Salaries and social costs</w:t>
            </w:r>
          </w:p>
        </w:tc>
        <w:tc>
          <w:tcPr>
            <w:tcW w:w="1028" w:type="dxa"/>
            <w:noWrap/>
            <w:hideMark/>
          </w:tcPr>
          <w:p w14:paraId="473774D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918</w:t>
            </w:r>
          </w:p>
        </w:tc>
        <w:tc>
          <w:tcPr>
            <w:tcW w:w="1028" w:type="dxa"/>
            <w:noWrap/>
            <w:hideMark/>
          </w:tcPr>
          <w:p w14:paraId="358A8A1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1EE070D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2354E15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A54764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918</w:t>
            </w:r>
          </w:p>
        </w:tc>
        <w:tc>
          <w:tcPr>
            <w:tcW w:w="1028" w:type="dxa"/>
            <w:noWrap/>
            <w:hideMark/>
          </w:tcPr>
          <w:p w14:paraId="654B69A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847</w:t>
            </w:r>
          </w:p>
        </w:tc>
        <w:tc>
          <w:tcPr>
            <w:tcW w:w="1029" w:type="dxa"/>
            <w:noWrap/>
            <w:hideMark/>
          </w:tcPr>
          <w:p w14:paraId="1921D57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71</w:t>
            </w:r>
          </w:p>
        </w:tc>
      </w:tr>
      <w:tr w:rsidR="001404C4" w:rsidRPr="00E8596C" w14:paraId="1229C9A4" w14:textId="77777777" w:rsidTr="00F45CC2">
        <w:tc>
          <w:tcPr>
            <w:tcW w:w="2725" w:type="dxa"/>
            <w:noWrap/>
            <w:hideMark/>
          </w:tcPr>
          <w:p w14:paraId="7516B088"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Other employment benefits</w:t>
            </w:r>
          </w:p>
        </w:tc>
        <w:tc>
          <w:tcPr>
            <w:tcW w:w="1028" w:type="dxa"/>
            <w:noWrap/>
            <w:hideMark/>
          </w:tcPr>
          <w:p w14:paraId="027F49D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51</w:t>
            </w:r>
          </w:p>
        </w:tc>
        <w:tc>
          <w:tcPr>
            <w:tcW w:w="1028" w:type="dxa"/>
            <w:noWrap/>
            <w:hideMark/>
          </w:tcPr>
          <w:p w14:paraId="683FACD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DD7A79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05459F7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B02FD2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51</w:t>
            </w:r>
          </w:p>
        </w:tc>
        <w:tc>
          <w:tcPr>
            <w:tcW w:w="1028" w:type="dxa"/>
            <w:noWrap/>
            <w:hideMark/>
          </w:tcPr>
          <w:p w14:paraId="1CB7B7F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w:t>
            </w:r>
          </w:p>
        </w:tc>
        <w:tc>
          <w:tcPr>
            <w:tcW w:w="1029" w:type="dxa"/>
            <w:noWrap/>
            <w:hideMark/>
          </w:tcPr>
          <w:p w14:paraId="4F19219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36</w:t>
            </w:r>
          </w:p>
        </w:tc>
      </w:tr>
      <w:tr w:rsidR="001404C4" w:rsidRPr="00E8596C" w14:paraId="491ED5FE" w14:textId="77777777" w:rsidTr="00F45CC2">
        <w:tc>
          <w:tcPr>
            <w:tcW w:w="2725" w:type="dxa"/>
            <w:noWrap/>
            <w:hideMark/>
          </w:tcPr>
          <w:p w14:paraId="682945C2"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Travel</w:t>
            </w:r>
          </w:p>
        </w:tc>
        <w:tc>
          <w:tcPr>
            <w:tcW w:w="1028" w:type="dxa"/>
            <w:noWrap/>
            <w:hideMark/>
          </w:tcPr>
          <w:p w14:paraId="126611A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40</w:t>
            </w:r>
          </w:p>
        </w:tc>
        <w:tc>
          <w:tcPr>
            <w:tcW w:w="1028" w:type="dxa"/>
            <w:noWrap/>
            <w:hideMark/>
          </w:tcPr>
          <w:p w14:paraId="70BEDB0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9" w:type="dxa"/>
            <w:noWrap/>
            <w:hideMark/>
          </w:tcPr>
          <w:p w14:paraId="64E656D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739E5D2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1D67B1D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w:t>
            </w:r>
          </w:p>
        </w:tc>
        <w:tc>
          <w:tcPr>
            <w:tcW w:w="1028" w:type="dxa"/>
            <w:noWrap/>
            <w:hideMark/>
          </w:tcPr>
          <w:p w14:paraId="2E1DC8C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27</w:t>
            </w:r>
          </w:p>
        </w:tc>
        <w:tc>
          <w:tcPr>
            <w:tcW w:w="1029" w:type="dxa"/>
            <w:noWrap/>
            <w:hideMark/>
          </w:tcPr>
          <w:p w14:paraId="47ACBEC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18</w:t>
            </w:r>
          </w:p>
        </w:tc>
      </w:tr>
      <w:tr w:rsidR="001404C4" w:rsidRPr="00E8596C" w14:paraId="7EC9D285" w14:textId="77777777" w:rsidTr="00F45CC2">
        <w:tc>
          <w:tcPr>
            <w:tcW w:w="2725" w:type="dxa"/>
            <w:shd w:val="clear" w:color="auto" w:fill="EAF1DD" w:themeFill="accent3" w:themeFillTint="33"/>
            <w:noWrap/>
            <w:hideMark/>
          </w:tcPr>
          <w:p w14:paraId="3F044FFC"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B.</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Resource Mobilization and Outreach</w:t>
            </w:r>
          </w:p>
        </w:tc>
        <w:tc>
          <w:tcPr>
            <w:tcW w:w="1028" w:type="dxa"/>
            <w:shd w:val="clear" w:color="auto" w:fill="EAF1DD" w:themeFill="accent3" w:themeFillTint="33"/>
            <w:noWrap/>
            <w:hideMark/>
          </w:tcPr>
          <w:p w14:paraId="237D40C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639</w:t>
            </w:r>
          </w:p>
        </w:tc>
        <w:tc>
          <w:tcPr>
            <w:tcW w:w="1028" w:type="dxa"/>
            <w:shd w:val="clear" w:color="auto" w:fill="EAF1DD" w:themeFill="accent3" w:themeFillTint="33"/>
            <w:noWrap/>
            <w:hideMark/>
          </w:tcPr>
          <w:p w14:paraId="172BD28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w:t>
            </w:r>
          </w:p>
        </w:tc>
        <w:tc>
          <w:tcPr>
            <w:tcW w:w="1029" w:type="dxa"/>
            <w:shd w:val="clear" w:color="auto" w:fill="EAF1DD" w:themeFill="accent3" w:themeFillTint="33"/>
            <w:noWrap/>
            <w:hideMark/>
          </w:tcPr>
          <w:p w14:paraId="0738B85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w:t>
            </w:r>
          </w:p>
        </w:tc>
        <w:tc>
          <w:tcPr>
            <w:tcW w:w="1028" w:type="dxa"/>
            <w:shd w:val="clear" w:color="auto" w:fill="EAF1DD" w:themeFill="accent3" w:themeFillTint="33"/>
            <w:noWrap/>
            <w:hideMark/>
          </w:tcPr>
          <w:p w14:paraId="2604FB5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282BC7C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729</w:t>
            </w:r>
          </w:p>
        </w:tc>
        <w:tc>
          <w:tcPr>
            <w:tcW w:w="1028" w:type="dxa"/>
            <w:shd w:val="clear" w:color="auto" w:fill="EAF1DD" w:themeFill="accent3" w:themeFillTint="33"/>
            <w:noWrap/>
            <w:hideMark/>
          </w:tcPr>
          <w:p w14:paraId="329BB81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380</w:t>
            </w:r>
          </w:p>
        </w:tc>
        <w:tc>
          <w:tcPr>
            <w:tcW w:w="1029" w:type="dxa"/>
            <w:shd w:val="clear" w:color="auto" w:fill="EAF1DD" w:themeFill="accent3" w:themeFillTint="33"/>
            <w:noWrap/>
            <w:hideMark/>
          </w:tcPr>
          <w:p w14:paraId="1AF331C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349</w:t>
            </w:r>
          </w:p>
        </w:tc>
      </w:tr>
      <w:tr w:rsidR="001404C4" w:rsidRPr="00E8596C" w14:paraId="3CBC3A5E" w14:textId="77777777" w:rsidTr="00F45CC2">
        <w:tc>
          <w:tcPr>
            <w:tcW w:w="2725" w:type="dxa"/>
            <w:noWrap/>
            <w:hideMark/>
          </w:tcPr>
          <w:p w14:paraId="1F9E24BD"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Salaries and social costs</w:t>
            </w:r>
          </w:p>
        </w:tc>
        <w:tc>
          <w:tcPr>
            <w:tcW w:w="1028" w:type="dxa"/>
            <w:noWrap/>
            <w:hideMark/>
          </w:tcPr>
          <w:p w14:paraId="10F43A3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450</w:t>
            </w:r>
          </w:p>
        </w:tc>
        <w:tc>
          <w:tcPr>
            <w:tcW w:w="1028" w:type="dxa"/>
            <w:noWrap/>
            <w:hideMark/>
          </w:tcPr>
          <w:p w14:paraId="0469CB0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99EF28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11CC2D1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0E9CC3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450</w:t>
            </w:r>
          </w:p>
        </w:tc>
        <w:tc>
          <w:tcPr>
            <w:tcW w:w="1028" w:type="dxa"/>
            <w:noWrap/>
            <w:hideMark/>
          </w:tcPr>
          <w:p w14:paraId="044BB75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266</w:t>
            </w:r>
          </w:p>
        </w:tc>
        <w:tc>
          <w:tcPr>
            <w:tcW w:w="1029" w:type="dxa"/>
            <w:noWrap/>
            <w:hideMark/>
          </w:tcPr>
          <w:p w14:paraId="67C647C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184</w:t>
            </w:r>
          </w:p>
        </w:tc>
      </w:tr>
      <w:tr w:rsidR="001404C4" w:rsidRPr="00E8596C" w14:paraId="2D85EAB9" w14:textId="77777777" w:rsidTr="00F45CC2">
        <w:tc>
          <w:tcPr>
            <w:tcW w:w="2725" w:type="dxa"/>
            <w:noWrap/>
            <w:hideMark/>
          </w:tcPr>
          <w:p w14:paraId="1C17EDE9"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Other employment benefits</w:t>
            </w:r>
          </w:p>
        </w:tc>
        <w:tc>
          <w:tcPr>
            <w:tcW w:w="1028" w:type="dxa"/>
            <w:noWrap/>
            <w:hideMark/>
          </w:tcPr>
          <w:p w14:paraId="5D0EBB3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8" w:type="dxa"/>
            <w:noWrap/>
            <w:hideMark/>
          </w:tcPr>
          <w:p w14:paraId="19320AD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FD5F73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E79425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CF38D4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8" w:type="dxa"/>
            <w:noWrap/>
            <w:hideMark/>
          </w:tcPr>
          <w:p w14:paraId="3680A08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F9C62C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r>
      <w:tr w:rsidR="001404C4" w:rsidRPr="00E8596C" w14:paraId="062E14F3" w14:textId="77777777" w:rsidTr="00F45CC2">
        <w:tc>
          <w:tcPr>
            <w:tcW w:w="2725" w:type="dxa"/>
            <w:noWrap/>
            <w:hideMark/>
          </w:tcPr>
          <w:p w14:paraId="058A75E1"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CEPA Program</w:t>
            </w:r>
          </w:p>
        </w:tc>
        <w:tc>
          <w:tcPr>
            <w:tcW w:w="1028" w:type="dxa"/>
            <w:noWrap/>
            <w:hideMark/>
          </w:tcPr>
          <w:p w14:paraId="2BD8F4D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30</w:t>
            </w:r>
          </w:p>
        </w:tc>
        <w:tc>
          <w:tcPr>
            <w:tcW w:w="1028" w:type="dxa"/>
            <w:noWrap/>
            <w:hideMark/>
          </w:tcPr>
          <w:p w14:paraId="3D355CC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335307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6A91D7F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818080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30</w:t>
            </w:r>
          </w:p>
        </w:tc>
        <w:tc>
          <w:tcPr>
            <w:tcW w:w="1028" w:type="dxa"/>
            <w:noWrap/>
            <w:hideMark/>
          </w:tcPr>
          <w:p w14:paraId="4CF9162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w:t>
            </w:r>
          </w:p>
        </w:tc>
        <w:tc>
          <w:tcPr>
            <w:tcW w:w="1029" w:type="dxa"/>
            <w:noWrap/>
            <w:hideMark/>
          </w:tcPr>
          <w:p w14:paraId="0AD41B7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23</w:t>
            </w:r>
          </w:p>
        </w:tc>
      </w:tr>
      <w:tr w:rsidR="001404C4" w:rsidRPr="00E8596C" w14:paraId="4258F477" w14:textId="77777777" w:rsidTr="00F45CC2">
        <w:tc>
          <w:tcPr>
            <w:tcW w:w="2725" w:type="dxa"/>
            <w:noWrap/>
            <w:hideMark/>
          </w:tcPr>
          <w:p w14:paraId="30E65FA8"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Comms, Translations, Publications and Reporting Implementation</w:t>
            </w:r>
          </w:p>
        </w:tc>
        <w:tc>
          <w:tcPr>
            <w:tcW w:w="1028" w:type="dxa"/>
            <w:noWrap/>
            <w:hideMark/>
          </w:tcPr>
          <w:p w14:paraId="10F07E6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60</w:t>
            </w:r>
          </w:p>
        </w:tc>
        <w:tc>
          <w:tcPr>
            <w:tcW w:w="1028" w:type="dxa"/>
            <w:noWrap/>
            <w:hideMark/>
          </w:tcPr>
          <w:p w14:paraId="752E357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40</w:t>
            </w:r>
          </w:p>
        </w:tc>
        <w:tc>
          <w:tcPr>
            <w:tcW w:w="1029" w:type="dxa"/>
            <w:noWrap/>
            <w:hideMark/>
          </w:tcPr>
          <w:p w14:paraId="08C626B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4C735E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96CDF4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100</w:t>
            </w:r>
          </w:p>
        </w:tc>
        <w:tc>
          <w:tcPr>
            <w:tcW w:w="1028" w:type="dxa"/>
            <w:noWrap/>
            <w:hideMark/>
          </w:tcPr>
          <w:p w14:paraId="40BF5FC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44</w:t>
            </w:r>
          </w:p>
        </w:tc>
        <w:tc>
          <w:tcPr>
            <w:tcW w:w="1029" w:type="dxa"/>
            <w:noWrap/>
            <w:hideMark/>
          </w:tcPr>
          <w:p w14:paraId="08C9D76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56</w:t>
            </w:r>
          </w:p>
        </w:tc>
      </w:tr>
      <w:tr w:rsidR="001404C4" w:rsidRPr="00E8596C" w14:paraId="668AEB29" w14:textId="77777777" w:rsidTr="00F45CC2">
        <w:tc>
          <w:tcPr>
            <w:tcW w:w="2725" w:type="dxa"/>
            <w:noWrap/>
            <w:hideMark/>
          </w:tcPr>
          <w:p w14:paraId="69A74A9A"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xml:space="preserve">WWD </w:t>
            </w:r>
            <w:r>
              <w:rPr>
                <w:rFonts w:asciiTheme="minorHAnsi" w:eastAsia="Times New Roman" w:hAnsiTheme="minorHAnsi" w:cstheme="minorHAnsi"/>
                <w:bCs/>
                <w:sz w:val="18"/>
                <w:szCs w:val="18"/>
                <w:lang w:eastAsia="en-GB"/>
              </w:rPr>
              <w:t>and</w:t>
            </w:r>
            <w:r w:rsidRPr="00E8596C">
              <w:rPr>
                <w:rFonts w:asciiTheme="minorHAnsi" w:eastAsia="Times New Roman" w:hAnsiTheme="minorHAnsi" w:cstheme="minorHAnsi"/>
                <w:bCs/>
                <w:sz w:val="18"/>
                <w:szCs w:val="18"/>
                <w:lang w:eastAsia="en-GB"/>
              </w:rPr>
              <w:t xml:space="preserve"> 50th Anniversary 2021</w:t>
            </w:r>
          </w:p>
        </w:tc>
        <w:tc>
          <w:tcPr>
            <w:tcW w:w="1028" w:type="dxa"/>
            <w:noWrap/>
            <w:hideMark/>
          </w:tcPr>
          <w:p w14:paraId="51E5D9D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79E2525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A7E840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w:t>
            </w:r>
          </w:p>
        </w:tc>
        <w:tc>
          <w:tcPr>
            <w:tcW w:w="1028" w:type="dxa"/>
            <w:noWrap/>
            <w:hideMark/>
          </w:tcPr>
          <w:p w14:paraId="629C4DC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1606C3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w:t>
            </w:r>
          </w:p>
        </w:tc>
        <w:tc>
          <w:tcPr>
            <w:tcW w:w="1028" w:type="dxa"/>
            <w:noWrap/>
            <w:hideMark/>
          </w:tcPr>
          <w:p w14:paraId="0B233D5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w:t>
            </w:r>
          </w:p>
        </w:tc>
        <w:tc>
          <w:tcPr>
            <w:tcW w:w="1029" w:type="dxa"/>
            <w:noWrap/>
            <w:hideMark/>
          </w:tcPr>
          <w:p w14:paraId="61F3F1A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43</w:t>
            </w:r>
          </w:p>
        </w:tc>
      </w:tr>
      <w:tr w:rsidR="001404C4" w:rsidRPr="00E8596C" w14:paraId="23198556" w14:textId="77777777" w:rsidTr="00F45CC2">
        <w:tc>
          <w:tcPr>
            <w:tcW w:w="2725" w:type="dxa"/>
            <w:noWrap/>
            <w:hideMark/>
          </w:tcPr>
          <w:p w14:paraId="7A6C6D04"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Web/IT support and Development</w:t>
            </w:r>
          </w:p>
        </w:tc>
        <w:tc>
          <w:tcPr>
            <w:tcW w:w="1028" w:type="dxa"/>
            <w:noWrap/>
            <w:hideMark/>
          </w:tcPr>
          <w:p w14:paraId="2C9F2C9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84</w:t>
            </w:r>
          </w:p>
        </w:tc>
        <w:tc>
          <w:tcPr>
            <w:tcW w:w="1028" w:type="dxa"/>
            <w:noWrap/>
            <w:hideMark/>
          </w:tcPr>
          <w:p w14:paraId="717E535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164F996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06BBEC6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2687D1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84</w:t>
            </w:r>
          </w:p>
        </w:tc>
        <w:tc>
          <w:tcPr>
            <w:tcW w:w="1028" w:type="dxa"/>
            <w:noWrap/>
            <w:hideMark/>
          </w:tcPr>
          <w:p w14:paraId="2D9491A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60</w:t>
            </w:r>
          </w:p>
        </w:tc>
        <w:tc>
          <w:tcPr>
            <w:tcW w:w="1029" w:type="dxa"/>
            <w:noWrap/>
            <w:hideMark/>
          </w:tcPr>
          <w:p w14:paraId="37A3D46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24</w:t>
            </w:r>
          </w:p>
        </w:tc>
      </w:tr>
      <w:tr w:rsidR="001404C4" w:rsidRPr="00E8596C" w14:paraId="1B36F5FD" w14:textId="77777777" w:rsidTr="00F45CC2">
        <w:tc>
          <w:tcPr>
            <w:tcW w:w="2725" w:type="dxa"/>
            <w:noWrap/>
            <w:hideMark/>
          </w:tcPr>
          <w:p w14:paraId="251CF402"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Travel</w:t>
            </w:r>
          </w:p>
        </w:tc>
        <w:tc>
          <w:tcPr>
            <w:tcW w:w="1028" w:type="dxa"/>
            <w:noWrap/>
            <w:hideMark/>
          </w:tcPr>
          <w:p w14:paraId="62C9BA4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w:t>
            </w:r>
          </w:p>
        </w:tc>
        <w:tc>
          <w:tcPr>
            <w:tcW w:w="1028" w:type="dxa"/>
            <w:noWrap/>
            <w:hideMark/>
          </w:tcPr>
          <w:p w14:paraId="6FFD2A6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9" w:type="dxa"/>
            <w:noWrap/>
            <w:hideMark/>
          </w:tcPr>
          <w:p w14:paraId="5E50E37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60327C6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BDC770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w:t>
            </w:r>
          </w:p>
        </w:tc>
        <w:tc>
          <w:tcPr>
            <w:tcW w:w="1028" w:type="dxa"/>
            <w:noWrap/>
            <w:hideMark/>
          </w:tcPr>
          <w:p w14:paraId="23CE428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ADBBEE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w:t>
            </w:r>
          </w:p>
        </w:tc>
      </w:tr>
      <w:tr w:rsidR="001404C4" w:rsidRPr="00E8596C" w14:paraId="05F49EF6" w14:textId="77777777" w:rsidTr="00F45CC2">
        <w:tc>
          <w:tcPr>
            <w:tcW w:w="2725" w:type="dxa"/>
            <w:shd w:val="clear" w:color="auto" w:fill="EAF1DD" w:themeFill="accent3" w:themeFillTint="33"/>
            <w:noWrap/>
            <w:hideMark/>
          </w:tcPr>
          <w:p w14:paraId="2687B77D"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C.</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Regional Advice and Support</w:t>
            </w:r>
          </w:p>
        </w:tc>
        <w:tc>
          <w:tcPr>
            <w:tcW w:w="1028" w:type="dxa"/>
            <w:shd w:val="clear" w:color="auto" w:fill="EAF1DD" w:themeFill="accent3" w:themeFillTint="33"/>
            <w:noWrap/>
            <w:hideMark/>
          </w:tcPr>
          <w:p w14:paraId="3F97025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1,324</w:t>
            </w:r>
          </w:p>
        </w:tc>
        <w:tc>
          <w:tcPr>
            <w:tcW w:w="1028" w:type="dxa"/>
            <w:shd w:val="clear" w:color="auto" w:fill="EAF1DD" w:themeFill="accent3" w:themeFillTint="33"/>
            <w:noWrap/>
            <w:hideMark/>
          </w:tcPr>
          <w:p w14:paraId="1F4090F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w:t>
            </w:r>
          </w:p>
        </w:tc>
        <w:tc>
          <w:tcPr>
            <w:tcW w:w="1029" w:type="dxa"/>
            <w:shd w:val="clear" w:color="auto" w:fill="EAF1DD" w:themeFill="accent3" w:themeFillTint="33"/>
            <w:noWrap/>
            <w:hideMark/>
          </w:tcPr>
          <w:p w14:paraId="0B069F7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96</w:t>
            </w:r>
          </w:p>
        </w:tc>
        <w:tc>
          <w:tcPr>
            <w:tcW w:w="1028" w:type="dxa"/>
            <w:shd w:val="clear" w:color="auto" w:fill="EAF1DD" w:themeFill="accent3" w:themeFillTint="33"/>
            <w:noWrap/>
            <w:hideMark/>
          </w:tcPr>
          <w:p w14:paraId="1820472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w:t>
            </w:r>
          </w:p>
        </w:tc>
        <w:tc>
          <w:tcPr>
            <w:tcW w:w="1029" w:type="dxa"/>
            <w:shd w:val="clear" w:color="auto" w:fill="EAF1DD" w:themeFill="accent3" w:themeFillTint="33"/>
            <w:noWrap/>
            <w:hideMark/>
          </w:tcPr>
          <w:p w14:paraId="2955D85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1,418</w:t>
            </w:r>
          </w:p>
        </w:tc>
        <w:tc>
          <w:tcPr>
            <w:tcW w:w="1028" w:type="dxa"/>
            <w:shd w:val="clear" w:color="auto" w:fill="EAF1DD" w:themeFill="accent3" w:themeFillTint="33"/>
            <w:noWrap/>
            <w:hideMark/>
          </w:tcPr>
          <w:p w14:paraId="5D5863A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1,170</w:t>
            </w:r>
          </w:p>
        </w:tc>
        <w:tc>
          <w:tcPr>
            <w:tcW w:w="1029" w:type="dxa"/>
            <w:shd w:val="clear" w:color="auto" w:fill="EAF1DD" w:themeFill="accent3" w:themeFillTint="33"/>
            <w:noWrap/>
            <w:hideMark/>
          </w:tcPr>
          <w:p w14:paraId="22F401C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248</w:t>
            </w:r>
          </w:p>
        </w:tc>
      </w:tr>
      <w:tr w:rsidR="001404C4" w:rsidRPr="00E8596C" w14:paraId="4CEE4DF8" w14:textId="77777777" w:rsidTr="00F45CC2">
        <w:tc>
          <w:tcPr>
            <w:tcW w:w="2725" w:type="dxa"/>
            <w:noWrap/>
            <w:hideMark/>
          </w:tcPr>
          <w:p w14:paraId="14830648"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Salaries and social costs</w:t>
            </w:r>
          </w:p>
        </w:tc>
        <w:tc>
          <w:tcPr>
            <w:tcW w:w="1028" w:type="dxa"/>
            <w:noWrap/>
            <w:hideMark/>
          </w:tcPr>
          <w:p w14:paraId="0194B38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1,178</w:t>
            </w:r>
          </w:p>
        </w:tc>
        <w:tc>
          <w:tcPr>
            <w:tcW w:w="1028" w:type="dxa"/>
            <w:noWrap/>
            <w:hideMark/>
          </w:tcPr>
          <w:p w14:paraId="40B709F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905579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6CFE168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AB2BDE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1,178</w:t>
            </w:r>
          </w:p>
        </w:tc>
        <w:tc>
          <w:tcPr>
            <w:tcW w:w="1028" w:type="dxa"/>
            <w:noWrap/>
            <w:hideMark/>
          </w:tcPr>
          <w:p w14:paraId="662C8C8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1,087</w:t>
            </w:r>
          </w:p>
        </w:tc>
        <w:tc>
          <w:tcPr>
            <w:tcW w:w="1029" w:type="dxa"/>
            <w:noWrap/>
            <w:hideMark/>
          </w:tcPr>
          <w:p w14:paraId="56170A2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w:t>
            </w:r>
          </w:p>
        </w:tc>
      </w:tr>
      <w:tr w:rsidR="001404C4" w:rsidRPr="00E8596C" w14:paraId="7E192BFA" w14:textId="77777777" w:rsidTr="00F45CC2">
        <w:tc>
          <w:tcPr>
            <w:tcW w:w="2725" w:type="dxa"/>
            <w:noWrap/>
            <w:hideMark/>
          </w:tcPr>
          <w:p w14:paraId="6D31F2F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Other employment benefits</w:t>
            </w:r>
          </w:p>
        </w:tc>
        <w:tc>
          <w:tcPr>
            <w:tcW w:w="1028" w:type="dxa"/>
            <w:noWrap/>
            <w:hideMark/>
          </w:tcPr>
          <w:p w14:paraId="3042DFB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71</w:t>
            </w:r>
          </w:p>
        </w:tc>
        <w:tc>
          <w:tcPr>
            <w:tcW w:w="1028" w:type="dxa"/>
            <w:noWrap/>
            <w:hideMark/>
          </w:tcPr>
          <w:p w14:paraId="108C942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C1C192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5CFE7CA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A002FF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71</w:t>
            </w:r>
          </w:p>
        </w:tc>
        <w:tc>
          <w:tcPr>
            <w:tcW w:w="1028" w:type="dxa"/>
            <w:noWrap/>
            <w:hideMark/>
          </w:tcPr>
          <w:p w14:paraId="643DCE4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w:t>
            </w:r>
          </w:p>
        </w:tc>
        <w:tc>
          <w:tcPr>
            <w:tcW w:w="1029" w:type="dxa"/>
            <w:noWrap/>
            <w:hideMark/>
          </w:tcPr>
          <w:p w14:paraId="321F840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40</w:t>
            </w:r>
          </w:p>
        </w:tc>
      </w:tr>
      <w:tr w:rsidR="001404C4" w:rsidRPr="00E8596C" w14:paraId="54B1A52C" w14:textId="77777777" w:rsidTr="00F45CC2">
        <w:tc>
          <w:tcPr>
            <w:tcW w:w="2725" w:type="dxa"/>
            <w:noWrap/>
            <w:hideMark/>
          </w:tcPr>
          <w:p w14:paraId="26B90670"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Travel</w:t>
            </w:r>
          </w:p>
        </w:tc>
        <w:tc>
          <w:tcPr>
            <w:tcW w:w="1028" w:type="dxa"/>
            <w:noWrap/>
            <w:hideMark/>
          </w:tcPr>
          <w:p w14:paraId="2338D0D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75</w:t>
            </w:r>
          </w:p>
        </w:tc>
        <w:tc>
          <w:tcPr>
            <w:tcW w:w="1028" w:type="dxa"/>
            <w:noWrap/>
            <w:hideMark/>
          </w:tcPr>
          <w:p w14:paraId="55B01C3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w:t>
            </w:r>
          </w:p>
        </w:tc>
        <w:tc>
          <w:tcPr>
            <w:tcW w:w="1029" w:type="dxa"/>
            <w:noWrap/>
            <w:hideMark/>
          </w:tcPr>
          <w:p w14:paraId="6036996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29A9070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w:t>
            </w:r>
          </w:p>
        </w:tc>
        <w:tc>
          <w:tcPr>
            <w:tcW w:w="1029" w:type="dxa"/>
            <w:noWrap/>
            <w:hideMark/>
          </w:tcPr>
          <w:p w14:paraId="54803B6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73</w:t>
            </w:r>
          </w:p>
        </w:tc>
        <w:tc>
          <w:tcPr>
            <w:tcW w:w="1028" w:type="dxa"/>
            <w:noWrap/>
            <w:hideMark/>
          </w:tcPr>
          <w:p w14:paraId="5673319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52</w:t>
            </w:r>
          </w:p>
        </w:tc>
        <w:tc>
          <w:tcPr>
            <w:tcW w:w="1029" w:type="dxa"/>
            <w:noWrap/>
            <w:hideMark/>
          </w:tcPr>
          <w:p w14:paraId="1C43160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21</w:t>
            </w:r>
          </w:p>
        </w:tc>
      </w:tr>
      <w:tr w:rsidR="001404C4" w:rsidRPr="00E8596C" w14:paraId="5589C5B9" w14:textId="77777777" w:rsidTr="00F45CC2">
        <w:tc>
          <w:tcPr>
            <w:tcW w:w="2725" w:type="dxa"/>
            <w:noWrap/>
            <w:hideMark/>
          </w:tcPr>
          <w:p w14:paraId="3E1A6885"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Ramsar Advisory Missions</w:t>
            </w:r>
          </w:p>
        </w:tc>
        <w:tc>
          <w:tcPr>
            <w:tcW w:w="1028" w:type="dxa"/>
            <w:noWrap/>
            <w:hideMark/>
          </w:tcPr>
          <w:p w14:paraId="1628808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2AD65B3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C76D12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96</w:t>
            </w:r>
          </w:p>
        </w:tc>
        <w:tc>
          <w:tcPr>
            <w:tcW w:w="1028" w:type="dxa"/>
            <w:noWrap/>
            <w:hideMark/>
          </w:tcPr>
          <w:p w14:paraId="7541D20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922434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96</w:t>
            </w:r>
          </w:p>
        </w:tc>
        <w:tc>
          <w:tcPr>
            <w:tcW w:w="1028" w:type="dxa"/>
            <w:noWrap/>
            <w:hideMark/>
          </w:tcPr>
          <w:p w14:paraId="327D0A8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20A05B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96</w:t>
            </w:r>
          </w:p>
        </w:tc>
      </w:tr>
      <w:tr w:rsidR="001404C4" w:rsidRPr="00E8596C" w14:paraId="30D6CCC1" w14:textId="77777777" w:rsidTr="00F45CC2">
        <w:tc>
          <w:tcPr>
            <w:tcW w:w="2725" w:type="dxa"/>
            <w:shd w:val="clear" w:color="auto" w:fill="EAF1DD" w:themeFill="accent3" w:themeFillTint="33"/>
            <w:noWrap/>
            <w:hideMark/>
          </w:tcPr>
          <w:p w14:paraId="2173234D"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D.</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Support to Regional Initiatives</w:t>
            </w:r>
          </w:p>
        </w:tc>
        <w:tc>
          <w:tcPr>
            <w:tcW w:w="1028" w:type="dxa"/>
            <w:shd w:val="clear" w:color="auto" w:fill="EAF1DD" w:themeFill="accent3" w:themeFillTint="33"/>
            <w:noWrap/>
            <w:hideMark/>
          </w:tcPr>
          <w:p w14:paraId="591E0A5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100</w:t>
            </w:r>
          </w:p>
        </w:tc>
        <w:tc>
          <w:tcPr>
            <w:tcW w:w="1028" w:type="dxa"/>
            <w:shd w:val="clear" w:color="auto" w:fill="EAF1DD" w:themeFill="accent3" w:themeFillTint="33"/>
            <w:noWrap/>
            <w:hideMark/>
          </w:tcPr>
          <w:p w14:paraId="707F0BA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54F02A3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89</w:t>
            </w:r>
          </w:p>
        </w:tc>
        <w:tc>
          <w:tcPr>
            <w:tcW w:w="1028" w:type="dxa"/>
            <w:shd w:val="clear" w:color="auto" w:fill="EAF1DD" w:themeFill="accent3" w:themeFillTint="33"/>
            <w:noWrap/>
            <w:hideMark/>
          </w:tcPr>
          <w:p w14:paraId="1C91552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0E7BAD3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189</w:t>
            </w:r>
          </w:p>
        </w:tc>
        <w:tc>
          <w:tcPr>
            <w:tcW w:w="1028" w:type="dxa"/>
            <w:shd w:val="clear" w:color="auto" w:fill="EAF1DD" w:themeFill="accent3" w:themeFillTint="33"/>
            <w:noWrap/>
            <w:hideMark/>
          </w:tcPr>
          <w:p w14:paraId="39B0720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82</w:t>
            </w:r>
          </w:p>
        </w:tc>
        <w:tc>
          <w:tcPr>
            <w:tcW w:w="1029" w:type="dxa"/>
            <w:shd w:val="clear" w:color="auto" w:fill="EAF1DD" w:themeFill="accent3" w:themeFillTint="33"/>
            <w:noWrap/>
            <w:hideMark/>
          </w:tcPr>
          <w:p w14:paraId="4113D4C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107</w:t>
            </w:r>
          </w:p>
        </w:tc>
      </w:tr>
      <w:tr w:rsidR="001404C4" w:rsidRPr="00E8596C" w14:paraId="3E77A2E2" w14:textId="77777777" w:rsidTr="00F45CC2">
        <w:tc>
          <w:tcPr>
            <w:tcW w:w="2725" w:type="dxa"/>
            <w:noWrap/>
            <w:hideMark/>
          </w:tcPr>
          <w:p w14:paraId="3B79E89F"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xml:space="preserve">RI WG Res. XIII.9,p9 </w:t>
            </w:r>
            <w:r>
              <w:rPr>
                <w:rFonts w:asciiTheme="minorHAnsi" w:eastAsia="Times New Roman" w:hAnsiTheme="minorHAnsi" w:cstheme="minorHAnsi"/>
                <w:bCs/>
                <w:sz w:val="18"/>
                <w:szCs w:val="18"/>
                <w:lang w:eastAsia="en-GB"/>
              </w:rPr>
              <w:t>and</w:t>
            </w:r>
            <w:r w:rsidRPr="00E8596C">
              <w:rPr>
                <w:rFonts w:asciiTheme="minorHAnsi" w:eastAsia="Times New Roman" w:hAnsiTheme="minorHAnsi" w:cstheme="minorHAnsi"/>
                <w:bCs/>
                <w:sz w:val="18"/>
                <w:szCs w:val="18"/>
                <w:lang w:eastAsia="en-GB"/>
              </w:rPr>
              <w:t xml:space="preserve"> Capacity Building</w:t>
            </w:r>
          </w:p>
        </w:tc>
        <w:tc>
          <w:tcPr>
            <w:tcW w:w="1028" w:type="dxa"/>
            <w:noWrap/>
            <w:hideMark/>
          </w:tcPr>
          <w:p w14:paraId="4EDDF3C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3DEE9B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9B9276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46</w:t>
            </w:r>
          </w:p>
        </w:tc>
        <w:tc>
          <w:tcPr>
            <w:tcW w:w="1028" w:type="dxa"/>
            <w:noWrap/>
            <w:hideMark/>
          </w:tcPr>
          <w:p w14:paraId="1F29D2B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286969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46</w:t>
            </w:r>
          </w:p>
        </w:tc>
        <w:tc>
          <w:tcPr>
            <w:tcW w:w="1028" w:type="dxa"/>
            <w:noWrap/>
            <w:hideMark/>
          </w:tcPr>
          <w:p w14:paraId="204B26D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E1D209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46</w:t>
            </w:r>
          </w:p>
        </w:tc>
      </w:tr>
      <w:tr w:rsidR="001404C4" w:rsidRPr="00E8596C" w14:paraId="552D319C" w14:textId="77777777" w:rsidTr="00F45CC2">
        <w:tc>
          <w:tcPr>
            <w:tcW w:w="2725" w:type="dxa"/>
            <w:noWrap/>
            <w:hideMark/>
          </w:tcPr>
          <w:p w14:paraId="0EB09F22"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Activity 1: Senegal Basin</w:t>
            </w:r>
          </w:p>
        </w:tc>
        <w:tc>
          <w:tcPr>
            <w:tcW w:w="1028" w:type="dxa"/>
            <w:noWrap/>
            <w:hideMark/>
          </w:tcPr>
          <w:p w14:paraId="28D5857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25</w:t>
            </w:r>
          </w:p>
        </w:tc>
        <w:tc>
          <w:tcPr>
            <w:tcW w:w="1028" w:type="dxa"/>
            <w:noWrap/>
            <w:hideMark/>
          </w:tcPr>
          <w:p w14:paraId="226DDCD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BBE80F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w:t>
            </w:r>
          </w:p>
        </w:tc>
        <w:tc>
          <w:tcPr>
            <w:tcW w:w="1028" w:type="dxa"/>
            <w:noWrap/>
            <w:hideMark/>
          </w:tcPr>
          <w:p w14:paraId="06677C6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(25)</w:t>
            </w:r>
          </w:p>
        </w:tc>
        <w:tc>
          <w:tcPr>
            <w:tcW w:w="1029" w:type="dxa"/>
            <w:noWrap/>
            <w:hideMark/>
          </w:tcPr>
          <w:p w14:paraId="4B1C0CB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w:t>
            </w:r>
          </w:p>
        </w:tc>
        <w:tc>
          <w:tcPr>
            <w:tcW w:w="1028" w:type="dxa"/>
            <w:noWrap/>
            <w:hideMark/>
          </w:tcPr>
          <w:p w14:paraId="0E2113D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w:t>
            </w:r>
          </w:p>
        </w:tc>
        <w:tc>
          <w:tcPr>
            <w:tcW w:w="1029" w:type="dxa"/>
            <w:noWrap/>
            <w:hideMark/>
          </w:tcPr>
          <w:p w14:paraId="2602D18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08583ADE" w14:textId="77777777" w:rsidTr="00F45CC2">
        <w:tc>
          <w:tcPr>
            <w:tcW w:w="2725" w:type="dxa"/>
            <w:noWrap/>
            <w:hideMark/>
          </w:tcPr>
          <w:p w14:paraId="41D51A65"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Activity 2: Amazon Basin</w:t>
            </w:r>
          </w:p>
        </w:tc>
        <w:tc>
          <w:tcPr>
            <w:tcW w:w="1028" w:type="dxa"/>
            <w:noWrap/>
            <w:hideMark/>
          </w:tcPr>
          <w:p w14:paraId="27625DA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25</w:t>
            </w:r>
          </w:p>
        </w:tc>
        <w:tc>
          <w:tcPr>
            <w:tcW w:w="1028" w:type="dxa"/>
            <w:noWrap/>
            <w:hideMark/>
          </w:tcPr>
          <w:p w14:paraId="03B0662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14CAC4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34</w:t>
            </w:r>
          </w:p>
        </w:tc>
        <w:tc>
          <w:tcPr>
            <w:tcW w:w="1028" w:type="dxa"/>
            <w:noWrap/>
            <w:hideMark/>
          </w:tcPr>
          <w:p w14:paraId="157926A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w:t>
            </w:r>
          </w:p>
        </w:tc>
        <w:tc>
          <w:tcPr>
            <w:tcW w:w="1029" w:type="dxa"/>
            <w:noWrap/>
            <w:hideMark/>
          </w:tcPr>
          <w:p w14:paraId="63CBF9B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68</w:t>
            </w:r>
          </w:p>
        </w:tc>
        <w:tc>
          <w:tcPr>
            <w:tcW w:w="1028" w:type="dxa"/>
            <w:noWrap/>
            <w:hideMark/>
          </w:tcPr>
          <w:p w14:paraId="23375AF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w:t>
            </w:r>
          </w:p>
        </w:tc>
        <w:tc>
          <w:tcPr>
            <w:tcW w:w="1029" w:type="dxa"/>
            <w:noWrap/>
            <w:hideMark/>
          </w:tcPr>
          <w:p w14:paraId="1DA970C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61</w:t>
            </w:r>
          </w:p>
        </w:tc>
      </w:tr>
      <w:tr w:rsidR="001404C4" w:rsidRPr="00E8596C" w14:paraId="27B6DE32" w14:textId="77777777" w:rsidTr="00F45CC2">
        <w:tc>
          <w:tcPr>
            <w:tcW w:w="2725" w:type="dxa"/>
            <w:noWrap/>
            <w:hideMark/>
          </w:tcPr>
          <w:p w14:paraId="3BD70F72"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Activity 3: Central Asia</w:t>
            </w:r>
          </w:p>
        </w:tc>
        <w:tc>
          <w:tcPr>
            <w:tcW w:w="1028" w:type="dxa"/>
            <w:noWrap/>
            <w:hideMark/>
          </w:tcPr>
          <w:p w14:paraId="4478561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25</w:t>
            </w:r>
          </w:p>
        </w:tc>
        <w:tc>
          <w:tcPr>
            <w:tcW w:w="1028" w:type="dxa"/>
            <w:noWrap/>
            <w:hideMark/>
          </w:tcPr>
          <w:p w14:paraId="578C7E3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3D3AC9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2A922E0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w:t>
            </w:r>
          </w:p>
        </w:tc>
        <w:tc>
          <w:tcPr>
            <w:tcW w:w="1029" w:type="dxa"/>
            <w:noWrap/>
            <w:hideMark/>
          </w:tcPr>
          <w:p w14:paraId="44FC62F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33</w:t>
            </w:r>
          </w:p>
        </w:tc>
        <w:tc>
          <w:tcPr>
            <w:tcW w:w="1028" w:type="dxa"/>
            <w:noWrap/>
            <w:hideMark/>
          </w:tcPr>
          <w:p w14:paraId="216E505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33</w:t>
            </w:r>
          </w:p>
        </w:tc>
        <w:tc>
          <w:tcPr>
            <w:tcW w:w="1029" w:type="dxa"/>
            <w:noWrap/>
            <w:hideMark/>
          </w:tcPr>
          <w:p w14:paraId="200CD79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601B044F" w14:textId="77777777" w:rsidTr="00F45CC2">
        <w:tc>
          <w:tcPr>
            <w:tcW w:w="2725" w:type="dxa"/>
            <w:noWrap/>
            <w:hideMark/>
          </w:tcPr>
          <w:p w14:paraId="2D76FC0E"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Activity 4: Indo-Burma</w:t>
            </w:r>
          </w:p>
        </w:tc>
        <w:tc>
          <w:tcPr>
            <w:tcW w:w="1028" w:type="dxa"/>
            <w:noWrap/>
            <w:hideMark/>
          </w:tcPr>
          <w:p w14:paraId="48B0816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25</w:t>
            </w:r>
          </w:p>
        </w:tc>
        <w:tc>
          <w:tcPr>
            <w:tcW w:w="1028" w:type="dxa"/>
            <w:noWrap/>
            <w:hideMark/>
          </w:tcPr>
          <w:p w14:paraId="3660F78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103D45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4AF634E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w:t>
            </w:r>
          </w:p>
        </w:tc>
        <w:tc>
          <w:tcPr>
            <w:tcW w:w="1029" w:type="dxa"/>
            <w:noWrap/>
            <w:hideMark/>
          </w:tcPr>
          <w:p w14:paraId="62590C5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33</w:t>
            </w:r>
          </w:p>
        </w:tc>
        <w:tc>
          <w:tcPr>
            <w:tcW w:w="1028" w:type="dxa"/>
            <w:noWrap/>
            <w:hideMark/>
          </w:tcPr>
          <w:p w14:paraId="0D3C225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33</w:t>
            </w:r>
          </w:p>
        </w:tc>
        <w:tc>
          <w:tcPr>
            <w:tcW w:w="1029" w:type="dxa"/>
            <w:noWrap/>
            <w:hideMark/>
          </w:tcPr>
          <w:p w14:paraId="56FDC27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3199B6CD" w14:textId="77777777" w:rsidTr="00F45CC2">
        <w:tc>
          <w:tcPr>
            <w:tcW w:w="2725" w:type="dxa"/>
            <w:shd w:val="clear" w:color="auto" w:fill="EAF1DD" w:themeFill="accent3" w:themeFillTint="33"/>
            <w:noWrap/>
            <w:hideMark/>
          </w:tcPr>
          <w:p w14:paraId="07812ECF"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E.</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Scientific and Technical Services</w:t>
            </w:r>
          </w:p>
        </w:tc>
        <w:tc>
          <w:tcPr>
            <w:tcW w:w="1028" w:type="dxa"/>
            <w:shd w:val="clear" w:color="auto" w:fill="EAF1DD" w:themeFill="accent3" w:themeFillTint="33"/>
            <w:noWrap/>
            <w:hideMark/>
          </w:tcPr>
          <w:p w14:paraId="01ED621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754</w:t>
            </w:r>
          </w:p>
        </w:tc>
        <w:tc>
          <w:tcPr>
            <w:tcW w:w="1028" w:type="dxa"/>
            <w:shd w:val="clear" w:color="auto" w:fill="EAF1DD" w:themeFill="accent3" w:themeFillTint="33"/>
            <w:noWrap/>
            <w:hideMark/>
          </w:tcPr>
          <w:p w14:paraId="0AD8CA4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9" w:type="dxa"/>
            <w:shd w:val="clear" w:color="auto" w:fill="EAF1DD" w:themeFill="accent3" w:themeFillTint="33"/>
            <w:noWrap/>
            <w:hideMark/>
          </w:tcPr>
          <w:p w14:paraId="39D3AE1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164</w:t>
            </w:r>
          </w:p>
        </w:tc>
        <w:tc>
          <w:tcPr>
            <w:tcW w:w="1028" w:type="dxa"/>
            <w:shd w:val="clear" w:color="auto" w:fill="EAF1DD" w:themeFill="accent3" w:themeFillTint="33"/>
            <w:noWrap/>
            <w:hideMark/>
          </w:tcPr>
          <w:p w14:paraId="08CA01E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w:t>
            </w:r>
          </w:p>
        </w:tc>
        <w:tc>
          <w:tcPr>
            <w:tcW w:w="1029" w:type="dxa"/>
            <w:shd w:val="clear" w:color="auto" w:fill="EAF1DD" w:themeFill="accent3" w:themeFillTint="33"/>
            <w:noWrap/>
            <w:hideMark/>
          </w:tcPr>
          <w:p w14:paraId="48B80B3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935</w:t>
            </w:r>
          </w:p>
        </w:tc>
        <w:tc>
          <w:tcPr>
            <w:tcW w:w="1028" w:type="dxa"/>
            <w:shd w:val="clear" w:color="auto" w:fill="EAF1DD" w:themeFill="accent3" w:themeFillTint="33"/>
            <w:noWrap/>
            <w:hideMark/>
          </w:tcPr>
          <w:p w14:paraId="5793AA2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669</w:t>
            </w:r>
          </w:p>
        </w:tc>
        <w:tc>
          <w:tcPr>
            <w:tcW w:w="1029" w:type="dxa"/>
            <w:shd w:val="clear" w:color="auto" w:fill="EAF1DD" w:themeFill="accent3" w:themeFillTint="33"/>
            <w:noWrap/>
            <w:hideMark/>
          </w:tcPr>
          <w:p w14:paraId="56F289B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266</w:t>
            </w:r>
          </w:p>
        </w:tc>
      </w:tr>
      <w:tr w:rsidR="001404C4" w:rsidRPr="00E8596C" w14:paraId="13AC539C" w14:textId="77777777" w:rsidTr="00F45CC2">
        <w:tc>
          <w:tcPr>
            <w:tcW w:w="2725" w:type="dxa"/>
            <w:noWrap/>
            <w:hideMark/>
          </w:tcPr>
          <w:p w14:paraId="7106AC5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Salaries and social costs</w:t>
            </w:r>
          </w:p>
        </w:tc>
        <w:tc>
          <w:tcPr>
            <w:tcW w:w="1028" w:type="dxa"/>
            <w:noWrap/>
            <w:hideMark/>
          </w:tcPr>
          <w:p w14:paraId="280E659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559</w:t>
            </w:r>
          </w:p>
        </w:tc>
        <w:tc>
          <w:tcPr>
            <w:tcW w:w="1028" w:type="dxa"/>
            <w:noWrap/>
            <w:hideMark/>
          </w:tcPr>
          <w:p w14:paraId="4B5C1F8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833724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58B4435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1688653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559</w:t>
            </w:r>
          </w:p>
        </w:tc>
        <w:tc>
          <w:tcPr>
            <w:tcW w:w="1028" w:type="dxa"/>
            <w:noWrap/>
            <w:hideMark/>
          </w:tcPr>
          <w:p w14:paraId="09A04F3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528</w:t>
            </w:r>
          </w:p>
        </w:tc>
        <w:tc>
          <w:tcPr>
            <w:tcW w:w="1029" w:type="dxa"/>
            <w:noWrap/>
            <w:hideMark/>
          </w:tcPr>
          <w:p w14:paraId="660CC9F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w:t>
            </w:r>
          </w:p>
        </w:tc>
      </w:tr>
      <w:tr w:rsidR="001404C4" w:rsidRPr="00E8596C" w14:paraId="5D18232D" w14:textId="77777777" w:rsidTr="00F45CC2">
        <w:tc>
          <w:tcPr>
            <w:tcW w:w="2725" w:type="dxa"/>
            <w:noWrap/>
            <w:hideMark/>
          </w:tcPr>
          <w:p w14:paraId="5510437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Other employment benefits</w:t>
            </w:r>
          </w:p>
        </w:tc>
        <w:tc>
          <w:tcPr>
            <w:tcW w:w="1028" w:type="dxa"/>
            <w:noWrap/>
            <w:hideMark/>
          </w:tcPr>
          <w:p w14:paraId="6BF9041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w:t>
            </w:r>
          </w:p>
        </w:tc>
        <w:tc>
          <w:tcPr>
            <w:tcW w:w="1028" w:type="dxa"/>
            <w:noWrap/>
            <w:hideMark/>
          </w:tcPr>
          <w:p w14:paraId="4B1FF59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41CD9D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01DE44A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6FDA1C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w:t>
            </w:r>
          </w:p>
        </w:tc>
        <w:tc>
          <w:tcPr>
            <w:tcW w:w="1028" w:type="dxa"/>
            <w:noWrap/>
            <w:hideMark/>
          </w:tcPr>
          <w:p w14:paraId="0B35001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w:t>
            </w:r>
          </w:p>
        </w:tc>
        <w:tc>
          <w:tcPr>
            <w:tcW w:w="1029" w:type="dxa"/>
            <w:noWrap/>
            <w:hideMark/>
          </w:tcPr>
          <w:p w14:paraId="0B51D2F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w:t>
            </w:r>
          </w:p>
        </w:tc>
      </w:tr>
      <w:tr w:rsidR="001404C4" w:rsidRPr="00E8596C" w14:paraId="7477B7AB" w14:textId="77777777" w:rsidTr="00F45CC2">
        <w:tc>
          <w:tcPr>
            <w:tcW w:w="2725" w:type="dxa"/>
            <w:noWrap/>
            <w:hideMark/>
          </w:tcPr>
          <w:p w14:paraId="020A6B70"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lastRenderedPageBreak/>
              <w:t>Travel</w:t>
            </w:r>
          </w:p>
        </w:tc>
        <w:tc>
          <w:tcPr>
            <w:tcW w:w="1028" w:type="dxa"/>
            <w:noWrap/>
            <w:hideMark/>
          </w:tcPr>
          <w:p w14:paraId="64C8655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w:t>
            </w:r>
          </w:p>
        </w:tc>
        <w:tc>
          <w:tcPr>
            <w:tcW w:w="1028" w:type="dxa"/>
            <w:noWrap/>
            <w:hideMark/>
          </w:tcPr>
          <w:p w14:paraId="76E51A5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E307AF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4EAE74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w:t>
            </w:r>
          </w:p>
        </w:tc>
        <w:tc>
          <w:tcPr>
            <w:tcW w:w="1029" w:type="dxa"/>
            <w:noWrap/>
            <w:hideMark/>
          </w:tcPr>
          <w:p w14:paraId="32B8089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w:t>
            </w:r>
          </w:p>
        </w:tc>
        <w:tc>
          <w:tcPr>
            <w:tcW w:w="1028" w:type="dxa"/>
            <w:noWrap/>
            <w:hideMark/>
          </w:tcPr>
          <w:p w14:paraId="592EEC6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w:t>
            </w:r>
          </w:p>
        </w:tc>
        <w:tc>
          <w:tcPr>
            <w:tcW w:w="1029" w:type="dxa"/>
            <w:noWrap/>
            <w:hideMark/>
          </w:tcPr>
          <w:p w14:paraId="78306AA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14ED03F7" w14:textId="77777777" w:rsidTr="00F45CC2">
        <w:tc>
          <w:tcPr>
            <w:tcW w:w="2725" w:type="dxa"/>
            <w:noWrap/>
            <w:hideMark/>
          </w:tcPr>
          <w:p w14:paraId="2FCE0DD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Travel STRP Chair</w:t>
            </w:r>
          </w:p>
        </w:tc>
        <w:tc>
          <w:tcPr>
            <w:tcW w:w="1028" w:type="dxa"/>
            <w:noWrap/>
            <w:hideMark/>
          </w:tcPr>
          <w:p w14:paraId="0EF5A82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8" w:type="dxa"/>
            <w:noWrap/>
            <w:hideMark/>
          </w:tcPr>
          <w:p w14:paraId="0141B39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093A19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4AABE43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F600C8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8" w:type="dxa"/>
            <w:noWrap/>
            <w:hideMark/>
          </w:tcPr>
          <w:p w14:paraId="62CD16A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w:t>
            </w:r>
          </w:p>
        </w:tc>
        <w:tc>
          <w:tcPr>
            <w:tcW w:w="1029" w:type="dxa"/>
            <w:noWrap/>
            <w:hideMark/>
          </w:tcPr>
          <w:p w14:paraId="70EB7B7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w:t>
            </w:r>
          </w:p>
        </w:tc>
      </w:tr>
      <w:tr w:rsidR="001404C4" w:rsidRPr="00E8596C" w14:paraId="7018EDFE" w14:textId="77777777" w:rsidTr="00F45CC2">
        <w:tc>
          <w:tcPr>
            <w:tcW w:w="2725" w:type="dxa"/>
            <w:noWrap/>
            <w:hideMark/>
          </w:tcPr>
          <w:p w14:paraId="63BDCBF5"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STRP implementation</w:t>
            </w:r>
          </w:p>
        </w:tc>
        <w:tc>
          <w:tcPr>
            <w:tcW w:w="1028" w:type="dxa"/>
            <w:noWrap/>
            <w:hideMark/>
          </w:tcPr>
          <w:p w14:paraId="03465CC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35</w:t>
            </w:r>
          </w:p>
        </w:tc>
        <w:tc>
          <w:tcPr>
            <w:tcW w:w="1028" w:type="dxa"/>
            <w:noWrap/>
            <w:hideMark/>
          </w:tcPr>
          <w:p w14:paraId="3D632CC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c>
          <w:tcPr>
            <w:tcW w:w="1029" w:type="dxa"/>
            <w:noWrap/>
            <w:hideMark/>
          </w:tcPr>
          <w:p w14:paraId="20B9448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7E87D4E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BFF692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40</w:t>
            </w:r>
          </w:p>
        </w:tc>
        <w:tc>
          <w:tcPr>
            <w:tcW w:w="1028" w:type="dxa"/>
            <w:noWrap/>
            <w:hideMark/>
          </w:tcPr>
          <w:p w14:paraId="5072B34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w:t>
            </w:r>
          </w:p>
        </w:tc>
        <w:tc>
          <w:tcPr>
            <w:tcW w:w="1029" w:type="dxa"/>
            <w:noWrap/>
            <w:hideMark/>
          </w:tcPr>
          <w:p w14:paraId="5B553D2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w:t>
            </w:r>
          </w:p>
        </w:tc>
      </w:tr>
      <w:tr w:rsidR="001404C4" w:rsidRPr="00E8596C" w14:paraId="2FAF374D" w14:textId="77777777" w:rsidTr="00F45CC2">
        <w:tc>
          <w:tcPr>
            <w:tcW w:w="2725" w:type="dxa"/>
            <w:noWrap/>
            <w:hideMark/>
          </w:tcPr>
          <w:p w14:paraId="076F12C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STRP meetings</w:t>
            </w:r>
          </w:p>
        </w:tc>
        <w:tc>
          <w:tcPr>
            <w:tcW w:w="1028" w:type="dxa"/>
            <w:noWrap/>
            <w:hideMark/>
          </w:tcPr>
          <w:p w14:paraId="4B30062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50</w:t>
            </w:r>
          </w:p>
        </w:tc>
        <w:tc>
          <w:tcPr>
            <w:tcW w:w="1028" w:type="dxa"/>
            <w:noWrap/>
            <w:hideMark/>
          </w:tcPr>
          <w:p w14:paraId="0C69DAC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3FB6D8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6FA6587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B9DC24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50</w:t>
            </w:r>
          </w:p>
        </w:tc>
        <w:tc>
          <w:tcPr>
            <w:tcW w:w="1028" w:type="dxa"/>
            <w:noWrap/>
            <w:hideMark/>
          </w:tcPr>
          <w:p w14:paraId="4E33C66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34</w:t>
            </w:r>
          </w:p>
        </w:tc>
        <w:tc>
          <w:tcPr>
            <w:tcW w:w="1029" w:type="dxa"/>
            <w:noWrap/>
            <w:hideMark/>
          </w:tcPr>
          <w:p w14:paraId="33506E9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16</w:t>
            </w:r>
          </w:p>
        </w:tc>
      </w:tr>
      <w:tr w:rsidR="001404C4" w:rsidRPr="00E8596C" w14:paraId="41D4918B" w14:textId="77777777" w:rsidTr="00F45CC2">
        <w:tc>
          <w:tcPr>
            <w:tcW w:w="2725" w:type="dxa"/>
            <w:noWrap/>
            <w:hideMark/>
          </w:tcPr>
          <w:p w14:paraId="6FE9516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Strategic Plan (2019 - 2021)</w:t>
            </w:r>
          </w:p>
        </w:tc>
        <w:tc>
          <w:tcPr>
            <w:tcW w:w="1028" w:type="dxa"/>
            <w:noWrap/>
            <w:hideMark/>
          </w:tcPr>
          <w:p w14:paraId="64E49A6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10383D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EE5613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44</w:t>
            </w:r>
          </w:p>
        </w:tc>
        <w:tc>
          <w:tcPr>
            <w:tcW w:w="1028" w:type="dxa"/>
            <w:noWrap/>
            <w:hideMark/>
          </w:tcPr>
          <w:p w14:paraId="70D0395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F35039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44</w:t>
            </w:r>
          </w:p>
        </w:tc>
        <w:tc>
          <w:tcPr>
            <w:tcW w:w="1028" w:type="dxa"/>
            <w:noWrap/>
            <w:hideMark/>
          </w:tcPr>
          <w:p w14:paraId="2FD7A63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w:t>
            </w:r>
          </w:p>
        </w:tc>
        <w:tc>
          <w:tcPr>
            <w:tcW w:w="1029" w:type="dxa"/>
            <w:noWrap/>
            <w:hideMark/>
          </w:tcPr>
          <w:p w14:paraId="7F10C7F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29</w:t>
            </w:r>
          </w:p>
        </w:tc>
      </w:tr>
      <w:tr w:rsidR="001404C4" w:rsidRPr="00E8596C" w14:paraId="13048DAC" w14:textId="77777777" w:rsidTr="00F45CC2">
        <w:tc>
          <w:tcPr>
            <w:tcW w:w="2725" w:type="dxa"/>
            <w:noWrap/>
            <w:hideMark/>
          </w:tcPr>
          <w:p w14:paraId="12E0658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SDG 6.61 (Inventories)</w:t>
            </w:r>
          </w:p>
        </w:tc>
        <w:tc>
          <w:tcPr>
            <w:tcW w:w="1028" w:type="dxa"/>
            <w:noWrap/>
            <w:hideMark/>
          </w:tcPr>
          <w:p w14:paraId="45A3B25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3FD028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C56CFD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120</w:t>
            </w:r>
          </w:p>
        </w:tc>
        <w:tc>
          <w:tcPr>
            <w:tcW w:w="1028" w:type="dxa"/>
            <w:noWrap/>
            <w:hideMark/>
          </w:tcPr>
          <w:p w14:paraId="7970E41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AEB36E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120</w:t>
            </w:r>
          </w:p>
        </w:tc>
        <w:tc>
          <w:tcPr>
            <w:tcW w:w="1028" w:type="dxa"/>
            <w:noWrap/>
            <w:hideMark/>
          </w:tcPr>
          <w:p w14:paraId="2CA5E8C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29</w:t>
            </w:r>
          </w:p>
        </w:tc>
        <w:tc>
          <w:tcPr>
            <w:tcW w:w="1029" w:type="dxa"/>
            <w:noWrap/>
            <w:hideMark/>
          </w:tcPr>
          <w:p w14:paraId="73E0D2D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w:t>
            </w:r>
          </w:p>
        </w:tc>
      </w:tr>
      <w:tr w:rsidR="001404C4" w:rsidRPr="00E8596C" w14:paraId="0344AC81" w14:textId="77777777" w:rsidTr="00F45CC2">
        <w:tc>
          <w:tcPr>
            <w:tcW w:w="2725" w:type="dxa"/>
            <w:noWrap/>
            <w:hideMark/>
          </w:tcPr>
          <w:p w14:paraId="30BBA8C5"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Ramsar Sites Information Service (maintenance and develop)</w:t>
            </w:r>
          </w:p>
        </w:tc>
        <w:tc>
          <w:tcPr>
            <w:tcW w:w="1028" w:type="dxa"/>
            <w:noWrap/>
            <w:hideMark/>
          </w:tcPr>
          <w:p w14:paraId="2A466AA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w:t>
            </w:r>
          </w:p>
        </w:tc>
        <w:tc>
          <w:tcPr>
            <w:tcW w:w="1028" w:type="dxa"/>
            <w:noWrap/>
            <w:hideMark/>
          </w:tcPr>
          <w:p w14:paraId="6A756CE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5DF4ED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52DFF95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56DBF7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w:t>
            </w:r>
          </w:p>
        </w:tc>
        <w:tc>
          <w:tcPr>
            <w:tcW w:w="1028" w:type="dxa"/>
            <w:noWrap/>
            <w:hideMark/>
          </w:tcPr>
          <w:p w14:paraId="0E574D4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29</w:t>
            </w:r>
          </w:p>
        </w:tc>
        <w:tc>
          <w:tcPr>
            <w:tcW w:w="1029" w:type="dxa"/>
            <w:noWrap/>
            <w:hideMark/>
          </w:tcPr>
          <w:p w14:paraId="463BE81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62</w:t>
            </w:r>
          </w:p>
        </w:tc>
      </w:tr>
      <w:tr w:rsidR="001404C4" w:rsidRPr="00E8596C" w14:paraId="23B39F2D" w14:textId="77777777" w:rsidTr="00F45CC2">
        <w:tc>
          <w:tcPr>
            <w:tcW w:w="2725" w:type="dxa"/>
            <w:shd w:val="clear" w:color="auto" w:fill="EAF1DD" w:themeFill="accent3" w:themeFillTint="33"/>
            <w:noWrap/>
            <w:hideMark/>
          </w:tcPr>
          <w:p w14:paraId="7C9A900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G.</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Administration/RSIS/Web</w:t>
            </w:r>
          </w:p>
        </w:tc>
        <w:tc>
          <w:tcPr>
            <w:tcW w:w="1028" w:type="dxa"/>
            <w:shd w:val="clear" w:color="auto" w:fill="EAF1DD" w:themeFill="accent3" w:themeFillTint="33"/>
            <w:noWrap/>
            <w:hideMark/>
          </w:tcPr>
          <w:p w14:paraId="50943B1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436</w:t>
            </w:r>
          </w:p>
        </w:tc>
        <w:tc>
          <w:tcPr>
            <w:tcW w:w="1028" w:type="dxa"/>
            <w:shd w:val="clear" w:color="auto" w:fill="EAF1DD" w:themeFill="accent3" w:themeFillTint="33"/>
            <w:noWrap/>
            <w:hideMark/>
          </w:tcPr>
          <w:p w14:paraId="61AC4E3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11</w:t>
            </w:r>
          </w:p>
        </w:tc>
        <w:tc>
          <w:tcPr>
            <w:tcW w:w="1029" w:type="dxa"/>
            <w:shd w:val="clear" w:color="auto" w:fill="EAF1DD" w:themeFill="accent3" w:themeFillTint="33"/>
            <w:noWrap/>
            <w:hideMark/>
          </w:tcPr>
          <w:p w14:paraId="2A41011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143</w:t>
            </w:r>
          </w:p>
        </w:tc>
        <w:tc>
          <w:tcPr>
            <w:tcW w:w="1028" w:type="dxa"/>
            <w:shd w:val="clear" w:color="auto" w:fill="EAF1DD" w:themeFill="accent3" w:themeFillTint="33"/>
            <w:noWrap/>
            <w:hideMark/>
          </w:tcPr>
          <w:p w14:paraId="1AD3FE9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51DBA16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590</w:t>
            </w:r>
          </w:p>
        </w:tc>
        <w:tc>
          <w:tcPr>
            <w:tcW w:w="1028" w:type="dxa"/>
            <w:shd w:val="clear" w:color="auto" w:fill="EAF1DD" w:themeFill="accent3" w:themeFillTint="33"/>
            <w:noWrap/>
            <w:hideMark/>
          </w:tcPr>
          <w:p w14:paraId="71CBDA7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355</w:t>
            </w:r>
          </w:p>
        </w:tc>
        <w:tc>
          <w:tcPr>
            <w:tcW w:w="1029" w:type="dxa"/>
            <w:shd w:val="clear" w:color="auto" w:fill="EAF1DD" w:themeFill="accent3" w:themeFillTint="33"/>
            <w:noWrap/>
            <w:hideMark/>
          </w:tcPr>
          <w:p w14:paraId="3489C0B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235</w:t>
            </w:r>
          </w:p>
        </w:tc>
      </w:tr>
      <w:tr w:rsidR="001404C4" w:rsidRPr="00E8596C" w14:paraId="5B1AEE71" w14:textId="77777777" w:rsidTr="00F45CC2">
        <w:tc>
          <w:tcPr>
            <w:tcW w:w="2725" w:type="dxa"/>
            <w:noWrap/>
            <w:hideMark/>
          </w:tcPr>
          <w:p w14:paraId="3CEE41A3"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Salaries and social costs</w:t>
            </w:r>
          </w:p>
        </w:tc>
        <w:tc>
          <w:tcPr>
            <w:tcW w:w="1028" w:type="dxa"/>
            <w:noWrap/>
            <w:hideMark/>
          </w:tcPr>
          <w:p w14:paraId="1B58DE3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315</w:t>
            </w:r>
          </w:p>
        </w:tc>
        <w:tc>
          <w:tcPr>
            <w:tcW w:w="1028" w:type="dxa"/>
            <w:noWrap/>
            <w:hideMark/>
          </w:tcPr>
          <w:p w14:paraId="3B5188D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1FBAE6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6F5E300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B66815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315</w:t>
            </w:r>
          </w:p>
        </w:tc>
        <w:tc>
          <w:tcPr>
            <w:tcW w:w="1028" w:type="dxa"/>
            <w:noWrap/>
            <w:hideMark/>
          </w:tcPr>
          <w:p w14:paraId="767CFB5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209</w:t>
            </w:r>
          </w:p>
        </w:tc>
        <w:tc>
          <w:tcPr>
            <w:tcW w:w="1029" w:type="dxa"/>
            <w:noWrap/>
            <w:hideMark/>
          </w:tcPr>
          <w:p w14:paraId="33C3017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106</w:t>
            </w:r>
          </w:p>
        </w:tc>
      </w:tr>
      <w:tr w:rsidR="001404C4" w:rsidRPr="00E8596C" w14:paraId="74C29D7F" w14:textId="77777777" w:rsidTr="00F45CC2">
        <w:tc>
          <w:tcPr>
            <w:tcW w:w="2725" w:type="dxa"/>
            <w:noWrap/>
            <w:hideMark/>
          </w:tcPr>
          <w:p w14:paraId="333A4D34"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Other employment benefits</w:t>
            </w:r>
          </w:p>
        </w:tc>
        <w:tc>
          <w:tcPr>
            <w:tcW w:w="1028" w:type="dxa"/>
            <w:noWrap/>
            <w:hideMark/>
          </w:tcPr>
          <w:p w14:paraId="5EB089C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w:t>
            </w:r>
          </w:p>
        </w:tc>
        <w:tc>
          <w:tcPr>
            <w:tcW w:w="1028" w:type="dxa"/>
            <w:noWrap/>
            <w:hideMark/>
          </w:tcPr>
          <w:p w14:paraId="35A3430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34E6CC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02B0125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7BB893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w:t>
            </w:r>
          </w:p>
        </w:tc>
        <w:tc>
          <w:tcPr>
            <w:tcW w:w="1028" w:type="dxa"/>
            <w:noWrap/>
            <w:hideMark/>
          </w:tcPr>
          <w:p w14:paraId="308BCA0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w:t>
            </w:r>
          </w:p>
        </w:tc>
        <w:tc>
          <w:tcPr>
            <w:tcW w:w="1029" w:type="dxa"/>
            <w:noWrap/>
            <w:hideMark/>
          </w:tcPr>
          <w:p w14:paraId="7DD1CD6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360F08AD" w14:textId="77777777" w:rsidTr="00F45CC2">
        <w:tc>
          <w:tcPr>
            <w:tcW w:w="2725" w:type="dxa"/>
            <w:noWrap/>
            <w:hideMark/>
          </w:tcPr>
          <w:p w14:paraId="6920F550"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Staff hiring and departure costs</w:t>
            </w:r>
          </w:p>
        </w:tc>
        <w:tc>
          <w:tcPr>
            <w:tcW w:w="1028" w:type="dxa"/>
            <w:noWrap/>
            <w:hideMark/>
          </w:tcPr>
          <w:p w14:paraId="306FF8B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25</w:t>
            </w:r>
          </w:p>
        </w:tc>
        <w:tc>
          <w:tcPr>
            <w:tcW w:w="1028" w:type="dxa"/>
            <w:noWrap/>
            <w:hideMark/>
          </w:tcPr>
          <w:p w14:paraId="52A591F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4DCC85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52</w:t>
            </w:r>
          </w:p>
        </w:tc>
        <w:tc>
          <w:tcPr>
            <w:tcW w:w="1028" w:type="dxa"/>
            <w:noWrap/>
            <w:hideMark/>
          </w:tcPr>
          <w:p w14:paraId="14FF23E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1B11FEE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77</w:t>
            </w:r>
          </w:p>
        </w:tc>
        <w:tc>
          <w:tcPr>
            <w:tcW w:w="1028" w:type="dxa"/>
            <w:noWrap/>
            <w:hideMark/>
          </w:tcPr>
          <w:p w14:paraId="1C6CF2E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51</w:t>
            </w:r>
          </w:p>
        </w:tc>
        <w:tc>
          <w:tcPr>
            <w:tcW w:w="1029" w:type="dxa"/>
            <w:noWrap/>
            <w:hideMark/>
          </w:tcPr>
          <w:p w14:paraId="1AAE917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26</w:t>
            </w:r>
          </w:p>
        </w:tc>
      </w:tr>
      <w:tr w:rsidR="001404C4" w:rsidRPr="00E8596C" w14:paraId="4FF5DC34" w14:textId="77777777" w:rsidTr="00F45CC2">
        <w:tc>
          <w:tcPr>
            <w:tcW w:w="2725" w:type="dxa"/>
            <w:noWrap/>
            <w:hideMark/>
          </w:tcPr>
          <w:p w14:paraId="79CCA02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Travel</w:t>
            </w:r>
          </w:p>
        </w:tc>
        <w:tc>
          <w:tcPr>
            <w:tcW w:w="1028" w:type="dxa"/>
            <w:noWrap/>
            <w:hideMark/>
          </w:tcPr>
          <w:p w14:paraId="3A28C0B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4875664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5AE15DB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12D486C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E443A1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1A75797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7C1C6D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17F441FA" w14:textId="77777777" w:rsidTr="00F45CC2">
        <w:tc>
          <w:tcPr>
            <w:tcW w:w="2725" w:type="dxa"/>
            <w:noWrap/>
            <w:hideMark/>
          </w:tcPr>
          <w:p w14:paraId="260D964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Equipment/Office Supplies</w:t>
            </w:r>
          </w:p>
        </w:tc>
        <w:tc>
          <w:tcPr>
            <w:tcW w:w="1028" w:type="dxa"/>
            <w:noWrap/>
            <w:hideMark/>
          </w:tcPr>
          <w:p w14:paraId="724ADE0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95</w:t>
            </w:r>
          </w:p>
        </w:tc>
        <w:tc>
          <w:tcPr>
            <w:tcW w:w="1028" w:type="dxa"/>
            <w:noWrap/>
            <w:hideMark/>
          </w:tcPr>
          <w:p w14:paraId="3D34DA9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FB3565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0E03D58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424071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95</w:t>
            </w:r>
          </w:p>
        </w:tc>
        <w:tc>
          <w:tcPr>
            <w:tcW w:w="1028" w:type="dxa"/>
            <w:noWrap/>
            <w:hideMark/>
          </w:tcPr>
          <w:p w14:paraId="3530F62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76</w:t>
            </w:r>
          </w:p>
        </w:tc>
        <w:tc>
          <w:tcPr>
            <w:tcW w:w="1029" w:type="dxa"/>
            <w:noWrap/>
            <w:hideMark/>
          </w:tcPr>
          <w:p w14:paraId="325F956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19</w:t>
            </w:r>
          </w:p>
        </w:tc>
      </w:tr>
      <w:tr w:rsidR="001404C4" w:rsidRPr="00E8596C" w14:paraId="2046F39D" w14:textId="77777777" w:rsidTr="00F45CC2">
        <w:tc>
          <w:tcPr>
            <w:tcW w:w="2725" w:type="dxa"/>
            <w:noWrap/>
            <w:hideMark/>
          </w:tcPr>
          <w:p w14:paraId="1093E353"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Planning and Capacity building</w:t>
            </w:r>
          </w:p>
        </w:tc>
        <w:tc>
          <w:tcPr>
            <w:tcW w:w="1028" w:type="dxa"/>
            <w:noWrap/>
            <w:hideMark/>
          </w:tcPr>
          <w:p w14:paraId="14848FE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C91D6A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11</w:t>
            </w:r>
          </w:p>
        </w:tc>
        <w:tc>
          <w:tcPr>
            <w:tcW w:w="1029" w:type="dxa"/>
            <w:noWrap/>
            <w:hideMark/>
          </w:tcPr>
          <w:p w14:paraId="41E4ABE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91</w:t>
            </w:r>
          </w:p>
        </w:tc>
        <w:tc>
          <w:tcPr>
            <w:tcW w:w="1028" w:type="dxa"/>
            <w:noWrap/>
            <w:hideMark/>
          </w:tcPr>
          <w:p w14:paraId="7CA43BB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395055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102</w:t>
            </w:r>
          </w:p>
        </w:tc>
        <w:tc>
          <w:tcPr>
            <w:tcW w:w="1028" w:type="dxa"/>
            <w:noWrap/>
            <w:hideMark/>
          </w:tcPr>
          <w:p w14:paraId="46FBF86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19</w:t>
            </w:r>
          </w:p>
        </w:tc>
        <w:tc>
          <w:tcPr>
            <w:tcW w:w="1029" w:type="dxa"/>
            <w:noWrap/>
            <w:hideMark/>
          </w:tcPr>
          <w:p w14:paraId="4B769BE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83</w:t>
            </w:r>
          </w:p>
        </w:tc>
      </w:tr>
      <w:tr w:rsidR="001404C4" w:rsidRPr="00E8596C" w14:paraId="2382BDB3" w14:textId="77777777" w:rsidTr="00F45CC2">
        <w:tc>
          <w:tcPr>
            <w:tcW w:w="2725" w:type="dxa"/>
            <w:shd w:val="clear" w:color="auto" w:fill="EAF1DD" w:themeFill="accent3" w:themeFillTint="33"/>
            <w:noWrap/>
            <w:hideMark/>
          </w:tcPr>
          <w:p w14:paraId="5CFC7E9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H. Standing Committee Services</w:t>
            </w:r>
          </w:p>
        </w:tc>
        <w:tc>
          <w:tcPr>
            <w:tcW w:w="1028" w:type="dxa"/>
            <w:shd w:val="clear" w:color="auto" w:fill="EAF1DD" w:themeFill="accent3" w:themeFillTint="33"/>
            <w:noWrap/>
            <w:hideMark/>
          </w:tcPr>
          <w:p w14:paraId="5D91354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150</w:t>
            </w:r>
          </w:p>
        </w:tc>
        <w:tc>
          <w:tcPr>
            <w:tcW w:w="1028" w:type="dxa"/>
            <w:shd w:val="clear" w:color="auto" w:fill="EAF1DD" w:themeFill="accent3" w:themeFillTint="33"/>
            <w:noWrap/>
            <w:hideMark/>
          </w:tcPr>
          <w:p w14:paraId="26B6D1F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4EA2E34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90</w:t>
            </w:r>
          </w:p>
        </w:tc>
        <w:tc>
          <w:tcPr>
            <w:tcW w:w="1028" w:type="dxa"/>
            <w:shd w:val="clear" w:color="auto" w:fill="EAF1DD" w:themeFill="accent3" w:themeFillTint="33"/>
            <w:noWrap/>
            <w:hideMark/>
          </w:tcPr>
          <w:p w14:paraId="59F4F04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24B1DDE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240</w:t>
            </w:r>
          </w:p>
        </w:tc>
        <w:tc>
          <w:tcPr>
            <w:tcW w:w="1028" w:type="dxa"/>
            <w:shd w:val="clear" w:color="auto" w:fill="EAF1DD" w:themeFill="accent3" w:themeFillTint="33"/>
            <w:noWrap/>
            <w:hideMark/>
          </w:tcPr>
          <w:p w14:paraId="569BD80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150</w:t>
            </w:r>
          </w:p>
        </w:tc>
        <w:tc>
          <w:tcPr>
            <w:tcW w:w="1029" w:type="dxa"/>
            <w:shd w:val="clear" w:color="auto" w:fill="EAF1DD" w:themeFill="accent3" w:themeFillTint="33"/>
            <w:noWrap/>
            <w:hideMark/>
          </w:tcPr>
          <w:p w14:paraId="33BAE22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90</w:t>
            </w:r>
          </w:p>
        </w:tc>
      </w:tr>
      <w:tr w:rsidR="001404C4" w:rsidRPr="00E8596C" w14:paraId="16484D18" w14:textId="77777777" w:rsidTr="00F45CC2">
        <w:tc>
          <w:tcPr>
            <w:tcW w:w="2725" w:type="dxa"/>
            <w:noWrap/>
            <w:hideMark/>
          </w:tcPr>
          <w:p w14:paraId="69B43319"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Standing Committee delegates’ support</w:t>
            </w:r>
          </w:p>
        </w:tc>
        <w:tc>
          <w:tcPr>
            <w:tcW w:w="1028" w:type="dxa"/>
            <w:noWrap/>
            <w:hideMark/>
          </w:tcPr>
          <w:p w14:paraId="4119335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w:t>
            </w:r>
          </w:p>
        </w:tc>
        <w:tc>
          <w:tcPr>
            <w:tcW w:w="1028" w:type="dxa"/>
            <w:noWrap/>
            <w:hideMark/>
          </w:tcPr>
          <w:p w14:paraId="7ED2F0E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D70FAD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72545FB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w:t>
            </w:r>
          </w:p>
        </w:tc>
        <w:tc>
          <w:tcPr>
            <w:tcW w:w="1029" w:type="dxa"/>
            <w:noWrap/>
            <w:hideMark/>
          </w:tcPr>
          <w:p w14:paraId="29E9370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39</w:t>
            </w:r>
          </w:p>
        </w:tc>
        <w:tc>
          <w:tcPr>
            <w:tcW w:w="1028" w:type="dxa"/>
            <w:noWrap/>
            <w:hideMark/>
          </w:tcPr>
          <w:p w14:paraId="72F0633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33</w:t>
            </w:r>
          </w:p>
        </w:tc>
        <w:tc>
          <w:tcPr>
            <w:tcW w:w="1029" w:type="dxa"/>
            <w:noWrap/>
            <w:hideMark/>
          </w:tcPr>
          <w:p w14:paraId="0B1A981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w:t>
            </w:r>
          </w:p>
        </w:tc>
      </w:tr>
      <w:tr w:rsidR="001404C4" w:rsidRPr="00E8596C" w14:paraId="125FFB58" w14:textId="77777777" w:rsidTr="00F45CC2">
        <w:tc>
          <w:tcPr>
            <w:tcW w:w="2725" w:type="dxa"/>
            <w:noWrap/>
            <w:hideMark/>
          </w:tcPr>
          <w:p w14:paraId="6EC25CCB"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Standing Committee meetings</w:t>
            </w:r>
          </w:p>
        </w:tc>
        <w:tc>
          <w:tcPr>
            <w:tcW w:w="1028" w:type="dxa"/>
            <w:noWrap/>
            <w:hideMark/>
          </w:tcPr>
          <w:p w14:paraId="316ED81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w:t>
            </w:r>
          </w:p>
        </w:tc>
        <w:tc>
          <w:tcPr>
            <w:tcW w:w="1028" w:type="dxa"/>
            <w:noWrap/>
            <w:hideMark/>
          </w:tcPr>
          <w:p w14:paraId="046516C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527355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C3555A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w:t>
            </w:r>
          </w:p>
        </w:tc>
        <w:tc>
          <w:tcPr>
            <w:tcW w:w="1029" w:type="dxa"/>
            <w:noWrap/>
            <w:hideMark/>
          </w:tcPr>
          <w:p w14:paraId="6523600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16</w:t>
            </w:r>
          </w:p>
        </w:tc>
        <w:tc>
          <w:tcPr>
            <w:tcW w:w="1028" w:type="dxa"/>
            <w:noWrap/>
            <w:hideMark/>
          </w:tcPr>
          <w:p w14:paraId="1927B22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16</w:t>
            </w:r>
          </w:p>
        </w:tc>
        <w:tc>
          <w:tcPr>
            <w:tcW w:w="1029" w:type="dxa"/>
            <w:noWrap/>
            <w:hideMark/>
          </w:tcPr>
          <w:p w14:paraId="22EA523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r>
      <w:tr w:rsidR="001404C4" w:rsidRPr="00E8596C" w14:paraId="240261DB" w14:textId="77777777" w:rsidTr="00F45CC2">
        <w:tc>
          <w:tcPr>
            <w:tcW w:w="2725" w:type="dxa"/>
            <w:noWrap/>
            <w:hideMark/>
          </w:tcPr>
          <w:p w14:paraId="073A14C5"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SC translation</w:t>
            </w:r>
          </w:p>
        </w:tc>
        <w:tc>
          <w:tcPr>
            <w:tcW w:w="1028" w:type="dxa"/>
            <w:noWrap/>
            <w:hideMark/>
          </w:tcPr>
          <w:p w14:paraId="5A3B8D1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60</w:t>
            </w:r>
          </w:p>
        </w:tc>
        <w:tc>
          <w:tcPr>
            <w:tcW w:w="1028" w:type="dxa"/>
            <w:noWrap/>
            <w:hideMark/>
          </w:tcPr>
          <w:p w14:paraId="39A004F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AEC5E1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68E3503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388DAA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60</w:t>
            </w:r>
          </w:p>
        </w:tc>
        <w:tc>
          <w:tcPr>
            <w:tcW w:w="1028" w:type="dxa"/>
            <w:noWrap/>
            <w:hideMark/>
          </w:tcPr>
          <w:p w14:paraId="6438BA2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55</w:t>
            </w:r>
          </w:p>
        </w:tc>
        <w:tc>
          <w:tcPr>
            <w:tcW w:w="1029" w:type="dxa"/>
            <w:noWrap/>
            <w:hideMark/>
          </w:tcPr>
          <w:p w14:paraId="6F4ACF5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w:t>
            </w:r>
          </w:p>
        </w:tc>
      </w:tr>
      <w:tr w:rsidR="001404C4" w:rsidRPr="00E8596C" w14:paraId="51A390AD" w14:textId="77777777" w:rsidTr="00F45CC2">
        <w:tc>
          <w:tcPr>
            <w:tcW w:w="2725" w:type="dxa"/>
            <w:noWrap/>
            <w:hideMark/>
          </w:tcPr>
          <w:p w14:paraId="0A70C93B"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Simultaneous interpretation at SC meetings</w:t>
            </w:r>
          </w:p>
        </w:tc>
        <w:tc>
          <w:tcPr>
            <w:tcW w:w="1028" w:type="dxa"/>
            <w:noWrap/>
            <w:hideMark/>
          </w:tcPr>
          <w:p w14:paraId="23E4988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35</w:t>
            </w:r>
          </w:p>
        </w:tc>
        <w:tc>
          <w:tcPr>
            <w:tcW w:w="1028" w:type="dxa"/>
            <w:noWrap/>
            <w:hideMark/>
          </w:tcPr>
          <w:p w14:paraId="13BC407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801213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1E651A7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7B54A5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35</w:t>
            </w:r>
          </w:p>
        </w:tc>
        <w:tc>
          <w:tcPr>
            <w:tcW w:w="1028" w:type="dxa"/>
            <w:noWrap/>
            <w:hideMark/>
          </w:tcPr>
          <w:p w14:paraId="70F259F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w:t>
            </w:r>
          </w:p>
        </w:tc>
        <w:tc>
          <w:tcPr>
            <w:tcW w:w="1029" w:type="dxa"/>
            <w:noWrap/>
            <w:hideMark/>
          </w:tcPr>
          <w:p w14:paraId="1C71B7C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w:t>
            </w:r>
          </w:p>
        </w:tc>
      </w:tr>
      <w:tr w:rsidR="001404C4" w:rsidRPr="00E8596C" w14:paraId="5F046622" w14:textId="77777777" w:rsidTr="00F45CC2">
        <w:tc>
          <w:tcPr>
            <w:tcW w:w="2725" w:type="dxa"/>
            <w:noWrap/>
            <w:hideMark/>
          </w:tcPr>
          <w:p w14:paraId="0AF218B7"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Effectiveness Working Group</w:t>
            </w:r>
          </w:p>
        </w:tc>
        <w:tc>
          <w:tcPr>
            <w:tcW w:w="1028" w:type="dxa"/>
            <w:noWrap/>
            <w:hideMark/>
          </w:tcPr>
          <w:p w14:paraId="04AACC1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2765781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ABDA28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70</w:t>
            </w:r>
          </w:p>
        </w:tc>
        <w:tc>
          <w:tcPr>
            <w:tcW w:w="1028" w:type="dxa"/>
            <w:noWrap/>
            <w:hideMark/>
          </w:tcPr>
          <w:p w14:paraId="58105B5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068D449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70</w:t>
            </w:r>
          </w:p>
        </w:tc>
        <w:tc>
          <w:tcPr>
            <w:tcW w:w="1028" w:type="dxa"/>
            <w:noWrap/>
            <w:hideMark/>
          </w:tcPr>
          <w:p w14:paraId="748C435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w:t>
            </w:r>
          </w:p>
        </w:tc>
        <w:tc>
          <w:tcPr>
            <w:tcW w:w="1029" w:type="dxa"/>
            <w:noWrap/>
            <w:hideMark/>
          </w:tcPr>
          <w:p w14:paraId="44006A8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55</w:t>
            </w:r>
          </w:p>
        </w:tc>
      </w:tr>
      <w:tr w:rsidR="001404C4" w:rsidRPr="00E8596C" w14:paraId="1C867C04" w14:textId="77777777" w:rsidTr="00F45CC2">
        <w:tc>
          <w:tcPr>
            <w:tcW w:w="2725" w:type="dxa"/>
            <w:noWrap/>
            <w:hideMark/>
          </w:tcPr>
          <w:p w14:paraId="46CF080F"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Resolutions review (Res. XIII.4)</w:t>
            </w:r>
          </w:p>
        </w:tc>
        <w:tc>
          <w:tcPr>
            <w:tcW w:w="1028" w:type="dxa"/>
            <w:noWrap/>
            <w:hideMark/>
          </w:tcPr>
          <w:p w14:paraId="0F74FBE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15F04ED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F0E69D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20</w:t>
            </w:r>
          </w:p>
        </w:tc>
        <w:tc>
          <w:tcPr>
            <w:tcW w:w="1028" w:type="dxa"/>
            <w:noWrap/>
            <w:hideMark/>
          </w:tcPr>
          <w:p w14:paraId="26FF837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3628F8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20</w:t>
            </w:r>
          </w:p>
        </w:tc>
        <w:tc>
          <w:tcPr>
            <w:tcW w:w="1028" w:type="dxa"/>
            <w:noWrap/>
            <w:hideMark/>
          </w:tcPr>
          <w:p w14:paraId="6729AD3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4E83D5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20</w:t>
            </w:r>
          </w:p>
        </w:tc>
      </w:tr>
      <w:tr w:rsidR="001404C4" w:rsidRPr="00E8596C" w14:paraId="7AF5E888" w14:textId="77777777" w:rsidTr="00F45CC2">
        <w:tc>
          <w:tcPr>
            <w:tcW w:w="2725" w:type="dxa"/>
            <w:shd w:val="clear" w:color="auto" w:fill="EAF1DD" w:themeFill="accent3" w:themeFillTint="33"/>
            <w:hideMark/>
          </w:tcPr>
          <w:p w14:paraId="6E506284"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J.</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IUCN Administrative Service Charges (maximum)</w:t>
            </w:r>
          </w:p>
        </w:tc>
        <w:tc>
          <w:tcPr>
            <w:tcW w:w="1028" w:type="dxa"/>
            <w:shd w:val="clear" w:color="auto" w:fill="EAF1DD" w:themeFill="accent3" w:themeFillTint="33"/>
            <w:noWrap/>
            <w:hideMark/>
          </w:tcPr>
          <w:p w14:paraId="1CE0639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560</w:t>
            </w:r>
          </w:p>
        </w:tc>
        <w:tc>
          <w:tcPr>
            <w:tcW w:w="1028" w:type="dxa"/>
            <w:shd w:val="clear" w:color="auto" w:fill="EAF1DD" w:themeFill="accent3" w:themeFillTint="33"/>
            <w:noWrap/>
            <w:hideMark/>
          </w:tcPr>
          <w:p w14:paraId="675907E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5D90C1F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shd w:val="clear" w:color="auto" w:fill="EAF1DD" w:themeFill="accent3" w:themeFillTint="33"/>
            <w:noWrap/>
            <w:hideMark/>
          </w:tcPr>
          <w:p w14:paraId="156D2E0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188B25C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560</w:t>
            </w:r>
          </w:p>
        </w:tc>
        <w:tc>
          <w:tcPr>
            <w:tcW w:w="1028" w:type="dxa"/>
            <w:shd w:val="clear" w:color="auto" w:fill="EAF1DD" w:themeFill="accent3" w:themeFillTint="33"/>
            <w:noWrap/>
            <w:hideMark/>
          </w:tcPr>
          <w:p w14:paraId="2D34D9F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524</w:t>
            </w:r>
          </w:p>
        </w:tc>
        <w:tc>
          <w:tcPr>
            <w:tcW w:w="1029" w:type="dxa"/>
            <w:shd w:val="clear" w:color="auto" w:fill="EAF1DD" w:themeFill="accent3" w:themeFillTint="33"/>
            <w:noWrap/>
            <w:hideMark/>
          </w:tcPr>
          <w:p w14:paraId="5F9BE6E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36</w:t>
            </w:r>
          </w:p>
        </w:tc>
      </w:tr>
      <w:tr w:rsidR="001404C4" w:rsidRPr="00E8596C" w14:paraId="6DA6D311" w14:textId="77777777" w:rsidTr="00F45CC2">
        <w:tc>
          <w:tcPr>
            <w:tcW w:w="2725" w:type="dxa"/>
            <w:noWrap/>
            <w:hideMark/>
          </w:tcPr>
          <w:p w14:paraId="46E6A796"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xml:space="preserve">Administration, Human Resources, Finance </w:t>
            </w:r>
            <w:r>
              <w:rPr>
                <w:rFonts w:asciiTheme="minorHAnsi" w:eastAsia="Times New Roman" w:hAnsiTheme="minorHAnsi" w:cstheme="minorHAnsi"/>
                <w:bCs/>
                <w:sz w:val="18"/>
                <w:szCs w:val="18"/>
                <w:lang w:eastAsia="en-GB"/>
              </w:rPr>
              <w:t>and</w:t>
            </w:r>
            <w:r w:rsidRPr="00E8596C">
              <w:rPr>
                <w:rFonts w:asciiTheme="minorHAnsi" w:eastAsia="Times New Roman" w:hAnsiTheme="minorHAnsi" w:cstheme="minorHAnsi"/>
                <w:bCs/>
                <w:sz w:val="18"/>
                <w:szCs w:val="18"/>
                <w:lang w:eastAsia="en-GB"/>
              </w:rPr>
              <w:t xml:space="preserve"> IT services</w:t>
            </w:r>
          </w:p>
        </w:tc>
        <w:tc>
          <w:tcPr>
            <w:tcW w:w="1028" w:type="dxa"/>
            <w:noWrap/>
            <w:hideMark/>
          </w:tcPr>
          <w:p w14:paraId="19B7FAD7"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560</w:t>
            </w:r>
          </w:p>
        </w:tc>
        <w:tc>
          <w:tcPr>
            <w:tcW w:w="1028" w:type="dxa"/>
            <w:noWrap/>
            <w:hideMark/>
          </w:tcPr>
          <w:p w14:paraId="421EB94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FB7F62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F6BD41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6B47BF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560</w:t>
            </w:r>
          </w:p>
        </w:tc>
        <w:tc>
          <w:tcPr>
            <w:tcW w:w="1028" w:type="dxa"/>
            <w:noWrap/>
            <w:hideMark/>
          </w:tcPr>
          <w:p w14:paraId="7504144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524</w:t>
            </w:r>
          </w:p>
        </w:tc>
        <w:tc>
          <w:tcPr>
            <w:tcW w:w="1029" w:type="dxa"/>
            <w:noWrap/>
            <w:hideMark/>
          </w:tcPr>
          <w:p w14:paraId="388BFE48"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36</w:t>
            </w:r>
          </w:p>
        </w:tc>
      </w:tr>
      <w:tr w:rsidR="001404C4" w:rsidRPr="00E8596C" w14:paraId="4B0894C9" w14:textId="77777777" w:rsidTr="00F45CC2">
        <w:tc>
          <w:tcPr>
            <w:tcW w:w="2725" w:type="dxa"/>
            <w:shd w:val="clear" w:color="auto" w:fill="EAF1DD" w:themeFill="accent3" w:themeFillTint="33"/>
            <w:noWrap/>
            <w:hideMark/>
          </w:tcPr>
          <w:p w14:paraId="33FC14E2"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K.</w:t>
            </w:r>
            <w:r>
              <w:rPr>
                <w:rFonts w:asciiTheme="minorHAnsi" w:eastAsia="Times New Roman" w:hAnsiTheme="minorHAnsi" w:cstheme="minorHAnsi"/>
                <w:bCs/>
                <w:sz w:val="18"/>
                <w:szCs w:val="18"/>
                <w:lang w:eastAsia="en-GB"/>
              </w:rPr>
              <w:t xml:space="preserve"> </w:t>
            </w:r>
            <w:r w:rsidRPr="00E8596C">
              <w:rPr>
                <w:rFonts w:asciiTheme="minorHAnsi" w:eastAsia="Times New Roman" w:hAnsiTheme="minorHAnsi" w:cstheme="minorHAnsi"/>
                <w:bCs/>
                <w:sz w:val="18"/>
                <w:szCs w:val="18"/>
                <w:lang w:eastAsia="en-GB"/>
              </w:rPr>
              <w:t>Miscellaneous - Reserve Fund</w:t>
            </w:r>
          </w:p>
        </w:tc>
        <w:tc>
          <w:tcPr>
            <w:tcW w:w="1028" w:type="dxa"/>
            <w:shd w:val="clear" w:color="auto" w:fill="EAF1DD" w:themeFill="accent3" w:themeFillTint="33"/>
            <w:noWrap/>
            <w:hideMark/>
          </w:tcPr>
          <w:p w14:paraId="68B9F68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109</w:t>
            </w:r>
          </w:p>
        </w:tc>
        <w:tc>
          <w:tcPr>
            <w:tcW w:w="1028" w:type="dxa"/>
            <w:shd w:val="clear" w:color="auto" w:fill="EAF1DD" w:themeFill="accent3" w:themeFillTint="33"/>
            <w:noWrap/>
            <w:hideMark/>
          </w:tcPr>
          <w:p w14:paraId="4134278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08DD81F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224</w:t>
            </w:r>
          </w:p>
        </w:tc>
        <w:tc>
          <w:tcPr>
            <w:tcW w:w="1028" w:type="dxa"/>
            <w:shd w:val="clear" w:color="auto" w:fill="EAF1DD" w:themeFill="accent3" w:themeFillTint="33"/>
            <w:noWrap/>
            <w:hideMark/>
          </w:tcPr>
          <w:p w14:paraId="34CFE0B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EAF1DD" w:themeFill="accent3" w:themeFillTint="33"/>
            <w:noWrap/>
            <w:hideMark/>
          </w:tcPr>
          <w:p w14:paraId="25EC62E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333</w:t>
            </w:r>
          </w:p>
        </w:tc>
        <w:tc>
          <w:tcPr>
            <w:tcW w:w="1028" w:type="dxa"/>
            <w:shd w:val="clear" w:color="auto" w:fill="EAF1DD" w:themeFill="accent3" w:themeFillTint="33"/>
            <w:noWrap/>
            <w:hideMark/>
          </w:tcPr>
          <w:p w14:paraId="789A5DD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282</w:t>
            </w:r>
          </w:p>
        </w:tc>
        <w:tc>
          <w:tcPr>
            <w:tcW w:w="1029" w:type="dxa"/>
            <w:shd w:val="clear" w:color="auto" w:fill="EAF1DD" w:themeFill="accent3" w:themeFillTint="33"/>
            <w:noWrap/>
            <w:hideMark/>
          </w:tcPr>
          <w:p w14:paraId="550F67A9"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51</w:t>
            </w:r>
          </w:p>
        </w:tc>
      </w:tr>
      <w:tr w:rsidR="001404C4" w:rsidRPr="00E8596C" w14:paraId="0DC98C1B" w14:textId="77777777" w:rsidTr="00F45CC2">
        <w:tc>
          <w:tcPr>
            <w:tcW w:w="2725" w:type="dxa"/>
            <w:noWrap/>
            <w:hideMark/>
          </w:tcPr>
          <w:p w14:paraId="2340CD6B"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Provisions</w:t>
            </w:r>
          </w:p>
        </w:tc>
        <w:tc>
          <w:tcPr>
            <w:tcW w:w="1028" w:type="dxa"/>
            <w:noWrap/>
            <w:hideMark/>
          </w:tcPr>
          <w:p w14:paraId="08155904"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50</w:t>
            </w:r>
          </w:p>
        </w:tc>
        <w:tc>
          <w:tcPr>
            <w:tcW w:w="1028" w:type="dxa"/>
            <w:noWrap/>
            <w:hideMark/>
          </w:tcPr>
          <w:p w14:paraId="3604AB72"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6C3208B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178</w:t>
            </w:r>
          </w:p>
        </w:tc>
        <w:tc>
          <w:tcPr>
            <w:tcW w:w="1028" w:type="dxa"/>
            <w:noWrap/>
            <w:hideMark/>
          </w:tcPr>
          <w:p w14:paraId="5684EED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44CC1F0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228</w:t>
            </w:r>
          </w:p>
        </w:tc>
        <w:tc>
          <w:tcPr>
            <w:tcW w:w="1028" w:type="dxa"/>
            <w:noWrap/>
            <w:hideMark/>
          </w:tcPr>
          <w:p w14:paraId="65CE1BD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222</w:t>
            </w:r>
          </w:p>
        </w:tc>
        <w:tc>
          <w:tcPr>
            <w:tcW w:w="1029" w:type="dxa"/>
            <w:noWrap/>
            <w:hideMark/>
          </w:tcPr>
          <w:p w14:paraId="2F0FD77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w:t>
            </w:r>
          </w:p>
        </w:tc>
      </w:tr>
      <w:tr w:rsidR="001404C4" w:rsidRPr="00E8596C" w14:paraId="20D9224D" w14:textId="77777777" w:rsidTr="00F45CC2">
        <w:tc>
          <w:tcPr>
            <w:tcW w:w="2725" w:type="dxa"/>
            <w:noWrap/>
            <w:hideMark/>
          </w:tcPr>
          <w:p w14:paraId="0810B12B"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Exchange rate gains / losses</w:t>
            </w:r>
          </w:p>
        </w:tc>
        <w:tc>
          <w:tcPr>
            <w:tcW w:w="1028" w:type="dxa"/>
            <w:noWrap/>
            <w:hideMark/>
          </w:tcPr>
          <w:p w14:paraId="03696B6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7E4B264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2407C73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59731C0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007A44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8" w:type="dxa"/>
            <w:noWrap/>
            <w:hideMark/>
          </w:tcPr>
          <w:p w14:paraId="3035AF7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29</w:t>
            </w:r>
          </w:p>
        </w:tc>
        <w:tc>
          <w:tcPr>
            <w:tcW w:w="1029" w:type="dxa"/>
            <w:noWrap/>
            <w:hideMark/>
          </w:tcPr>
          <w:p w14:paraId="1699AEF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(29)</w:t>
            </w:r>
          </w:p>
        </w:tc>
      </w:tr>
      <w:tr w:rsidR="001404C4" w:rsidRPr="00E8596C" w14:paraId="3256A825" w14:textId="77777777" w:rsidTr="00F45CC2">
        <w:tc>
          <w:tcPr>
            <w:tcW w:w="2725" w:type="dxa"/>
            <w:noWrap/>
            <w:hideMark/>
          </w:tcPr>
          <w:p w14:paraId="4505BA24"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Legal Services</w:t>
            </w:r>
          </w:p>
        </w:tc>
        <w:tc>
          <w:tcPr>
            <w:tcW w:w="1028" w:type="dxa"/>
            <w:noWrap/>
            <w:hideMark/>
          </w:tcPr>
          <w:p w14:paraId="07C2CC93"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59</w:t>
            </w:r>
          </w:p>
        </w:tc>
        <w:tc>
          <w:tcPr>
            <w:tcW w:w="1028" w:type="dxa"/>
            <w:noWrap/>
            <w:hideMark/>
          </w:tcPr>
          <w:p w14:paraId="572EE08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3C6916B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46</w:t>
            </w:r>
          </w:p>
        </w:tc>
        <w:tc>
          <w:tcPr>
            <w:tcW w:w="1028" w:type="dxa"/>
            <w:noWrap/>
            <w:hideMark/>
          </w:tcPr>
          <w:p w14:paraId="2699BC6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noWrap/>
            <w:hideMark/>
          </w:tcPr>
          <w:p w14:paraId="72DEA026"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105</w:t>
            </w:r>
          </w:p>
        </w:tc>
        <w:tc>
          <w:tcPr>
            <w:tcW w:w="1028" w:type="dxa"/>
            <w:noWrap/>
            <w:hideMark/>
          </w:tcPr>
          <w:p w14:paraId="61B2C9F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31</w:t>
            </w:r>
          </w:p>
        </w:tc>
        <w:tc>
          <w:tcPr>
            <w:tcW w:w="1029" w:type="dxa"/>
            <w:noWrap/>
            <w:hideMark/>
          </w:tcPr>
          <w:p w14:paraId="22FBD63D"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74</w:t>
            </w:r>
          </w:p>
        </w:tc>
      </w:tr>
      <w:tr w:rsidR="001404C4" w:rsidRPr="00E8596C" w14:paraId="18BA26DE" w14:textId="77777777" w:rsidTr="00F45CC2">
        <w:tc>
          <w:tcPr>
            <w:tcW w:w="2725" w:type="dxa"/>
            <w:shd w:val="clear" w:color="auto" w:fill="D6E3BC" w:themeFill="accent3" w:themeFillTint="66"/>
            <w:noWrap/>
            <w:hideMark/>
          </w:tcPr>
          <w:p w14:paraId="417D5FF2"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TOTAL EXPENDITURE</w:t>
            </w:r>
          </w:p>
        </w:tc>
        <w:tc>
          <w:tcPr>
            <w:tcW w:w="1028" w:type="dxa"/>
            <w:shd w:val="clear" w:color="auto" w:fill="D6E3BC" w:themeFill="accent3" w:themeFillTint="66"/>
            <w:noWrap/>
            <w:hideMark/>
          </w:tcPr>
          <w:p w14:paraId="01D68BD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5,081</w:t>
            </w:r>
          </w:p>
        </w:tc>
        <w:tc>
          <w:tcPr>
            <w:tcW w:w="1028" w:type="dxa"/>
            <w:shd w:val="clear" w:color="auto" w:fill="D6E3BC" w:themeFill="accent3" w:themeFillTint="66"/>
            <w:noWrap/>
            <w:hideMark/>
          </w:tcPr>
          <w:p w14:paraId="1EBFE1DF"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76</w:t>
            </w:r>
          </w:p>
        </w:tc>
        <w:tc>
          <w:tcPr>
            <w:tcW w:w="1029" w:type="dxa"/>
            <w:shd w:val="clear" w:color="auto" w:fill="D6E3BC" w:themeFill="accent3" w:themeFillTint="66"/>
            <w:noWrap/>
            <w:hideMark/>
          </w:tcPr>
          <w:p w14:paraId="4248D9E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851</w:t>
            </w:r>
          </w:p>
        </w:tc>
        <w:tc>
          <w:tcPr>
            <w:tcW w:w="1028" w:type="dxa"/>
            <w:shd w:val="clear" w:color="auto" w:fill="D6E3BC" w:themeFill="accent3" w:themeFillTint="66"/>
            <w:noWrap/>
            <w:hideMark/>
          </w:tcPr>
          <w:p w14:paraId="7FDCD5C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0</w:t>
            </w:r>
          </w:p>
        </w:tc>
        <w:tc>
          <w:tcPr>
            <w:tcW w:w="1029" w:type="dxa"/>
            <w:shd w:val="clear" w:color="auto" w:fill="D6E3BC" w:themeFill="accent3" w:themeFillTint="66"/>
            <w:noWrap/>
            <w:hideMark/>
          </w:tcPr>
          <w:p w14:paraId="5602F39C"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6,008</w:t>
            </w:r>
          </w:p>
        </w:tc>
        <w:tc>
          <w:tcPr>
            <w:tcW w:w="1028" w:type="dxa"/>
            <w:shd w:val="clear" w:color="auto" w:fill="D6E3BC" w:themeFill="accent3" w:themeFillTint="66"/>
            <w:noWrap/>
            <w:hideMark/>
          </w:tcPr>
          <w:p w14:paraId="4A48954B"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4,500</w:t>
            </w:r>
          </w:p>
        </w:tc>
        <w:tc>
          <w:tcPr>
            <w:tcW w:w="1029" w:type="dxa"/>
            <w:shd w:val="clear" w:color="auto" w:fill="D6E3BC" w:themeFill="accent3" w:themeFillTint="66"/>
            <w:noWrap/>
            <w:hideMark/>
          </w:tcPr>
          <w:p w14:paraId="5D942E1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1,507</w:t>
            </w:r>
          </w:p>
        </w:tc>
      </w:tr>
      <w:tr w:rsidR="001404C4" w:rsidRPr="00E8596C" w14:paraId="00C16199" w14:textId="77777777" w:rsidTr="00F45CC2">
        <w:tc>
          <w:tcPr>
            <w:tcW w:w="2725" w:type="dxa"/>
            <w:noWrap/>
            <w:hideMark/>
          </w:tcPr>
          <w:p w14:paraId="3871D0B1" w14:textId="77777777" w:rsidR="001404C4" w:rsidRPr="00E8596C" w:rsidRDefault="001404C4" w:rsidP="00F45CC2">
            <w:pPr>
              <w:pStyle w:val="NoSpacing"/>
              <w:ind w:left="0" w:firstLine="0"/>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14:paraId="015FD911"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14:paraId="55170E95"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9" w:type="dxa"/>
            <w:noWrap/>
            <w:hideMark/>
          </w:tcPr>
          <w:p w14:paraId="709746D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14:paraId="76849950"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9" w:type="dxa"/>
            <w:noWrap/>
            <w:hideMark/>
          </w:tcPr>
          <w:p w14:paraId="57FA86B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8" w:type="dxa"/>
            <w:noWrap/>
            <w:hideMark/>
          </w:tcPr>
          <w:p w14:paraId="410F605E"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c>
          <w:tcPr>
            <w:tcW w:w="1029" w:type="dxa"/>
            <w:noWrap/>
            <w:hideMark/>
          </w:tcPr>
          <w:p w14:paraId="05F0C4FA" w14:textId="77777777" w:rsidR="001404C4" w:rsidRPr="00E8596C" w:rsidRDefault="001404C4" w:rsidP="00F45CC2">
            <w:pPr>
              <w:pStyle w:val="NoSpacing"/>
              <w:ind w:left="0" w:firstLine="0"/>
              <w:jc w:val="right"/>
              <w:rPr>
                <w:rFonts w:asciiTheme="minorHAnsi" w:eastAsia="Times New Roman" w:hAnsiTheme="minorHAnsi" w:cstheme="minorHAnsi"/>
                <w:bCs/>
                <w:sz w:val="18"/>
                <w:szCs w:val="18"/>
                <w:lang w:eastAsia="en-GB"/>
              </w:rPr>
            </w:pPr>
            <w:r w:rsidRPr="00E8596C">
              <w:rPr>
                <w:rFonts w:asciiTheme="minorHAnsi" w:eastAsia="Times New Roman" w:hAnsiTheme="minorHAnsi" w:cstheme="minorHAnsi"/>
                <w:bCs/>
                <w:sz w:val="18"/>
                <w:szCs w:val="18"/>
                <w:lang w:eastAsia="en-GB"/>
              </w:rPr>
              <w:t> </w:t>
            </w:r>
          </w:p>
        </w:tc>
      </w:tr>
      <w:tr w:rsidR="001404C4" w:rsidRPr="00C96788" w14:paraId="29B614DC" w14:textId="77777777" w:rsidTr="00F45CC2">
        <w:tc>
          <w:tcPr>
            <w:tcW w:w="2725" w:type="dxa"/>
            <w:shd w:val="clear" w:color="auto" w:fill="D6E3BC" w:themeFill="accent3" w:themeFillTint="66"/>
            <w:hideMark/>
          </w:tcPr>
          <w:p w14:paraId="15C9D598" w14:textId="77777777" w:rsidR="001404C4" w:rsidRPr="00C96788" w:rsidRDefault="001404C4" w:rsidP="00F45CC2">
            <w:pPr>
              <w:pStyle w:val="NoSpacing"/>
              <w:ind w:left="0" w:firstLine="0"/>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Subtotal SURPLUS/(DEFICIT)</w:t>
            </w:r>
          </w:p>
        </w:tc>
        <w:tc>
          <w:tcPr>
            <w:tcW w:w="1028" w:type="dxa"/>
            <w:shd w:val="clear" w:color="auto" w:fill="D6E3BC" w:themeFill="accent3" w:themeFillTint="66"/>
            <w:noWrap/>
            <w:hideMark/>
          </w:tcPr>
          <w:p w14:paraId="7B13E5BC"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14:paraId="45614782"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14:paraId="40011F2B"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14:paraId="06157F67"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14:paraId="01C5508A"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14:paraId="09AF6181"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562</w:t>
            </w:r>
          </w:p>
        </w:tc>
        <w:tc>
          <w:tcPr>
            <w:tcW w:w="1029" w:type="dxa"/>
            <w:shd w:val="clear" w:color="auto" w:fill="D6E3BC" w:themeFill="accent3" w:themeFillTint="66"/>
            <w:noWrap/>
            <w:hideMark/>
          </w:tcPr>
          <w:p w14:paraId="283C3B27"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1,488</w:t>
            </w:r>
          </w:p>
        </w:tc>
      </w:tr>
      <w:tr w:rsidR="001404C4" w:rsidRPr="00C96788" w14:paraId="0E2A00BA" w14:textId="77777777" w:rsidTr="00F45CC2">
        <w:tc>
          <w:tcPr>
            <w:tcW w:w="2725" w:type="dxa"/>
            <w:noWrap/>
            <w:hideMark/>
          </w:tcPr>
          <w:p w14:paraId="494B1460" w14:textId="77777777" w:rsidR="001404C4" w:rsidRPr="00C96788" w:rsidRDefault="001404C4" w:rsidP="00F45CC2">
            <w:pPr>
              <w:pStyle w:val="NoSpacing"/>
              <w:ind w:left="0" w:firstLine="0"/>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Corrections as per paragraph 12 and the rounding</w:t>
            </w:r>
          </w:p>
        </w:tc>
        <w:tc>
          <w:tcPr>
            <w:tcW w:w="1028" w:type="dxa"/>
            <w:noWrap/>
            <w:hideMark/>
          </w:tcPr>
          <w:p w14:paraId="60597DE7"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c>
          <w:tcPr>
            <w:tcW w:w="1028" w:type="dxa"/>
            <w:noWrap/>
            <w:hideMark/>
          </w:tcPr>
          <w:p w14:paraId="643FF2F6"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c>
          <w:tcPr>
            <w:tcW w:w="1029" w:type="dxa"/>
            <w:noWrap/>
            <w:hideMark/>
          </w:tcPr>
          <w:p w14:paraId="0458C4BA"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c>
          <w:tcPr>
            <w:tcW w:w="1028" w:type="dxa"/>
            <w:noWrap/>
            <w:hideMark/>
          </w:tcPr>
          <w:p w14:paraId="5C7FC2A0"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c>
          <w:tcPr>
            <w:tcW w:w="1029" w:type="dxa"/>
            <w:noWrap/>
            <w:hideMark/>
          </w:tcPr>
          <w:p w14:paraId="2C5A50AA"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c>
          <w:tcPr>
            <w:tcW w:w="1028" w:type="dxa"/>
            <w:noWrap/>
            <w:hideMark/>
          </w:tcPr>
          <w:p w14:paraId="1FD549C0"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110</w:t>
            </w:r>
          </w:p>
        </w:tc>
        <w:tc>
          <w:tcPr>
            <w:tcW w:w="1029" w:type="dxa"/>
            <w:noWrap/>
            <w:hideMark/>
          </w:tcPr>
          <w:p w14:paraId="547B02DF" w14:textId="77777777" w:rsidR="001404C4" w:rsidRPr="00C96788" w:rsidRDefault="001404C4" w:rsidP="00F45CC2">
            <w:pPr>
              <w:pStyle w:val="NoSpacing"/>
              <w:ind w:left="0" w:firstLine="0"/>
              <w:jc w:val="right"/>
              <w:rPr>
                <w:rFonts w:asciiTheme="minorHAnsi" w:eastAsia="Times New Roman" w:hAnsiTheme="minorHAnsi" w:cstheme="minorHAnsi"/>
                <w:bCs/>
                <w:sz w:val="18"/>
                <w:szCs w:val="18"/>
                <w:lang w:eastAsia="en-GB"/>
              </w:rPr>
            </w:pPr>
            <w:r w:rsidRPr="00C96788">
              <w:rPr>
                <w:rFonts w:asciiTheme="minorHAnsi" w:eastAsia="Times New Roman" w:hAnsiTheme="minorHAnsi" w:cstheme="minorHAnsi"/>
                <w:bCs/>
                <w:sz w:val="18"/>
                <w:szCs w:val="18"/>
                <w:lang w:eastAsia="en-GB"/>
              </w:rPr>
              <w:t> </w:t>
            </w:r>
          </w:p>
        </w:tc>
      </w:tr>
      <w:tr w:rsidR="001404C4" w:rsidRPr="00C96788" w14:paraId="22BBFD85" w14:textId="77777777" w:rsidTr="00F45CC2">
        <w:tc>
          <w:tcPr>
            <w:tcW w:w="2725" w:type="dxa"/>
            <w:shd w:val="clear" w:color="auto" w:fill="D6E3BC" w:themeFill="accent3" w:themeFillTint="66"/>
            <w:hideMark/>
          </w:tcPr>
          <w:p w14:paraId="7C6A9FA1" w14:textId="77777777" w:rsidR="001404C4" w:rsidRPr="00C96788" w:rsidRDefault="001404C4" w:rsidP="00F45CC2">
            <w:pPr>
              <w:pStyle w:val="NoSpacing"/>
              <w:ind w:left="0" w:firstLine="0"/>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Total Surplus</w:t>
            </w:r>
          </w:p>
        </w:tc>
        <w:tc>
          <w:tcPr>
            <w:tcW w:w="1028" w:type="dxa"/>
            <w:shd w:val="clear" w:color="auto" w:fill="D6E3BC" w:themeFill="accent3" w:themeFillTint="66"/>
            <w:noWrap/>
            <w:hideMark/>
          </w:tcPr>
          <w:p w14:paraId="217AEF4F"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14:paraId="043B5B15"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14:paraId="7421DCA3"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14:paraId="521A5944"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9" w:type="dxa"/>
            <w:shd w:val="clear" w:color="auto" w:fill="D6E3BC" w:themeFill="accent3" w:themeFillTint="66"/>
            <w:noWrap/>
            <w:hideMark/>
          </w:tcPr>
          <w:p w14:paraId="57DF6FE0"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 </w:t>
            </w:r>
          </w:p>
        </w:tc>
        <w:tc>
          <w:tcPr>
            <w:tcW w:w="1028" w:type="dxa"/>
            <w:shd w:val="clear" w:color="auto" w:fill="D6E3BC" w:themeFill="accent3" w:themeFillTint="66"/>
            <w:noWrap/>
            <w:hideMark/>
          </w:tcPr>
          <w:p w14:paraId="31D3CCFA"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452</w:t>
            </w:r>
          </w:p>
        </w:tc>
        <w:tc>
          <w:tcPr>
            <w:tcW w:w="1029" w:type="dxa"/>
            <w:shd w:val="clear" w:color="auto" w:fill="D6E3BC" w:themeFill="accent3" w:themeFillTint="66"/>
            <w:noWrap/>
            <w:hideMark/>
          </w:tcPr>
          <w:p w14:paraId="256B5C2D" w14:textId="77777777" w:rsidR="001404C4" w:rsidRPr="00C96788" w:rsidRDefault="001404C4" w:rsidP="00F45CC2">
            <w:pPr>
              <w:pStyle w:val="NoSpacing"/>
              <w:ind w:left="0" w:firstLine="0"/>
              <w:jc w:val="right"/>
              <w:rPr>
                <w:rFonts w:asciiTheme="minorHAnsi" w:eastAsia="Times New Roman" w:hAnsiTheme="minorHAnsi" w:cstheme="minorHAnsi"/>
                <w:b/>
                <w:bCs/>
                <w:sz w:val="18"/>
                <w:szCs w:val="18"/>
                <w:lang w:eastAsia="en-GB"/>
              </w:rPr>
            </w:pPr>
            <w:r w:rsidRPr="00C96788">
              <w:rPr>
                <w:rFonts w:asciiTheme="minorHAnsi" w:eastAsia="Times New Roman" w:hAnsiTheme="minorHAnsi" w:cstheme="minorHAnsi"/>
                <w:b/>
                <w:bCs/>
                <w:sz w:val="18"/>
                <w:szCs w:val="18"/>
                <w:lang w:eastAsia="en-GB"/>
              </w:rPr>
              <w:t>1,488</w:t>
            </w:r>
          </w:p>
        </w:tc>
      </w:tr>
    </w:tbl>
    <w:p w14:paraId="20F9A29F" w14:textId="77777777" w:rsidR="001404C4" w:rsidRPr="00C96788" w:rsidRDefault="001404C4" w:rsidP="001404C4">
      <w:pPr>
        <w:pStyle w:val="NoSpacing"/>
        <w:ind w:left="-426" w:firstLine="0"/>
        <w:rPr>
          <w:rFonts w:asciiTheme="minorHAnsi" w:eastAsia="Times New Roman" w:hAnsiTheme="minorHAnsi" w:cs="Arial"/>
          <w:bCs/>
          <w:sz w:val="20"/>
          <w:szCs w:val="20"/>
          <w:lang w:eastAsia="en-GB"/>
        </w:rPr>
      </w:pPr>
      <w:r w:rsidRPr="00C96788">
        <w:rPr>
          <w:rFonts w:asciiTheme="minorHAnsi" w:eastAsia="Times New Roman" w:hAnsiTheme="minorHAnsi" w:cs="Arial"/>
          <w:bCs/>
          <w:sz w:val="20"/>
          <w:szCs w:val="20"/>
          <w:lang w:eastAsia="en-GB"/>
        </w:rPr>
        <w:t>Notes:</w:t>
      </w:r>
    </w:p>
    <w:p w14:paraId="23E0764B" w14:textId="77777777" w:rsidR="001404C4" w:rsidRPr="0018460B" w:rsidRDefault="001404C4" w:rsidP="001404C4">
      <w:pPr>
        <w:pStyle w:val="NoSpacing"/>
        <w:ind w:left="-426" w:firstLine="0"/>
        <w:rPr>
          <w:rFonts w:asciiTheme="minorHAnsi" w:eastAsia="Times New Roman" w:hAnsiTheme="minorHAnsi" w:cs="Arial"/>
          <w:bCs/>
          <w:sz w:val="20"/>
          <w:szCs w:val="20"/>
          <w:lang w:eastAsia="en-GB"/>
        </w:rPr>
      </w:pPr>
      <w:r w:rsidRPr="00C96788">
        <w:rPr>
          <w:rFonts w:asciiTheme="minorHAnsi" w:eastAsia="Times New Roman" w:hAnsiTheme="minorHAnsi" w:cs="Arial"/>
          <w:bCs/>
          <w:sz w:val="20"/>
          <w:szCs w:val="20"/>
          <w:lang w:eastAsia="en-GB"/>
        </w:rPr>
        <w:t>1) Surplus CHF 562 minus CHF 110 (corrections between core and non-core as per paragraph 12 and rounding differences) equals surplus of CHF 452 as per the financial statements</w:t>
      </w:r>
    </w:p>
    <w:p w14:paraId="7526EE7D" w14:textId="77777777" w:rsidR="001404C4" w:rsidRPr="0040340A" w:rsidRDefault="001404C4" w:rsidP="001404C4">
      <w:pPr>
        <w:pStyle w:val="NoSpacing"/>
        <w:ind w:left="-426" w:firstLine="0"/>
        <w:rPr>
          <w:rFonts w:asciiTheme="minorHAnsi" w:eastAsia="Times New Roman" w:hAnsiTheme="minorHAnsi" w:cs="Arial"/>
          <w:bCs/>
          <w:sz w:val="20"/>
          <w:szCs w:val="20"/>
          <w:lang w:eastAsia="en-GB"/>
        </w:rPr>
      </w:pPr>
      <w:r w:rsidRPr="0018460B">
        <w:rPr>
          <w:rFonts w:asciiTheme="minorHAnsi" w:eastAsia="Times New Roman" w:hAnsiTheme="minorHAnsi" w:cs="Arial"/>
          <w:bCs/>
          <w:sz w:val="20"/>
          <w:szCs w:val="20"/>
          <w:lang w:eastAsia="en-GB"/>
        </w:rPr>
        <w:t>2) See Table 1 for the details of the pre-committed 2019 amounts to be spent in 2020 of the Total Surplus of CHF 1,488K</w:t>
      </w:r>
      <w:r>
        <w:rPr>
          <w:rFonts w:asciiTheme="minorHAnsi" w:eastAsia="Times New Roman" w:hAnsiTheme="minorHAnsi" w:cs="Arial"/>
          <w:bCs/>
          <w:i/>
          <w:sz w:val="20"/>
          <w:szCs w:val="20"/>
          <w:lang w:eastAsia="en-GB"/>
        </w:rPr>
        <w:br w:type="page"/>
      </w:r>
    </w:p>
    <w:p w14:paraId="0B2A0F52" w14:textId="40E82E5D" w:rsidR="00BA0F3C" w:rsidRDefault="001458BE" w:rsidP="007114B2">
      <w:pPr>
        <w:ind w:left="0" w:firstLine="0"/>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lastRenderedPageBreak/>
        <w:t>Annex 3</w:t>
      </w:r>
    </w:p>
    <w:p w14:paraId="098F563F" w14:textId="77777777" w:rsidR="00330040" w:rsidRDefault="001458BE" w:rsidP="007114B2">
      <w:pPr>
        <w:ind w:left="0" w:firstLine="0"/>
        <w:rPr>
          <w:rFonts w:asciiTheme="minorHAnsi" w:eastAsia="Times New Roman" w:hAnsiTheme="minorHAnsi" w:cs="Arial"/>
          <w:b/>
          <w:bCs/>
          <w:lang w:eastAsia="en-GB"/>
        </w:rPr>
      </w:pPr>
      <w:r w:rsidRPr="007114B2">
        <w:rPr>
          <w:rFonts w:asciiTheme="minorHAnsi" w:eastAsia="Times New Roman" w:hAnsiTheme="minorHAnsi" w:cs="Arial"/>
          <w:b/>
          <w:bCs/>
          <w:lang w:eastAsia="en-GB"/>
        </w:rPr>
        <w:t>Projects financed by restricted funds for the period 01 January 201</w:t>
      </w:r>
      <w:r w:rsidR="001938E4" w:rsidRPr="007114B2">
        <w:rPr>
          <w:rFonts w:asciiTheme="minorHAnsi" w:eastAsia="Times New Roman" w:hAnsiTheme="minorHAnsi" w:cs="Arial"/>
          <w:b/>
          <w:bCs/>
          <w:lang w:eastAsia="en-GB"/>
        </w:rPr>
        <w:t>9</w:t>
      </w:r>
      <w:r w:rsidRPr="007114B2">
        <w:rPr>
          <w:rFonts w:asciiTheme="minorHAnsi" w:eastAsia="Times New Roman" w:hAnsiTheme="minorHAnsi" w:cs="Arial"/>
          <w:b/>
          <w:bCs/>
          <w:lang w:eastAsia="en-GB"/>
        </w:rPr>
        <w:t xml:space="preserve"> - 31 December </w:t>
      </w:r>
      <w:r w:rsidR="009F5180" w:rsidRPr="007114B2">
        <w:rPr>
          <w:rFonts w:asciiTheme="minorHAnsi" w:eastAsia="Times New Roman" w:hAnsiTheme="minorHAnsi" w:cs="Arial"/>
          <w:b/>
          <w:bCs/>
          <w:lang w:eastAsia="en-GB"/>
        </w:rPr>
        <w:t>2019</w:t>
      </w:r>
    </w:p>
    <w:p w14:paraId="2A9B630D" w14:textId="4CB4D91A" w:rsidR="00413AEE" w:rsidRDefault="001458BE" w:rsidP="007114B2">
      <w:pPr>
        <w:ind w:left="0" w:firstLine="0"/>
        <w:rPr>
          <w:rFonts w:asciiTheme="minorHAnsi" w:eastAsia="Times New Roman" w:hAnsiTheme="minorHAnsi" w:cs="Arial"/>
          <w:bCs/>
          <w:i/>
          <w:sz w:val="20"/>
          <w:szCs w:val="20"/>
          <w:lang w:eastAsia="en-GB"/>
        </w:rPr>
      </w:pPr>
      <w:r w:rsidRPr="00167681">
        <w:rPr>
          <w:rFonts w:asciiTheme="minorHAnsi" w:eastAsia="Times New Roman" w:hAnsiTheme="minorHAnsi" w:cs="Arial"/>
          <w:bCs/>
          <w:i/>
          <w:sz w:val="20"/>
          <w:szCs w:val="20"/>
          <w:lang w:eastAsia="en-GB"/>
        </w:rPr>
        <w:t>(</w:t>
      </w:r>
      <w:r w:rsidR="00330040" w:rsidRPr="00167681">
        <w:rPr>
          <w:rFonts w:asciiTheme="minorHAnsi" w:eastAsia="Times New Roman" w:hAnsiTheme="minorHAnsi" w:cs="Arial"/>
          <w:bCs/>
          <w:i/>
          <w:sz w:val="20"/>
          <w:szCs w:val="20"/>
          <w:lang w:eastAsia="en-GB"/>
        </w:rPr>
        <w:t xml:space="preserve">CHF </w:t>
      </w:r>
      <w:r w:rsidR="00862FC2" w:rsidRPr="00167681">
        <w:rPr>
          <w:rFonts w:asciiTheme="minorHAnsi" w:eastAsia="Times New Roman" w:hAnsiTheme="minorHAnsi" w:cs="Arial"/>
          <w:bCs/>
          <w:i/>
          <w:sz w:val="20"/>
          <w:szCs w:val="20"/>
          <w:lang w:eastAsia="en-GB"/>
        </w:rPr>
        <w:t>‘</w:t>
      </w:r>
      <w:r w:rsidRPr="00167681">
        <w:rPr>
          <w:rFonts w:asciiTheme="minorHAnsi" w:eastAsia="Times New Roman" w:hAnsiTheme="minorHAnsi" w:cs="Arial"/>
          <w:bCs/>
          <w:i/>
          <w:sz w:val="20"/>
          <w:szCs w:val="20"/>
          <w:lang w:eastAsia="en-GB"/>
        </w:rPr>
        <w:t>000</w:t>
      </w:r>
      <w:r w:rsidR="00330040" w:rsidRPr="00167681">
        <w:rPr>
          <w:rFonts w:asciiTheme="minorHAnsi" w:eastAsia="Times New Roman" w:hAnsiTheme="minorHAnsi" w:cs="Arial"/>
          <w:bCs/>
          <w:i/>
          <w:sz w:val="20"/>
          <w:szCs w:val="20"/>
          <w:lang w:eastAsia="en-GB"/>
        </w:rPr>
        <w:t>s</w:t>
      </w:r>
      <w:r w:rsidRPr="00167681">
        <w:rPr>
          <w:rFonts w:asciiTheme="minorHAnsi" w:eastAsia="Times New Roman" w:hAnsiTheme="minorHAnsi" w:cs="Arial"/>
          <w:bCs/>
          <w:i/>
          <w:sz w:val="20"/>
          <w:szCs w:val="20"/>
          <w:lang w:eastAsia="en-GB"/>
        </w:rPr>
        <w:t>, includes possible rounding differences</w:t>
      </w:r>
      <w:r w:rsidR="00330040" w:rsidRPr="00167681">
        <w:rPr>
          <w:rFonts w:asciiTheme="minorHAnsi" w:eastAsia="Times New Roman" w:hAnsiTheme="minorHAnsi" w:cs="Arial"/>
          <w:bCs/>
          <w:i/>
          <w:sz w:val="20"/>
          <w:szCs w:val="20"/>
          <w:lang w:eastAsia="en-GB"/>
        </w:rPr>
        <w:t>)</w:t>
      </w:r>
    </w:p>
    <w:p w14:paraId="50F98C31" w14:textId="77777777" w:rsidR="001404C4" w:rsidRPr="00167681" w:rsidRDefault="001404C4" w:rsidP="007114B2">
      <w:pPr>
        <w:ind w:left="0" w:firstLine="0"/>
        <w:rPr>
          <w:rFonts w:asciiTheme="minorHAnsi" w:eastAsia="Times New Roman" w:hAnsiTheme="minorHAnsi" w:cs="Arial"/>
          <w:bCs/>
          <w:i/>
          <w:sz w:val="20"/>
          <w:szCs w:val="20"/>
          <w:lang w:eastAsia="en-GB"/>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1277"/>
        <w:gridCol w:w="2131"/>
        <w:gridCol w:w="1332"/>
        <w:gridCol w:w="1191"/>
        <w:gridCol w:w="1190"/>
        <w:gridCol w:w="1191"/>
        <w:gridCol w:w="1333"/>
      </w:tblGrid>
      <w:tr w:rsidR="00F45CC2" w:rsidRPr="00F45CC2" w14:paraId="32A7CE5D" w14:textId="77777777" w:rsidTr="00D8194D">
        <w:trPr>
          <w:cantSplit/>
          <w:tblHeader/>
        </w:trPr>
        <w:tc>
          <w:tcPr>
            <w:tcW w:w="1277" w:type="dxa"/>
            <w:tcBorders>
              <w:bottom w:val="nil"/>
            </w:tcBorders>
            <w:shd w:val="clear" w:color="000000" w:fill="D6E3BC"/>
            <w:vAlign w:val="center"/>
            <w:hideMark/>
          </w:tcPr>
          <w:p w14:paraId="4223B323"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Project Number</w:t>
            </w:r>
          </w:p>
        </w:tc>
        <w:tc>
          <w:tcPr>
            <w:tcW w:w="2131" w:type="dxa"/>
            <w:tcBorders>
              <w:bottom w:val="nil"/>
            </w:tcBorders>
            <w:shd w:val="clear" w:color="000000" w:fill="D6E3BC"/>
            <w:vAlign w:val="center"/>
            <w:hideMark/>
          </w:tcPr>
          <w:p w14:paraId="6E9C14B0"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Project Name</w:t>
            </w:r>
          </w:p>
        </w:tc>
        <w:tc>
          <w:tcPr>
            <w:tcW w:w="1332" w:type="dxa"/>
            <w:tcBorders>
              <w:bottom w:val="nil"/>
            </w:tcBorders>
            <w:shd w:val="clear" w:color="000000" w:fill="D6E3BC"/>
            <w:vAlign w:val="center"/>
            <w:hideMark/>
          </w:tcPr>
          <w:p w14:paraId="74D28F02"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Balance (deficit) at 31 December 2018</w:t>
            </w:r>
          </w:p>
        </w:tc>
        <w:tc>
          <w:tcPr>
            <w:tcW w:w="1191" w:type="dxa"/>
            <w:tcBorders>
              <w:bottom w:val="nil"/>
            </w:tcBorders>
            <w:shd w:val="clear" w:color="000000" w:fill="D6E3BC"/>
            <w:vAlign w:val="center"/>
            <w:hideMark/>
          </w:tcPr>
          <w:p w14:paraId="4CC52F4B"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Income during 2019</w:t>
            </w:r>
          </w:p>
        </w:tc>
        <w:tc>
          <w:tcPr>
            <w:tcW w:w="1190" w:type="dxa"/>
            <w:tcBorders>
              <w:bottom w:val="nil"/>
            </w:tcBorders>
            <w:shd w:val="clear" w:color="000000" w:fill="D6E3BC"/>
            <w:vAlign w:val="center"/>
            <w:hideMark/>
          </w:tcPr>
          <w:p w14:paraId="43B43BEB"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Expenditure during 2019</w:t>
            </w:r>
          </w:p>
        </w:tc>
        <w:tc>
          <w:tcPr>
            <w:tcW w:w="1191" w:type="dxa"/>
            <w:tcBorders>
              <w:bottom w:val="nil"/>
            </w:tcBorders>
            <w:shd w:val="clear" w:color="000000" w:fill="D6E3BC"/>
            <w:vAlign w:val="center"/>
            <w:hideMark/>
          </w:tcPr>
          <w:p w14:paraId="746B80E2"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Project transfers and cross charges</w:t>
            </w:r>
          </w:p>
        </w:tc>
        <w:tc>
          <w:tcPr>
            <w:tcW w:w="1333" w:type="dxa"/>
            <w:tcBorders>
              <w:bottom w:val="nil"/>
            </w:tcBorders>
            <w:shd w:val="clear" w:color="000000" w:fill="D6E3BC"/>
            <w:vAlign w:val="center"/>
            <w:hideMark/>
          </w:tcPr>
          <w:p w14:paraId="5B3C4820" w14:textId="77777777" w:rsidR="00F45CC2" w:rsidRPr="00F45CC2" w:rsidRDefault="00F45CC2" w:rsidP="00F45CC2">
            <w:pPr>
              <w:ind w:left="0" w:firstLine="0"/>
              <w:jc w:val="center"/>
              <w:rPr>
                <w:rFonts w:eastAsia="Times New Roman" w:cs="Calibri"/>
                <w:b/>
                <w:bCs/>
                <w:sz w:val="20"/>
                <w:szCs w:val="20"/>
                <w:lang w:eastAsia="en-GB"/>
              </w:rPr>
            </w:pPr>
            <w:r w:rsidRPr="00F45CC2">
              <w:rPr>
                <w:rFonts w:eastAsia="Times New Roman" w:cs="Calibri"/>
                <w:b/>
                <w:bCs/>
                <w:sz w:val="20"/>
                <w:szCs w:val="20"/>
                <w:lang w:eastAsia="en-GB"/>
              </w:rPr>
              <w:t>Balance (deficit) at 31 December 2019</w:t>
            </w:r>
          </w:p>
        </w:tc>
      </w:tr>
      <w:tr w:rsidR="00F45CC2" w:rsidRPr="00F45CC2" w14:paraId="42BE731C" w14:textId="77777777" w:rsidTr="00D8194D">
        <w:trPr>
          <w:cantSplit/>
          <w:tblHeader/>
        </w:trPr>
        <w:tc>
          <w:tcPr>
            <w:tcW w:w="1277" w:type="dxa"/>
            <w:tcBorders>
              <w:top w:val="nil"/>
            </w:tcBorders>
            <w:shd w:val="clear" w:color="000000" w:fill="D6E3BC"/>
            <w:hideMark/>
          </w:tcPr>
          <w:p w14:paraId="6AA49E59" w14:textId="15C271D0" w:rsidR="00F45CC2" w:rsidRPr="00F45CC2" w:rsidRDefault="00F45CC2" w:rsidP="00F45CC2">
            <w:pPr>
              <w:ind w:left="0" w:firstLine="0"/>
              <w:jc w:val="center"/>
              <w:rPr>
                <w:rFonts w:eastAsia="Times New Roman" w:cs="Calibri"/>
                <w:lang w:eastAsia="en-GB"/>
              </w:rPr>
            </w:pPr>
          </w:p>
        </w:tc>
        <w:tc>
          <w:tcPr>
            <w:tcW w:w="2131" w:type="dxa"/>
            <w:tcBorders>
              <w:top w:val="nil"/>
            </w:tcBorders>
            <w:shd w:val="clear" w:color="000000" w:fill="D6E3BC"/>
            <w:hideMark/>
          </w:tcPr>
          <w:p w14:paraId="485BB0FF" w14:textId="5F94EAB0" w:rsidR="00F45CC2" w:rsidRPr="00F45CC2" w:rsidRDefault="00F45CC2" w:rsidP="00F45CC2">
            <w:pPr>
              <w:ind w:left="0" w:firstLine="0"/>
              <w:jc w:val="center"/>
              <w:rPr>
                <w:rFonts w:eastAsia="Times New Roman" w:cs="Calibri"/>
                <w:lang w:eastAsia="en-GB"/>
              </w:rPr>
            </w:pPr>
          </w:p>
        </w:tc>
        <w:tc>
          <w:tcPr>
            <w:tcW w:w="1332" w:type="dxa"/>
            <w:tcBorders>
              <w:top w:val="nil"/>
            </w:tcBorders>
            <w:shd w:val="clear" w:color="000000" w:fill="D6E3BC"/>
            <w:vAlign w:val="center"/>
            <w:hideMark/>
          </w:tcPr>
          <w:p w14:paraId="00A1F95D" w14:textId="77777777" w:rsidR="00F45CC2" w:rsidRPr="00F45CC2" w:rsidRDefault="00F45CC2" w:rsidP="00DC0921">
            <w:pPr>
              <w:ind w:left="0" w:firstLine="0"/>
              <w:jc w:val="center"/>
              <w:rPr>
                <w:rFonts w:eastAsia="Times New Roman" w:cs="Calibri"/>
                <w:sz w:val="20"/>
                <w:szCs w:val="20"/>
                <w:lang w:eastAsia="en-GB"/>
              </w:rPr>
            </w:pPr>
            <w:r w:rsidRPr="00F45CC2">
              <w:rPr>
                <w:rFonts w:eastAsia="Times New Roman" w:cs="Calibri"/>
                <w:sz w:val="20"/>
                <w:szCs w:val="20"/>
                <w:lang w:eastAsia="en-GB"/>
              </w:rPr>
              <w:t>(DR)/CR</w:t>
            </w:r>
          </w:p>
        </w:tc>
        <w:tc>
          <w:tcPr>
            <w:tcW w:w="1191" w:type="dxa"/>
            <w:tcBorders>
              <w:top w:val="nil"/>
            </w:tcBorders>
            <w:shd w:val="clear" w:color="000000" w:fill="D6E3BC"/>
            <w:vAlign w:val="center"/>
            <w:hideMark/>
          </w:tcPr>
          <w:p w14:paraId="60E80647" w14:textId="77777777" w:rsidR="00F45CC2" w:rsidRPr="00F45CC2" w:rsidRDefault="00F45CC2" w:rsidP="00DC0921">
            <w:pPr>
              <w:ind w:left="0" w:firstLine="0"/>
              <w:jc w:val="center"/>
              <w:rPr>
                <w:rFonts w:eastAsia="Times New Roman" w:cs="Calibri"/>
                <w:sz w:val="20"/>
                <w:szCs w:val="20"/>
                <w:lang w:eastAsia="en-GB"/>
              </w:rPr>
            </w:pPr>
            <w:r w:rsidRPr="00F45CC2">
              <w:rPr>
                <w:rFonts w:eastAsia="Times New Roman" w:cs="Calibri"/>
                <w:sz w:val="20"/>
                <w:szCs w:val="20"/>
                <w:lang w:eastAsia="en-GB"/>
              </w:rPr>
              <w:t>(DR)/CR</w:t>
            </w:r>
          </w:p>
        </w:tc>
        <w:tc>
          <w:tcPr>
            <w:tcW w:w="1190" w:type="dxa"/>
            <w:tcBorders>
              <w:top w:val="nil"/>
            </w:tcBorders>
            <w:shd w:val="clear" w:color="000000" w:fill="D6E3BC"/>
            <w:vAlign w:val="center"/>
            <w:hideMark/>
          </w:tcPr>
          <w:p w14:paraId="4045B30D" w14:textId="77777777" w:rsidR="00F45CC2" w:rsidRPr="00F45CC2" w:rsidRDefault="00F45CC2" w:rsidP="00DC0921">
            <w:pPr>
              <w:ind w:left="0" w:firstLine="0"/>
              <w:jc w:val="center"/>
              <w:rPr>
                <w:rFonts w:eastAsia="Times New Roman" w:cs="Calibri"/>
                <w:sz w:val="20"/>
                <w:szCs w:val="20"/>
                <w:lang w:eastAsia="en-GB"/>
              </w:rPr>
            </w:pPr>
            <w:r w:rsidRPr="00F45CC2">
              <w:rPr>
                <w:rFonts w:eastAsia="Times New Roman" w:cs="Calibri"/>
                <w:sz w:val="20"/>
                <w:szCs w:val="20"/>
                <w:lang w:eastAsia="en-GB"/>
              </w:rPr>
              <w:t>(DR)/CR</w:t>
            </w:r>
          </w:p>
        </w:tc>
        <w:tc>
          <w:tcPr>
            <w:tcW w:w="1191" w:type="dxa"/>
            <w:tcBorders>
              <w:top w:val="nil"/>
            </w:tcBorders>
            <w:shd w:val="clear" w:color="000000" w:fill="D6E3BC"/>
            <w:vAlign w:val="center"/>
            <w:hideMark/>
          </w:tcPr>
          <w:p w14:paraId="4CF2D62F" w14:textId="77777777" w:rsidR="00F45CC2" w:rsidRPr="00F45CC2" w:rsidRDefault="00F45CC2" w:rsidP="00DC0921">
            <w:pPr>
              <w:ind w:left="0" w:firstLine="0"/>
              <w:jc w:val="center"/>
              <w:rPr>
                <w:rFonts w:eastAsia="Times New Roman" w:cs="Calibri"/>
                <w:sz w:val="20"/>
                <w:szCs w:val="20"/>
                <w:lang w:eastAsia="en-GB"/>
              </w:rPr>
            </w:pPr>
            <w:r w:rsidRPr="00F45CC2">
              <w:rPr>
                <w:rFonts w:eastAsia="Times New Roman" w:cs="Calibri"/>
                <w:sz w:val="20"/>
                <w:szCs w:val="20"/>
                <w:lang w:eastAsia="en-GB"/>
              </w:rPr>
              <w:t>(DR)/CR</w:t>
            </w:r>
          </w:p>
        </w:tc>
        <w:tc>
          <w:tcPr>
            <w:tcW w:w="1333" w:type="dxa"/>
            <w:tcBorders>
              <w:top w:val="nil"/>
            </w:tcBorders>
            <w:shd w:val="clear" w:color="000000" w:fill="D6E3BC"/>
            <w:vAlign w:val="center"/>
            <w:hideMark/>
          </w:tcPr>
          <w:p w14:paraId="1B0FA876" w14:textId="77777777" w:rsidR="00F45CC2" w:rsidRPr="00F45CC2" w:rsidRDefault="00F45CC2" w:rsidP="00DC0921">
            <w:pPr>
              <w:ind w:left="0" w:firstLine="0"/>
              <w:jc w:val="center"/>
              <w:rPr>
                <w:rFonts w:eastAsia="Times New Roman" w:cs="Calibri"/>
                <w:sz w:val="20"/>
                <w:szCs w:val="20"/>
                <w:lang w:eastAsia="en-GB"/>
              </w:rPr>
            </w:pPr>
            <w:r w:rsidRPr="00F45CC2">
              <w:rPr>
                <w:rFonts w:eastAsia="Times New Roman" w:cs="Calibri"/>
                <w:sz w:val="20"/>
                <w:szCs w:val="20"/>
                <w:lang w:eastAsia="en-GB"/>
              </w:rPr>
              <w:t>(DR)/CR</w:t>
            </w:r>
          </w:p>
        </w:tc>
      </w:tr>
      <w:tr w:rsidR="00DC0921" w:rsidRPr="00F45CC2" w14:paraId="288CF680" w14:textId="77777777" w:rsidTr="00D8194D">
        <w:trPr>
          <w:cantSplit/>
        </w:trPr>
        <w:tc>
          <w:tcPr>
            <w:tcW w:w="3408" w:type="dxa"/>
            <w:gridSpan w:val="2"/>
            <w:shd w:val="clear" w:color="auto" w:fill="auto"/>
            <w:vAlign w:val="center"/>
            <w:hideMark/>
          </w:tcPr>
          <w:p w14:paraId="6FB6F874" w14:textId="77777777" w:rsidR="00DC0921" w:rsidRPr="00F45CC2" w:rsidRDefault="00DC0921" w:rsidP="00F45CC2">
            <w:pPr>
              <w:ind w:left="0" w:firstLine="0"/>
              <w:rPr>
                <w:rFonts w:eastAsia="Times New Roman" w:cs="Calibri"/>
                <w:b/>
                <w:bCs/>
                <w:sz w:val="20"/>
                <w:szCs w:val="20"/>
                <w:lang w:eastAsia="en-GB"/>
              </w:rPr>
            </w:pPr>
            <w:r w:rsidRPr="00F45CC2">
              <w:rPr>
                <w:rFonts w:eastAsia="Times New Roman" w:cs="Calibri"/>
                <w:b/>
                <w:bCs/>
                <w:sz w:val="20"/>
                <w:szCs w:val="20"/>
                <w:lang w:eastAsia="en-GB"/>
              </w:rPr>
              <w:t> </w:t>
            </w:r>
          </w:p>
          <w:p w14:paraId="1F52D483" w14:textId="59667B9E" w:rsidR="00DC0921" w:rsidRPr="00F45CC2" w:rsidRDefault="00DC0921" w:rsidP="00DC0921">
            <w:pPr>
              <w:ind w:left="0" w:firstLine="0"/>
              <w:rPr>
                <w:rFonts w:eastAsia="Times New Roman" w:cs="Calibri"/>
                <w:b/>
                <w:bCs/>
                <w:sz w:val="20"/>
                <w:szCs w:val="20"/>
                <w:lang w:eastAsia="en-GB"/>
              </w:rPr>
            </w:pPr>
            <w:r w:rsidRPr="00F45CC2">
              <w:rPr>
                <w:rFonts w:eastAsia="Times New Roman" w:cs="Calibri"/>
                <w:b/>
                <w:bCs/>
                <w:sz w:val="20"/>
                <w:szCs w:val="20"/>
                <w:u w:val="single"/>
                <w:lang w:eastAsia="en-GB"/>
              </w:rPr>
              <w:t>International Cooperation</w:t>
            </w:r>
          </w:p>
        </w:tc>
        <w:tc>
          <w:tcPr>
            <w:tcW w:w="1332" w:type="dxa"/>
            <w:shd w:val="clear" w:color="auto" w:fill="auto"/>
            <w:vAlign w:val="bottom"/>
            <w:hideMark/>
          </w:tcPr>
          <w:p w14:paraId="47AF692D" w14:textId="77777777" w:rsidR="00DC0921" w:rsidRPr="00DC0921" w:rsidRDefault="00DC0921" w:rsidP="00DC0921">
            <w:pPr>
              <w:ind w:left="0" w:firstLine="0"/>
              <w:jc w:val="right"/>
              <w:rPr>
                <w:rFonts w:eastAsia="Times New Roman" w:cs="Calibri"/>
                <w:sz w:val="20"/>
                <w:szCs w:val="20"/>
                <w:lang w:eastAsia="en-GB"/>
              </w:rPr>
            </w:pPr>
            <w:r w:rsidRPr="00DC0921">
              <w:rPr>
                <w:rFonts w:eastAsia="Times New Roman" w:cs="Calibri"/>
                <w:sz w:val="20"/>
                <w:szCs w:val="20"/>
                <w:lang w:eastAsia="en-GB"/>
              </w:rPr>
              <w:t> </w:t>
            </w:r>
          </w:p>
        </w:tc>
        <w:tc>
          <w:tcPr>
            <w:tcW w:w="1191" w:type="dxa"/>
            <w:shd w:val="clear" w:color="auto" w:fill="auto"/>
            <w:vAlign w:val="bottom"/>
            <w:hideMark/>
          </w:tcPr>
          <w:p w14:paraId="2F62B70B" w14:textId="77777777" w:rsidR="00DC0921" w:rsidRPr="00F45CC2" w:rsidRDefault="00DC0921" w:rsidP="00DC0921">
            <w:pPr>
              <w:ind w:left="0" w:firstLine="0"/>
              <w:rPr>
                <w:rFonts w:eastAsia="Times New Roman" w:cs="Calibri"/>
                <w:lang w:eastAsia="en-GB"/>
              </w:rPr>
            </w:pPr>
            <w:r w:rsidRPr="00F45CC2">
              <w:rPr>
                <w:rFonts w:eastAsia="Times New Roman" w:cs="Calibri"/>
                <w:lang w:eastAsia="en-GB"/>
              </w:rPr>
              <w:t> </w:t>
            </w:r>
          </w:p>
        </w:tc>
        <w:tc>
          <w:tcPr>
            <w:tcW w:w="1190" w:type="dxa"/>
            <w:shd w:val="clear" w:color="auto" w:fill="auto"/>
            <w:vAlign w:val="bottom"/>
            <w:hideMark/>
          </w:tcPr>
          <w:p w14:paraId="7914F6B6" w14:textId="77777777" w:rsidR="00DC0921" w:rsidRPr="00F45CC2" w:rsidRDefault="00DC0921" w:rsidP="00DC0921">
            <w:pPr>
              <w:ind w:left="0" w:firstLine="0"/>
              <w:rPr>
                <w:rFonts w:eastAsia="Times New Roman" w:cs="Calibri"/>
                <w:lang w:eastAsia="en-GB"/>
              </w:rPr>
            </w:pPr>
            <w:r w:rsidRPr="00F45CC2">
              <w:rPr>
                <w:rFonts w:eastAsia="Times New Roman" w:cs="Calibri"/>
                <w:lang w:eastAsia="en-GB"/>
              </w:rPr>
              <w:t> </w:t>
            </w:r>
          </w:p>
        </w:tc>
        <w:tc>
          <w:tcPr>
            <w:tcW w:w="1191" w:type="dxa"/>
            <w:shd w:val="clear" w:color="auto" w:fill="auto"/>
            <w:vAlign w:val="bottom"/>
            <w:hideMark/>
          </w:tcPr>
          <w:p w14:paraId="34499C87" w14:textId="77777777" w:rsidR="00DC0921" w:rsidRPr="00F45CC2" w:rsidRDefault="00DC0921" w:rsidP="00DC0921">
            <w:pPr>
              <w:ind w:left="0" w:firstLine="0"/>
              <w:rPr>
                <w:rFonts w:eastAsia="Times New Roman" w:cs="Calibri"/>
                <w:lang w:eastAsia="en-GB"/>
              </w:rPr>
            </w:pPr>
            <w:r w:rsidRPr="00F45CC2">
              <w:rPr>
                <w:rFonts w:eastAsia="Times New Roman" w:cs="Calibri"/>
                <w:lang w:eastAsia="en-GB"/>
              </w:rPr>
              <w:t> </w:t>
            </w:r>
          </w:p>
        </w:tc>
        <w:tc>
          <w:tcPr>
            <w:tcW w:w="1333" w:type="dxa"/>
            <w:shd w:val="clear" w:color="auto" w:fill="auto"/>
            <w:vAlign w:val="bottom"/>
            <w:hideMark/>
          </w:tcPr>
          <w:p w14:paraId="0706BCFD" w14:textId="77777777" w:rsidR="00DC0921" w:rsidRPr="00F45CC2" w:rsidRDefault="00DC0921" w:rsidP="00DC0921">
            <w:pPr>
              <w:ind w:left="0" w:firstLine="0"/>
              <w:rPr>
                <w:rFonts w:eastAsia="Times New Roman" w:cs="Calibri"/>
                <w:lang w:eastAsia="en-GB"/>
              </w:rPr>
            </w:pPr>
            <w:r w:rsidRPr="00F45CC2">
              <w:rPr>
                <w:rFonts w:eastAsia="Times New Roman" w:cs="Calibri"/>
                <w:lang w:eastAsia="en-GB"/>
              </w:rPr>
              <w:t> </w:t>
            </w:r>
          </w:p>
        </w:tc>
      </w:tr>
      <w:tr w:rsidR="00F45CC2" w:rsidRPr="00F45CC2" w14:paraId="7E3A25BA" w14:textId="77777777" w:rsidTr="00D8194D">
        <w:tc>
          <w:tcPr>
            <w:tcW w:w="1277" w:type="dxa"/>
            <w:shd w:val="clear" w:color="auto" w:fill="auto"/>
            <w:hideMark/>
          </w:tcPr>
          <w:p w14:paraId="2219CAB7"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R100159</w:t>
            </w:r>
          </w:p>
        </w:tc>
        <w:tc>
          <w:tcPr>
            <w:tcW w:w="2131" w:type="dxa"/>
            <w:shd w:val="clear" w:color="auto" w:fill="auto"/>
            <w:noWrap/>
            <w:hideMark/>
          </w:tcPr>
          <w:p w14:paraId="528287F3"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SGF-2009</w:t>
            </w:r>
          </w:p>
        </w:tc>
        <w:tc>
          <w:tcPr>
            <w:tcW w:w="1332" w:type="dxa"/>
            <w:shd w:val="clear" w:color="auto" w:fill="auto"/>
            <w:hideMark/>
          </w:tcPr>
          <w:p w14:paraId="74A65B5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60</w:t>
            </w:r>
          </w:p>
        </w:tc>
        <w:tc>
          <w:tcPr>
            <w:tcW w:w="1191" w:type="dxa"/>
            <w:shd w:val="clear" w:color="auto" w:fill="auto"/>
            <w:hideMark/>
          </w:tcPr>
          <w:p w14:paraId="2D0A8E7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9093DA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4290281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(60)</w:t>
            </w:r>
          </w:p>
        </w:tc>
        <w:tc>
          <w:tcPr>
            <w:tcW w:w="1333" w:type="dxa"/>
            <w:shd w:val="clear" w:color="auto" w:fill="auto"/>
            <w:hideMark/>
          </w:tcPr>
          <w:p w14:paraId="2F5F833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33CE37CE" w14:textId="77777777" w:rsidTr="00D8194D">
        <w:tc>
          <w:tcPr>
            <w:tcW w:w="1277" w:type="dxa"/>
            <w:shd w:val="clear" w:color="auto" w:fill="auto"/>
            <w:hideMark/>
          </w:tcPr>
          <w:p w14:paraId="17C652B9"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R100160</w:t>
            </w:r>
          </w:p>
        </w:tc>
        <w:tc>
          <w:tcPr>
            <w:tcW w:w="2131" w:type="dxa"/>
            <w:shd w:val="clear" w:color="auto" w:fill="auto"/>
            <w:noWrap/>
            <w:hideMark/>
          </w:tcPr>
          <w:p w14:paraId="2E604A51"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SGF 2010</w:t>
            </w:r>
          </w:p>
        </w:tc>
        <w:tc>
          <w:tcPr>
            <w:tcW w:w="1332" w:type="dxa"/>
            <w:shd w:val="clear" w:color="auto" w:fill="auto"/>
            <w:hideMark/>
          </w:tcPr>
          <w:p w14:paraId="3F0FC75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53</w:t>
            </w:r>
          </w:p>
        </w:tc>
        <w:tc>
          <w:tcPr>
            <w:tcW w:w="1191" w:type="dxa"/>
            <w:shd w:val="clear" w:color="auto" w:fill="auto"/>
            <w:hideMark/>
          </w:tcPr>
          <w:p w14:paraId="5B600EA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F1E1A2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10DDC74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(53)</w:t>
            </w:r>
          </w:p>
        </w:tc>
        <w:tc>
          <w:tcPr>
            <w:tcW w:w="1333" w:type="dxa"/>
            <w:shd w:val="clear" w:color="auto" w:fill="auto"/>
            <w:hideMark/>
          </w:tcPr>
          <w:p w14:paraId="2731928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6419D841" w14:textId="77777777" w:rsidTr="00D8194D">
        <w:tc>
          <w:tcPr>
            <w:tcW w:w="1277" w:type="dxa"/>
            <w:shd w:val="clear" w:color="auto" w:fill="auto"/>
            <w:hideMark/>
          </w:tcPr>
          <w:p w14:paraId="093FA49E"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R100161</w:t>
            </w:r>
          </w:p>
        </w:tc>
        <w:tc>
          <w:tcPr>
            <w:tcW w:w="2131" w:type="dxa"/>
            <w:shd w:val="clear" w:color="auto" w:fill="auto"/>
            <w:noWrap/>
            <w:hideMark/>
          </w:tcPr>
          <w:p w14:paraId="699AFF83"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SGF-2011</w:t>
            </w:r>
          </w:p>
        </w:tc>
        <w:tc>
          <w:tcPr>
            <w:tcW w:w="1332" w:type="dxa"/>
            <w:shd w:val="clear" w:color="auto" w:fill="auto"/>
            <w:hideMark/>
          </w:tcPr>
          <w:p w14:paraId="7A4934A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23</w:t>
            </w:r>
          </w:p>
        </w:tc>
        <w:tc>
          <w:tcPr>
            <w:tcW w:w="1191" w:type="dxa"/>
            <w:shd w:val="clear" w:color="auto" w:fill="auto"/>
            <w:hideMark/>
          </w:tcPr>
          <w:p w14:paraId="6576ED3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1E7780D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6996AFD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(23)</w:t>
            </w:r>
          </w:p>
        </w:tc>
        <w:tc>
          <w:tcPr>
            <w:tcW w:w="1333" w:type="dxa"/>
            <w:shd w:val="clear" w:color="auto" w:fill="auto"/>
            <w:hideMark/>
          </w:tcPr>
          <w:p w14:paraId="54E4AEF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56A5968B" w14:textId="77777777" w:rsidTr="00D8194D">
        <w:tc>
          <w:tcPr>
            <w:tcW w:w="1277" w:type="dxa"/>
            <w:shd w:val="clear" w:color="auto" w:fill="auto"/>
            <w:hideMark/>
          </w:tcPr>
          <w:p w14:paraId="4E8A263B"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R100163</w:t>
            </w:r>
          </w:p>
        </w:tc>
        <w:tc>
          <w:tcPr>
            <w:tcW w:w="2131" w:type="dxa"/>
            <w:shd w:val="clear" w:color="auto" w:fill="auto"/>
            <w:noWrap/>
            <w:hideMark/>
          </w:tcPr>
          <w:p w14:paraId="24E97F80"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SGF-2009-2020</w:t>
            </w:r>
          </w:p>
        </w:tc>
        <w:tc>
          <w:tcPr>
            <w:tcW w:w="1332" w:type="dxa"/>
            <w:shd w:val="clear" w:color="auto" w:fill="auto"/>
            <w:hideMark/>
          </w:tcPr>
          <w:p w14:paraId="2CCD11B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w:t>
            </w:r>
          </w:p>
        </w:tc>
        <w:tc>
          <w:tcPr>
            <w:tcW w:w="1191" w:type="dxa"/>
            <w:shd w:val="clear" w:color="auto" w:fill="auto"/>
            <w:hideMark/>
          </w:tcPr>
          <w:p w14:paraId="522D668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32C2589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(82)</w:t>
            </w:r>
          </w:p>
        </w:tc>
        <w:tc>
          <w:tcPr>
            <w:tcW w:w="1191" w:type="dxa"/>
            <w:shd w:val="clear" w:color="auto" w:fill="auto"/>
            <w:hideMark/>
          </w:tcPr>
          <w:p w14:paraId="64CCE6F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137</w:t>
            </w:r>
          </w:p>
        </w:tc>
        <w:tc>
          <w:tcPr>
            <w:tcW w:w="1333" w:type="dxa"/>
            <w:shd w:val="clear" w:color="auto" w:fill="auto"/>
            <w:hideMark/>
          </w:tcPr>
          <w:p w14:paraId="23C4F98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56</w:t>
            </w:r>
          </w:p>
        </w:tc>
      </w:tr>
      <w:tr w:rsidR="00F45CC2" w:rsidRPr="00F45CC2" w14:paraId="7B62DF63" w14:textId="77777777" w:rsidTr="00D8194D">
        <w:tc>
          <w:tcPr>
            <w:tcW w:w="1277" w:type="dxa"/>
            <w:shd w:val="clear" w:color="auto" w:fill="auto"/>
            <w:hideMark/>
          </w:tcPr>
          <w:p w14:paraId="298D3EEB"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R100265</w:t>
            </w:r>
          </w:p>
        </w:tc>
        <w:tc>
          <w:tcPr>
            <w:tcW w:w="2131" w:type="dxa"/>
            <w:shd w:val="clear" w:color="auto" w:fill="auto"/>
            <w:noWrap/>
            <w:hideMark/>
          </w:tcPr>
          <w:p w14:paraId="2AB390D8"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SGA-Pre-2016</w:t>
            </w:r>
          </w:p>
        </w:tc>
        <w:tc>
          <w:tcPr>
            <w:tcW w:w="1332" w:type="dxa"/>
            <w:shd w:val="clear" w:color="auto" w:fill="auto"/>
            <w:hideMark/>
          </w:tcPr>
          <w:p w14:paraId="45C86F4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235</w:t>
            </w:r>
          </w:p>
        </w:tc>
        <w:tc>
          <w:tcPr>
            <w:tcW w:w="1191" w:type="dxa"/>
            <w:shd w:val="clear" w:color="auto" w:fill="auto"/>
            <w:hideMark/>
          </w:tcPr>
          <w:p w14:paraId="3561FB9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AFCBE6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191" w:type="dxa"/>
            <w:shd w:val="clear" w:color="auto" w:fill="auto"/>
            <w:hideMark/>
          </w:tcPr>
          <w:p w14:paraId="1D21F96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3B6A62F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231</w:t>
            </w:r>
          </w:p>
        </w:tc>
      </w:tr>
      <w:tr w:rsidR="00F45CC2" w:rsidRPr="00F45CC2" w14:paraId="664FC802" w14:textId="77777777" w:rsidTr="00D8194D">
        <w:tc>
          <w:tcPr>
            <w:tcW w:w="1277" w:type="dxa"/>
            <w:shd w:val="clear" w:color="auto" w:fill="auto"/>
            <w:hideMark/>
          </w:tcPr>
          <w:p w14:paraId="1B20D460"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R100266</w:t>
            </w:r>
          </w:p>
        </w:tc>
        <w:tc>
          <w:tcPr>
            <w:tcW w:w="2131" w:type="dxa"/>
            <w:shd w:val="clear" w:color="auto" w:fill="auto"/>
            <w:noWrap/>
            <w:hideMark/>
          </w:tcPr>
          <w:p w14:paraId="558020A5"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SGA-2016</w:t>
            </w:r>
          </w:p>
        </w:tc>
        <w:tc>
          <w:tcPr>
            <w:tcW w:w="1332" w:type="dxa"/>
            <w:shd w:val="clear" w:color="auto" w:fill="auto"/>
            <w:hideMark/>
          </w:tcPr>
          <w:p w14:paraId="2F71358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26</w:t>
            </w:r>
          </w:p>
        </w:tc>
        <w:tc>
          <w:tcPr>
            <w:tcW w:w="1191" w:type="dxa"/>
            <w:shd w:val="clear" w:color="auto" w:fill="auto"/>
            <w:hideMark/>
          </w:tcPr>
          <w:p w14:paraId="251E6E5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0" w:type="dxa"/>
            <w:shd w:val="clear" w:color="auto" w:fill="auto"/>
            <w:hideMark/>
          </w:tcPr>
          <w:p w14:paraId="1B7C606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191" w:type="dxa"/>
            <w:shd w:val="clear" w:color="auto" w:fill="auto"/>
            <w:hideMark/>
          </w:tcPr>
          <w:p w14:paraId="0D8AB32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1D08667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22</w:t>
            </w:r>
          </w:p>
        </w:tc>
      </w:tr>
      <w:tr w:rsidR="00F45CC2" w:rsidRPr="00F45CC2" w14:paraId="5BF5023B" w14:textId="77777777" w:rsidTr="00D8194D">
        <w:tc>
          <w:tcPr>
            <w:tcW w:w="1277" w:type="dxa"/>
            <w:shd w:val="clear" w:color="auto" w:fill="auto"/>
            <w:hideMark/>
          </w:tcPr>
          <w:p w14:paraId="1DB8DA55"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R100362</w:t>
            </w:r>
          </w:p>
        </w:tc>
        <w:tc>
          <w:tcPr>
            <w:tcW w:w="2131" w:type="dxa"/>
            <w:shd w:val="clear" w:color="auto" w:fill="auto"/>
            <w:noWrap/>
            <w:hideMark/>
          </w:tcPr>
          <w:p w14:paraId="579CAE0B"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WFF-2012</w:t>
            </w:r>
          </w:p>
        </w:tc>
        <w:tc>
          <w:tcPr>
            <w:tcW w:w="1332" w:type="dxa"/>
            <w:shd w:val="clear" w:color="auto" w:fill="auto"/>
            <w:hideMark/>
          </w:tcPr>
          <w:p w14:paraId="30CDBA8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34</w:t>
            </w:r>
          </w:p>
        </w:tc>
        <w:tc>
          <w:tcPr>
            <w:tcW w:w="1191" w:type="dxa"/>
            <w:shd w:val="clear" w:color="auto" w:fill="auto"/>
            <w:hideMark/>
          </w:tcPr>
          <w:p w14:paraId="5F7ABC4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2955F0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376AB58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(34)</w:t>
            </w:r>
          </w:p>
        </w:tc>
        <w:tc>
          <w:tcPr>
            <w:tcW w:w="1333" w:type="dxa"/>
            <w:shd w:val="clear" w:color="auto" w:fill="auto"/>
            <w:hideMark/>
          </w:tcPr>
          <w:p w14:paraId="13C3DCA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62EEAF39" w14:textId="77777777" w:rsidTr="00D8194D">
        <w:tc>
          <w:tcPr>
            <w:tcW w:w="1277" w:type="dxa"/>
            <w:shd w:val="clear" w:color="auto" w:fill="auto"/>
            <w:hideMark/>
          </w:tcPr>
          <w:p w14:paraId="61636C2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R100364</w:t>
            </w:r>
          </w:p>
        </w:tc>
        <w:tc>
          <w:tcPr>
            <w:tcW w:w="2131" w:type="dxa"/>
            <w:shd w:val="clear" w:color="auto" w:fill="auto"/>
            <w:noWrap/>
            <w:hideMark/>
          </w:tcPr>
          <w:p w14:paraId="3E39AC8D"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WFF-2014</w:t>
            </w:r>
          </w:p>
        </w:tc>
        <w:tc>
          <w:tcPr>
            <w:tcW w:w="1332" w:type="dxa"/>
            <w:shd w:val="clear" w:color="auto" w:fill="auto"/>
            <w:hideMark/>
          </w:tcPr>
          <w:p w14:paraId="459D6B8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22</w:t>
            </w:r>
          </w:p>
        </w:tc>
        <w:tc>
          <w:tcPr>
            <w:tcW w:w="1191" w:type="dxa"/>
            <w:shd w:val="clear" w:color="auto" w:fill="auto"/>
            <w:hideMark/>
          </w:tcPr>
          <w:p w14:paraId="4332C66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DF2254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191" w:type="dxa"/>
            <w:shd w:val="clear" w:color="auto" w:fill="auto"/>
            <w:hideMark/>
          </w:tcPr>
          <w:p w14:paraId="1D8CCFB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3E0863E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18</w:t>
            </w:r>
          </w:p>
        </w:tc>
      </w:tr>
      <w:tr w:rsidR="00F45CC2" w:rsidRPr="00F45CC2" w14:paraId="131ADF90" w14:textId="77777777" w:rsidTr="00D8194D">
        <w:tc>
          <w:tcPr>
            <w:tcW w:w="1277" w:type="dxa"/>
            <w:shd w:val="clear" w:color="auto" w:fill="auto"/>
            <w:hideMark/>
          </w:tcPr>
          <w:p w14:paraId="79C51105"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R100365</w:t>
            </w:r>
          </w:p>
        </w:tc>
        <w:tc>
          <w:tcPr>
            <w:tcW w:w="2131" w:type="dxa"/>
            <w:shd w:val="clear" w:color="auto" w:fill="auto"/>
            <w:noWrap/>
            <w:hideMark/>
          </w:tcPr>
          <w:p w14:paraId="182ADB90"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WFF - 2015-2017</w:t>
            </w:r>
          </w:p>
        </w:tc>
        <w:tc>
          <w:tcPr>
            <w:tcW w:w="1332" w:type="dxa"/>
            <w:shd w:val="clear" w:color="auto" w:fill="auto"/>
            <w:hideMark/>
          </w:tcPr>
          <w:p w14:paraId="3F35E8C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201</w:t>
            </w:r>
          </w:p>
        </w:tc>
        <w:tc>
          <w:tcPr>
            <w:tcW w:w="1191" w:type="dxa"/>
            <w:shd w:val="clear" w:color="auto" w:fill="auto"/>
            <w:hideMark/>
          </w:tcPr>
          <w:p w14:paraId="122FB60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0" w:type="dxa"/>
            <w:shd w:val="clear" w:color="auto" w:fill="auto"/>
            <w:hideMark/>
          </w:tcPr>
          <w:p w14:paraId="4B66993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(24)</w:t>
            </w:r>
          </w:p>
        </w:tc>
        <w:tc>
          <w:tcPr>
            <w:tcW w:w="1191" w:type="dxa"/>
            <w:shd w:val="clear" w:color="auto" w:fill="auto"/>
            <w:hideMark/>
          </w:tcPr>
          <w:p w14:paraId="3A116E3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30</w:t>
            </w:r>
          </w:p>
        </w:tc>
        <w:tc>
          <w:tcPr>
            <w:tcW w:w="1333" w:type="dxa"/>
            <w:shd w:val="clear" w:color="auto" w:fill="auto"/>
            <w:hideMark/>
          </w:tcPr>
          <w:p w14:paraId="49BDD82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208</w:t>
            </w:r>
          </w:p>
        </w:tc>
      </w:tr>
      <w:tr w:rsidR="00F45CC2" w:rsidRPr="00F45CC2" w14:paraId="632C49B6" w14:textId="77777777" w:rsidTr="00D8194D">
        <w:tc>
          <w:tcPr>
            <w:tcW w:w="1277" w:type="dxa"/>
            <w:shd w:val="clear" w:color="auto" w:fill="auto"/>
            <w:hideMark/>
          </w:tcPr>
          <w:p w14:paraId="08FF470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R100407</w:t>
            </w:r>
          </w:p>
        </w:tc>
        <w:tc>
          <w:tcPr>
            <w:tcW w:w="2131" w:type="dxa"/>
            <w:shd w:val="clear" w:color="auto" w:fill="auto"/>
            <w:noWrap/>
            <w:hideMark/>
          </w:tcPr>
          <w:p w14:paraId="44553F85"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RI Central Asia (Norway)</w:t>
            </w:r>
          </w:p>
        </w:tc>
        <w:tc>
          <w:tcPr>
            <w:tcW w:w="1332" w:type="dxa"/>
            <w:shd w:val="clear" w:color="auto" w:fill="auto"/>
            <w:hideMark/>
          </w:tcPr>
          <w:p w14:paraId="1572B8F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w:t>
            </w:r>
          </w:p>
        </w:tc>
        <w:tc>
          <w:tcPr>
            <w:tcW w:w="1191" w:type="dxa"/>
            <w:shd w:val="clear" w:color="auto" w:fill="auto"/>
            <w:hideMark/>
          </w:tcPr>
          <w:p w14:paraId="6D2DD76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12AD932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27F378C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426CCE1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w:t>
            </w:r>
          </w:p>
        </w:tc>
      </w:tr>
      <w:tr w:rsidR="00F45CC2" w:rsidRPr="00F45CC2" w14:paraId="799BC881" w14:textId="77777777" w:rsidTr="00D8194D">
        <w:tc>
          <w:tcPr>
            <w:tcW w:w="1277" w:type="dxa"/>
            <w:shd w:val="clear" w:color="auto" w:fill="auto"/>
            <w:hideMark/>
          </w:tcPr>
          <w:p w14:paraId="3514ABC7"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R100408</w:t>
            </w:r>
          </w:p>
        </w:tc>
        <w:tc>
          <w:tcPr>
            <w:tcW w:w="2131" w:type="dxa"/>
            <w:shd w:val="clear" w:color="auto" w:fill="auto"/>
            <w:noWrap/>
            <w:hideMark/>
          </w:tcPr>
          <w:p w14:paraId="750EB0E7"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Nagao Wetland Fund (NEF Japan)</w:t>
            </w:r>
          </w:p>
        </w:tc>
        <w:tc>
          <w:tcPr>
            <w:tcW w:w="1332" w:type="dxa"/>
            <w:shd w:val="clear" w:color="auto" w:fill="auto"/>
            <w:hideMark/>
          </w:tcPr>
          <w:p w14:paraId="4FA5964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108</w:t>
            </w:r>
          </w:p>
        </w:tc>
        <w:tc>
          <w:tcPr>
            <w:tcW w:w="1191" w:type="dxa"/>
            <w:shd w:val="clear" w:color="auto" w:fill="auto"/>
            <w:hideMark/>
          </w:tcPr>
          <w:p w14:paraId="1E835ED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90</w:t>
            </w:r>
          </w:p>
        </w:tc>
        <w:tc>
          <w:tcPr>
            <w:tcW w:w="1190" w:type="dxa"/>
            <w:shd w:val="clear" w:color="auto" w:fill="auto"/>
            <w:hideMark/>
          </w:tcPr>
          <w:p w14:paraId="30DA1C4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(12)</w:t>
            </w:r>
          </w:p>
        </w:tc>
        <w:tc>
          <w:tcPr>
            <w:tcW w:w="1191" w:type="dxa"/>
            <w:shd w:val="clear" w:color="auto" w:fill="auto"/>
            <w:hideMark/>
          </w:tcPr>
          <w:p w14:paraId="3A7C604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(9)</w:t>
            </w:r>
          </w:p>
        </w:tc>
        <w:tc>
          <w:tcPr>
            <w:tcW w:w="1333" w:type="dxa"/>
            <w:shd w:val="clear" w:color="auto" w:fill="auto"/>
            <w:hideMark/>
          </w:tcPr>
          <w:p w14:paraId="5087823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178</w:t>
            </w:r>
          </w:p>
        </w:tc>
      </w:tr>
      <w:tr w:rsidR="00F45CC2" w:rsidRPr="00F45CC2" w14:paraId="28BCE063" w14:textId="77777777" w:rsidTr="00D8194D">
        <w:tc>
          <w:tcPr>
            <w:tcW w:w="3408" w:type="dxa"/>
            <w:gridSpan w:val="2"/>
            <w:shd w:val="clear" w:color="000000" w:fill="EAF1DD"/>
            <w:hideMark/>
          </w:tcPr>
          <w:p w14:paraId="604372D0" w14:textId="77777777" w:rsidR="00F45CC2" w:rsidRPr="00F45CC2" w:rsidRDefault="00F45CC2" w:rsidP="00DC0921">
            <w:pPr>
              <w:ind w:left="0" w:firstLine="0"/>
              <w:rPr>
                <w:rFonts w:eastAsia="Times New Roman" w:cs="Calibri"/>
                <w:b/>
                <w:bCs/>
                <w:sz w:val="20"/>
                <w:szCs w:val="20"/>
                <w:lang w:eastAsia="en-GB"/>
              </w:rPr>
            </w:pPr>
            <w:r w:rsidRPr="00F45CC2">
              <w:rPr>
                <w:rFonts w:eastAsia="Times New Roman" w:cs="Calibri"/>
                <w:b/>
                <w:bCs/>
                <w:sz w:val="20"/>
                <w:szCs w:val="20"/>
                <w:lang w:eastAsia="en-GB"/>
              </w:rPr>
              <w:t>Total of International Cooperation</w:t>
            </w:r>
          </w:p>
        </w:tc>
        <w:tc>
          <w:tcPr>
            <w:tcW w:w="1332" w:type="dxa"/>
            <w:shd w:val="clear" w:color="000000" w:fill="EAF1DD"/>
            <w:hideMark/>
          </w:tcPr>
          <w:p w14:paraId="169885CF"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768</w:t>
            </w:r>
          </w:p>
        </w:tc>
        <w:tc>
          <w:tcPr>
            <w:tcW w:w="1191" w:type="dxa"/>
            <w:shd w:val="clear" w:color="000000" w:fill="EAF1DD"/>
            <w:hideMark/>
          </w:tcPr>
          <w:p w14:paraId="74520D6B"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90</w:t>
            </w:r>
          </w:p>
        </w:tc>
        <w:tc>
          <w:tcPr>
            <w:tcW w:w="1190" w:type="dxa"/>
            <w:shd w:val="clear" w:color="000000" w:fill="EAF1DD"/>
            <w:hideMark/>
          </w:tcPr>
          <w:p w14:paraId="0AD9BD0F"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(130)</w:t>
            </w:r>
          </w:p>
        </w:tc>
        <w:tc>
          <w:tcPr>
            <w:tcW w:w="1191" w:type="dxa"/>
            <w:shd w:val="clear" w:color="000000" w:fill="EAF1DD"/>
            <w:hideMark/>
          </w:tcPr>
          <w:p w14:paraId="5E368D3D"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(13)</w:t>
            </w:r>
          </w:p>
        </w:tc>
        <w:tc>
          <w:tcPr>
            <w:tcW w:w="1333" w:type="dxa"/>
            <w:shd w:val="clear" w:color="000000" w:fill="EAF1DD"/>
            <w:hideMark/>
          </w:tcPr>
          <w:p w14:paraId="6DD53E1D"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715</w:t>
            </w:r>
          </w:p>
        </w:tc>
      </w:tr>
      <w:tr w:rsidR="00DC0921" w:rsidRPr="00F45CC2" w14:paraId="420A5406" w14:textId="77777777" w:rsidTr="00D8194D">
        <w:tc>
          <w:tcPr>
            <w:tcW w:w="3408" w:type="dxa"/>
            <w:gridSpan w:val="2"/>
            <w:shd w:val="clear" w:color="auto" w:fill="auto"/>
            <w:hideMark/>
          </w:tcPr>
          <w:p w14:paraId="585160EE" w14:textId="77777777" w:rsidR="00DC0921" w:rsidRDefault="00DC0921" w:rsidP="00DC0921">
            <w:pPr>
              <w:ind w:left="0" w:firstLine="0"/>
              <w:rPr>
                <w:rFonts w:eastAsia="Times New Roman" w:cs="Calibri"/>
                <w:b/>
                <w:bCs/>
                <w:sz w:val="20"/>
                <w:szCs w:val="20"/>
                <w:u w:val="single"/>
                <w:lang w:eastAsia="en-GB"/>
              </w:rPr>
            </w:pPr>
          </w:p>
          <w:p w14:paraId="18B6C738" w14:textId="52606D63" w:rsidR="00DC0921" w:rsidRPr="00F45CC2" w:rsidRDefault="00DC0921" w:rsidP="00DC0921">
            <w:pPr>
              <w:ind w:left="0" w:firstLine="0"/>
              <w:rPr>
                <w:rFonts w:eastAsia="Times New Roman" w:cs="Calibri"/>
                <w:lang w:eastAsia="en-GB"/>
              </w:rPr>
            </w:pPr>
            <w:r w:rsidRPr="00F45CC2">
              <w:rPr>
                <w:rFonts w:eastAsia="Times New Roman" w:cs="Calibri"/>
                <w:b/>
                <w:bCs/>
                <w:sz w:val="20"/>
                <w:szCs w:val="20"/>
                <w:u w:val="single"/>
                <w:lang w:eastAsia="en-GB"/>
              </w:rPr>
              <w:t>Listed Sites</w:t>
            </w:r>
          </w:p>
        </w:tc>
        <w:tc>
          <w:tcPr>
            <w:tcW w:w="1332" w:type="dxa"/>
            <w:shd w:val="clear" w:color="auto" w:fill="auto"/>
            <w:textDirection w:val="btLr"/>
            <w:hideMark/>
          </w:tcPr>
          <w:p w14:paraId="37057FF8" w14:textId="77777777" w:rsidR="00DC0921" w:rsidRPr="00F45CC2" w:rsidRDefault="00DC0921"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690B11A7" w14:textId="77777777" w:rsidR="00DC0921" w:rsidRPr="00F45CC2" w:rsidRDefault="00DC0921"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68B11539" w14:textId="77777777" w:rsidR="00DC0921" w:rsidRPr="00F45CC2" w:rsidRDefault="00DC0921"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6C881893" w14:textId="77777777" w:rsidR="00DC0921" w:rsidRPr="00F45CC2" w:rsidRDefault="00DC0921"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14:paraId="3C23BCAF" w14:textId="77777777" w:rsidR="00DC0921" w:rsidRPr="00F45CC2" w:rsidRDefault="00DC0921" w:rsidP="00DC0921">
            <w:pPr>
              <w:ind w:left="0" w:firstLine="0"/>
              <w:jc w:val="right"/>
              <w:rPr>
                <w:rFonts w:ascii="Times New Roman" w:eastAsia="Times New Roman" w:hAnsi="Times New Roman"/>
                <w:sz w:val="20"/>
                <w:szCs w:val="20"/>
                <w:lang w:eastAsia="en-GB"/>
              </w:rPr>
            </w:pPr>
          </w:p>
        </w:tc>
      </w:tr>
      <w:tr w:rsidR="00F45CC2" w:rsidRPr="00F45CC2" w14:paraId="153ECA04" w14:textId="77777777" w:rsidTr="00D8194D">
        <w:tc>
          <w:tcPr>
            <w:tcW w:w="1277" w:type="dxa"/>
            <w:shd w:val="clear" w:color="auto" w:fill="auto"/>
            <w:hideMark/>
          </w:tcPr>
          <w:p w14:paraId="41C3C4D2"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R100110</w:t>
            </w:r>
          </w:p>
        </w:tc>
        <w:tc>
          <w:tcPr>
            <w:tcW w:w="2131" w:type="dxa"/>
            <w:shd w:val="clear" w:color="auto" w:fill="auto"/>
            <w:hideMark/>
          </w:tcPr>
          <w:p w14:paraId="0E628A2D"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RAM</w:t>
            </w:r>
          </w:p>
        </w:tc>
        <w:tc>
          <w:tcPr>
            <w:tcW w:w="1332" w:type="dxa"/>
            <w:shd w:val="clear" w:color="auto" w:fill="auto"/>
            <w:hideMark/>
          </w:tcPr>
          <w:p w14:paraId="755BAAA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118</w:t>
            </w:r>
          </w:p>
        </w:tc>
        <w:tc>
          <w:tcPr>
            <w:tcW w:w="1191" w:type="dxa"/>
            <w:shd w:val="clear" w:color="auto" w:fill="auto"/>
            <w:hideMark/>
          </w:tcPr>
          <w:p w14:paraId="58AF8FE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0" w:type="dxa"/>
            <w:shd w:val="clear" w:color="auto" w:fill="auto"/>
            <w:hideMark/>
          </w:tcPr>
          <w:p w14:paraId="622F8D4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(41)</w:t>
            </w:r>
          </w:p>
        </w:tc>
        <w:tc>
          <w:tcPr>
            <w:tcW w:w="1191" w:type="dxa"/>
            <w:shd w:val="clear" w:color="auto" w:fill="auto"/>
            <w:hideMark/>
          </w:tcPr>
          <w:p w14:paraId="554B646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333" w:type="dxa"/>
            <w:shd w:val="clear" w:color="auto" w:fill="auto"/>
            <w:hideMark/>
          </w:tcPr>
          <w:p w14:paraId="4858E46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77</w:t>
            </w:r>
          </w:p>
        </w:tc>
      </w:tr>
      <w:tr w:rsidR="00F45CC2" w:rsidRPr="00F45CC2" w14:paraId="0FBC9E1A" w14:textId="77777777" w:rsidTr="00D8194D">
        <w:tc>
          <w:tcPr>
            <w:tcW w:w="3408" w:type="dxa"/>
            <w:gridSpan w:val="2"/>
            <w:shd w:val="clear" w:color="000000" w:fill="EAF1DD"/>
            <w:hideMark/>
          </w:tcPr>
          <w:p w14:paraId="4DC069B9" w14:textId="77777777" w:rsidR="00F45CC2" w:rsidRPr="00F45CC2" w:rsidRDefault="00F45CC2" w:rsidP="00DC0921">
            <w:pPr>
              <w:ind w:left="0" w:firstLine="0"/>
              <w:rPr>
                <w:rFonts w:eastAsia="Times New Roman" w:cs="Calibri"/>
                <w:b/>
                <w:bCs/>
                <w:sz w:val="20"/>
                <w:szCs w:val="20"/>
                <w:lang w:eastAsia="en-GB"/>
              </w:rPr>
            </w:pPr>
            <w:r w:rsidRPr="00F45CC2">
              <w:rPr>
                <w:rFonts w:eastAsia="Times New Roman" w:cs="Calibri"/>
                <w:b/>
                <w:bCs/>
                <w:sz w:val="20"/>
                <w:szCs w:val="20"/>
                <w:lang w:eastAsia="en-GB"/>
              </w:rPr>
              <w:t>Total of Listed Sites</w:t>
            </w:r>
          </w:p>
        </w:tc>
        <w:tc>
          <w:tcPr>
            <w:tcW w:w="1332" w:type="dxa"/>
            <w:shd w:val="clear" w:color="000000" w:fill="EAF1DD"/>
            <w:hideMark/>
          </w:tcPr>
          <w:p w14:paraId="69A4AB28"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118</w:t>
            </w:r>
          </w:p>
        </w:tc>
        <w:tc>
          <w:tcPr>
            <w:tcW w:w="1191" w:type="dxa"/>
            <w:shd w:val="clear" w:color="000000" w:fill="EAF1DD"/>
            <w:hideMark/>
          </w:tcPr>
          <w:p w14:paraId="6D470C46"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0</w:t>
            </w:r>
          </w:p>
        </w:tc>
        <w:tc>
          <w:tcPr>
            <w:tcW w:w="1190" w:type="dxa"/>
            <w:shd w:val="clear" w:color="000000" w:fill="EAF1DD"/>
            <w:hideMark/>
          </w:tcPr>
          <w:p w14:paraId="59AEC51A"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(41)</w:t>
            </w:r>
          </w:p>
        </w:tc>
        <w:tc>
          <w:tcPr>
            <w:tcW w:w="1191" w:type="dxa"/>
            <w:shd w:val="clear" w:color="000000" w:fill="EAF1DD"/>
            <w:hideMark/>
          </w:tcPr>
          <w:p w14:paraId="20CC5109"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0</w:t>
            </w:r>
          </w:p>
        </w:tc>
        <w:tc>
          <w:tcPr>
            <w:tcW w:w="1333" w:type="dxa"/>
            <w:shd w:val="clear" w:color="000000" w:fill="EAF1DD"/>
            <w:hideMark/>
          </w:tcPr>
          <w:p w14:paraId="594D90E6"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77</w:t>
            </w:r>
          </w:p>
        </w:tc>
      </w:tr>
      <w:tr w:rsidR="00F45CC2" w:rsidRPr="00F45CC2" w14:paraId="22FEFDD7" w14:textId="77777777" w:rsidTr="00D8194D">
        <w:tc>
          <w:tcPr>
            <w:tcW w:w="1277" w:type="dxa"/>
            <w:shd w:val="clear" w:color="auto" w:fill="auto"/>
            <w:hideMark/>
          </w:tcPr>
          <w:p w14:paraId="3D5AF3BD" w14:textId="77777777" w:rsidR="00DC0921" w:rsidRDefault="00DC0921" w:rsidP="00DC0921">
            <w:pPr>
              <w:ind w:left="0" w:firstLine="0"/>
              <w:rPr>
                <w:rFonts w:eastAsia="Times New Roman" w:cs="Calibri"/>
                <w:b/>
                <w:bCs/>
                <w:sz w:val="20"/>
                <w:szCs w:val="20"/>
                <w:u w:val="single"/>
                <w:lang w:eastAsia="en-GB"/>
              </w:rPr>
            </w:pPr>
          </w:p>
          <w:p w14:paraId="5209F70E" w14:textId="0C4E929B" w:rsidR="00F45CC2" w:rsidRPr="00F45CC2" w:rsidRDefault="00F45CC2" w:rsidP="00DC0921">
            <w:pPr>
              <w:ind w:left="0" w:firstLine="0"/>
              <w:rPr>
                <w:rFonts w:eastAsia="Times New Roman" w:cs="Calibri"/>
                <w:b/>
                <w:bCs/>
                <w:sz w:val="20"/>
                <w:szCs w:val="20"/>
                <w:u w:val="single"/>
                <w:lang w:eastAsia="en-GB"/>
              </w:rPr>
            </w:pPr>
            <w:r w:rsidRPr="00F45CC2">
              <w:rPr>
                <w:rFonts w:eastAsia="Times New Roman" w:cs="Calibri"/>
                <w:b/>
                <w:bCs/>
                <w:sz w:val="20"/>
                <w:szCs w:val="20"/>
                <w:u w:val="single"/>
                <w:lang w:eastAsia="en-GB"/>
              </w:rPr>
              <w:t>Other</w:t>
            </w:r>
          </w:p>
        </w:tc>
        <w:tc>
          <w:tcPr>
            <w:tcW w:w="2131" w:type="dxa"/>
            <w:shd w:val="clear" w:color="auto" w:fill="auto"/>
            <w:hideMark/>
          </w:tcPr>
          <w:p w14:paraId="6357A2FC" w14:textId="77777777" w:rsidR="00F45CC2" w:rsidRPr="00F45CC2" w:rsidRDefault="00F45CC2" w:rsidP="00DC0921">
            <w:pPr>
              <w:ind w:left="0" w:firstLine="0"/>
              <w:rPr>
                <w:rFonts w:eastAsia="Times New Roman" w:cs="Calibri"/>
                <w:b/>
                <w:bCs/>
                <w:sz w:val="20"/>
                <w:szCs w:val="20"/>
                <w:u w:val="single"/>
                <w:lang w:eastAsia="en-GB"/>
              </w:rPr>
            </w:pPr>
          </w:p>
        </w:tc>
        <w:tc>
          <w:tcPr>
            <w:tcW w:w="1332" w:type="dxa"/>
            <w:shd w:val="clear" w:color="auto" w:fill="auto"/>
            <w:textDirection w:val="btLr"/>
            <w:hideMark/>
          </w:tcPr>
          <w:p w14:paraId="341481A7"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11BEB0EC"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5B960BA0"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2648D451"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14:paraId="5305DD13" w14:textId="77777777" w:rsidR="00F45CC2" w:rsidRPr="00F45CC2" w:rsidRDefault="00F45CC2" w:rsidP="00DC0921">
            <w:pPr>
              <w:ind w:left="0" w:firstLine="0"/>
              <w:jc w:val="right"/>
              <w:rPr>
                <w:rFonts w:ascii="Times New Roman" w:eastAsia="Times New Roman" w:hAnsi="Times New Roman"/>
                <w:sz w:val="20"/>
                <w:szCs w:val="20"/>
                <w:lang w:eastAsia="en-GB"/>
              </w:rPr>
            </w:pPr>
          </w:p>
        </w:tc>
      </w:tr>
      <w:tr w:rsidR="00F45CC2" w:rsidRPr="00F45CC2" w14:paraId="4952D988" w14:textId="77777777" w:rsidTr="00D8194D">
        <w:tc>
          <w:tcPr>
            <w:tcW w:w="1277" w:type="dxa"/>
            <w:shd w:val="clear" w:color="auto" w:fill="auto"/>
            <w:hideMark/>
          </w:tcPr>
          <w:p w14:paraId="2B5CF613"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R100100</w:t>
            </w:r>
          </w:p>
        </w:tc>
        <w:tc>
          <w:tcPr>
            <w:tcW w:w="2131" w:type="dxa"/>
            <w:shd w:val="clear" w:color="auto" w:fill="auto"/>
            <w:hideMark/>
          </w:tcPr>
          <w:p w14:paraId="28590FFE"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Admin</w:t>
            </w:r>
          </w:p>
        </w:tc>
        <w:tc>
          <w:tcPr>
            <w:tcW w:w="1332" w:type="dxa"/>
            <w:shd w:val="clear" w:color="auto" w:fill="auto"/>
            <w:hideMark/>
          </w:tcPr>
          <w:p w14:paraId="7BC75BF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363</w:t>
            </w:r>
          </w:p>
        </w:tc>
        <w:tc>
          <w:tcPr>
            <w:tcW w:w="1191" w:type="dxa"/>
            <w:shd w:val="clear" w:color="auto" w:fill="auto"/>
            <w:hideMark/>
          </w:tcPr>
          <w:p w14:paraId="2A20D52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489DDD5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6B41E1F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13</w:t>
            </w:r>
          </w:p>
        </w:tc>
        <w:tc>
          <w:tcPr>
            <w:tcW w:w="1333" w:type="dxa"/>
            <w:shd w:val="clear" w:color="auto" w:fill="auto"/>
            <w:hideMark/>
          </w:tcPr>
          <w:p w14:paraId="5987C9B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377</w:t>
            </w:r>
          </w:p>
        </w:tc>
      </w:tr>
      <w:tr w:rsidR="00F45CC2" w:rsidRPr="00F45CC2" w14:paraId="3DA20B8F" w14:textId="77777777" w:rsidTr="00D8194D">
        <w:tc>
          <w:tcPr>
            <w:tcW w:w="1277" w:type="dxa"/>
            <w:shd w:val="clear" w:color="auto" w:fill="auto"/>
            <w:hideMark/>
          </w:tcPr>
          <w:p w14:paraId="0A702501"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R100102</w:t>
            </w:r>
          </w:p>
        </w:tc>
        <w:tc>
          <w:tcPr>
            <w:tcW w:w="2131" w:type="dxa"/>
            <w:shd w:val="clear" w:color="auto" w:fill="auto"/>
            <w:noWrap/>
            <w:hideMark/>
          </w:tcPr>
          <w:p w14:paraId="0B484EBD"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RSIS redevelopment</w:t>
            </w:r>
          </w:p>
        </w:tc>
        <w:tc>
          <w:tcPr>
            <w:tcW w:w="1332" w:type="dxa"/>
            <w:shd w:val="clear" w:color="auto" w:fill="auto"/>
            <w:hideMark/>
          </w:tcPr>
          <w:p w14:paraId="7001650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39</w:t>
            </w:r>
          </w:p>
        </w:tc>
        <w:tc>
          <w:tcPr>
            <w:tcW w:w="1191" w:type="dxa"/>
            <w:shd w:val="clear" w:color="auto" w:fill="auto"/>
            <w:hideMark/>
          </w:tcPr>
          <w:p w14:paraId="008E8D0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77C3F46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3384884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7E6D2E9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39</w:t>
            </w:r>
          </w:p>
        </w:tc>
      </w:tr>
      <w:tr w:rsidR="00F45CC2" w:rsidRPr="00F45CC2" w14:paraId="295C9BD4" w14:textId="77777777" w:rsidTr="00D8194D">
        <w:tc>
          <w:tcPr>
            <w:tcW w:w="1277" w:type="dxa"/>
            <w:shd w:val="clear" w:color="auto" w:fill="auto"/>
            <w:hideMark/>
          </w:tcPr>
          <w:p w14:paraId="0CA25494"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R100103</w:t>
            </w:r>
          </w:p>
        </w:tc>
        <w:tc>
          <w:tcPr>
            <w:tcW w:w="2131" w:type="dxa"/>
            <w:shd w:val="clear" w:color="auto" w:fill="auto"/>
            <w:noWrap/>
            <w:hideMark/>
          </w:tcPr>
          <w:p w14:paraId="4A936D42"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Web redevelopment</w:t>
            </w:r>
          </w:p>
        </w:tc>
        <w:tc>
          <w:tcPr>
            <w:tcW w:w="1332" w:type="dxa"/>
            <w:shd w:val="clear" w:color="auto" w:fill="auto"/>
            <w:hideMark/>
          </w:tcPr>
          <w:p w14:paraId="14D35F5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64</w:t>
            </w:r>
          </w:p>
        </w:tc>
        <w:tc>
          <w:tcPr>
            <w:tcW w:w="1191" w:type="dxa"/>
            <w:shd w:val="clear" w:color="auto" w:fill="auto"/>
            <w:hideMark/>
          </w:tcPr>
          <w:p w14:paraId="0BFE12D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2D262B8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2C5FECC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770C2E6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64</w:t>
            </w:r>
          </w:p>
        </w:tc>
      </w:tr>
      <w:tr w:rsidR="00F45CC2" w:rsidRPr="00F45CC2" w14:paraId="5B4DCF49" w14:textId="77777777" w:rsidTr="00D8194D">
        <w:tc>
          <w:tcPr>
            <w:tcW w:w="1277" w:type="dxa"/>
            <w:shd w:val="clear" w:color="auto" w:fill="auto"/>
            <w:hideMark/>
          </w:tcPr>
          <w:p w14:paraId="60D2E443"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R100104</w:t>
            </w:r>
          </w:p>
        </w:tc>
        <w:tc>
          <w:tcPr>
            <w:tcW w:w="2131" w:type="dxa"/>
            <w:shd w:val="clear" w:color="auto" w:fill="auto"/>
            <w:noWrap/>
            <w:hideMark/>
          </w:tcPr>
          <w:p w14:paraId="158BCCC9"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Development</w:t>
            </w:r>
          </w:p>
        </w:tc>
        <w:tc>
          <w:tcPr>
            <w:tcW w:w="1332" w:type="dxa"/>
            <w:shd w:val="clear" w:color="auto" w:fill="auto"/>
            <w:hideMark/>
          </w:tcPr>
          <w:p w14:paraId="2F3C0AD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w:t>
            </w:r>
          </w:p>
        </w:tc>
        <w:tc>
          <w:tcPr>
            <w:tcW w:w="1191" w:type="dxa"/>
            <w:shd w:val="clear" w:color="auto" w:fill="auto"/>
            <w:hideMark/>
          </w:tcPr>
          <w:p w14:paraId="2D77DEE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6AAFEC4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7A0788B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20</w:t>
            </w:r>
          </w:p>
        </w:tc>
        <w:tc>
          <w:tcPr>
            <w:tcW w:w="1333" w:type="dxa"/>
            <w:shd w:val="clear" w:color="auto" w:fill="auto"/>
            <w:hideMark/>
          </w:tcPr>
          <w:p w14:paraId="0E151ED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27</w:t>
            </w:r>
          </w:p>
        </w:tc>
      </w:tr>
      <w:tr w:rsidR="00F45CC2" w:rsidRPr="00F45CC2" w14:paraId="52010AC8" w14:textId="77777777" w:rsidTr="00D8194D">
        <w:tc>
          <w:tcPr>
            <w:tcW w:w="1277" w:type="dxa"/>
            <w:shd w:val="clear" w:color="auto" w:fill="auto"/>
            <w:hideMark/>
          </w:tcPr>
          <w:p w14:paraId="53161CE7"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R100105</w:t>
            </w:r>
          </w:p>
        </w:tc>
        <w:tc>
          <w:tcPr>
            <w:tcW w:w="2131" w:type="dxa"/>
            <w:shd w:val="clear" w:color="auto" w:fill="auto"/>
            <w:noWrap/>
            <w:hideMark/>
          </w:tcPr>
          <w:p w14:paraId="125FADA7"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Science Review</w:t>
            </w:r>
          </w:p>
        </w:tc>
        <w:tc>
          <w:tcPr>
            <w:tcW w:w="1332" w:type="dxa"/>
            <w:shd w:val="clear" w:color="auto" w:fill="auto"/>
            <w:hideMark/>
          </w:tcPr>
          <w:p w14:paraId="7B958A1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33</w:t>
            </w:r>
          </w:p>
        </w:tc>
        <w:tc>
          <w:tcPr>
            <w:tcW w:w="1191" w:type="dxa"/>
            <w:shd w:val="clear" w:color="auto" w:fill="auto"/>
            <w:hideMark/>
          </w:tcPr>
          <w:p w14:paraId="32DEF3C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2E3A593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0F7DFAA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6F05F12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33</w:t>
            </w:r>
          </w:p>
        </w:tc>
      </w:tr>
      <w:tr w:rsidR="00F45CC2" w:rsidRPr="00F45CC2" w14:paraId="7B847CAE" w14:textId="77777777" w:rsidTr="00D8194D">
        <w:tc>
          <w:tcPr>
            <w:tcW w:w="1277" w:type="dxa"/>
            <w:shd w:val="clear" w:color="auto" w:fill="auto"/>
            <w:hideMark/>
          </w:tcPr>
          <w:p w14:paraId="0D077BB1"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R100106</w:t>
            </w:r>
          </w:p>
        </w:tc>
        <w:tc>
          <w:tcPr>
            <w:tcW w:w="2131" w:type="dxa"/>
            <w:shd w:val="clear" w:color="auto" w:fill="auto"/>
            <w:noWrap/>
            <w:hideMark/>
          </w:tcPr>
          <w:p w14:paraId="7320F164"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Strategic Plan 2016</w:t>
            </w:r>
          </w:p>
        </w:tc>
        <w:tc>
          <w:tcPr>
            <w:tcW w:w="1332" w:type="dxa"/>
            <w:shd w:val="clear" w:color="auto" w:fill="auto"/>
            <w:hideMark/>
          </w:tcPr>
          <w:p w14:paraId="51D97D1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18</w:t>
            </w:r>
          </w:p>
        </w:tc>
        <w:tc>
          <w:tcPr>
            <w:tcW w:w="1191" w:type="dxa"/>
            <w:shd w:val="clear" w:color="auto" w:fill="auto"/>
            <w:hideMark/>
          </w:tcPr>
          <w:p w14:paraId="1FA0CDA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76FD26A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68C1937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6543F7C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18</w:t>
            </w:r>
          </w:p>
        </w:tc>
      </w:tr>
      <w:tr w:rsidR="00F45CC2" w:rsidRPr="00F45CC2" w14:paraId="5867538E" w14:textId="77777777" w:rsidTr="00D8194D">
        <w:tc>
          <w:tcPr>
            <w:tcW w:w="1277" w:type="dxa"/>
            <w:shd w:val="clear" w:color="auto" w:fill="auto"/>
            <w:hideMark/>
          </w:tcPr>
          <w:p w14:paraId="24B009B0"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R100108</w:t>
            </w:r>
          </w:p>
        </w:tc>
        <w:tc>
          <w:tcPr>
            <w:tcW w:w="2131" w:type="dxa"/>
            <w:shd w:val="clear" w:color="auto" w:fill="auto"/>
            <w:noWrap/>
            <w:hideMark/>
          </w:tcPr>
          <w:p w14:paraId="10705CC3"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COP12 Translation (FOEN-CH)</w:t>
            </w:r>
          </w:p>
        </w:tc>
        <w:tc>
          <w:tcPr>
            <w:tcW w:w="1332" w:type="dxa"/>
            <w:shd w:val="clear" w:color="auto" w:fill="auto"/>
            <w:hideMark/>
          </w:tcPr>
          <w:p w14:paraId="41A364A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45</w:t>
            </w:r>
          </w:p>
        </w:tc>
        <w:tc>
          <w:tcPr>
            <w:tcW w:w="1191" w:type="dxa"/>
            <w:shd w:val="clear" w:color="auto" w:fill="auto"/>
            <w:hideMark/>
          </w:tcPr>
          <w:p w14:paraId="345A37C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419F16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724FEEA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7F82CFB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45</w:t>
            </w:r>
          </w:p>
        </w:tc>
      </w:tr>
      <w:tr w:rsidR="00F45CC2" w:rsidRPr="00F45CC2" w14:paraId="452E438E" w14:textId="77777777" w:rsidTr="00D8194D">
        <w:tc>
          <w:tcPr>
            <w:tcW w:w="1277" w:type="dxa"/>
            <w:shd w:val="clear" w:color="auto" w:fill="auto"/>
            <w:hideMark/>
          </w:tcPr>
          <w:p w14:paraId="0EFD51B8"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R100190</w:t>
            </w:r>
          </w:p>
        </w:tc>
        <w:tc>
          <w:tcPr>
            <w:tcW w:w="2131" w:type="dxa"/>
            <w:shd w:val="clear" w:color="auto" w:fill="auto"/>
            <w:noWrap/>
            <w:hideMark/>
          </w:tcPr>
          <w:p w14:paraId="2734BF3C"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Water cycle</w:t>
            </w:r>
          </w:p>
        </w:tc>
        <w:tc>
          <w:tcPr>
            <w:tcW w:w="1332" w:type="dxa"/>
            <w:shd w:val="clear" w:color="auto" w:fill="auto"/>
            <w:hideMark/>
          </w:tcPr>
          <w:p w14:paraId="2D992DE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11</w:t>
            </w:r>
          </w:p>
        </w:tc>
        <w:tc>
          <w:tcPr>
            <w:tcW w:w="1191" w:type="dxa"/>
            <w:shd w:val="clear" w:color="auto" w:fill="auto"/>
            <w:hideMark/>
          </w:tcPr>
          <w:p w14:paraId="6882A6D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77489C7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37A6765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0815BE3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11</w:t>
            </w:r>
          </w:p>
        </w:tc>
      </w:tr>
      <w:tr w:rsidR="00F45CC2" w:rsidRPr="00F45CC2" w14:paraId="27F287B9" w14:textId="77777777" w:rsidTr="00D8194D">
        <w:tc>
          <w:tcPr>
            <w:tcW w:w="1277" w:type="dxa"/>
            <w:shd w:val="clear" w:color="auto" w:fill="auto"/>
            <w:hideMark/>
          </w:tcPr>
          <w:p w14:paraId="1AE26BB1"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R100210</w:t>
            </w:r>
          </w:p>
        </w:tc>
        <w:tc>
          <w:tcPr>
            <w:tcW w:w="2131" w:type="dxa"/>
            <w:shd w:val="clear" w:color="auto" w:fill="auto"/>
            <w:noWrap/>
            <w:hideMark/>
          </w:tcPr>
          <w:p w14:paraId="7B4A1540"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WA Urbanisation</w:t>
            </w:r>
          </w:p>
        </w:tc>
        <w:tc>
          <w:tcPr>
            <w:tcW w:w="1332" w:type="dxa"/>
            <w:shd w:val="clear" w:color="auto" w:fill="auto"/>
            <w:hideMark/>
          </w:tcPr>
          <w:p w14:paraId="641E420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16</w:t>
            </w:r>
          </w:p>
        </w:tc>
        <w:tc>
          <w:tcPr>
            <w:tcW w:w="1191" w:type="dxa"/>
            <w:shd w:val="clear" w:color="auto" w:fill="auto"/>
            <w:hideMark/>
          </w:tcPr>
          <w:p w14:paraId="77D87B5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470055D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72E979D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(16)</w:t>
            </w:r>
          </w:p>
        </w:tc>
        <w:tc>
          <w:tcPr>
            <w:tcW w:w="1333" w:type="dxa"/>
            <w:shd w:val="clear" w:color="auto" w:fill="auto"/>
            <w:hideMark/>
          </w:tcPr>
          <w:p w14:paraId="01F4D09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245E0743" w14:textId="77777777" w:rsidTr="00D8194D">
        <w:tc>
          <w:tcPr>
            <w:tcW w:w="1277" w:type="dxa"/>
            <w:shd w:val="clear" w:color="auto" w:fill="auto"/>
            <w:hideMark/>
          </w:tcPr>
          <w:p w14:paraId="1E4D8267"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R100311</w:t>
            </w:r>
          </w:p>
        </w:tc>
        <w:tc>
          <w:tcPr>
            <w:tcW w:w="2131" w:type="dxa"/>
            <w:shd w:val="clear" w:color="auto" w:fill="auto"/>
            <w:noWrap/>
            <w:hideMark/>
          </w:tcPr>
          <w:p w14:paraId="1E906AC2"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Rio Cruces</w:t>
            </w:r>
          </w:p>
        </w:tc>
        <w:tc>
          <w:tcPr>
            <w:tcW w:w="1332" w:type="dxa"/>
            <w:shd w:val="clear" w:color="auto" w:fill="auto"/>
            <w:hideMark/>
          </w:tcPr>
          <w:p w14:paraId="255C56F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55</w:t>
            </w:r>
          </w:p>
        </w:tc>
        <w:tc>
          <w:tcPr>
            <w:tcW w:w="1191" w:type="dxa"/>
            <w:shd w:val="clear" w:color="auto" w:fill="auto"/>
            <w:hideMark/>
          </w:tcPr>
          <w:p w14:paraId="6280137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6676E99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w:t>
            </w:r>
          </w:p>
        </w:tc>
        <w:tc>
          <w:tcPr>
            <w:tcW w:w="1191" w:type="dxa"/>
            <w:shd w:val="clear" w:color="auto" w:fill="auto"/>
            <w:hideMark/>
          </w:tcPr>
          <w:p w14:paraId="7AEBEBE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47C67AB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52</w:t>
            </w:r>
          </w:p>
        </w:tc>
      </w:tr>
      <w:tr w:rsidR="00F45CC2" w:rsidRPr="00F45CC2" w14:paraId="4205E766" w14:textId="77777777" w:rsidTr="00D8194D">
        <w:tc>
          <w:tcPr>
            <w:tcW w:w="1277" w:type="dxa"/>
            <w:shd w:val="clear" w:color="auto" w:fill="auto"/>
            <w:hideMark/>
          </w:tcPr>
          <w:p w14:paraId="46494DD6"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R100402</w:t>
            </w:r>
          </w:p>
        </w:tc>
        <w:tc>
          <w:tcPr>
            <w:tcW w:w="2131" w:type="dxa"/>
            <w:shd w:val="clear" w:color="auto" w:fill="auto"/>
            <w:noWrap/>
            <w:hideMark/>
          </w:tcPr>
          <w:p w14:paraId="053BE2F0"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Bhutan</w:t>
            </w:r>
          </w:p>
        </w:tc>
        <w:tc>
          <w:tcPr>
            <w:tcW w:w="1332" w:type="dxa"/>
            <w:shd w:val="clear" w:color="auto" w:fill="auto"/>
            <w:hideMark/>
          </w:tcPr>
          <w:p w14:paraId="657DBCA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(10)</w:t>
            </w:r>
          </w:p>
        </w:tc>
        <w:tc>
          <w:tcPr>
            <w:tcW w:w="1191" w:type="dxa"/>
            <w:shd w:val="clear" w:color="auto" w:fill="auto"/>
            <w:hideMark/>
          </w:tcPr>
          <w:p w14:paraId="23BAED4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552D360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427F5D3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10</w:t>
            </w:r>
          </w:p>
        </w:tc>
        <w:tc>
          <w:tcPr>
            <w:tcW w:w="1333" w:type="dxa"/>
            <w:shd w:val="clear" w:color="auto" w:fill="auto"/>
            <w:hideMark/>
          </w:tcPr>
          <w:p w14:paraId="2B283F0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513F0FB6" w14:textId="77777777" w:rsidTr="00D8194D">
        <w:tc>
          <w:tcPr>
            <w:tcW w:w="1277" w:type="dxa"/>
            <w:shd w:val="clear" w:color="auto" w:fill="auto"/>
            <w:hideMark/>
          </w:tcPr>
          <w:p w14:paraId="778B0C51"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R100406</w:t>
            </w:r>
          </w:p>
        </w:tc>
        <w:tc>
          <w:tcPr>
            <w:tcW w:w="2131" w:type="dxa"/>
            <w:shd w:val="clear" w:color="auto" w:fill="auto"/>
            <w:noWrap/>
            <w:hideMark/>
          </w:tcPr>
          <w:p w14:paraId="2C647E95"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WWF Grant, WWD Korea</w:t>
            </w:r>
          </w:p>
        </w:tc>
        <w:tc>
          <w:tcPr>
            <w:tcW w:w="1332" w:type="dxa"/>
            <w:shd w:val="clear" w:color="auto" w:fill="auto"/>
            <w:hideMark/>
          </w:tcPr>
          <w:p w14:paraId="2658D70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191" w:type="dxa"/>
            <w:shd w:val="clear" w:color="auto" w:fill="auto"/>
            <w:hideMark/>
          </w:tcPr>
          <w:p w14:paraId="393EB4B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35A688C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50DAD12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333" w:type="dxa"/>
            <w:shd w:val="clear" w:color="auto" w:fill="auto"/>
            <w:hideMark/>
          </w:tcPr>
          <w:p w14:paraId="759787B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37E04268" w14:textId="77777777" w:rsidTr="00D8194D">
        <w:tc>
          <w:tcPr>
            <w:tcW w:w="1277" w:type="dxa"/>
            <w:shd w:val="clear" w:color="auto" w:fill="auto"/>
            <w:hideMark/>
          </w:tcPr>
          <w:p w14:paraId="7B4A9FD7"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R100637</w:t>
            </w:r>
          </w:p>
        </w:tc>
        <w:tc>
          <w:tcPr>
            <w:tcW w:w="2131" w:type="dxa"/>
            <w:shd w:val="clear" w:color="auto" w:fill="auto"/>
            <w:noWrap/>
            <w:hideMark/>
          </w:tcPr>
          <w:p w14:paraId="78E2FC6E"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COP13 UAE</w:t>
            </w:r>
          </w:p>
        </w:tc>
        <w:tc>
          <w:tcPr>
            <w:tcW w:w="1332" w:type="dxa"/>
            <w:shd w:val="clear" w:color="auto" w:fill="auto"/>
            <w:hideMark/>
          </w:tcPr>
          <w:p w14:paraId="36FAF59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206</w:t>
            </w:r>
          </w:p>
        </w:tc>
        <w:tc>
          <w:tcPr>
            <w:tcW w:w="1191" w:type="dxa"/>
            <w:shd w:val="clear" w:color="auto" w:fill="auto"/>
            <w:hideMark/>
          </w:tcPr>
          <w:p w14:paraId="54AC251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(206)</w:t>
            </w:r>
          </w:p>
        </w:tc>
        <w:tc>
          <w:tcPr>
            <w:tcW w:w="1190" w:type="dxa"/>
            <w:shd w:val="clear" w:color="auto" w:fill="auto"/>
            <w:hideMark/>
          </w:tcPr>
          <w:p w14:paraId="6B1742D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766BEC0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254A8BC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r>
      <w:tr w:rsidR="00F45CC2" w:rsidRPr="00F45CC2" w14:paraId="180DCCF5" w14:textId="77777777" w:rsidTr="00D8194D">
        <w:tc>
          <w:tcPr>
            <w:tcW w:w="1277" w:type="dxa"/>
            <w:shd w:val="clear" w:color="auto" w:fill="auto"/>
            <w:hideMark/>
          </w:tcPr>
          <w:p w14:paraId="31605AB6"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R100639</w:t>
            </w:r>
          </w:p>
        </w:tc>
        <w:tc>
          <w:tcPr>
            <w:tcW w:w="2131" w:type="dxa"/>
            <w:shd w:val="clear" w:color="auto" w:fill="auto"/>
            <w:noWrap/>
            <w:hideMark/>
          </w:tcPr>
          <w:p w14:paraId="5884C42B"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COP13 - sponsored delegates</w:t>
            </w:r>
          </w:p>
        </w:tc>
        <w:tc>
          <w:tcPr>
            <w:tcW w:w="1332" w:type="dxa"/>
            <w:shd w:val="clear" w:color="auto" w:fill="auto"/>
            <w:hideMark/>
          </w:tcPr>
          <w:p w14:paraId="78668D7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(94)</w:t>
            </w:r>
          </w:p>
        </w:tc>
        <w:tc>
          <w:tcPr>
            <w:tcW w:w="1191" w:type="dxa"/>
            <w:shd w:val="clear" w:color="auto" w:fill="auto"/>
            <w:hideMark/>
          </w:tcPr>
          <w:p w14:paraId="114E2B5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w:t>
            </w:r>
          </w:p>
        </w:tc>
        <w:tc>
          <w:tcPr>
            <w:tcW w:w="1190" w:type="dxa"/>
            <w:shd w:val="clear" w:color="auto" w:fill="auto"/>
            <w:hideMark/>
          </w:tcPr>
          <w:p w14:paraId="7EE2182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18</w:t>
            </w:r>
          </w:p>
        </w:tc>
        <w:tc>
          <w:tcPr>
            <w:tcW w:w="1191" w:type="dxa"/>
            <w:shd w:val="clear" w:color="auto" w:fill="auto"/>
            <w:hideMark/>
          </w:tcPr>
          <w:p w14:paraId="42C55EB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75</w:t>
            </w:r>
          </w:p>
        </w:tc>
        <w:tc>
          <w:tcPr>
            <w:tcW w:w="1333" w:type="dxa"/>
            <w:shd w:val="clear" w:color="auto" w:fill="auto"/>
            <w:hideMark/>
          </w:tcPr>
          <w:p w14:paraId="28CE93E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2193282A" w14:textId="77777777" w:rsidTr="00D8194D">
        <w:tc>
          <w:tcPr>
            <w:tcW w:w="1277" w:type="dxa"/>
            <w:shd w:val="clear" w:color="auto" w:fill="auto"/>
            <w:hideMark/>
          </w:tcPr>
          <w:p w14:paraId="647C8F05"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R100640</w:t>
            </w:r>
          </w:p>
        </w:tc>
        <w:tc>
          <w:tcPr>
            <w:tcW w:w="2131" w:type="dxa"/>
            <w:shd w:val="clear" w:color="auto" w:fill="auto"/>
            <w:noWrap/>
            <w:hideMark/>
          </w:tcPr>
          <w:p w14:paraId="19879F9D"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COP14 - China</w:t>
            </w:r>
          </w:p>
        </w:tc>
        <w:tc>
          <w:tcPr>
            <w:tcW w:w="1332" w:type="dxa"/>
            <w:shd w:val="clear" w:color="auto" w:fill="auto"/>
            <w:hideMark/>
          </w:tcPr>
          <w:p w14:paraId="030319F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noWrap/>
            <w:hideMark/>
          </w:tcPr>
          <w:p w14:paraId="2908AB1F" w14:textId="77777777" w:rsidR="00F45CC2" w:rsidRPr="00F45CC2" w:rsidRDefault="00F45CC2" w:rsidP="00DC0921">
            <w:pPr>
              <w:ind w:left="0" w:firstLine="0"/>
              <w:jc w:val="right"/>
              <w:rPr>
                <w:rFonts w:eastAsia="Times New Roman" w:cs="Calibri"/>
                <w:lang w:eastAsia="en-GB"/>
              </w:rPr>
            </w:pPr>
            <w:r w:rsidRPr="00F45CC2">
              <w:rPr>
                <w:rFonts w:eastAsia="Times New Roman" w:cs="Calibri"/>
                <w:lang w:eastAsia="en-GB"/>
              </w:rPr>
              <w:t>-</w:t>
            </w:r>
          </w:p>
        </w:tc>
        <w:tc>
          <w:tcPr>
            <w:tcW w:w="1190" w:type="dxa"/>
            <w:shd w:val="clear" w:color="auto" w:fill="auto"/>
            <w:hideMark/>
          </w:tcPr>
          <w:p w14:paraId="4C997E2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191" w:type="dxa"/>
            <w:shd w:val="clear" w:color="auto" w:fill="auto"/>
            <w:hideMark/>
          </w:tcPr>
          <w:p w14:paraId="378AAB3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5DD7242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r>
      <w:tr w:rsidR="00F45CC2" w:rsidRPr="00F45CC2" w14:paraId="227CE6FD" w14:textId="77777777" w:rsidTr="00D8194D">
        <w:tc>
          <w:tcPr>
            <w:tcW w:w="1277" w:type="dxa"/>
            <w:shd w:val="clear" w:color="auto" w:fill="auto"/>
            <w:hideMark/>
          </w:tcPr>
          <w:p w14:paraId="2578A2F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R100700</w:t>
            </w:r>
          </w:p>
        </w:tc>
        <w:tc>
          <w:tcPr>
            <w:tcW w:w="2131" w:type="dxa"/>
            <w:shd w:val="clear" w:color="auto" w:fill="auto"/>
            <w:noWrap/>
            <w:hideMark/>
          </w:tcPr>
          <w:p w14:paraId="20115B37"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CEPA</w:t>
            </w:r>
          </w:p>
        </w:tc>
        <w:tc>
          <w:tcPr>
            <w:tcW w:w="1332" w:type="dxa"/>
            <w:shd w:val="clear" w:color="auto" w:fill="auto"/>
            <w:hideMark/>
          </w:tcPr>
          <w:p w14:paraId="54E5134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13</w:t>
            </w:r>
          </w:p>
        </w:tc>
        <w:tc>
          <w:tcPr>
            <w:tcW w:w="1191" w:type="dxa"/>
            <w:shd w:val="clear" w:color="auto" w:fill="auto"/>
            <w:hideMark/>
          </w:tcPr>
          <w:p w14:paraId="7320D9B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4E4D1C4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w:t>
            </w:r>
          </w:p>
        </w:tc>
        <w:tc>
          <w:tcPr>
            <w:tcW w:w="1191" w:type="dxa"/>
            <w:shd w:val="clear" w:color="auto" w:fill="auto"/>
            <w:hideMark/>
          </w:tcPr>
          <w:p w14:paraId="7F4348C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534BEAD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8</w:t>
            </w:r>
          </w:p>
        </w:tc>
      </w:tr>
      <w:tr w:rsidR="00F45CC2" w:rsidRPr="00F45CC2" w14:paraId="4AF2C8CB" w14:textId="77777777" w:rsidTr="00D8194D">
        <w:tc>
          <w:tcPr>
            <w:tcW w:w="1277" w:type="dxa"/>
            <w:shd w:val="clear" w:color="auto" w:fill="auto"/>
            <w:hideMark/>
          </w:tcPr>
          <w:p w14:paraId="2CB64A2F"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R100809</w:t>
            </w:r>
          </w:p>
        </w:tc>
        <w:tc>
          <w:tcPr>
            <w:tcW w:w="2131" w:type="dxa"/>
            <w:shd w:val="clear" w:color="auto" w:fill="auto"/>
            <w:noWrap/>
            <w:hideMark/>
          </w:tcPr>
          <w:p w14:paraId="6848B17B"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Danone Ecole de l'eau</w:t>
            </w:r>
          </w:p>
        </w:tc>
        <w:tc>
          <w:tcPr>
            <w:tcW w:w="1332" w:type="dxa"/>
            <w:shd w:val="clear" w:color="auto" w:fill="auto"/>
            <w:hideMark/>
          </w:tcPr>
          <w:p w14:paraId="47CDB5A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21</w:t>
            </w:r>
          </w:p>
        </w:tc>
        <w:tc>
          <w:tcPr>
            <w:tcW w:w="1191" w:type="dxa"/>
            <w:shd w:val="clear" w:color="auto" w:fill="auto"/>
            <w:hideMark/>
          </w:tcPr>
          <w:p w14:paraId="39BF2FD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769C542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66563E3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(21)</w:t>
            </w:r>
          </w:p>
        </w:tc>
        <w:tc>
          <w:tcPr>
            <w:tcW w:w="1333" w:type="dxa"/>
            <w:shd w:val="clear" w:color="auto" w:fill="auto"/>
            <w:hideMark/>
          </w:tcPr>
          <w:p w14:paraId="159D347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48220FCA" w14:textId="77777777" w:rsidTr="00D8194D">
        <w:tc>
          <w:tcPr>
            <w:tcW w:w="1277" w:type="dxa"/>
            <w:shd w:val="clear" w:color="auto" w:fill="auto"/>
            <w:hideMark/>
          </w:tcPr>
          <w:p w14:paraId="5F0DEE7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R100819</w:t>
            </w:r>
          </w:p>
        </w:tc>
        <w:tc>
          <w:tcPr>
            <w:tcW w:w="2131" w:type="dxa"/>
            <w:shd w:val="clear" w:color="auto" w:fill="auto"/>
            <w:noWrap/>
            <w:hideMark/>
          </w:tcPr>
          <w:p w14:paraId="3482E39D"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Danone Spring</w:t>
            </w:r>
          </w:p>
        </w:tc>
        <w:tc>
          <w:tcPr>
            <w:tcW w:w="1332" w:type="dxa"/>
            <w:shd w:val="clear" w:color="auto" w:fill="auto"/>
            <w:hideMark/>
          </w:tcPr>
          <w:p w14:paraId="1C62CC5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8</w:t>
            </w:r>
          </w:p>
        </w:tc>
        <w:tc>
          <w:tcPr>
            <w:tcW w:w="1191" w:type="dxa"/>
            <w:shd w:val="clear" w:color="auto" w:fill="auto"/>
            <w:hideMark/>
          </w:tcPr>
          <w:p w14:paraId="1545D1F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3294B89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0E7A33C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(8)</w:t>
            </w:r>
          </w:p>
        </w:tc>
        <w:tc>
          <w:tcPr>
            <w:tcW w:w="1333" w:type="dxa"/>
            <w:shd w:val="clear" w:color="auto" w:fill="auto"/>
            <w:hideMark/>
          </w:tcPr>
          <w:p w14:paraId="01201DC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128E6BF1" w14:textId="77777777" w:rsidTr="00D8194D">
        <w:tc>
          <w:tcPr>
            <w:tcW w:w="1277" w:type="dxa"/>
            <w:shd w:val="clear" w:color="auto" w:fill="auto"/>
            <w:hideMark/>
          </w:tcPr>
          <w:p w14:paraId="5DC48555"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lastRenderedPageBreak/>
              <w:t>R100816</w:t>
            </w:r>
          </w:p>
        </w:tc>
        <w:tc>
          <w:tcPr>
            <w:tcW w:w="2131" w:type="dxa"/>
            <w:shd w:val="clear" w:color="auto" w:fill="auto"/>
            <w:noWrap/>
            <w:hideMark/>
          </w:tcPr>
          <w:p w14:paraId="573C0816"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Danone 2016-2020</w:t>
            </w:r>
          </w:p>
        </w:tc>
        <w:tc>
          <w:tcPr>
            <w:tcW w:w="1332" w:type="dxa"/>
            <w:shd w:val="clear" w:color="auto" w:fill="auto"/>
            <w:hideMark/>
          </w:tcPr>
          <w:p w14:paraId="350F17A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178</w:t>
            </w:r>
          </w:p>
        </w:tc>
        <w:tc>
          <w:tcPr>
            <w:tcW w:w="1191" w:type="dxa"/>
            <w:shd w:val="clear" w:color="auto" w:fill="auto"/>
            <w:hideMark/>
          </w:tcPr>
          <w:p w14:paraId="1F0B051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125</w:t>
            </w:r>
          </w:p>
        </w:tc>
        <w:tc>
          <w:tcPr>
            <w:tcW w:w="1190" w:type="dxa"/>
            <w:shd w:val="clear" w:color="auto" w:fill="auto"/>
            <w:hideMark/>
          </w:tcPr>
          <w:p w14:paraId="04CFD9C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(144)</w:t>
            </w:r>
          </w:p>
        </w:tc>
        <w:tc>
          <w:tcPr>
            <w:tcW w:w="1191" w:type="dxa"/>
            <w:shd w:val="clear" w:color="auto" w:fill="auto"/>
            <w:hideMark/>
          </w:tcPr>
          <w:p w14:paraId="34E2F35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44</w:t>
            </w:r>
          </w:p>
        </w:tc>
        <w:tc>
          <w:tcPr>
            <w:tcW w:w="1333" w:type="dxa"/>
            <w:shd w:val="clear" w:color="auto" w:fill="auto"/>
            <w:hideMark/>
          </w:tcPr>
          <w:p w14:paraId="019D81E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204</w:t>
            </w:r>
          </w:p>
        </w:tc>
      </w:tr>
      <w:tr w:rsidR="00F45CC2" w:rsidRPr="00F45CC2" w14:paraId="1F860136" w14:textId="77777777" w:rsidTr="00D8194D">
        <w:tc>
          <w:tcPr>
            <w:tcW w:w="1277" w:type="dxa"/>
            <w:shd w:val="clear" w:color="auto" w:fill="auto"/>
            <w:hideMark/>
          </w:tcPr>
          <w:p w14:paraId="7CCFC647"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R100904</w:t>
            </w:r>
          </w:p>
        </w:tc>
        <w:tc>
          <w:tcPr>
            <w:tcW w:w="2131" w:type="dxa"/>
            <w:shd w:val="clear" w:color="auto" w:fill="auto"/>
            <w:noWrap/>
            <w:hideMark/>
          </w:tcPr>
          <w:p w14:paraId="49F6934E"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STRP NON-CORE</w:t>
            </w:r>
          </w:p>
        </w:tc>
        <w:tc>
          <w:tcPr>
            <w:tcW w:w="1332" w:type="dxa"/>
            <w:shd w:val="clear" w:color="auto" w:fill="auto"/>
            <w:hideMark/>
          </w:tcPr>
          <w:p w14:paraId="137E032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145</w:t>
            </w:r>
          </w:p>
        </w:tc>
        <w:tc>
          <w:tcPr>
            <w:tcW w:w="1191" w:type="dxa"/>
            <w:shd w:val="clear" w:color="auto" w:fill="auto"/>
            <w:hideMark/>
          </w:tcPr>
          <w:p w14:paraId="644BFDF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0" w:type="dxa"/>
            <w:shd w:val="clear" w:color="auto" w:fill="auto"/>
            <w:hideMark/>
          </w:tcPr>
          <w:p w14:paraId="525B67F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17B04A2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611937F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145</w:t>
            </w:r>
          </w:p>
        </w:tc>
      </w:tr>
      <w:tr w:rsidR="00F45CC2" w:rsidRPr="00F45CC2" w14:paraId="1B5AC938" w14:textId="77777777" w:rsidTr="00D8194D">
        <w:tc>
          <w:tcPr>
            <w:tcW w:w="1277" w:type="dxa"/>
            <w:shd w:val="clear" w:color="auto" w:fill="auto"/>
            <w:hideMark/>
          </w:tcPr>
          <w:p w14:paraId="72E94AB5"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R100910</w:t>
            </w:r>
          </w:p>
        </w:tc>
        <w:tc>
          <w:tcPr>
            <w:tcW w:w="2131" w:type="dxa"/>
            <w:shd w:val="clear" w:color="auto" w:fill="auto"/>
            <w:noWrap/>
            <w:hideMark/>
          </w:tcPr>
          <w:p w14:paraId="7AE3F6A4"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TEEB</w:t>
            </w:r>
          </w:p>
        </w:tc>
        <w:tc>
          <w:tcPr>
            <w:tcW w:w="1332" w:type="dxa"/>
            <w:shd w:val="clear" w:color="auto" w:fill="auto"/>
            <w:hideMark/>
          </w:tcPr>
          <w:p w14:paraId="1679D93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39</w:t>
            </w:r>
          </w:p>
        </w:tc>
        <w:tc>
          <w:tcPr>
            <w:tcW w:w="1191" w:type="dxa"/>
            <w:shd w:val="clear" w:color="auto" w:fill="auto"/>
            <w:hideMark/>
          </w:tcPr>
          <w:p w14:paraId="5B8E81D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5173EA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67CADBE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(39)</w:t>
            </w:r>
          </w:p>
        </w:tc>
        <w:tc>
          <w:tcPr>
            <w:tcW w:w="1333" w:type="dxa"/>
            <w:shd w:val="clear" w:color="auto" w:fill="auto"/>
            <w:hideMark/>
          </w:tcPr>
          <w:p w14:paraId="6C628A2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3CD29DC2" w14:textId="77777777" w:rsidTr="00D8194D">
        <w:tc>
          <w:tcPr>
            <w:tcW w:w="1277" w:type="dxa"/>
            <w:shd w:val="clear" w:color="auto" w:fill="auto"/>
            <w:hideMark/>
          </w:tcPr>
          <w:p w14:paraId="04E6351A"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R100915</w:t>
            </w:r>
          </w:p>
        </w:tc>
        <w:tc>
          <w:tcPr>
            <w:tcW w:w="2131" w:type="dxa"/>
            <w:shd w:val="clear" w:color="auto" w:fill="auto"/>
            <w:noWrap/>
            <w:hideMark/>
          </w:tcPr>
          <w:p w14:paraId="0E8FCC10"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GENDER WORK</w:t>
            </w:r>
          </w:p>
        </w:tc>
        <w:tc>
          <w:tcPr>
            <w:tcW w:w="1332" w:type="dxa"/>
            <w:shd w:val="clear" w:color="auto" w:fill="auto"/>
            <w:hideMark/>
          </w:tcPr>
          <w:p w14:paraId="3D943C5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7ADB5D6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55</w:t>
            </w:r>
          </w:p>
        </w:tc>
        <w:tc>
          <w:tcPr>
            <w:tcW w:w="1190" w:type="dxa"/>
            <w:shd w:val="clear" w:color="auto" w:fill="auto"/>
            <w:hideMark/>
          </w:tcPr>
          <w:p w14:paraId="4C9AE7B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(12)</w:t>
            </w:r>
          </w:p>
        </w:tc>
        <w:tc>
          <w:tcPr>
            <w:tcW w:w="1191" w:type="dxa"/>
            <w:shd w:val="clear" w:color="auto" w:fill="auto"/>
            <w:hideMark/>
          </w:tcPr>
          <w:p w14:paraId="6DB7892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35168AA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43</w:t>
            </w:r>
          </w:p>
        </w:tc>
      </w:tr>
      <w:tr w:rsidR="00F45CC2" w:rsidRPr="00F45CC2" w14:paraId="75B83830" w14:textId="77777777" w:rsidTr="00D8194D">
        <w:tc>
          <w:tcPr>
            <w:tcW w:w="1277" w:type="dxa"/>
            <w:shd w:val="clear" w:color="auto" w:fill="auto"/>
            <w:hideMark/>
          </w:tcPr>
          <w:p w14:paraId="76FAFAEF"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R101000</w:t>
            </w:r>
          </w:p>
        </w:tc>
        <w:tc>
          <w:tcPr>
            <w:tcW w:w="2131" w:type="dxa"/>
            <w:shd w:val="clear" w:color="auto" w:fill="auto"/>
            <w:noWrap/>
            <w:hideMark/>
          </w:tcPr>
          <w:p w14:paraId="15798C67"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SSFA, Expert Group on Water Cycle</w:t>
            </w:r>
          </w:p>
        </w:tc>
        <w:tc>
          <w:tcPr>
            <w:tcW w:w="1332" w:type="dxa"/>
            <w:shd w:val="clear" w:color="auto" w:fill="auto"/>
            <w:hideMark/>
          </w:tcPr>
          <w:p w14:paraId="730BFC5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21</w:t>
            </w:r>
          </w:p>
        </w:tc>
        <w:tc>
          <w:tcPr>
            <w:tcW w:w="1191" w:type="dxa"/>
            <w:shd w:val="clear" w:color="auto" w:fill="auto"/>
            <w:hideMark/>
          </w:tcPr>
          <w:p w14:paraId="2DDCAD4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(21)</w:t>
            </w:r>
          </w:p>
        </w:tc>
        <w:tc>
          <w:tcPr>
            <w:tcW w:w="1190" w:type="dxa"/>
            <w:shd w:val="clear" w:color="auto" w:fill="auto"/>
            <w:hideMark/>
          </w:tcPr>
          <w:p w14:paraId="05EFAF6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5728772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4670F01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442902ED" w14:textId="77777777" w:rsidTr="00D8194D">
        <w:tc>
          <w:tcPr>
            <w:tcW w:w="1277" w:type="dxa"/>
            <w:shd w:val="clear" w:color="auto" w:fill="auto"/>
            <w:hideMark/>
          </w:tcPr>
          <w:p w14:paraId="3750775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R101001</w:t>
            </w:r>
          </w:p>
        </w:tc>
        <w:tc>
          <w:tcPr>
            <w:tcW w:w="2131" w:type="dxa"/>
            <w:shd w:val="clear" w:color="auto" w:fill="auto"/>
            <w:noWrap/>
            <w:hideMark/>
          </w:tcPr>
          <w:p w14:paraId="24FFC9E2"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WCMC, Online National Report Format</w:t>
            </w:r>
          </w:p>
        </w:tc>
        <w:tc>
          <w:tcPr>
            <w:tcW w:w="1332" w:type="dxa"/>
            <w:shd w:val="clear" w:color="auto" w:fill="auto"/>
            <w:hideMark/>
          </w:tcPr>
          <w:p w14:paraId="03F0A53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14</w:t>
            </w:r>
          </w:p>
        </w:tc>
        <w:tc>
          <w:tcPr>
            <w:tcW w:w="1191" w:type="dxa"/>
            <w:shd w:val="clear" w:color="auto" w:fill="auto"/>
            <w:hideMark/>
          </w:tcPr>
          <w:p w14:paraId="41FE043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48F4B3C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(10)</w:t>
            </w:r>
          </w:p>
        </w:tc>
        <w:tc>
          <w:tcPr>
            <w:tcW w:w="1191" w:type="dxa"/>
            <w:shd w:val="clear" w:color="auto" w:fill="auto"/>
            <w:hideMark/>
          </w:tcPr>
          <w:p w14:paraId="6EA0E40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2D58D67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w:t>
            </w:r>
          </w:p>
        </w:tc>
      </w:tr>
      <w:tr w:rsidR="00F45CC2" w:rsidRPr="00F45CC2" w14:paraId="258AF2AE" w14:textId="77777777" w:rsidTr="00D8194D">
        <w:tc>
          <w:tcPr>
            <w:tcW w:w="1277" w:type="dxa"/>
            <w:shd w:val="clear" w:color="auto" w:fill="auto"/>
            <w:hideMark/>
          </w:tcPr>
          <w:p w14:paraId="74621A8E"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R101003</w:t>
            </w:r>
          </w:p>
        </w:tc>
        <w:tc>
          <w:tcPr>
            <w:tcW w:w="2131" w:type="dxa"/>
            <w:shd w:val="clear" w:color="auto" w:fill="auto"/>
            <w:noWrap/>
            <w:hideMark/>
          </w:tcPr>
          <w:p w14:paraId="72A1BF55"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MAVA 13-32</w:t>
            </w:r>
          </w:p>
        </w:tc>
        <w:tc>
          <w:tcPr>
            <w:tcW w:w="1332" w:type="dxa"/>
            <w:shd w:val="clear" w:color="auto" w:fill="auto"/>
            <w:hideMark/>
          </w:tcPr>
          <w:p w14:paraId="4236028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w:t>
            </w:r>
          </w:p>
        </w:tc>
        <w:tc>
          <w:tcPr>
            <w:tcW w:w="1191" w:type="dxa"/>
            <w:shd w:val="clear" w:color="auto" w:fill="auto"/>
            <w:hideMark/>
          </w:tcPr>
          <w:p w14:paraId="2D0D0A5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6852254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326E3E0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4A4DCBA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w:t>
            </w:r>
          </w:p>
        </w:tc>
      </w:tr>
      <w:tr w:rsidR="00F45CC2" w:rsidRPr="00F45CC2" w14:paraId="55CD28C5" w14:textId="77777777" w:rsidTr="00D8194D">
        <w:tc>
          <w:tcPr>
            <w:tcW w:w="1277" w:type="dxa"/>
            <w:shd w:val="clear" w:color="auto" w:fill="auto"/>
            <w:hideMark/>
          </w:tcPr>
          <w:p w14:paraId="5E8CC058"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R101006</w:t>
            </w:r>
          </w:p>
        </w:tc>
        <w:tc>
          <w:tcPr>
            <w:tcW w:w="2131" w:type="dxa"/>
            <w:shd w:val="clear" w:color="auto" w:fill="auto"/>
            <w:noWrap/>
            <w:hideMark/>
          </w:tcPr>
          <w:p w14:paraId="58BBE694"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Climate Change</w:t>
            </w:r>
          </w:p>
        </w:tc>
        <w:tc>
          <w:tcPr>
            <w:tcW w:w="1332" w:type="dxa"/>
            <w:shd w:val="clear" w:color="auto" w:fill="auto"/>
            <w:hideMark/>
          </w:tcPr>
          <w:p w14:paraId="3B89AA3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w:t>
            </w:r>
          </w:p>
        </w:tc>
        <w:tc>
          <w:tcPr>
            <w:tcW w:w="1191" w:type="dxa"/>
            <w:shd w:val="clear" w:color="auto" w:fill="auto"/>
            <w:hideMark/>
          </w:tcPr>
          <w:p w14:paraId="2B53A96B"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43</w:t>
            </w:r>
          </w:p>
        </w:tc>
        <w:tc>
          <w:tcPr>
            <w:tcW w:w="1190" w:type="dxa"/>
            <w:shd w:val="clear" w:color="auto" w:fill="auto"/>
            <w:hideMark/>
          </w:tcPr>
          <w:p w14:paraId="4397328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1A79676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3E8029B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51</w:t>
            </w:r>
          </w:p>
        </w:tc>
      </w:tr>
      <w:tr w:rsidR="00F45CC2" w:rsidRPr="00F45CC2" w14:paraId="4F0D5C9B" w14:textId="77777777" w:rsidTr="00D8194D">
        <w:tc>
          <w:tcPr>
            <w:tcW w:w="1277" w:type="dxa"/>
            <w:shd w:val="clear" w:color="auto" w:fill="auto"/>
            <w:hideMark/>
          </w:tcPr>
          <w:p w14:paraId="3AA1FED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R101007</w:t>
            </w:r>
          </w:p>
        </w:tc>
        <w:tc>
          <w:tcPr>
            <w:tcW w:w="2131" w:type="dxa"/>
            <w:shd w:val="clear" w:color="auto" w:fill="auto"/>
            <w:noWrap/>
            <w:hideMark/>
          </w:tcPr>
          <w:p w14:paraId="73BB09F9"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Tropical Peatlands</w:t>
            </w:r>
          </w:p>
        </w:tc>
        <w:tc>
          <w:tcPr>
            <w:tcW w:w="1332" w:type="dxa"/>
            <w:shd w:val="clear" w:color="auto" w:fill="auto"/>
            <w:hideMark/>
          </w:tcPr>
          <w:p w14:paraId="697A7D4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1B261040"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65</w:t>
            </w:r>
          </w:p>
        </w:tc>
        <w:tc>
          <w:tcPr>
            <w:tcW w:w="1190" w:type="dxa"/>
            <w:shd w:val="clear" w:color="auto" w:fill="auto"/>
            <w:hideMark/>
          </w:tcPr>
          <w:p w14:paraId="1E4A24D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1" w:type="dxa"/>
            <w:shd w:val="clear" w:color="auto" w:fill="auto"/>
            <w:hideMark/>
          </w:tcPr>
          <w:p w14:paraId="1D7431C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333" w:type="dxa"/>
            <w:shd w:val="clear" w:color="auto" w:fill="auto"/>
            <w:hideMark/>
          </w:tcPr>
          <w:p w14:paraId="0DA6B22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65</w:t>
            </w:r>
          </w:p>
        </w:tc>
      </w:tr>
      <w:tr w:rsidR="00F45CC2" w:rsidRPr="00F45CC2" w14:paraId="71DECF4C" w14:textId="77777777" w:rsidTr="00D8194D">
        <w:tc>
          <w:tcPr>
            <w:tcW w:w="3408" w:type="dxa"/>
            <w:gridSpan w:val="2"/>
            <w:shd w:val="clear" w:color="000000" w:fill="EAF1DD"/>
            <w:hideMark/>
          </w:tcPr>
          <w:p w14:paraId="4358359A" w14:textId="77777777" w:rsidR="00F45CC2" w:rsidRPr="00F45CC2" w:rsidRDefault="00F45CC2" w:rsidP="00DC0921">
            <w:pPr>
              <w:ind w:left="0" w:firstLine="0"/>
              <w:rPr>
                <w:rFonts w:eastAsia="Times New Roman" w:cs="Calibri"/>
                <w:b/>
                <w:bCs/>
                <w:sz w:val="20"/>
                <w:szCs w:val="20"/>
                <w:lang w:eastAsia="en-GB"/>
              </w:rPr>
            </w:pPr>
            <w:r w:rsidRPr="00F45CC2">
              <w:rPr>
                <w:rFonts w:eastAsia="Times New Roman" w:cs="Calibri"/>
                <w:b/>
                <w:bCs/>
                <w:sz w:val="20"/>
                <w:szCs w:val="20"/>
                <w:lang w:eastAsia="en-GB"/>
              </w:rPr>
              <w:t>Total of Other</w:t>
            </w:r>
          </w:p>
        </w:tc>
        <w:tc>
          <w:tcPr>
            <w:tcW w:w="1332" w:type="dxa"/>
            <w:shd w:val="clear" w:color="000000" w:fill="EAF1DD"/>
            <w:hideMark/>
          </w:tcPr>
          <w:p w14:paraId="2A0D383A"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1,201</w:t>
            </w:r>
          </w:p>
        </w:tc>
        <w:tc>
          <w:tcPr>
            <w:tcW w:w="1191" w:type="dxa"/>
            <w:shd w:val="clear" w:color="000000" w:fill="EAF1DD"/>
            <w:hideMark/>
          </w:tcPr>
          <w:p w14:paraId="5832D665"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63</w:t>
            </w:r>
          </w:p>
        </w:tc>
        <w:tc>
          <w:tcPr>
            <w:tcW w:w="1190" w:type="dxa"/>
            <w:shd w:val="clear" w:color="000000" w:fill="EAF1DD"/>
            <w:hideMark/>
          </w:tcPr>
          <w:p w14:paraId="3157CBEA"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(160)</w:t>
            </w:r>
          </w:p>
        </w:tc>
        <w:tc>
          <w:tcPr>
            <w:tcW w:w="1191" w:type="dxa"/>
            <w:shd w:val="clear" w:color="000000" w:fill="EAF1DD"/>
            <w:hideMark/>
          </w:tcPr>
          <w:p w14:paraId="1036A714"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84</w:t>
            </w:r>
          </w:p>
        </w:tc>
        <w:tc>
          <w:tcPr>
            <w:tcW w:w="1333" w:type="dxa"/>
            <w:shd w:val="clear" w:color="000000" w:fill="EAF1DD"/>
            <w:hideMark/>
          </w:tcPr>
          <w:p w14:paraId="1BB4604B"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1,189</w:t>
            </w:r>
          </w:p>
        </w:tc>
      </w:tr>
      <w:tr w:rsidR="00F45CC2" w:rsidRPr="00F45CC2" w14:paraId="465D4DA8" w14:textId="77777777" w:rsidTr="00D8194D">
        <w:tc>
          <w:tcPr>
            <w:tcW w:w="3408" w:type="dxa"/>
            <w:gridSpan w:val="2"/>
            <w:shd w:val="clear" w:color="auto" w:fill="auto"/>
            <w:hideMark/>
          </w:tcPr>
          <w:p w14:paraId="2980E8AD" w14:textId="77777777" w:rsidR="00DC0921" w:rsidRDefault="00DC0921" w:rsidP="00DC0921">
            <w:pPr>
              <w:ind w:left="0" w:firstLine="0"/>
              <w:rPr>
                <w:rFonts w:eastAsia="Times New Roman" w:cs="Calibri"/>
                <w:b/>
                <w:bCs/>
                <w:sz w:val="20"/>
                <w:szCs w:val="20"/>
                <w:u w:val="single"/>
                <w:lang w:eastAsia="en-GB"/>
              </w:rPr>
            </w:pPr>
          </w:p>
          <w:p w14:paraId="694A96E5" w14:textId="5BBAD4C1" w:rsidR="00F45CC2" w:rsidRPr="00F45CC2" w:rsidRDefault="00F45CC2" w:rsidP="00DC0921">
            <w:pPr>
              <w:ind w:left="0" w:firstLine="0"/>
              <w:rPr>
                <w:rFonts w:eastAsia="Times New Roman" w:cs="Calibri"/>
                <w:b/>
                <w:bCs/>
                <w:sz w:val="20"/>
                <w:szCs w:val="20"/>
                <w:u w:val="single"/>
                <w:lang w:eastAsia="en-GB"/>
              </w:rPr>
            </w:pPr>
            <w:r w:rsidRPr="00F45CC2">
              <w:rPr>
                <w:rFonts w:eastAsia="Times New Roman" w:cs="Calibri"/>
                <w:b/>
                <w:bCs/>
                <w:sz w:val="20"/>
                <w:szCs w:val="20"/>
                <w:u w:val="single"/>
                <w:lang w:eastAsia="en-GB"/>
              </w:rPr>
              <w:t>Regional Initiatives</w:t>
            </w:r>
          </w:p>
        </w:tc>
        <w:tc>
          <w:tcPr>
            <w:tcW w:w="1332" w:type="dxa"/>
            <w:shd w:val="clear" w:color="auto" w:fill="auto"/>
            <w:textDirection w:val="btLr"/>
            <w:hideMark/>
          </w:tcPr>
          <w:p w14:paraId="6D8BCC65" w14:textId="77777777" w:rsidR="00F45CC2" w:rsidRPr="00F45CC2" w:rsidRDefault="00F45CC2" w:rsidP="00DC0921">
            <w:pPr>
              <w:ind w:left="0" w:firstLine="0"/>
              <w:jc w:val="right"/>
              <w:rPr>
                <w:rFonts w:eastAsia="Times New Roman" w:cs="Calibri"/>
                <w:b/>
                <w:bCs/>
                <w:sz w:val="20"/>
                <w:szCs w:val="20"/>
                <w:u w:val="single"/>
                <w:lang w:eastAsia="en-GB"/>
              </w:rPr>
            </w:pPr>
          </w:p>
        </w:tc>
        <w:tc>
          <w:tcPr>
            <w:tcW w:w="1191" w:type="dxa"/>
            <w:shd w:val="clear" w:color="auto" w:fill="auto"/>
            <w:hideMark/>
          </w:tcPr>
          <w:p w14:paraId="272D2C8A"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0B1268B4"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5C476834"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333" w:type="dxa"/>
            <w:shd w:val="clear" w:color="auto" w:fill="auto"/>
            <w:hideMark/>
          </w:tcPr>
          <w:p w14:paraId="3A75702D" w14:textId="77777777" w:rsidR="00F45CC2" w:rsidRPr="00F45CC2" w:rsidRDefault="00F45CC2" w:rsidP="00DC0921">
            <w:pPr>
              <w:ind w:left="0" w:firstLine="0"/>
              <w:jc w:val="right"/>
              <w:rPr>
                <w:rFonts w:ascii="Times New Roman" w:eastAsia="Times New Roman" w:hAnsi="Times New Roman"/>
                <w:sz w:val="20"/>
                <w:szCs w:val="20"/>
                <w:lang w:eastAsia="en-GB"/>
              </w:rPr>
            </w:pPr>
          </w:p>
        </w:tc>
      </w:tr>
      <w:tr w:rsidR="00F45CC2" w:rsidRPr="00F45CC2" w14:paraId="3ECB31DB" w14:textId="77777777" w:rsidTr="00D8194D">
        <w:tc>
          <w:tcPr>
            <w:tcW w:w="1277" w:type="dxa"/>
            <w:shd w:val="clear" w:color="auto" w:fill="auto"/>
            <w:hideMark/>
          </w:tcPr>
          <w:p w14:paraId="047901A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R100133</w:t>
            </w:r>
          </w:p>
        </w:tc>
        <w:tc>
          <w:tcPr>
            <w:tcW w:w="2131" w:type="dxa"/>
            <w:shd w:val="clear" w:color="auto" w:fill="auto"/>
            <w:noWrap/>
            <w:hideMark/>
          </w:tcPr>
          <w:p w14:paraId="3141DC95"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RI - CARIWET</w:t>
            </w:r>
          </w:p>
        </w:tc>
        <w:tc>
          <w:tcPr>
            <w:tcW w:w="1332" w:type="dxa"/>
            <w:shd w:val="clear" w:color="auto" w:fill="auto"/>
            <w:hideMark/>
          </w:tcPr>
          <w:p w14:paraId="46B8035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191" w:type="dxa"/>
            <w:shd w:val="clear" w:color="auto" w:fill="auto"/>
            <w:hideMark/>
          </w:tcPr>
          <w:p w14:paraId="1C64F7D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68841D9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2F70E03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4</w:t>
            </w:r>
          </w:p>
        </w:tc>
        <w:tc>
          <w:tcPr>
            <w:tcW w:w="1333" w:type="dxa"/>
            <w:shd w:val="clear" w:color="auto" w:fill="auto"/>
            <w:hideMark/>
          </w:tcPr>
          <w:p w14:paraId="185638B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3C12FDEB" w14:textId="77777777" w:rsidTr="00D8194D">
        <w:tc>
          <w:tcPr>
            <w:tcW w:w="1277" w:type="dxa"/>
            <w:shd w:val="clear" w:color="auto" w:fill="auto"/>
            <w:hideMark/>
          </w:tcPr>
          <w:p w14:paraId="144462D2"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R100135</w:t>
            </w:r>
          </w:p>
        </w:tc>
        <w:tc>
          <w:tcPr>
            <w:tcW w:w="2131" w:type="dxa"/>
            <w:shd w:val="clear" w:color="auto" w:fill="auto"/>
            <w:noWrap/>
            <w:hideMark/>
          </w:tcPr>
          <w:p w14:paraId="1E8FD7FA"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RI - Mangrove</w:t>
            </w:r>
          </w:p>
        </w:tc>
        <w:tc>
          <w:tcPr>
            <w:tcW w:w="1332" w:type="dxa"/>
            <w:shd w:val="clear" w:color="auto" w:fill="auto"/>
            <w:hideMark/>
          </w:tcPr>
          <w:p w14:paraId="0F5D427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w:t>
            </w:r>
          </w:p>
        </w:tc>
        <w:tc>
          <w:tcPr>
            <w:tcW w:w="1191" w:type="dxa"/>
            <w:shd w:val="clear" w:color="auto" w:fill="auto"/>
            <w:hideMark/>
          </w:tcPr>
          <w:p w14:paraId="07CB0B3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137959B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31730E61"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1</w:t>
            </w:r>
          </w:p>
        </w:tc>
        <w:tc>
          <w:tcPr>
            <w:tcW w:w="1333" w:type="dxa"/>
            <w:shd w:val="clear" w:color="auto" w:fill="auto"/>
            <w:hideMark/>
          </w:tcPr>
          <w:p w14:paraId="25FB7DBA"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2FE3D8FE" w14:textId="77777777" w:rsidTr="00D8194D">
        <w:tc>
          <w:tcPr>
            <w:tcW w:w="1277" w:type="dxa"/>
            <w:shd w:val="clear" w:color="auto" w:fill="auto"/>
            <w:hideMark/>
          </w:tcPr>
          <w:p w14:paraId="3FA406CC"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R100137</w:t>
            </w:r>
          </w:p>
        </w:tc>
        <w:tc>
          <w:tcPr>
            <w:tcW w:w="2131" w:type="dxa"/>
            <w:shd w:val="clear" w:color="auto" w:fill="auto"/>
            <w:noWrap/>
            <w:hideMark/>
          </w:tcPr>
          <w:p w14:paraId="12A5A591"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RI - East Africa Centre</w:t>
            </w:r>
          </w:p>
        </w:tc>
        <w:tc>
          <w:tcPr>
            <w:tcW w:w="1332" w:type="dxa"/>
            <w:shd w:val="clear" w:color="auto" w:fill="auto"/>
            <w:hideMark/>
          </w:tcPr>
          <w:p w14:paraId="77CD5CE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1C71F0B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5A2CA4C6"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7DBA294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333" w:type="dxa"/>
            <w:shd w:val="clear" w:color="auto" w:fill="auto"/>
            <w:hideMark/>
          </w:tcPr>
          <w:p w14:paraId="69CE7177"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312B4229" w14:textId="77777777" w:rsidTr="00D8194D">
        <w:tc>
          <w:tcPr>
            <w:tcW w:w="1277" w:type="dxa"/>
            <w:shd w:val="clear" w:color="auto" w:fill="auto"/>
            <w:hideMark/>
          </w:tcPr>
          <w:p w14:paraId="53085E4A"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R100142</w:t>
            </w:r>
          </w:p>
        </w:tc>
        <w:tc>
          <w:tcPr>
            <w:tcW w:w="2131" w:type="dxa"/>
            <w:shd w:val="clear" w:color="auto" w:fill="auto"/>
            <w:noWrap/>
            <w:hideMark/>
          </w:tcPr>
          <w:p w14:paraId="03162ACF"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RI - Amazon River Basin</w:t>
            </w:r>
          </w:p>
        </w:tc>
        <w:tc>
          <w:tcPr>
            <w:tcW w:w="1332" w:type="dxa"/>
            <w:shd w:val="clear" w:color="auto" w:fill="auto"/>
            <w:hideMark/>
          </w:tcPr>
          <w:p w14:paraId="0474E639"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w:t>
            </w:r>
          </w:p>
        </w:tc>
        <w:tc>
          <w:tcPr>
            <w:tcW w:w="1191" w:type="dxa"/>
            <w:shd w:val="clear" w:color="auto" w:fill="auto"/>
            <w:hideMark/>
          </w:tcPr>
          <w:p w14:paraId="13B0D3D5"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c>
          <w:tcPr>
            <w:tcW w:w="1190" w:type="dxa"/>
            <w:shd w:val="clear" w:color="auto" w:fill="auto"/>
            <w:hideMark/>
          </w:tcPr>
          <w:p w14:paraId="01BB428D"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07F4DDF3"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7</w:t>
            </w:r>
          </w:p>
        </w:tc>
        <w:tc>
          <w:tcPr>
            <w:tcW w:w="1333" w:type="dxa"/>
            <w:shd w:val="clear" w:color="auto" w:fill="auto"/>
            <w:hideMark/>
          </w:tcPr>
          <w:p w14:paraId="57F37062"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w:t>
            </w:r>
          </w:p>
        </w:tc>
      </w:tr>
      <w:tr w:rsidR="00F45CC2" w:rsidRPr="00F45CC2" w14:paraId="669728D4" w14:textId="77777777" w:rsidTr="00D8194D">
        <w:tc>
          <w:tcPr>
            <w:tcW w:w="1277" w:type="dxa"/>
            <w:shd w:val="clear" w:color="auto" w:fill="auto"/>
            <w:hideMark/>
          </w:tcPr>
          <w:p w14:paraId="6395FAAE" w14:textId="77777777" w:rsidR="00F45CC2" w:rsidRPr="00F45CC2" w:rsidRDefault="00F45CC2" w:rsidP="00DC0921">
            <w:pPr>
              <w:ind w:left="0" w:firstLine="0"/>
              <w:rPr>
                <w:rFonts w:eastAsia="Times New Roman" w:cs="Calibri"/>
                <w:sz w:val="20"/>
                <w:szCs w:val="20"/>
                <w:lang w:eastAsia="en-GB"/>
              </w:rPr>
            </w:pPr>
            <w:r w:rsidRPr="00F45CC2">
              <w:rPr>
                <w:rFonts w:eastAsia="Times New Roman" w:cs="Calibri"/>
                <w:sz w:val="20"/>
                <w:szCs w:val="20"/>
                <w:lang w:eastAsia="en-GB"/>
              </w:rPr>
              <w:t>R100200</w:t>
            </w:r>
          </w:p>
        </w:tc>
        <w:tc>
          <w:tcPr>
            <w:tcW w:w="2131" w:type="dxa"/>
            <w:shd w:val="clear" w:color="auto" w:fill="auto"/>
            <w:noWrap/>
            <w:hideMark/>
          </w:tcPr>
          <w:p w14:paraId="0BBED29C" w14:textId="77777777" w:rsidR="00F45CC2" w:rsidRPr="00F45CC2" w:rsidRDefault="00F45CC2" w:rsidP="00DC0921">
            <w:pPr>
              <w:ind w:left="0" w:firstLine="0"/>
              <w:rPr>
                <w:rFonts w:eastAsia="Times New Roman" w:cs="Calibri"/>
                <w:color w:val="000000"/>
                <w:sz w:val="20"/>
                <w:szCs w:val="20"/>
                <w:lang w:eastAsia="en-GB"/>
              </w:rPr>
            </w:pPr>
            <w:r w:rsidRPr="00F45CC2">
              <w:rPr>
                <w:rFonts w:eastAsia="Times New Roman" w:cs="Calibri"/>
                <w:color w:val="000000"/>
                <w:sz w:val="20"/>
                <w:szCs w:val="20"/>
                <w:lang w:eastAsia="en-GB"/>
              </w:rPr>
              <w:t>AVC, African Regional Initiatives</w:t>
            </w:r>
          </w:p>
        </w:tc>
        <w:tc>
          <w:tcPr>
            <w:tcW w:w="1332" w:type="dxa"/>
            <w:shd w:val="clear" w:color="auto" w:fill="auto"/>
            <w:hideMark/>
          </w:tcPr>
          <w:p w14:paraId="32A265A4"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58</w:t>
            </w:r>
          </w:p>
        </w:tc>
        <w:tc>
          <w:tcPr>
            <w:tcW w:w="1191" w:type="dxa"/>
            <w:shd w:val="clear" w:color="auto" w:fill="auto"/>
            <w:hideMark/>
          </w:tcPr>
          <w:p w14:paraId="1B221C8C"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2</w:t>
            </w:r>
          </w:p>
        </w:tc>
        <w:tc>
          <w:tcPr>
            <w:tcW w:w="1190" w:type="dxa"/>
            <w:shd w:val="clear" w:color="auto" w:fill="auto"/>
            <w:hideMark/>
          </w:tcPr>
          <w:p w14:paraId="06ADE3C8"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0</w:t>
            </w:r>
          </w:p>
        </w:tc>
        <w:tc>
          <w:tcPr>
            <w:tcW w:w="1191" w:type="dxa"/>
            <w:shd w:val="clear" w:color="auto" w:fill="auto"/>
            <w:hideMark/>
          </w:tcPr>
          <w:p w14:paraId="5808169E"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33</w:t>
            </w:r>
          </w:p>
        </w:tc>
        <w:tc>
          <w:tcPr>
            <w:tcW w:w="1333" w:type="dxa"/>
            <w:shd w:val="clear" w:color="auto" w:fill="auto"/>
            <w:hideMark/>
          </w:tcPr>
          <w:p w14:paraId="4958969F" w14:textId="77777777" w:rsidR="00F45CC2" w:rsidRPr="00F45CC2" w:rsidRDefault="00F45CC2" w:rsidP="00DC0921">
            <w:pPr>
              <w:ind w:left="0" w:firstLine="0"/>
              <w:jc w:val="right"/>
              <w:rPr>
                <w:rFonts w:eastAsia="Times New Roman" w:cs="Calibri"/>
                <w:sz w:val="20"/>
                <w:szCs w:val="20"/>
                <w:lang w:eastAsia="en-GB"/>
              </w:rPr>
            </w:pPr>
            <w:r w:rsidRPr="00F45CC2">
              <w:rPr>
                <w:rFonts w:eastAsia="Times New Roman" w:cs="Calibri"/>
                <w:sz w:val="20"/>
                <w:szCs w:val="20"/>
                <w:lang w:eastAsia="en-GB"/>
              </w:rPr>
              <w:t>93</w:t>
            </w:r>
          </w:p>
        </w:tc>
      </w:tr>
      <w:tr w:rsidR="00F45CC2" w:rsidRPr="00F45CC2" w14:paraId="088A28C2" w14:textId="77777777" w:rsidTr="00D8194D">
        <w:tc>
          <w:tcPr>
            <w:tcW w:w="3408" w:type="dxa"/>
            <w:gridSpan w:val="2"/>
            <w:shd w:val="clear" w:color="000000" w:fill="EAF1DD"/>
            <w:hideMark/>
          </w:tcPr>
          <w:p w14:paraId="50062967" w14:textId="77777777" w:rsidR="00F45CC2" w:rsidRPr="00F45CC2" w:rsidRDefault="00F45CC2" w:rsidP="00DC0921">
            <w:pPr>
              <w:ind w:left="0" w:firstLine="0"/>
              <w:rPr>
                <w:rFonts w:eastAsia="Times New Roman" w:cs="Calibri"/>
                <w:b/>
                <w:bCs/>
                <w:sz w:val="20"/>
                <w:szCs w:val="20"/>
                <w:lang w:eastAsia="en-GB"/>
              </w:rPr>
            </w:pPr>
            <w:r w:rsidRPr="00F45CC2">
              <w:rPr>
                <w:rFonts w:eastAsia="Times New Roman" w:cs="Calibri"/>
                <w:b/>
                <w:bCs/>
                <w:sz w:val="20"/>
                <w:szCs w:val="20"/>
                <w:lang w:eastAsia="en-GB"/>
              </w:rPr>
              <w:t>Total of Regional Initiatives</w:t>
            </w:r>
          </w:p>
        </w:tc>
        <w:tc>
          <w:tcPr>
            <w:tcW w:w="1332" w:type="dxa"/>
            <w:shd w:val="clear" w:color="000000" w:fill="EAF1DD"/>
            <w:hideMark/>
          </w:tcPr>
          <w:p w14:paraId="176F2CD6"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46</w:t>
            </w:r>
          </w:p>
        </w:tc>
        <w:tc>
          <w:tcPr>
            <w:tcW w:w="1191" w:type="dxa"/>
            <w:shd w:val="clear" w:color="000000" w:fill="EAF1DD"/>
            <w:hideMark/>
          </w:tcPr>
          <w:p w14:paraId="1F17CE1C"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2</w:t>
            </w:r>
          </w:p>
        </w:tc>
        <w:tc>
          <w:tcPr>
            <w:tcW w:w="1190" w:type="dxa"/>
            <w:shd w:val="clear" w:color="000000" w:fill="EAF1DD"/>
            <w:hideMark/>
          </w:tcPr>
          <w:p w14:paraId="6F4ABCC5"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0</w:t>
            </w:r>
          </w:p>
        </w:tc>
        <w:tc>
          <w:tcPr>
            <w:tcW w:w="1191" w:type="dxa"/>
            <w:shd w:val="clear" w:color="000000" w:fill="EAF1DD"/>
            <w:hideMark/>
          </w:tcPr>
          <w:p w14:paraId="2138BF0A"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45</w:t>
            </w:r>
          </w:p>
        </w:tc>
        <w:tc>
          <w:tcPr>
            <w:tcW w:w="1333" w:type="dxa"/>
            <w:shd w:val="clear" w:color="000000" w:fill="EAF1DD"/>
            <w:hideMark/>
          </w:tcPr>
          <w:p w14:paraId="1905A4A6"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93</w:t>
            </w:r>
          </w:p>
        </w:tc>
      </w:tr>
      <w:tr w:rsidR="00F45CC2" w:rsidRPr="00F45CC2" w14:paraId="27BE3494" w14:textId="77777777" w:rsidTr="00D8194D">
        <w:tc>
          <w:tcPr>
            <w:tcW w:w="1277" w:type="dxa"/>
            <w:shd w:val="clear" w:color="auto" w:fill="auto"/>
            <w:hideMark/>
          </w:tcPr>
          <w:p w14:paraId="374A53A6" w14:textId="77777777" w:rsidR="00F45CC2" w:rsidRPr="00F45CC2" w:rsidRDefault="00F45CC2" w:rsidP="00DC0921">
            <w:pPr>
              <w:ind w:left="0" w:firstLine="0"/>
              <w:rPr>
                <w:rFonts w:eastAsia="Times New Roman" w:cs="Calibri"/>
                <w:b/>
                <w:bCs/>
                <w:sz w:val="20"/>
                <w:szCs w:val="20"/>
                <w:lang w:eastAsia="en-GB"/>
              </w:rPr>
            </w:pPr>
          </w:p>
        </w:tc>
        <w:tc>
          <w:tcPr>
            <w:tcW w:w="2131" w:type="dxa"/>
            <w:shd w:val="clear" w:color="auto" w:fill="auto"/>
            <w:hideMark/>
          </w:tcPr>
          <w:p w14:paraId="3977D17C" w14:textId="77777777" w:rsidR="00F45CC2" w:rsidRPr="00F45CC2" w:rsidRDefault="00F45CC2" w:rsidP="00DC0921">
            <w:pPr>
              <w:ind w:left="0" w:firstLine="0"/>
              <w:rPr>
                <w:rFonts w:ascii="Times New Roman" w:eastAsia="Times New Roman" w:hAnsi="Times New Roman"/>
                <w:sz w:val="20"/>
                <w:szCs w:val="20"/>
                <w:lang w:eastAsia="en-GB"/>
              </w:rPr>
            </w:pPr>
          </w:p>
        </w:tc>
        <w:tc>
          <w:tcPr>
            <w:tcW w:w="1332" w:type="dxa"/>
            <w:shd w:val="clear" w:color="auto" w:fill="auto"/>
            <w:hideMark/>
          </w:tcPr>
          <w:p w14:paraId="44AC5524"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1" w:type="dxa"/>
            <w:shd w:val="clear" w:color="auto" w:fill="auto"/>
            <w:hideMark/>
          </w:tcPr>
          <w:p w14:paraId="224B30C7" w14:textId="77777777" w:rsidR="00F45CC2" w:rsidRPr="00F45CC2" w:rsidRDefault="00F45CC2" w:rsidP="00DC0921">
            <w:pPr>
              <w:ind w:left="0" w:firstLine="0"/>
              <w:jc w:val="right"/>
              <w:rPr>
                <w:rFonts w:ascii="Times New Roman" w:eastAsia="Times New Roman" w:hAnsi="Times New Roman"/>
                <w:sz w:val="20"/>
                <w:szCs w:val="20"/>
                <w:lang w:eastAsia="en-GB"/>
              </w:rPr>
            </w:pPr>
          </w:p>
        </w:tc>
        <w:tc>
          <w:tcPr>
            <w:tcW w:w="1190" w:type="dxa"/>
            <w:shd w:val="clear" w:color="auto" w:fill="auto"/>
            <w:hideMark/>
          </w:tcPr>
          <w:p w14:paraId="399B0EF2" w14:textId="77777777" w:rsidR="00F45CC2" w:rsidRPr="00F45CC2" w:rsidRDefault="00F45CC2" w:rsidP="00DC0921">
            <w:pPr>
              <w:ind w:left="0" w:firstLine="0"/>
              <w:jc w:val="right"/>
              <w:rPr>
                <w:rFonts w:eastAsia="Times New Roman" w:cs="Calibri"/>
                <w:lang w:eastAsia="en-GB"/>
              </w:rPr>
            </w:pPr>
            <w:r w:rsidRPr="00F45CC2">
              <w:rPr>
                <w:rFonts w:eastAsia="Times New Roman" w:cs="Calibri"/>
                <w:lang w:eastAsia="en-GB"/>
              </w:rPr>
              <w:t> </w:t>
            </w:r>
          </w:p>
        </w:tc>
        <w:tc>
          <w:tcPr>
            <w:tcW w:w="1191" w:type="dxa"/>
            <w:shd w:val="clear" w:color="auto" w:fill="auto"/>
            <w:hideMark/>
          </w:tcPr>
          <w:p w14:paraId="0C992CCA" w14:textId="77777777" w:rsidR="00F45CC2" w:rsidRPr="00F45CC2" w:rsidRDefault="00F45CC2" w:rsidP="00DC0921">
            <w:pPr>
              <w:ind w:left="0" w:firstLine="0"/>
              <w:jc w:val="right"/>
              <w:rPr>
                <w:rFonts w:eastAsia="Times New Roman" w:cs="Calibri"/>
                <w:lang w:eastAsia="en-GB"/>
              </w:rPr>
            </w:pPr>
          </w:p>
        </w:tc>
        <w:tc>
          <w:tcPr>
            <w:tcW w:w="1333" w:type="dxa"/>
            <w:shd w:val="clear" w:color="auto" w:fill="auto"/>
            <w:hideMark/>
          </w:tcPr>
          <w:p w14:paraId="6B57F0CF" w14:textId="77777777" w:rsidR="00F45CC2" w:rsidRPr="00F45CC2" w:rsidRDefault="00F45CC2" w:rsidP="00DC0921">
            <w:pPr>
              <w:ind w:left="0" w:firstLine="0"/>
              <w:jc w:val="right"/>
              <w:rPr>
                <w:rFonts w:eastAsia="Times New Roman" w:cs="Calibri"/>
                <w:lang w:eastAsia="en-GB"/>
              </w:rPr>
            </w:pPr>
            <w:r w:rsidRPr="00F45CC2">
              <w:rPr>
                <w:rFonts w:eastAsia="Times New Roman" w:cs="Calibri"/>
                <w:lang w:eastAsia="en-GB"/>
              </w:rPr>
              <w:t> </w:t>
            </w:r>
          </w:p>
        </w:tc>
      </w:tr>
      <w:tr w:rsidR="00F45CC2" w:rsidRPr="00F45CC2" w14:paraId="47D8E9B3" w14:textId="77777777" w:rsidTr="00D8194D">
        <w:tc>
          <w:tcPr>
            <w:tcW w:w="3408" w:type="dxa"/>
            <w:gridSpan w:val="2"/>
            <w:shd w:val="clear" w:color="000000" w:fill="D6E3BC"/>
            <w:hideMark/>
          </w:tcPr>
          <w:p w14:paraId="46F3E383" w14:textId="77777777" w:rsidR="00F45CC2" w:rsidRPr="00F45CC2" w:rsidRDefault="00F45CC2" w:rsidP="00DC0921">
            <w:pPr>
              <w:ind w:left="0" w:firstLine="0"/>
              <w:rPr>
                <w:rFonts w:eastAsia="Times New Roman" w:cs="Calibri"/>
                <w:b/>
                <w:bCs/>
                <w:sz w:val="20"/>
                <w:szCs w:val="20"/>
                <w:lang w:eastAsia="en-GB"/>
              </w:rPr>
            </w:pPr>
            <w:r w:rsidRPr="00F45CC2">
              <w:rPr>
                <w:rFonts w:eastAsia="Times New Roman" w:cs="Calibri"/>
                <w:b/>
                <w:bCs/>
                <w:sz w:val="20"/>
                <w:szCs w:val="20"/>
                <w:lang w:eastAsia="en-GB"/>
              </w:rPr>
              <w:t>Grand Total</w:t>
            </w:r>
          </w:p>
        </w:tc>
        <w:tc>
          <w:tcPr>
            <w:tcW w:w="1332" w:type="dxa"/>
            <w:shd w:val="clear" w:color="000000" w:fill="D6E3BC"/>
            <w:hideMark/>
          </w:tcPr>
          <w:p w14:paraId="156BF8F3"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2,133</w:t>
            </w:r>
          </w:p>
        </w:tc>
        <w:tc>
          <w:tcPr>
            <w:tcW w:w="1191" w:type="dxa"/>
            <w:shd w:val="clear" w:color="000000" w:fill="D6E3BC"/>
            <w:hideMark/>
          </w:tcPr>
          <w:p w14:paraId="6A3A4C61"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155</w:t>
            </w:r>
          </w:p>
        </w:tc>
        <w:tc>
          <w:tcPr>
            <w:tcW w:w="1190" w:type="dxa"/>
            <w:shd w:val="clear" w:color="000000" w:fill="D6E3BC"/>
            <w:hideMark/>
          </w:tcPr>
          <w:p w14:paraId="599117BA"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(331)</w:t>
            </w:r>
          </w:p>
        </w:tc>
        <w:tc>
          <w:tcPr>
            <w:tcW w:w="1191" w:type="dxa"/>
            <w:shd w:val="clear" w:color="000000" w:fill="D6E3BC"/>
            <w:hideMark/>
          </w:tcPr>
          <w:p w14:paraId="2E482964"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115</w:t>
            </w:r>
          </w:p>
        </w:tc>
        <w:tc>
          <w:tcPr>
            <w:tcW w:w="1333" w:type="dxa"/>
            <w:shd w:val="clear" w:color="000000" w:fill="D6E3BC"/>
            <w:hideMark/>
          </w:tcPr>
          <w:p w14:paraId="2168AD9B" w14:textId="77777777" w:rsidR="00F45CC2" w:rsidRPr="00F45CC2" w:rsidRDefault="00F45CC2" w:rsidP="00DC0921">
            <w:pPr>
              <w:ind w:left="0" w:firstLine="0"/>
              <w:jc w:val="right"/>
              <w:rPr>
                <w:rFonts w:eastAsia="Times New Roman" w:cs="Calibri"/>
                <w:b/>
                <w:bCs/>
                <w:sz w:val="20"/>
                <w:szCs w:val="20"/>
                <w:lang w:eastAsia="en-GB"/>
              </w:rPr>
            </w:pPr>
            <w:r w:rsidRPr="00F45CC2">
              <w:rPr>
                <w:rFonts w:eastAsia="Times New Roman" w:cs="Calibri"/>
                <w:b/>
                <w:bCs/>
                <w:sz w:val="20"/>
                <w:szCs w:val="20"/>
                <w:lang w:eastAsia="en-GB"/>
              </w:rPr>
              <w:t>2,073</w:t>
            </w:r>
          </w:p>
        </w:tc>
      </w:tr>
    </w:tbl>
    <w:p w14:paraId="0A6B81EB" w14:textId="70E47FC0" w:rsidR="00F45CC2" w:rsidRDefault="00F45CC2" w:rsidP="008D76BB">
      <w:pPr>
        <w:ind w:left="0" w:firstLine="0"/>
        <w:rPr>
          <w:rFonts w:asciiTheme="minorHAnsi" w:eastAsia="Times New Roman" w:hAnsiTheme="minorHAnsi" w:cs="Arial"/>
          <w:bCs/>
          <w:lang w:eastAsia="en-GB"/>
        </w:rPr>
      </w:pPr>
    </w:p>
    <w:p w14:paraId="0905CC42" w14:textId="77777777" w:rsidR="00F45CC2" w:rsidRDefault="00F45CC2">
      <w:pPr>
        <w:rPr>
          <w:rFonts w:asciiTheme="minorHAnsi" w:eastAsia="Times New Roman" w:hAnsiTheme="minorHAnsi" w:cs="Arial"/>
          <w:bCs/>
          <w:lang w:eastAsia="en-GB"/>
        </w:rPr>
      </w:pPr>
      <w:r>
        <w:rPr>
          <w:rFonts w:asciiTheme="minorHAnsi" w:eastAsia="Times New Roman" w:hAnsiTheme="minorHAnsi" w:cs="Arial"/>
          <w:bCs/>
          <w:lang w:eastAsia="en-GB"/>
        </w:rPr>
        <w:br w:type="page"/>
      </w:r>
    </w:p>
    <w:p w14:paraId="3DF4A4BD" w14:textId="2FF8F2C4" w:rsidR="0074567B" w:rsidRPr="00D8194D" w:rsidRDefault="0035205F" w:rsidP="00FB7D22">
      <w:pPr>
        <w:ind w:left="0" w:firstLine="0"/>
        <w:rPr>
          <w:rFonts w:asciiTheme="minorHAnsi" w:eastAsia="Times New Roman" w:hAnsiTheme="minorHAnsi" w:cs="Arial"/>
          <w:b/>
          <w:bCs/>
          <w:sz w:val="24"/>
          <w:szCs w:val="24"/>
          <w:lang w:eastAsia="en-GB"/>
        </w:rPr>
      </w:pPr>
      <w:r w:rsidRPr="00D8194D">
        <w:rPr>
          <w:rFonts w:asciiTheme="minorHAnsi" w:eastAsia="Times New Roman" w:hAnsiTheme="minorHAnsi" w:cs="Arial"/>
          <w:b/>
          <w:bCs/>
          <w:sz w:val="24"/>
          <w:szCs w:val="24"/>
          <w:lang w:eastAsia="en-GB"/>
        </w:rPr>
        <w:lastRenderedPageBreak/>
        <w:t>Annex</w:t>
      </w:r>
      <w:r w:rsidR="004D23F7" w:rsidRPr="00D8194D">
        <w:rPr>
          <w:rFonts w:asciiTheme="minorHAnsi" w:eastAsia="Times New Roman" w:hAnsiTheme="minorHAnsi" w:cs="Arial"/>
          <w:b/>
          <w:bCs/>
          <w:sz w:val="24"/>
          <w:szCs w:val="24"/>
          <w:lang w:eastAsia="en-GB"/>
        </w:rPr>
        <w:t xml:space="preserve"> </w:t>
      </w:r>
      <w:r w:rsidR="007E0A1A" w:rsidRPr="00D8194D">
        <w:rPr>
          <w:rFonts w:asciiTheme="minorHAnsi" w:eastAsia="Times New Roman" w:hAnsiTheme="minorHAnsi" w:cs="Arial"/>
          <w:b/>
          <w:bCs/>
          <w:sz w:val="24"/>
          <w:szCs w:val="24"/>
          <w:lang w:eastAsia="en-GB"/>
        </w:rPr>
        <w:t>4</w:t>
      </w:r>
    </w:p>
    <w:p w14:paraId="76CB7523" w14:textId="77777777" w:rsidR="001404C4" w:rsidRPr="00D8194D" w:rsidRDefault="0035205F" w:rsidP="00E42F5B">
      <w:pPr>
        <w:ind w:left="0" w:firstLine="0"/>
        <w:rPr>
          <w:rFonts w:asciiTheme="minorHAnsi" w:eastAsia="Times New Roman" w:hAnsiTheme="minorHAnsi" w:cs="Arial"/>
          <w:b/>
          <w:bCs/>
          <w:sz w:val="24"/>
          <w:szCs w:val="24"/>
          <w:lang w:eastAsia="en-GB"/>
        </w:rPr>
      </w:pPr>
      <w:r w:rsidRPr="00D8194D">
        <w:rPr>
          <w:rFonts w:asciiTheme="minorHAnsi" w:eastAsia="Times New Roman" w:hAnsiTheme="minorHAnsi" w:cs="Arial"/>
          <w:b/>
          <w:bCs/>
          <w:sz w:val="24"/>
          <w:szCs w:val="24"/>
          <w:lang w:eastAsia="en-GB"/>
        </w:rPr>
        <w:t xml:space="preserve">Proposed Core Budget </w:t>
      </w:r>
      <w:r w:rsidR="009F5180" w:rsidRPr="00D8194D">
        <w:rPr>
          <w:rFonts w:asciiTheme="minorHAnsi" w:eastAsia="Times New Roman" w:hAnsiTheme="minorHAnsi" w:cs="Arial"/>
          <w:b/>
          <w:bCs/>
          <w:sz w:val="24"/>
          <w:szCs w:val="24"/>
          <w:lang w:eastAsia="en-GB"/>
        </w:rPr>
        <w:t>2020</w:t>
      </w:r>
      <w:r w:rsidR="00B33709" w:rsidRPr="00D8194D">
        <w:rPr>
          <w:rFonts w:asciiTheme="minorHAnsi" w:eastAsia="Times New Roman" w:hAnsiTheme="minorHAnsi" w:cs="Arial"/>
          <w:b/>
          <w:bCs/>
          <w:sz w:val="24"/>
          <w:szCs w:val="24"/>
          <w:lang w:eastAsia="en-GB"/>
        </w:rPr>
        <w:t xml:space="preserve"> </w:t>
      </w:r>
    </w:p>
    <w:p w14:paraId="0A68605A" w14:textId="154E4576" w:rsidR="006A5240" w:rsidRDefault="00330040" w:rsidP="00E42F5B">
      <w:pPr>
        <w:ind w:left="0" w:firstLine="0"/>
        <w:rPr>
          <w:rFonts w:asciiTheme="minorHAnsi" w:eastAsia="Times New Roman" w:hAnsiTheme="minorHAnsi" w:cs="Arial"/>
          <w:bCs/>
          <w:i/>
          <w:sz w:val="20"/>
          <w:szCs w:val="20"/>
          <w:lang w:eastAsia="en-GB"/>
        </w:rPr>
      </w:pPr>
      <w:r w:rsidRPr="00167681">
        <w:rPr>
          <w:rFonts w:asciiTheme="minorHAnsi" w:eastAsia="Times New Roman" w:hAnsiTheme="minorHAnsi" w:cs="Arial"/>
          <w:bCs/>
          <w:i/>
          <w:sz w:val="20"/>
          <w:szCs w:val="20"/>
          <w:lang w:eastAsia="en-GB"/>
        </w:rPr>
        <w:t>(CHF ‘000s, includes possible rounding differences)</w:t>
      </w:r>
    </w:p>
    <w:p w14:paraId="2B624DE1" w14:textId="77777777" w:rsidR="001404C4" w:rsidRPr="00330040" w:rsidRDefault="001404C4" w:rsidP="00E42F5B">
      <w:pPr>
        <w:ind w:left="0" w:firstLine="0"/>
        <w:rPr>
          <w:rFonts w:asciiTheme="minorHAnsi" w:eastAsia="Times New Roman" w:hAnsiTheme="minorHAnsi" w:cs="Arial"/>
          <w:b/>
          <w:bCs/>
          <w:lang w:eastAsia="en-GB"/>
        </w:rPr>
      </w:pPr>
    </w:p>
    <w:tbl>
      <w:tblPr>
        <w:tblW w:w="9807" w:type="dxa"/>
        <w:tblInd w:w="-289" w:type="dxa"/>
        <w:tblLayout w:type="fixed"/>
        <w:tblCellMar>
          <w:top w:w="28" w:type="dxa"/>
          <w:left w:w="57" w:type="dxa"/>
          <w:bottom w:w="28" w:type="dxa"/>
          <w:right w:w="57" w:type="dxa"/>
        </w:tblCellMar>
        <w:tblLook w:val="04A0" w:firstRow="1" w:lastRow="0" w:firstColumn="1" w:lastColumn="0" w:noHBand="0" w:noVBand="1"/>
      </w:tblPr>
      <w:tblGrid>
        <w:gridCol w:w="3265"/>
        <w:gridCol w:w="1303"/>
        <w:gridCol w:w="1258"/>
        <w:gridCol w:w="1286"/>
        <w:gridCol w:w="1367"/>
        <w:gridCol w:w="1328"/>
      </w:tblGrid>
      <w:tr w:rsidR="00B32336" w:rsidRPr="00B32336" w14:paraId="3B534688" w14:textId="77777777" w:rsidTr="00D8194D">
        <w:trPr>
          <w:cantSplit/>
          <w:tblHeader/>
        </w:trPr>
        <w:tc>
          <w:tcPr>
            <w:tcW w:w="3265" w:type="dxa"/>
            <w:tcBorders>
              <w:top w:val="single" w:sz="4" w:space="0" w:color="auto"/>
              <w:left w:val="single" w:sz="4" w:space="0" w:color="auto"/>
              <w:right w:val="nil"/>
            </w:tcBorders>
            <w:shd w:val="clear" w:color="000000" w:fill="D6E3BC"/>
            <w:vAlign w:val="center"/>
            <w:hideMark/>
          </w:tcPr>
          <w:p w14:paraId="3C7A8773" w14:textId="77777777" w:rsidR="00B32336" w:rsidRPr="00B32336" w:rsidRDefault="00B32336" w:rsidP="000308D5">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2020 Ramsar Budget</w:t>
            </w:r>
            <w:r w:rsidRPr="00B32336">
              <w:rPr>
                <w:rFonts w:eastAsia="Times New Roman" w:cs="Calibri"/>
                <w:b/>
                <w:bCs/>
                <w:color w:val="000000"/>
                <w:sz w:val="20"/>
                <w:szCs w:val="20"/>
                <w:lang w:eastAsia="en-GB"/>
              </w:rPr>
              <w:br/>
            </w:r>
            <w:r w:rsidRPr="00B32336">
              <w:rPr>
                <w:rFonts w:eastAsia="Times New Roman" w:cs="Calibri"/>
                <w:b/>
                <w:bCs/>
                <w:color w:val="000000"/>
                <w:sz w:val="20"/>
                <w:szCs w:val="20"/>
                <w:lang w:eastAsia="en-GB"/>
              </w:rPr>
              <w:br/>
              <w:t>SC55 Approved</w:t>
            </w:r>
          </w:p>
        </w:tc>
        <w:tc>
          <w:tcPr>
            <w:tcW w:w="1303" w:type="dxa"/>
            <w:tcBorders>
              <w:top w:val="single" w:sz="4" w:space="0" w:color="auto"/>
              <w:left w:val="single" w:sz="4" w:space="0" w:color="auto"/>
              <w:bottom w:val="nil"/>
              <w:right w:val="single" w:sz="4" w:space="0" w:color="auto"/>
            </w:tcBorders>
            <w:shd w:val="clear" w:color="000000" w:fill="D6E3BC"/>
            <w:vAlign w:val="center"/>
            <w:hideMark/>
          </w:tcPr>
          <w:p w14:paraId="43AB2137" w14:textId="77777777" w:rsidR="00B32336" w:rsidRPr="000308D5" w:rsidRDefault="00B32336" w:rsidP="000308D5">
            <w:pPr>
              <w:ind w:left="0" w:firstLine="0"/>
              <w:jc w:val="center"/>
              <w:rPr>
                <w:rFonts w:eastAsia="Times New Roman" w:cs="Calibri"/>
                <w:b/>
                <w:bCs/>
                <w:color w:val="000000"/>
                <w:spacing w:val="-4"/>
                <w:sz w:val="20"/>
                <w:szCs w:val="20"/>
                <w:lang w:eastAsia="en-GB"/>
              </w:rPr>
            </w:pPr>
            <w:r w:rsidRPr="000308D5">
              <w:rPr>
                <w:rFonts w:eastAsia="Times New Roman" w:cs="Calibri"/>
                <w:b/>
                <w:bCs/>
                <w:color w:val="000000"/>
                <w:spacing w:val="-4"/>
                <w:sz w:val="20"/>
                <w:szCs w:val="20"/>
                <w:lang w:eastAsia="en-GB"/>
              </w:rPr>
              <w:t>Approved budget (COP13-approved)</w:t>
            </w:r>
          </w:p>
        </w:tc>
        <w:tc>
          <w:tcPr>
            <w:tcW w:w="1258" w:type="dxa"/>
            <w:tcBorders>
              <w:top w:val="single" w:sz="4" w:space="0" w:color="auto"/>
              <w:left w:val="nil"/>
              <w:bottom w:val="nil"/>
              <w:right w:val="single" w:sz="4" w:space="0" w:color="auto"/>
            </w:tcBorders>
            <w:shd w:val="clear" w:color="000000" w:fill="D6E3BC"/>
            <w:vAlign w:val="center"/>
            <w:hideMark/>
          </w:tcPr>
          <w:p w14:paraId="17261E0A" w14:textId="77777777" w:rsidR="00B32336" w:rsidRPr="000308D5" w:rsidRDefault="00B32336" w:rsidP="000308D5">
            <w:pPr>
              <w:ind w:left="0" w:firstLine="0"/>
              <w:jc w:val="center"/>
              <w:rPr>
                <w:rFonts w:eastAsia="Times New Roman" w:cs="Calibri"/>
                <w:b/>
                <w:bCs/>
                <w:color w:val="000000"/>
                <w:spacing w:val="-4"/>
                <w:sz w:val="20"/>
                <w:szCs w:val="20"/>
                <w:lang w:eastAsia="en-GB"/>
              </w:rPr>
            </w:pPr>
            <w:r w:rsidRPr="000308D5">
              <w:rPr>
                <w:rFonts w:eastAsia="Times New Roman" w:cs="Calibri"/>
                <w:b/>
                <w:bCs/>
                <w:color w:val="000000"/>
                <w:spacing w:val="-4"/>
                <w:sz w:val="20"/>
                <w:szCs w:val="20"/>
                <w:lang w:eastAsia="en-GB"/>
              </w:rPr>
              <w:t>Authorised use of surplus COP13 XIII.2 (for 2020)</w:t>
            </w:r>
          </w:p>
        </w:tc>
        <w:tc>
          <w:tcPr>
            <w:tcW w:w="1286" w:type="dxa"/>
            <w:tcBorders>
              <w:top w:val="single" w:sz="4" w:space="0" w:color="auto"/>
              <w:left w:val="single" w:sz="4" w:space="0" w:color="auto"/>
              <w:bottom w:val="nil"/>
              <w:right w:val="single" w:sz="4" w:space="0" w:color="auto"/>
            </w:tcBorders>
            <w:shd w:val="clear" w:color="000000" w:fill="D6E3BC"/>
            <w:vAlign w:val="center"/>
            <w:hideMark/>
          </w:tcPr>
          <w:p w14:paraId="2C5B1E0E" w14:textId="77777777" w:rsidR="00B32336" w:rsidRPr="000308D5" w:rsidRDefault="00B32336" w:rsidP="000308D5">
            <w:pPr>
              <w:ind w:left="0" w:firstLine="0"/>
              <w:jc w:val="center"/>
              <w:rPr>
                <w:rFonts w:eastAsia="Times New Roman" w:cs="Calibri"/>
                <w:b/>
                <w:bCs/>
                <w:spacing w:val="-4"/>
                <w:sz w:val="20"/>
                <w:szCs w:val="20"/>
                <w:lang w:eastAsia="en-GB"/>
              </w:rPr>
            </w:pPr>
            <w:r w:rsidRPr="000308D5">
              <w:rPr>
                <w:rFonts w:eastAsia="Times New Roman" w:cs="Calibri"/>
                <w:b/>
                <w:bCs/>
                <w:spacing w:val="-4"/>
                <w:sz w:val="20"/>
                <w:szCs w:val="20"/>
                <w:lang w:eastAsia="en-GB"/>
              </w:rPr>
              <w:t>Pre-committed 2019 to be spent in 2020</w:t>
            </w:r>
          </w:p>
        </w:tc>
        <w:tc>
          <w:tcPr>
            <w:tcW w:w="1367" w:type="dxa"/>
            <w:tcBorders>
              <w:top w:val="single" w:sz="4" w:space="0" w:color="auto"/>
              <w:left w:val="nil"/>
              <w:bottom w:val="nil"/>
              <w:right w:val="single" w:sz="4" w:space="0" w:color="auto"/>
            </w:tcBorders>
            <w:shd w:val="clear" w:color="000000" w:fill="D6E3BC"/>
            <w:vAlign w:val="center"/>
            <w:hideMark/>
          </w:tcPr>
          <w:p w14:paraId="3E9CD04F" w14:textId="77777777" w:rsidR="00B32336" w:rsidRPr="000308D5" w:rsidRDefault="00B32336" w:rsidP="000308D5">
            <w:pPr>
              <w:ind w:left="0" w:firstLine="0"/>
              <w:jc w:val="center"/>
              <w:rPr>
                <w:rFonts w:eastAsia="Times New Roman" w:cs="Calibri"/>
                <w:b/>
                <w:bCs/>
                <w:color w:val="000000"/>
                <w:spacing w:val="-4"/>
                <w:sz w:val="20"/>
                <w:szCs w:val="20"/>
                <w:lang w:eastAsia="en-GB"/>
              </w:rPr>
            </w:pPr>
            <w:r w:rsidRPr="000308D5">
              <w:rPr>
                <w:rFonts w:eastAsia="Times New Roman" w:cs="Calibri"/>
                <w:b/>
                <w:bCs/>
                <w:color w:val="000000"/>
                <w:spacing w:val="-4"/>
                <w:sz w:val="20"/>
                <w:szCs w:val="20"/>
                <w:lang w:eastAsia="en-GB"/>
              </w:rPr>
              <w:t>Uncommitted carry forward 2019 to 2020</w:t>
            </w:r>
          </w:p>
        </w:tc>
        <w:tc>
          <w:tcPr>
            <w:tcW w:w="1328" w:type="dxa"/>
            <w:tcBorders>
              <w:top w:val="single" w:sz="4" w:space="0" w:color="auto"/>
              <w:left w:val="nil"/>
              <w:bottom w:val="nil"/>
              <w:right w:val="single" w:sz="4" w:space="0" w:color="auto"/>
            </w:tcBorders>
            <w:shd w:val="clear" w:color="000000" w:fill="D6E3BC"/>
            <w:vAlign w:val="center"/>
            <w:hideMark/>
          </w:tcPr>
          <w:p w14:paraId="20F03CA5" w14:textId="77777777" w:rsidR="00B32336" w:rsidRPr="000308D5" w:rsidRDefault="00B32336" w:rsidP="000308D5">
            <w:pPr>
              <w:ind w:left="0" w:firstLine="0"/>
              <w:jc w:val="center"/>
              <w:rPr>
                <w:rFonts w:eastAsia="Times New Roman" w:cs="Calibri"/>
                <w:b/>
                <w:bCs/>
                <w:color w:val="000000"/>
                <w:spacing w:val="-4"/>
                <w:sz w:val="20"/>
                <w:szCs w:val="20"/>
                <w:lang w:eastAsia="en-GB"/>
              </w:rPr>
            </w:pPr>
            <w:r w:rsidRPr="000308D5">
              <w:rPr>
                <w:rFonts w:eastAsia="Times New Roman" w:cs="Calibri"/>
                <w:b/>
                <w:bCs/>
                <w:color w:val="000000"/>
                <w:spacing w:val="-4"/>
                <w:sz w:val="20"/>
                <w:szCs w:val="20"/>
                <w:lang w:eastAsia="en-GB"/>
              </w:rPr>
              <w:t>Total 2020 budget</w:t>
            </w:r>
          </w:p>
        </w:tc>
      </w:tr>
      <w:tr w:rsidR="000308D5" w:rsidRPr="00B32336" w14:paraId="563BF2E7" w14:textId="77777777" w:rsidTr="00D8194D">
        <w:trPr>
          <w:cantSplit/>
          <w:tblHeader/>
        </w:trPr>
        <w:tc>
          <w:tcPr>
            <w:tcW w:w="3265" w:type="dxa"/>
            <w:tcBorders>
              <w:top w:val="nil"/>
              <w:left w:val="single" w:sz="4" w:space="0" w:color="auto"/>
              <w:right w:val="nil"/>
            </w:tcBorders>
            <w:shd w:val="clear" w:color="000000" w:fill="D6E3BC"/>
            <w:vAlign w:val="center"/>
            <w:hideMark/>
          </w:tcPr>
          <w:p w14:paraId="76CEA93A" w14:textId="35D813EC" w:rsidR="000308D5" w:rsidRPr="00B32336" w:rsidRDefault="000308D5" w:rsidP="000308D5">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CHF ‘000s</w:t>
            </w:r>
          </w:p>
        </w:tc>
        <w:tc>
          <w:tcPr>
            <w:tcW w:w="1303" w:type="dxa"/>
            <w:tcBorders>
              <w:top w:val="nil"/>
              <w:left w:val="single" w:sz="4" w:space="0" w:color="auto"/>
              <w:bottom w:val="single" w:sz="4" w:space="0" w:color="000000"/>
              <w:right w:val="single" w:sz="4" w:space="0" w:color="auto"/>
            </w:tcBorders>
            <w:shd w:val="clear" w:color="000000" w:fill="D6E3BC"/>
            <w:vAlign w:val="center"/>
            <w:hideMark/>
          </w:tcPr>
          <w:p w14:paraId="713EFD52" w14:textId="77777777" w:rsidR="000308D5" w:rsidRPr="00B32336" w:rsidRDefault="000308D5" w:rsidP="00B32336">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(A)</w:t>
            </w:r>
          </w:p>
        </w:tc>
        <w:tc>
          <w:tcPr>
            <w:tcW w:w="1258" w:type="dxa"/>
            <w:tcBorders>
              <w:top w:val="nil"/>
              <w:left w:val="single" w:sz="4" w:space="0" w:color="auto"/>
              <w:bottom w:val="single" w:sz="4" w:space="0" w:color="000000"/>
              <w:right w:val="single" w:sz="4" w:space="0" w:color="auto"/>
            </w:tcBorders>
            <w:shd w:val="clear" w:color="000000" w:fill="D6E3BC"/>
            <w:vAlign w:val="center"/>
            <w:hideMark/>
          </w:tcPr>
          <w:p w14:paraId="18891852" w14:textId="77777777" w:rsidR="000308D5" w:rsidRPr="00B32336" w:rsidRDefault="000308D5" w:rsidP="00B32336">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(B)</w:t>
            </w:r>
          </w:p>
        </w:tc>
        <w:tc>
          <w:tcPr>
            <w:tcW w:w="1286" w:type="dxa"/>
            <w:tcBorders>
              <w:top w:val="nil"/>
              <w:left w:val="single" w:sz="4" w:space="0" w:color="auto"/>
              <w:bottom w:val="single" w:sz="4" w:space="0" w:color="000000"/>
              <w:right w:val="single" w:sz="4" w:space="0" w:color="auto"/>
            </w:tcBorders>
            <w:shd w:val="clear" w:color="000000" w:fill="D6E3BC"/>
            <w:vAlign w:val="center"/>
            <w:hideMark/>
          </w:tcPr>
          <w:p w14:paraId="5E76BA0F" w14:textId="77777777" w:rsidR="000308D5" w:rsidRPr="00B32336" w:rsidRDefault="000308D5" w:rsidP="00B32336">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(C)</w:t>
            </w:r>
          </w:p>
        </w:tc>
        <w:tc>
          <w:tcPr>
            <w:tcW w:w="1367" w:type="dxa"/>
            <w:tcBorders>
              <w:top w:val="nil"/>
              <w:left w:val="nil"/>
              <w:bottom w:val="single" w:sz="4" w:space="0" w:color="000000"/>
              <w:right w:val="single" w:sz="4" w:space="0" w:color="auto"/>
            </w:tcBorders>
            <w:shd w:val="clear" w:color="000000" w:fill="D6E3BC"/>
            <w:vAlign w:val="center"/>
            <w:hideMark/>
          </w:tcPr>
          <w:p w14:paraId="0BCCBB1A" w14:textId="77777777" w:rsidR="000308D5" w:rsidRPr="00B32336" w:rsidRDefault="000308D5" w:rsidP="00B32336">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(D)</w:t>
            </w:r>
          </w:p>
        </w:tc>
        <w:tc>
          <w:tcPr>
            <w:tcW w:w="1328" w:type="dxa"/>
            <w:tcBorders>
              <w:top w:val="nil"/>
              <w:left w:val="nil"/>
              <w:bottom w:val="single" w:sz="4" w:space="0" w:color="000000"/>
              <w:right w:val="single" w:sz="4" w:space="0" w:color="auto"/>
            </w:tcBorders>
            <w:shd w:val="clear" w:color="000000" w:fill="D6E3BC"/>
            <w:vAlign w:val="center"/>
            <w:hideMark/>
          </w:tcPr>
          <w:p w14:paraId="48328C44" w14:textId="77777777" w:rsidR="000308D5" w:rsidRPr="00B32336" w:rsidRDefault="000308D5" w:rsidP="00B32336">
            <w:pPr>
              <w:ind w:left="0" w:firstLine="0"/>
              <w:jc w:val="center"/>
              <w:rPr>
                <w:rFonts w:eastAsia="Times New Roman" w:cs="Calibri"/>
                <w:b/>
                <w:bCs/>
                <w:color w:val="000000"/>
                <w:sz w:val="20"/>
                <w:szCs w:val="20"/>
                <w:lang w:eastAsia="en-GB"/>
              </w:rPr>
            </w:pPr>
            <w:r w:rsidRPr="00B32336">
              <w:rPr>
                <w:rFonts w:eastAsia="Times New Roman" w:cs="Calibri"/>
                <w:b/>
                <w:bCs/>
                <w:color w:val="000000"/>
                <w:sz w:val="20"/>
                <w:szCs w:val="20"/>
                <w:lang w:eastAsia="en-GB"/>
              </w:rPr>
              <w:t>(E=A+B+C+D)</w:t>
            </w:r>
          </w:p>
        </w:tc>
      </w:tr>
      <w:tr w:rsidR="00B32336" w:rsidRPr="00B32336" w14:paraId="1E237019" w14:textId="77777777" w:rsidTr="00D8194D">
        <w:trPr>
          <w:cantSplit/>
        </w:trPr>
        <w:tc>
          <w:tcPr>
            <w:tcW w:w="3265" w:type="dxa"/>
            <w:tcBorders>
              <w:top w:val="single" w:sz="4" w:space="0" w:color="auto"/>
              <w:left w:val="single" w:sz="4" w:space="0" w:color="auto"/>
              <w:bottom w:val="single" w:sz="4" w:space="0" w:color="auto"/>
              <w:right w:val="nil"/>
            </w:tcBorders>
            <w:shd w:val="clear" w:color="auto" w:fill="auto"/>
            <w:noWrap/>
            <w:vAlign w:val="center"/>
            <w:hideMark/>
          </w:tcPr>
          <w:p w14:paraId="5DAB810D" w14:textId="77777777" w:rsidR="000308D5" w:rsidRDefault="000308D5" w:rsidP="00B32336">
            <w:pPr>
              <w:ind w:left="0" w:firstLine="0"/>
              <w:rPr>
                <w:rFonts w:eastAsia="Times New Roman" w:cs="Calibri"/>
                <w:b/>
                <w:bCs/>
                <w:color w:val="000000"/>
                <w:sz w:val="20"/>
                <w:szCs w:val="20"/>
                <w:lang w:eastAsia="en-GB"/>
              </w:rPr>
            </w:pPr>
          </w:p>
          <w:p w14:paraId="636F267B" w14:textId="6FD51C4C" w:rsidR="00B32336" w:rsidRPr="00B32336" w:rsidRDefault="00B32336" w:rsidP="00B32336">
            <w:pPr>
              <w:ind w:left="0" w:firstLine="0"/>
              <w:rPr>
                <w:rFonts w:eastAsia="Times New Roman" w:cs="Calibri"/>
                <w:b/>
                <w:bCs/>
                <w:color w:val="000000"/>
                <w:sz w:val="20"/>
                <w:szCs w:val="20"/>
                <w:lang w:eastAsia="en-GB"/>
              </w:rPr>
            </w:pPr>
            <w:r w:rsidRPr="00B32336">
              <w:rPr>
                <w:rFonts w:eastAsia="Times New Roman" w:cs="Calibri"/>
                <w:b/>
                <w:bCs/>
                <w:color w:val="000000"/>
                <w:sz w:val="20"/>
                <w:szCs w:val="20"/>
                <w:lang w:eastAsia="en-GB"/>
              </w:rPr>
              <w:t>INCOME</w:t>
            </w:r>
          </w:p>
        </w:tc>
        <w:tc>
          <w:tcPr>
            <w:tcW w:w="1303" w:type="dxa"/>
            <w:tcBorders>
              <w:top w:val="nil"/>
              <w:left w:val="nil"/>
              <w:bottom w:val="nil"/>
              <w:right w:val="nil"/>
            </w:tcBorders>
            <w:shd w:val="clear" w:color="auto" w:fill="auto"/>
            <w:noWrap/>
            <w:vAlign w:val="center"/>
            <w:hideMark/>
          </w:tcPr>
          <w:p w14:paraId="3A2438FE" w14:textId="77777777" w:rsidR="00B32336" w:rsidRPr="00B32336" w:rsidRDefault="00B32336" w:rsidP="00B32336">
            <w:pPr>
              <w:ind w:left="0" w:firstLine="0"/>
              <w:rPr>
                <w:rFonts w:eastAsia="Times New Roman" w:cs="Calibri"/>
                <w:b/>
                <w:bCs/>
                <w:color w:val="000000"/>
                <w:sz w:val="20"/>
                <w:szCs w:val="20"/>
                <w:lang w:eastAsia="en-GB"/>
              </w:rPr>
            </w:pPr>
          </w:p>
        </w:tc>
        <w:tc>
          <w:tcPr>
            <w:tcW w:w="1258" w:type="dxa"/>
            <w:tcBorders>
              <w:top w:val="nil"/>
              <w:left w:val="nil"/>
              <w:bottom w:val="nil"/>
              <w:right w:val="nil"/>
            </w:tcBorders>
            <w:shd w:val="clear" w:color="auto" w:fill="auto"/>
            <w:noWrap/>
            <w:vAlign w:val="center"/>
            <w:hideMark/>
          </w:tcPr>
          <w:p w14:paraId="1AAB28DD" w14:textId="77777777" w:rsidR="00B32336" w:rsidRPr="00B32336" w:rsidRDefault="00B32336" w:rsidP="00B32336">
            <w:pPr>
              <w:ind w:left="0" w:firstLine="0"/>
              <w:rPr>
                <w:rFonts w:ascii="Times New Roman" w:eastAsia="Times New Roman" w:hAnsi="Times New Roman"/>
                <w:sz w:val="20"/>
                <w:szCs w:val="20"/>
                <w:lang w:eastAsia="en-GB"/>
              </w:rPr>
            </w:pPr>
          </w:p>
        </w:tc>
        <w:tc>
          <w:tcPr>
            <w:tcW w:w="1286" w:type="dxa"/>
            <w:tcBorders>
              <w:top w:val="nil"/>
              <w:left w:val="nil"/>
              <w:bottom w:val="nil"/>
              <w:right w:val="nil"/>
            </w:tcBorders>
            <w:shd w:val="clear" w:color="auto" w:fill="auto"/>
            <w:noWrap/>
            <w:vAlign w:val="bottom"/>
            <w:hideMark/>
          </w:tcPr>
          <w:p w14:paraId="334B6FCA" w14:textId="77777777" w:rsidR="00B32336" w:rsidRPr="00B32336" w:rsidRDefault="00B32336" w:rsidP="00B32336">
            <w:pPr>
              <w:ind w:left="0" w:firstLine="0"/>
              <w:rPr>
                <w:rFonts w:ascii="Times New Roman" w:eastAsia="Times New Roman" w:hAnsi="Times New Roman"/>
                <w:sz w:val="20"/>
                <w:szCs w:val="20"/>
                <w:lang w:eastAsia="en-GB"/>
              </w:rPr>
            </w:pPr>
          </w:p>
        </w:tc>
        <w:tc>
          <w:tcPr>
            <w:tcW w:w="1367" w:type="dxa"/>
            <w:tcBorders>
              <w:top w:val="nil"/>
              <w:left w:val="nil"/>
              <w:bottom w:val="nil"/>
              <w:right w:val="nil"/>
            </w:tcBorders>
            <w:shd w:val="clear" w:color="auto" w:fill="auto"/>
            <w:noWrap/>
            <w:vAlign w:val="bottom"/>
            <w:hideMark/>
          </w:tcPr>
          <w:p w14:paraId="700C797D" w14:textId="77777777" w:rsidR="00B32336" w:rsidRPr="00B32336" w:rsidRDefault="00B32336" w:rsidP="00B32336">
            <w:pPr>
              <w:ind w:left="0" w:firstLine="0"/>
              <w:rPr>
                <w:rFonts w:ascii="Times New Roman" w:eastAsia="Times New Roman" w:hAnsi="Times New Roman"/>
                <w:sz w:val="20"/>
                <w:szCs w:val="20"/>
                <w:lang w:eastAsia="en-GB"/>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299D99D6" w14:textId="77777777" w:rsidR="00B32336" w:rsidRPr="00B32336" w:rsidRDefault="00B32336" w:rsidP="00B32336">
            <w:pPr>
              <w:ind w:left="0" w:firstLine="0"/>
              <w:rPr>
                <w:rFonts w:ascii="Arial" w:eastAsia="Times New Roman" w:hAnsi="Arial" w:cs="Arial"/>
                <w:color w:val="000000"/>
                <w:sz w:val="20"/>
                <w:szCs w:val="20"/>
                <w:lang w:eastAsia="en-GB"/>
              </w:rPr>
            </w:pPr>
            <w:r w:rsidRPr="00B32336">
              <w:rPr>
                <w:rFonts w:ascii="Arial" w:eastAsia="Times New Roman" w:hAnsi="Arial" w:cs="Arial"/>
                <w:color w:val="000000"/>
                <w:sz w:val="20"/>
                <w:szCs w:val="20"/>
                <w:lang w:eastAsia="en-GB"/>
              </w:rPr>
              <w:t> </w:t>
            </w:r>
          </w:p>
        </w:tc>
      </w:tr>
      <w:tr w:rsidR="00B32336" w:rsidRPr="00B32336" w14:paraId="6D8F198B"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0904240"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Parties’ Contributions</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494A82E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3,779</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A8D39E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26F3262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590BEB8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395784D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3,779</w:t>
            </w:r>
          </w:p>
        </w:tc>
      </w:tr>
      <w:tr w:rsidR="00B32336" w:rsidRPr="00B32336" w14:paraId="39CC76C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5D3DE9C"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Voluntary contributions</w:t>
            </w:r>
          </w:p>
        </w:tc>
        <w:tc>
          <w:tcPr>
            <w:tcW w:w="1303" w:type="dxa"/>
            <w:tcBorders>
              <w:top w:val="nil"/>
              <w:left w:val="nil"/>
              <w:bottom w:val="single" w:sz="4" w:space="0" w:color="auto"/>
              <w:right w:val="single" w:sz="4" w:space="0" w:color="auto"/>
            </w:tcBorders>
            <w:shd w:val="clear" w:color="auto" w:fill="auto"/>
            <w:noWrap/>
            <w:vAlign w:val="center"/>
            <w:hideMark/>
          </w:tcPr>
          <w:p w14:paraId="4C0FDCE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1,065</w:t>
            </w:r>
          </w:p>
        </w:tc>
        <w:tc>
          <w:tcPr>
            <w:tcW w:w="1258" w:type="dxa"/>
            <w:tcBorders>
              <w:top w:val="nil"/>
              <w:left w:val="nil"/>
              <w:bottom w:val="single" w:sz="4" w:space="0" w:color="auto"/>
              <w:right w:val="single" w:sz="4" w:space="0" w:color="auto"/>
            </w:tcBorders>
            <w:shd w:val="clear" w:color="auto" w:fill="auto"/>
            <w:noWrap/>
            <w:vAlign w:val="center"/>
            <w:hideMark/>
          </w:tcPr>
          <w:p w14:paraId="179AD97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2A95AFF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4B8CEC6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7856ECE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1,065</w:t>
            </w:r>
          </w:p>
        </w:tc>
      </w:tr>
      <w:tr w:rsidR="00B32336" w:rsidRPr="00B32336" w14:paraId="47F878DD"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3F55DC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Income Tax</w:t>
            </w:r>
          </w:p>
        </w:tc>
        <w:tc>
          <w:tcPr>
            <w:tcW w:w="1303" w:type="dxa"/>
            <w:tcBorders>
              <w:top w:val="nil"/>
              <w:left w:val="nil"/>
              <w:bottom w:val="single" w:sz="4" w:space="0" w:color="auto"/>
              <w:right w:val="single" w:sz="4" w:space="0" w:color="auto"/>
            </w:tcBorders>
            <w:shd w:val="clear" w:color="auto" w:fill="auto"/>
            <w:noWrap/>
            <w:vAlign w:val="center"/>
            <w:hideMark/>
          </w:tcPr>
          <w:p w14:paraId="271B589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225</w:t>
            </w:r>
          </w:p>
        </w:tc>
        <w:tc>
          <w:tcPr>
            <w:tcW w:w="1258" w:type="dxa"/>
            <w:tcBorders>
              <w:top w:val="nil"/>
              <w:left w:val="nil"/>
              <w:bottom w:val="single" w:sz="4" w:space="0" w:color="auto"/>
              <w:right w:val="single" w:sz="4" w:space="0" w:color="auto"/>
            </w:tcBorders>
            <w:shd w:val="clear" w:color="auto" w:fill="auto"/>
            <w:noWrap/>
            <w:vAlign w:val="center"/>
            <w:hideMark/>
          </w:tcPr>
          <w:p w14:paraId="5F223C7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3F75C5F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19</w:t>
            </w:r>
          </w:p>
        </w:tc>
        <w:tc>
          <w:tcPr>
            <w:tcW w:w="1367" w:type="dxa"/>
            <w:tcBorders>
              <w:top w:val="nil"/>
              <w:left w:val="nil"/>
              <w:bottom w:val="single" w:sz="4" w:space="0" w:color="auto"/>
              <w:right w:val="single" w:sz="4" w:space="0" w:color="auto"/>
            </w:tcBorders>
            <w:shd w:val="clear" w:color="auto" w:fill="auto"/>
            <w:noWrap/>
            <w:vAlign w:val="center"/>
            <w:hideMark/>
          </w:tcPr>
          <w:p w14:paraId="24388BC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2857B64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244</w:t>
            </w:r>
          </w:p>
        </w:tc>
      </w:tr>
      <w:tr w:rsidR="00B32336" w:rsidRPr="00B32336" w14:paraId="2FF28360"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241A388"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Other Income (including Interest Income)</w:t>
            </w:r>
          </w:p>
        </w:tc>
        <w:tc>
          <w:tcPr>
            <w:tcW w:w="1303" w:type="dxa"/>
            <w:tcBorders>
              <w:top w:val="nil"/>
              <w:left w:val="nil"/>
              <w:bottom w:val="single" w:sz="4" w:space="0" w:color="auto"/>
              <w:right w:val="single" w:sz="4" w:space="0" w:color="auto"/>
            </w:tcBorders>
            <w:shd w:val="clear" w:color="auto" w:fill="auto"/>
            <w:noWrap/>
            <w:vAlign w:val="center"/>
            <w:hideMark/>
          </w:tcPr>
          <w:p w14:paraId="4B2B6BC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12</w:t>
            </w:r>
          </w:p>
        </w:tc>
        <w:tc>
          <w:tcPr>
            <w:tcW w:w="1258" w:type="dxa"/>
            <w:tcBorders>
              <w:top w:val="nil"/>
              <w:left w:val="nil"/>
              <w:bottom w:val="single" w:sz="4" w:space="0" w:color="auto"/>
              <w:right w:val="single" w:sz="4" w:space="0" w:color="auto"/>
            </w:tcBorders>
            <w:shd w:val="clear" w:color="auto" w:fill="auto"/>
            <w:noWrap/>
            <w:vAlign w:val="center"/>
            <w:hideMark/>
          </w:tcPr>
          <w:p w14:paraId="5BD377A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5AA330B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4191BD6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0F1B936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12</w:t>
            </w:r>
          </w:p>
        </w:tc>
      </w:tr>
      <w:tr w:rsidR="00B32336" w:rsidRPr="00B32336" w14:paraId="41DBB415"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05A6D31E" w14:textId="77777777" w:rsidR="00B32336" w:rsidRPr="00B32336" w:rsidRDefault="00B32336" w:rsidP="00B32336">
            <w:pPr>
              <w:ind w:left="0" w:firstLine="0"/>
              <w:rPr>
                <w:rFonts w:eastAsia="Times New Roman" w:cs="Calibri"/>
                <w:b/>
                <w:bCs/>
                <w:color w:val="000000"/>
                <w:sz w:val="20"/>
                <w:szCs w:val="20"/>
                <w:lang w:eastAsia="en-GB"/>
              </w:rPr>
            </w:pPr>
            <w:r w:rsidRPr="00B32336">
              <w:rPr>
                <w:rFonts w:eastAsia="Times New Roman" w:cs="Calibri"/>
                <w:b/>
                <w:bCs/>
                <w:color w:val="000000"/>
                <w:sz w:val="20"/>
                <w:szCs w:val="20"/>
                <w:lang w:eastAsia="en-GB"/>
              </w:rPr>
              <w:t>TOTAL INCOME</w:t>
            </w:r>
          </w:p>
        </w:tc>
        <w:tc>
          <w:tcPr>
            <w:tcW w:w="1303" w:type="dxa"/>
            <w:tcBorders>
              <w:top w:val="nil"/>
              <w:left w:val="nil"/>
              <w:bottom w:val="single" w:sz="4" w:space="0" w:color="auto"/>
              <w:right w:val="single" w:sz="4" w:space="0" w:color="auto"/>
            </w:tcBorders>
            <w:shd w:val="clear" w:color="000000" w:fill="EAF1DD"/>
            <w:noWrap/>
            <w:vAlign w:val="center"/>
            <w:hideMark/>
          </w:tcPr>
          <w:p w14:paraId="6BFDE62F"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5,081</w:t>
            </w:r>
          </w:p>
        </w:tc>
        <w:tc>
          <w:tcPr>
            <w:tcW w:w="1258" w:type="dxa"/>
            <w:tcBorders>
              <w:top w:val="nil"/>
              <w:left w:val="nil"/>
              <w:bottom w:val="single" w:sz="4" w:space="0" w:color="auto"/>
              <w:right w:val="single" w:sz="4" w:space="0" w:color="auto"/>
            </w:tcBorders>
            <w:shd w:val="clear" w:color="000000" w:fill="EAF1DD"/>
            <w:noWrap/>
            <w:vAlign w:val="center"/>
            <w:hideMark/>
          </w:tcPr>
          <w:p w14:paraId="06749370"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4148D4A1"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19</w:t>
            </w:r>
          </w:p>
        </w:tc>
        <w:tc>
          <w:tcPr>
            <w:tcW w:w="1367" w:type="dxa"/>
            <w:tcBorders>
              <w:top w:val="nil"/>
              <w:left w:val="nil"/>
              <w:bottom w:val="single" w:sz="4" w:space="0" w:color="auto"/>
              <w:right w:val="single" w:sz="4" w:space="0" w:color="auto"/>
            </w:tcBorders>
            <w:shd w:val="clear" w:color="000000" w:fill="EAF1DD"/>
            <w:noWrap/>
            <w:vAlign w:val="center"/>
            <w:hideMark/>
          </w:tcPr>
          <w:p w14:paraId="2211ED05"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328" w:type="dxa"/>
            <w:tcBorders>
              <w:top w:val="nil"/>
              <w:left w:val="nil"/>
              <w:bottom w:val="single" w:sz="4" w:space="0" w:color="auto"/>
              <w:right w:val="single" w:sz="4" w:space="0" w:color="auto"/>
            </w:tcBorders>
            <w:shd w:val="clear" w:color="000000" w:fill="EAF1DD"/>
            <w:noWrap/>
            <w:vAlign w:val="center"/>
            <w:hideMark/>
          </w:tcPr>
          <w:p w14:paraId="24BEAC10"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5,100</w:t>
            </w:r>
          </w:p>
        </w:tc>
      </w:tr>
      <w:tr w:rsidR="00B32336" w:rsidRPr="00B32336" w14:paraId="61BCB5A7" w14:textId="77777777" w:rsidTr="00D8194D">
        <w:trPr>
          <w:cantSplit/>
        </w:trPr>
        <w:tc>
          <w:tcPr>
            <w:tcW w:w="3265" w:type="dxa"/>
            <w:tcBorders>
              <w:top w:val="single" w:sz="4" w:space="0" w:color="auto"/>
              <w:left w:val="single" w:sz="4" w:space="0" w:color="auto"/>
              <w:bottom w:val="single" w:sz="4" w:space="0" w:color="auto"/>
              <w:right w:val="nil"/>
            </w:tcBorders>
            <w:shd w:val="clear" w:color="auto" w:fill="auto"/>
            <w:noWrap/>
            <w:vAlign w:val="center"/>
            <w:hideMark/>
          </w:tcPr>
          <w:p w14:paraId="69523D7E" w14:textId="77777777" w:rsidR="000308D5" w:rsidRDefault="000308D5" w:rsidP="00B32336">
            <w:pPr>
              <w:ind w:left="0" w:firstLine="0"/>
              <w:rPr>
                <w:rFonts w:eastAsia="Times New Roman" w:cs="Calibri"/>
                <w:b/>
                <w:bCs/>
                <w:color w:val="000000"/>
                <w:sz w:val="20"/>
                <w:szCs w:val="20"/>
                <w:lang w:eastAsia="en-GB"/>
              </w:rPr>
            </w:pPr>
          </w:p>
          <w:p w14:paraId="24987467" w14:textId="7A370389" w:rsidR="00B32336" w:rsidRPr="00B32336" w:rsidRDefault="000308D5" w:rsidP="00B32336">
            <w:pPr>
              <w:ind w:left="0" w:firstLine="0"/>
              <w:rPr>
                <w:rFonts w:eastAsia="Times New Roman" w:cs="Calibri"/>
                <w:b/>
                <w:bCs/>
                <w:color w:val="000000"/>
                <w:sz w:val="20"/>
                <w:szCs w:val="20"/>
                <w:lang w:eastAsia="en-GB"/>
              </w:rPr>
            </w:pPr>
            <w:r>
              <w:rPr>
                <w:rFonts w:eastAsia="Times New Roman" w:cs="Calibri"/>
                <w:b/>
                <w:bCs/>
                <w:color w:val="000000"/>
                <w:sz w:val="20"/>
                <w:szCs w:val="20"/>
                <w:lang w:eastAsia="en-GB"/>
              </w:rPr>
              <w:t>EXPENDITURE</w:t>
            </w:r>
          </w:p>
        </w:tc>
        <w:tc>
          <w:tcPr>
            <w:tcW w:w="1303" w:type="dxa"/>
            <w:tcBorders>
              <w:top w:val="nil"/>
              <w:left w:val="nil"/>
              <w:bottom w:val="nil"/>
              <w:right w:val="nil"/>
            </w:tcBorders>
            <w:shd w:val="clear" w:color="auto" w:fill="auto"/>
            <w:noWrap/>
            <w:vAlign w:val="bottom"/>
            <w:hideMark/>
          </w:tcPr>
          <w:p w14:paraId="07B6670B" w14:textId="77777777" w:rsidR="00B32336" w:rsidRPr="00B32336" w:rsidRDefault="00B32336" w:rsidP="00B32336">
            <w:pPr>
              <w:ind w:left="0" w:firstLine="0"/>
              <w:rPr>
                <w:rFonts w:eastAsia="Times New Roman" w:cs="Calibri"/>
                <w:b/>
                <w:bCs/>
                <w:color w:val="000000"/>
                <w:sz w:val="20"/>
                <w:szCs w:val="20"/>
                <w:lang w:eastAsia="en-GB"/>
              </w:rPr>
            </w:pPr>
          </w:p>
        </w:tc>
        <w:tc>
          <w:tcPr>
            <w:tcW w:w="1258" w:type="dxa"/>
            <w:tcBorders>
              <w:top w:val="nil"/>
              <w:left w:val="nil"/>
              <w:bottom w:val="nil"/>
              <w:right w:val="nil"/>
            </w:tcBorders>
            <w:shd w:val="clear" w:color="auto" w:fill="auto"/>
            <w:noWrap/>
            <w:vAlign w:val="bottom"/>
            <w:hideMark/>
          </w:tcPr>
          <w:p w14:paraId="7B9BB961" w14:textId="77777777" w:rsidR="00B32336" w:rsidRPr="00B32336" w:rsidRDefault="00B32336" w:rsidP="00B32336">
            <w:pPr>
              <w:ind w:left="0" w:firstLine="0"/>
              <w:rPr>
                <w:rFonts w:ascii="Times New Roman" w:eastAsia="Times New Roman" w:hAnsi="Times New Roman"/>
                <w:sz w:val="20"/>
                <w:szCs w:val="20"/>
                <w:lang w:eastAsia="en-GB"/>
              </w:rPr>
            </w:pPr>
          </w:p>
        </w:tc>
        <w:tc>
          <w:tcPr>
            <w:tcW w:w="1286" w:type="dxa"/>
            <w:tcBorders>
              <w:top w:val="nil"/>
              <w:left w:val="nil"/>
              <w:bottom w:val="nil"/>
              <w:right w:val="nil"/>
            </w:tcBorders>
            <w:shd w:val="clear" w:color="auto" w:fill="auto"/>
            <w:noWrap/>
            <w:vAlign w:val="bottom"/>
            <w:hideMark/>
          </w:tcPr>
          <w:p w14:paraId="2023BAC5" w14:textId="77777777" w:rsidR="00B32336" w:rsidRPr="00B32336" w:rsidRDefault="00B32336" w:rsidP="00B32336">
            <w:pPr>
              <w:ind w:left="0" w:firstLine="0"/>
              <w:rPr>
                <w:rFonts w:ascii="Times New Roman" w:eastAsia="Times New Roman" w:hAnsi="Times New Roman"/>
                <w:sz w:val="20"/>
                <w:szCs w:val="20"/>
                <w:lang w:eastAsia="en-GB"/>
              </w:rPr>
            </w:pPr>
          </w:p>
        </w:tc>
        <w:tc>
          <w:tcPr>
            <w:tcW w:w="1367" w:type="dxa"/>
            <w:tcBorders>
              <w:top w:val="nil"/>
              <w:left w:val="nil"/>
              <w:bottom w:val="nil"/>
              <w:right w:val="nil"/>
            </w:tcBorders>
            <w:shd w:val="clear" w:color="auto" w:fill="auto"/>
            <w:noWrap/>
            <w:vAlign w:val="bottom"/>
            <w:hideMark/>
          </w:tcPr>
          <w:p w14:paraId="15C0ED36" w14:textId="77777777" w:rsidR="00B32336" w:rsidRPr="00B32336" w:rsidRDefault="00B32336" w:rsidP="00B32336">
            <w:pPr>
              <w:ind w:left="0" w:firstLine="0"/>
              <w:rPr>
                <w:rFonts w:ascii="Times New Roman" w:eastAsia="Times New Roman" w:hAnsi="Times New Roman"/>
                <w:sz w:val="20"/>
                <w:szCs w:val="20"/>
                <w:lang w:eastAsia="en-GB"/>
              </w:rPr>
            </w:pP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2558FBB3" w14:textId="77777777" w:rsidR="00B32336" w:rsidRPr="00B32336" w:rsidRDefault="00B32336" w:rsidP="00B32336">
            <w:pPr>
              <w:ind w:left="0" w:firstLine="0"/>
              <w:rPr>
                <w:rFonts w:ascii="Arial" w:eastAsia="Times New Roman" w:hAnsi="Arial" w:cs="Arial"/>
                <w:color w:val="000000"/>
                <w:sz w:val="20"/>
                <w:szCs w:val="20"/>
                <w:lang w:eastAsia="en-GB"/>
              </w:rPr>
            </w:pPr>
            <w:r w:rsidRPr="00B32336">
              <w:rPr>
                <w:rFonts w:ascii="Arial" w:eastAsia="Times New Roman" w:hAnsi="Arial" w:cs="Arial"/>
                <w:color w:val="000000"/>
                <w:sz w:val="20"/>
                <w:szCs w:val="20"/>
                <w:lang w:eastAsia="en-GB"/>
              </w:rPr>
              <w:t> </w:t>
            </w:r>
          </w:p>
        </w:tc>
      </w:tr>
      <w:tr w:rsidR="00B32336" w:rsidRPr="00B32336" w14:paraId="1A0D39D6"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1F91A747"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A.  Secretariat Senior Management</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14:paraId="31CB1FF1"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1,009</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14:paraId="58952F86"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14:paraId="6E4D12C0"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14:paraId="1DD53F3F"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126</w:t>
            </w:r>
          </w:p>
        </w:tc>
        <w:tc>
          <w:tcPr>
            <w:tcW w:w="1328" w:type="dxa"/>
            <w:tcBorders>
              <w:top w:val="nil"/>
              <w:left w:val="nil"/>
              <w:bottom w:val="single" w:sz="4" w:space="0" w:color="auto"/>
              <w:right w:val="single" w:sz="4" w:space="0" w:color="auto"/>
            </w:tcBorders>
            <w:shd w:val="clear" w:color="000000" w:fill="EAF1DD"/>
            <w:noWrap/>
            <w:vAlign w:val="center"/>
            <w:hideMark/>
          </w:tcPr>
          <w:p w14:paraId="18E81228"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1,140</w:t>
            </w:r>
          </w:p>
        </w:tc>
      </w:tr>
      <w:tr w:rsidR="00B32336" w:rsidRPr="00B32336" w14:paraId="64C420C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8708E27"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Salaries and social costs</w:t>
            </w:r>
          </w:p>
        </w:tc>
        <w:tc>
          <w:tcPr>
            <w:tcW w:w="1303" w:type="dxa"/>
            <w:tcBorders>
              <w:top w:val="nil"/>
              <w:left w:val="nil"/>
              <w:bottom w:val="single" w:sz="4" w:space="0" w:color="auto"/>
              <w:right w:val="single" w:sz="4" w:space="0" w:color="auto"/>
            </w:tcBorders>
            <w:shd w:val="clear" w:color="auto" w:fill="auto"/>
            <w:noWrap/>
            <w:vAlign w:val="center"/>
            <w:hideMark/>
          </w:tcPr>
          <w:p w14:paraId="610A259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918</w:t>
            </w:r>
          </w:p>
        </w:tc>
        <w:tc>
          <w:tcPr>
            <w:tcW w:w="1258" w:type="dxa"/>
            <w:tcBorders>
              <w:top w:val="nil"/>
              <w:left w:val="nil"/>
              <w:bottom w:val="single" w:sz="4" w:space="0" w:color="auto"/>
              <w:right w:val="single" w:sz="4" w:space="0" w:color="auto"/>
            </w:tcBorders>
            <w:shd w:val="clear" w:color="auto" w:fill="auto"/>
            <w:noWrap/>
            <w:vAlign w:val="center"/>
            <w:hideMark/>
          </w:tcPr>
          <w:p w14:paraId="5D51E1C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294EB4A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4B74669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71</w:t>
            </w:r>
          </w:p>
        </w:tc>
        <w:tc>
          <w:tcPr>
            <w:tcW w:w="1328" w:type="dxa"/>
            <w:tcBorders>
              <w:top w:val="nil"/>
              <w:left w:val="nil"/>
              <w:bottom w:val="single" w:sz="4" w:space="0" w:color="auto"/>
              <w:right w:val="single" w:sz="4" w:space="0" w:color="auto"/>
            </w:tcBorders>
            <w:shd w:val="clear" w:color="auto" w:fill="auto"/>
            <w:noWrap/>
            <w:vAlign w:val="center"/>
            <w:hideMark/>
          </w:tcPr>
          <w:p w14:paraId="4B8FBFF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989</w:t>
            </w:r>
          </w:p>
        </w:tc>
      </w:tr>
      <w:tr w:rsidR="00B32336" w:rsidRPr="00B32336" w14:paraId="0705DFBB"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32B298B"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Other employment benefits</w:t>
            </w:r>
          </w:p>
        </w:tc>
        <w:tc>
          <w:tcPr>
            <w:tcW w:w="1303" w:type="dxa"/>
            <w:tcBorders>
              <w:top w:val="nil"/>
              <w:left w:val="nil"/>
              <w:bottom w:val="single" w:sz="4" w:space="0" w:color="auto"/>
              <w:right w:val="single" w:sz="4" w:space="0" w:color="auto"/>
            </w:tcBorders>
            <w:shd w:val="clear" w:color="auto" w:fill="auto"/>
            <w:noWrap/>
            <w:vAlign w:val="center"/>
            <w:hideMark/>
          </w:tcPr>
          <w:p w14:paraId="39E5A7D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51</w:t>
            </w:r>
          </w:p>
        </w:tc>
        <w:tc>
          <w:tcPr>
            <w:tcW w:w="1258" w:type="dxa"/>
            <w:tcBorders>
              <w:top w:val="nil"/>
              <w:left w:val="nil"/>
              <w:bottom w:val="single" w:sz="4" w:space="0" w:color="auto"/>
              <w:right w:val="single" w:sz="4" w:space="0" w:color="auto"/>
            </w:tcBorders>
            <w:shd w:val="clear" w:color="auto" w:fill="auto"/>
            <w:noWrap/>
            <w:vAlign w:val="center"/>
            <w:hideMark/>
          </w:tcPr>
          <w:p w14:paraId="3A65B87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6B630F7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525423D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36</w:t>
            </w:r>
          </w:p>
        </w:tc>
        <w:tc>
          <w:tcPr>
            <w:tcW w:w="1328" w:type="dxa"/>
            <w:tcBorders>
              <w:top w:val="nil"/>
              <w:left w:val="nil"/>
              <w:bottom w:val="single" w:sz="4" w:space="0" w:color="auto"/>
              <w:right w:val="single" w:sz="4" w:space="0" w:color="auto"/>
            </w:tcBorders>
            <w:shd w:val="clear" w:color="auto" w:fill="auto"/>
            <w:noWrap/>
            <w:vAlign w:val="center"/>
            <w:hideMark/>
          </w:tcPr>
          <w:p w14:paraId="00EFB52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87</w:t>
            </w:r>
          </w:p>
        </w:tc>
      </w:tr>
      <w:tr w:rsidR="00B32336" w:rsidRPr="00B32336" w14:paraId="0BB0A03D"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764C9C0"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Travel</w:t>
            </w:r>
          </w:p>
        </w:tc>
        <w:tc>
          <w:tcPr>
            <w:tcW w:w="1303" w:type="dxa"/>
            <w:tcBorders>
              <w:top w:val="nil"/>
              <w:left w:val="nil"/>
              <w:bottom w:val="single" w:sz="4" w:space="0" w:color="auto"/>
              <w:right w:val="single" w:sz="4" w:space="0" w:color="auto"/>
            </w:tcBorders>
            <w:shd w:val="clear" w:color="auto" w:fill="auto"/>
            <w:noWrap/>
            <w:vAlign w:val="center"/>
            <w:hideMark/>
          </w:tcPr>
          <w:p w14:paraId="409C8E4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40</w:t>
            </w:r>
          </w:p>
        </w:tc>
        <w:tc>
          <w:tcPr>
            <w:tcW w:w="1258" w:type="dxa"/>
            <w:tcBorders>
              <w:top w:val="nil"/>
              <w:left w:val="nil"/>
              <w:bottom w:val="single" w:sz="4" w:space="0" w:color="auto"/>
              <w:right w:val="single" w:sz="4" w:space="0" w:color="auto"/>
            </w:tcBorders>
            <w:shd w:val="clear" w:color="auto" w:fill="auto"/>
            <w:noWrap/>
            <w:vAlign w:val="center"/>
            <w:hideMark/>
          </w:tcPr>
          <w:p w14:paraId="510BDD0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286" w:type="dxa"/>
            <w:tcBorders>
              <w:top w:val="nil"/>
              <w:left w:val="nil"/>
              <w:bottom w:val="single" w:sz="4" w:space="0" w:color="auto"/>
              <w:right w:val="single" w:sz="4" w:space="0" w:color="auto"/>
            </w:tcBorders>
            <w:shd w:val="clear" w:color="auto" w:fill="auto"/>
            <w:noWrap/>
            <w:vAlign w:val="center"/>
            <w:hideMark/>
          </w:tcPr>
          <w:p w14:paraId="4F2A33F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2119A62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18</w:t>
            </w:r>
          </w:p>
        </w:tc>
        <w:tc>
          <w:tcPr>
            <w:tcW w:w="1328" w:type="dxa"/>
            <w:tcBorders>
              <w:top w:val="nil"/>
              <w:left w:val="nil"/>
              <w:bottom w:val="single" w:sz="4" w:space="0" w:color="auto"/>
              <w:right w:val="single" w:sz="4" w:space="0" w:color="auto"/>
            </w:tcBorders>
            <w:shd w:val="clear" w:color="auto" w:fill="auto"/>
            <w:noWrap/>
            <w:vAlign w:val="center"/>
            <w:hideMark/>
          </w:tcPr>
          <w:p w14:paraId="70085BA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63</w:t>
            </w:r>
          </w:p>
        </w:tc>
      </w:tr>
      <w:tr w:rsidR="00B32336" w:rsidRPr="00B32336" w14:paraId="40A90895"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11FFE8CE"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B.  Resource Mobilization and Outreach</w:t>
            </w:r>
          </w:p>
        </w:tc>
        <w:tc>
          <w:tcPr>
            <w:tcW w:w="1303" w:type="dxa"/>
            <w:tcBorders>
              <w:top w:val="nil"/>
              <w:left w:val="nil"/>
              <w:bottom w:val="single" w:sz="4" w:space="0" w:color="auto"/>
              <w:right w:val="single" w:sz="4" w:space="0" w:color="auto"/>
            </w:tcBorders>
            <w:shd w:val="clear" w:color="000000" w:fill="EAF1DD"/>
            <w:noWrap/>
            <w:vAlign w:val="center"/>
            <w:hideMark/>
          </w:tcPr>
          <w:p w14:paraId="2192D37F"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639</w:t>
            </w:r>
          </w:p>
        </w:tc>
        <w:tc>
          <w:tcPr>
            <w:tcW w:w="1258" w:type="dxa"/>
            <w:tcBorders>
              <w:top w:val="nil"/>
              <w:left w:val="nil"/>
              <w:bottom w:val="single" w:sz="4" w:space="0" w:color="auto"/>
              <w:right w:val="single" w:sz="4" w:space="0" w:color="auto"/>
            </w:tcBorders>
            <w:shd w:val="clear" w:color="000000" w:fill="EAF1DD"/>
            <w:noWrap/>
            <w:vAlign w:val="center"/>
            <w:hideMark/>
          </w:tcPr>
          <w:p w14:paraId="18C86C81"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45</w:t>
            </w:r>
          </w:p>
        </w:tc>
        <w:tc>
          <w:tcPr>
            <w:tcW w:w="1286" w:type="dxa"/>
            <w:tcBorders>
              <w:top w:val="nil"/>
              <w:left w:val="nil"/>
              <w:bottom w:val="single" w:sz="4" w:space="0" w:color="auto"/>
              <w:right w:val="single" w:sz="4" w:space="0" w:color="auto"/>
            </w:tcBorders>
            <w:shd w:val="clear" w:color="000000" w:fill="EAF1DD"/>
            <w:noWrap/>
            <w:vAlign w:val="center"/>
            <w:hideMark/>
          </w:tcPr>
          <w:p w14:paraId="5BF761A2"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81</w:t>
            </w:r>
          </w:p>
        </w:tc>
        <w:tc>
          <w:tcPr>
            <w:tcW w:w="1367" w:type="dxa"/>
            <w:tcBorders>
              <w:top w:val="nil"/>
              <w:left w:val="nil"/>
              <w:bottom w:val="single" w:sz="4" w:space="0" w:color="auto"/>
              <w:right w:val="single" w:sz="4" w:space="0" w:color="auto"/>
            </w:tcBorders>
            <w:shd w:val="clear" w:color="000000" w:fill="EAF1DD"/>
            <w:noWrap/>
            <w:vAlign w:val="center"/>
            <w:hideMark/>
          </w:tcPr>
          <w:p w14:paraId="3C697CB6"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269</w:t>
            </w:r>
          </w:p>
        </w:tc>
        <w:tc>
          <w:tcPr>
            <w:tcW w:w="1328" w:type="dxa"/>
            <w:tcBorders>
              <w:top w:val="nil"/>
              <w:left w:val="nil"/>
              <w:bottom w:val="single" w:sz="4" w:space="0" w:color="auto"/>
              <w:right w:val="single" w:sz="4" w:space="0" w:color="auto"/>
            </w:tcBorders>
            <w:shd w:val="clear" w:color="000000" w:fill="EAF1DD"/>
            <w:noWrap/>
            <w:vAlign w:val="center"/>
            <w:hideMark/>
          </w:tcPr>
          <w:p w14:paraId="35E22B6F"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1,033</w:t>
            </w:r>
          </w:p>
        </w:tc>
      </w:tr>
      <w:tr w:rsidR="00B32336" w:rsidRPr="00B32336" w14:paraId="6F0798A9"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FBB0C01"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Salaries and social costs</w:t>
            </w:r>
          </w:p>
        </w:tc>
        <w:tc>
          <w:tcPr>
            <w:tcW w:w="1303" w:type="dxa"/>
            <w:tcBorders>
              <w:top w:val="nil"/>
              <w:left w:val="nil"/>
              <w:bottom w:val="single" w:sz="4" w:space="0" w:color="auto"/>
              <w:right w:val="single" w:sz="4" w:space="0" w:color="auto"/>
            </w:tcBorders>
            <w:shd w:val="clear" w:color="auto" w:fill="auto"/>
            <w:noWrap/>
            <w:vAlign w:val="center"/>
            <w:hideMark/>
          </w:tcPr>
          <w:p w14:paraId="35C84DF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450</w:t>
            </w:r>
          </w:p>
        </w:tc>
        <w:tc>
          <w:tcPr>
            <w:tcW w:w="1258" w:type="dxa"/>
            <w:tcBorders>
              <w:top w:val="nil"/>
              <w:left w:val="nil"/>
              <w:bottom w:val="single" w:sz="4" w:space="0" w:color="auto"/>
              <w:right w:val="single" w:sz="4" w:space="0" w:color="auto"/>
            </w:tcBorders>
            <w:shd w:val="clear" w:color="auto" w:fill="auto"/>
            <w:noWrap/>
            <w:vAlign w:val="center"/>
            <w:hideMark/>
          </w:tcPr>
          <w:p w14:paraId="6063E12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72C0BE7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758221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184</w:t>
            </w:r>
          </w:p>
        </w:tc>
        <w:tc>
          <w:tcPr>
            <w:tcW w:w="1328" w:type="dxa"/>
            <w:tcBorders>
              <w:top w:val="nil"/>
              <w:left w:val="nil"/>
              <w:bottom w:val="single" w:sz="4" w:space="0" w:color="auto"/>
              <w:right w:val="single" w:sz="4" w:space="0" w:color="auto"/>
            </w:tcBorders>
            <w:shd w:val="clear" w:color="auto" w:fill="auto"/>
            <w:noWrap/>
            <w:vAlign w:val="center"/>
            <w:hideMark/>
          </w:tcPr>
          <w:p w14:paraId="3B20A93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634</w:t>
            </w:r>
          </w:p>
        </w:tc>
      </w:tr>
      <w:tr w:rsidR="00B32336" w:rsidRPr="00B32336" w14:paraId="161F646F"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1787FC3"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Other employment benefits</w:t>
            </w:r>
          </w:p>
        </w:tc>
        <w:tc>
          <w:tcPr>
            <w:tcW w:w="1303" w:type="dxa"/>
            <w:tcBorders>
              <w:top w:val="nil"/>
              <w:left w:val="nil"/>
              <w:bottom w:val="single" w:sz="4" w:space="0" w:color="auto"/>
              <w:right w:val="single" w:sz="4" w:space="0" w:color="auto"/>
            </w:tcBorders>
            <w:shd w:val="clear" w:color="auto" w:fill="auto"/>
            <w:noWrap/>
            <w:vAlign w:val="center"/>
            <w:hideMark/>
          </w:tcPr>
          <w:p w14:paraId="56CA12C3"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258" w:type="dxa"/>
            <w:tcBorders>
              <w:top w:val="nil"/>
              <w:left w:val="nil"/>
              <w:bottom w:val="single" w:sz="4" w:space="0" w:color="auto"/>
              <w:right w:val="single" w:sz="4" w:space="0" w:color="auto"/>
            </w:tcBorders>
            <w:shd w:val="clear" w:color="auto" w:fill="auto"/>
            <w:noWrap/>
            <w:vAlign w:val="center"/>
            <w:hideMark/>
          </w:tcPr>
          <w:p w14:paraId="213EA22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7ADF677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790398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328" w:type="dxa"/>
            <w:tcBorders>
              <w:top w:val="nil"/>
              <w:left w:val="nil"/>
              <w:bottom w:val="single" w:sz="4" w:space="0" w:color="auto"/>
              <w:right w:val="single" w:sz="4" w:space="0" w:color="auto"/>
            </w:tcBorders>
            <w:shd w:val="clear" w:color="auto" w:fill="auto"/>
            <w:noWrap/>
            <w:vAlign w:val="center"/>
            <w:hideMark/>
          </w:tcPr>
          <w:p w14:paraId="22FB19F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r>
      <w:tr w:rsidR="00B32336" w:rsidRPr="00B32336" w14:paraId="7D8E0E74"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D5CB20B"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CEPA Program</w:t>
            </w:r>
          </w:p>
        </w:tc>
        <w:tc>
          <w:tcPr>
            <w:tcW w:w="1303" w:type="dxa"/>
            <w:tcBorders>
              <w:top w:val="nil"/>
              <w:left w:val="nil"/>
              <w:bottom w:val="single" w:sz="4" w:space="0" w:color="auto"/>
              <w:right w:val="single" w:sz="4" w:space="0" w:color="auto"/>
            </w:tcBorders>
            <w:shd w:val="clear" w:color="auto" w:fill="auto"/>
            <w:noWrap/>
            <w:vAlign w:val="center"/>
            <w:hideMark/>
          </w:tcPr>
          <w:p w14:paraId="782720E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30</w:t>
            </w:r>
          </w:p>
        </w:tc>
        <w:tc>
          <w:tcPr>
            <w:tcW w:w="1258" w:type="dxa"/>
            <w:tcBorders>
              <w:top w:val="nil"/>
              <w:left w:val="nil"/>
              <w:bottom w:val="single" w:sz="4" w:space="0" w:color="auto"/>
              <w:right w:val="single" w:sz="4" w:space="0" w:color="auto"/>
            </w:tcBorders>
            <w:shd w:val="clear" w:color="auto" w:fill="auto"/>
            <w:noWrap/>
            <w:vAlign w:val="center"/>
            <w:hideMark/>
          </w:tcPr>
          <w:p w14:paraId="1026B7C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38662AF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428BD48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23</w:t>
            </w:r>
          </w:p>
        </w:tc>
        <w:tc>
          <w:tcPr>
            <w:tcW w:w="1328" w:type="dxa"/>
            <w:tcBorders>
              <w:top w:val="nil"/>
              <w:left w:val="nil"/>
              <w:bottom w:val="single" w:sz="4" w:space="0" w:color="auto"/>
              <w:right w:val="single" w:sz="4" w:space="0" w:color="auto"/>
            </w:tcBorders>
            <w:shd w:val="clear" w:color="auto" w:fill="auto"/>
            <w:noWrap/>
            <w:vAlign w:val="center"/>
            <w:hideMark/>
          </w:tcPr>
          <w:p w14:paraId="0964DD6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54</w:t>
            </w:r>
          </w:p>
        </w:tc>
      </w:tr>
      <w:tr w:rsidR="00B32336" w:rsidRPr="00B32336" w14:paraId="6075A1F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vAlign w:val="center"/>
            <w:hideMark/>
          </w:tcPr>
          <w:p w14:paraId="4DCD8322"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Comms, Translations, Publications and Reporting Implementation</w:t>
            </w:r>
          </w:p>
        </w:tc>
        <w:tc>
          <w:tcPr>
            <w:tcW w:w="1303" w:type="dxa"/>
            <w:tcBorders>
              <w:top w:val="nil"/>
              <w:left w:val="nil"/>
              <w:bottom w:val="single" w:sz="4" w:space="0" w:color="auto"/>
              <w:right w:val="single" w:sz="4" w:space="0" w:color="auto"/>
            </w:tcBorders>
            <w:shd w:val="clear" w:color="auto" w:fill="auto"/>
            <w:noWrap/>
            <w:vAlign w:val="center"/>
            <w:hideMark/>
          </w:tcPr>
          <w:p w14:paraId="602C871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60</w:t>
            </w:r>
          </w:p>
        </w:tc>
        <w:tc>
          <w:tcPr>
            <w:tcW w:w="1258" w:type="dxa"/>
            <w:tcBorders>
              <w:top w:val="nil"/>
              <w:left w:val="nil"/>
              <w:bottom w:val="single" w:sz="4" w:space="0" w:color="auto"/>
              <w:right w:val="single" w:sz="4" w:space="0" w:color="auto"/>
            </w:tcBorders>
            <w:shd w:val="clear" w:color="auto" w:fill="auto"/>
            <w:noWrap/>
            <w:vAlign w:val="center"/>
            <w:hideMark/>
          </w:tcPr>
          <w:p w14:paraId="2747721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40</w:t>
            </w:r>
          </w:p>
        </w:tc>
        <w:tc>
          <w:tcPr>
            <w:tcW w:w="1286" w:type="dxa"/>
            <w:tcBorders>
              <w:top w:val="nil"/>
              <w:left w:val="nil"/>
              <w:bottom w:val="single" w:sz="4" w:space="0" w:color="auto"/>
              <w:right w:val="single" w:sz="4" w:space="0" w:color="auto"/>
            </w:tcBorders>
            <w:shd w:val="clear" w:color="auto" w:fill="auto"/>
            <w:noWrap/>
            <w:vAlign w:val="center"/>
            <w:hideMark/>
          </w:tcPr>
          <w:p w14:paraId="7AF0DC6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05446BE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56</w:t>
            </w:r>
          </w:p>
        </w:tc>
        <w:tc>
          <w:tcPr>
            <w:tcW w:w="1328" w:type="dxa"/>
            <w:tcBorders>
              <w:top w:val="nil"/>
              <w:left w:val="nil"/>
              <w:bottom w:val="single" w:sz="4" w:space="0" w:color="auto"/>
              <w:right w:val="single" w:sz="4" w:space="0" w:color="auto"/>
            </w:tcBorders>
            <w:shd w:val="clear" w:color="auto" w:fill="auto"/>
            <w:noWrap/>
            <w:vAlign w:val="center"/>
            <w:hideMark/>
          </w:tcPr>
          <w:p w14:paraId="2CEB785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156</w:t>
            </w:r>
          </w:p>
        </w:tc>
      </w:tr>
      <w:tr w:rsidR="00B32336" w:rsidRPr="00B32336" w14:paraId="26D7A04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BD439B5"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WWD &amp; 50th Anniversary 2021</w:t>
            </w:r>
          </w:p>
        </w:tc>
        <w:tc>
          <w:tcPr>
            <w:tcW w:w="1303" w:type="dxa"/>
            <w:tcBorders>
              <w:top w:val="nil"/>
              <w:left w:val="nil"/>
              <w:bottom w:val="single" w:sz="4" w:space="0" w:color="auto"/>
              <w:right w:val="single" w:sz="4" w:space="0" w:color="auto"/>
            </w:tcBorders>
            <w:shd w:val="clear" w:color="auto" w:fill="auto"/>
            <w:noWrap/>
            <w:vAlign w:val="center"/>
            <w:hideMark/>
          </w:tcPr>
          <w:p w14:paraId="37B6A39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74AE41E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5C230C4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43</w:t>
            </w:r>
          </w:p>
        </w:tc>
        <w:tc>
          <w:tcPr>
            <w:tcW w:w="1367" w:type="dxa"/>
            <w:tcBorders>
              <w:top w:val="nil"/>
              <w:left w:val="nil"/>
              <w:bottom w:val="single" w:sz="4" w:space="0" w:color="auto"/>
              <w:right w:val="single" w:sz="4" w:space="0" w:color="auto"/>
            </w:tcBorders>
            <w:shd w:val="clear" w:color="auto" w:fill="auto"/>
            <w:noWrap/>
            <w:vAlign w:val="center"/>
            <w:hideMark/>
          </w:tcPr>
          <w:p w14:paraId="479B56E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2D62154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43</w:t>
            </w:r>
          </w:p>
        </w:tc>
      </w:tr>
      <w:tr w:rsidR="00B32336" w:rsidRPr="00B32336" w14:paraId="6EF843A9"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392BDECA"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Web/IT support and Development</w:t>
            </w:r>
          </w:p>
        </w:tc>
        <w:tc>
          <w:tcPr>
            <w:tcW w:w="1303" w:type="dxa"/>
            <w:tcBorders>
              <w:top w:val="nil"/>
              <w:left w:val="nil"/>
              <w:bottom w:val="single" w:sz="4" w:space="0" w:color="auto"/>
              <w:right w:val="single" w:sz="4" w:space="0" w:color="auto"/>
            </w:tcBorders>
            <w:shd w:val="clear" w:color="auto" w:fill="auto"/>
            <w:noWrap/>
            <w:vAlign w:val="center"/>
            <w:hideMark/>
          </w:tcPr>
          <w:p w14:paraId="630ECAE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84</w:t>
            </w:r>
          </w:p>
        </w:tc>
        <w:tc>
          <w:tcPr>
            <w:tcW w:w="1258" w:type="dxa"/>
            <w:tcBorders>
              <w:top w:val="nil"/>
              <w:left w:val="nil"/>
              <w:bottom w:val="single" w:sz="4" w:space="0" w:color="auto"/>
              <w:right w:val="single" w:sz="4" w:space="0" w:color="auto"/>
            </w:tcBorders>
            <w:shd w:val="clear" w:color="auto" w:fill="auto"/>
            <w:noWrap/>
            <w:vAlign w:val="center"/>
            <w:hideMark/>
          </w:tcPr>
          <w:p w14:paraId="498B638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376EB5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38</w:t>
            </w:r>
          </w:p>
        </w:tc>
        <w:tc>
          <w:tcPr>
            <w:tcW w:w="1367" w:type="dxa"/>
            <w:tcBorders>
              <w:top w:val="nil"/>
              <w:left w:val="nil"/>
              <w:bottom w:val="single" w:sz="4" w:space="0" w:color="auto"/>
              <w:right w:val="single" w:sz="4" w:space="0" w:color="auto"/>
            </w:tcBorders>
            <w:shd w:val="clear" w:color="auto" w:fill="auto"/>
            <w:noWrap/>
            <w:vAlign w:val="center"/>
            <w:hideMark/>
          </w:tcPr>
          <w:p w14:paraId="042E6D2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(14)</w:t>
            </w:r>
          </w:p>
        </w:tc>
        <w:tc>
          <w:tcPr>
            <w:tcW w:w="1328" w:type="dxa"/>
            <w:tcBorders>
              <w:top w:val="nil"/>
              <w:left w:val="nil"/>
              <w:bottom w:val="single" w:sz="4" w:space="0" w:color="auto"/>
              <w:right w:val="single" w:sz="4" w:space="0" w:color="auto"/>
            </w:tcBorders>
            <w:shd w:val="clear" w:color="auto" w:fill="auto"/>
            <w:noWrap/>
            <w:vAlign w:val="center"/>
            <w:hideMark/>
          </w:tcPr>
          <w:p w14:paraId="041D314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108</w:t>
            </w:r>
          </w:p>
        </w:tc>
      </w:tr>
      <w:tr w:rsidR="00B32336" w:rsidRPr="00B32336" w14:paraId="5A107B7F"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548A68D"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Travel</w:t>
            </w:r>
          </w:p>
        </w:tc>
        <w:tc>
          <w:tcPr>
            <w:tcW w:w="1303" w:type="dxa"/>
            <w:tcBorders>
              <w:top w:val="nil"/>
              <w:left w:val="nil"/>
              <w:bottom w:val="single" w:sz="4" w:space="0" w:color="auto"/>
              <w:right w:val="single" w:sz="4" w:space="0" w:color="auto"/>
            </w:tcBorders>
            <w:shd w:val="clear" w:color="auto" w:fill="auto"/>
            <w:noWrap/>
            <w:vAlign w:val="center"/>
            <w:hideMark/>
          </w:tcPr>
          <w:p w14:paraId="0F2A485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c>
          <w:tcPr>
            <w:tcW w:w="1258" w:type="dxa"/>
            <w:tcBorders>
              <w:top w:val="nil"/>
              <w:left w:val="nil"/>
              <w:bottom w:val="single" w:sz="4" w:space="0" w:color="auto"/>
              <w:right w:val="single" w:sz="4" w:space="0" w:color="auto"/>
            </w:tcBorders>
            <w:shd w:val="clear" w:color="auto" w:fill="auto"/>
            <w:noWrap/>
            <w:vAlign w:val="center"/>
            <w:hideMark/>
          </w:tcPr>
          <w:p w14:paraId="6424FDC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286" w:type="dxa"/>
            <w:tcBorders>
              <w:top w:val="nil"/>
              <w:left w:val="nil"/>
              <w:bottom w:val="single" w:sz="4" w:space="0" w:color="auto"/>
              <w:right w:val="single" w:sz="4" w:space="0" w:color="auto"/>
            </w:tcBorders>
            <w:shd w:val="clear" w:color="auto" w:fill="auto"/>
            <w:noWrap/>
            <w:vAlign w:val="center"/>
            <w:hideMark/>
          </w:tcPr>
          <w:p w14:paraId="7A28978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024A06E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15</w:t>
            </w:r>
          </w:p>
        </w:tc>
        <w:tc>
          <w:tcPr>
            <w:tcW w:w="1328" w:type="dxa"/>
            <w:tcBorders>
              <w:top w:val="nil"/>
              <w:left w:val="nil"/>
              <w:bottom w:val="single" w:sz="4" w:space="0" w:color="auto"/>
              <w:right w:val="single" w:sz="4" w:space="0" w:color="auto"/>
            </w:tcBorders>
            <w:shd w:val="clear" w:color="auto" w:fill="auto"/>
            <w:noWrap/>
            <w:vAlign w:val="center"/>
            <w:hideMark/>
          </w:tcPr>
          <w:p w14:paraId="6CF6FB3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30</w:t>
            </w:r>
          </w:p>
        </w:tc>
      </w:tr>
      <w:tr w:rsidR="00B32336" w:rsidRPr="00B32336" w14:paraId="0323D727"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455E941F"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C.  Regional Advice and Support</w:t>
            </w:r>
          </w:p>
        </w:tc>
        <w:tc>
          <w:tcPr>
            <w:tcW w:w="1303" w:type="dxa"/>
            <w:tcBorders>
              <w:top w:val="nil"/>
              <w:left w:val="nil"/>
              <w:bottom w:val="single" w:sz="4" w:space="0" w:color="auto"/>
              <w:right w:val="single" w:sz="4" w:space="0" w:color="auto"/>
            </w:tcBorders>
            <w:shd w:val="clear" w:color="000000" w:fill="EAF1DD"/>
            <w:noWrap/>
            <w:vAlign w:val="center"/>
            <w:hideMark/>
          </w:tcPr>
          <w:p w14:paraId="5865530F"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1,324</w:t>
            </w:r>
          </w:p>
        </w:tc>
        <w:tc>
          <w:tcPr>
            <w:tcW w:w="1258" w:type="dxa"/>
            <w:tcBorders>
              <w:top w:val="nil"/>
              <w:left w:val="nil"/>
              <w:bottom w:val="single" w:sz="4" w:space="0" w:color="auto"/>
              <w:right w:val="single" w:sz="4" w:space="0" w:color="auto"/>
            </w:tcBorders>
            <w:shd w:val="clear" w:color="000000" w:fill="EAF1DD"/>
            <w:noWrap/>
            <w:vAlign w:val="center"/>
            <w:hideMark/>
          </w:tcPr>
          <w:p w14:paraId="42305292"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w:t>
            </w:r>
          </w:p>
        </w:tc>
        <w:tc>
          <w:tcPr>
            <w:tcW w:w="1286" w:type="dxa"/>
            <w:tcBorders>
              <w:top w:val="nil"/>
              <w:left w:val="nil"/>
              <w:bottom w:val="single" w:sz="4" w:space="0" w:color="auto"/>
              <w:right w:val="single" w:sz="4" w:space="0" w:color="auto"/>
            </w:tcBorders>
            <w:shd w:val="clear" w:color="000000" w:fill="EAF1DD"/>
            <w:noWrap/>
            <w:vAlign w:val="center"/>
            <w:hideMark/>
          </w:tcPr>
          <w:p w14:paraId="52DC8900"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96</w:t>
            </w:r>
          </w:p>
        </w:tc>
        <w:tc>
          <w:tcPr>
            <w:tcW w:w="1367" w:type="dxa"/>
            <w:tcBorders>
              <w:top w:val="nil"/>
              <w:left w:val="nil"/>
              <w:bottom w:val="single" w:sz="4" w:space="0" w:color="auto"/>
              <w:right w:val="single" w:sz="4" w:space="0" w:color="auto"/>
            </w:tcBorders>
            <w:shd w:val="clear" w:color="000000" w:fill="EAF1DD"/>
            <w:noWrap/>
            <w:vAlign w:val="center"/>
            <w:hideMark/>
          </w:tcPr>
          <w:p w14:paraId="7180964B"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152</w:t>
            </w:r>
          </w:p>
        </w:tc>
        <w:tc>
          <w:tcPr>
            <w:tcW w:w="1328" w:type="dxa"/>
            <w:tcBorders>
              <w:top w:val="nil"/>
              <w:left w:val="nil"/>
              <w:bottom w:val="single" w:sz="4" w:space="0" w:color="auto"/>
              <w:right w:val="single" w:sz="4" w:space="0" w:color="auto"/>
            </w:tcBorders>
            <w:shd w:val="clear" w:color="000000" w:fill="EAF1DD"/>
            <w:noWrap/>
            <w:vAlign w:val="center"/>
            <w:hideMark/>
          </w:tcPr>
          <w:p w14:paraId="6D12BE85"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1,582</w:t>
            </w:r>
          </w:p>
        </w:tc>
      </w:tr>
      <w:tr w:rsidR="00B32336" w:rsidRPr="00B32336" w14:paraId="41CE83E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10196C3"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Salaries and social costs</w:t>
            </w:r>
          </w:p>
        </w:tc>
        <w:tc>
          <w:tcPr>
            <w:tcW w:w="1303" w:type="dxa"/>
            <w:tcBorders>
              <w:top w:val="nil"/>
              <w:left w:val="nil"/>
              <w:bottom w:val="single" w:sz="4" w:space="0" w:color="auto"/>
              <w:right w:val="single" w:sz="4" w:space="0" w:color="auto"/>
            </w:tcBorders>
            <w:shd w:val="clear" w:color="auto" w:fill="auto"/>
            <w:noWrap/>
            <w:vAlign w:val="center"/>
            <w:hideMark/>
          </w:tcPr>
          <w:p w14:paraId="0501750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1,178</w:t>
            </w:r>
          </w:p>
        </w:tc>
        <w:tc>
          <w:tcPr>
            <w:tcW w:w="1258" w:type="dxa"/>
            <w:tcBorders>
              <w:top w:val="nil"/>
              <w:left w:val="nil"/>
              <w:bottom w:val="single" w:sz="4" w:space="0" w:color="auto"/>
              <w:right w:val="single" w:sz="4" w:space="0" w:color="auto"/>
            </w:tcBorders>
            <w:shd w:val="clear" w:color="auto" w:fill="auto"/>
            <w:noWrap/>
            <w:vAlign w:val="center"/>
            <w:hideMark/>
          </w:tcPr>
          <w:p w14:paraId="23F39B9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53A5722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0D18609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91</w:t>
            </w:r>
          </w:p>
        </w:tc>
        <w:tc>
          <w:tcPr>
            <w:tcW w:w="1328" w:type="dxa"/>
            <w:tcBorders>
              <w:top w:val="nil"/>
              <w:left w:val="nil"/>
              <w:bottom w:val="single" w:sz="4" w:space="0" w:color="auto"/>
              <w:right w:val="single" w:sz="4" w:space="0" w:color="auto"/>
            </w:tcBorders>
            <w:shd w:val="clear" w:color="auto" w:fill="auto"/>
            <w:noWrap/>
            <w:vAlign w:val="center"/>
            <w:hideMark/>
          </w:tcPr>
          <w:p w14:paraId="7B3F2DD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1,269</w:t>
            </w:r>
          </w:p>
        </w:tc>
      </w:tr>
      <w:tr w:rsidR="00B32336" w:rsidRPr="00B32336" w14:paraId="514390A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AA6CC8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Other employment benefits</w:t>
            </w:r>
          </w:p>
        </w:tc>
        <w:tc>
          <w:tcPr>
            <w:tcW w:w="1303" w:type="dxa"/>
            <w:tcBorders>
              <w:top w:val="nil"/>
              <w:left w:val="nil"/>
              <w:bottom w:val="single" w:sz="4" w:space="0" w:color="auto"/>
              <w:right w:val="single" w:sz="4" w:space="0" w:color="auto"/>
            </w:tcBorders>
            <w:shd w:val="clear" w:color="auto" w:fill="auto"/>
            <w:noWrap/>
            <w:vAlign w:val="center"/>
            <w:hideMark/>
          </w:tcPr>
          <w:p w14:paraId="5C00EC7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71</w:t>
            </w:r>
          </w:p>
        </w:tc>
        <w:tc>
          <w:tcPr>
            <w:tcW w:w="1258" w:type="dxa"/>
            <w:tcBorders>
              <w:top w:val="nil"/>
              <w:left w:val="nil"/>
              <w:bottom w:val="single" w:sz="4" w:space="0" w:color="auto"/>
              <w:right w:val="single" w:sz="4" w:space="0" w:color="auto"/>
            </w:tcBorders>
            <w:shd w:val="clear" w:color="auto" w:fill="auto"/>
            <w:noWrap/>
            <w:vAlign w:val="center"/>
            <w:hideMark/>
          </w:tcPr>
          <w:p w14:paraId="2A7CB5D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D59222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2F7FB6E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40</w:t>
            </w:r>
          </w:p>
        </w:tc>
        <w:tc>
          <w:tcPr>
            <w:tcW w:w="1328" w:type="dxa"/>
            <w:tcBorders>
              <w:top w:val="nil"/>
              <w:left w:val="nil"/>
              <w:bottom w:val="single" w:sz="4" w:space="0" w:color="auto"/>
              <w:right w:val="single" w:sz="4" w:space="0" w:color="auto"/>
            </w:tcBorders>
            <w:shd w:val="clear" w:color="auto" w:fill="auto"/>
            <w:noWrap/>
            <w:vAlign w:val="center"/>
            <w:hideMark/>
          </w:tcPr>
          <w:p w14:paraId="51980D5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111</w:t>
            </w:r>
          </w:p>
        </w:tc>
      </w:tr>
      <w:tr w:rsidR="00B32336" w:rsidRPr="00B32336" w14:paraId="3F001C9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811214C"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Travel</w:t>
            </w:r>
          </w:p>
        </w:tc>
        <w:tc>
          <w:tcPr>
            <w:tcW w:w="1303" w:type="dxa"/>
            <w:tcBorders>
              <w:top w:val="nil"/>
              <w:left w:val="nil"/>
              <w:bottom w:val="single" w:sz="4" w:space="0" w:color="auto"/>
              <w:right w:val="single" w:sz="4" w:space="0" w:color="auto"/>
            </w:tcBorders>
            <w:shd w:val="clear" w:color="auto" w:fill="auto"/>
            <w:noWrap/>
            <w:vAlign w:val="center"/>
            <w:hideMark/>
          </w:tcPr>
          <w:p w14:paraId="3437372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75</w:t>
            </w:r>
          </w:p>
        </w:tc>
        <w:tc>
          <w:tcPr>
            <w:tcW w:w="1258" w:type="dxa"/>
            <w:tcBorders>
              <w:top w:val="nil"/>
              <w:left w:val="nil"/>
              <w:bottom w:val="single" w:sz="4" w:space="0" w:color="auto"/>
              <w:right w:val="single" w:sz="4" w:space="0" w:color="auto"/>
            </w:tcBorders>
            <w:shd w:val="clear" w:color="auto" w:fill="auto"/>
            <w:noWrap/>
            <w:vAlign w:val="center"/>
            <w:hideMark/>
          </w:tcPr>
          <w:p w14:paraId="454BA52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c>
          <w:tcPr>
            <w:tcW w:w="1286" w:type="dxa"/>
            <w:tcBorders>
              <w:top w:val="nil"/>
              <w:left w:val="nil"/>
              <w:bottom w:val="single" w:sz="4" w:space="0" w:color="auto"/>
              <w:right w:val="single" w:sz="4" w:space="0" w:color="auto"/>
            </w:tcBorders>
            <w:shd w:val="clear" w:color="auto" w:fill="auto"/>
            <w:noWrap/>
            <w:vAlign w:val="center"/>
            <w:hideMark/>
          </w:tcPr>
          <w:p w14:paraId="020B24F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00966EE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21</w:t>
            </w:r>
          </w:p>
        </w:tc>
        <w:tc>
          <w:tcPr>
            <w:tcW w:w="1328" w:type="dxa"/>
            <w:tcBorders>
              <w:top w:val="nil"/>
              <w:left w:val="nil"/>
              <w:bottom w:val="single" w:sz="4" w:space="0" w:color="auto"/>
              <w:right w:val="single" w:sz="4" w:space="0" w:color="auto"/>
            </w:tcBorders>
            <w:shd w:val="clear" w:color="auto" w:fill="auto"/>
            <w:noWrap/>
            <w:vAlign w:val="center"/>
            <w:hideMark/>
          </w:tcPr>
          <w:p w14:paraId="262A475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106</w:t>
            </w:r>
          </w:p>
        </w:tc>
      </w:tr>
      <w:tr w:rsidR="00B32336" w:rsidRPr="00B32336" w14:paraId="02C2D8E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2556579"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Ramsar Advisory Missions</w:t>
            </w:r>
          </w:p>
        </w:tc>
        <w:tc>
          <w:tcPr>
            <w:tcW w:w="1303" w:type="dxa"/>
            <w:tcBorders>
              <w:top w:val="nil"/>
              <w:left w:val="nil"/>
              <w:bottom w:val="single" w:sz="4" w:space="0" w:color="auto"/>
              <w:right w:val="single" w:sz="4" w:space="0" w:color="auto"/>
            </w:tcBorders>
            <w:shd w:val="clear" w:color="auto" w:fill="auto"/>
            <w:noWrap/>
            <w:vAlign w:val="center"/>
            <w:hideMark/>
          </w:tcPr>
          <w:p w14:paraId="21228CF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458636B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48EF208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96</w:t>
            </w:r>
          </w:p>
        </w:tc>
        <w:tc>
          <w:tcPr>
            <w:tcW w:w="1367" w:type="dxa"/>
            <w:tcBorders>
              <w:top w:val="nil"/>
              <w:left w:val="nil"/>
              <w:bottom w:val="single" w:sz="4" w:space="0" w:color="auto"/>
              <w:right w:val="single" w:sz="4" w:space="0" w:color="auto"/>
            </w:tcBorders>
            <w:shd w:val="clear" w:color="auto" w:fill="auto"/>
            <w:noWrap/>
            <w:vAlign w:val="center"/>
            <w:hideMark/>
          </w:tcPr>
          <w:p w14:paraId="18BF4DB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7E14E5D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96</w:t>
            </w:r>
          </w:p>
        </w:tc>
      </w:tr>
      <w:tr w:rsidR="00B32336" w:rsidRPr="00B32336" w14:paraId="16E5F4FD"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0806ECCF"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D.  Support to Regional Initiatives</w:t>
            </w:r>
          </w:p>
        </w:tc>
        <w:tc>
          <w:tcPr>
            <w:tcW w:w="1303" w:type="dxa"/>
            <w:tcBorders>
              <w:top w:val="nil"/>
              <w:left w:val="nil"/>
              <w:bottom w:val="single" w:sz="4" w:space="0" w:color="auto"/>
              <w:right w:val="single" w:sz="4" w:space="0" w:color="auto"/>
            </w:tcBorders>
            <w:shd w:val="clear" w:color="000000" w:fill="EAF1DD"/>
            <w:noWrap/>
            <w:vAlign w:val="center"/>
            <w:hideMark/>
          </w:tcPr>
          <w:p w14:paraId="0CB7761B"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100</w:t>
            </w:r>
          </w:p>
        </w:tc>
        <w:tc>
          <w:tcPr>
            <w:tcW w:w="1258" w:type="dxa"/>
            <w:tcBorders>
              <w:top w:val="nil"/>
              <w:left w:val="nil"/>
              <w:bottom w:val="single" w:sz="4" w:space="0" w:color="auto"/>
              <w:right w:val="single" w:sz="4" w:space="0" w:color="auto"/>
            </w:tcBorders>
            <w:shd w:val="clear" w:color="000000" w:fill="EAF1DD"/>
            <w:noWrap/>
            <w:vAlign w:val="center"/>
            <w:hideMark/>
          </w:tcPr>
          <w:p w14:paraId="753A970E"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63C1D9F1"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107</w:t>
            </w:r>
          </w:p>
        </w:tc>
        <w:tc>
          <w:tcPr>
            <w:tcW w:w="1367" w:type="dxa"/>
            <w:tcBorders>
              <w:top w:val="nil"/>
              <w:left w:val="nil"/>
              <w:bottom w:val="single" w:sz="4" w:space="0" w:color="auto"/>
              <w:right w:val="single" w:sz="4" w:space="0" w:color="auto"/>
            </w:tcBorders>
            <w:shd w:val="clear" w:color="000000" w:fill="EAF1DD"/>
            <w:noWrap/>
            <w:vAlign w:val="center"/>
            <w:hideMark/>
          </w:tcPr>
          <w:p w14:paraId="1ED2CE0A"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328" w:type="dxa"/>
            <w:tcBorders>
              <w:top w:val="nil"/>
              <w:left w:val="nil"/>
              <w:bottom w:val="single" w:sz="4" w:space="0" w:color="auto"/>
              <w:right w:val="single" w:sz="4" w:space="0" w:color="auto"/>
            </w:tcBorders>
            <w:shd w:val="clear" w:color="000000" w:fill="EAF1DD"/>
            <w:noWrap/>
            <w:vAlign w:val="center"/>
            <w:hideMark/>
          </w:tcPr>
          <w:p w14:paraId="18372728"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207</w:t>
            </w:r>
          </w:p>
        </w:tc>
      </w:tr>
      <w:tr w:rsidR="00B32336" w:rsidRPr="00B32336" w14:paraId="509713F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EF43E04"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RI WG Res. XIII.9,p9 &amp; Capacity Building</w:t>
            </w:r>
          </w:p>
        </w:tc>
        <w:tc>
          <w:tcPr>
            <w:tcW w:w="1303" w:type="dxa"/>
            <w:tcBorders>
              <w:top w:val="nil"/>
              <w:left w:val="nil"/>
              <w:bottom w:val="single" w:sz="4" w:space="0" w:color="auto"/>
              <w:right w:val="single" w:sz="4" w:space="0" w:color="auto"/>
            </w:tcBorders>
            <w:shd w:val="clear" w:color="auto" w:fill="auto"/>
            <w:noWrap/>
            <w:vAlign w:val="center"/>
            <w:hideMark/>
          </w:tcPr>
          <w:p w14:paraId="4AFBEA7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3D5E5D8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6836C16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46</w:t>
            </w:r>
          </w:p>
        </w:tc>
        <w:tc>
          <w:tcPr>
            <w:tcW w:w="1367" w:type="dxa"/>
            <w:tcBorders>
              <w:top w:val="nil"/>
              <w:left w:val="nil"/>
              <w:bottom w:val="single" w:sz="4" w:space="0" w:color="auto"/>
              <w:right w:val="single" w:sz="4" w:space="0" w:color="auto"/>
            </w:tcBorders>
            <w:shd w:val="clear" w:color="auto" w:fill="auto"/>
            <w:noWrap/>
            <w:vAlign w:val="center"/>
            <w:hideMark/>
          </w:tcPr>
          <w:p w14:paraId="17A6A9E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6FD16ED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46</w:t>
            </w:r>
          </w:p>
        </w:tc>
      </w:tr>
      <w:tr w:rsidR="00B32336" w:rsidRPr="00B32336" w14:paraId="4BB9B43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EE5B1FD"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Activity 1: Senegal Basin</w:t>
            </w:r>
          </w:p>
        </w:tc>
        <w:tc>
          <w:tcPr>
            <w:tcW w:w="1303" w:type="dxa"/>
            <w:tcBorders>
              <w:top w:val="nil"/>
              <w:left w:val="nil"/>
              <w:bottom w:val="single" w:sz="4" w:space="0" w:color="auto"/>
              <w:right w:val="single" w:sz="4" w:space="0" w:color="auto"/>
            </w:tcBorders>
            <w:shd w:val="clear" w:color="auto" w:fill="auto"/>
            <w:noWrap/>
            <w:vAlign w:val="center"/>
            <w:hideMark/>
          </w:tcPr>
          <w:p w14:paraId="5CEA06C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14:paraId="191318A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CA4702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1B6FE46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2E99575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r>
      <w:tr w:rsidR="00B32336" w:rsidRPr="00B32336" w14:paraId="193A2AF2"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E42D674"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Activity 2: Amazon Basin</w:t>
            </w:r>
          </w:p>
        </w:tc>
        <w:tc>
          <w:tcPr>
            <w:tcW w:w="1303" w:type="dxa"/>
            <w:tcBorders>
              <w:top w:val="nil"/>
              <w:left w:val="nil"/>
              <w:bottom w:val="single" w:sz="4" w:space="0" w:color="auto"/>
              <w:right w:val="single" w:sz="4" w:space="0" w:color="auto"/>
            </w:tcBorders>
            <w:shd w:val="clear" w:color="auto" w:fill="auto"/>
            <w:noWrap/>
            <w:vAlign w:val="center"/>
            <w:hideMark/>
          </w:tcPr>
          <w:p w14:paraId="5529F66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14:paraId="45DDEA1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6D69473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61</w:t>
            </w:r>
          </w:p>
        </w:tc>
        <w:tc>
          <w:tcPr>
            <w:tcW w:w="1367" w:type="dxa"/>
            <w:tcBorders>
              <w:top w:val="nil"/>
              <w:left w:val="nil"/>
              <w:bottom w:val="single" w:sz="4" w:space="0" w:color="auto"/>
              <w:right w:val="single" w:sz="4" w:space="0" w:color="auto"/>
            </w:tcBorders>
            <w:shd w:val="clear" w:color="auto" w:fill="auto"/>
            <w:noWrap/>
            <w:vAlign w:val="center"/>
            <w:hideMark/>
          </w:tcPr>
          <w:p w14:paraId="7ADD2BC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11E4FFE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86</w:t>
            </w:r>
          </w:p>
        </w:tc>
      </w:tr>
      <w:tr w:rsidR="00B32336" w:rsidRPr="00B32336" w14:paraId="223024CA"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78E3A3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Activity 3: Central Asia</w:t>
            </w:r>
          </w:p>
        </w:tc>
        <w:tc>
          <w:tcPr>
            <w:tcW w:w="1303" w:type="dxa"/>
            <w:tcBorders>
              <w:top w:val="nil"/>
              <w:left w:val="nil"/>
              <w:bottom w:val="single" w:sz="4" w:space="0" w:color="auto"/>
              <w:right w:val="single" w:sz="4" w:space="0" w:color="auto"/>
            </w:tcBorders>
            <w:shd w:val="clear" w:color="auto" w:fill="auto"/>
            <w:noWrap/>
            <w:vAlign w:val="center"/>
            <w:hideMark/>
          </w:tcPr>
          <w:p w14:paraId="565C219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14:paraId="2780FD3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1A7DECC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BF1A66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3089668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r>
      <w:tr w:rsidR="00B32336" w:rsidRPr="00B32336" w14:paraId="0F54C945"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0CA3"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Activity 4: Indo-Burma</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18F185F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4ADD3F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1BA86B4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2728CC3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32EA3F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r>
      <w:tr w:rsidR="00B32336" w:rsidRPr="00B32336" w14:paraId="4D4CC9C2"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2BA18AF" w14:textId="77777777" w:rsidR="00B32336" w:rsidRPr="00B32336" w:rsidRDefault="00B32336" w:rsidP="00D8194D">
            <w:pPr>
              <w:keepNext/>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lastRenderedPageBreak/>
              <w:t>E.  Scientific and Technical Services</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14:paraId="7851C963" w14:textId="77777777" w:rsidR="00B32336" w:rsidRPr="00B32336" w:rsidRDefault="00B32336" w:rsidP="00D8194D">
            <w:pPr>
              <w:keepNext/>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754</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14:paraId="74A7D6AB" w14:textId="77777777" w:rsidR="00B32336" w:rsidRPr="00B32336" w:rsidRDefault="00B32336" w:rsidP="00D8194D">
            <w:pPr>
              <w:keepNext/>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14:paraId="65E35A20" w14:textId="77777777" w:rsidR="00B32336" w:rsidRPr="00B32336" w:rsidRDefault="00B32336" w:rsidP="00D8194D">
            <w:pPr>
              <w:keepNext/>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121</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14:paraId="5E056F24" w14:textId="77777777" w:rsidR="00B32336" w:rsidRPr="00B32336" w:rsidRDefault="00B32336" w:rsidP="00D8194D">
            <w:pPr>
              <w:keepNext/>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145</w:t>
            </w:r>
          </w:p>
        </w:tc>
        <w:tc>
          <w:tcPr>
            <w:tcW w:w="1328" w:type="dxa"/>
            <w:tcBorders>
              <w:top w:val="single" w:sz="4" w:space="0" w:color="auto"/>
              <w:left w:val="nil"/>
              <w:bottom w:val="single" w:sz="4" w:space="0" w:color="auto"/>
              <w:right w:val="single" w:sz="4" w:space="0" w:color="auto"/>
            </w:tcBorders>
            <w:shd w:val="clear" w:color="000000" w:fill="EAF1DD"/>
            <w:noWrap/>
            <w:vAlign w:val="center"/>
            <w:hideMark/>
          </w:tcPr>
          <w:p w14:paraId="1185990A" w14:textId="77777777" w:rsidR="00B32336" w:rsidRPr="00B32336" w:rsidRDefault="00B32336" w:rsidP="00D8194D">
            <w:pPr>
              <w:keepNext/>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1,025</w:t>
            </w:r>
          </w:p>
        </w:tc>
      </w:tr>
      <w:tr w:rsidR="00B32336" w:rsidRPr="00B32336" w14:paraId="60561802"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5E4E900" w14:textId="77777777" w:rsidR="00B32336" w:rsidRPr="00B32336" w:rsidRDefault="00B32336" w:rsidP="00D8194D">
            <w:pPr>
              <w:keepNext/>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Salaries and social costs</w:t>
            </w:r>
          </w:p>
        </w:tc>
        <w:tc>
          <w:tcPr>
            <w:tcW w:w="1303" w:type="dxa"/>
            <w:tcBorders>
              <w:top w:val="nil"/>
              <w:left w:val="nil"/>
              <w:bottom w:val="single" w:sz="4" w:space="0" w:color="auto"/>
              <w:right w:val="single" w:sz="4" w:space="0" w:color="auto"/>
            </w:tcBorders>
            <w:shd w:val="clear" w:color="auto" w:fill="auto"/>
            <w:noWrap/>
            <w:vAlign w:val="center"/>
            <w:hideMark/>
          </w:tcPr>
          <w:p w14:paraId="09CB7075"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559</w:t>
            </w:r>
          </w:p>
        </w:tc>
        <w:tc>
          <w:tcPr>
            <w:tcW w:w="1258" w:type="dxa"/>
            <w:tcBorders>
              <w:top w:val="nil"/>
              <w:left w:val="nil"/>
              <w:bottom w:val="single" w:sz="4" w:space="0" w:color="auto"/>
              <w:right w:val="single" w:sz="4" w:space="0" w:color="auto"/>
            </w:tcBorders>
            <w:shd w:val="clear" w:color="auto" w:fill="auto"/>
            <w:noWrap/>
            <w:vAlign w:val="center"/>
            <w:hideMark/>
          </w:tcPr>
          <w:p w14:paraId="5CA5E89B"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63D973AC"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283786DF"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31</w:t>
            </w:r>
          </w:p>
        </w:tc>
        <w:tc>
          <w:tcPr>
            <w:tcW w:w="1328" w:type="dxa"/>
            <w:tcBorders>
              <w:top w:val="nil"/>
              <w:left w:val="nil"/>
              <w:bottom w:val="single" w:sz="4" w:space="0" w:color="auto"/>
              <w:right w:val="single" w:sz="4" w:space="0" w:color="auto"/>
            </w:tcBorders>
            <w:shd w:val="clear" w:color="auto" w:fill="auto"/>
            <w:noWrap/>
            <w:vAlign w:val="center"/>
            <w:hideMark/>
          </w:tcPr>
          <w:p w14:paraId="753DD660"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590</w:t>
            </w:r>
          </w:p>
        </w:tc>
      </w:tr>
      <w:tr w:rsidR="00B32336" w:rsidRPr="00B32336" w14:paraId="4682E080"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1E3FDBC" w14:textId="77777777" w:rsidR="00B32336" w:rsidRPr="00B32336" w:rsidRDefault="00B32336" w:rsidP="00D8194D">
            <w:pPr>
              <w:keepNext/>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Other employment benefits</w:t>
            </w:r>
          </w:p>
        </w:tc>
        <w:tc>
          <w:tcPr>
            <w:tcW w:w="1303" w:type="dxa"/>
            <w:tcBorders>
              <w:top w:val="nil"/>
              <w:left w:val="nil"/>
              <w:bottom w:val="single" w:sz="4" w:space="0" w:color="auto"/>
              <w:right w:val="single" w:sz="4" w:space="0" w:color="auto"/>
            </w:tcBorders>
            <w:shd w:val="clear" w:color="auto" w:fill="auto"/>
            <w:noWrap/>
            <w:vAlign w:val="center"/>
            <w:hideMark/>
          </w:tcPr>
          <w:p w14:paraId="0289FC8D"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w:t>
            </w:r>
          </w:p>
        </w:tc>
        <w:tc>
          <w:tcPr>
            <w:tcW w:w="1258" w:type="dxa"/>
            <w:tcBorders>
              <w:top w:val="nil"/>
              <w:left w:val="nil"/>
              <w:bottom w:val="single" w:sz="4" w:space="0" w:color="auto"/>
              <w:right w:val="single" w:sz="4" w:space="0" w:color="auto"/>
            </w:tcBorders>
            <w:shd w:val="clear" w:color="auto" w:fill="auto"/>
            <w:noWrap/>
            <w:vAlign w:val="center"/>
            <w:hideMark/>
          </w:tcPr>
          <w:p w14:paraId="02AA6C3E"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5F0730C9"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31E76A94"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w:t>
            </w:r>
          </w:p>
        </w:tc>
        <w:tc>
          <w:tcPr>
            <w:tcW w:w="1328" w:type="dxa"/>
            <w:tcBorders>
              <w:top w:val="nil"/>
              <w:left w:val="nil"/>
              <w:bottom w:val="single" w:sz="4" w:space="0" w:color="auto"/>
              <w:right w:val="single" w:sz="4" w:space="0" w:color="auto"/>
            </w:tcBorders>
            <w:shd w:val="clear" w:color="auto" w:fill="auto"/>
            <w:noWrap/>
            <w:vAlign w:val="center"/>
            <w:hideMark/>
          </w:tcPr>
          <w:p w14:paraId="15F0809E" w14:textId="77777777" w:rsidR="00B32336" w:rsidRPr="00B32336" w:rsidRDefault="00B32336" w:rsidP="00D8194D">
            <w:pPr>
              <w:keepNext/>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7</w:t>
            </w:r>
          </w:p>
        </w:tc>
      </w:tr>
      <w:tr w:rsidR="00B32336" w:rsidRPr="00B32336" w14:paraId="5EC35F2A"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5EB63B2"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Travel</w:t>
            </w:r>
          </w:p>
        </w:tc>
        <w:tc>
          <w:tcPr>
            <w:tcW w:w="1303" w:type="dxa"/>
            <w:tcBorders>
              <w:top w:val="nil"/>
              <w:left w:val="nil"/>
              <w:bottom w:val="single" w:sz="4" w:space="0" w:color="auto"/>
              <w:right w:val="single" w:sz="4" w:space="0" w:color="auto"/>
            </w:tcBorders>
            <w:shd w:val="clear" w:color="auto" w:fill="auto"/>
            <w:noWrap/>
            <w:vAlign w:val="center"/>
            <w:hideMark/>
          </w:tcPr>
          <w:p w14:paraId="525C6B4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c>
          <w:tcPr>
            <w:tcW w:w="1258" w:type="dxa"/>
            <w:tcBorders>
              <w:top w:val="nil"/>
              <w:left w:val="nil"/>
              <w:bottom w:val="single" w:sz="4" w:space="0" w:color="auto"/>
              <w:right w:val="single" w:sz="4" w:space="0" w:color="auto"/>
            </w:tcBorders>
            <w:shd w:val="clear" w:color="auto" w:fill="auto"/>
            <w:noWrap/>
            <w:vAlign w:val="center"/>
            <w:hideMark/>
          </w:tcPr>
          <w:p w14:paraId="3E8D0EF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4483D0B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0FEB55D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52493D5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r>
      <w:tr w:rsidR="00B32336" w:rsidRPr="00B32336" w14:paraId="7F611BEF"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826B450"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Travel STRP Chair</w:t>
            </w:r>
          </w:p>
        </w:tc>
        <w:tc>
          <w:tcPr>
            <w:tcW w:w="1303" w:type="dxa"/>
            <w:tcBorders>
              <w:top w:val="nil"/>
              <w:left w:val="nil"/>
              <w:bottom w:val="single" w:sz="4" w:space="0" w:color="auto"/>
              <w:right w:val="single" w:sz="4" w:space="0" w:color="auto"/>
            </w:tcBorders>
            <w:shd w:val="clear" w:color="auto" w:fill="auto"/>
            <w:noWrap/>
            <w:vAlign w:val="center"/>
            <w:hideMark/>
          </w:tcPr>
          <w:p w14:paraId="4FE023A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258" w:type="dxa"/>
            <w:tcBorders>
              <w:top w:val="nil"/>
              <w:left w:val="nil"/>
              <w:bottom w:val="single" w:sz="4" w:space="0" w:color="auto"/>
              <w:right w:val="single" w:sz="4" w:space="0" w:color="auto"/>
            </w:tcBorders>
            <w:shd w:val="clear" w:color="auto" w:fill="auto"/>
            <w:noWrap/>
            <w:vAlign w:val="center"/>
            <w:hideMark/>
          </w:tcPr>
          <w:p w14:paraId="64C569A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4741D2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758EBB4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w:t>
            </w:r>
          </w:p>
        </w:tc>
        <w:tc>
          <w:tcPr>
            <w:tcW w:w="1328" w:type="dxa"/>
            <w:tcBorders>
              <w:top w:val="nil"/>
              <w:left w:val="nil"/>
              <w:bottom w:val="single" w:sz="4" w:space="0" w:color="auto"/>
              <w:right w:val="single" w:sz="4" w:space="0" w:color="auto"/>
            </w:tcBorders>
            <w:shd w:val="clear" w:color="auto" w:fill="auto"/>
            <w:noWrap/>
            <w:vAlign w:val="center"/>
            <w:hideMark/>
          </w:tcPr>
          <w:p w14:paraId="7FB289E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7</w:t>
            </w:r>
          </w:p>
        </w:tc>
      </w:tr>
      <w:tr w:rsidR="00B32336" w:rsidRPr="00B32336" w14:paraId="1853451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B79A8DE"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STRP implementation</w:t>
            </w:r>
          </w:p>
        </w:tc>
        <w:tc>
          <w:tcPr>
            <w:tcW w:w="1303" w:type="dxa"/>
            <w:tcBorders>
              <w:top w:val="nil"/>
              <w:left w:val="nil"/>
              <w:bottom w:val="single" w:sz="4" w:space="0" w:color="auto"/>
              <w:right w:val="single" w:sz="4" w:space="0" w:color="auto"/>
            </w:tcBorders>
            <w:shd w:val="clear" w:color="auto" w:fill="auto"/>
            <w:noWrap/>
            <w:vAlign w:val="center"/>
            <w:hideMark/>
          </w:tcPr>
          <w:p w14:paraId="15502F0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35</w:t>
            </w:r>
          </w:p>
        </w:tc>
        <w:tc>
          <w:tcPr>
            <w:tcW w:w="1258" w:type="dxa"/>
            <w:tcBorders>
              <w:top w:val="nil"/>
              <w:left w:val="nil"/>
              <w:bottom w:val="single" w:sz="4" w:space="0" w:color="auto"/>
              <w:right w:val="single" w:sz="4" w:space="0" w:color="auto"/>
            </w:tcBorders>
            <w:shd w:val="clear" w:color="auto" w:fill="auto"/>
            <w:noWrap/>
            <w:vAlign w:val="center"/>
            <w:hideMark/>
          </w:tcPr>
          <w:p w14:paraId="40290C5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286" w:type="dxa"/>
            <w:tcBorders>
              <w:top w:val="nil"/>
              <w:left w:val="nil"/>
              <w:bottom w:val="single" w:sz="4" w:space="0" w:color="auto"/>
              <w:right w:val="single" w:sz="4" w:space="0" w:color="auto"/>
            </w:tcBorders>
            <w:shd w:val="clear" w:color="auto" w:fill="auto"/>
            <w:noWrap/>
            <w:vAlign w:val="center"/>
            <w:hideMark/>
          </w:tcPr>
          <w:p w14:paraId="01CB358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BD25B2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31</w:t>
            </w:r>
          </w:p>
        </w:tc>
        <w:tc>
          <w:tcPr>
            <w:tcW w:w="1328" w:type="dxa"/>
            <w:tcBorders>
              <w:top w:val="nil"/>
              <w:left w:val="nil"/>
              <w:bottom w:val="single" w:sz="4" w:space="0" w:color="auto"/>
              <w:right w:val="single" w:sz="4" w:space="0" w:color="auto"/>
            </w:tcBorders>
            <w:shd w:val="clear" w:color="auto" w:fill="auto"/>
            <w:noWrap/>
            <w:vAlign w:val="center"/>
            <w:hideMark/>
          </w:tcPr>
          <w:p w14:paraId="7FFFEDD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71</w:t>
            </w:r>
          </w:p>
        </w:tc>
      </w:tr>
      <w:tr w:rsidR="00B32336" w:rsidRPr="00B32336" w14:paraId="7853A133"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646F"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STRP meetings</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4452C633"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368A5E2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7549FC6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3264717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16</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526142F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66</w:t>
            </w:r>
          </w:p>
        </w:tc>
      </w:tr>
      <w:tr w:rsidR="00B32336" w:rsidRPr="00B32336" w14:paraId="426EE55C"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11B2"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 xml:space="preserve">Strategic </w:t>
            </w:r>
            <w:r w:rsidRPr="000308D5">
              <w:rPr>
                <w:rFonts w:eastAsia="Times New Roman" w:cs="Calibri"/>
                <w:color w:val="000000"/>
                <w:sz w:val="20"/>
                <w:szCs w:val="20"/>
                <w:lang w:eastAsia="en-GB"/>
              </w:rPr>
              <w:t>Plan</w:t>
            </w:r>
            <w:r w:rsidRPr="00B32336">
              <w:rPr>
                <w:rFonts w:eastAsia="Times New Roman" w:cs="Calibri"/>
                <w:color w:val="000000"/>
                <w:sz w:val="20"/>
                <w:szCs w:val="20"/>
                <w:lang w:eastAsia="en-GB"/>
              </w:rPr>
              <w:t xml:space="preserve"> (2019 - 2021)</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561FB05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8BD72F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36F05AC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29</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3DD65C9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3AB6C8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29</w:t>
            </w:r>
          </w:p>
        </w:tc>
      </w:tr>
      <w:tr w:rsidR="00B32336" w:rsidRPr="00B32336" w14:paraId="09293D4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3361D95B"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SDG 6.61 (Inventories)</w:t>
            </w:r>
          </w:p>
        </w:tc>
        <w:tc>
          <w:tcPr>
            <w:tcW w:w="1303" w:type="dxa"/>
            <w:tcBorders>
              <w:top w:val="nil"/>
              <w:left w:val="nil"/>
              <w:bottom w:val="single" w:sz="4" w:space="0" w:color="auto"/>
              <w:right w:val="single" w:sz="4" w:space="0" w:color="auto"/>
            </w:tcBorders>
            <w:shd w:val="clear" w:color="auto" w:fill="auto"/>
            <w:noWrap/>
            <w:vAlign w:val="center"/>
            <w:hideMark/>
          </w:tcPr>
          <w:p w14:paraId="4BDC573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5F0ACD0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3C6906B3"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91</w:t>
            </w:r>
          </w:p>
        </w:tc>
        <w:tc>
          <w:tcPr>
            <w:tcW w:w="1367" w:type="dxa"/>
            <w:tcBorders>
              <w:top w:val="nil"/>
              <w:left w:val="nil"/>
              <w:bottom w:val="single" w:sz="4" w:space="0" w:color="auto"/>
              <w:right w:val="single" w:sz="4" w:space="0" w:color="auto"/>
            </w:tcBorders>
            <w:shd w:val="clear" w:color="auto" w:fill="auto"/>
            <w:noWrap/>
            <w:vAlign w:val="center"/>
            <w:hideMark/>
          </w:tcPr>
          <w:p w14:paraId="2432C37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4A8270A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91</w:t>
            </w:r>
          </w:p>
        </w:tc>
      </w:tr>
      <w:tr w:rsidR="00B32336" w:rsidRPr="00B32336" w14:paraId="550FCEBF"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32AD" w14:textId="320C94CB" w:rsidR="00B32336" w:rsidRPr="00B32336" w:rsidRDefault="00B32336" w:rsidP="0068105F">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Ramsar Sites Information Service (maint</w:t>
            </w:r>
            <w:r w:rsidR="0068105F">
              <w:rPr>
                <w:rFonts w:eastAsia="Times New Roman" w:cs="Calibri"/>
                <w:color w:val="000000"/>
                <w:sz w:val="20"/>
                <w:szCs w:val="20"/>
                <w:lang w:eastAsia="en-GB"/>
              </w:rPr>
              <w:t>e</w:t>
            </w:r>
            <w:r w:rsidRPr="00B32336">
              <w:rPr>
                <w:rFonts w:eastAsia="Times New Roman" w:cs="Calibri"/>
                <w:color w:val="000000"/>
                <w:sz w:val="20"/>
                <w:szCs w:val="20"/>
                <w:lang w:eastAsia="en-GB"/>
              </w:rPr>
              <w:t>nance and develop)</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14:paraId="2AA1D4D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91</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1D6E11B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single" w:sz="4" w:space="0" w:color="auto"/>
              <w:left w:val="nil"/>
              <w:bottom w:val="single" w:sz="4" w:space="0" w:color="auto"/>
              <w:right w:val="single" w:sz="4" w:space="0" w:color="auto"/>
            </w:tcBorders>
            <w:shd w:val="clear" w:color="auto" w:fill="auto"/>
            <w:noWrap/>
            <w:vAlign w:val="center"/>
            <w:hideMark/>
          </w:tcPr>
          <w:p w14:paraId="22AA97B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058BE39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62</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14:paraId="62A7A91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153</w:t>
            </w:r>
          </w:p>
        </w:tc>
      </w:tr>
      <w:tr w:rsidR="00B32336" w:rsidRPr="00B32336" w14:paraId="3EBB3A3C" w14:textId="77777777" w:rsidTr="00D8194D">
        <w:trPr>
          <w:cantSplit/>
        </w:trPr>
        <w:tc>
          <w:tcPr>
            <w:tcW w:w="326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A7B4FF9"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G.  Administration/RSIS/Web</w:t>
            </w:r>
          </w:p>
        </w:tc>
        <w:tc>
          <w:tcPr>
            <w:tcW w:w="1303" w:type="dxa"/>
            <w:tcBorders>
              <w:top w:val="single" w:sz="4" w:space="0" w:color="auto"/>
              <w:left w:val="nil"/>
              <w:bottom w:val="single" w:sz="4" w:space="0" w:color="auto"/>
              <w:right w:val="single" w:sz="4" w:space="0" w:color="auto"/>
            </w:tcBorders>
            <w:shd w:val="clear" w:color="000000" w:fill="EAF1DD"/>
            <w:noWrap/>
            <w:vAlign w:val="center"/>
            <w:hideMark/>
          </w:tcPr>
          <w:p w14:paraId="47B7F473"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436</w:t>
            </w:r>
          </w:p>
        </w:tc>
        <w:tc>
          <w:tcPr>
            <w:tcW w:w="1258" w:type="dxa"/>
            <w:tcBorders>
              <w:top w:val="single" w:sz="4" w:space="0" w:color="auto"/>
              <w:left w:val="nil"/>
              <w:bottom w:val="single" w:sz="4" w:space="0" w:color="auto"/>
              <w:right w:val="single" w:sz="4" w:space="0" w:color="auto"/>
            </w:tcBorders>
            <w:shd w:val="clear" w:color="000000" w:fill="EAF1DD"/>
            <w:noWrap/>
            <w:vAlign w:val="center"/>
            <w:hideMark/>
          </w:tcPr>
          <w:p w14:paraId="7729B651"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11</w:t>
            </w:r>
          </w:p>
        </w:tc>
        <w:tc>
          <w:tcPr>
            <w:tcW w:w="1286" w:type="dxa"/>
            <w:tcBorders>
              <w:top w:val="single" w:sz="4" w:space="0" w:color="auto"/>
              <w:left w:val="nil"/>
              <w:bottom w:val="single" w:sz="4" w:space="0" w:color="auto"/>
              <w:right w:val="single" w:sz="4" w:space="0" w:color="auto"/>
            </w:tcBorders>
            <w:shd w:val="clear" w:color="000000" w:fill="EAF1DD"/>
            <w:noWrap/>
            <w:vAlign w:val="center"/>
            <w:hideMark/>
          </w:tcPr>
          <w:p w14:paraId="164439C3"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83</w:t>
            </w:r>
          </w:p>
        </w:tc>
        <w:tc>
          <w:tcPr>
            <w:tcW w:w="1367" w:type="dxa"/>
            <w:tcBorders>
              <w:top w:val="single" w:sz="4" w:space="0" w:color="auto"/>
              <w:left w:val="nil"/>
              <w:bottom w:val="single" w:sz="4" w:space="0" w:color="auto"/>
              <w:right w:val="single" w:sz="4" w:space="0" w:color="auto"/>
            </w:tcBorders>
            <w:shd w:val="clear" w:color="000000" w:fill="EAF1DD"/>
            <w:noWrap/>
            <w:vAlign w:val="center"/>
            <w:hideMark/>
          </w:tcPr>
          <w:p w14:paraId="5268BCE3"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151</w:t>
            </w:r>
          </w:p>
        </w:tc>
        <w:tc>
          <w:tcPr>
            <w:tcW w:w="1328" w:type="dxa"/>
            <w:tcBorders>
              <w:top w:val="single" w:sz="4" w:space="0" w:color="auto"/>
              <w:left w:val="nil"/>
              <w:bottom w:val="single" w:sz="4" w:space="0" w:color="auto"/>
              <w:right w:val="single" w:sz="4" w:space="0" w:color="auto"/>
            </w:tcBorders>
            <w:shd w:val="clear" w:color="000000" w:fill="EAF1DD"/>
            <w:noWrap/>
            <w:vAlign w:val="center"/>
            <w:hideMark/>
          </w:tcPr>
          <w:p w14:paraId="17234282"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682</w:t>
            </w:r>
          </w:p>
        </w:tc>
      </w:tr>
      <w:tr w:rsidR="00B32336" w:rsidRPr="00B32336" w14:paraId="11C6C0A9"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2FB5F4CD"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Salaries and social costs</w:t>
            </w:r>
          </w:p>
        </w:tc>
        <w:tc>
          <w:tcPr>
            <w:tcW w:w="1303" w:type="dxa"/>
            <w:tcBorders>
              <w:top w:val="nil"/>
              <w:left w:val="nil"/>
              <w:bottom w:val="single" w:sz="4" w:space="0" w:color="auto"/>
              <w:right w:val="single" w:sz="4" w:space="0" w:color="auto"/>
            </w:tcBorders>
            <w:shd w:val="clear" w:color="auto" w:fill="auto"/>
            <w:noWrap/>
            <w:vAlign w:val="center"/>
            <w:hideMark/>
          </w:tcPr>
          <w:p w14:paraId="727D309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315</w:t>
            </w:r>
          </w:p>
        </w:tc>
        <w:tc>
          <w:tcPr>
            <w:tcW w:w="1258" w:type="dxa"/>
            <w:tcBorders>
              <w:top w:val="nil"/>
              <w:left w:val="nil"/>
              <w:bottom w:val="single" w:sz="4" w:space="0" w:color="auto"/>
              <w:right w:val="single" w:sz="4" w:space="0" w:color="auto"/>
            </w:tcBorders>
            <w:shd w:val="clear" w:color="auto" w:fill="auto"/>
            <w:noWrap/>
            <w:vAlign w:val="center"/>
            <w:hideMark/>
          </w:tcPr>
          <w:p w14:paraId="47BEF69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405D22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E5BBB7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106</w:t>
            </w:r>
          </w:p>
        </w:tc>
        <w:tc>
          <w:tcPr>
            <w:tcW w:w="1328" w:type="dxa"/>
            <w:tcBorders>
              <w:top w:val="nil"/>
              <w:left w:val="nil"/>
              <w:bottom w:val="single" w:sz="4" w:space="0" w:color="auto"/>
              <w:right w:val="single" w:sz="4" w:space="0" w:color="auto"/>
            </w:tcBorders>
            <w:shd w:val="clear" w:color="auto" w:fill="auto"/>
            <w:noWrap/>
            <w:vAlign w:val="center"/>
            <w:hideMark/>
          </w:tcPr>
          <w:p w14:paraId="5034B9B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421</w:t>
            </w:r>
          </w:p>
        </w:tc>
      </w:tr>
      <w:tr w:rsidR="00B32336" w:rsidRPr="00B32336" w14:paraId="2710895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0D9D8EE"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Other employment benefits</w:t>
            </w:r>
          </w:p>
        </w:tc>
        <w:tc>
          <w:tcPr>
            <w:tcW w:w="1303" w:type="dxa"/>
            <w:tcBorders>
              <w:top w:val="nil"/>
              <w:left w:val="nil"/>
              <w:bottom w:val="single" w:sz="4" w:space="0" w:color="auto"/>
              <w:right w:val="single" w:sz="4" w:space="0" w:color="auto"/>
            </w:tcBorders>
            <w:shd w:val="clear" w:color="auto" w:fill="auto"/>
            <w:noWrap/>
            <w:vAlign w:val="center"/>
            <w:hideMark/>
          </w:tcPr>
          <w:p w14:paraId="1063EB8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w:t>
            </w:r>
          </w:p>
        </w:tc>
        <w:tc>
          <w:tcPr>
            <w:tcW w:w="1258" w:type="dxa"/>
            <w:tcBorders>
              <w:top w:val="nil"/>
              <w:left w:val="nil"/>
              <w:bottom w:val="single" w:sz="4" w:space="0" w:color="auto"/>
              <w:right w:val="single" w:sz="4" w:space="0" w:color="auto"/>
            </w:tcBorders>
            <w:shd w:val="clear" w:color="auto" w:fill="auto"/>
            <w:noWrap/>
            <w:vAlign w:val="center"/>
            <w:hideMark/>
          </w:tcPr>
          <w:p w14:paraId="644F049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4670D6D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71EE23A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57DBD1E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w:t>
            </w:r>
          </w:p>
        </w:tc>
      </w:tr>
      <w:tr w:rsidR="00B32336" w:rsidRPr="00B32336" w14:paraId="2641F1CC"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070F90A"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Staff hiring and departure costs</w:t>
            </w:r>
          </w:p>
        </w:tc>
        <w:tc>
          <w:tcPr>
            <w:tcW w:w="1303" w:type="dxa"/>
            <w:tcBorders>
              <w:top w:val="nil"/>
              <w:left w:val="nil"/>
              <w:bottom w:val="single" w:sz="4" w:space="0" w:color="auto"/>
              <w:right w:val="single" w:sz="4" w:space="0" w:color="auto"/>
            </w:tcBorders>
            <w:shd w:val="clear" w:color="auto" w:fill="auto"/>
            <w:noWrap/>
            <w:vAlign w:val="center"/>
            <w:hideMark/>
          </w:tcPr>
          <w:p w14:paraId="490EBDD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25</w:t>
            </w:r>
          </w:p>
        </w:tc>
        <w:tc>
          <w:tcPr>
            <w:tcW w:w="1258" w:type="dxa"/>
            <w:tcBorders>
              <w:top w:val="nil"/>
              <w:left w:val="nil"/>
              <w:bottom w:val="single" w:sz="4" w:space="0" w:color="auto"/>
              <w:right w:val="single" w:sz="4" w:space="0" w:color="auto"/>
            </w:tcBorders>
            <w:shd w:val="clear" w:color="auto" w:fill="auto"/>
            <w:noWrap/>
            <w:vAlign w:val="center"/>
            <w:hideMark/>
          </w:tcPr>
          <w:p w14:paraId="5595A65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691B2B2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52533EF3"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26</w:t>
            </w:r>
          </w:p>
        </w:tc>
        <w:tc>
          <w:tcPr>
            <w:tcW w:w="1328" w:type="dxa"/>
            <w:tcBorders>
              <w:top w:val="nil"/>
              <w:left w:val="nil"/>
              <w:bottom w:val="single" w:sz="4" w:space="0" w:color="auto"/>
              <w:right w:val="single" w:sz="4" w:space="0" w:color="auto"/>
            </w:tcBorders>
            <w:shd w:val="clear" w:color="auto" w:fill="auto"/>
            <w:noWrap/>
            <w:vAlign w:val="center"/>
            <w:hideMark/>
          </w:tcPr>
          <w:p w14:paraId="5EA2CA9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51</w:t>
            </w:r>
          </w:p>
        </w:tc>
      </w:tr>
      <w:tr w:rsidR="00B32336" w:rsidRPr="00B32336" w14:paraId="48DCE45B"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4AE5DFC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Travel</w:t>
            </w:r>
          </w:p>
        </w:tc>
        <w:tc>
          <w:tcPr>
            <w:tcW w:w="1303" w:type="dxa"/>
            <w:tcBorders>
              <w:top w:val="nil"/>
              <w:left w:val="nil"/>
              <w:bottom w:val="single" w:sz="4" w:space="0" w:color="auto"/>
              <w:right w:val="single" w:sz="4" w:space="0" w:color="auto"/>
            </w:tcBorders>
            <w:shd w:val="clear" w:color="auto" w:fill="auto"/>
            <w:noWrap/>
            <w:vAlign w:val="center"/>
            <w:hideMark/>
          </w:tcPr>
          <w:p w14:paraId="6FC67F6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2D126F6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3748AC4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7A0685F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674E7B4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r>
      <w:tr w:rsidR="00B32336" w:rsidRPr="00B32336" w14:paraId="7AEA1C37"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D31576A"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Equipment/Office Supplies</w:t>
            </w:r>
          </w:p>
        </w:tc>
        <w:tc>
          <w:tcPr>
            <w:tcW w:w="1303" w:type="dxa"/>
            <w:tcBorders>
              <w:top w:val="nil"/>
              <w:left w:val="nil"/>
              <w:bottom w:val="single" w:sz="4" w:space="0" w:color="auto"/>
              <w:right w:val="single" w:sz="4" w:space="0" w:color="auto"/>
            </w:tcBorders>
            <w:shd w:val="clear" w:color="auto" w:fill="auto"/>
            <w:noWrap/>
            <w:vAlign w:val="center"/>
            <w:hideMark/>
          </w:tcPr>
          <w:p w14:paraId="48F36DF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95</w:t>
            </w:r>
          </w:p>
        </w:tc>
        <w:tc>
          <w:tcPr>
            <w:tcW w:w="1258" w:type="dxa"/>
            <w:tcBorders>
              <w:top w:val="nil"/>
              <w:left w:val="nil"/>
              <w:bottom w:val="single" w:sz="4" w:space="0" w:color="auto"/>
              <w:right w:val="single" w:sz="4" w:space="0" w:color="auto"/>
            </w:tcBorders>
            <w:shd w:val="clear" w:color="auto" w:fill="auto"/>
            <w:noWrap/>
            <w:vAlign w:val="center"/>
            <w:hideMark/>
          </w:tcPr>
          <w:p w14:paraId="3DCEDBF3"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43D8C1B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D8D159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19</w:t>
            </w:r>
          </w:p>
        </w:tc>
        <w:tc>
          <w:tcPr>
            <w:tcW w:w="1328" w:type="dxa"/>
            <w:tcBorders>
              <w:top w:val="nil"/>
              <w:left w:val="nil"/>
              <w:bottom w:val="single" w:sz="4" w:space="0" w:color="auto"/>
              <w:right w:val="single" w:sz="4" w:space="0" w:color="auto"/>
            </w:tcBorders>
            <w:shd w:val="clear" w:color="auto" w:fill="auto"/>
            <w:noWrap/>
            <w:vAlign w:val="center"/>
            <w:hideMark/>
          </w:tcPr>
          <w:p w14:paraId="58817EC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114</w:t>
            </w:r>
          </w:p>
        </w:tc>
      </w:tr>
      <w:tr w:rsidR="00B32336" w:rsidRPr="00B32336" w14:paraId="05D28DE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2496E75"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Planning and Capacity building</w:t>
            </w:r>
          </w:p>
        </w:tc>
        <w:tc>
          <w:tcPr>
            <w:tcW w:w="1303" w:type="dxa"/>
            <w:tcBorders>
              <w:top w:val="nil"/>
              <w:left w:val="nil"/>
              <w:bottom w:val="single" w:sz="4" w:space="0" w:color="auto"/>
              <w:right w:val="single" w:sz="4" w:space="0" w:color="auto"/>
            </w:tcBorders>
            <w:shd w:val="clear" w:color="auto" w:fill="auto"/>
            <w:noWrap/>
            <w:vAlign w:val="center"/>
            <w:hideMark/>
          </w:tcPr>
          <w:p w14:paraId="561F376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069C328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11</w:t>
            </w:r>
          </w:p>
        </w:tc>
        <w:tc>
          <w:tcPr>
            <w:tcW w:w="1286" w:type="dxa"/>
            <w:tcBorders>
              <w:top w:val="nil"/>
              <w:left w:val="nil"/>
              <w:bottom w:val="single" w:sz="4" w:space="0" w:color="auto"/>
              <w:right w:val="single" w:sz="4" w:space="0" w:color="auto"/>
            </w:tcBorders>
            <w:shd w:val="clear" w:color="auto" w:fill="auto"/>
            <w:noWrap/>
            <w:vAlign w:val="center"/>
            <w:hideMark/>
          </w:tcPr>
          <w:p w14:paraId="314BF91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83</w:t>
            </w:r>
          </w:p>
        </w:tc>
        <w:tc>
          <w:tcPr>
            <w:tcW w:w="1367" w:type="dxa"/>
            <w:tcBorders>
              <w:top w:val="nil"/>
              <w:left w:val="nil"/>
              <w:bottom w:val="single" w:sz="4" w:space="0" w:color="auto"/>
              <w:right w:val="single" w:sz="4" w:space="0" w:color="auto"/>
            </w:tcBorders>
            <w:shd w:val="clear" w:color="auto" w:fill="auto"/>
            <w:noWrap/>
            <w:vAlign w:val="center"/>
            <w:hideMark/>
          </w:tcPr>
          <w:p w14:paraId="4A9F546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5D75A89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94</w:t>
            </w:r>
          </w:p>
        </w:tc>
      </w:tr>
      <w:tr w:rsidR="00B32336" w:rsidRPr="00B32336" w14:paraId="71706F29"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799A2B28"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H. Standing Committee Services</w:t>
            </w:r>
          </w:p>
        </w:tc>
        <w:tc>
          <w:tcPr>
            <w:tcW w:w="1303" w:type="dxa"/>
            <w:tcBorders>
              <w:top w:val="nil"/>
              <w:left w:val="nil"/>
              <w:bottom w:val="single" w:sz="4" w:space="0" w:color="auto"/>
              <w:right w:val="single" w:sz="4" w:space="0" w:color="auto"/>
            </w:tcBorders>
            <w:shd w:val="clear" w:color="000000" w:fill="EAF1DD"/>
            <w:noWrap/>
            <w:vAlign w:val="center"/>
            <w:hideMark/>
          </w:tcPr>
          <w:p w14:paraId="2A769ABD"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150</w:t>
            </w:r>
          </w:p>
        </w:tc>
        <w:tc>
          <w:tcPr>
            <w:tcW w:w="1258" w:type="dxa"/>
            <w:tcBorders>
              <w:top w:val="nil"/>
              <w:left w:val="nil"/>
              <w:bottom w:val="single" w:sz="4" w:space="0" w:color="auto"/>
              <w:right w:val="single" w:sz="4" w:space="0" w:color="auto"/>
            </w:tcBorders>
            <w:shd w:val="clear" w:color="000000" w:fill="EAF1DD"/>
            <w:noWrap/>
            <w:vAlign w:val="center"/>
            <w:hideMark/>
          </w:tcPr>
          <w:p w14:paraId="231B0C38"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5FB085BA"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75</w:t>
            </w:r>
          </w:p>
        </w:tc>
        <w:tc>
          <w:tcPr>
            <w:tcW w:w="1367" w:type="dxa"/>
            <w:tcBorders>
              <w:top w:val="nil"/>
              <w:left w:val="nil"/>
              <w:bottom w:val="single" w:sz="4" w:space="0" w:color="auto"/>
              <w:right w:val="single" w:sz="4" w:space="0" w:color="auto"/>
            </w:tcBorders>
            <w:shd w:val="clear" w:color="000000" w:fill="EAF1DD"/>
            <w:noWrap/>
            <w:vAlign w:val="center"/>
            <w:hideMark/>
          </w:tcPr>
          <w:p w14:paraId="1207120E"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15</w:t>
            </w:r>
          </w:p>
        </w:tc>
        <w:tc>
          <w:tcPr>
            <w:tcW w:w="1328" w:type="dxa"/>
            <w:tcBorders>
              <w:top w:val="nil"/>
              <w:left w:val="nil"/>
              <w:bottom w:val="single" w:sz="4" w:space="0" w:color="auto"/>
              <w:right w:val="single" w:sz="4" w:space="0" w:color="auto"/>
            </w:tcBorders>
            <w:shd w:val="clear" w:color="000000" w:fill="EAF1DD"/>
            <w:noWrap/>
            <w:vAlign w:val="center"/>
            <w:hideMark/>
          </w:tcPr>
          <w:p w14:paraId="344C62A0"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240</w:t>
            </w:r>
          </w:p>
        </w:tc>
      </w:tr>
      <w:tr w:rsidR="00B32336" w:rsidRPr="00B32336" w14:paraId="17C50C6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1656C5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Standing Committee delegates’ support</w:t>
            </w:r>
          </w:p>
        </w:tc>
        <w:tc>
          <w:tcPr>
            <w:tcW w:w="1303" w:type="dxa"/>
            <w:tcBorders>
              <w:top w:val="nil"/>
              <w:left w:val="nil"/>
              <w:bottom w:val="single" w:sz="4" w:space="0" w:color="auto"/>
              <w:right w:val="single" w:sz="4" w:space="0" w:color="auto"/>
            </w:tcBorders>
            <w:shd w:val="clear" w:color="auto" w:fill="auto"/>
            <w:noWrap/>
            <w:vAlign w:val="center"/>
            <w:hideMark/>
          </w:tcPr>
          <w:p w14:paraId="2AF9DD3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45</w:t>
            </w:r>
          </w:p>
        </w:tc>
        <w:tc>
          <w:tcPr>
            <w:tcW w:w="1258" w:type="dxa"/>
            <w:tcBorders>
              <w:top w:val="nil"/>
              <w:left w:val="nil"/>
              <w:bottom w:val="single" w:sz="4" w:space="0" w:color="auto"/>
              <w:right w:val="single" w:sz="4" w:space="0" w:color="auto"/>
            </w:tcBorders>
            <w:shd w:val="clear" w:color="auto" w:fill="auto"/>
            <w:noWrap/>
            <w:vAlign w:val="center"/>
            <w:hideMark/>
          </w:tcPr>
          <w:p w14:paraId="4EA81C69"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2256CB8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76CB31C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w:t>
            </w:r>
          </w:p>
        </w:tc>
        <w:tc>
          <w:tcPr>
            <w:tcW w:w="1328" w:type="dxa"/>
            <w:tcBorders>
              <w:top w:val="nil"/>
              <w:left w:val="nil"/>
              <w:bottom w:val="single" w:sz="4" w:space="0" w:color="auto"/>
              <w:right w:val="single" w:sz="4" w:space="0" w:color="auto"/>
            </w:tcBorders>
            <w:shd w:val="clear" w:color="auto" w:fill="auto"/>
            <w:noWrap/>
            <w:vAlign w:val="center"/>
            <w:hideMark/>
          </w:tcPr>
          <w:p w14:paraId="6C4114B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51</w:t>
            </w:r>
          </w:p>
        </w:tc>
      </w:tr>
      <w:tr w:rsidR="00B32336" w:rsidRPr="00B32336" w14:paraId="25EEB95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D795D0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Standing Committee meetings</w:t>
            </w:r>
          </w:p>
        </w:tc>
        <w:tc>
          <w:tcPr>
            <w:tcW w:w="1303" w:type="dxa"/>
            <w:tcBorders>
              <w:top w:val="nil"/>
              <w:left w:val="nil"/>
              <w:bottom w:val="single" w:sz="4" w:space="0" w:color="auto"/>
              <w:right w:val="single" w:sz="4" w:space="0" w:color="auto"/>
            </w:tcBorders>
            <w:shd w:val="clear" w:color="auto" w:fill="auto"/>
            <w:noWrap/>
            <w:vAlign w:val="center"/>
            <w:hideMark/>
          </w:tcPr>
          <w:p w14:paraId="33F2A35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c>
          <w:tcPr>
            <w:tcW w:w="1258" w:type="dxa"/>
            <w:tcBorders>
              <w:top w:val="nil"/>
              <w:left w:val="nil"/>
              <w:bottom w:val="single" w:sz="4" w:space="0" w:color="auto"/>
              <w:right w:val="single" w:sz="4" w:space="0" w:color="auto"/>
            </w:tcBorders>
            <w:shd w:val="clear" w:color="auto" w:fill="auto"/>
            <w:noWrap/>
            <w:vAlign w:val="center"/>
            <w:hideMark/>
          </w:tcPr>
          <w:p w14:paraId="7E70493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34B6C22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2439BC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56BCD97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10</w:t>
            </w:r>
          </w:p>
        </w:tc>
      </w:tr>
      <w:tr w:rsidR="00B32336" w:rsidRPr="00B32336" w14:paraId="5FA5B70A"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5248162A"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SC translation</w:t>
            </w:r>
          </w:p>
        </w:tc>
        <w:tc>
          <w:tcPr>
            <w:tcW w:w="1303" w:type="dxa"/>
            <w:tcBorders>
              <w:top w:val="nil"/>
              <w:left w:val="nil"/>
              <w:bottom w:val="single" w:sz="4" w:space="0" w:color="auto"/>
              <w:right w:val="single" w:sz="4" w:space="0" w:color="auto"/>
            </w:tcBorders>
            <w:shd w:val="clear" w:color="auto" w:fill="auto"/>
            <w:noWrap/>
            <w:vAlign w:val="center"/>
            <w:hideMark/>
          </w:tcPr>
          <w:p w14:paraId="32873CE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60</w:t>
            </w:r>
          </w:p>
        </w:tc>
        <w:tc>
          <w:tcPr>
            <w:tcW w:w="1258" w:type="dxa"/>
            <w:tcBorders>
              <w:top w:val="nil"/>
              <w:left w:val="nil"/>
              <w:bottom w:val="single" w:sz="4" w:space="0" w:color="auto"/>
              <w:right w:val="single" w:sz="4" w:space="0" w:color="auto"/>
            </w:tcBorders>
            <w:shd w:val="clear" w:color="auto" w:fill="auto"/>
            <w:noWrap/>
            <w:vAlign w:val="center"/>
            <w:hideMark/>
          </w:tcPr>
          <w:p w14:paraId="09371B4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221DDAE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E6338D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w:t>
            </w:r>
          </w:p>
        </w:tc>
        <w:tc>
          <w:tcPr>
            <w:tcW w:w="1328" w:type="dxa"/>
            <w:tcBorders>
              <w:top w:val="nil"/>
              <w:left w:val="nil"/>
              <w:bottom w:val="single" w:sz="4" w:space="0" w:color="auto"/>
              <w:right w:val="single" w:sz="4" w:space="0" w:color="auto"/>
            </w:tcBorders>
            <w:shd w:val="clear" w:color="auto" w:fill="auto"/>
            <w:noWrap/>
            <w:vAlign w:val="center"/>
            <w:hideMark/>
          </w:tcPr>
          <w:p w14:paraId="6F886C0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65</w:t>
            </w:r>
          </w:p>
        </w:tc>
      </w:tr>
      <w:tr w:rsidR="00B32336" w:rsidRPr="00B32336" w14:paraId="4CEAD3C6"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36BDAC3"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Simultaneous interpretation at SC meetings</w:t>
            </w:r>
          </w:p>
        </w:tc>
        <w:tc>
          <w:tcPr>
            <w:tcW w:w="1303" w:type="dxa"/>
            <w:tcBorders>
              <w:top w:val="nil"/>
              <w:left w:val="nil"/>
              <w:bottom w:val="single" w:sz="4" w:space="0" w:color="auto"/>
              <w:right w:val="single" w:sz="4" w:space="0" w:color="auto"/>
            </w:tcBorders>
            <w:shd w:val="clear" w:color="auto" w:fill="auto"/>
            <w:noWrap/>
            <w:vAlign w:val="center"/>
            <w:hideMark/>
          </w:tcPr>
          <w:p w14:paraId="0BB46CC5"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35</w:t>
            </w:r>
          </w:p>
        </w:tc>
        <w:tc>
          <w:tcPr>
            <w:tcW w:w="1258" w:type="dxa"/>
            <w:tcBorders>
              <w:top w:val="nil"/>
              <w:left w:val="nil"/>
              <w:bottom w:val="single" w:sz="4" w:space="0" w:color="auto"/>
              <w:right w:val="single" w:sz="4" w:space="0" w:color="auto"/>
            </w:tcBorders>
            <w:shd w:val="clear" w:color="auto" w:fill="auto"/>
            <w:noWrap/>
            <w:vAlign w:val="center"/>
            <w:hideMark/>
          </w:tcPr>
          <w:p w14:paraId="23BD73D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3611FAB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ACCF34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w:t>
            </w:r>
          </w:p>
        </w:tc>
        <w:tc>
          <w:tcPr>
            <w:tcW w:w="1328" w:type="dxa"/>
            <w:tcBorders>
              <w:top w:val="nil"/>
              <w:left w:val="nil"/>
              <w:bottom w:val="single" w:sz="4" w:space="0" w:color="auto"/>
              <w:right w:val="single" w:sz="4" w:space="0" w:color="auto"/>
            </w:tcBorders>
            <w:shd w:val="clear" w:color="auto" w:fill="auto"/>
            <w:noWrap/>
            <w:vAlign w:val="center"/>
            <w:hideMark/>
          </w:tcPr>
          <w:p w14:paraId="539D199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39</w:t>
            </w:r>
          </w:p>
        </w:tc>
      </w:tr>
      <w:tr w:rsidR="00B32336" w:rsidRPr="00B32336" w14:paraId="5808C9DD"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7CB35AF"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Effectiveness Working Group</w:t>
            </w:r>
          </w:p>
        </w:tc>
        <w:tc>
          <w:tcPr>
            <w:tcW w:w="1303" w:type="dxa"/>
            <w:tcBorders>
              <w:top w:val="nil"/>
              <w:left w:val="nil"/>
              <w:bottom w:val="single" w:sz="4" w:space="0" w:color="auto"/>
              <w:right w:val="single" w:sz="4" w:space="0" w:color="auto"/>
            </w:tcBorders>
            <w:shd w:val="clear" w:color="auto" w:fill="auto"/>
            <w:noWrap/>
            <w:vAlign w:val="center"/>
            <w:hideMark/>
          </w:tcPr>
          <w:p w14:paraId="79D763D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571E5D8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42F74B9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55</w:t>
            </w:r>
          </w:p>
        </w:tc>
        <w:tc>
          <w:tcPr>
            <w:tcW w:w="1367" w:type="dxa"/>
            <w:tcBorders>
              <w:top w:val="nil"/>
              <w:left w:val="nil"/>
              <w:bottom w:val="single" w:sz="4" w:space="0" w:color="auto"/>
              <w:right w:val="single" w:sz="4" w:space="0" w:color="auto"/>
            </w:tcBorders>
            <w:shd w:val="clear" w:color="auto" w:fill="auto"/>
            <w:noWrap/>
            <w:vAlign w:val="center"/>
            <w:hideMark/>
          </w:tcPr>
          <w:p w14:paraId="241B3B7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43C42D40"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55</w:t>
            </w:r>
          </w:p>
        </w:tc>
      </w:tr>
      <w:tr w:rsidR="00B32336" w:rsidRPr="00B32336" w14:paraId="2259B365"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6435066A"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Resolutions review (Res. XIII.4)</w:t>
            </w:r>
          </w:p>
        </w:tc>
        <w:tc>
          <w:tcPr>
            <w:tcW w:w="1303" w:type="dxa"/>
            <w:tcBorders>
              <w:top w:val="nil"/>
              <w:left w:val="nil"/>
              <w:bottom w:val="single" w:sz="4" w:space="0" w:color="auto"/>
              <w:right w:val="single" w:sz="4" w:space="0" w:color="auto"/>
            </w:tcBorders>
            <w:shd w:val="clear" w:color="auto" w:fill="auto"/>
            <w:noWrap/>
            <w:vAlign w:val="center"/>
            <w:hideMark/>
          </w:tcPr>
          <w:p w14:paraId="6143F64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074B357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6B4E065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20</w:t>
            </w:r>
          </w:p>
        </w:tc>
        <w:tc>
          <w:tcPr>
            <w:tcW w:w="1367" w:type="dxa"/>
            <w:tcBorders>
              <w:top w:val="nil"/>
              <w:left w:val="nil"/>
              <w:bottom w:val="single" w:sz="4" w:space="0" w:color="auto"/>
              <w:right w:val="single" w:sz="4" w:space="0" w:color="auto"/>
            </w:tcBorders>
            <w:shd w:val="clear" w:color="auto" w:fill="auto"/>
            <w:noWrap/>
            <w:vAlign w:val="center"/>
            <w:hideMark/>
          </w:tcPr>
          <w:p w14:paraId="2B57279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28" w:type="dxa"/>
            <w:tcBorders>
              <w:top w:val="nil"/>
              <w:left w:val="nil"/>
              <w:bottom w:val="single" w:sz="4" w:space="0" w:color="auto"/>
              <w:right w:val="single" w:sz="4" w:space="0" w:color="auto"/>
            </w:tcBorders>
            <w:shd w:val="clear" w:color="auto" w:fill="auto"/>
            <w:noWrap/>
            <w:vAlign w:val="center"/>
            <w:hideMark/>
          </w:tcPr>
          <w:p w14:paraId="4996341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20</w:t>
            </w:r>
          </w:p>
        </w:tc>
      </w:tr>
      <w:tr w:rsidR="00B32336" w:rsidRPr="00B32336" w14:paraId="345853DD"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vAlign w:val="center"/>
            <w:hideMark/>
          </w:tcPr>
          <w:p w14:paraId="6643FD62"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J.  IUCN Administrative Service Charges (max.)</w:t>
            </w:r>
          </w:p>
        </w:tc>
        <w:tc>
          <w:tcPr>
            <w:tcW w:w="1303" w:type="dxa"/>
            <w:tcBorders>
              <w:top w:val="nil"/>
              <w:left w:val="nil"/>
              <w:bottom w:val="single" w:sz="4" w:space="0" w:color="auto"/>
              <w:right w:val="single" w:sz="4" w:space="0" w:color="auto"/>
            </w:tcBorders>
            <w:shd w:val="clear" w:color="000000" w:fill="EAF1DD"/>
            <w:noWrap/>
            <w:vAlign w:val="center"/>
            <w:hideMark/>
          </w:tcPr>
          <w:p w14:paraId="595C94AE"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560</w:t>
            </w:r>
          </w:p>
        </w:tc>
        <w:tc>
          <w:tcPr>
            <w:tcW w:w="1258" w:type="dxa"/>
            <w:tcBorders>
              <w:top w:val="nil"/>
              <w:left w:val="nil"/>
              <w:bottom w:val="single" w:sz="4" w:space="0" w:color="auto"/>
              <w:right w:val="single" w:sz="4" w:space="0" w:color="auto"/>
            </w:tcBorders>
            <w:shd w:val="clear" w:color="000000" w:fill="EAF1DD"/>
            <w:noWrap/>
            <w:vAlign w:val="center"/>
            <w:hideMark/>
          </w:tcPr>
          <w:p w14:paraId="4FC0CF9F"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32E9DCA1"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367" w:type="dxa"/>
            <w:tcBorders>
              <w:top w:val="nil"/>
              <w:left w:val="nil"/>
              <w:bottom w:val="single" w:sz="4" w:space="0" w:color="auto"/>
              <w:right w:val="single" w:sz="4" w:space="0" w:color="auto"/>
            </w:tcBorders>
            <w:shd w:val="clear" w:color="000000" w:fill="EAF1DD"/>
            <w:noWrap/>
            <w:vAlign w:val="center"/>
            <w:hideMark/>
          </w:tcPr>
          <w:p w14:paraId="50C1EC79"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36</w:t>
            </w:r>
          </w:p>
        </w:tc>
        <w:tc>
          <w:tcPr>
            <w:tcW w:w="1328" w:type="dxa"/>
            <w:tcBorders>
              <w:top w:val="nil"/>
              <w:left w:val="nil"/>
              <w:bottom w:val="single" w:sz="4" w:space="0" w:color="auto"/>
              <w:right w:val="single" w:sz="4" w:space="0" w:color="auto"/>
            </w:tcBorders>
            <w:shd w:val="clear" w:color="000000" w:fill="EAF1DD"/>
            <w:noWrap/>
            <w:vAlign w:val="center"/>
            <w:hideMark/>
          </w:tcPr>
          <w:p w14:paraId="3A99AB95"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596</w:t>
            </w:r>
          </w:p>
        </w:tc>
      </w:tr>
      <w:tr w:rsidR="00B32336" w:rsidRPr="00B32336" w14:paraId="12912AC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3B960BDE"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Administration, Human Resources, Finance &amp; IT services</w:t>
            </w:r>
          </w:p>
        </w:tc>
        <w:tc>
          <w:tcPr>
            <w:tcW w:w="1303" w:type="dxa"/>
            <w:tcBorders>
              <w:top w:val="nil"/>
              <w:left w:val="nil"/>
              <w:bottom w:val="single" w:sz="4" w:space="0" w:color="auto"/>
              <w:right w:val="single" w:sz="4" w:space="0" w:color="auto"/>
            </w:tcBorders>
            <w:shd w:val="clear" w:color="auto" w:fill="auto"/>
            <w:noWrap/>
            <w:vAlign w:val="center"/>
            <w:hideMark/>
          </w:tcPr>
          <w:p w14:paraId="0652218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560</w:t>
            </w:r>
          </w:p>
        </w:tc>
        <w:tc>
          <w:tcPr>
            <w:tcW w:w="1258" w:type="dxa"/>
            <w:tcBorders>
              <w:top w:val="nil"/>
              <w:left w:val="nil"/>
              <w:bottom w:val="single" w:sz="4" w:space="0" w:color="auto"/>
              <w:right w:val="single" w:sz="4" w:space="0" w:color="auto"/>
            </w:tcBorders>
            <w:shd w:val="clear" w:color="auto" w:fill="auto"/>
            <w:noWrap/>
            <w:vAlign w:val="center"/>
            <w:hideMark/>
          </w:tcPr>
          <w:p w14:paraId="17DD4F1A"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2030531E"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78F161FD"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36</w:t>
            </w:r>
          </w:p>
        </w:tc>
        <w:tc>
          <w:tcPr>
            <w:tcW w:w="1328" w:type="dxa"/>
            <w:tcBorders>
              <w:top w:val="nil"/>
              <w:left w:val="nil"/>
              <w:bottom w:val="single" w:sz="4" w:space="0" w:color="auto"/>
              <w:right w:val="single" w:sz="4" w:space="0" w:color="auto"/>
            </w:tcBorders>
            <w:shd w:val="clear" w:color="auto" w:fill="auto"/>
            <w:noWrap/>
            <w:vAlign w:val="center"/>
            <w:hideMark/>
          </w:tcPr>
          <w:p w14:paraId="5F491AAC"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596</w:t>
            </w:r>
          </w:p>
        </w:tc>
      </w:tr>
      <w:tr w:rsidR="00B32336" w:rsidRPr="00B32336" w14:paraId="2EF48026"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EAF1DD"/>
            <w:noWrap/>
            <w:vAlign w:val="center"/>
            <w:hideMark/>
          </w:tcPr>
          <w:p w14:paraId="6621E1A9"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K.  Miscellaneous - Reserve Fund</w:t>
            </w:r>
          </w:p>
        </w:tc>
        <w:tc>
          <w:tcPr>
            <w:tcW w:w="1303" w:type="dxa"/>
            <w:tcBorders>
              <w:top w:val="nil"/>
              <w:left w:val="nil"/>
              <w:bottom w:val="single" w:sz="4" w:space="0" w:color="auto"/>
              <w:right w:val="single" w:sz="4" w:space="0" w:color="auto"/>
            </w:tcBorders>
            <w:shd w:val="clear" w:color="000000" w:fill="EAF1DD"/>
            <w:noWrap/>
            <w:vAlign w:val="center"/>
            <w:hideMark/>
          </w:tcPr>
          <w:p w14:paraId="3CDB0F66"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109</w:t>
            </w:r>
          </w:p>
        </w:tc>
        <w:tc>
          <w:tcPr>
            <w:tcW w:w="1258" w:type="dxa"/>
            <w:tcBorders>
              <w:top w:val="nil"/>
              <w:left w:val="nil"/>
              <w:bottom w:val="single" w:sz="4" w:space="0" w:color="auto"/>
              <w:right w:val="single" w:sz="4" w:space="0" w:color="auto"/>
            </w:tcBorders>
            <w:shd w:val="clear" w:color="000000" w:fill="EAF1DD"/>
            <w:noWrap/>
            <w:vAlign w:val="center"/>
            <w:hideMark/>
          </w:tcPr>
          <w:p w14:paraId="3AEA9153"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0</w:t>
            </w:r>
          </w:p>
        </w:tc>
        <w:tc>
          <w:tcPr>
            <w:tcW w:w="1286" w:type="dxa"/>
            <w:tcBorders>
              <w:top w:val="nil"/>
              <w:left w:val="nil"/>
              <w:bottom w:val="single" w:sz="4" w:space="0" w:color="auto"/>
              <w:right w:val="single" w:sz="4" w:space="0" w:color="auto"/>
            </w:tcBorders>
            <w:shd w:val="clear" w:color="000000" w:fill="EAF1DD"/>
            <w:noWrap/>
            <w:vAlign w:val="center"/>
            <w:hideMark/>
          </w:tcPr>
          <w:p w14:paraId="53D5EBC0"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25</w:t>
            </w:r>
          </w:p>
        </w:tc>
        <w:tc>
          <w:tcPr>
            <w:tcW w:w="1367" w:type="dxa"/>
            <w:tcBorders>
              <w:top w:val="nil"/>
              <w:left w:val="nil"/>
              <w:bottom w:val="single" w:sz="4" w:space="0" w:color="auto"/>
              <w:right w:val="single" w:sz="4" w:space="0" w:color="auto"/>
            </w:tcBorders>
            <w:shd w:val="clear" w:color="000000" w:fill="EAF1DD"/>
            <w:noWrap/>
            <w:vAlign w:val="center"/>
            <w:hideMark/>
          </w:tcPr>
          <w:p w14:paraId="50C21358"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26</w:t>
            </w:r>
          </w:p>
        </w:tc>
        <w:tc>
          <w:tcPr>
            <w:tcW w:w="1328" w:type="dxa"/>
            <w:tcBorders>
              <w:top w:val="nil"/>
              <w:left w:val="nil"/>
              <w:bottom w:val="single" w:sz="4" w:space="0" w:color="auto"/>
              <w:right w:val="single" w:sz="4" w:space="0" w:color="auto"/>
            </w:tcBorders>
            <w:shd w:val="clear" w:color="000000" w:fill="EAF1DD"/>
            <w:noWrap/>
            <w:vAlign w:val="center"/>
            <w:hideMark/>
          </w:tcPr>
          <w:p w14:paraId="406CF4B4"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160</w:t>
            </w:r>
          </w:p>
        </w:tc>
      </w:tr>
      <w:tr w:rsidR="00B32336" w:rsidRPr="00B32336" w14:paraId="19956BF8"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74E4F4B6"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Provisions</w:t>
            </w:r>
          </w:p>
        </w:tc>
        <w:tc>
          <w:tcPr>
            <w:tcW w:w="1303" w:type="dxa"/>
            <w:tcBorders>
              <w:top w:val="nil"/>
              <w:left w:val="nil"/>
              <w:bottom w:val="single" w:sz="4" w:space="0" w:color="auto"/>
              <w:right w:val="single" w:sz="4" w:space="0" w:color="auto"/>
            </w:tcBorders>
            <w:shd w:val="clear" w:color="auto" w:fill="auto"/>
            <w:noWrap/>
            <w:vAlign w:val="center"/>
            <w:hideMark/>
          </w:tcPr>
          <w:p w14:paraId="0E8CF23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50</w:t>
            </w:r>
          </w:p>
        </w:tc>
        <w:tc>
          <w:tcPr>
            <w:tcW w:w="1258" w:type="dxa"/>
            <w:tcBorders>
              <w:top w:val="nil"/>
              <w:left w:val="nil"/>
              <w:bottom w:val="single" w:sz="4" w:space="0" w:color="auto"/>
              <w:right w:val="single" w:sz="4" w:space="0" w:color="auto"/>
            </w:tcBorders>
            <w:shd w:val="clear" w:color="auto" w:fill="auto"/>
            <w:noWrap/>
            <w:vAlign w:val="center"/>
            <w:hideMark/>
          </w:tcPr>
          <w:p w14:paraId="5033EFE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73867FC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09E0C47F"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6</w:t>
            </w:r>
          </w:p>
        </w:tc>
        <w:tc>
          <w:tcPr>
            <w:tcW w:w="1328" w:type="dxa"/>
            <w:tcBorders>
              <w:top w:val="nil"/>
              <w:left w:val="nil"/>
              <w:bottom w:val="single" w:sz="4" w:space="0" w:color="auto"/>
              <w:right w:val="single" w:sz="4" w:space="0" w:color="auto"/>
            </w:tcBorders>
            <w:shd w:val="clear" w:color="auto" w:fill="auto"/>
            <w:noWrap/>
            <w:vAlign w:val="center"/>
            <w:hideMark/>
          </w:tcPr>
          <w:p w14:paraId="0EDEEF77"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56</w:t>
            </w:r>
          </w:p>
        </w:tc>
      </w:tr>
      <w:tr w:rsidR="00B32336" w:rsidRPr="00B32336" w14:paraId="02473993"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145BC45D"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Exchange rate gains / losses</w:t>
            </w:r>
          </w:p>
        </w:tc>
        <w:tc>
          <w:tcPr>
            <w:tcW w:w="1303" w:type="dxa"/>
            <w:tcBorders>
              <w:top w:val="nil"/>
              <w:left w:val="nil"/>
              <w:bottom w:val="single" w:sz="4" w:space="0" w:color="auto"/>
              <w:right w:val="single" w:sz="4" w:space="0" w:color="auto"/>
            </w:tcBorders>
            <w:shd w:val="clear" w:color="auto" w:fill="auto"/>
            <w:noWrap/>
            <w:vAlign w:val="center"/>
            <w:hideMark/>
          </w:tcPr>
          <w:p w14:paraId="1F88F143"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58" w:type="dxa"/>
            <w:tcBorders>
              <w:top w:val="nil"/>
              <w:left w:val="nil"/>
              <w:bottom w:val="single" w:sz="4" w:space="0" w:color="auto"/>
              <w:right w:val="single" w:sz="4" w:space="0" w:color="auto"/>
            </w:tcBorders>
            <w:shd w:val="clear" w:color="auto" w:fill="auto"/>
            <w:noWrap/>
            <w:vAlign w:val="center"/>
            <w:hideMark/>
          </w:tcPr>
          <w:p w14:paraId="639C6A22"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2A08F8B"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0</w:t>
            </w:r>
          </w:p>
        </w:tc>
        <w:tc>
          <w:tcPr>
            <w:tcW w:w="1367" w:type="dxa"/>
            <w:tcBorders>
              <w:top w:val="nil"/>
              <w:left w:val="nil"/>
              <w:bottom w:val="single" w:sz="4" w:space="0" w:color="auto"/>
              <w:right w:val="single" w:sz="4" w:space="0" w:color="auto"/>
            </w:tcBorders>
            <w:shd w:val="clear" w:color="auto" w:fill="auto"/>
            <w:noWrap/>
            <w:vAlign w:val="center"/>
            <w:hideMark/>
          </w:tcPr>
          <w:p w14:paraId="64AF7E44"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(29)</w:t>
            </w:r>
          </w:p>
        </w:tc>
        <w:tc>
          <w:tcPr>
            <w:tcW w:w="1328" w:type="dxa"/>
            <w:tcBorders>
              <w:top w:val="nil"/>
              <w:left w:val="nil"/>
              <w:bottom w:val="single" w:sz="4" w:space="0" w:color="auto"/>
              <w:right w:val="single" w:sz="4" w:space="0" w:color="auto"/>
            </w:tcBorders>
            <w:shd w:val="clear" w:color="auto" w:fill="auto"/>
            <w:noWrap/>
            <w:vAlign w:val="center"/>
            <w:hideMark/>
          </w:tcPr>
          <w:p w14:paraId="3B8BEE71"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(29)</w:t>
            </w:r>
          </w:p>
        </w:tc>
      </w:tr>
      <w:tr w:rsidR="00B32336" w:rsidRPr="00B32336" w14:paraId="36D454C1" w14:textId="77777777" w:rsidTr="00D8194D">
        <w:trPr>
          <w:cantSplit/>
        </w:trPr>
        <w:tc>
          <w:tcPr>
            <w:tcW w:w="3265" w:type="dxa"/>
            <w:tcBorders>
              <w:top w:val="nil"/>
              <w:left w:val="single" w:sz="4" w:space="0" w:color="auto"/>
              <w:bottom w:val="single" w:sz="4" w:space="0" w:color="auto"/>
              <w:right w:val="single" w:sz="4" w:space="0" w:color="auto"/>
            </w:tcBorders>
            <w:shd w:val="clear" w:color="auto" w:fill="auto"/>
            <w:noWrap/>
            <w:vAlign w:val="center"/>
            <w:hideMark/>
          </w:tcPr>
          <w:p w14:paraId="01786BB0" w14:textId="77777777" w:rsidR="00B32336" w:rsidRPr="00B32336" w:rsidRDefault="00B32336" w:rsidP="00B32336">
            <w:pPr>
              <w:ind w:left="0" w:firstLine="0"/>
              <w:rPr>
                <w:rFonts w:eastAsia="Times New Roman" w:cs="Calibri"/>
                <w:color w:val="000000"/>
                <w:sz w:val="20"/>
                <w:szCs w:val="20"/>
                <w:lang w:eastAsia="en-GB"/>
              </w:rPr>
            </w:pPr>
            <w:r w:rsidRPr="00B32336">
              <w:rPr>
                <w:rFonts w:eastAsia="Times New Roman" w:cs="Calibri"/>
                <w:color w:val="000000"/>
                <w:sz w:val="20"/>
                <w:szCs w:val="20"/>
                <w:lang w:eastAsia="en-GB"/>
              </w:rPr>
              <w:t>Legal Services</w:t>
            </w:r>
          </w:p>
        </w:tc>
        <w:tc>
          <w:tcPr>
            <w:tcW w:w="1303" w:type="dxa"/>
            <w:tcBorders>
              <w:top w:val="nil"/>
              <w:left w:val="nil"/>
              <w:bottom w:val="single" w:sz="4" w:space="0" w:color="auto"/>
              <w:right w:val="single" w:sz="4" w:space="0" w:color="auto"/>
            </w:tcBorders>
            <w:shd w:val="clear" w:color="auto" w:fill="auto"/>
            <w:noWrap/>
            <w:vAlign w:val="center"/>
            <w:hideMark/>
          </w:tcPr>
          <w:p w14:paraId="03C7E3A9" w14:textId="77777777" w:rsidR="00B32336" w:rsidRPr="00B32336" w:rsidRDefault="00B32336" w:rsidP="00B32336">
            <w:pPr>
              <w:ind w:left="0" w:firstLine="0"/>
              <w:jc w:val="right"/>
              <w:rPr>
                <w:rFonts w:eastAsia="Times New Roman" w:cs="Calibri"/>
                <w:sz w:val="20"/>
                <w:szCs w:val="20"/>
                <w:lang w:eastAsia="en-GB"/>
              </w:rPr>
            </w:pPr>
            <w:r w:rsidRPr="00B32336">
              <w:rPr>
                <w:rFonts w:eastAsia="Times New Roman" w:cs="Calibri"/>
                <w:sz w:val="20"/>
                <w:szCs w:val="20"/>
                <w:lang w:eastAsia="en-GB"/>
              </w:rPr>
              <w:t>59</w:t>
            </w:r>
          </w:p>
        </w:tc>
        <w:tc>
          <w:tcPr>
            <w:tcW w:w="1258" w:type="dxa"/>
            <w:tcBorders>
              <w:top w:val="nil"/>
              <w:left w:val="nil"/>
              <w:bottom w:val="single" w:sz="4" w:space="0" w:color="auto"/>
              <w:right w:val="single" w:sz="4" w:space="0" w:color="auto"/>
            </w:tcBorders>
            <w:shd w:val="clear" w:color="auto" w:fill="auto"/>
            <w:noWrap/>
            <w:vAlign w:val="center"/>
            <w:hideMark/>
          </w:tcPr>
          <w:p w14:paraId="26756EA8" w14:textId="77777777" w:rsidR="00B32336" w:rsidRPr="00B32336" w:rsidRDefault="00B32336" w:rsidP="00B32336">
            <w:pPr>
              <w:ind w:left="0" w:firstLine="0"/>
              <w:jc w:val="right"/>
              <w:rPr>
                <w:rFonts w:eastAsia="Times New Roman" w:cs="Calibri"/>
                <w:sz w:val="20"/>
                <w:szCs w:val="20"/>
                <w:lang w:eastAsia="en-GB"/>
              </w:rPr>
            </w:pPr>
            <w:r w:rsidRPr="00B32336">
              <w:rPr>
                <w:rFonts w:eastAsia="Times New Roman" w:cs="Calibri"/>
                <w:sz w:val="20"/>
                <w:szCs w:val="20"/>
                <w:lang w:eastAsia="en-GB"/>
              </w:rPr>
              <w:t>0</w:t>
            </w:r>
          </w:p>
        </w:tc>
        <w:tc>
          <w:tcPr>
            <w:tcW w:w="1286" w:type="dxa"/>
            <w:tcBorders>
              <w:top w:val="nil"/>
              <w:left w:val="nil"/>
              <w:bottom w:val="single" w:sz="4" w:space="0" w:color="auto"/>
              <w:right w:val="single" w:sz="4" w:space="0" w:color="auto"/>
            </w:tcBorders>
            <w:shd w:val="clear" w:color="auto" w:fill="auto"/>
            <w:noWrap/>
            <w:vAlign w:val="center"/>
            <w:hideMark/>
          </w:tcPr>
          <w:p w14:paraId="0222E674" w14:textId="77777777" w:rsidR="00B32336" w:rsidRPr="00B32336" w:rsidRDefault="00B32336" w:rsidP="00B32336">
            <w:pPr>
              <w:ind w:left="0" w:firstLine="0"/>
              <w:jc w:val="right"/>
              <w:rPr>
                <w:rFonts w:eastAsia="Times New Roman" w:cs="Calibri"/>
                <w:sz w:val="20"/>
                <w:szCs w:val="20"/>
                <w:lang w:eastAsia="en-GB"/>
              </w:rPr>
            </w:pPr>
            <w:r w:rsidRPr="00B32336">
              <w:rPr>
                <w:rFonts w:eastAsia="Times New Roman" w:cs="Calibri"/>
                <w:sz w:val="20"/>
                <w:szCs w:val="20"/>
                <w:lang w:eastAsia="en-GB"/>
              </w:rPr>
              <w:t>25</w:t>
            </w:r>
          </w:p>
        </w:tc>
        <w:tc>
          <w:tcPr>
            <w:tcW w:w="1367" w:type="dxa"/>
            <w:tcBorders>
              <w:top w:val="nil"/>
              <w:left w:val="nil"/>
              <w:bottom w:val="single" w:sz="4" w:space="0" w:color="auto"/>
              <w:right w:val="single" w:sz="4" w:space="0" w:color="auto"/>
            </w:tcBorders>
            <w:shd w:val="clear" w:color="auto" w:fill="auto"/>
            <w:noWrap/>
            <w:vAlign w:val="center"/>
            <w:hideMark/>
          </w:tcPr>
          <w:p w14:paraId="0FEF9768"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49</w:t>
            </w:r>
          </w:p>
        </w:tc>
        <w:tc>
          <w:tcPr>
            <w:tcW w:w="1328" w:type="dxa"/>
            <w:tcBorders>
              <w:top w:val="nil"/>
              <w:left w:val="nil"/>
              <w:bottom w:val="single" w:sz="4" w:space="0" w:color="auto"/>
              <w:right w:val="single" w:sz="4" w:space="0" w:color="auto"/>
            </w:tcBorders>
            <w:shd w:val="clear" w:color="auto" w:fill="auto"/>
            <w:noWrap/>
            <w:vAlign w:val="center"/>
            <w:hideMark/>
          </w:tcPr>
          <w:p w14:paraId="75902B26" w14:textId="77777777" w:rsidR="00B32336" w:rsidRPr="00B32336" w:rsidRDefault="00B32336" w:rsidP="00B32336">
            <w:pPr>
              <w:ind w:left="0" w:firstLine="0"/>
              <w:jc w:val="right"/>
              <w:rPr>
                <w:rFonts w:eastAsia="Times New Roman" w:cs="Calibri"/>
                <w:color w:val="000000"/>
                <w:sz w:val="20"/>
                <w:szCs w:val="20"/>
                <w:lang w:eastAsia="en-GB"/>
              </w:rPr>
            </w:pPr>
            <w:r w:rsidRPr="00B32336">
              <w:rPr>
                <w:rFonts w:eastAsia="Times New Roman" w:cs="Calibri"/>
                <w:color w:val="000000"/>
                <w:sz w:val="20"/>
                <w:szCs w:val="20"/>
                <w:lang w:eastAsia="en-GB"/>
              </w:rPr>
              <w:t>133</w:t>
            </w:r>
          </w:p>
        </w:tc>
      </w:tr>
      <w:tr w:rsidR="00B32336" w:rsidRPr="00B32336" w14:paraId="5581D6C0" w14:textId="77777777" w:rsidTr="00D8194D">
        <w:trPr>
          <w:cantSplit/>
        </w:trPr>
        <w:tc>
          <w:tcPr>
            <w:tcW w:w="3265" w:type="dxa"/>
            <w:tcBorders>
              <w:top w:val="nil"/>
              <w:left w:val="single" w:sz="4" w:space="0" w:color="auto"/>
              <w:bottom w:val="single" w:sz="4" w:space="0" w:color="auto"/>
              <w:right w:val="single" w:sz="4" w:space="0" w:color="auto"/>
            </w:tcBorders>
            <w:shd w:val="clear" w:color="000000" w:fill="D6E3BC"/>
            <w:noWrap/>
            <w:vAlign w:val="center"/>
            <w:hideMark/>
          </w:tcPr>
          <w:p w14:paraId="0AC44503" w14:textId="1D96DB83" w:rsidR="00B32336" w:rsidRPr="00B32336" w:rsidRDefault="000308D5" w:rsidP="00B32336">
            <w:pPr>
              <w:ind w:left="0" w:firstLine="0"/>
              <w:rPr>
                <w:rFonts w:eastAsia="Times New Roman" w:cs="Calibri"/>
                <w:b/>
                <w:bCs/>
                <w:color w:val="000000"/>
                <w:sz w:val="20"/>
                <w:szCs w:val="20"/>
                <w:lang w:eastAsia="en-GB"/>
              </w:rPr>
            </w:pPr>
            <w:r>
              <w:rPr>
                <w:rFonts w:eastAsia="Times New Roman" w:cs="Calibri"/>
                <w:b/>
                <w:bCs/>
                <w:color w:val="000000"/>
                <w:sz w:val="20"/>
                <w:szCs w:val="20"/>
                <w:lang w:eastAsia="en-GB"/>
              </w:rPr>
              <w:t>TOTAL EXPENDITURE</w:t>
            </w:r>
          </w:p>
        </w:tc>
        <w:tc>
          <w:tcPr>
            <w:tcW w:w="1303" w:type="dxa"/>
            <w:tcBorders>
              <w:top w:val="nil"/>
              <w:left w:val="nil"/>
              <w:bottom w:val="single" w:sz="4" w:space="0" w:color="auto"/>
              <w:right w:val="single" w:sz="4" w:space="0" w:color="auto"/>
            </w:tcBorders>
            <w:shd w:val="clear" w:color="000000" w:fill="D6E3BC"/>
            <w:noWrap/>
            <w:vAlign w:val="center"/>
            <w:hideMark/>
          </w:tcPr>
          <w:p w14:paraId="26982FDA"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5,081</w:t>
            </w:r>
          </w:p>
        </w:tc>
        <w:tc>
          <w:tcPr>
            <w:tcW w:w="1258" w:type="dxa"/>
            <w:tcBorders>
              <w:top w:val="nil"/>
              <w:left w:val="nil"/>
              <w:bottom w:val="single" w:sz="4" w:space="0" w:color="auto"/>
              <w:right w:val="single" w:sz="4" w:space="0" w:color="auto"/>
            </w:tcBorders>
            <w:shd w:val="clear" w:color="000000" w:fill="D6E3BC"/>
            <w:noWrap/>
            <w:vAlign w:val="center"/>
            <w:hideMark/>
          </w:tcPr>
          <w:p w14:paraId="377074AB"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76</w:t>
            </w:r>
          </w:p>
        </w:tc>
        <w:tc>
          <w:tcPr>
            <w:tcW w:w="1286" w:type="dxa"/>
            <w:tcBorders>
              <w:top w:val="nil"/>
              <w:left w:val="nil"/>
              <w:bottom w:val="single" w:sz="4" w:space="0" w:color="auto"/>
              <w:right w:val="single" w:sz="4" w:space="0" w:color="auto"/>
            </w:tcBorders>
            <w:shd w:val="clear" w:color="000000" w:fill="D6E3BC"/>
            <w:noWrap/>
            <w:vAlign w:val="center"/>
            <w:hideMark/>
          </w:tcPr>
          <w:p w14:paraId="70389FFB"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588</w:t>
            </w:r>
          </w:p>
        </w:tc>
        <w:tc>
          <w:tcPr>
            <w:tcW w:w="1367" w:type="dxa"/>
            <w:tcBorders>
              <w:top w:val="nil"/>
              <w:left w:val="nil"/>
              <w:bottom w:val="single" w:sz="4" w:space="0" w:color="auto"/>
              <w:right w:val="single" w:sz="4" w:space="0" w:color="auto"/>
            </w:tcBorders>
            <w:shd w:val="clear" w:color="000000" w:fill="D6E3BC"/>
            <w:noWrap/>
            <w:vAlign w:val="center"/>
            <w:hideMark/>
          </w:tcPr>
          <w:p w14:paraId="475E548C"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919</w:t>
            </w:r>
          </w:p>
        </w:tc>
        <w:tc>
          <w:tcPr>
            <w:tcW w:w="1328" w:type="dxa"/>
            <w:tcBorders>
              <w:top w:val="nil"/>
              <w:left w:val="nil"/>
              <w:bottom w:val="single" w:sz="4" w:space="0" w:color="auto"/>
              <w:right w:val="single" w:sz="4" w:space="0" w:color="auto"/>
            </w:tcBorders>
            <w:shd w:val="clear" w:color="000000" w:fill="D6E3BC"/>
            <w:noWrap/>
            <w:vAlign w:val="center"/>
            <w:hideMark/>
          </w:tcPr>
          <w:p w14:paraId="08DE5C26" w14:textId="77777777" w:rsidR="00B32336" w:rsidRPr="00B32336" w:rsidRDefault="00B32336" w:rsidP="00B32336">
            <w:pPr>
              <w:ind w:left="0" w:firstLine="0"/>
              <w:jc w:val="right"/>
              <w:rPr>
                <w:rFonts w:eastAsia="Times New Roman" w:cs="Calibri"/>
                <w:b/>
                <w:bCs/>
                <w:color w:val="000000"/>
                <w:sz w:val="20"/>
                <w:szCs w:val="20"/>
                <w:lang w:eastAsia="en-GB"/>
              </w:rPr>
            </w:pPr>
            <w:r w:rsidRPr="00B32336">
              <w:rPr>
                <w:rFonts w:eastAsia="Times New Roman" w:cs="Calibri"/>
                <w:b/>
                <w:bCs/>
                <w:color w:val="000000"/>
                <w:sz w:val="20"/>
                <w:szCs w:val="20"/>
                <w:lang w:eastAsia="en-GB"/>
              </w:rPr>
              <w:t>6,664</w:t>
            </w:r>
          </w:p>
        </w:tc>
      </w:tr>
    </w:tbl>
    <w:p w14:paraId="0B72953E" w14:textId="77777777" w:rsidR="00B32336" w:rsidRPr="003956B3" w:rsidRDefault="00B32336" w:rsidP="0012722A">
      <w:pPr>
        <w:ind w:left="0" w:right="-154" w:firstLine="0"/>
        <w:rPr>
          <w:sz w:val="20"/>
          <w:szCs w:val="20"/>
        </w:rPr>
      </w:pPr>
    </w:p>
    <w:sectPr w:rsidR="00B32336" w:rsidRPr="003956B3" w:rsidSect="001B3288">
      <w:footerReference w:type="default" r:id="rId8"/>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AC1AF" w16cid:durableId="20AD4D2C"/>
  <w16cid:commentId w16cid:paraId="0BA8B006" w16cid:durableId="20AD4D2D"/>
  <w16cid:commentId w16cid:paraId="5791A884" w16cid:durableId="20AD4D2E"/>
  <w16cid:commentId w16cid:paraId="19C32D43" w16cid:durableId="20ADF882"/>
  <w16cid:commentId w16cid:paraId="25791C13" w16cid:durableId="20AD4D2F"/>
  <w16cid:commentId w16cid:paraId="19475659" w16cid:durableId="20ADF8A2"/>
  <w16cid:commentId w16cid:paraId="52A7489C" w16cid:durableId="20AD4D30"/>
  <w16cid:commentId w16cid:paraId="3A29B26E" w16cid:durableId="20AD4D31"/>
  <w16cid:commentId w16cid:paraId="7EDC1E1C" w16cid:durableId="20ADF8D8"/>
  <w16cid:commentId w16cid:paraId="00CC7CA7" w16cid:durableId="20AD4D32"/>
  <w16cid:commentId w16cid:paraId="62677C99" w16cid:durableId="20ADF928"/>
  <w16cid:commentId w16cid:paraId="1DD36E35" w16cid:durableId="20AD4D33"/>
  <w16cid:commentId w16cid:paraId="1A7A17E8" w16cid:durableId="20AD4D34"/>
  <w16cid:commentId w16cid:paraId="1A40060C" w16cid:durableId="20AD4D35"/>
  <w16cid:commentId w16cid:paraId="094D78CF" w16cid:durableId="20ADF957"/>
  <w16cid:commentId w16cid:paraId="0F25B948" w16cid:durableId="20AD4D36"/>
  <w16cid:commentId w16cid:paraId="64F589A6" w16cid:durableId="20ADF968"/>
  <w16cid:commentId w16cid:paraId="70E4FE4D" w16cid:durableId="20AD4D37"/>
  <w16cid:commentId w16cid:paraId="3EF5606B" w16cid:durableId="20AD4D38"/>
  <w16cid:commentId w16cid:paraId="59A04A85" w16cid:durableId="20AD4D39"/>
  <w16cid:commentId w16cid:paraId="517A649C" w16cid:durableId="20AD4D3A"/>
  <w16cid:commentId w16cid:paraId="4FB0AA0A" w16cid:durableId="20AD4D3B"/>
  <w16cid:commentId w16cid:paraId="08F61092" w16cid:durableId="20AD4D3C"/>
  <w16cid:commentId w16cid:paraId="632B32A4" w16cid:durableId="20AD4D3D"/>
  <w16cid:commentId w16cid:paraId="37EF5CED" w16cid:durableId="20ADF9CC"/>
  <w16cid:commentId w16cid:paraId="088F345F" w16cid:durableId="20AD4D3E"/>
  <w16cid:commentId w16cid:paraId="12DB7403" w16cid:durableId="20AD4D3F"/>
  <w16cid:commentId w16cid:paraId="2FECD055" w16cid:durableId="20AD4D40"/>
  <w16cid:commentId w16cid:paraId="563ED005" w16cid:durableId="20AD4D41"/>
  <w16cid:commentId w16cid:paraId="02CD8A51" w16cid:durableId="20AD4D42"/>
  <w16cid:commentId w16cid:paraId="08D90ABF" w16cid:durableId="20AD4D43"/>
  <w16cid:commentId w16cid:paraId="51EDA54A" w16cid:durableId="20ADFA1E"/>
  <w16cid:commentId w16cid:paraId="1F6F19B9" w16cid:durableId="20AD4D44"/>
  <w16cid:commentId w16cid:paraId="752F0509" w16cid:durableId="20AD4D45"/>
  <w16cid:commentId w16cid:paraId="74E07369" w16cid:durableId="20ADFA33"/>
  <w16cid:commentId w16cid:paraId="06F312F4" w16cid:durableId="20AD4D46"/>
  <w16cid:commentId w16cid:paraId="1BEEC6E9" w16cid:durableId="20ADFA8C"/>
  <w16cid:commentId w16cid:paraId="1AC7C338" w16cid:durableId="20AD4D47"/>
  <w16cid:commentId w16cid:paraId="38F1D853" w16cid:durableId="20AD4D48"/>
  <w16cid:commentId w16cid:paraId="1F46C015" w16cid:durableId="20AD4D49"/>
  <w16cid:commentId w16cid:paraId="6C3C67E9" w16cid:durableId="20AD4F05"/>
  <w16cid:commentId w16cid:paraId="4C69E720" w16cid:durableId="20AD4D4A"/>
  <w16cid:commentId w16cid:paraId="0F378C46" w16cid:durableId="20AD4D4B"/>
  <w16cid:commentId w16cid:paraId="707BDC58" w16cid:durableId="20AD4D4C"/>
  <w16cid:commentId w16cid:paraId="7D73E1D5" w16cid:durableId="20AD4D4D"/>
  <w16cid:commentId w16cid:paraId="5600D290" w16cid:durableId="20AD4D4E"/>
  <w16cid:commentId w16cid:paraId="533C1F73" w16cid:durableId="20AD4D4F"/>
  <w16cid:commentId w16cid:paraId="36379B13" w16cid:durableId="20AD4D50"/>
  <w16cid:commentId w16cid:paraId="72DACC1E" w16cid:durableId="20AD4D51"/>
  <w16cid:commentId w16cid:paraId="2097E36E" w16cid:durableId="20ADFB51"/>
  <w16cid:commentId w16cid:paraId="61A029FD" w16cid:durableId="20AD4D52"/>
  <w16cid:commentId w16cid:paraId="237FAAFD" w16cid:durableId="20AD4D53"/>
  <w16cid:commentId w16cid:paraId="3C2D0090" w16cid:durableId="20AD4D54"/>
  <w16cid:commentId w16cid:paraId="18EAD3E4" w16cid:durableId="20AD4D55"/>
  <w16cid:commentId w16cid:paraId="0B54C344" w16cid:durableId="20AD4D56"/>
  <w16cid:commentId w16cid:paraId="758C9DBF" w16cid:durableId="20AD4D57"/>
  <w16cid:commentId w16cid:paraId="1BDA7016" w16cid:durableId="20AD4D58"/>
  <w16cid:commentId w16cid:paraId="4F9001C5" w16cid:durableId="20ADFBD4"/>
  <w16cid:commentId w16cid:paraId="5DBAC90C" w16cid:durableId="20AD4D59"/>
  <w16cid:commentId w16cid:paraId="637D9BB3" w16cid:durableId="20ADFC31"/>
  <w16cid:commentId w16cid:paraId="020FFB24" w16cid:durableId="20AD4D5A"/>
  <w16cid:commentId w16cid:paraId="75DD0E47" w16cid:durableId="20AD4D5B"/>
  <w16cid:commentId w16cid:paraId="4F1064CC" w16cid:durableId="20AD4D5C"/>
  <w16cid:commentId w16cid:paraId="1DE29242" w16cid:durableId="20AD4D5D"/>
  <w16cid:commentId w16cid:paraId="216C0FCF" w16cid:durableId="20ADFC75"/>
  <w16cid:commentId w16cid:paraId="125189B6" w16cid:durableId="20AD4D5E"/>
  <w16cid:commentId w16cid:paraId="7E01078E" w16cid:durableId="20ADFCA3"/>
  <w16cid:commentId w16cid:paraId="2C549BC3" w16cid:durableId="20AD4D5F"/>
  <w16cid:commentId w16cid:paraId="470811F8" w16cid:durableId="20ADF835"/>
  <w16cid:commentId w16cid:paraId="3AE1FB09" w16cid:durableId="20ADFD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37BE9" w14:textId="77777777" w:rsidR="00163F72" w:rsidRDefault="00163F72" w:rsidP="00DF2386">
      <w:r>
        <w:separator/>
      </w:r>
    </w:p>
  </w:endnote>
  <w:endnote w:type="continuationSeparator" w:id="0">
    <w:p w14:paraId="7D88AC1B" w14:textId="77777777" w:rsidR="00163F72" w:rsidRDefault="00163F7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4093C598" w:rsidR="00163F72" w:rsidRDefault="00163F72" w:rsidP="002137E0">
    <w:pPr>
      <w:pStyle w:val="Header"/>
      <w:rPr>
        <w:noProof/>
      </w:rPr>
    </w:pPr>
    <w:r>
      <w:rPr>
        <w:sz w:val="20"/>
        <w:szCs w:val="20"/>
      </w:rPr>
      <w:t>SC58 Doc.8.2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896643">
          <w:rPr>
            <w:noProof/>
            <w:sz w:val="20"/>
            <w:szCs w:val="20"/>
          </w:rPr>
          <w:t>20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5FC4" w14:textId="77777777" w:rsidR="00163F72" w:rsidRDefault="00163F72" w:rsidP="00DF2386">
      <w:r>
        <w:separator/>
      </w:r>
    </w:p>
  </w:footnote>
  <w:footnote w:type="continuationSeparator" w:id="0">
    <w:p w14:paraId="03066D84" w14:textId="77777777" w:rsidR="00163F72" w:rsidRDefault="00163F72" w:rsidP="00DF2386">
      <w:r>
        <w:continuationSeparator/>
      </w:r>
    </w:p>
  </w:footnote>
  <w:footnote w:id="1">
    <w:p w14:paraId="3815565D" w14:textId="36159F95" w:rsidR="00163F72" w:rsidRDefault="00163F72" w:rsidP="00CB6134">
      <w:pPr>
        <w:pStyle w:val="FootnoteText"/>
      </w:pPr>
      <w:r>
        <w:rPr>
          <w:rStyle w:val="FootnoteReference"/>
        </w:rPr>
        <w:footnoteRef/>
      </w:r>
      <w:r>
        <w:t xml:space="preserve"> See </w:t>
      </w:r>
      <w:hyperlink r:id="rId1" w:history="1">
        <w:r w:rsidRPr="00FC3139">
          <w:rPr>
            <w:rStyle w:val="Hyperlink"/>
          </w:rPr>
          <w:t>https://www.ramsar.org/sites/default/files/documents/library/report_auditor_ramsar_2019_e.pdf</w:t>
        </w:r>
      </w:hyperlink>
      <w:r>
        <w:t>.</w:t>
      </w:r>
    </w:p>
  </w:footnote>
  <w:footnote w:id="2">
    <w:p w14:paraId="63C0602E" w14:textId="01FFC300" w:rsidR="00163F72" w:rsidRDefault="00163F72" w:rsidP="00301DF1">
      <w:pPr>
        <w:pStyle w:val="FootnoteText"/>
        <w:ind w:left="0" w:firstLine="0"/>
      </w:pPr>
      <w:r>
        <w:rPr>
          <w:rStyle w:val="FootnoteReference"/>
        </w:rPr>
        <w:footnoteRef/>
      </w:r>
      <w:r>
        <w:t xml:space="preserve"> See paragraph 23 of Resolution X.2 on </w:t>
      </w:r>
      <w:r w:rsidRPr="00301DF1">
        <w:rPr>
          <w:i/>
        </w:rPr>
        <w:t>Financial and budgetary matters</w:t>
      </w:r>
      <w:r>
        <w:t xml:space="preserve">, </w:t>
      </w:r>
      <w:hyperlink r:id="rId2" w:history="1">
        <w:r>
          <w:rPr>
            <w:rStyle w:val="Hyperlink"/>
          </w:rPr>
          <w:t>https://www.ramsar.org/document/resolution-x2-financial-and-budgetary-matters</w:t>
        </w:r>
      </w:hyperlink>
      <w:r>
        <w:t>.</w:t>
      </w:r>
    </w:p>
  </w:footnote>
  <w:footnote w:id="3">
    <w:p w14:paraId="7D2F486B" w14:textId="7DB5D013" w:rsidR="00163F72" w:rsidRDefault="00163F72">
      <w:pPr>
        <w:pStyle w:val="FootnoteText"/>
      </w:pPr>
      <w:r>
        <w:rPr>
          <w:rStyle w:val="FootnoteReference"/>
        </w:rPr>
        <w:footnoteRef/>
      </w:r>
      <w:r>
        <w:t xml:space="preserve"> See </w:t>
      </w:r>
      <w:hyperlink r:id="rId3" w:history="1">
        <w:r>
          <w:rPr>
            <w:rStyle w:val="Hyperlink"/>
          </w:rPr>
          <w:t>https://www.ramsar.org/document/sc55-doc82-iucn-review-of-non-core-finances</w:t>
        </w:r>
      </w:hyperlink>
    </w:p>
  </w:footnote>
  <w:footnote w:id="4">
    <w:p w14:paraId="75CD008C" w14:textId="6015DB48" w:rsidR="00163F72" w:rsidRDefault="00163F72" w:rsidP="006A24F1">
      <w:pPr>
        <w:pStyle w:val="FootnoteText"/>
        <w:ind w:left="0" w:firstLine="0"/>
      </w:pPr>
      <w:r>
        <w:rPr>
          <w:rStyle w:val="FootnoteReference"/>
        </w:rPr>
        <w:footnoteRef/>
      </w:r>
      <w:r>
        <w:t xml:space="preserve"> See the notes to the audited statements at </w:t>
      </w:r>
      <w:hyperlink r:id="rId4" w:history="1">
        <w:r w:rsidRPr="00FC3139">
          <w:rPr>
            <w:rStyle w:val="Hyperlink"/>
          </w:rPr>
          <w:t>https://www.ramsar.org/sites/default/files/documents/library/report_auditor_ramsar_2019_e.pdf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2"/>
  </w:num>
  <w:num w:numId="7">
    <w:abstractNumId w:val="1"/>
  </w:num>
  <w:num w:numId="8">
    <w:abstractNumId w:val="5"/>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4171"/>
    <w:rsid w:val="00005D80"/>
    <w:rsid w:val="00006CF6"/>
    <w:rsid w:val="00007309"/>
    <w:rsid w:val="00007908"/>
    <w:rsid w:val="0001295D"/>
    <w:rsid w:val="00013B5D"/>
    <w:rsid w:val="00014168"/>
    <w:rsid w:val="00014DD6"/>
    <w:rsid w:val="00017583"/>
    <w:rsid w:val="00017A16"/>
    <w:rsid w:val="00020298"/>
    <w:rsid w:val="00020C2D"/>
    <w:rsid w:val="00020C56"/>
    <w:rsid w:val="00021F0E"/>
    <w:rsid w:val="00024104"/>
    <w:rsid w:val="0002452B"/>
    <w:rsid w:val="00024537"/>
    <w:rsid w:val="00024832"/>
    <w:rsid w:val="00024E01"/>
    <w:rsid w:val="00025210"/>
    <w:rsid w:val="00026E09"/>
    <w:rsid w:val="0002761D"/>
    <w:rsid w:val="000279C5"/>
    <w:rsid w:val="00027FCD"/>
    <w:rsid w:val="000308AC"/>
    <w:rsid w:val="000308D5"/>
    <w:rsid w:val="00030DC9"/>
    <w:rsid w:val="00031058"/>
    <w:rsid w:val="00031851"/>
    <w:rsid w:val="0003253E"/>
    <w:rsid w:val="00032E44"/>
    <w:rsid w:val="00034C8A"/>
    <w:rsid w:val="00037CE0"/>
    <w:rsid w:val="0004214F"/>
    <w:rsid w:val="00044E37"/>
    <w:rsid w:val="00047393"/>
    <w:rsid w:val="000506B6"/>
    <w:rsid w:val="000518FC"/>
    <w:rsid w:val="00053929"/>
    <w:rsid w:val="00056AA6"/>
    <w:rsid w:val="000575AD"/>
    <w:rsid w:val="0006178A"/>
    <w:rsid w:val="00062093"/>
    <w:rsid w:val="0006294A"/>
    <w:rsid w:val="00062A46"/>
    <w:rsid w:val="0006326D"/>
    <w:rsid w:val="00063F47"/>
    <w:rsid w:val="00064E24"/>
    <w:rsid w:val="00064EA7"/>
    <w:rsid w:val="00065B4A"/>
    <w:rsid w:val="00065E42"/>
    <w:rsid w:val="00067EDC"/>
    <w:rsid w:val="000732F2"/>
    <w:rsid w:val="00073E51"/>
    <w:rsid w:val="00074DE8"/>
    <w:rsid w:val="000776EE"/>
    <w:rsid w:val="00082297"/>
    <w:rsid w:val="0008231A"/>
    <w:rsid w:val="0008295B"/>
    <w:rsid w:val="00082D5E"/>
    <w:rsid w:val="000844F9"/>
    <w:rsid w:val="0008758E"/>
    <w:rsid w:val="000875B8"/>
    <w:rsid w:val="00095913"/>
    <w:rsid w:val="00096FAE"/>
    <w:rsid w:val="00097AE5"/>
    <w:rsid w:val="00097C4A"/>
    <w:rsid w:val="000A0568"/>
    <w:rsid w:val="000A156E"/>
    <w:rsid w:val="000A212C"/>
    <w:rsid w:val="000A3E3E"/>
    <w:rsid w:val="000B0EA8"/>
    <w:rsid w:val="000B13F3"/>
    <w:rsid w:val="000B16B8"/>
    <w:rsid w:val="000B1951"/>
    <w:rsid w:val="000B2366"/>
    <w:rsid w:val="000B2759"/>
    <w:rsid w:val="000B2D8F"/>
    <w:rsid w:val="000B380C"/>
    <w:rsid w:val="000B4332"/>
    <w:rsid w:val="000B6881"/>
    <w:rsid w:val="000C10F5"/>
    <w:rsid w:val="000C2046"/>
    <w:rsid w:val="000C240E"/>
    <w:rsid w:val="000C2489"/>
    <w:rsid w:val="000C3829"/>
    <w:rsid w:val="000C3FCA"/>
    <w:rsid w:val="000C57BA"/>
    <w:rsid w:val="000C5FFB"/>
    <w:rsid w:val="000C6755"/>
    <w:rsid w:val="000C786F"/>
    <w:rsid w:val="000D1BFA"/>
    <w:rsid w:val="000D3FBF"/>
    <w:rsid w:val="000D46E7"/>
    <w:rsid w:val="000D5C76"/>
    <w:rsid w:val="000D6AC7"/>
    <w:rsid w:val="000E18F4"/>
    <w:rsid w:val="000E2FA0"/>
    <w:rsid w:val="000E34D0"/>
    <w:rsid w:val="000E47E9"/>
    <w:rsid w:val="000E6DC0"/>
    <w:rsid w:val="000E7FB6"/>
    <w:rsid w:val="000F001B"/>
    <w:rsid w:val="000F051B"/>
    <w:rsid w:val="000F05DB"/>
    <w:rsid w:val="000F4030"/>
    <w:rsid w:val="000F435C"/>
    <w:rsid w:val="000F5372"/>
    <w:rsid w:val="000F547A"/>
    <w:rsid w:val="000F55F2"/>
    <w:rsid w:val="000F5E23"/>
    <w:rsid w:val="000F66B9"/>
    <w:rsid w:val="000F710F"/>
    <w:rsid w:val="001002FA"/>
    <w:rsid w:val="00103196"/>
    <w:rsid w:val="001032EA"/>
    <w:rsid w:val="00103B40"/>
    <w:rsid w:val="00105960"/>
    <w:rsid w:val="00105D6D"/>
    <w:rsid w:val="001068D9"/>
    <w:rsid w:val="00106C18"/>
    <w:rsid w:val="00107704"/>
    <w:rsid w:val="00107F64"/>
    <w:rsid w:val="00107FE6"/>
    <w:rsid w:val="0011042A"/>
    <w:rsid w:val="00110B4F"/>
    <w:rsid w:val="00110C51"/>
    <w:rsid w:val="00112016"/>
    <w:rsid w:val="0011271D"/>
    <w:rsid w:val="00112F62"/>
    <w:rsid w:val="00114BA0"/>
    <w:rsid w:val="00115F0E"/>
    <w:rsid w:val="0012096C"/>
    <w:rsid w:val="00122175"/>
    <w:rsid w:val="0012223B"/>
    <w:rsid w:val="0012252E"/>
    <w:rsid w:val="0012277D"/>
    <w:rsid w:val="00123E7D"/>
    <w:rsid w:val="0012507E"/>
    <w:rsid w:val="00126808"/>
    <w:rsid w:val="0012722A"/>
    <w:rsid w:val="00127828"/>
    <w:rsid w:val="00127B41"/>
    <w:rsid w:val="001319B8"/>
    <w:rsid w:val="0013219D"/>
    <w:rsid w:val="00133C51"/>
    <w:rsid w:val="0013410C"/>
    <w:rsid w:val="00134BDB"/>
    <w:rsid w:val="0013536D"/>
    <w:rsid w:val="001404C4"/>
    <w:rsid w:val="00140EA0"/>
    <w:rsid w:val="001419BE"/>
    <w:rsid w:val="001438BD"/>
    <w:rsid w:val="00143C80"/>
    <w:rsid w:val="00144820"/>
    <w:rsid w:val="00145434"/>
    <w:rsid w:val="001458BE"/>
    <w:rsid w:val="00147DAD"/>
    <w:rsid w:val="001504A4"/>
    <w:rsid w:val="00150C96"/>
    <w:rsid w:val="00150E18"/>
    <w:rsid w:val="00150F4B"/>
    <w:rsid w:val="00151B98"/>
    <w:rsid w:val="00152AA1"/>
    <w:rsid w:val="0015502B"/>
    <w:rsid w:val="00155171"/>
    <w:rsid w:val="00155710"/>
    <w:rsid w:val="00155F5F"/>
    <w:rsid w:val="001571E1"/>
    <w:rsid w:val="001614FA"/>
    <w:rsid w:val="00161BDA"/>
    <w:rsid w:val="00162710"/>
    <w:rsid w:val="00162EE8"/>
    <w:rsid w:val="00163F72"/>
    <w:rsid w:val="00164326"/>
    <w:rsid w:val="001649E7"/>
    <w:rsid w:val="001653A7"/>
    <w:rsid w:val="00165F44"/>
    <w:rsid w:val="001670DE"/>
    <w:rsid w:val="00167681"/>
    <w:rsid w:val="001709AB"/>
    <w:rsid w:val="00171618"/>
    <w:rsid w:val="00172AC9"/>
    <w:rsid w:val="001730E3"/>
    <w:rsid w:val="001748F5"/>
    <w:rsid w:val="00174E4A"/>
    <w:rsid w:val="00175433"/>
    <w:rsid w:val="001757C1"/>
    <w:rsid w:val="00175897"/>
    <w:rsid w:val="00175B8C"/>
    <w:rsid w:val="00176A64"/>
    <w:rsid w:val="00176B34"/>
    <w:rsid w:val="001808B3"/>
    <w:rsid w:val="001819B1"/>
    <w:rsid w:val="00181A6C"/>
    <w:rsid w:val="00182B75"/>
    <w:rsid w:val="00183EDE"/>
    <w:rsid w:val="0018460B"/>
    <w:rsid w:val="00184E6B"/>
    <w:rsid w:val="0018553C"/>
    <w:rsid w:val="001855E9"/>
    <w:rsid w:val="00186339"/>
    <w:rsid w:val="00186F3E"/>
    <w:rsid w:val="00187421"/>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B20EC"/>
    <w:rsid w:val="001B3288"/>
    <w:rsid w:val="001B551E"/>
    <w:rsid w:val="001B5DAB"/>
    <w:rsid w:val="001B6041"/>
    <w:rsid w:val="001B67AA"/>
    <w:rsid w:val="001B6A54"/>
    <w:rsid w:val="001B73C2"/>
    <w:rsid w:val="001C0243"/>
    <w:rsid w:val="001C11BE"/>
    <w:rsid w:val="001C5386"/>
    <w:rsid w:val="001C5E41"/>
    <w:rsid w:val="001C77BC"/>
    <w:rsid w:val="001D0741"/>
    <w:rsid w:val="001D0B77"/>
    <w:rsid w:val="001D1E46"/>
    <w:rsid w:val="001D2107"/>
    <w:rsid w:val="001D3678"/>
    <w:rsid w:val="001D3FD1"/>
    <w:rsid w:val="001D48BB"/>
    <w:rsid w:val="001D58A8"/>
    <w:rsid w:val="001D5B80"/>
    <w:rsid w:val="001D71EF"/>
    <w:rsid w:val="001D72F3"/>
    <w:rsid w:val="001E00E3"/>
    <w:rsid w:val="001E0171"/>
    <w:rsid w:val="001E0361"/>
    <w:rsid w:val="001E1873"/>
    <w:rsid w:val="001E1A30"/>
    <w:rsid w:val="001E2987"/>
    <w:rsid w:val="001E45FF"/>
    <w:rsid w:val="001E7677"/>
    <w:rsid w:val="001E7894"/>
    <w:rsid w:val="001E7ADD"/>
    <w:rsid w:val="001E7B2D"/>
    <w:rsid w:val="001E7E9C"/>
    <w:rsid w:val="001E7FA6"/>
    <w:rsid w:val="001F0844"/>
    <w:rsid w:val="001F1A2B"/>
    <w:rsid w:val="001F1F7D"/>
    <w:rsid w:val="001F2349"/>
    <w:rsid w:val="001F34DB"/>
    <w:rsid w:val="001F3DC3"/>
    <w:rsid w:val="001F4117"/>
    <w:rsid w:val="001F4497"/>
    <w:rsid w:val="001F6253"/>
    <w:rsid w:val="001F657E"/>
    <w:rsid w:val="001F7360"/>
    <w:rsid w:val="001F79E9"/>
    <w:rsid w:val="002005D2"/>
    <w:rsid w:val="00201722"/>
    <w:rsid w:val="00201A04"/>
    <w:rsid w:val="002021BF"/>
    <w:rsid w:val="0020298B"/>
    <w:rsid w:val="002038EA"/>
    <w:rsid w:val="00206111"/>
    <w:rsid w:val="002064A3"/>
    <w:rsid w:val="00206AF7"/>
    <w:rsid w:val="0021024C"/>
    <w:rsid w:val="00211A70"/>
    <w:rsid w:val="00212942"/>
    <w:rsid w:val="002137E0"/>
    <w:rsid w:val="00213C8C"/>
    <w:rsid w:val="00215D0B"/>
    <w:rsid w:val="00216155"/>
    <w:rsid w:val="002174A1"/>
    <w:rsid w:val="00220A4E"/>
    <w:rsid w:val="002214D7"/>
    <w:rsid w:val="0022294E"/>
    <w:rsid w:val="00222BB0"/>
    <w:rsid w:val="002238A2"/>
    <w:rsid w:val="002249B1"/>
    <w:rsid w:val="002253A7"/>
    <w:rsid w:val="00225A7C"/>
    <w:rsid w:val="002262FE"/>
    <w:rsid w:val="0023074E"/>
    <w:rsid w:val="0023128B"/>
    <w:rsid w:val="002314B9"/>
    <w:rsid w:val="00231F97"/>
    <w:rsid w:val="002324F0"/>
    <w:rsid w:val="00235E12"/>
    <w:rsid w:val="0023713D"/>
    <w:rsid w:val="00241BD9"/>
    <w:rsid w:val="00242921"/>
    <w:rsid w:val="00242C38"/>
    <w:rsid w:val="00243C9A"/>
    <w:rsid w:val="00245529"/>
    <w:rsid w:val="002468FA"/>
    <w:rsid w:val="002473AC"/>
    <w:rsid w:val="0024781C"/>
    <w:rsid w:val="00254016"/>
    <w:rsid w:val="00254205"/>
    <w:rsid w:val="00255D02"/>
    <w:rsid w:val="00255EF0"/>
    <w:rsid w:val="002569BC"/>
    <w:rsid w:val="0025754C"/>
    <w:rsid w:val="00257DB6"/>
    <w:rsid w:val="00264303"/>
    <w:rsid w:val="00264D73"/>
    <w:rsid w:val="002657EF"/>
    <w:rsid w:val="002702BA"/>
    <w:rsid w:val="00270C34"/>
    <w:rsid w:val="00271D3D"/>
    <w:rsid w:val="00272226"/>
    <w:rsid w:val="00273609"/>
    <w:rsid w:val="00273B0B"/>
    <w:rsid w:val="00273EDF"/>
    <w:rsid w:val="002741AC"/>
    <w:rsid w:val="00275C41"/>
    <w:rsid w:val="00275D94"/>
    <w:rsid w:val="00275F13"/>
    <w:rsid w:val="0027691D"/>
    <w:rsid w:val="00280B31"/>
    <w:rsid w:val="002819C0"/>
    <w:rsid w:val="00284478"/>
    <w:rsid w:val="00284E2E"/>
    <w:rsid w:val="00285887"/>
    <w:rsid w:val="00285981"/>
    <w:rsid w:val="00285F05"/>
    <w:rsid w:val="00290674"/>
    <w:rsid w:val="00295556"/>
    <w:rsid w:val="00295BB5"/>
    <w:rsid w:val="00295BEE"/>
    <w:rsid w:val="002A1371"/>
    <w:rsid w:val="002A1A4B"/>
    <w:rsid w:val="002A1BB6"/>
    <w:rsid w:val="002A1D70"/>
    <w:rsid w:val="002A3250"/>
    <w:rsid w:val="002A427A"/>
    <w:rsid w:val="002A5A4D"/>
    <w:rsid w:val="002A5B1A"/>
    <w:rsid w:val="002A5F1E"/>
    <w:rsid w:val="002A6728"/>
    <w:rsid w:val="002A76E0"/>
    <w:rsid w:val="002B0D26"/>
    <w:rsid w:val="002B10BB"/>
    <w:rsid w:val="002B18A7"/>
    <w:rsid w:val="002B27B1"/>
    <w:rsid w:val="002B402A"/>
    <w:rsid w:val="002B419F"/>
    <w:rsid w:val="002B4262"/>
    <w:rsid w:val="002B478C"/>
    <w:rsid w:val="002B4EEA"/>
    <w:rsid w:val="002B503B"/>
    <w:rsid w:val="002B60B8"/>
    <w:rsid w:val="002B670A"/>
    <w:rsid w:val="002B7987"/>
    <w:rsid w:val="002C0F62"/>
    <w:rsid w:val="002C1ED4"/>
    <w:rsid w:val="002C293C"/>
    <w:rsid w:val="002C37CC"/>
    <w:rsid w:val="002C38F3"/>
    <w:rsid w:val="002C443F"/>
    <w:rsid w:val="002C4FFE"/>
    <w:rsid w:val="002C5FB7"/>
    <w:rsid w:val="002C7B1B"/>
    <w:rsid w:val="002D04F2"/>
    <w:rsid w:val="002D3CC9"/>
    <w:rsid w:val="002D5184"/>
    <w:rsid w:val="002D5A4D"/>
    <w:rsid w:val="002D6DD5"/>
    <w:rsid w:val="002D76F8"/>
    <w:rsid w:val="002E0DFE"/>
    <w:rsid w:val="002E1255"/>
    <w:rsid w:val="002E22AF"/>
    <w:rsid w:val="002E2EC4"/>
    <w:rsid w:val="002E3398"/>
    <w:rsid w:val="002E3C7E"/>
    <w:rsid w:val="002E5B1D"/>
    <w:rsid w:val="002E6166"/>
    <w:rsid w:val="002E7D4F"/>
    <w:rsid w:val="002F0826"/>
    <w:rsid w:val="002F2543"/>
    <w:rsid w:val="002F2BB4"/>
    <w:rsid w:val="002F2D08"/>
    <w:rsid w:val="002F312A"/>
    <w:rsid w:val="002F4CFC"/>
    <w:rsid w:val="002F5B7C"/>
    <w:rsid w:val="002F6793"/>
    <w:rsid w:val="002F6A98"/>
    <w:rsid w:val="002F777D"/>
    <w:rsid w:val="00301BD4"/>
    <w:rsid w:val="00301DF1"/>
    <w:rsid w:val="00302FEE"/>
    <w:rsid w:val="00302FF3"/>
    <w:rsid w:val="0030357A"/>
    <w:rsid w:val="00304F7C"/>
    <w:rsid w:val="00305FC7"/>
    <w:rsid w:val="00306F34"/>
    <w:rsid w:val="0031018C"/>
    <w:rsid w:val="00310E68"/>
    <w:rsid w:val="00311940"/>
    <w:rsid w:val="00311E13"/>
    <w:rsid w:val="00315503"/>
    <w:rsid w:val="003165A3"/>
    <w:rsid w:val="0031679A"/>
    <w:rsid w:val="00317471"/>
    <w:rsid w:val="003204BB"/>
    <w:rsid w:val="00320D9B"/>
    <w:rsid w:val="003218F4"/>
    <w:rsid w:val="00321AAD"/>
    <w:rsid w:val="00321C39"/>
    <w:rsid w:val="00321D0D"/>
    <w:rsid w:val="003236D1"/>
    <w:rsid w:val="00324398"/>
    <w:rsid w:val="003243FB"/>
    <w:rsid w:val="00324E91"/>
    <w:rsid w:val="003254DB"/>
    <w:rsid w:val="00326625"/>
    <w:rsid w:val="00327DAF"/>
    <w:rsid w:val="00330040"/>
    <w:rsid w:val="00330F27"/>
    <w:rsid w:val="003323B0"/>
    <w:rsid w:val="00332FCB"/>
    <w:rsid w:val="00333BAF"/>
    <w:rsid w:val="00335206"/>
    <w:rsid w:val="00335504"/>
    <w:rsid w:val="003367D4"/>
    <w:rsid w:val="00336A77"/>
    <w:rsid w:val="00337CA6"/>
    <w:rsid w:val="00340811"/>
    <w:rsid w:val="00341810"/>
    <w:rsid w:val="00342C26"/>
    <w:rsid w:val="00343932"/>
    <w:rsid w:val="003439AE"/>
    <w:rsid w:val="0034574A"/>
    <w:rsid w:val="00345828"/>
    <w:rsid w:val="00346BD5"/>
    <w:rsid w:val="00347439"/>
    <w:rsid w:val="0035205F"/>
    <w:rsid w:val="003523B0"/>
    <w:rsid w:val="003531DE"/>
    <w:rsid w:val="00354A66"/>
    <w:rsid w:val="00354F4E"/>
    <w:rsid w:val="00355FC7"/>
    <w:rsid w:val="003562A0"/>
    <w:rsid w:val="00357790"/>
    <w:rsid w:val="0036085B"/>
    <w:rsid w:val="00363545"/>
    <w:rsid w:val="00364316"/>
    <w:rsid w:val="003644C5"/>
    <w:rsid w:val="00364A91"/>
    <w:rsid w:val="00364E8B"/>
    <w:rsid w:val="00365F8A"/>
    <w:rsid w:val="003667FF"/>
    <w:rsid w:val="003672B9"/>
    <w:rsid w:val="00370A11"/>
    <w:rsid w:val="0037103C"/>
    <w:rsid w:val="003736CC"/>
    <w:rsid w:val="00373FD6"/>
    <w:rsid w:val="00376478"/>
    <w:rsid w:val="00377657"/>
    <w:rsid w:val="00377D33"/>
    <w:rsid w:val="00380059"/>
    <w:rsid w:val="003802F2"/>
    <w:rsid w:val="0038188C"/>
    <w:rsid w:val="0038245C"/>
    <w:rsid w:val="00383EED"/>
    <w:rsid w:val="00383F07"/>
    <w:rsid w:val="00384FC3"/>
    <w:rsid w:val="00385FC5"/>
    <w:rsid w:val="003906A4"/>
    <w:rsid w:val="00390ED1"/>
    <w:rsid w:val="0039249B"/>
    <w:rsid w:val="003956B3"/>
    <w:rsid w:val="00396ABD"/>
    <w:rsid w:val="003A0924"/>
    <w:rsid w:val="003A0DBF"/>
    <w:rsid w:val="003A168F"/>
    <w:rsid w:val="003A3804"/>
    <w:rsid w:val="003A3AE1"/>
    <w:rsid w:val="003A415A"/>
    <w:rsid w:val="003A52BE"/>
    <w:rsid w:val="003A5866"/>
    <w:rsid w:val="003A6989"/>
    <w:rsid w:val="003A6E9F"/>
    <w:rsid w:val="003B0AD8"/>
    <w:rsid w:val="003B0BC9"/>
    <w:rsid w:val="003B2F42"/>
    <w:rsid w:val="003B392E"/>
    <w:rsid w:val="003B4658"/>
    <w:rsid w:val="003B4987"/>
    <w:rsid w:val="003C048D"/>
    <w:rsid w:val="003C0ACD"/>
    <w:rsid w:val="003C2E56"/>
    <w:rsid w:val="003C35D2"/>
    <w:rsid w:val="003C4036"/>
    <w:rsid w:val="003C4700"/>
    <w:rsid w:val="003C5CE3"/>
    <w:rsid w:val="003D02F4"/>
    <w:rsid w:val="003D0862"/>
    <w:rsid w:val="003D1E05"/>
    <w:rsid w:val="003D4B82"/>
    <w:rsid w:val="003D4CD6"/>
    <w:rsid w:val="003D5354"/>
    <w:rsid w:val="003D548E"/>
    <w:rsid w:val="003D6105"/>
    <w:rsid w:val="003D733E"/>
    <w:rsid w:val="003E07A7"/>
    <w:rsid w:val="003E0E6D"/>
    <w:rsid w:val="003E2167"/>
    <w:rsid w:val="003E3555"/>
    <w:rsid w:val="003E44D9"/>
    <w:rsid w:val="003E4F49"/>
    <w:rsid w:val="003E63A7"/>
    <w:rsid w:val="003E7324"/>
    <w:rsid w:val="003E762E"/>
    <w:rsid w:val="003F135F"/>
    <w:rsid w:val="003F3307"/>
    <w:rsid w:val="003F55A0"/>
    <w:rsid w:val="003F621E"/>
    <w:rsid w:val="003F65E9"/>
    <w:rsid w:val="003F7DF4"/>
    <w:rsid w:val="00400F6E"/>
    <w:rsid w:val="00401624"/>
    <w:rsid w:val="0040226B"/>
    <w:rsid w:val="0040314A"/>
    <w:rsid w:val="0040340A"/>
    <w:rsid w:val="0040500A"/>
    <w:rsid w:val="00405D78"/>
    <w:rsid w:val="0041005A"/>
    <w:rsid w:val="00411932"/>
    <w:rsid w:val="00413AEE"/>
    <w:rsid w:val="00413EC4"/>
    <w:rsid w:val="004142A8"/>
    <w:rsid w:val="00414B55"/>
    <w:rsid w:val="00414EAE"/>
    <w:rsid w:val="0041534E"/>
    <w:rsid w:val="0042091F"/>
    <w:rsid w:val="00421152"/>
    <w:rsid w:val="004228C7"/>
    <w:rsid w:val="00425178"/>
    <w:rsid w:val="0042566B"/>
    <w:rsid w:val="0042598C"/>
    <w:rsid w:val="0042798B"/>
    <w:rsid w:val="0043030E"/>
    <w:rsid w:val="00432A60"/>
    <w:rsid w:val="0043385E"/>
    <w:rsid w:val="00434024"/>
    <w:rsid w:val="00434913"/>
    <w:rsid w:val="00435DEA"/>
    <w:rsid w:val="00435F43"/>
    <w:rsid w:val="00440644"/>
    <w:rsid w:val="004410EB"/>
    <w:rsid w:val="00441474"/>
    <w:rsid w:val="004426DF"/>
    <w:rsid w:val="00443003"/>
    <w:rsid w:val="00443025"/>
    <w:rsid w:val="0044415F"/>
    <w:rsid w:val="00444598"/>
    <w:rsid w:val="00444A1F"/>
    <w:rsid w:val="00445E61"/>
    <w:rsid w:val="004474F8"/>
    <w:rsid w:val="004479ED"/>
    <w:rsid w:val="00450A97"/>
    <w:rsid w:val="00451361"/>
    <w:rsid w:val="00453196"/>
    <w:rsid w:val="00453C82"/>
    <w:rsid w:val="00453CBF"/>
    <w:rsid w:val="00457280"/>
    <w:rsid w:val="00457C23"/>
    <w:rsid w:val="00460135"/>
    <w:rsid w:val="00460BC0"/>
    <w:rsid w:val="00463CEC"/>
    <w:rsid w:val="00463E7C"/>
    <w:rsid w:val="00464D2B"/>
    <w:rsid w:val="00465271"/>
    <w:rsid w:val="004669A9"/>
    <w:rsid w:val="00466E1C"/>
    <w:rsid w:val="00467887"/>
    <w:rsid w:val="00467A9F"/>
    <w:rsid w:val="00467C90"/>
    <w:rsid w:val="0047303C"/>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30A1"/>
    <w:rsid w:val="00495842"/>
    <w:rsid w:val="0049606F"/>
    <w:rsid w:val="00496196"/>
    <w:rsid w:val="00496317"/>
    <w:rsid w:val="004963DA"/>
    <w:rsid w:val="00496803"/>
    <w:rsid w:val="0049688C"/>
    <w:rsid w:val="00496914"/>
    <w:rsid w:val="004A1C0C"/>
    <w:rsid w:val="004A2ABC"/>
    <w:rsid w:val="004A2F10"/>
    <w:rsid w:val="004A3FFD"/>
    <w:rsid w:val="004A48FE"/>
    <w:rsid w:val="004A4983"/>
    <w:rsid w:val="004A50E5"/>
    <w:rsid w:val="004A565C"/>
    <w:rsid w:val="004A61B3"/>
    <w:rsid w:val="004A763B"/>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CBA"/>
    <w:rsid w:val="004C504A"/>
    <w:rsid w:val="004C6D8E"/>
    <w:rsid w:val="004C7297"/>
    <w:rsid w:val="004C7511"/>
    <w:rsid w:val="004C798D"/>
    <w:rsid w:val="004D0395"/>
    <w:rsid w:val="004D0F14"/>
    <w:rsid w:val="004D0F32"/>
    <w:rsid w:val="004D203A"/>
    <w:rsid w:val="004D20BE"/>
    <w:rsid w:val="004D23F7"/>
    <w:rsid w:val="004D25A8"/>
    <w:rsid w:val="004D30AB"/>
    <w:rsid w:val="004D419B"/>
    <w:rsid w:val="004D4506"/>
    <w:rsid w:val="004D7734"/>
    <w:rsid w:val="004D7E5C"/>
    <w:rsid w:val="004E01FE"/>
    <w:rsid w:val="004E06D3"/>
    <w:rsid w:val="004E1047"/>
    <w:rsid w:val="004E1C7E"/>
    <w:rsid w:val="004E1F30"/>
    <w:rsid w:val="004E1F42"/>
    <w:rsid w:val="004E30C5"/>
    <w:rsid w:val="004E391E"/>
    <w:rsid w:val="004E59AF"/>
    <w:rsid w:val="004E68DE"/>
    <w:rsid w:val="004E6A21"/>
    <w:rsid w:val="004E7A42"/>
    <w:rsid w:val="004E7F8B"/>
    <w:rsid w:val="004F058A"/>
    <w:rsid w:val="004F24E7"/>
    <w:rsid w:val="004F250A"/>
    <w:rsid w:val="004F31FF"/>
    <w:rsid w:val="004F4ED1"/>
    <w:rsid w:val="004F5397"/>
    <w:rsid w:val="004F6BEB"/>
    <w:rsid w:val="00500CA7"/>
    <w:rsid w:val="00501D4A"/>
    <w:rsid w:val="00502524"/>
    <w:rsid w:val="00502C54"/>
    <w:rsid w:val="00504DE2"/>
    <w:rsid w:val="00507CA3"/>
    <w:rsid w:val="00510BD7"/>
    <w:rsid w:val="005113AA"/>
    <w:rsid w:val="00511834"/>
    <w:rsid w:val="005127EC"/>
    <w:rsid w:val="00513689"/>
    <w:rsid w:val="00513871"/>
    <w:rsid w:val="005139ED"/>
    <w:rsid w:val="00515275"/>
    <w:rsid w:val="00516ECE"/>
    <w:rsid w:val="00517760"/>
    <w:rsid w:val="005202CD"/>
    <w:rsid w:val="00520788"/>
    <w:rsid w:val="00520A09"/>
    <w:rsid w:val="005210D8"/>
    <w:rsid w:val="005215EB"/>
    <w:rsid w:val="0052275F"/>
    <w:rsid w:val="0052399E"/>
    <w:rsid w:val="005244A4"/>
    <w:rsid w:val="005247E1"/>
    <w:rsid w:val="00526B39"/>
    <w:rsid w:val="0052703D"/>
    <w:rsid w:val="005271A6"/>
    <w:rsid w:val="0052720A"/>
    <w:rsid w:val="005273D4"/>
    <w:rsid w:val="005276E3"/>
    <w:rsid w:val="00527783"/>
    <w:rsid w:val="00527FC1"/>
    <w:rsid w:val="005315C8"/>
    <w:rsid w:val="005360D1"/>
    <w:rsid w:val="00540CB6"/>
    <w:rsid w:val="00540FEB"/>
    <w:rsid w:val="00541B20"/>
    <w:rsid w:val="00541F61"/>
    <w:rsid w:val="005423C8"/>
    <w:rsid w:val="00542521"/>
    <w:rsid w:val="00542F90"/>
    <w:rsid w:val="00543775"/>
    <w:rsid w:val="00544E1D"/>
    <w:rsid w:val="00545537"/>
    <w:rsid w:val="00545582"/>
    <w:rsid w:val="00545B60"/>
    <w:rsid w:val="0055175A"/>
    <w:rsid w:val="00552061"/>
    <w:rsid w:val="00555956"/>
    <w:rsid w:val="00555CC4"/>
    <w:rsid w:val="0056228F"/>
    <w:rsid w:val="00562F9E"/>
    <w:rsid w:val="005679B4"/>
    <w:rsid w:val="00567A71"/>
    <w:rsid w:val="00573F8B"/>
    <w:rsid w:val="00580141"/>
    <w:rsid w:val="00580695"/>
    <w:rsid w:val="00580871"/>
    <w:rsid w:val="005814B5"/>
    <w:rsid w:val="00581829"/>
    <w:rsid w:val="00582723"/>
    <w:rsid w:val="0058392B"/>
    <w:rsid w:val="0058398D"/>
    <w:rsid w:val="00583E4B"/>
    <w:rsid w:val="00586667"/>
    <w:rsid w:val="00586A7E"/>
    <w:rsid w:val="00586C35"/>
    <w:rsid w:val="00591F68"/>
    <w:rsid w:val="00592B40"/>
    <w:rsid w:val="005951D6"/>
    <w:rsid w:val="005953C4"/>
    <w:rsid w:val="005975E2"/>
    <w:rsid w:val="005A313D"/>
    <w:rsid w:val="005A3804"/>
    <w:rsid w:val="005A4408"/>
    <w:rsid w:val="005A4CF1"/>
    <w:rsid w:val="005A5AD3"/>
    <w:rsid w:val="005A7A18"/>
    <w:rsid w:val="005B6CE5"/>
    <w:rsid w:val="005C102F"/>
    <w:rsid w:val="005C136E"/>
    <w:rsid w:val="005C353C"/>
    <w:rsid w:val="005C4B91"/>
    <w:rsid w:val="005C509C"/>
    <w:rsid w:val="005C53F3"/>
    <w:rsid w:val="005C665A"/>
    <w:rsid w:val="005D00D4"/>
    <w:rsid w:val="005D0F51"/>
    <w:rsid w:val="005D3AFC"/>
    <w:rsid w:val="005D3E9D"/>
    <w:rsid w:val="005D43A8"/>
    <w:rsid w:val="005D4EFF"/>
    <w:rsid w:val="005D5242"/>
    <w:rsid w:val="005D70F2"/>
    <w:rsid w:val="005D7E5B"/>
    <w:rsid w:val="005E160C"/>
    <w:rsid w:val="005E2844"/>
    <w:rsid w:val="005E297F"/>
    <w:rsid w:val="005E321B"/>
    <w:rsid w:val="005E4B12"/>
    <w:rsid w:val="005E64D3"/>
    <w:rsid w:val="005E6E2E"/>
    <w:rsid w:val="005E761F"/>
    <w:rsid w:val="005F093A"/>
    <w:rsid w:val="005F0DF6"/>
    <w:rsid w:val="005F24BB"/>
    <w:rsid w:val="005F3A8D"/>
    <w:rsid w:val="005F6D4D"/>
    <w:rsid w:val="00600BDE"/>
    <w:rsid w:val="00600E5B"/>
    <w:rsid w:val="00601130"/>
    <w:rsid w:val="00601404"/>
    <w:rsid w:val="006032A6"/>
    <w:rsid w:val="006041A2"/>
    <w:rsid w:val="006137D4"/>
    <w:rsid w:val="00616014"/>
    <w:rsid w:val="00617E8B"/>
    <w:rsid w:val="00620208"/>
    <w:rsid w:val="00620DE3"/>
    <w:rsid w:val="0062158F"/>
    <w:rsid w:val="00624B6F"/>
    <w:rsid w:val="006256D3"/>
    <w:rsid w:val="00625846"/>
    <w:rsid w:val="00625BC9"/>
    <w:rsid w:val="00626AAF"/>
    <w:rsid w:val="00626ACC"/>
    <w:rsid w:val="006270A9"/>
    <w:rsid w:val="00627BB7"/>
    <w:rsid w:val="00627E65"/>
    <w:rsid w:val="00630583"/>
    <w:rsid w:val="006308CF"/>
    <w:rsid w:val="00633CFE"/>
    <w:rsid w:val="00633DD5"/>
    <w:rsid w:val="00636B62"/>
    <w:rsid w:val="0064183C"/>
    <w:rsid w:val="00643592"/>
    <w:rsid w:val="00644238"/>
    <w:rsid w:val="006443D2"/>
    <w:rsid w:val="00644A13"/>
    <w:rsid w:val="00645C8C"/>
    <w:rsid w:val="0064639B"/>
    <w:rsid w:val="006464E3"/>
    <w:rsid w:val="0065127D"/>
    <w:rsid w:val="0065136E"/>
    <w:rsid w:val="006559BB"/>
    <w:rsid w:val="006567F6"/>
    <w:rsid w:val="00656BBF"/>
    <w:rsid w:val="006574AD"/>
    <w:rsid w:val="00660691"/>
    <w:rsid w:val="00661E90"/>
    <w:rsid w:val="006631A2"/>
    <w:rsid w:val="006646B9"/>
    <w:rsid w:val="006656E1"/>
    <w:rsid w:val="00665B62"/>
    <w:rsid w:val="006674A7"/>
    <w:rsid w:val="00667E1E"/>
    <w:rsid w:val="00670D71"/>
    <w:rsid w:val="00671ED8"/>
    <w:rsid w:val="00674A48"/>
    <w:rsid w:val="00676267"/>
    <w:rsid w:val="00676B0D"/>
    <w:rsid w:val="00676F93"/>
    <w:rsid w:val="00677029"/>
    <w:rsid w:val="00680FBF"/>
    <w:rsid w:val="0068105F"/>
    <w:rsid w:val="006819FA"/>
    <w:rsid w:val="006821F4"/>
    <w:rsid w:val="0068385F"/>
    <w:rsid w:val="006874C9"/>
    <w:rsid w:val="006923A9"/>
    <w:rsid w:val="006924D5"/>
    <w:rsid w:val="00692FBD"/>
    <w:rsid w:val="006941B2"/>
    <w:rsid w:val="00695735"/>
    <w:rsid w:val="00696CD3"/>
    <w:rsid w:val="006A0B54"/>
    <w:rsid w:val="006A102F"/>
    <w:rsid w:val="006A24F1"/>
    <w:rsid w:val="006A2C8D"/>
    <w:rsid w:val="006A4032"/>
    <w:rsid w:val="006A4C5B"/>
    <w:rsid w:val="006A5240"/>
    <w:rsid w:val="006A7C3C"/>
    <w:rsid w:val="006A7F7E"/>
    <w:rsid w:val="006B1364"/>
    <w:rsid w:val="006B2AFB"/>
    <w:rsid w:val="006B42D7"/>
    <w:rsid w:val="006B595B"/>
    <w:rsid w:val="006B6981"/>
    <w:rsid w:val="006B74A1"/>
    <w:rsid w:val="006C0D7B"/>
    <w:rsid w:val="006C120C"/>
    <w:rsid w:val="006C15C3"/>
    <w:rsid w:val="006C1657"/>
    <w:rsid w:val="006C3F1C"/>
    <w:rsid w:val="006C4E73"/>
    <w:rsid w:val="006C72B2"/>
    <w:rsid w:val="006C79A5"/>
    <w:rsid w:val="006C7F1C"/>
    <w:rsid w:val="006D1624"/>
    <w:rsid w:val="006D32FC"/>
    <w:rsid w:val="006D37D1"/>
    <w:rsid w:val="006D4FE3"/>
    <w:rsid w:val="006D57CA"/>
    <w:rsid w:val="006D5829"/>
    <w:rsid w:val="006D6A50"/>
    <w:rsid w:val="006D777A"/>
    <w:rsid w:val="006D7EBC"/>
    <w:rsid w:val="006E10B2"/>
    <w:rsid w:val="006E322F"/>
    <w:rsid w:val="006E3E7E"/>
    <w:rsid w:val="006E414B"/>
    <w:rsid w:val="006E53B3"/>
    <w:rsid w:val="006E735B"/>
    <w:rsid w:val="006E73DA"/>
    <w:rsid w:val="006E7DCE"/>
    <w:rsid w:val="006F17E1"/>
    <w:rsid w:val="006F21D2"/>
    <w:rsid w:val="006F4CE4"/>
    <w:rsid w:val="006F5710"/>
    <w:rsid w:val="006F57A0"/>
    <w:rsid w:val="006F5D9A"/>
    <w:rsid w:val="00701409"/>
    <w:rsid w:val="0070238D"/>
    <w:rsid w:val="00703094"/>
    <w:rsid w:val="00703560"/>
    <w:rsid w:val="007050FF"/>
    <w:rsid w:val="00706EAB"/>
    <w:rsid w:val="007107C4"/>
    <w:rsid w:val="00710D2E"/>
    <w:rsid w:val="007114B2"/>
    <w:rsid w:val="00711BC0"/>
    <w:rsid w:val="00713E0D"/>
    <w:rsid w:val="00714E11"/>
    <w:rsid w:val="00715CB9"/>
    <w:rsid w:val="00716705"/>
    <w:rsid w:val="00720451"/>
    <w:rsid w:val="00720947"/>
    <w:rsid w:val="00720F75"/>
    <w:rsid w:val="007221A9"/>
    <w:rsid w:val="0072227C"/>
    <w:rsid w:val="0072232A"/>
    <w:rsid w:val="00722C56"/>
    <w:rsid w:val="00722C82"/>
    <w:rsid w:val="007231DF"/>
    <w:rsid w:val="00723515"/>
    <w:rsid w:val="007239DA"/>
    <w:rsid w:val="00725C22"/>
    <w:rsid w:val="007314CE"/>
    <w:rsid w:val="007319CE"/>
    <w:rsid w:val="00732405"/>
    <w:rsid w:val="00732B82"/>
    <w:rsid w:val="00735327"/>
    <w:rsid w:val="00736511"/>
    <w:rsid w:val="00736E0B"/>
    <w:rsid w:val="0073706F"/>
    <w:rsid w:val="00744554"/>
    <w:rsid w:val="0074567B"/>
    <w:rsid w:val="00747E18"/>
    <w:rsid w:val="00750416"/>
    <w:rsid w:val="00751B3E"/>
    <w:rsid w:val="00751CEA"/>
    <w:rsid w:val="00752764"/>
    <w:rsid w:val="0075376A"/>
    <w:rsid w:val="00753CDA"/>
    <w:rsid w:val="00755504"/>
    <w:rsid w:val="007558F4"/>
    <w:rsid w:val="00755F14"/>
    <w:rsid w:val="00756669"/>
    <w:rsid w:val="00756E28"/>
    <w:rsid w:val="00757D03"/>
    <w:rsid w:val="007610F9"/>
    <w:rsid w:val="00761FB6"/>
    <w:rsid w:val="007632DC"/>
    <w:rsid w:val="007644D6"/>
    <w:rsid w:val="007650B5"/>
    <w:rsid w:val="00766186"/>
    <w:rsid w:val="00766962"/>
    <w:rsid w:val="007672B7"/>
    <w:rsid w:val="0076745F"/>
    <w:rsid w:val="00771645"/>
    <w:rsid w:val="00772106"/>
    <w:rsid w:val="00772619"/>
    <w:rsid w:val="0077267E"/>
    <w:rsid w:val="00772F09"/>
    <w:rsid w:val="007740B7"/>
    <w:rsid w:val="007743CD"/>
    <w:rsid w:val="00775287"/>
    <w:rsid w:val="0077681D"/>
    <w:rsid w:val="007768A1"/>
    <w:rsid w:val="00776C90"/>
    <w:rsid w:val="00776FB3"/>
    <w:rsid w:val="0078135F"/>
    <w:rsid w:val="00782645"/>
    <w:rsid w:val="00784C15"/>
    <w:rsid w:val="00785623"/>
    <w:rsid w:val="0078678C"/>
    <w:rsid w:val="007867BB"/>
    <w:rsid w:val="00787E33"/>
    <w:rsid w:val="00790432"/>
    <w:rsid w:val="00790C01"/>
    <w:rsid w:val="00792EB2"/>
    <w:rsid w:val="007933C8"/>
    <w:rsid w:val="0079366D"/>
    <w:rsid w:val="00793F47"/>
    <w:rsid w:val="00795936"/>
    <w:rsid w:val="00796924"/>
    <w:rsid w:val="00797BC5"/>
    <w:rsid w:val="007A0716"/>
    <w:rsid w:val="007A1335"/>
    <w:rsid w:val="007A2A6E"/>
    <w:rsid w:val="007A2D1C"/>
    <w:rsid w:val="007A3CB6"/>
    <w:rsid w:val="007A4875"/>
    <w:rsid w:val="007A4ECA"/>
    <w:rsid w:val="007A6CC3"/>
    <w:rsid w:val="007A7DAB"/>
    <w:rsid w:val="007B18DD"/>
    <w:rsid w:val="007B1E33"/>
    <w:rsid w:val="007B228B"/>
    <w:rsid w:val="007B2601"/>
    <w:rsid w:val="007B2641"/>
    <w:rsid w:val="007B26DA"/>
    <w:rsid w:val="007B531C"/>
    <w:rsid w:val="007C01AC"/>
    <w:rsid w:val="007C1B02"/>
    <w:rsid w:val="007C3013"/>
    <w:rsid w:val="007C37F9"/>
    <w:rsid w:val="007C47AE"/>
    <w:rsid w:val="007C5105"/>
    <w:rsid w:val="007C6E09"/>
    <w:rsid w:val="007C7095"/>
    <w:rsid w:val="007D02A0"/>
    <w:rsid w:val="007D0AE2"/>
    <w:rsid w:val="007D188B"/>
    <w:rsid w:val="007D33F4"/>
    <w:rsid w:val="007D3C31"/>
    <w:rsid w:val="007D3C57"/>
    <w:rsid w:val="007D5070"/>
    <w:rsid w:val="007D6DA7"/>
    <w:rsid w:val="007D6EB5"/>
    <w:rsid w:val="007D744B"/>
    <w:rsid w:val="007E0A1A"/>
    <w:rsid w:val="007E0EA4"/>
    <w:rsid w:val="007E2D4B"/>
    <w:rsid w:val="007E33F7"/>
    <w:rsid w:val="007E3BFD"/>
    <w:rsid w:val="007E471B"/>
    <w:rsid w:val="007F0728"/>
    <w:rsid w:val="007F0A14"/>
    <w:rsid w:val="007F0D77"/>
    <w:rsid w:val="007F3094"/>
    <w:rsid w:val="007F3ABE"/>
    <w:rsid w:val="007F3E4C"/>
    <w:rsid w:val="007F501B"/>
    <w:rsid w:val="007F5D74"/>
    <w:rsid w:val="007F6533"/>
    <w:rsid w:val="00801256"/>
    <w:rsid w:val="00801FCF"/>
    <w:rsid w:val="00802289"/>
    <w:rsid w:val="00802652"/>
    <w:rsid w:val="00802C57"/>
    <w:rsid w:val="00805B32"/>
    <w:rsid w:val="00807A78"/>
    <w:rsid w:val="0081351B"/>
    <w:rsid w:val="00814C9F"/>
    <w:rsid w:val="0081667C"/>
    <w:rsid w:val="00816808"/>
    <w:rsid w:val="008173F3"/>
    <w:rsid w:val="00822751"/>
    <w:rsid w:val="00823903"/>
    <w:rsid w:val="00823FF6"/>
    <w:rsid w:val="00824E43"/>
    <w:rsid w:val="00824F48"/>
    <w:rsid w:val="00825424"/>
    <w:rsid w:val="00825A5B"/>
    <w:rsid w:val="008276E8"/>
    <w:rsid w:val="00827D03"/>
    <w:rsid w:val="008328E9"/>
    <w:rsid w:val="00834967"/>
    <w:rsid w:val="00834C83"/>
    <w:rsid w:val="00835082"/>
    <w:rsid w:val="0083589B"/>
    <w:rsid w:val="00835BCB"/>
    <w:rsid w:val="00835CDC"/>
    <w:rsid w:val="00840536"/>
    <w:rsid w:val="008424C6"/>
    <w:rsid w:val="00842E75"/>
    <w:rsid w:val="00845248"/>
    <w:rsid w:val="0084654B"/>
    <w:rsid w:val="00847570"/>
    <w:rsid w:val="00847625"/>
    <w:rsid w:val="008508CC"/>
    <w:rsid w:val="00850B09"/>
    <w:rsid w:val="0085126E"/>
    <w:rsid w:val="00852801"/>
    <w:rsid w:val="00853C6D"/>
    <w:rsid w:val="0085489C"/>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B40"/>
    <w:rsid w:val="008737DE"/>
    <w:rsid w:val="008775BC"/>
    <w:rsid w:val="00877FE8"/>
    <w:rsid w:val="00880FB8"/>
    <w:rsid w:val="00881800"/>
    <w:rsid w:val="008825A0"/>
    <w:rsid w:val="00882609"/>
    <w:rsid w:val="00882F1B"/>
    <w:rsid w:val="00883712"/>
    <w:rsid w:val="00884A5D"/>
    <w:rsid w:val="008855BC"/>
    <w:rsid w:val="00886131"/>
    <w:rsid w:val="00886249"/>
    <w:rsid w:val="00886C90"/>
    <w:rsid w:val="0089261A"/>
    <w:rsid w:val="00892CE9"/>
    <w:rsid w:val="00893636"/>
    <w:rsid w:val="008940A6"/>
    <w:rsid w:val="00894C5C"/>
    <w:rsid w:val="00894CE5"/>
    <w:rsid w:val="0089506B"/>
    <w:rsid w:val="00895280"/>
    <w:rsid w:val="00896643"/>
    <w:rsid w:val="00896D37"/>
    <w:rsid w:val="008A1F61"/>
    <w:rsid w:val="008A23C2"/>
    <w:rsid w:val="008A347C"/>
    <w:rsid w:val="008A3B21"/>
    <w:rsid w:val="008A4B2A"/>
    <w:rsid w:val="008A70CE"/>
    <w:rsid w:val="008A73A2"/>
    <w:rsid w:val="008A73C8"/>
    <w:rsid w:val="008A7E5E"/>
    <w:rsid w:val="008B1247"/>
    <w:rsid w:val="008B157F"/>
    <w:rsid w:val="008B2ABF"/>
    <w:rsid w:val="008B2B9E"/>
    <w:rsid w:val="008C0483"/>
    <w:rsid w:val="008C0AA6"/>
    <w:rsid w:val="008C18DC"/>
    <w:rsid w:val="008C22B4"/>
    <w:rsid w:val="008C25E4"/>
    <w:rsid w:val="008C2DAE"/>
    <w:rsid w:val="008C35B8"/>
    <w:rsid w:val="008C4848"/>
    <w:rsid w:val="008C6372"/>
    <w:rsid w:val="008C703C"/>
    <w:rsid w:val="008C7774"/>
    <w:rsid w:val="008D106E"/>
    <w:rsid w:val="008D35AB"/>
    <w:rsid w:val="008D5BB1"/>
    <w:rsid w:val="008D6157"/>
    <w:rsid w:val="008D76BB"/>
    <w:rsid w:val="008E00BF"/>
    <w:rsid w:val="008E3029"/>
    <w:rsid w:val="008E48BA"/>
    <w:rsid w:val="008E55BA"/>
    <w:rsid w:val="008E683D"/>
    <w:rsid w:val="008E6995"/>
    <w:rsid w:val="008F1C5D"/>
    <w:rsid w:val="008F4B8B"/>
    <w:rsid w:val="008F4DA8"/>
    <w:rsid w:val="008F5C19"/>
    <w:rsid w:val="008F5CCF"/>
    <w:rsid w:val="008F5E92"/>
    <w:rsid w:val="00900074"/>
    <w:rsid w:val="00900459"/>
    <w:rsid w:val="00900A1A"/>
    <w:rsid w:val="00900C65"/>
    <w:rsid w:val="0090114F"/>
    <w:rsid w:val="00902261"/>
    <w:rsid w:val="00903E7A"/>
    <w:rsid w:val="00904C0A"/>
    <w:rsid w:val="009059A9"/>
    <w:rsid w:val="0090753F"/>
    <w:rsid w:val="00910060"/>
    <w:rsid w:val="00910C00"/>
    <w:rsid w:val="00911363"/>
    <w:rsid w:val="009151C4"/>
    <w:rsid w:val="009153D4"/>
    <w:rsid w:val="00916078"/>
    <w:rsid w:val="00917B9D"/>
    <w:rsid w:val="00917DF5"/>
    <w:rsid w:val="009223BB"/>
    <w:rsid w:val="009232F2"/>
    <w:rsid w:val="009238C5"/>
    <w:rsid w:val="00923B9F"/>
    <w:rsid w:val="009244AD"/>
    <w:rsid w:val="0092515E"/>
    <w:rsid w:val="00927A2B"/>
    <w:rsid w:val="00930BA2"/>
    <w:rsid w:val="0093328F"/>
    <w:rsid w:val="0093362F"/>
    <w:rsid w:val="00934BF9"/>
    <w:rsid w:val="00934D5D"/>
    <w:rsid w:val="00936293"/>
    <w:rsid w:val="009364F7"/>
    <w:rsid w:val="0093795D"/>
    <w:rsid w:val="009379C8"/>
    <w:rsid w:val="009401C8"/>
    <w:rsid w:val="00940C29"/>
    <w:rsid w:val="0094138F"/>
    <w:rsid w:val="00941945"/>
    <w:rsid w:val="00941E7E"/>
    <w:rsid w:val="00941F90"/>
    <w:rsid w:val="00942026"/>
    <w:rsid w:val="00942840"/>
    <w:rsid w:val="00942FBD"/>
    <w:rsid w:val="009433D2"/>
    <w:rsid w:val="0094770B"/>
    <w:rsid w:val="00947DA1"/>
    <w:rsid w:val="0095098C"/>
    <w:rsid w:val="00952D57"/>
    <w:rsid w:val="00954B84"/>
    <w:rsid w:val="0095500A"/>
    <w:rsid w:val="00955C94"/>
    <w:rsid w:val="00957F77"/>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E61"/>
    <w:rsid w:val="00976533"/>
    <w:rsid w:val="00976D55"/>
    <w:rsid w:val="00983E8B"/>
    <w:rsid w:val="00987AA8"/>
    <w:rsid w:val="00990677"/>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36BC"/>
    <w:rsid w:val="009A3C86"/>
    <w:rsid w:val="009A3EEF"/>
    <w:rsid w:val="009A4759"/>
    <w:rsid w:val="009A51C2"/>
    <w:rsid w:val="009A65E1"/>
    <w:rsid w:val="009A7727"/>
    <w:rsid w:val="009B0982"/>
    <w:rsid w:val="009B2267"/>
    <w:rsid w:val="009B3163"/>
    <w:rsid w:val="009B3310"/>
    <w:rsid w:val="009B44BD"/>
    <w:rsid w:val="009B5C76"/>
    <w:rsid w:val="009B6273"/>
    <w:rsid w:val="009B7477"/>
    <w:rsid w:val="009B75F1"/>
    <w:rsid w:val="009C1677"/>
    <w:rsid w:val="009C4D29"/>
    <w:rsid w:val="009C4E55"/>
    <w:rsid w:val="009C55B1"/>
    <w:rsid w:val="009D09AD"/>
    <w:rsid w:val="009D0B87"/>
    <w:rsid w:val="009D13E0"/>
    <w:rsid w:val="009D1EC5"/>
    <w:rsid w:val="009D2783"/>
    <w:rsid w:val="009D2CC9"/>
    <w:rsid w:val="009D425A"/>
    <w:rsid w:val="009D5002"/>
    <w:rsid w:val="009D7BD2"/>
    <w:rsid w:val="009D7CF3"/>
    <w:rsid w:val="009E0AE8"/>
    <w:rsid w:val="009E0E95"/>
    <w:rsid w:val="009E4AA0"/>
    <w:rsid w:val="009E4DC7"/>
    <w:rsid w:val="009E5117"/>
    <w:rsid w:val="009E5374"/>
    <w:rsid w:val="009E5BDE"/>
    <w:rsid w:val="009E699F"/>
    <w:rsid w:val="009E7D0C"/>
    <w:rsid w:val="009F2A50"/>
    <w:rsid w:val="009F345D"/>
    <w:rsid w:val="009F372A"/>
    <w:rsid w:val="009F406C"/>
    <w:rsid w:val="009F5180"/>
    <w:rsid w:val="009F5383"/>
    <w:rsid w:val="009F57D2"/>
    <w:rsid w:val="009F5E65"/>
    <w:rsid w:val="00A0143B"/>
    <w:rsid w:val="00A0434C"/>
    <w:rsid w:val="00A04BB1"/>
    <w:rsid w:val="00A04F22"/>
    <w:rsid w:val="00A050C4"/>
    <w:rsid w:val="00A105B6"/>
    <w:rsid w:val="00A10F42"/>
    <w:rsid w:val="00A1302C"/>
    <w:rsid w:val="00A13218"/>
    <w:rsid w:val="00A134D2"/>
    <w:rsid w:val="00A136F7"/>
    <w:rsid w:val="00A146A7"/>
    <w:rsid w:val="00A14AD4"/>
    <w:rsid w:val="00A154A5"/>
    <w:rsid w:val="00A167E4"/>
    <w:rsid w:val="00A17890"/>
    <w:rsid w:val="00A17CF2"/>
    <w:rsid w:val="00A20021"/>
    <w:rsid w:val="00A205DC"/>
    <w:rsid w:val="00A22579"/>
    <w:rsid w:val="00A227A3"/>
    <w:rsid w:val="00A22823"/>
    <w:rsid w:val="00A234FD"/>
    <w:rsid w:val="00A245AB"/>
    <w:rsid w:val="00A24A70"/>
    <w:rsid w:val="00A250D6"/>
    <w:rsid w:val="00A27E73"/>
    <w:rsid w:val="00A31010"/>
    <w:rsid w:val="00A3128F"/>
    <w:rsid w:val="00A31490"/>
    <w:rsid w:val="00A32455"/>
    <w:rsid w:val="00A32C9A"/>
    <w:rsid w:val="00A32EA1"/>
    <w:rsid w:val="00A342A6"/>
    <w:rsid w:val="00A35D43"/>
    <w:rsid w:val="00A36110"/>
    <w:rsid w:val="00A36407"/>
    <w:rsid w:val="00A36C33"/>
    <w:rsid w:val="00A3777C"/>
    <w:rsid w:val="00A4108E"/>
    <w:rsid w:val="00A4183B"/>
    <w:rsid w:val="00A42238"/>
    <w:rsid w:val="00A446A5"/>
    <w:rsid w:val="00A47386"/>
    <w:rsid w:val="00A47D17"/>
    <w:rsid w:val="00A51FC7"/>
    <w:rsid w:val="00A523BE"/>
    <w:rsid w:val="00A5297A"/>
    <w:rsid w:val="00A53625"/>
    <w:rsid w:val="00A53F01"/>
    <w:rsid w:val="00A5575A"/>
    <w:rsid w:val="00A558E3"/>
    <w:rsid w:val="00A55E34"/>
    <w:rsid w:val="00A5646F"/>
    <w:rsid w:val="00A56C67"/>
    <w:rsid w:val="00A57073"/>
    <w:rsid w:val="00A5797D"/>
    <w:rsid w:val="00A57A90"/>
    <w:rsid w:val="00A60B73"/>
    <w:rsid w:val="00A61887"/>
    <w:rsid w:val="00A64F9C"/>
    <w:rsid w:val="00A653DC"/>
    <w:rsid w:val="00A67F12"/>
    <w:rsid w:val="00A70BAE"/>
    <w:rsid w:val="00A71BFB"/>
    <w:rsid w:val="00A72C87"/>
    <w:rsid w:val="00A7307F"/>
    <w:rsid w:val="00A734D2"/>
    <w:rsid w:val="00A74D4B"/>
    <w:rsid w:val="00A74FCD"/>
    <w:rsid w:val="00A74FF1"/>
    <w:rsid w:val="00A75267"/>
    <w:rsid w:val="00A76D19"/>
    <w:rsid w:val="00A7701F"/>
    <w:rsid w:val="00A77200"/>
    <w:rsid w:val="00A772AB"/>
    <w:rsid w:val="00A779A7"/>
    <w:rsid w:val="00A80080"/>
    <w:rsid w:val="00A81018"/>
    <w:rsid w:val="00A82238"/>
    <w:rsid w:val="00A85520"/>
    <w:rsid w:val="00A8663A"/>
    <w:rsid w:val="00A86DA6"/>
    <w:rsid w:val="00A8724D"/>
    <w:rsid w:val="00A87BA0"/>
    <w:rsid w:val="00A900E8"/>
    <w:rsid w:val="00A90341"/>
    <w:rsid w:val="00A90C75"/>
    <w:rsid w:val="00A93AD5"/>
    <w:rsid w:val="00A9471F"/>
    <w:rsid w:val="00A960C8"/>
    <w:rsid w:val="00A968DF"/>
    <w:rsid w:val="00AA024A"/>
    <w:rsid w:val="00AA14FC"/>
    <w:rsid w:val="00AA3DF1"/>
    <w:rsid w:val="00AA5751"/>
    <w:rsid w:val="00AA5AB6"/>
    <w:rsid w:val="00AA69CE"/>
    <w:rsid w:val="00AA7AFA"/>
    <w:rsid w:val="00AB0CA9"/>
    <w:rsid w:val="00AB232A"/>
    <w:rsid w:val="00AB4541"/>
    <w:rsid w:val="00AB4951"/>
    <w:rsid w:val="00AB49AB"/>
    <w:rsid w:val="00AB5653"/>
    <w:rsid w:val="00AB61F8"/>
    <w:rsid w:val="00AC1C79"/>
    <w:rsid w:val="00AC3603"/>
    <w:rsid w:val="00AC5BA6"/>
    <w:rsid w:val="00AC6729"/>
    <w:rsid w:val="00AC6B8A"/>
    <w:rsid w:val="00AD0595"/>
    <w:rsid w:val="00AD0650"/>
    <w:rsid w:val="00AD0AE9"/>
    <w:rsid w:val="00AD3CE9"/>
    <w:rsid w:val="00AD3EB7"/>
    <w:rsid w:val="00AD6525"/>
    <w:rsid w:val="00AD6EB6"/>
    <w:rsid w:val="00AE109C"/>
    <w:rsid w:val="00AE14CA"/>
    <w:rsid w:val="00AE2219"/>
    <w:rsid w:val="00AE2D1A"/>
    <w:rsid w:val="00AE2EA2"/>
    <w:rsid w:val="00AE402D"/>
    <w:rsid w:val="00AE43C7"/>
    <w:rsid w:val="00AE5291"/>
    <w:rsid w:val="00AE6660"/>
    <w:rsid w:val="00AE672A"/>
    <w:rsid w:val="00AF0D9D"/>
    <w:rsid w:val="00AF27AC"/>
    <w:rsid w:val="00AF3C32"/>
    <w:rsid w:val="00AF4483"/>
    <w:rsid w:val="00AF4D09"/>
    <w:rsid w:val="00AF539B"/>
    <w:rsid w:val="00AF5B5A"/>
    <w:rsid w:val="00AF5F70"/>
    <w:rsid w:val="00AF67BE"/>
    <w:rsid w:val="00AF749F"/>
    <w:rsid w:val="00AF7B2E"/>
    <w:rsid w:val="00B00E07"/>
    <w:rsid w:val="00B025DD"/>
    <w:rsid w:val="00B03C55"/>
    <w:rsid w:val="00B04516"/>
    <w:rsid w:val="00B054BE"/>
    <w:rsid w:val="00B101C9"/>
    <w:rsid w:val="00B108EC"/>
    <w:rsid w:val="00B10EA9"/>
    <w:rsid w:val="00B119AF"/>
    <w:rsid w:val="00B13A85"/>
    <w:rsid w:val="00B14F8E"/>
    <w:rsid w:val="00B153DB"/>
    <w:rsid w:val="00B205B9"/>
    <w:rsid w:val="00B2068E"/>
    <w:rsid w:val="00B21D97"/>
    <w:rsid w:val="00B22316"/>
    <w:rsid w:val="00B23624"/>
    <w:rsid w:val="00B24EE0"/>
    <w:rsid w:val="00B25892"/>
    <w:rsid w:val="00B25F54"/>
    <w:rsid w:val="00B2601D"/>
    <w:rsid w:val="00B26242"/>
    <w:rsid w:val="00B27B64"/>
    <w:rsid w:val="00B3105C"/>
    <w:rsid w:val="00B315A0"/>
    <w:rsid w:val="00B32336"/>
    <w:rsid w:val="00B33709"/>
    <w:rsid w:val="00B33898"/>
    <w:rsid w:val="00B34756"/>
    <w:rsid w:val="00B34A18"/>
    <w:rsid w:val="00B35466"/>
    <w:rsid w:val="00B35FF3"/>
    <w:rsid w:val="00B362A8"/>
    <w:rsid w:val="00B3694E"/>
    <w:rsid w:val="00B45795"/>
    <w:rsid w:val="00B460F5"/>
    <w:rsid w:val="00B468CE"/>
    <w:rsid w:val="00B47A2B"/>
    <w:rsid w:val="00B5204A"/>
    <w:rsid w:val="00B5318A"/>
    <w:rsid w:val="00B5364F"/>
    <w:rsid w:val="00B55BCE"/>
    <w:rsid w:val="00B579CB"/>
    <w:rsid w:val="00B60835"/>
    <w:rsid w:val="00B60B96"/>
    <w:rsid w:val="00B61B3F"/>
    <w:rsid w:val="00B6236E"/>
    <w:rsid w:val="00B62468"/>
    <w:rsid w:val="00B626CD"/>
    <w:rsid w:val="00B6428C"/>
    <w:rsid w:val="00B677D9"/>
    <w:rsid w:val="00B67EE6"/>
    <w:rsid w:val="00B70083"/>
    <w:rsid w:val="00B71B58"/>
    <w:rsid w:val="00B7366D"/>
    <w:rsid w:val="00B75CAF"/>
    <w:rsid w:val="00B77030"/>
    <w:rsid w:val="00B77650"/>
    <w:rsid w:val="00B77808"/>
    <w:rsid w:val="00B8005A"/>
    <w:rsid w:val="00B821BB"/>
    <w:rsid w:val="00B82EC1"/>
    <w:rsid w:val="00B837A3"/>
    <w:rsid w:val="00B83AD6"/>
    <w:rsid w:val="00B8400C"/>
    <w:rsid w:val="00B84445"/>
    <w:rsid w:val="00B8707C"/>
    <w:rsid w:val="00B9530B"/>
    <w:rsid w:val="00B97377"/>
    <w:rsid w:val="00BA0F3C"/>
    <w:rsid w:val="00BA2789"/>
    <w:rsid w:val="00BA2947"/>
    <w:rsid w:val="00BA5048"/>
    <w:rsid w:val="00BA5C94"/>
    <w:rsid w:val="00BA6557"/>
    <w:rsid w:val="00BA7107"/>
    <w:rsid w:val="00BA73D5"/>
    <w:rsid w:val="00BA7542"/>
    <w:rsid w:val="00BB1A0B"/>
    <w:rsid w:val="00BB22EA"/>
    <w:rsid w:val="00BB28F6"/>
    <w:rsid w:val="00BB295B"/>
    <w:rsid w:val="00BB455D"/>
    <w:rsid w:val="00BB4A2E"/>
    <w:rsid w:val="00BB5CF1"/>
    <w:rsid w:val="00BB6CC5"/>
    <w:rsid w:val="00BB73D3"/>
    <w:rsid w:val="00BB7AF1"/>
    <w:rsid w:val="00BC088A"/>
    <w:rsid w:val="00BC0EEC"/>
    <w:rsid w:val="00BC1123"/>
    <w:rsid w:val="00BC2609"/>
    <w:rsid w:val="00BC2EB0"/>
    <w:rsid w:val="00BC32DC"/>
    <w:rsid w:val="00BC5A2F"/>
    <w:rsid w:val="00BC617C"/>
    <w:rsid w:val="00BD196C"/>
    <w:rsid w:val="00BD1DFC"/>
    <w:rsid w:val="00BD2756"/>
    <w:rsid w:val="00BD2863"/>
    <w:rsid w:val="00BD60E7"/>
    <w:rsid w:val="00BD6DB2"/>
    <w:rsid w:val="00BD75DB"/>
    <w:rsid w:val="00BD778B"/>
    <w:rsid w:val="00BE05CF"/>
    <w:rsid w:val="00BE0A0F"/>
    <w:rsid w:val="00BE27BC"/>
    <w:rsid w:val="00BE3240"/>
    <w:rsid w:val="00BE67F0"/>
    <w:rsid w:val="00BF09C3"/>
    <w:rsid w:val="00BF0D31"/>
    <w:rsid w:val="00BF2BE8"/>
    <w:rsid w:val="00BF306E"/>
    <w:rsid w:val="00BF3B3A"/>
    <w:rsid w:val="00BF4AFD"/>
    <w:rsid w:val="00BF4DB0"/>
    <w:rsid w:val="00BF5F30"/>
    <w:rsid w:val="00BF7BCA"/>
    <w:rsid w:val="00C00919"/>
    <w:rsid w:val="00C00A25"/>
    <w:rsid w:val="00C00B4D"/>
    <w:rsid w:val="00C0185E"/>
    <w:rsid w:val="00C0268B"/>
    <w:rsid w:val="00C02E87"/>
    <w:rsid w:val="00C03255"/>
    <w:rsid w:val="00C0407F"/>
    <w:rsid w:val="00C04BC6"/>
    <w:rsid w:val="00C06E57"/>
    <w:rsid w:val="00C07033"/>
    <w:rsid w:val="00C07DBD"/>
    <w:rsid w:val="00C1039F"/>
    <w:rsid w:val="00C10514"/>
    <w:rsid w:val="00C13145"/>
    <w:rsid w:val="00C13B23"/>
    <w:rsid w:val="00C13F4F"/>
    <w:rsid w:val="00C14316"/>
    <w:rsid w:val="00C14B83"/>
    <w:rsid w:val="00C14D49"/>
    <w:rsid w:val="00C16883"/>
    <w:rsid w:val="00C17496"/>
    <w:rsid w:val="00C2010A"/>
    <w:rsid w:val="00C22215"/>
    <w:rsid w:val="00C23752"/>
    <w:rsid w:val="00C2406E"/>
    <w:rsid w:val="00C2427E"/>
    <w:rsid w:val="00C26062"/>
    <w:rsid w:val="00C3045E"/>
    <w:rsid w:val="00C309E0"/>
    <w:rsid w:val="00C31C53"/>
    <w:rsid w:val="00C33E5A"/>
    <w:rsid w:val="00C342C9"/>
    <w:rsid w:val="00C34538"/>
    <w:rsid w:val="00C34747"/>
    <w:rsid w:val="00C35A35"/>
    <w:rsid w:val="00C36222"/>
    <w:rsid w:val="00C36C76"/>
    <w:rsid w:val="00C378FE"/>
    <w:rsid w:val="00C42674"/>
    <w:rsid w:val="00C42F6F"/>
    <w:rsid w:val="00C43428"/>
    <w:rsid w:val="00C43683"/>
    <w:rsid w:val="00C4545A"/>
    <w:rsid w:val="00C45606"/>
    <w:rsid w:val="00C467C8"/>
    <w:rsid w:val="00C473F6"/>
    <w:rsid w:val="00C501D4"/>
    <w:rsid w:val="00C50540"/>
    <w:rsid w:val="00C50729"/>
    <w:rsid w:val="00C518C9"/>
    <w:rsid w:val="00C52BA8"/>
    <w:rsid w:val="00C54315"/>
    <w:rsid w:val="00C543C6"/>
    <w:rsid w:val="00C54D5B"/>
    <w:rsid w:val="00C5516D"/>
    <w:rsid w:val="00C57513"/>
    <w:rsid w:val="00C5783B"/>
    <w:rsid w:val="00C57BA5"/>
    <w:rsid w:val="00C57F39"/>
    <w:rsid w:val="00C61174"/>
    <w:rsid w:val="00C62007"/>
    <w:rsid w:val="00C62065"/>
    <w:rsid w:val="00C62675"/>
    <w:rsid w:val="00C70D1A"/>
    <w:rsid w:val="00C710C1"/>
    <w:rsid w:val="00C713AE"/>
    <w:rsid w:val="00C730BF"/>
    <w:rsid w:val="00C73471"/>
    <w:rsid w:val="00C74DB0"/>
    <w:rsid w:val="00C75087"/>
    <w:rsid w:val="00C81415"/>
    <w:rsid w:val="00C819DA"/>
    <w:rsid w:val="00C820C3"/>
    <w:rsid w:val="00C8303A"/>
    <w:rsid w:val="00C865B8"/>
    <w:rsid w:val="00C86979"/>
    <w:rsid w:val="00C908C0"/>
    <w:rsid w:val="00C911FC"/>
    <w:rsid w:val="00C91784"/>
    <w:rsid w:val="00C93113"/>
    <w:rsid w:val="00C93379"/>
    <w:rsid w:val="00C93FA8"/>
    <w:rsid w:val="00C946CD"/>
    <w:rsid w:val="00C94A20"/>
    <w:rsid w:val="00C94D44"/>
    <w:rsid w:val="00C954AB"/>
    <w:rsid w:val="00C96788"/>
    <w:rsid w:val="00CA08CF"/>
    <w:rsid w:val="00CA0E3E"/>
    <w:rsid w:val="00CA1EF7"/>
    <w:rsid w:val="00CA4BD3"/>
    <w:rsid w:val="00CA6702"/>
    <w:rsid w:val="00CB0294"/>
    <w:rsid w:val="00CB1C4F"/>
    <w:rsid w:val="00CB6134"/>
    <w:rsid w:val="00CC01F6"/>
    <w:rsid w:val="00CC0661"/>
    <w:rsid w:val="00CC217C"/>
    <w:rsid w:val="00CC24F5"/>
    <w:rsid w:val="00CC3282"/>
    <w:rsid w:val="00CC3682"/>
    <w:rsid w:val="00CC3A48"/>
    <w:rsid w:val="00CC555A"/>
    <w:rsid w:val="00CD1D81"/>
    <w:rsid w:val="00CD27F9"/>
    <w:rsid w:val="00CD3D1A"/>
    <w:rsid w:val="00CD426B"/>
    <w:rsid w:val="00CE1715"/>
    <w:rsid w:val="00CE1D0B"/>
    <w:rsid w:val="00CE2725"/>
    <w:rsid w:val="00CE5656"/>
    <w:rsid w:val="00CE5886"/>
    <w:rsid w:val="00CE73B9"/>
    <w:rsid w:val="00CE750F"/>
    <w:rsid w:val="00CF0FD2"/>
    <w:rsid w:val="00CF1355"/>
    <w:rsid w:val="00CF138C"/>
    <w:rsid w:val="00CF2C6E"/>
    <w:rsid w:val="00CF3397"/>
    <w:rsid w:val="00CF43B6"/>
    <w:rsid w:val="00CF5D9F"/>
    <w:rsid w:val="00CF61FB"/>
    <w:rsid w:val="00CF62A2"/>
    <w:rsid w:val="00CF67EB"/>
    <w:rsid w:val="00CF7979"/>
    <w:rsid w:val="00D00038"/>
    <w:rsid w:val="00D02F95"/>
    <w:rsid w:val="00D103B6"/>
    <w:rsid w:val="00D10CBB"/>
    <w:rsid w:val="00D1107C"/>
    <w:rsid w:val="00D160CB"/>
    <w:rsid w:val="00D16F43"/>
    <w:rsid w:val="00D17B8F"/>
    <w:rsid w:val="00D2050B"/>
    <w:rsid w:val="00D206C3"/>
    <w:rsid w:val="00D22DA6"/>
    <w:rsid w:val="00D23E63"/>
    <w:rsid w:val="00D245A1"/>
    <w:rsid w:val="00D24D73"/>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2055"/>
    <w:rsid w:val="00D43C97"/>
    <w:rsid w:val="00D4539F"/>
    <w:rsid w:val="00D4727D"/>
    <w:rsid w:val="00D475F4"/>
    <w:rsid w:val="00D50BB9"/>
    <w:rsid w:val="00D51685"/>
    <w:rsid w:val="00D52AA9"/>
    <w:rsid w:val="00D534C9"/>
    <w:rsid w:val="00D535A9"/>
    <w:rsid w:val="00D54A47"/>
    <w:rsid w:val="00D57862"/>
    <w:rsid w:val="00D57AB8"/>
    <w:rsid w:val="00D629B8"/>
    <w:rsid w:val="00D633E7"/>
    <w:rsid w:val="00D647C3"/>
    <w:rsid w:val="00D67522"/>
    <w:rsid w:val="00D677A7"/>
    <w:rsid w:val="00D72430"/>
    <w:rsid w:val="00D72DC8"/>
    <w:rsid w:val="00D73142"/>
    <w:rsid w:val="00D73DDA"/>
    <w:rsid w:val="00D7462E"/>
    <w:rsid w:val="00D751EA"/>
    <w:rsid w:val="00D755B7"/>
    <w:rsid w:val="00D75AFF"/>
    <w:rsid w:val="00D75D67"/>
    <w:rsid w:val="00D76E4A"/>
    <w:rsid w:val="00D7776A"/>
    <w:rsid w:val="00D803EF"/>
    <w:rsid w:val="00D812B8"/>
    <w:rsid w:val="00D8194D"/>
    <w:rsid w:val="00D82516"/>
    <w:rsid w:val="00D82766"/>
    <w:rsid w:val="00D84D91"/>
    <w:rsid w:val="00D852AF"/>
    <w:rsid w:val="00D87A0A"/>
    <w:rsid w:val="00D90262"/>
    <w:rsid w:val="00D90922"/>
    <w:rsid w:val="00D92B35"/>
    <w:rsid w:val="00D938AB"/>
    <w:rsid w:val="00D95CBC"/>
    <w:rsid w:val="00D960A0"/>
    <w:rsid w:val="00D9633A"/>
    <w:rsid w:val="00D9670C"/>
    <w:rsid w:val="00D96755"/>
    <w:rsid w:val="00D96DE7"/>
    <w:rsid w:val="00D9712F"/>
    <w:rsid w:val="00D97360"/>
    <w:rsid w:val="00D97394"/>
    <w:rsid w:val="00D97CAE"/>
    <w:rsid w:val="00DA12D0"/>
    <w:rsid w:val="00DA2B5B"/>
    <w:rsid w:val="00DA2E72"/>
    <w:rsid w:val="00DA46C2"/>
    <w:rsid w:val="00DA578B"/>
    <w:rsid w:val="00DA5D46"/>
    <w:rsid w:val="00DA6127"/>
    <w:rsid w:val="00DA6FAA"/>
    <w:rsid w:val="00DA7BE0"/>
    <w:rsid w:val="00DB442F"/>
    <w:rsid w:val="00DB623C"/>
    <w:rsid w:val="00DB7060"/>
    <w:rsid w:val="00DB787B"/>
    <w:rsid w:val="00DC0921"/>
    <w:rsid w:val="00DC0D32"/>
    <w:rsid w:val="00DC10B9"/>
    <w:rsid w:val="00DC1D97"/>
    <w:rsid w:val="00DC30C3"/>
    <w:rsid w:val="00DC40CE"/>
    <w:rsid w:val="00DC49DD"/>
    <w:rsid w:val="00DC5FC9"/>
    <w:rsid w:val="00DC6804"/>
    <w:rsid w:val="00DC6EAD"/>
    <w:rsid w:val="00DC7020"/>
    <w:rsid w:val="00DC7204"/>
    <w:rsid w:val="00DD0118"/>
    <w:rsid w:val="00DD02FD"/>
    <w:rsid w:val="00DD06AD"/>
    <w:rsid w:val="00DD11D8"/>
    <w:rsid w:val="00DD24F7"/>
    <w:rsid w:val="00DD6086"/>
    <w:rsid w:val="00DD65A4"/>
    <w:rsid w:val="00DD71E2"/>
    <w:rsid w:val="00DE0698"/>
    <w:rsid w:val="00DE0F22"/>
    <w:rsid w:val="00DE1179"/>
    <w:rsid w:val="00DE43CA"/>
    <w:rsid w:val="00DE5D75"/>
    <w:rsid w:val="00DE6208"/>
    <w:rsid w:val="00DE6299"/>
    <w:rsid w:val="00DE63F0"/>
    <w:rsid w:val="00DF0404"/>
    <w:rsid w:val="00DF1D6D"/>
    <w:rsid w:val="00DF2386"/>
    <w:rsid w:val="00DF47CD"/>
    <w:rsid w:val="00DF64E5"/>
    <w:rsid w:val="00DF7FE7"/>
    <w:rsid w:val="00E00083"/>
    <w:rsid w:val="00E02B6E"/>
    <w:rsid w:val="00E03835"/>
    <w:rsid w:val="00E10665"/>
    <w:rsid w:val="00E1551C"/>
    <w:rsid w:val="00E15F60"/>
    <w:rsid w:val="00E16CC2"/>
    <w:rsid w:val="00E21282"/>
    <w:rsid w:val="00E215B3"/>
    <w:rsid w:val="00E2327D"/>
    <w:rsid w:val="00E246D8"/>
    <w:rsid w:val="00E253A0"/>
    <w:rsid w:val="00E25888"/>
    <w:rsid w:val="00E27915"/>
    <w:rsid w:val="00E27D44"/>
    <w:rsid w:val="00E27EBA"/>
    <w:rsid w:val="00E3014F"/>
    <w:rsid w:val="00E308E6"/>
    <w:rsid w:val="00E32440"/>
    <w:rsid w:val="00E337BF"/>
    <w:rsid w:val="00E33B83"/>
    <w:rsid w:val="00E35DD4"/>
    <w:rsid w:val="00E37BA7"/>
    <w:rsid w:val="00E37FD9"/>
    <w:rsid w:val="00E42115"/>
    <w:rsid w:val="00E42F5B"/>
    <w:rsid w:val="00E43E6D"/>
    <w:rsid w:val="00E43F8B"/>
    <w:rsid w:val="00E46367"/>
    <w:rsid w:val="00E472B8"/>
    <w:rsid w:val="00E509AF"/>
    <w:rsid w:val="00E523FF"/>
    <w:rsid w:val="00E526F8"/>
    <w:rsid w:val="00E53B79"/>
    <w:rsid w:val="00E57506"/>
    <w:rsid w:val="00E61CC2"/>
    <w:rsid w:val="00E625A0"/>
    <w:rsid w:val="00E63F0B"/>
    <w:rsid w:val="00E64581"/>
    <w:rsid w:val="00E64BA3"/>
    <w:rsid w:val="00E6689D"/>
    <w:rsid w:val="00E675AE"/>
    <w:rsid w:val="00E7033E"/>
    <w:rsid w:val="00E71602"/>
    <w:rsid w:val="00E72C60"/>
    <w:rsid w:val="00E736EE"/>
    <w:rsid w:val="00E74FC5"/>
    <w:rsid w:val="00E755EA"/>
    <w:rsid w:val="00E7726B"/>
    <w:rsid w:val="00E772E5"/>
    <w:rsid w:val="00E8159A"/>
    <w:rsid w:val="00E822EB"/>
    <w:rsid w:val="00E84205"/>
    <w:rsid w:val="00E8596C"/>
    <w:rsid w:val="00E86878"/>
    <w:rsid w:val="00E911FD"/>
    <w:rsid w:val="00E9130A"/>
    <w:rsid w:val="00E91F83"/>
    <w:rsid w:val="00E921A2"/>
    <w:rsid w:val="00E92342"/>
    <w:rsid w:val="00E92DCD"/>
    <w:rsid w:val="00E93B56"/>
    <w:rsid w:val="00E93BB6"/>
    <w:rsid w:val="00E94759"/>
    <w:rsid w:val="00E950BB"/>
    <w:rsid w:val="00E95665"/>
    <w:rsid w:val="00E95F52"/>
    <w:rsid w:val="00EA0263"/>
    <w:rsid w:val="00EA0987"/>
    <w:rsid w:val="00EA13DA"/>
    <w:rsid w:val="00EA1FF6"/>
    <w:rsid w:val="00EA2765"/>
    <w:rsid w:val="00EA33CB"/>
    <w:rsid w:val="00EA3A7F"/>
    <w:rsid w:val="00EA3FC2"/>
    <w:rsid w:val="00EA444A"/>
    <w:rsid w:val="00EA44B5"/>
    <w:rsid w:val="00EA4DD8"/>
    <w:rsid w:val="00EA683B"/>
    <w:rsid w:val="00EB151B"/>
    <w:rsid w:val="00EB2FE6"/>
    <w:rsid w:val="00EB4CBD"/>
    <w:rsid w:val="00EB642F"/>
    <w:rsid w:val="00EB7DA6"/>
    <w:rsid w:val="00EC0504"/>
    <w:rsid w:val="00EC0525"/>
    <w:rsid w:val="00EC1205"/>
    <w:rsid w:val="00EC13B3"/>
    <w:rsid w:val="00EC1696"/>
    <w:rsid w:val="00EC1AA4"/>
    <w:rsid w:val="00EC32C4"/>
    <w:rsid w:val="00EC3671"/>
    <w:rsid w:val="00EC61E0"/>
    <w:rsid w:val="00EC6CBC"/>
    <w:rsid w:val="00EC72B0"/>
    <w:rsid w:val="00ED018D"/>
    <w:rsid w:val="00ED13F4"/>
    <w:rsid w:val="00ED1F5E"/>
    <w:rsid w:val="00ED36F8"/>
    <w:rsid w:val="00ED49D6"/>
    <w:rsid w:val="00ED555B"/>
    <w:rsid w:val="00ED6057"/>
    <w:rsid w:val="00ED64A9"/>
    <w:rsid w:val="00ED64C2"/>
    <w:rsid w:val="00EE0EB6"/>
    <w:rsid w:val="00EE309D"/>
    <w:rsid w:val="00EE458C"/>
    <w:rsid w:val="00EE484E"/>
    <w:rsid w:val="00EE4EE3"/>
    <w:rsid w:val="00EE63B0"/>
    <w:rsid w:val="00EE7199"/>
    <w:rsid w:val="00EF0AB8"/>
    <w:rsid w:val="00EF17AC"/>
    <w:rsid w:val="00EF29EA"/>
    <w:rsid w:val="00EF5C41"/>
    <w:rsid w:val="00EF5C9D"/>
    <w:rsid w:val="00EF5E91"/>
    <w:rsid w:val="00EF666E"/>
    <w:rsid w:val="00F02473"/>
    <w:rsid w:val="00F02552"/>
    <w:rsid w:val="00F03C83"/>
    <w:rsid w:val="00F04266"/>
    <w:rsid w:val="00F05E48"/>
    <w:rsid w:val="00F05E6F"/>
    <w:rsid w:val="00F078F1"/>
    <w:rsid w:val="00F1054B"/>
    <w:rsid w:val="00F117D1"/>
    <w:rsid w:val="00F1291E"/>
    <w:rsid w:val="00F12D14"/>
    <w:rsid w:val="00F12DEB"/>
    <w:rsid w:val="00F1556C"/>
    <w:rsid w:val="00F175F5"/>
    <w:rsid w:val="00F204C2"/>
    <w:rsid w:val="00F212AF"/>
    <w:rsid w:val="00F228A7"/>
    <w:rsid w:val="00F253B4"/>
    <w:rsid w:val="00F26404"/>
    <w:rsid w:val="00F27F55"/>
    <w:rsid w:val="00F30BFA"/>
    <w:rsid w:val="00F32065"/>
    <w:rsid w:val="00F32D03"/>
    <w:rsid w:val="00F3443C"/>
    <w:rsid w:val="00F344DE"/>
    <w:rsid w:val="00F36780"/>
    <w:rsid w:val="00F36F5F"/>
    <w:rsid w:val="00F376CC"/>
    <w:rsid w:val="00F43CEA"/>
    <w:rsid w:val="00F440F9"/>
    <w:rsid w:val="00F442BD"/>
    <w:rsid w:val="00F44D2C"/>
    <w:rsid w:val="00F45CC2"/>
    <w:rsid w:val="00F51E7B"/>
    <w:rsid w:val="00F53F39"/>
    <w:rsid w:val="00F547A8"/>
    <w:rsid w:val="00F54855"/>
    <w:rsid w:val="00F55052"/>
    <w:rsid w:val="00F551D6"/>
    <w:rsid w:val="00F553CC"/>
    <w:rsid w:val="00F55684"/>
    <w:rsid w:val="00F573D2"/>
    <w:rsid w:val="00F60C5C"/>
    <w:rsid w:val="00F62079"/>
    <w:rsid w:val="00F62368"/>
    <w:rsid w:val="00F624C0"/>
    <w:rsid w:val="00F64385"/>
    <w:rsid w:val="00F6516D"/>
    <w:rsid w:val="00F6652D"/>
    <w:rsid w:val="00F66F94"/>
    <w:rsid w:val="00F70A79"/>
    <w:rsid w:val="00F70F19"/>
    <w:rsid w:val="00F71EAD"/>
    <w:rsid w:val="00F72237"/>
    <w:rsid w:val="00F72F74"/>
    <w:rsid w:val="00F73E71"/>
    <w:rsid w:val="00F7408E"/>
    <w:rsid w:val="00F74893"/>
    <w:rsid w:val="00F76A53"/>
    <w:rsid w:val="00F81721"/>
    <w:rsid w:val="00F82F05"/>
    <w:rsid w:val="00F83EC8"/>
    <w:rsid w:val="00F84BD4"/>
    <w:rsid w:val="00F852B9"/>
    <w:rsid w:val="00F861A9"/>
    <w:rsid w:val="00F86933"/>
    <w:rsid w:val="00F9197D"/>
    <w:rsid w:val="00F91BD4"/>
    <w:rsid w:val="00F93D83"/>
    <w:rsid w:val="00F95CA0"/>
    <w:rsid w:val="00F96BA5"/>
    <w:rsid w:val="00F973A1"/>
    <w:rsid w:val="00F97495"/>
    <w:rsid w:val="00FA030D"/>
    <w:rsid w:val="00FA0633"/>
    <w:rsid w:val="00FA07D3"/>
    <w:rsid w:val="00FA0846"/>
    <w:rsid w:val="00FA10E7"/>
    <w:rsid w:val="00FA1C88"/>
    <w:rsid w:val="00FA229C"/>
    <w:rsid w:val="00FA374C"/>
    <w:rsid w:val="00FA42D8"/>
    <w:rsid w:val="00FA553B"/>
    <w:rsid w:val="00FA7271"/>
    <w:rsid w:val="00FB03BD"/>
    <w:rsid w:val="00FB187B"/>
    <w:rsid w:val="00FB19B9"/>
    <w:rsid w:val="00FB1F2D"/>
    <w:rsid w:val="00FB2057"/>
    <w:rsid w:val="00FB41AD"/>
    <w:rsid w:val="00FB5403"/>
    <w:rsid w:val="00FB5632"/>
    <w:rsid w:val="00FB584E"/>
    <w:rsid w:val="00FB5B4B"/>
    <w:rsid w:val="00FB620F"/>
    <w:rsid w:val="00FB7688"/>
    <w:rsid w:val="00FB7B82"/>
    <w:rsid w:val="00FB7D22"/>
    <w:rsid w:val="00FC0BF5"/>
    <w:rsid w:val="00FC192D"/>
    <w:rsid w:val="00FC40CB"/>
    <w:rsid w:val="00FC462B"/>
    <w:rsid w:val="00FC51FB"/>
    <w:rsid w:val="00FC5AAA"/>
    <w:rsid w:val="00FD2E2F"/>
    <w:rsid w:val="00FD3719"/>
    <w:rsid w:val="00FD47F3"/>
    <w:rsid w:val="00FD4F37"/>
    <w:rsid w:val="00FD67D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5-doc82-iucn-review-of-non-core-finances" TargetMode="External"/><Relationship Id="rId2" Type="http://schemas.openxmlformats.org/officeDocument/2006/relationships/hyperlink" Target="https://www.ramsar.org/document/resolution-x2-financial-and-budgetary-matters" TargetMode="External"/><Relationship Id="rId1" Type="http://schemas.openxmlformats.org/officeDocument/2006/relationships/hyperlink" Target="https://www.ramsar.org/sites/default/files/documents/library/report_auditor_ramsar_2019_e.pdf" TargetMode="External"/><Relationship Id="rId4" Type="http://schemas.openxmlformats.org/officeDocument/2006/relationships/hyperlink" Target="https://www.ramsar.org/sites/default/files/documents/library/report_auditor_ramsar_2019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4B01-1392-44D5-8AE9-15DCC4CA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6206</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4</cp:revision>
  <cp:lastPrinted>2020-03-02T11:23:00Z</cp:lastPrinted>
  <dcterms:created xsi:type="dcterms:W3CDTF">2020-05-13T15:23:00Z</dcterms:created>
  <dcterms:modified xsi:type="dcterms:W3CDTF">2020-05-15T10:33:00Z</dcterms:modified>
</cp:coreProperties>
</file>