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FE1E4" w14:textId="5FAD9A60" w:rsidR="00275F13" w:rsidRDefault="007A300E" w:rsidP="0001416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DF2386">
        <w:rPr>
          <w:bCs/>
          <w:sz w:val="24"/>
          <w:szCs w:val="24"/>
        </w:rPr>
        <w:t xml:space="preserve">CONVENTION ON WETLANDS </w:t>
      </w:r>
    </w:p>
    <w:p w14:paraId="66D9CB42" w14:textId="77777777" w:rsidR="00DF2386" w:rsidRDefault="00B83EF9" w:rsidP="0001416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58th </w:t>
      </w:r>
      <w:r w:rsidR="00DF2386">
        <w:rPr>
          <w:bCs/>
          <w:sz w:val="24"/>
          <w:szCs w:val="24"/>
        </w:rPr>
        <w:t>Meeting of the Standing Committee</w:t>
      </w:r>
    </w:p>
    <w:p w14:paraId="4C577E50" w14:textId="55AD9B56" w:rsidR="00DF2386" w:rsidRDefault="00DF2386" w:rsidP="0001416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Gland, Switzerland, </w:t>
      </w:r>
      <w:r w:rsidR="00497E0A" w:rsidRPr="00497E0A">
        <w:rPr>
          <w:bCs/>
          <w:sz w:val="24"/>
          <w:szCs w:val="24"/>
        </w:rPr>
        <w:t>26 - 30 October</w:t>
      </w:r>
      <w:r w:rsidR="00497E0A">
        <w:rPr>
          <w:bCs/>
          <w:sz w:val="24"/>
          <w:szCs w:val="24"/>
        </w:rPr>
        <w:t xml:space="preserve"> </w:t>
      </w:r>
      <w:bookmarkStart w:id="0" w:name="_GoBack"/>
      <w:bookmarkEnd w:id="0"/>
      <w:r w:rsidR="00B83EF9">
        <w:rPr>
          <w:bCs/>
          <w:sz w:val="24"/>
          <w:szCs w:val="24"/>
        </w:rPr>
        <w:t>2020</w:t>
      </w:r>
    </w:p>
    <w:p w14:paraId="5395AD03" w14:textId="77777777" w:rsidR="00DF2386" w:rsidRDefault="00DF2386" w:rsidP="00014168">
      <w:pPr>
        <w:outlineLvl w:val="0"/>
        <w:rPr>
          <w:b/>
        </w:rPr>
      </w:pPr>
    </w:p>
    <w:p w14:paraId="301B1FC9" w14:textId="23E7646F" w:rsidR="00DF2386" w:rsidRPr="00D245A1" w:rsidRDefault="00B83EF9" w:rsidP="00014168">
      <w:pPr>
        <w:jc w:val="right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SC58</w:t>
      </w:r>
      <w:r w:rsidR="00311DEC">
        <w:rPr>
          <w:rFonts w:cs="Arial"/>
          <w:b/>
          <w:sz w:val="28"/>
          <w:szCs w:val="28"/>
        </w:rPr>
        <w:t xml:space="preserve"> Doc.23</w:t>
      </w:r>
      <w:r w:rsidR="00D245A1">
        <w:rPr>
          <w:rFonts w:cs="Arial"/>
          <w:b/>
          <w:sz w:val="28"/>
          <w:szCs w:val="28"/>
        </w:rPr>
        <w:t xml:space="preserve"> </w:t>
      </w:r>
    </w:p>
    <w:p w14:paraId="1B9F37BD" w14:textId="77777777" w:rsidR="00DF2386" w:rsidRDefault="00DF2386" w:rsidP="00014168">
      <w:pPr>
        <w:rPr>
          <w:rFonts w:cs="Arial"/>
          <w:b/>
          <w:sz w:val="28"/>
          <w:szCs w:val="28"/>
        </w:rPr>
      </w:pPr>
    </w:p>
    <w:p w14:paraId="462A1FB5" w14:textId="232EB4DE" w:rsidR="00DF2386" w:rsidRDefault="005A2E26" w:rsidP="00BD07A8">
      <w:pPr>
        <w:jc w:val="center"/>
        <w:rPr>
          <w:rFonts w:cs="Arial"/>
          <w:b/>
          <w:sz w:val="28"/>
          <w:szCs w:val="28"/>
        </w:rPr>
      </w:pPr>
      <w:r w:rsidRPr="005A2E26">
        <w:rPr>
          <w:rFonts w:cs="Arial"/>
          <w:b/>
          <w:sz w:val="28"/>
          <w:szCs w:val="28"/>
        </w:rPr>
        <w:t>R</w:t>
      </w:r>
      <w:r>
        <w:rPr>
          <w:rFonts w:cs="Arial"/>
          <w:b/>
          <w:sz w:val="28"/>
          <w:szCs w:val="28"/>
        </w:rPr>
        <w:t xml:space="preserve">eport </w:t>
      </w:r>
      <w:r w:rsidRPr="005A2E26">
        <w:rPr>
          <w:rFonts w:cs="Arial"/>
          <w:b/>
          <w:sz w:val="28"/>
          <w:szCs w:val="28"/>
        </w:rPr>
        <w:t xml:space="preserve">of the </w:t>
      </w:r>
      <w:r w:rsidR="00CC4E6C">
        <w:rPr>
          <w:rFonts w:cs="Arial"/>
          <w:b/>
          <w:sz w:val="28"/>
          <w:szCs w:val="28"/>
        </w:rPr>
        <w:t xml:space="preserve">Co-chairs of the </w:t>
      </w:r>
      <w:r w:rsidRPr="005A2E26">
        <w:rPr>
          <w:rFonts w:cs="Arial"/>
          <w:b/>
          <w:sz w:val="28"/>
          <w:szCs w:val="28"/>
        </w:rPr>
        <w:t xml:space="preserve">Independent Advisory Committee </w:t>
      </w:r>
      <w:r w:rsidR="00C70F3C">
        <w:rPr>
          <w:rFonts w:cs="Arial"/>
          <w:b/>
          <w:sz w:val="28"/>
          <w:szCs w:val="28"/>
        </w:rPr>
        <w:br/>
      </w:r>
      <w:r w:rsidRPr="005A2E26">
        <w:rPr>
          <w:rFonts w:cs="Arial"/>
          <w:b/>
          <w:sz w:val="28"/>
          <w:szCs w:val="28"/>
        </w:rPr>
        <w:t>on Wetland City Accreditation</w:t>
      </w:r>
    </w:p>
    <w:p w14:paraId="590F389F" w14:textId="77777777" w:rsidR="00BD07A8" w:rsidRDefault="00BD07A8" w:rsidP="00014168">
      <w:pPr>
        <w:rPr>
          <w:rFonts w:ascii="Garamond" w:hAnsi="Garamond" w:cs="Arial"/>
        </w:rPr>
      </w:pPr>
    </w:p>
    <w:p w14:paraId="37FC0BBF" w14:textId="77777777" w:rsidR="000C2489" w:rsidRDefault="000C2489" w:rsidP="00014168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0B77669" wp14:editId="511FEC75">
                <wp:extent cx="5731510" cy="1543793"/>
                <wp:effectExtent l="0" t="0" r="21590" b="1841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543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8824F" w14:textId="77777777" w:rsidR="000C2489" w:rsidRPr="00C70F3C" w:rsidRDefault="000C2489" w:rsidP="000C248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70F3C">
                              <w:rPr>
                                <w:b/>
                                <w:bCs/>
                              </w:rPr>
                              <w:t xml:space="preserve">Actions requested: </w:t>
                            </w:r>
                          </w:p>
                          <w:p w14:paraId="23DBF029" w14:textId="77777777" w:rsidR="000C2489" w:rsidRPr="00C70F3C" w:rsidRDefault="000C2489" w:rsidP="000C2489">
                            <w:pPr>
                              <w:pStyle w:val="ColorfulList-Accent11"/>
                              <w:ind w:left="0"/>
                            </w:pPr>
                          </w:p>
                          <w:p w14:paraId="233DAED9" w14:textId="0840306D" w:rsidR="00C70F3C" w:rsidRDefault="00243B44" w:rsidP="00796FB2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</w:rPr>
                            </w:pPr>
                            <w:r>
                              <w:t xml:space="preserve">The </w:t>
                            </w:r>
                            <w:r w:rsidR="000C2489" w:rsidRPr="00C70F3C">
                              <w:t xml:space="preserve">Standing Committee is </w:t>
                            </w:r>
                            <w:r w:rsidR="000C2489" w:rsidRPr="00C70F3C">
                              <w:rPr>
                                <w:rFonts w:cs="Calibri"/>
                              </w:rPr>
                              <w:t>invited to</w:t>
                            </w:r>
                            <w:r w:rsidR="00C70F3C" w:rsidRPr="00C70F3C">
                              <w:rPr>
                                <w:rFonts w:cs="Calibri"/>
                              </w:rPr>
                              <w:t>:</w:t>
                            </w:r>
                          </w:p>
                          <w:p w14:paraId="4A637305" w14:textId="77777777" w:rsidR="00C70F3C" w:rsidRPr="00C70F3C" w:rsidRDefault="00C70F3C" w:rsidP="00796FB2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</w:rPr>
                            </w:pPr>
                          </w:p>
                          <w:p w14:paraId="17CE1F81" w14:textId="6CD55A93" w:rsidR="000C2489" w:rsidRDefault="000C2489" w:rsidP="00C70F3C">
                            <w:pPr>
                              <w:pStyle w:val="ColorfulList-Accent11"/>
                              <w:numPr>
                                <w:ilvl w:val="0"/>
                                <w:numId w:val="31"/>
                              </w:numPr>
                              <w:ind w:left="426" w:hanging="426"/>
                              <w:rPr>
                                <w:rFonts w:cs="Calibri"/>
                              </w:rPr>
                            </w:pPr>
                            <w:r w:rsidRPr="00C70F3C">
                              <w:rPr>
                                <w:rFonts w:cs="Calibri"/>
                              </w:rPr>
                              <w:t xml:space="preserve">take note of </w:t>
                            </w:r>
                            <w:r w:rsidR="002B4B98" w:rsidRPr="00C70F3C">
                              <w:rPr>
                                <w:rFonts w:cs="Calibri"/>
                              </w:rPr>
                              <w:t>the present report</w:t>
                            </w:r>
                            <w:r w:rsidR="00CC4E6C" w:rsidRPr="00C70F3C">
                              <w:rPr>
                                <w:rFonts w:cs="Calibri"/>
                              </w:rPr>
                              <w:t>;</w:t>
                            </w:r>
                            <w:r w:rsidR="00C70F3C" w:rsidRPr="00C70F3C">
                              <w:rPr>
                                <w:rFonts w:cs="Calibri"/>
                              </w:rPr>
                              <w:t xml:space="preserve"> and</w:t>
                            </w:r>
                          </w:p>
                          <w:p w14:paraId="5000BCC0" w14:textId="77777777" w:rsidR="00C70F3C" w:rsidRPr="00C70F3C" w:rsidRDefault="00C70F3C" w:rsidP="00C70F3C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</w:rPr>
                            </w:pPr>
                          </w:p>
                          <w:p w14:paraId="03EEDDBA" w14:textId="3604248E" w:rsidR="00CC4E6C" w:rsidRPr="00C70F3C" w:rsidRDefault="00CC4E6C" w:rsidP="00C70F3C">
                            <w:pPr>
                              <w:pStyle w:val="ColorfulList-Accent11"/>
                              <w:numPr>
                                <w:ilvl w:val="0"/>
                                <w:numId w:val="31"/>
                              </w:numPr>
                              <w:ind w:left="426" w:hanging="426"/>
                              <w:rPr>
                                <w:rFonts w:cs="Calibri"/>
                              </w:rPr>
                            </w:pPr>
                            <w:r w:rsidRPr="00C70F3C">
                              <w:rPr>
                                <w:rFonts w:cs="Calibri"/>
                              </w:rPr>
                              <w:t xml:space="preserve">endorse the allocation of 30 days of Secretariat time </w:t>
                            </w:r>
                            <w:r w:rsidR="00C70F3C">
                              <w:rPr>
                                <w:rFonts w:cs="Calibri"/>
                              </w:rPr>
                              <w:t>during the current</w:t>
                            </w:r>
                            <w:r w:rsidRPr="00C70F3C">
                              <w:rPr>
                                <w:rFonts w:cs="Calibri"/>
                              </w:rPr>
                              <w:t xml:space="preserve"> triennium to provide the identified administrative services.</w:t>
                            </w:r>
                          </w:p>
                          <w:p w14:paraId="04F2A9F6" w14:textId="375F53C4" w:rsidR="000C2489" w:rsidRDefault="000C2489" w:rsidP="00275F13">
                            <w:pPr>
                              <w:pStyle w:val="ColorfulList-Accent11"/>
                              <w:ind w:left="36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B776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12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">
                <v:textbox>
                  <w:txbxContent>
                    <w:p w14:paraId="65E8824F" w14:textId="77777777" w:rsidR="000C2489" w:rsidRPr="00C70F3C" w:rsidRDefault="000C2489" w:rsidP="000C2489">
                      <w:pPr>
                        <w:rPr>
                          <w:b/>
                          <w:bCs/>
                        </w:rPr>
                      </w:pPr>
                      <w:r w:rsidRPr="00C70F3C">
                        <w:rPr>
                          <w:b/>
                          <w:bCs/>
                        </w:rPr>
                        <w:t xml:space="preserve">Actions requested: </w:t>
                      </w:r>
                    </w:p>
                    <w:p w14:paraId="23DBF029" w14:textId="77777777" w:rsidR="000C2489" w:rsidRPr="00C70F3C" w:rsidRDefault="000C2489" w:rsidP="000C2489">
                      <w:pPr>
                        <w:pStyle w:val="ColorfulList-Accent11"/>
                        <w:ind w:left="0"/>
                      </w:pPr>
                    </w:p>
                    <w:p w14:paraId="233DAED9" w14:textId="0840306D" w:rsidR="00C70F3C" w:rsidRDefault="00243B44" w:rsidP="00796FB2">
                      <w:pPr>
                        <w:pStyle w:val="ColorfulList-Accent11"/>
                        <w:ind w:left="0" w:firstLine="0"/>
                        <w:rPr>
                          <w:rFonts w:cs="Calibri"/>
                        </w:rPr>
                      </w:pPr>
                      <w:r>
                        <w:t xml:space="preserve">The </w:t>
                      </w:r>
                      <w:r w:rsidR="000C2489" w:rsidRPr="00C70F3C">
                        <w:t xml:space="preserve">Standing Committee is </w:t>
                      </w:r>
                      <w:r w:rsidR="000C2489" w:rsidRPr="00C70F3C">
                        <w:rPr>
                          <w:rFonts w:cs="Calibri"/>
                        </w:rPr>
                        <w:t>invited to</w:t>
                      </w:r>
                      <w:r w:rsidR="00C70F3C" w:rsidRPr="00C70F3C">
                        <w:rPr>
                          <w:rFonts w:cs="Calibri"/>
                        </w:rPr>
                        <w:t>:</w:t>
                      </w:r>
                    </w:p>
                    <w:p w14:paraId="4A637305" w14:textId="77777777" w:rsidR="00C70F3C" w:rsidRPr="00C70F3C" w:rsidRDefault="00C70F3C" w:rsidP="00796FB2">
                      <w:pPr>
                        <w:pStyle w:val="ColorfulList-Accent11"/>
                        <w:ind w:left="0" w:firstLine="0"/>
                        <w:rPr>
                          <w:rFonts w:cs="Calibri"/>
                        </w:rPr>
                      </w:pPr>
                    </w:p>
                    <w:p w14:paraId="17CE1F81" w14:textId="6CD55A93" w:rsidR="000C2489" w:rsidRDefault="000C2489" w:rsidP="00C70F3C">
                      <w:pPr>
                        <w:pStyle w:val="ColorfulList-Accent11"/>
                        <w:numPr>
                          <w:ilvl w:val="0"/>
                          <w:numId w:val="31"/>
                        </w:numPr>
                        <w:ind w:left="426" w:hanging="426"/>
                        <w:rPr>
                          <w:rFonts w:cs="Calibri"/>
                        </w:rPr>
                      </w:pPr>
                      <w:r w:rsidRPr="00C70F3C">
                        <w:rPr>
                          <w:rFonts w:cs="Calibri"/>
                        </w:rPr>
                        <w:t xml:space="preserve">take note of </w:t>
                      </w:r>
                      <w:r w:rsidR="002B4B98" w:rsidRPr="00C70F3C">
                        <w:rPr>
                          <w:rFonts w:cs="Calibri"/>
                        </w:rPr>
                        <w:t>the present report</w:t>
                      </w:r>
                      <w:r w:rsidR="00CC4E6C" w:rsidRPr="00C70F3C">
                        <w:rPr>
                          <w:rFonts w:cs="Calibri"/>
                        </w:rPr>
                        <w:t>;</w:t>
                      </w:r>
                      <w:r w:rsidR="00C70F3C" w:rsidRPr="00C70F3C">
                        <w:rPr>
                          <w:rFonts w:cs="Calibri"/>
                        </w:rPr>
                        <w:t xml:space="preserve"> and</w:t>
                      </w:r>
                    </w:p>
                    <w:p w14:paraId="5000BCC0" w14:textId="77777777" w:rsidR="00C70F3C" w:rsidRPr="00C70F3C" w:rsidRDefault="00C70F3C" w:rsidP="00C70F3C">
                      <w:pPr>
                        <w:pStyle w:val="ColorfulList-Accent11"/>
                        <w:ind w:left="0" w:firstLine="0"/>
                        <w:rPr>
                          <w:rFonts w:cs="Calibri"/>
                        </w:rPr>
                      </w:pPr>
                    </w:p>
                    <w:p w14:paraId="03EEDDBA" w14:textId="3604248E" w:rsidR="00CC4E6C" w:rsidRPr="00C70F3C" w:rsidRDefault="00CC4E6C" w:rsidP="00C70F3C">
                      <w:pPr>
                        <w:pStyle w:val="ColorfulList-Accent11"/>
                        <w:numPr>
                          <w:ilvl w:val="0"/>
                          <w:numId w:val="31"/>
                        </w:numPr>
                        <w:ind w:left="426" w:hanging="426"/>
                        <w:rPr>
                          <w:rFonts w:cs="Calibri"/>
                        </w:rPr>
                      </w:pPr>
                      <w:r w:rsidRPr="00C70F3C">
                        <w:rPr>
                          <w:rFonts w:cs="Calibri"/>
                        </w:rPr>
                        <w:t xml:space="preserve">endorse the allocation of 30 days of Secretariat time </w:t>
                      </w:r>
                      <w:r w:rsidR="00C70F3C">
                        <w:rPr>
                          <w:rFonts w:cs="Calibri"/>
                        </w:rPr>
                        <w:t>during the current</w:t>
                      </w:r>
                      <w:r w:rsidRPr="00C70F3C">
                        <w:rPr>
                          <w:rFonts w:cs="Calibri"/>
                        </w:rPr>
                        <w:t xml:space="preserve"> triennium to provide the identified administrative services.</w:t>
                      </w:r>
                    </w:p>
                    <w:p w14:paraId="04F2A9F6" w14:textId="375F53C4" w:rsidR="000C2489" w:rsidRDefault="000C2489" w:rsidP="00275F13">
                      <w:pPr>
                        <w:pStyle w:val="ColorfulList-Accent11"/>
                        <w:ind w:left="36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5B6C03" w14:textId="77777777" w:rsidR="009E0AE8" w:rsidRPr="00796FB2" w:rsidRDefault="009E0AE8" w:rsidP="00796FB2">
      <w:pPr>
        <w:rPr>
          <w:rFonts w:asciiTheme="minorHAnsi" w:hAnsiTheme="minorHAnsi" w:cstheme="minorHAnsi"/>
          <w:b/>
        </w:rPr>
      </w:pPr>
    </w:p>
    <w:p w14:paraId="5D4B8FD2" w14:textId="77777777" w:rsidR="009E0AE8" w:rsidRPr="00796FB2" w:rsidRDefault="009E0AE8" w:rsidP="00796FB2">
      <w:pPr>
        <w:rPr>
          <w:rFonts w:asciiTheme="minorHAnsi" w:hAnsiTheme="minorHAnsi" w:cstheme="minorHAnsi"/>
          <w:b/>
        </w:rPr>
      </w:pPr>
    </w:p>
    <w:p w14:paraId="36D9583C" w14:textId="635DCD4F" w:rsidR="00BD07A8" w:rsidRPr="00D313DE" w:rsidRDefault="00DC42AB" w:rsidP="00D313DE">
      <w:pPr>
        <w:rPr>
          <w:rFonts w:cs="Arial"/>
        </w:rPr>
      </w:pPr>
      <w:r w:rsidRPr="00796FB2">
        <w:rPr>
          <w:rFonts w:asciiTheme="minorHAnsi" w:hAnsiTheme="minorHAnsi" w:cstheme="minorHAnsi"/>
        </w:rPr>
        <w:t>1.</w:t>
      </w:r>
      <w:r w:rsidRPr="00796FB2">
        <w:rPr>
          <w:rFonts w:asciiTheme="minorHAnsi" w:hAnsiTheme="minorHAnsi" w:cstheme="minorHAnsi"/>
        </w:rPr>
        <w:tab/>
      </w:r>
      <w:r w:rsidR="00D313DE" w:rsidRPr="00BD07A8">
        <w:rPr>
          <w:rFonts w:cs="Arial"/>
        </w:rPr>
        <w:t xml:space="preserve">In the </w:t>
      </w:r>
      <w:r w:rsidR="00D313DE">
        <w:rPr>
          <w:rFonts w:cs="Arial"/>
        </w:rPr>
        <w:t>r</w:t>
      </w:r>
      <w:r w:rsidR="00D313DE" w:rsidRPr="00BD07A8">
        <w:rPr>
          <w:rFonts w:cs="Arial"/>
        </w:rPr>
        <w:t xml:space="preserve">eport of the </w:t>
      </w:r>
      <w:r w:rsidR="00D313DE">
        <w:rPr>
          <w:rFonts w:cs="Arial"/>
        </w:rPr>
        <w:t>c</w:t>
      </w:r>
      <w:r w:rsidR="00D313DE" w:rsidRPr="00BD07A8">
        <w:rPr>
          <w:rFonts w:cs="Arial"/>
        </w:rPr>
        <w:t xml:space="preserve">ontact group </w:t>
      </w:r>
      <w:r w:rsidR="00D313DE">
        <w:rPr>
          <w:rFonts w:cs="Arial"/>
        </w:rPr>
        <w:t xml:space="preserve">which met </w:t>
      </w:r>
      <w:r w:rsidR="00D313DE" w:rsidRPr="00BD07A8">
        <w:rPr>
          <w:rFonts w:cs="Arial"/>
        </w:rPr>
        <w:t xml:space="preserve">at </w:t>
      </w:r>
      <w:r w:rsidR="00D313DE">
        <w:rPr>
          <w:rFonts w:cs="Arial"/>
        </w:rPr>
        <w:t xml:space="preserve">the </w:t>
      </w:r>
      <w:r w:rsidR="00D313DE" w:rsidRPr="00C97CA9">
        <w:rPr>
          <w:rFonts w:cs="Arial"/>
        </w:rPr>
        <w:t>57th</w:t>
      </w:r>
      <w:r w:rsidR="00D313DE">
        <w:rPr>
          <w:rFonts w:cs="Arial"/>
        </w:rPr>
        <w:t xml:space="preserve"> meeting of the Standing Committee (</w:t>
      </w:r>
      <w:r w:rsidR="00D313DE" w:rsidRPr="00BD07A8">
        <w:rPr>
          <w:rFonts w:cs="Arial"/>
        </w:rPr>
        <w:t>SC57</w:t>
      </w:r>
      <w:r w:rsidR="00D313DE">
        <w:rPr>
          <w:rFonts w:cs="Arial"/>
        </w:rPr>
        <w:t xml:space="preserve">, see </w:t>
      </w:r>
      <w:r w:rsidR="00D313DE" w:rsidRPr="00A746DD">
        <w:rPr>
          <w:rFonts w:cs="Arial"/>
          <w:i/>
        </w:rPr>
        <w:t>SC57 Report and Decisions</w:t>
      </w:r>
      <w:r w:rsidR="00D313DE">
        <w:rPr>
          <w:rFonts w:cs="Arial"/>
        </w:rPr>
        <w:t>, Annex 5)</w:t>
      </w:r>
      <w:r w:rsidR="00D313DE" w:rsidRPr="00BD07A8">
        <w:rPr>
          <w:rFonts w:cs="Arial"/>
        </w:rPr>
        <w:t xml:space="preserve"> it was agreed that the </w:t>
      </w:r>
      <w:r w:rsidR="00D313DE" w:rsidRPr="00C97CA9">
        <w:rPr>
          <w:rFonts w:cs="Arial"/>
        </w:rPr>
        <w:t>Independent Advisory Committee</w:t>
      </w:r>
      <w:r w:rsidR="00D313DE">
        <w:rPr>
          <w:rFonts w:cs="Arial"/>
        </w:rPr>
        <w:t xml:space="preserve"> (</w:t>
      </w:r>
      <w:r w:rsidR="00D313DE" w:rsidRPr="00BD07A8">
        <w:rPr>
          <w:rFonts w:cs="Arial"/>
        </w:rPr>
        <w:t>IAC</w:t>
      </w:r>
      <w:r w:rsidR="00D313DE">
        <w:rPr>
          <w:rFonts w:cs="Arial"/>
        </w:rPr>
        <w:t>)</w:t>
      </w:r>
      <w:r w:rsidR="00D313DE" w:rsidRPr="00BD07A8">
        <w:rPr>
          <w:rFonts w:cs="Arial"/>
        </w:rPr>
        <w:t xml:space="preserve"> </w:t>
      </w:r>
      <w:r w:rsidR="00D313DE" w:rsidRPr="00C97CA9">
        <w:rPr>
          <w:rFonts w:cs="Arial"/>
        </w:rPr>
        <w:t>on Wetland City Accreditation</w:t>
      </w:r>
      <w:r w:rsidR="00D313DE">
        <w:rPr>
          <w:rFonts w:cs="Arial"/>
        </w:rPr>
        <w:t xml:space="preserve"> (WCA) </w:t>
      </w:r>
      <w:r w:rsidR="00D313DE" w:rsidRPr="00BD07A8">
        <w:rPr>
          <w:rFonts w:cs="Arial"/>
        </w:rPr>
        <w:t xml:space="preserve">would </w:t>
      </w:r>
      <w:r w:rsidR="00D313DE">
        <w:rPr>
          <w:rFonts w:cs="Arial"/>
        </w:rPr>
        <w:t>“</w:t>
      </w:r>
      <w:r w:rsidR="00D313DE">
        <w:t>review implementation progress and financing as required in Resolution XII.10 para 11”</w:t>
      </w:r>
      <w:r w:rsidR="00D313DE" w:rsidRPr="00BD07A8">
        <w:rPr>
          <w:rFonts w:cs="Arial"/>
        </w:rPr>
        <w:t xml:space="preserve"> at its face-to-face meeting (which took place in Suncheon, </w:t>
      </w:r>
      <w:r w:rsidR="00D313DE">
        <w:rPr>
          <w:rFonts w:cs="Arial"/>
        </w:rPr>
        <w:t>Republic of</w:t>
      </w:r>
      <w:r w:rsidR="00D313DE" w:rsidRPr="00BD07A8">
        <w:rPr>
          <w:rFonts w:cs="Arial"/>
        </w:rPr>
        <w:t xml:space="preserve"> Korea, </w:t>
      </w:r>
      <w:r w:rsidR="00D313DE">
        <w:rPr>
          <w:rFonts w:cs="Arial"/>
        </w:rPr>
        <w:t xml:space="preserve">from 23 to 28 </w:t>
      </w:r>
      <w:r w:rsidR="00D313DE" w:rsidRPr="00BD07A8">
        <w:rPr>
          <w:rFonts w:cs="Arial"/>
        </w:rPr>
        <w:t xml:space="preserve">September </w:t>
      </w:r>
      <w:r w:rsidR="00D313DE">
        <w:rPr>
          <w:rFonts w:cs="Arial"/>
        </w:rPr>
        <w:t>2019</w:t>
      </w:r>
      <w:r w:rsidR="00D313DE" w:rsidRPr="00BD07A8">
        <w:rPr>
          <w:rFonts w:cs="Arial"/>
        </w:rPr>
        <w:t>) and report back to SC58.</w:t>
      </w:r>
    </w:p>
    <w:p w14:paraId="4B1AD3AF" w14:textId="77777777" w:rsidR="00BD07A8" w:rsidRPr="00796FB2" w:rsidRDefault="00BD07A8" w:rsidP="00796FB2">
      <w:pPr>
        <w:rPr>
          <w:rFonts w:asciiTheme="minorHAnsi" w:hAnsiTheme="minorHAnsi" w:cstheme="minorHAnsi"/>
          <w:b/>
        </w:rPr>
      </w:pPr>
    </w:p>
    <w:p w14:paraId="5F37AAE7" w14:textId="77777777" w:rsidR="000C2489" w:rsidRPr="00796FB2" w:rsidRDefault="00BD07A8" w:rsidP="00796FB2">
      <w:pPr>
        <w:rPr>
          <w:rFonts w:asciiTheme="minorHAnsi" w:hAnsiTheme="minorHAnsi" w:cstheme="minorHAnsi"/>
          <w:b/>
        </w:rPr>
      </w:pPr>
      <w:r w:rsidRPr="00796FB2">
        <w:rPr>
          <w:rFonts w:asciiTheme="minorHAnsi" w:hAnsiTheme="minorHAnsi" w:cstheme="minorHAnsi"/>
          <w:b/>
        </w:rPr>
        <w:t>Secretariat’s roles and responsibilities</w:t>
      </w:r>
    </w:p>
    <w:p w14:paraId="75A440F2" w14:textId="77777777" w:rsidR="00BD07A8" w:rsidRPr="00796FB2" w:rsidRDefault="00BD07A8" w:rsidP="00796FB2">
      <w:pPr>
        <w:rPr>
          <w:rFonts w:asciiTheme="minorHAnsi" w:hAnsiTheme="minorHAnsi" w:cstheme="minorHAnsi"/>
        </w:rPr>
      </w:pPr>
    </w:p>
    <w:p w14:paraId="395C8CBC" w14:textId="1719F200" w:rsidR="00BD07A8" w:rsidRPr="00796FB2" w:rsidRDefault="00DC42AB" w:rsidP="00796FB2">
      <w:pPr>
        <w:rPr>
          <w:rFonts w:asciiTheme="minorHAnsi" w:hAnsiTheme="minorHAnsi" w:cstheme="minorHAnsi"/>
        </w:rPr>
      </w:pPr>
      <w:r w:rsidRPr="00796FB2">
        <w:rPr>
          <w:rFonts w:asciiTheme="minorHAnsi" w:hAnsiTheme="minorHAnsi" w:cstheme="minorHAnsi"/>
          <w:lang w:val="en-US"/>
        </w:rPr>
        <w:t>2.</w:t>
      </w:r>
      <w:r w:rsidRPr="00796FB2">
        <w:rPr>
          <w:rFonts w:asciiTheme="minorHAnsi" w:hAnsiTheme="minorHAnsi" w:cstheme="minorHAnsi"/>
          <w:lang w:val="en-US"/>
        </w:rPr>
        <w:tab/>
      </w:r>
      <w:r w:rsidR="00BD07A8" w:rsidRPr="00796FB2">
        <w:rPr>
          <w:rFonts w:asciiTheme="minorHAnsi" w:hAnsiTheme="minorHAnsi" w:cstheme="minorHAnsi"/>
          <w:lang w:val="en-US"/>
        </w:rPr>
        <w:t xml:space="preserve">The Secretariat successfully fulfilled all tasks approved by Resolution XII.10 </w:t>
      </w:r>
      <w:r w:rsidR="00B435E8" w:rsidRPr="00796FB2">
        <w:rPr>
          <w:rFonts w:asciiTheme="minorHAnsi" w:hAnsiTheme="minorHAnsi" w:cstheme="minorHAnsi"/>
          <w:lang w:val="en-US"/>
        </w:rPr>
        <w:t xml:space="preserve">on </w:t>
      </w:r>
      <w:r w:rsidR="00B435E8" w:rsidRPr="00796FB2">
        <w:rPr>
          <w:rFonts w:asciiTheme="minorHAnsi" w:hAnsiTheme="minorHAnsi" w:cstheme="minorHAnsi"/>
          <w:i/>
          <w:lang w:val="en-US"/>
        </w:rPr>
        <w:t>Wetland City Accreditation of the Ramsar Convention</w:t>
      </w:r>
      <w:r w:rsidR="00B435E8" w:rsidRPr="00796FB2">
        <w:rPr>
          <w:rFonts w:asciiTheme="minorHAnsi" w:hAnsiTheme="minorHAnsi" w:cstheme="minorHAnsi"/>
          <w:lang w:val="en-US"/>
        </w:rPr>
        <w:t xml:space="preserve"> </w:t>
      </w:r>
      <w:r w:rsidR="00BD07A8" w:rsidRPr="00796FB2">
        <w:rPr>
          <w:rFonts w:asciiTheme="minorHAnsi" w:hAnsiTheme="minorHAnsi" w:cstheme="minorHAnsi"/>
          <w:lang w:val="en-US"/>
        </w:rPr>
        <w:t xml:space="preserve">and specified in the </w:t>
      </w:r>
      <w:r w:rsidR="00BD07A8" w:rsidRPr="00796FB2">
        <w:rPr>
          <w:rFonts w:asciiTheme="minorHAnsi" w:hAnsiTheme="minorHAnsi" w:cstheme="minorHAnsi"/>
          <w:bCs/>
          <w:i/>
          <w:color w:val="000000" w:themeColor="text1"/>
        </w:rPr>
        <w:t>Terms of Reference of the Independent Advisory Committee of the Wetland City Accreditation of the Ramsar Convention</w:t>
      </w:r>
      <w:r w:rsidR="00BD07A8" w:rsidRPr="00796FB2">
        <w:rPr>
          <w:rFonts w:asciiTheme="minorHAnsi" w:hAnsiTheme="minorHAnsi" w:cstheme="minorHAnsi"/>
          <w:lang w:val="en-US"/>
        </w:rPr>
        <w:t xml:space="preserve"> (</w:t>
      </w:r>
      <w:r w:rsidR="00B435E8" w:rsidRPr="00796FB2">
        <w:rPr>
          <w:rFonts w:asciiTheme="minorHAnsi" w:hAnsiTheme="minorHAnsi" w:cstheme="minorHAnsi"/>
          <w:lang w:val="en-US"/>
        </w:rPr>
        <w:t xml:space="preserve">document </w:t>
      </w:r>
      <w:r w:rsidR="00BD07A8" w:rsidRPr="00796FB2">
        <w:rPr>
          <w:rFonts w:asciiTheme="minorHAnsi" w:hAnsiTheme="minorHAnsi" w:cstheme="minorHAnsi"/>
          <w:lang w:val="en-US"/>
        </w:rPr>
        <w:t>SC53</w:t>
      </w:r>
      <w:r w:rsidR="00B435E8" w:rsidRPr="00796FB2">
        <w:rPr>
          <w:rFonts w:asciiTheme="minorHAnsi" w:hAnsiTheme="minorHAnsi" w:cstheme="minorHAnsi"/>
          <w:lang w:val="en-US"/>
        </w:rPr>
        <w:t>-</w:t>
      </w:r>
      <w:r w:rsidR="00BD07A8" w:rsidRPr="00796FB2">
        <w:rPr>
          <w:rFonts w:asciiTheme="minorHAnsi" w:hAnsiTheme="minorHAnsi" w:cstheme="minorHAnsi"/>
          <w:lang w:val="en-US"/>
        </w:rPr>
        <w:t>16 Annex 5).</w:t>
      </w:r>
    </w:p>
    <w:p w14:paraId="2E8FD5D9" w14:textId="77777777" w:rsidR="00DC42AB" w:rsidRPr="00796FB2" w:rsidRDefault="00DC42AB" w:rsidP="00796FB2">
      <w:pPr>
        <w:rPr>
          <w:rFonts w:asciiTheme="minorHAnsi" w:hAnsiTheme="minorHAnsi" w:cstheme="minorHAnsi"/>
        </w:rPr>
      </w:pPr>
    </w:p>
    <w:p w14:paraId="5F0BBF98" w14:textId="1C3ED336" w:rsidR="00BD07A8" w:rsidRPr="00796FB2" w:rsidRDefault="00DC42AB" w:rsidP="00796FB2">
      <w:pPr>
        <w:rPr>
          <w:rFonts w:asciiTheme="minorHAnsi" w:hAnsiTheme="minorHAnsi" w:cstheme="minorHAnsi"/>
        </w:rPr>
      </w:pPr>
      <w:r w:rsidRPr="00796FB2">
        <w:rPr>
          <w:rFonts w:asciiTheme="minorHAnsi" w:hAnsiTheme="minorHAnsi" w:cstheme="minorHAnsi"/>
        </w:rPr>
        <w:t>3.</w:t>
      </w:r>
      <w:r w:rsidRPr="00796FB2">
        <w:rPr>
          <w:rFonts w:asciiTheme="minorHAnsi" w:hAnsiTheme="minorHAnsi" w:cstheme="minorHAnsi"/>
        </w:rPr>
        <w:tab/>
      </w:r>
      <w:r w:rsidR="00BD07A8" w:rsidRPr="00796FB2">
        <w:rPr>
          <w:rFonts w:asciiTheme="minorHAnsi" w:hAnsiTheme="minorHAnsi" w:cstheme="minorHAnsi"/>
        </w:rPr>
        <w:t xml:space="preserve">In addition to the allocated tasks, the Secretariat also </w:t>
      </w:r>
      <w:r w:rsidR="00B435E8" w:rsidRPr="00796FB2">
        <w:rPr>
          <w:rFonts w:asciiTheme="minorHAnsi" w:hAnsiTheme="minorHAnsi" w:cstheme="minorHAnsi"/>
        </w:rPr>
        <w:t xml:space="preserve">successfully </w:t>
      </w:r>
      <w:r w:rsidR="00BD07A8" w:rsidRPr="00796FB2">
        <w:rPr>
          <w:rFonts w:asciiTheme="minorHAnsi" w:hAnsiTheme="minorHAnsi" w:cstheme="minorHAnsi"/>
        </w:rPr>
        <w:t xml:space="preserve">prepared and organized the </w:t>
      </w:r>
      <w:r w:rsidR="00B435E8" w:rsidRPr="00796FB2">
        <w:rPr>
          <w:rFonts w:asciiTheme="minorHAnsi" w:hAnsiTheme="minorHAnsi" w:cstheme="minorHAnsi"/>
        </w:rPr>
        <w:t xml:space="preserve">certification ceremony </w:t>
      </w:r>
      <w:r w:rsidR="00BD07A8" w:rsidRPr="00796FB2">
        <w:rPr>
          <w:rFonts w:asciiTheme="minorHAnsi" w:hAnsiTheme="minorHAnsi" w:cstheme="minorHAnsi"/>
        </w:rPr>
        <w:t xml:space="preserve">at </w:t>
      </w:r>
      <w:r w:rsidR="009E1A3A">
        <w:rPr>
          <w:rFonts w:asciiTheme="minorHAnsi" w:hAnsiTheme="minorHAnsi" w:cstheme="minorHAnsi"/>
        </w:rPr>
        <w:t>the 13th Meeting of the Conference of Contracting Parties (</w:t>
      </w:r>
      <w:r w:rsidR="00BD07A8" w:rsidRPr="00796FB2">
        <w:rPr>
          <w:rFonts w:asciiTheme="minorHAnsi" w:hAnsiTheme="minorHAnsi" w:cstheme="minorHAnsi"/>
        </w:rPr>
        <w:t>COP13</w:t>
      </w:r>
      <w:r w:rsidR="009E1A3A">
        <w:rPr>
          <w:rFonts w:asciiTheme="minorHAnsi" w:hAnsiTheme="minorHAnsi" w:cstheme="minorHAnsi"/>
        </w:rPr>
        <w:t>)</w:t>
      </w:r>
      <w:r w:rsidR="00B435E8" w:rsidRPr="00796FB2">
        <w:rPr>
          <w:rFonts w:asciiTheme="minorHAnsi" w:hAnsiTheme="minorHAnsi" w:cstheme="minorHAnsi"/>
        </w:rPr>
        <w:t>,</w:t>
      </w:r>
      <w:r w:rsidR="00BD07A8" w:rsidRPr="00796FB2">
        <w:rPr>
          <w:rFonts w:asciiTheme="minorHAnsi" w:hAnsiTheme="minorHAnsi" w:cstheme="minorHAnsi"/>
        </w:rPr>
        <w:t xml:space="preserve"> </w:t>
      </w:r>
      <w:r w:rsidR="00B435E8" w:rsidRPr="00796FB2">
        <w:rPr>
          <w:rFonts w:asciiTheme="minorHAnsi" w:hAnsiTheme="minorHAnsi" w:cstheme="minorHAnsi"/>
        </w:rPr>
        <w:t>which</w:t>
      </w:r>
      <w:r w:rsidR="00BD07A8" w:rsidRPr="00796FB2">
        <w:rPr>
          <w:rFonts w:asciiTheme="minorHAnsi" w:hAnsiTheme="minorHAnsi" w:cstheme="minorHAnsi"/>
        </w:rPr>
        <w:t xml:space="preserve"> </w:t>
      </w:r>
      <w:r w:rsidR="007A300E" w:rsidRPr="00796FB2">
        <w:rPr>
          <w:rFonts w:asciiTheme="minorHAnsi" w:hAnsiTheme="minorHAnsi" w:cstheme="minorHAnsi"/>
        </w:rPr>
        <w:t>significantly</w:t>
      </w:r>
      <w:r w:rsidR="007A300E" w:rsidRPr="00796FB2" w:rsidDel="007A300E">
        <w:rPr>
          <w:rFonts w:asciiTheme="minorHAnsi" w:hAnsiTheme="minorHAnsi" w:cstheme="minorHAnsi"/>
        </w:rPr>
        <w:t xml:space="preserve"> </w:t>
      </w:r>
      <w:r w:rsidR="00BD07A8" w:rsidRPr="00796FB2">
        <w:rPr>
          <w:rFonts w:asciiTheme="minorHAnsi" w:hAnsiTheme="minorHAnsi" w:cstheme="minorHAnsi"/>
        </w:rPr>
        <w:t>raised the visibility of the Convention.</w:t>
      </w:r>
    </w:p>
    <w:p w14:paraId="60C21B49" w14:textId="77777777" w:rsidR="00DC42AB" w:rsidRPr="00796FB2" w:rsidRDefault="00DC42AB" w:rsidP="00796FB2">
      <w:pPr>
        <w:rPr>
          <w:rFonts w:asciiTheme="minorHAnsi" w:hAnsiTheme="minorHAnsi" w:cstheme="minorHAnsi"/>
        </w:rPr>
      </w:pPr>
    </w:p>
    <w:p w14:paraId="119D9D08" w14:textId="71F93C96" w:rsidR="00BD07A8" w:rsidRPr="00796FB2" w:rsidRDefault="00DC42AB" w:rsidP="00796FB2">
      <w:pPr>
        <w:rPr>
          <w:rFonts w:asciiTheme="minorHAnsi" w:hAnsiTheme="minorHAnsi" w:cstheme="minorHAnsi"/>
        </w:rPr>
      </w:pPr>
      <w:r w:rsidRPr="00796FB2">
        <w:rPr>
          <w:rFonts w:asciiTheme="minorHAnsi" w:hAnsiTheme="minorHAnsi" w:cstheme="minorHAnsi"/>
        </w:rPr>
        <w:t>4.</w:t>
      </w:r>
      <w:r w:rsidRPr="00796FB2">
        <w:rPr>
          <w:rFonts w:asciiTheme="minorHAnsi" w:hAnsiTheme="minorHAnsi" w:cstheme="minorHAnsi"/>
        </w:rPr>
        <w:tab/>
      </w:r>
      <w:r w:rsidR="00BD07A8" w:rsidRPr="00796FB2">
        <w:rPr>
          <w:rFonts w:asciiTheme="minorHAnsi" w:hAnsiTheme="minorHAnsi" w:cstheme="minorHAnsi"/>
        </w:rPr>
        <w:t xml:space="preserve">As requested by SC57, the Secretariat reported to the IAC </w:t>
      </w:r>
      <w:r w:rsidR="00F11306" w:rsidRPr="00796FB2">
        <w:rPr>
          <w:rFonts w:asciiTheme="minorHAnsi" w:hAnsiTheme="minorHAnsi" w:cstheme="minorHAnsi"/>
        </w:rPr>
        <w:t xml:space="preserve">that </w:t>
      </w:r>
      <w:r w:rsidR="00BD07A8" w:rsidRPr="00796FB2">
        <w:rPr>
          <w:rFonts w:asciiTheme="minorHAnsi" w:hAnsiTheme="minorHAnsi" w:cstheme="minorHAnsi"/>
        </w:rPr>
        <w:t>the staff time used for the implementation of these tasks over the triennium 2016-2018</w:t>
      </w:r>
      <w:r w:rsidR="00B435E8" w:rsidRPr="00796FB2">
        <w:rPr>
          <w:rFonts w:asciiTheme="minorHAnsi" w:hAnsiTheme="minorHAnsi" w:cstheme="minorHAnsi"/>
        </w:rPr>
        <w:t xml:space="preserve"> was</w:t>
      </w:r>
      <w:r w:rsidR="00BD07A8" w:rsidRPr="00796FB2">
        <w:rPr>
          <w:rFonts w:asciiTheme="minorHAnsi" w:hAnsiTheme="minorHAnsi" w:cstheme="minorHAnsi"/>
        </w:rPr>
        <w:t xml:space="preserve"> approximately 30 days.</w:t>
      </w:r>
    </w:p>
    <w:p w14:paraId="669E09C1" w14:textId="77777777" w:rsidR="00DC42AB" w:rsidRPr="00796FB2" w:rsidRDefault="00DC42AB" w:rsidP="00796FB2">
      <w:pPr>
        <w:rPr>
          <w:rFonts w:asciiTheme="minorHAnsi" w:hAnsiTheme="minorHAnsi" w:cstheme="minorHAnsi"/>
        </w:rPr>
      </w:pPr>
    </w:p>
    <w:p w14:paraId="57E926C0" w14:textId="6E22E0AD" w:rsidR="00BD07A8" w:rsidRPr="00796FB2" w:rsidRDefault="00DC42AB" w:rsidP="00796FB2">
      <w:pPr>
        <w:rPr>
          <w:rFonts w:asciiTheme="minorHAnsi" w:hAnsiTheme="minorHAnsi" w:cstheme="minorHAnsi"/>
          <w:lang w:val="en-US"/>
        </w:rPr>
      </w:pPr>
      <w:r w:rsidRPr="00796FB2">
        <w:rPr>
          <w:rFonts w:asciiTheme="minorHAnsi" w:hAnsiTheme="minorHAnsi" w:cstheme="minorHAnsi"/>
        </w:rPr>
        <w:t>5.</w:t>
      </w:r>
      <w:r w:rsidRPr="00796FB2">
        <w:rPr>
          <w:rFonts w:asciiTheme="minorHAnsi" w:hAnsiTheme="minorHAnsi" w:cstheme="minorHAnsi"/>
        </w:rPr>
        <w:tab/>
      </w:r>
      <w:r w:rsidR="00BD07A8" w:rsidRPr="00796FB2">
        <w:rPr>
          <w:rFonts w:asciiTheme="minorHAnsi" w:hAnsiTheme="minorHAnsi" w:cstheme="minorHAnsi"/>
        </w:rPr>
        <w:t xml:space="preserve">In order to continue this successful work, </w:t>
      </w:r>
      <w:r w:rsidR="00BD07A8" w:rsidRPr="00796FB2">
        <w:rPr>
          <w:rFonts w:asciiTheme="minorHAnsi" w:hAnsiTheme="minorHAnsi" w:cstheme="minorHAnsi"/>
          <w:lang w:val="en-US"/>
        </w:rPr>
        <w:t xml:space="preserve">the IAC seeks </w:t>
      </w:r>
      <w:r w:rsidR="00201D40">
        <w:rPr>
          <w:rFonts w:asciiTheme="minorHAnsi" w:hAnsiTheme="minorHAnsi" w:cstheme="minorHAnsi"/>
          <w:lang w:val="en-US"/>
        </w:rPr>
        <w:t xml:space="preserve">the </w:t>
      </w:r>
      <w:r w:rsidR="00BD07A8" w:rsidRPr="00796FB2">
        <w:rPr>
          <w:rFonts w:asciiTheme="minorHAnsi" w:hAnsiTheme="minorHAnsi" w:cstheme="minorHAnsi"/>
          <w:lang w:val="en-US"/>
        </w:rPr>
        <w:t xml:space="preserve">endorsement </w:t>
      </w:r>
      <w:r w:rsidR="00201D40">
        <w:rPr>
          <w:rFonts w:asciiTheme="minorHAnsi" w:hAnsiTheme="minorHAnsi" w:cstheme="minorHAnsi"/>
          <w:lang w:val="en-US"/>
        </w:rPr>
        <w:t xml:space="preserve">of </w:t>
      </w:r>
      <w:r w:rsidR="00BD07A8" w:rsidRPr="00796FB2">
        <w:rPr>
          <w:rFonts w:asciiTheme="minorHAnsi" w:hAnsiTheme="minorHAnsi" w:cstheme="minorHAnsi"/>
          <w:lang w:val="en-US"/>
        </w:rPr>
        <w:t>SC58 of the tasks to be undertaken by the Secretariat, tota</w:t>
      </w:r>
      <w:r w:rsidR="00F11306" w:rsidRPr="00796FB2">
        <w:rPr>
          <w:rFonts w:asciiTheme="minorHAnsi" w:hAnsiTheme="minorHAnsi" w:cstheme="minorHAnsi"/>
          <w:lang w:val="en-US"/>
        </w:rPr>
        <w:t>l</w:t>
      </w:r>
      <w:r w:rsidR="00BD07A8" w:rsidRPr="00796FB2">
        <w:rPr>
          <w:rFonts w:asciiTheme="minorHAnsi" w:hAnsiTheme="minorHAnsi" w:cstheme="minorHAnsi"/>
          <w:lang w:val="en-US"/>
        </w:rPr>
        <w:t xml:space="preserve">ling 30 days per triennium, to provide administrative services related to </w:t>
      </w:r>
      <w:r w:rsidR="00201D40">
        <w:rPr>
          <w:rFonts w:asciiTheme="minorHAnsi" w:hAnsiTheme="minorHAnsi" w:cstheme="minorHAnsi"/>
          <w:lang w:val="en-US"/>
        </w:rPr>
        <w:t xml:space="preserve">the </w:t>
      </w:r>
      <w:r w:rsidR="00BD07A8" w:rsidRPr="00796FB2">
        <w:rPr>
          <w:rFonts w:asciiTheme="minorHAnsi" w:hAnsiTheme="minorHAnsi" w:cstheme="minorHAnsi"/>
          <w:lang w:val="en-US"/>
        </w:rPr>
        <w:t xml:space="preserve">WCA. </w:t>
      </w:r>
    </w:p>
    <w:p w14:paraId="26807456" w14:textId="77777777" w:rsidR="00026E09" w:rsidRPr="00796FB2" w:rsidRDefault="00026E09" w:rsidP="00796FB2">
      <w:pPr>
        <w:tabs>
          <w:tab w:val="left" w:pos="2317"/>
        </w:tabs>
        <w:rPr>
          <w:rFonts w:asciiTheme="minorHAnsi" w:hAnsiTheme="minorHAnsi" w:cstheme="minorHAnsi"/>
        </w:rPr>
      </w:pPr>
      <w:r w:rsidRPr="00796FB2">
        <w:rPr>
          <w:rFonts w:asciiTheme="minorHAnsi" w:hAnsiTheme="minorHAnsi" w:cstheme="minorHAnsi"/>
        </w:rPr>
        <w:tab/>
      </w:r>
    </w:p>
    <w:p w14:paraId="28FBBFE4" w14:textId="282E6638" w:rsidR="00BD07A8" w:rsidRPr="00796FB2" w:rsidRDefault="00A22B47" w:rsidP="00796FB2">
      <w:pPr>
        <w:pStyle w:val="Default"/>
        <w:ind w:left="425" w:hanging="425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796FB2">
        <w:rPr>
          <w:rFonts w:asciiTheme="minorHAnsi" w:hAnsiTheme="minorHAnsi" w:cstheme="minorHAnsi"/>
          <w:iCs/>
          <w:sz w:val="22"/>
          <w:szCs w:val="22"/>
          <w:u w:val="single"/>
        </w:rPr>
        <w:t xml:space="preserve">Background </w:t>
      </w:r>
      <w:r w:rsidR="00BD07A8" w:rsidRPr="00796FB2">
        <w:rPr>
          <w:rFonts w:asciiTheme="minorHAnsi" w:hAnsiTheme="minorHAnsi" w:cstheme="minorHAnsi"/>
          <w:iCs/>
          <w:sz w:val="22"/>
          <w:szCs w:val="22"/>
          <w:u w:val="single"/>
        </w:rPr>
        <w:t>information</w:t>
      </w:r>
    </w:p>
    <w:p w14:paraId="5CFD4D97" w14:textId="77777777" w:rsidR="00BD07A8" w:rsidRPr="00796FB2" w:rsidRDefault="00BD07A8" w:rsidP="00796FB2">
      <w:pPr>
        <w:rPr>
          <w:rFonts w:asciiTheme="minorHAnsi" w:hAnsiTheme="minorHAnsi" w:cstheme="minorHAnsi"/>
          <w:iCs/>
          <w:lang w:val="en-US"/>
        </w:rPr>
      </w:pPr>
    </w:p>
    <w:p w14:paraId="7C9689CC" w14:textId="24263E91" w:rsidR="00BD07A8" w:rsidRPr="00796FB2" w:rsidRDefault="00DC42AB" w:rsidP="00796FB2">
      <w:pPr>
        <w:rPr>
          <w:rFonts w:asciiTheme="minorHAnsi" w:hAnsiTheme="minorHAnsi" w:cstheme="minorHAnsi"/>
          <w:iCs/>
          <w:lang w:val="en-US"/>
        </w:rPr>
      </w:pPr>
      <w:r w:rsidRPr="00796FB2">
        <w:rPr>
          <w:rFonts w:asciiTheme="minorHAnsi" w:hAnsiTheme="minorHAnsi" w:cstheme="minorHAnsi"/>
          <w:iCs/>
          <w:lang w:val="en-US"/>
        </w:rPr>
        <w:t>6.</w:t>
      </w:r>
      <w:r w:rsidRPr="00796FB2">
        <w:rPr>
          <w:rFonts w:asciiTheme="minorHAnsi" w:hAnsiTheme="minorHAnsi" w:cstheme="minorHAnsi"/>
          <w:iCs/>
          <w:lang w:val="en-US"/>
        </w:rPr>
        <w:tab/>
      </w:r>
      <w:r w:rsidR="00BD07A8" w:rsidRPr="00796FB2">
        <w:rPr>
          <w:rFonts w:asciiTheme="minorHAnsi" w:hAnsiTheme="minorHAnsi" w:cstheme="minorHAnsi"/>
          <w:iCs/>
          <w:lang w:val="en-US"/>
        </w:rPr>
        <w:t>The</w:t>
      </w:r>
      <w:r w:rsidR="000E670C">
        <w:rPr>
          <w:rFonts w:asciiTheme="minorHAnsi" w:hAnsiTheme="minorHAnsi" w:cstheme="minorHAnsi"/>
          <w:iCs/>
          <w:lang w:val="en-US"/>
        </w:rPr>
        <w:t xml:space="preserve"> </w:t>
      </w:r>
      <w:r w:rsidR="007A300E">
        <w:rPr>
          <w:rFonts w:asciiTheme="minorHAnsi" w:hAnsiTheme="minorHAnsi" w:cstheme="minorHAnsi"/>
          <w:iCs/>
          <w:lang w:val="en-US"/>
        </w:rPr>
        <w:t>terms of reference</w:t>
      </w:r>
      <w:r w:rsidR="007A300E" w:rsidRPr="00796FB2">
        <w:rPr>
          <w:rFonts w:asciiTheme="minorHAnsi" w:hAnsiTheme="minorHAnsi" w:cstheme="minorHAnsi"/>
          <w:iCs/>
          <w:lang w:val="en-US"/>
        </w:rPr>
        <w:t xml:space="preserve"> </w:t>
      </w:r>
      <w:r w:rsidR="00F11306" w:rsidRPr="00796FB2">
        <w:rPr>
          <w:rFonts w:asciiTheme="minorHAnsi" w:hAnsiTheme="minorHAnsi" w:cstheme="minorHAnsi"/>
          <w:iCs/>
          <w:lang w:val="en-US"/>
        </w:rPr>
        <w:t>in</w:t>
      </w:r>
      <w:r w:rsidR="00BD07A8" w:rsidRPr="00796FB2">
        <w:rPr>
          <w:rFonts w:asciiTheme="minorHAnsi" w:hAnsiTheme="minorHAnsi" w:cstheme="minorHAnsi"/>
          <w:iCs/>
          <w:lang w:val="en-US"/>
        </w:rPr>
        <w:t xml:space="preserve"> </w:t>
      </w:r>
      <w:r w:rsidR="00F11306" w:rsidRPr="00796FB2">
        <w:rPr>
          <w:rFonts w:asciiTheme="minorHAnsi" w:hAnsiTheme="minorHAnsi" w:cstheme="minorHAnsi"/>
          <w:iCs/>
          <w:lang w:val="en-US"/>
        </w:rPr>
        <w:t xml:space="preserve">document </w:t>
      </w:r>
      <w:r w:rsidR="00BD07A8" w:rsidRPr="00796FB2">
        <w:rPr>
          <w:rFonts w:asciiTheme="minorHAnsi" w:hAnsiTheme="minorHAnsi" w:cstheme="minorHAnsi"/>
          <w:iCs/>
          <w:lang w:val="en-US"/>
        </w:rPr>
        <w:t>SC53</w:t>
      </w:r>
      <w:r w:rsidR="00F11306" w:rsidRPr="00796FB2">
        <w:rPr>
          <w:rFonts w:asciiTheme="minorHAnsi" w:hAnsiTheme="minorHAnsi" w:cstheme="minorHAnsi"/>
          <w:iCs/>
          <w:lang w:val="en-US"/>
        </w:rPr>
        <w:t>-</w:t>
      </w:r>
      <w:r w:rsidR="00BD07A8" w:rsidRPr="00796FB2">
        <w:rPr>
          <w:rFonts w:asciiTheme="minorHAnsi" w:hAnsiTheme="minorHAnsi" w:cstheme="minorHAnsi"/>
          <w:iCs/>
          <w:lang w:val="en-US"/>
        </w:rPr>
        <w:t>16 identified the following administrative services to be provided by the Secretariat</w:t>
      </w:r>
      <w:r w:rsidR="00F11306" w:rsidRPr="00796FB2">
        <w:rPr>
          <w:rFonts w:asciiTheme="minorHAnsi" w:hAnsiTheme="minorHAnsi" w:cstheme="minorHAnsi"/>
          <w:iCs/>
          <w:lang w:val="en-US"/>
        </w:rPr>
        <w:t>:</w:t>
      </w:r>
    </w:p>
    <w:p w14:paraId="36313F30" w14:textId="77777777" w:rsidR="00BD07A8" w:rsidRPr="00796FB2" w:rsidRDefault="00BD07A8" w:rsidP="00796FB2">
      <w:pPr>
        <w:pStyle w:val="Default"/>
        <w:ind w:left="425" w:hanging="425"/>
        <w:rPr>
          <w:rFonts w:asciiTheme="minorHAnsi" w:hAnsiTheme="minorHAnsi" w:cstheme="minorHAnsi"/>
          <w:sz w:val="22"/>
          <w:szCs w:val="22"/>
        </w:rPr>
      </w:pPr>
    </w:p>
    <w:p w14:paraId="1A51D374" w14:textId="77777777" w:rsidR="00BD07A8" w:rsidRPr="00796FB2" w:rsidRDefault="00BD07A8" w:rsidP="00796FB2">
      <w:pPr>
        <w:pStyle w:val="Default"/>
        <w:ind w:left="850" w:hanging="425"/>
        <w:rPr>
          <w:rFonts w:asciiTheme="minorHAnsi" w:hAnsiTheme="minorHAnsi" w:cstheme="minorHAnsi"/>
          <w:sz w:val="22"/>
          <w:szCs w:val="22"/>
        </w:rPr>
      </w:pPr>
      <w:r w:rsidRPr="00796FB2">
        <w:rPr>
          <w:rFonts w:asciiTheme="minorHAnsi" w:hAnsiTheme="minorHAnsi" w:cstheme="minorHAnsi"/>
          <w:sz w:val="22"/>
          <w:szCs w:val="22"/>
        </w:rPr>
        <w:t xml:space="preserve">a. </w:t>
      </w:r>
      <w:r w:rsidR="00DC42AB" w:rsidRPr="00796FB2">
        <w:rPr>
          <w:rFonts w:asciiTheme="minorHAnsi" w:hAnsiTheme="minorHAnsi" w:cstheme="minorHAnsi"/>
          <w:sz w:val="22"/>
          <w:szCs w:val="22"/>
        </w:rPr>
        <w:tab/>
      </w:r>
      <w:r w:rsidRPr="00796FB2">
        <w:rPr>
          <w:rFonts w:asciiTheme="minorHAnsi" w:hAnsiTheme="minorHAnsi" w:cstheme="minorHAnsi"/>
          <w:sz w:val="22"/>
          <w:szCs w:val="22"/>
        </w:rPr>
        <w:t xml:space="preserve">Submit the nominations received to the IAC for its consideration; </w:t>
      </w:r>
    </w:p>
    <w:p w14:paraId="5029D9C3" w14:textId="77777777" w:rsidR="00DC42AB" w:rsidRPr="00796FB2" w:rsidRDefault="00DC42AB" w:rsidP="00796FB2">
      <w:pPr>
        <w:pStyle w:val="Default"/>
        <w:ind w:left="850" w:hanging="425"/>
        <w:rPr>
          <w:rFonts w:asciiTheme="minorHAnsi" w:hAnsiTheme="minorHAnsi" w:cstheme="minorHAnsi"/>
          <w:sz w:val="22"/>
          <w:szCs w:val="22"/>
        </w:rPr>
      </w:pPr>
    </w:p>
    <w:p w14:paraId="7093F8C3" w14:textId="77777777" w:rsidR="00BD07A8" w:rsidRPr="00796FB2" w:rsidRDefault="00BD07A8" w:rsidP="00796FB2">
      <w:pPr>
        <w:pStyle w:val="Default"/>
        <w:ind w:left="850" w:hanging="425"/>
        <w:rPr>
          <w:rFonts w:asciiTheme="minorHAnsi" w:hAnsiTheme="minorHAnsi" w:cstheme="minorHAnsi"/>
          <w:sz w:val="22"/>
          <w:szCs w:val="22"/>
        </w:rPr>
      </w:pPr>
      <w:r w:rsidRPr="00796FB2">
        <w:rPr>
          <w:rFonts w:asciiTheme="minorHAnsi" w:hAnsiTheme="minorHAnsi" w:cstheme="minorHAnsi"/>
          <w:sz w:val="22"/>
          <w:szCs w:val="22"/>
        </w:rPr>
        <w:t xml:space="preserve">b. </w:t>
      </w:r>
      <w:r w:rsidR="00DC42AB" w:rsidRPr="00796FB2">
        <w:rPr>
          <w:rFonts w:asciiTheme="minorHAnsi" w:hAnsiTheme="minorHAnsi" w:cstheme="minorHAnsi"/>
          <w:sz w:val="22"/>
          <w:szCs w:val="22"/>
        </w:rPr>
        <w:tab/>
      </w:r>
      <w:r w:rsidRPr="00796FB2">
        <w:rPr>
          <w:rFonts w:asciiTheme="minorHAnsi" w:hAnsiTheme="minorHAnsi" w:cstheme="minorHAnsi"/>
          <w:sz w:val="22"/>
          <w:szCs w:val="22"/>
        </w:rPr>
        <w:t xml:space="preserve">Assist with the organization of the IAC remote meetings; </w:t>
      </w:r>
    </w:p>
    <w:p w14:paraId="77BB3265" w14:textId="77777777" w:rsidR="00DC42AB" w:rsidRPr="00796FB2" w:rsidRDefault="00DC42AB" w:rsidP="00796FB2">
      <w:pPr>
        <w:pStyle w:val="Default"/>
        <w:ind w:left="850" w:hanging="425"/>
        <w:rPr>
          <w:rFonts w:asciiTheme="minorHAnsi" w:hAnsiTheme="minorHAnsi" w:cstheme="minorHAnsi"/>
          <w:sz w:val="22"/>
          <w:szCs w:val="22"/>
        </w:rPr>
      </w:pPr>
    </w:p>
    <w:p w14:paraId="638939B6" w14:textId="77777777" w:rsidR="00BD07A8" w:rsidRPr="00796FB2" w:rsidRDefault="00BD07A8" w:rsidP="00796FB2">
      <w:pPr>
        <w:pStyle w:val="Default"/>
        <w:ind w:left="850" w:hanging="425"/>
        <w:rPr>
          <w:rFonts w:asciiTheme="minorHAnsi" w:hAnsiTheme="minorHAnsi" w:cstheme="minorHAnsi"/>
          <w:sz w:val="22"/>
          <w:szCs w:val="22"/>
        </w:rPr>
      </w:pPr>
      <w:r w:rsidRPr="00796FB2">
        <w:rPr>
          <w:rFonts w:asciiTheme="minorHAnsi" w:hAnsiTheme="minorHAnsi" w:cstheme="minorHAnsi"/>
          <w:sz w:val="22"/>
          <w:szCs w:val="22"/>
        </w:rPr>
        <w:t xml:space="preserve">c. </w:t>
      </w:r>
      <w:r w:rsidR="00DC42AB" w:rsidRPr="00796FB2">
        <w:rPr>
          <w:rFonts w:asciiTheme="minorHAnsi" w:hAnsiTheme="minorHAnsi" w:cstheme="minorHAnsi"/>
          <w:sz w:val="22"/>
          <w:szCs w:val="22"/>
        </w:rPr>
        <w:tab/>
      </w:r>
      <w:r w:rsidRPr="00796FB2">
        <w:rPr>
          <w:rFonts w:asciiTheme="minorHAnsi" w:hAnsiTheme="minorHAnsi" w:cstheme="minorHAnsi"/>
          <w:sz w:val="22"/>
          <w:szCs w:val="22"/>
        </w:rPr>
        <w:t xml:space="preserve">Participate in the IAC, as provided for at sections 16.g and 16.h of the Annex to Resolution XII.10 (the Secretary General or his/her designated representative; and the Ramsar Senior Advisor for the concerned region (rapporteur)); </w:t>
      </w:r>
    </w:p>
    <w:p w14:paraId="2277E00C" w14:textId="77777777" w:rsidR="00DC42AB" w:rsidRPr="00796FB2" w:rsidRDefault="00DC42AB" w:rsidP="00796FB2">
      <w:pPr>
        <w:pStyle w:val="Default"/>
        <w:ind w:left="850" w:hanging="425"/>
        <w:rPr>
          <w:rFonts w:asciiTheme="minorHAnsi" w:hAnsiTheme="minorHAnsi" w:cstheme="minorHAnsi"/>
          <w:sz w:val="22"/>
          <w:szCs w:val="22"/>
        </w:rPr>
      </w:pPr>
    </w:p>
    <w:p w14:paraId="6BDAF988" w14:textId="77777777" w:rsidR="00BD07A8" w:rsidRPr="00796FB2" w:rsidRDefault="00BD07A8" w:rsidP="00796FB2">
      <w:pPr>
        <w:pStyle w:val="Default"/>
        <w:ind w:left="850" w:hanging="425"/>
        <w:rPr>
          <w:rFonts w:asciiTheme="minorHAnsi" w:hAnsiTheme="minorHAnsi" w:cstheme="minorHAnsi"/>
          <w:sz w:val="22"/>
          <w:szCs w:val="22"/>
        </w:rPr>
      </w:pPr>
      <w:r w:rsidRPr="00796FB2">
        <w:rPr>
          <w:rFonts w:asciiTheme="minorHAnsi" w:hAnsiTheme="minorHAnsi" w:cstheme="minorHAnsi"/>
          <w:sz w:val="22"/>
          <w:szCs w:val="22"/>
        </w:rPr>
        <w:t xml:space="preserve">d. </w:t>
      </w:r>
      <w:r w:rsidR="00DC42AB" w:rsidRPr="00796FB2">
        <w:rPr>
          <w:rFonts w:asciiTheme="minorHAnsi" w:hAnsiTheme="minorHAnsi" w:cstheme="minorHAnsi"/>
          <w:sz w:val="22"/>
          <w:szCs w:val="22"/>
        </w:rPr>
        <w:tab/>
      </w:r>
      <w:r w:rsidRPr="00796FB2">
        <w:rPr>
          <w:rFonts w:asciiTheme="minorHAnsi" w:hAnsiTheme="minorHAnsi" w:cstheme="minorHAnsi"/>
          <w:sz w:val="22"/>
          <w:szCs w:val="22"/>
        </w:rPr>
        <w:t xml:space="preserve">Submit to the Ramsar Standing Committee the report of the IAC listing those cities approved for accreditation for its review and subsequent transmission to the Conference of the Parties; </w:t>
      </w:r>
    </w:p>
    <w:p w14:paraId="4AA3DA0E" w14:textId="77777777" w:rsidR="00DC42AB" w:rsidRPr="00796FB2" w:rsidRDefault="00DC42AB" w:rsidP="00796FB2">
      <w:pPr>
        <w:pStyle w:val="Default"/>
        <w:ind w:left="850" w:hanging="425"/>
        <w:rPr>
          <w:rFonts w:asciiTheme="minorHAnsi" w:hAnsiTheme="minorHAnsi" w:cstheme="minorHAnsi"/>
          <w:sz w:val="22"/>
          <w:szCs w:val="22"/>
        </w:rPr>
      </w:pPr>
    </w:p>
    <w:p w14:paraId="0AF12A79" w14:textId="77777777" w:rsidR="00BD07A8" w:rsidRPr="00796FB2" w:rsidRDefault="00BD07A8" w:rsidP="00796FB2">
      <w:pPr>
        <w:pStyle w:val="Default"/>
        <w:ind w:left="850" w:hanging="425"/>
        <w:rPr>
          <w:rFonts w:asciiTheme="minorHAnsi" w:hAnsiTheme="minorHAnsi" w:cstheme="minorHAnsi"/>
          <w:sz w:val="22"/>
          <w:szCs w:val="22"/>
        </w:rPr>
      </w:pPr>
      <w:r w:rsidRPr="00796FB2">
        <w:rPr>
          <w:rFonts w:asciiTheme="minorHAnsi" w:hAnsiTheme="minorHAnsi" w:cstheme="minorHAnsi"/>
          <w:sz w:val="22"/>
          <w:szCs w:val="22"/>
        </w:rPr>
        <w:t xml:space="preserve">e. </w:t>
      </w:r>
      <w:r w:rsidR="00DC42AB" w:rsidRPr="00796FB2">
        <w:rPr>
          <w:rFonts w:asciiTheme="minorHAnsi" w:hAnsiTheme="minorHAnsi" w:cstheme="minorHAnsi"/>
          <w:sz w:val="22"/>
          <w:szCs w:val="22"/>
        </w:rPr>
        <w:tab/>
      </w:r>
      <w:r w:rsidRPr="00796FB2">
        <w:rPr>
          <w:rFonts w:asciiTheme="minorHAnsi" w:hAnsiTheme="minorHAnsi" w:cstheme="minorHAnsi"/>
          <w:sz w:val="22"/>
          <w:szCs w:val="22"/>
        </w:rPr>
        <w:t xml:space="preserve">Provide the Contracting Party with an accreditation certificate, containing the Ramsar Convention logo, for the Wetland City; </w:t>
      </w:r>
    </w:p>
    <w:p w14:paraId="60F72033" w14:textId="77777777" w:rsidR="00DC42AB" w:rsidRPr="00796FB2" w:rsidRDefault="00DC42AB" w:rsidP="00796FB2">
      <w:pPr>
        <w:pStyle w:val="Default"/>
        <w:ind w:left="850" w:hanging="425"/>
        <w:rPr>
          <w:rFonts w:asciiTheme="minorHAnsi" w:hAnsiTheme="minorHAnsi" w:cstheme="minorHAnsi"/>
          <w:sz w:val="22"/>
          <w:szCs w:val="22"/>
        </w:rPr>
      </w:pPr>
    </w:p>
    <w:p w14:paraId="039B1FDE" w14:textId="77777777" w:rsidR="00BD07A8" w:rsidRPr="00796FB2" w:rsidRDefault="00BD07A8" w:rsidP="00796FB2">
      <w:pPr>
        <w:pStyle w:val="Default"/>
        <w:ind w:left="850" w:hanging="425"/>
        <w:rPr>
          <w:rFonts w:asciiTheme="minorHAnsi" w:hAnsiTheme="minorHAnsi" w:cstheme="minorHAnsi"/>
          <w:sz w:val="22"/>
          <w:szCs w:val="22"/>
        </w:rPr>
      </w:pPr>
      <w:r w:rsidRPr="00796FB2">
        <w:rPr>
          <w:rFonts w:asciiTheme="minorHAnsi" w:hAnsiTheme="minorHAnsi" w:cstheme="minorHAnsi"/>
          <w:sz w:val="22"/>
          <w:szCs w:val="22"/>
        </w:rPr>
        <w:t xml:space="preserve">f. </w:t>
      </w:r>
      <w:r w:rsidR="00DC42AB" w:rsidRPr="00796FB2">
        <w:rPr>
          <w:rFonts w:asciiTheme="minorHAnsi" w:hAnsiTheme="minorHAnsi" w:cstheme="minorHAnsi"/>
          <w:sz w:val="22"/>
          <w:szCs w:val="22"/>
        </w:rPr>
        <w:tab/>
      </w:r>
      <w:r w:rsidRPr="00796FB2">
        <w:rPr>
          <w:rFonts w:asciiTheme="minorHAnsi" w:hAnsiTheme="minorHAnsi" w:cstheme="minorHAnsi"/>
          <w:sz w:val="22"/>
          <w:szCs w:val="22"/>
        </w:rPr>
        <w:t xml:space="preserve">Develop a global online network of cities which have obtained the Wetland City accreditation of the Ramsar Convention. </w:t>
      </w:r>
    </w:p>
    <w:p w14:paraId="71224B3B" w14:textId="77777777" w:rsidR="00BD07A8" w:rsidRPr="00796FB2" w:rsidRDefault="00BD07A8" w:rsidP="00796FB2">
      <w:pPr>
        <w:rPr>
          <w:rFonts w:asciiTheme="minorHAnsi" w:hAnsiTheme="minorHAnsi" w:cstheme="minorHAnsi"/>
          <w:i/>
          <w:iCs/>
        </w:rPr>
      </w:pPr>
    </w:p>
    <w:p w14:paraId="4BAD107E" w14:textId="5C7D2138" w:rsidR="00BD07A8" w:rsidRPr="00B24C64" w:rsidRDefault="00DC42AB" w:rsidP="00796FB2">
      <w:pPr>
        <w:rPr>
          <w:rFonts w:asciiTheme="minorHAnsi" w:hAnsiTheme="minorHAnsi" w:cstheme="minorHAnsi"/>
          <w:iCs/>
        </w:rPr>
      </w:pPr>
      <w:r w:rsidRPr="000E670C">
        <w:rPr>
          <w:rFonts w:asciiTheme="minorHAnsi" w:hAnsiTheme="minorHAnsi" w:cstheme="minorHAnsi"/>
          <w:iCs/>
        </w:rPr>
        <w:t>7</w:t>
      </w:r>
      <w:r w:rsidRPr="00796FB2">
        <w:rPr>
          <w:rFonts w:asciiTheme="minorHAnsi" w:hAnsiTheme="minorHAnsi" w:cstheme="minorHAnsi"/>
          <w:i/>
          <w:iCs/>
        </w:rPr>
        <w:t>.</w:t>
      </w:r>
      <w:r w:rsidRPr="00796FB2">
        <w:rPr>
          <w:rFonts w:asciiTheme="minorHAnsi" w:hAnsiTheme="minorHAnsi" w:cstheme="minorHAnsi"/>
          <w:i/>
          <w:iCs/>
        </w:rPr>
        <w:tab/>
      </w:r>
      <w:r w:rsidR="00B24C64">
        <w:rPr>
          <w:rFonts w:asciiTheme="minorHAnsi" w:hAnsiTheme="minorHAnsi" w:cstheme="minorHAnsi"/>
          <w:iCs/>
        </w:rPr>
        <w:t xml:space="preserve">Document </w:t>
      </w:r>
      <w:r w:rsidR="00BD07A8" w:rsidRPr="00B24C64">
        <w:rPr>
          <w:rFonts w:asciiTheme="minorHAnsi" w:hAnsiTheme="minorHAnsi" w:cstheme="minorHAnsi"/>
          <w:iCs/>
        </w:rPr>
        <w:t>SC57 Doc.26</w:t>
      </w:r>
      <w:r w:rsidR="00BD07A8" w:rsidRPr="00796FB2">
        <w:rPr>
          <w:rFonts w:asciiTheme="minorHAnsi" w:hAnsiTheme="minorHAnsi" w:cstheme="minorHAnsi"/>
          <w:i/>
          <w:iCs/>
        </w:rPr>
        <w:t xml:space="preserve"> Wetland City Accreditation: Guidance for the 2019-2021 triennium </w:t>
      </w:r>
      <w:r w:rsidR="00BD07A8" w:rsidRPr="00B24C64">
        <w:rPr>
          <w:rFonts w:asciiTheme="minorHAnsi" w:hAnsiTheme="minorHAnsi" w:cstheme="minorHAnsi"/>
          <w:iCs/>
        </w:rPr>
        <w:t>reported on</w:t>
      </w:r>
      <w:r w:rsidR="00B24C64" w:rsidRPr="00B24C64">
        <w:rPr>
          <w:rFonts w:asciiTheme="minorHAnsi" w:hAnsiTheme="minorHAnsi" w:cstheme="minorHAnsi"/>
          <w:iCs/>
        </w:rPr>
        <w:t xml:space="preserve"> the</w:t>
      </w:r>
      <w:r w:rsidR="00BD07A8" w:rsidRPr="00B24C64">
        <w:rPr>
          <w:rFonts w:asciiTheme="minorHAnsi" w:hAnsiTheme="minorHAnsi" w:cstheme="minorHAnsi"/>
          <w:iCs/>
        </w:rPr>
        <w:t xml:space="preserve"> role of </w:t>
      </w:r>
      <w:r w:rsidR="00201D40">
        <w:rPr>
          <w:rFonts w:asciiTheme="minorHAnsi" w:hAnsiTheme="minorHAnsi" w:cstheme="minorHAnsi"/>
          <w:iCs/>
        </w:rPr>
        <w:t xml:space="preserve">the </w:t>
      </w:r>
      <w:r w:rsidR="00BD07A8" w:rsidRPr="00B24C64">
        <w:rPr>
          <w:rFonts w:asciiTheme="minorHAnsi" w:hAnsiTheme="minorHAnsi" w:cstheme="minorHAnsi"/>
          <w:iCs/>
        </w:rPr>
        <w:t>Secretariat</w:t>
      </w:r>
      <w:r w:rsidR="00B24C64">
        <w:rPr>
          <w:rFonts w:asciiTheme="minorHAnsi" w:hAnsiTheme="minorHAnsi" w:cstheme="minorHAnsi"/>
          <w:iCs/>
        </w:rPr>
        <w:t>, and</w:t>
      </w:r>
      <w:r w:rsidR="00BD07A8" w:rsidRPr="00B24C64">
        <w:rPr>
          <w:rFonts w:asciiTheme="minorHAnsi" w:hAnsiTheme="minorHAnsi" w:cstheme="minorHAnsi"/>
          <w:iCs/>
        </w:rPr>
        <w:t xml:space="preserve"> identified that </w:t>
      </w:r>
      <w:r w:rsidR="00201D40">
        <w:rPr>
          <w:rFonts w:asciiTheme="minorHAnsi" w:hAnsiTheme="minorHAnsi" w:cstheme="minorHAnsi"/>
          <w:iCs/>
        </w:rPr>
        <w:t xml:space="preserve">it had provided </w:t>
      </w:r>
      <w:r w:rsidR="00BD07A8" w:rsidRPr="00B24C64">
        <w:rPr>
          <w:rFonts w:asciiTheme="minorHAnsi" w:hAnsiTheme="minorHAnsi" w:cstheme="minorHAnsi"/>
          <w:iCs/>
        </w:rPr>
        <w:t xml:space="preserve">the following administrative services during the </w:t>
      </w:r>
      <w:r w:rsidR="00B24C64">
        <w:rPr>
          <w:rFonts w:asciiTheme="minorHAnsi" w:hAnsiTheme="minorHAnsi" w:cstheme="minorHAnsi"/>
          <w:iCs/>
        </w:rPr>
        <w:t>2016-2018</w:t>
      </w:r>
      <w:r w:rsidR="00B24C64" w:rsidRPr="00B24C64">
        <w:rPr>
          <w:rFonts w:asciiTheme="minorHAnsi" w:hAnsiTheme="minorHAnsi" w:cstheme="minorHAnsi"/>
          <w:iCs/>
        </w:rPr>
        <w:t xml:space="preserve"> </w:t>
      </w:r>
      <w:r w:rsidR="00BD07A8" w:rsidRPr="00B24C64">
        <w:rPr>
          <w:rFonts w:asciiTheme="minorHAnsi" w:hAnsiTheme="minorHAnsi" w:cstheme="minorHAnsi"/>
          <w:iCs/>
        </w:rPr>
        <w:t>triennium</w:t>
      </w:r>
      <w:r w:rsidR="00B24C64">
        <w:rPr>
          <w:rFonts w:asciiTheme="minorHAnsi" w:hAnsiTheme="minorHAnsi" w:cstheme="minorHAnsi"/>
          <w:iCs/>
        </w:rPr>
        <w:t>:</w:t>
      </w:r>
    </w:p>
    <w:p w14:paraId="495E8791" w14:textId="77777777" w:rsidR="00DC42AB" w:rsidRPr="00B24C64" w:rsidRDefault="00DC42AB" w:rsidP="00796FB2">
      <w:pPr>
        <w:rPr>
          <w:rFonts w:asciiTheme="minorHAnsi" w:hAnsiTheme="minorHAnsi" w:cstheme="minorHAnsi"/>
          <w:iCs/>
        </w:rPr>
      </w:pPr>
    </w:p>
    <w:p w14:paraId="4A839EB1" w14:textId="631E3451" w:rsidR="00BD07A8" w:rsidRDefault="00BD07A8" w:rsidP="00796FB2">
      <w:pPr>
        <w:pStyle w:val="ListParagraph"/>
        <w:widowControl w:val="0"/>
        <w:numPr>
          <w:ilvl w:val="1"/>
          <w:numId w:val="30"/>
        </w:numPr>
        <w:autoSpaceDE w:val="0"/>
        <w:autoSpaceDN w:val="0"/>
        <w:ind w:left="850"/>
        <w:contextualSpacing w:val="0"/>
        <w:rPr>
          <w:rFonts w:asciiTheme="minorHAnsi" w:hAnsiTheme="minorHAnsi" w:cstheme="minorHAnsi"/>
        </w:rPr>
      </w:pPr>
      <w:r w:rsidRPr="00B24C64">
        <w:rPr>
          <w:rFonts w:asciiTheme="minorHAnsi" w:hAnsiTheme="minorHAnsi" w:cstheme="minorHAnsi"/>
        </w:rPr>
        <w:t>preparation of application forms and guidance for cities and Heads of Administrative Authorities;</w:t>
      </w:r>
    </w:p>
    <w:p w14:paraId="18C9FCC4" w14:textId="77777777" w:rsidR="00D313DE" w:rsidRPr="00B24C64" w:rsidRDefault="00D313DE" w:rsidP="00D313DE">
      <w:pPr>
        <w:pStyle w:val="ListParagraph"/>
        <w:widowControl w:val="0"/>
        <w:autoSpaceDE w:val="0"/>
        <w:autoSpaceDN w:val="0"/>
        <w:ind w:left="850" w:firstLine="0"/>
        <w:contextualSpacing w:val="0"/>
        <w:rPr>
          <w:rFonts w:asciiTheme="minorHAnsi" w:hAnsiTheme="minorHAnsi" w:cstheme="minorHAnsi"/>
        </w:rPr>
      </w:pPr>
    </w:p>
    <w:p w14:paraId="366BBE0C" w14:textId="75B369E8" w:rsidR="00BD07A8" w:rsidRDefault="00BD07A8" w:rsidP="00796FB2">
      <w:pPr>
        <w:pStyle w:val="ListParagraph"/>
        <w:widowControl w:val="0"/>
        <w:numPr>
          <w:ilvl w:val="1"/>
          <w:numId w:val="30"/>
        </w:numPr>
        <w:autoSpaceDE w:val="0"/>
        <w:autoSpaceDN w:val="0"/>
        <w:ind w:left="850"/>
        <w:contextualSpacing w:val="0"/>
        <w:rPr>
          <w:rFonts w:asciiTheme="minorHAnsi" w:hAnsiTheme="minorHAnsi" w:cstheme="minorHAnsi"/>
        </w:rPr>
      </w:pPr>
      <w:r w:rsidRPr="00B24C64">
        <w:rPr>
          <w:rFonts w:asciiTheme="minorHAnsi" w:hAnsiTheme="minorHAnsi" w:cstheme="minorHAnsi"/>
        </w:rPr>
        <w:t>drafting and publishing</w:t>
      </w:r>
      <w:r w:rsidR="000E670C">
        <w:rPr>
          <w:rFonts w:asciiTheme="minorHAnsi" w:hAnsiTheme="minorHAnsi" w:cstheme="minorHAnsi"/>
        </w:rPr>
        <w:t xml:space="preserve"> of</w:t>
      </w:r>
      <w:r w:rsidRPr="00B24C64">
        <w:rPr>
          <w:rFonts w:asciiTheme="minorHAnsi" w:hAnsiTheme="minorHAnsi" w:cstheme="minorHAnsi"/>
        </w:rPr>
        <w:t xml:space="preserve"> the call for</w:t>
      </w:r>
      <w:r w:rsidRPr="00B24C64">
        <w:rPr>
          <w:rFonts w:asciiTheme="minorHAnsi" w:hAnsiTheme="minorHAnsi" w:cstheme="minorHAnsi"/>
          <w:spacing w:val="-3"/>
        </w:rPr>
        <w:t xml:space="preserve"> </w:t>
      </w:r>
      <w:r w:rsidRPr="00B24C64">
        <w:rPr>
          <w:rFonts w:asciiTheme="minorHAnsi" w:hAnsiTheme="minorHAnsi" w:cstheme="minorHAnsi"/>
        </w:rPr>
        <w:t>applications;</w:t>
      </w:r>
    </w:p>
    <w:p w14:paraId="168F5C59" w14:textId="77777777" w:rsidR="00D313DE" w:rsidRPr="00B24C64" w:rsidRDefault="00D313DE" w:rsidP="00D313DE">
      <w:pPr>
        <w:pStyle w:val="ListParagraph"/>
        <w:widowControl w:val="0"/>
        <w:autoSpaceDE w:val="0"/>
        <w:autoSpaceDN w:val="0"/>
        <w:ind w:left="850" w:firstLine="0"/>
        <w:contextualSpacing w:val="0"/>
        <w:rPr>
          <w:rFonts w:asciiTheme="minorHAnsi" w:hAnsiTheme="minorHAnsi" w:cstheme="minorHAnsi"/>
        </w:rPr>
      </w:pPr>
    </w:p>
    <w:p w14:paraId="5E66B2B7" w14:textId="280D72F4" w:rsidR="00BD07A8" w:rsidRDefault="00BD07A8" w:rsidP="00796FB2">
      <w:pPr>
        <w:pStyle w:val="ListParagraph"/>
        <w:widowControl w:val="0"/>
        <w:numPr>
          <w:ilvl w:val="1"/>
          <w:numId w:val="30"/>
        </w:numPr>
        <w:autoSpaceDE w:val="0"/>
        <w:autoSpaceDN w:val="0"/>
        <w:ind w:left="850"/>
        <w:contextualSpacing w:val="0"/>
        <w:rPr>
          <w:rFonts w:asciiTheme="minorHAnsi" w:hAnsiTheme="minorHAnsi" w:cstheme="minorHAnsi"/>
        </w:rPr>
      </w:pPr>
      <w:r w:rsidRPr="00B24C64">
        <w:rPr>
          <w:rFonts w:asciiTheme="minorHAnsi" w:hAnsiTheme="minorHAnsi" w:cstheme="minorHAnsi"/>
        </w:rPr>
        <w:t>receiving applications, checking their endorsement and forwarding to the IAC, replying to any queries;</w:t>
      </w:r>
    </w:p>
    <w:p w14:paraId="26FFC14D" w14:textId="77777777" w:rsidR="00D313DE" w:rsidRPr="00B24C64" w:rsidRDefault="00D313DE" w:rsidP="00D313DE">
      <w:pPr>
        <w:pStyle w:val="ListParagraph"/>
        <w:widowControl w:val="0"/>
        <w:autoSpaceDE w:val="0"/>
        <w:autoSpaceDN w:val="0"/>
        <w:ind w:left="850" w:firstLine="0"/>
        <w:contextualSpacing w:val="0"/>
        <w:rPr>
          <w:rFonts w:asciiTheme="minorHAnsi" w:hAnsiTheme="minorHAnsi" w:cstheme="minorHAnsi"/>
        </w:rPr>
      </w:pPr>
    </w:p>
    <w:p w14:paraId="24E306F3" w14:textId="02951A9C" w:rsidR="00BD07A8" w:rsidRDefault="00BD07A8" w:rsidP="00796FB2">
      <w:pPr>
        <w:pStyle w:val="ListParagraph"/>
        <w:widowControl w:val="0"/>
        <w:numPr>
          <w:ilvl w:val="1"/>
          <w:numId w:val="30"/>
        </w:numPr>
        <w:autoSpaceDE w:val="0"/>
        <w:autoSpaceDN w:val="0"/>
        <w:ind w:left="850"/>
        <w:contextualSpacing w:val="0"/>
        <w:rPr>
          <w:rFonts w:asciiTheme="minorHAnsi" w:hAnsiTheme="minorHAnsi" w:cstheme="minorHAnsi"/>
        </w:rPr>
      </w:pPr>
      <w:r w:rsidRPr="00B24C64">
        <w:rPr>
          <w:rFonts w:asciiTheme="minorHAnsi" w:hAnsiTheme="minorHAnsi" w:cstheme="minorHAnsi"/>
        </w:rPr>
        <w:t>preparation of accreditation certificates, publishing of a web article and development of a web page for the accredited</w:t>
      </w:r>
      <w:r w:rsidRPr="00B24C64">
        <w:rPr>
          <w:rFonts w:asciiTheme="minorHAnsi" w:hAnsiTheme="minorHAnsi" w:cstheme="minorHAnsi"/>
          <w:spacing w:val="-3"/>
        </w:rPr>
        <w:t xml:space="preserve"> </w:t>
      </w:r>
      <w:r w:rsidRPr="00B24C64">
        <w:rPr>
          <w:rFonts w:asciiTheme="minorHAnsi" w:hAnsiTheme="minorHAnsi" w:cstheme="minorHAnsi"/>
        </w:rPr>
        <w:t>cities;</w:t>
      </w:r>
    </w:p>
    <w:p w14:paraId="2D2A86E6" w14:textId="77777777" w:rsidR="00D313DE" w:rsidRPr="00B24C64" w:rsidRDefault="00D313DE" w:rsidP="00D313DE">
      <w:pPr>
        <w:pStyle w:val="ListParagraph"/>
        <w:widowControl w:val="0"/>
        <w:autoSpaceDE w:val="0"/>
        <w:autoSpaceDN w:val="0"/>
        <w:ind w:left="850" w:firstLine="0"/>
        <w:contextualSpacing w:val="0"/>
        <w:rPr>
          <w:rFonts w:asciiTheme="minorHAnsi" w:hAnsiTheme="minorHAnsi" w:cstheme="minorHAnsi"/>
        </w:rPr>
      </w:pPr>
    </w:p>
    <w:p w14:paraId="348E6468" w14:textId="36B61D89" w:rsidR="00BD07A8" w:rsidRDefault="00BD07A8" w:rsidP="00796FB2">
      <w:pPr>
        <w:pStyle w:val="ListParagraph"/>
        <w:widowControl w:val="0"/>
        <w:numPr>
          <w:ilvl w:val="1"/>
          <w:numId w:val="30"/>
        </w:numPr>
        <w:autoSpaceDE w:val="0"/>
        <w:autoSpaceDN w:val="0"/>
        <w:ind w:left="850"/>
        <w:contextualSpacing w:val="0"/>
        <w:rPr>
          <w:rFonts w:asciiTheme="minorHAnsi" w:hAnsiTheme="minorHAnsi" w:cstheme="minorHAnsi"/>
        </w:rPr>
      </w:pPr>
      <w:r w:rsidRPr="00B24C64">
        <w:rPr>
          <w:rFonts w:asciiTheme="minorHAnsi" w:hAnsiTheme="minorHAnsi" w:cstheme="minorHAnsi"/>
        </w:rPr>
        <w:t>communication, preparation and holding of the accreditation ceremony;</w:t>
      </w:r>
      <w:r w:rsidRPr="00B24C64">
        <w:rPr>
          <w:rFonts w:asciiTheme="minorHAnsi" w:hAnsiTheme="minorHAnsi" w:cstheme="minorHAnsi"/>
          <w:spacing w:val="-11"/>
        </w:rPr>
        <w:t xml:space="preserve"> </w:t>
      </w:r>
      <w:r w:rsidRPr="00B24C64">
        <w:rPr>
          <w:rFonts w:asciiTheme="minorHAnsi" w:hAnsiTheme="minorHAnsi" w:cstheme="minorHAnsi"/>
        </w:rPr>
        <w:t>and</w:t>
      </w:r>
    </w:p>
    <w:p w14:paraId="0397F4A7" w14:textId="77777777" w:rsidR="00D313DE" w:rsidRPr="00B24C64" w:rsidRDefault="00D313DE" w:rsidP="00D313DE">
      <w:pPr>
        <w:pStyle w:val="ListParagraph"/>
        <w:widowControl w:val="0"/>
        <w:autoSpaceDE w:val="0"/>
        <w:autoSpaceDN w:val="0"/>
        <w:ind w:left="850" w:firstLine="0"/>
        <w:contextualSpacing w:val="0"/>
        <w:rPr>
          <w:rFonts w:asciiTheme="minorHAnsi" w:hAnsiTheme="minorHAnsi" w:cstheme="minorHAnsi"/>
        </w:rPr>
      </w:pPr>
    </w:p>
    <w:p w14:paraId="55AEB23C" w14:textId="77777777" w:rsidR="00BD07A8" w:rsidRPr="00B24C64" w:rsidRDefault="00BD07A8" w:rsidP="00796FB2">
      <w:pPr>
        <w:pStyle w:val="ListParagraph"/>
        <w:numPr>
          <w:ilvl w:val="1"/>
          <w:numId w:val="30"/>
        </w:numPr>
        <w:autoSpaceDE w:val="0"/>
        <w:autoSpaceDN w:val="0"/>
        <w:ind w:left="850"/>
        <w:contextualSpacing w:val="0"/>
        <w:rPr>
          <w:rFonts w:asciiTheme="minorHAnsi" w:hAnsiTheme="minorHAnsi" w:cstheme="minorHAnsi"/>
        </w:rPr>
      </w:pPr>
      <w:r w:rsidRPr="00B24C64">
        <w:rPr>
          <w:rFonts w:asciiTheme="minorHAnsi" w:hAnsiTheme="minorHAnsi" w:cstheme="minorHAnsi"/>
        </w:rPr>
        <w:t>preparing ongoing reports for Standing Committee and COP, and seeking clarification when needed.</w:t>
      </w:r>
    </w:p>
    <w:p w14:paraId="29F89A70" w14:textId="77777777" w:rsidR="000C2489" w:rsidRPr="00796FB2" w:rsidRDefault="000C2489" w:rsidP="00796FB2">
      <w:pPr>
        <w:rPr>
          <w:rFonts w:asciiTheme="minorHAnsi" w:hAnsiTheme="minorHAnsi" w:cstheme="minorHAnsi"/>
        </w:rPr>
      </w:pPr>
    </w:p>
    <w:p w14:paraId="41499114" w14:textId="21B71FF0" w:rsidR="00BD07A8" w:rsidRPr="00796FB2" w:rsidRDefault="00DC42AB" w:rsidP="00796FB2">
      <w:pPr>
        <w:rPr>
          <w:rFonts w:asciiTheme="minorHAnsi" w:hAnsiTheme="minorHAnsi" w:cstheme="minorHAnsi"/>
        </w:rPr>
      </w:pPr>
      <w:r w:rsidRPr="00796FB2">
        <w:rPr>
          <w:rFonts w:asciiTheme="minorHAnsi" w:hAnsiTheme="minorHAnsi" w:cstheme="minorHAnsi"/>
        </w:rPr>
        <w:t>8.</w:t>
      </w:r>
      <w:r w:rsidRPr="00796FB2">
        <w:rPr>
          <w:rFonts w:asciiTheme="minorHAnsi" w:hAnsiTheme="minorHAnsi" w:cstheme="minorHAnsi"/>
        </w:rPr>
        <w:tab/>
      </w:r>
      <w:r w:rsidR="00BD07A8" w:rsidRPr="00796FB2">
        <w:rPr>
          <w:rFonts w:asciiTheme="minorHAnsi" w:hAnsiTheme="minorHAnsi" w:cstheme="minorHAnsi"/>
        </w:rPr>
        <w:t xml:space="preserve">All the above tasks were discussed at the IAC meeting </w:t>
      </w:r>
      <w:r w:rsidR="00B24C64">
        <w:rPr>
          <w:rFonts w:asciiTheme="minorHAnsi" w:hAnsiTheme="minorHAnsi" w:cstheme="minorHAnsi"/>
        </w:rPr>
        <w:t xml:space="preserve">on </w:t>
      </w:r>
      <w:r w:rsidR="0012191A">
        <w:rPr>
          <w:rFonts w:asciiTheme="minorHAnsi" w:hAnsiTheme="minorHAnsi" w:cstheme="minorHAnsi"/>
        </w:rPr>
        <w:t>25-27</w:t>
      </w:r>
      <w:r w:rsidR="00D313DE">
        <w:rPr>
          <w:rFonts w:asciiTheme="minorHAnsi" w:hAnsiTheme="minorHAnsi" w:cstheme="minorHAnsi"/>
        </w:rPr>
        <w:t xml:space="preserve"> S</w:t>
      </w:r>
      <w:r w:rsidR="00BD07A8" w:rsidRPr="00796FB2">
        <w:rPr>
          <w:rFonts w:asciiTheme="minorHAnsi" w:hAnsiTheme="minorHAnsi" w:cstheme="minorHAnsi"/>
        </w:rPr>
        <w:t>eptember 2019 and have been incorporated into the IAC</w:t>
      </w:r>
      <w:r w:rsidR="00F178CF">
        <w:rPr>
          <w:rFonts w:asciiTheme="minorHAnsi" w:hAnsiTheme="minorHAnsi" w:cstheme="minorHAnsi"/>
        </w:rPr>
        <w:t xml:space="preserve">’s terms of reference </w:t>
      </w:r>
      <w:r w:rsidR="00BD07A8" w:rsidRPr="00796FB2">
        <w:rPr>
          <w:rFonts w:asciiTheme="minorHAnsi" w:hAnsiTheme="minorHAnsi" w:cstheme="minorHAnsi"/>
        </w:rPr>
        <w:t xml:space="preserve">for </w:t>
      </w:r>
      <w:r w:rsidR="00F178CF">
        <w:rPr>
          <w:rFonts w:asciiTheme="minorHAnsi" w:hAnsiTheme="minorHAnsi" w:cstheme="minorHAnsi"/>
        </w:rPr>
        <w:t>the current</w:t>
      </w:r>
      <w:r w:rsidR="00F178CF" w:rsidRPr="00796FB2">
        <w:rPr>
          <w:rFonts w:asciiTheme="minorHAnsi" w:hAnsiTheme="minorHAnsi" w:cstheme="minorHAnsi"/>
        </w:rPr>
        <w:t xml:space="preserve"> </w:t>
      </w:r>
      <w:r w:rsidR="00BD07A8" w:rsidRPr="00796FB2">
        <w:rPr>
          <w:rFonts w:asciiTheme="minorHAnsi" w:hAnsiTheme="minorHAnsi" w:cstheme="minorHAnsi"/>
        </w:rPr>
        <w:t>triennium.</w:t>
      </w:r>
    </w:p>
    <w:p w14:paraId="3E4F96AA" w14:textId="77777777" w:rsidR="00BD07A8" w:rsidRPr="00796FB2" w:rsidRDefault="00BD07A8" w:rsidP="00796FB2">
      <w:pPr>
        <w:rPr>
          <w:rFonts w:asciiTheme="minorHAnsi" w:hAnsiTheme="minorHAnsi" w:cstheme="minorHAnsi"/>
        </w:rPr>
      </w:pPr>
    </w:p>
    <w:p w14:paraId="0E53CEE7" w14:textId="58615A9A" w:rsidR="000C2489" w:rsidRPr="00796FB2" w:rsidRDefault="00DC42AB" w:rsidP="00796FB2">
      <w:pPr>
        <w:rPr>
          <w:rFonts w:asciiTheme="minorHAnsi" w:hAnsiTheme="minorHAnsi" w:cstheme="minorHAnsi"/>
        </w:rPr>
      </w:pPr>
      <w:r w:rsidRPr="00796FB2">
        <w:rPr>
          <w:rFonts w:asciiTheme="minorHAnsi" w:hAnsiTheme="minorHAnsi" w:cstheme="minorHAnsi"/>
        </w:rPr>
        <w:t>9.</w:t>
      </w:r>
      <w:r w:rsidRPr="00796FB2">
        <w:rPr>
          <w:rFonts w:asciiTheme="minorHAnsi" w:hAnsiTheme="minorHAnsi" w:cstheme="minorHAnsi"/>
        </w:rPr>
        <w:tab/>
      </w:r>
      <w:r w:rsidR="00BD07A8" w:rsidRPr="00796FB2">
        <w:rPr>
          <w:rFonts w:asciiTheme="minorHAnsi" w:hAnsiTheme="minorHAnsi" w:cstheme="minorHAnsi"/>
        </w:rPr>
        <w:t xml:space="preserve">The IAC is not requesting additional staff time of the Secretariat over the </w:t>
      </w:r>
      <w:r w:rsidR="000A253A">
        <w:rPr>
          <w:rFonts w:asciiTheme="minorHAnsi" w:hAnsiTheme="minorHAnsi" w:cstheme="minorHAnsi"/>
        </w:rPr>
        <w:t xml:space="preserve">current </w:t>
      </w:r>
      <w:r w:rsidR="00BD07A8" w:rsidRPr="00796FB2">
        <w:rPr>
          <w:rFonts w:asciiTheme="minorHAnsi" w:hAnsiTheme="minorHAnsi" w:cstheme="minorHAnsi"/>
        </w:rPr>
        <w:t>triennium to administer the WCA process beyond 30 days as described above.</w:t>
      </w:r>
    </w:p>
    <w:p w14:paraId="403530E9" w14:textId="77777777" w:rsidR="00BD07A8" w:rsidRPr="00796FB2" w:rsidRDefault="00BD07A8" w:rsidP="00796FB2">
      <w:pPr>
        <w:rPr>
          <w:rFonts w:asciiTheme="minorHAnsi" w:hAnsiTheme="minorHAnsi" w:cstheme="minorHAnsi"/>
        </w:rPr>
      </w:pPr>
    </w:p>
    <w:p w14:paraId="53A22EF0" w14:textId="77777777" w:rsidR="00BD07A8" w:rsidRPr="00796FB2" w:rsidRDefault="00BD07A8" w:rsidP="00796FB2">
      <w:pPr>
        <w:rPr>
          <w:rFonts w:asciiTheme="minorHAnsi" w:hAnsiTheme="minorHAnsi" w:cstheme="minorHAnsi"/>
          <w:b/>
        </w:rPr>
      </w:pPr>
      <w:r w:rsidRPr="00796FB2">
        <w:rPr>
          <w:rFonts w:asciiTheme="minorHAnsi" w:hAnsiTheme="minorHAnsi" w:cstheme="minorHAnsi"/>
          <w:b/>
        </w:rPr>
        <w:t>Resolution text updates</w:t>
      </w:r>
    </w:p>
    <w:p w14:paraId="0FEF944B" w14:textId="77777777" w:rsidR="00BD07A8" w:rsidRPr="00796FB2" w:rsidRDefault="00BD07A8" w:rsidP="00796FB2">
      <w:pPr>
        <w:rPr>
          <w:rFonts w:asciiTheme="minorHAnsi" w:hAnsiTheme="minorHAnsi" w:cstheme="minorHAnsi"/>
        </w:rPr>
      </w:pPr>
    </w:p>
    <w:p w14:paraId="7518B252" w14:textId="760F77C9" w:rsidR="00BD07A8" w:rsidRPr="00796FB2" w:rsidRDefault="00DC42AB" w:rsidP="00796FB2">
      <w:pPr>
        <w:rPr>
          <w:rFonts w:asciiTheme="minorHAnsi" w:hAnsiTheme="minorHAnsi" w:cstheme="minorHAnsi"/>
          <w:lang w:val="en-US"/>
        </w:rPr>
      </w:pPr>
      <w:r w:rsidRPr="00796FB2">
        <w:rPr>
          <w:rFonts w:asciiTheme="minorHAnsi" w:hAnsiTheme="minorHAnsi" w:cstheme="minorHAnsi"/>
          <w:lang w:val="en-US"/>
        </w:rPr>
        <w:t>10.</w:t>
      </w:r>
      <w:r w:rsidRPr="00796FB2">
        <w:rPr>
          <w:rFonts w:asciiTheme="minorHAnsi" w:hAnsiTheme="minorHAnsi" w:cstheme="minorHAnsi"/>
          <w:lang w:val="en-US"/>
        </w:rPr>
        <w:tab/>
      </w:r>
      <w:r w:rsidR="00BD07A8" w:rsidRPr="00796FB2">
        <w:rPr>
          <w:rFonts w:asciiTheme="minorHAnsi" w:hAnsiTheme="minorHAnsi" w:cstheme="minorHAnsi"/>
          <w:lang w:val="en-US"/>
        </w:rPr>
        <w:t xml:space="preserve">Acknowledging the need for improvements </w:t>
      </w:r>
      <w:r w:rsidR="00BF1B67">
        <w:rPr>
          <w:rFonts w:asciiTheme="minorHAnsi" w:hAnsiTheme="minorHAnsi" w:cstheme="minorHAnsi"/>
          <w:lang w:val="en-US"/>
        </w:rPr>
        <w:t>to</w:t>
      </w:r>
      <w:r w:rsidR="00BF1B67" w:rsidRPr="00796FB2">
        <w:rPr>
          <w:rFonts w:asciiTheme="minorHAnsi" w:hAnsiTheme="minorHAnsi" w:cstheme="minorHAnsi"/>
          <w:lang w:val="en-US"/>
        </w:rPr>
        <w:t xml:space="preserve"> </w:t>
      </w:r>
      <w:r w:rsidR="00BD07A8" w:rsidRPr="00796FB2">
        <w:rPr>
          <w:rFonts w:asciiTheme="minorHAnsi" w:hAnsiTheme="minorHAnsi" w:cstheme="minorHAnsi"/>
          <w:lang w:val="en-US"/>
        </w:rPr>
        <w:t xml:space="preserve">and clarifications in Resolution XII.10, a </w:t>
      </w:r>
      <w:r w:rsidR="00BF1B67">
        <w:rPr>
          <w:rFonts w:asciiTheme="minorHAnsi" w:hAnsiTheme="minorHAnsi" w:cstheme="minorHAnsi"/>
          <w:lang w:val="en-US"/>
        </w:rPr>
        <w:t xml:space="preserve">proposal for a </w:t>
      </w:r>
      <w:r w:rsidR="00BD07A8" w:rsidRPr="00796FB2">
        <w:rPr>
          <w:rFonts w:asciiTheme="minorHAnsi" w:hAnsiTheme="minorHAnsi" w:cstheme="minorHAnsi"/>
          <w:lang w:val="en-US"/>
        </w:rPr>
        <w:t xml:space="preserve">new draft resolution is planned by a group of </w:t>
      </w:r>
      <w:r w:rsidR="00201D40">
        <w:rPr>
          <w:rFonts w:asciiTheme="minorHAnsi" w:hAnsiTheme="minorHAnsi" w:cstheme="minorHAnsi"/>
          <w:lang w:val="en-US"/>
        </w:rPr>
        <w:t xml:space="preserve">Contracting </w:t>
      </w:r>
      <w:r w:rsidR="00BF1B67">
        <w:rPr>
          <w:rFonts w:asciiTheme="minorHAnsi" w:hAnsiTheme="minorHAnsi" w:cstheme="minorHAnsi"/>
          <w:lang w:val="en-US"/>
        </w:rPr>
        <w:t>Parties</w:t>
      </w:r>
      <w:r w:rsidR="00BF1B67" w:rsidRPr="00796FB2">
        <w:rPr>
          <w:rFonts w:asciiTheme="minorHAnsi" w:hAnsiTheme="minorHAnsi" w:cstheme="minorHAnsi"/>
          <w:lang w:val="en-US"/>
        </w:rPr>
        <w:t xml:space="preserve"> </w:t>
      </w:r>
      <w:r w:rsidR="00BD07A8" w:rsidRPr="00796FB2">
        <w:rPr>
          <w:rFonts w:asciiTheme="minorHAnsi" w:hAnsiTheme="minorHAnsi" w:cstheme="minorHAnsi"/>
          <w:lang w:val="en-US"/>
        </w:rPr>
        <w:t xml:space="preserve">involved in the </w:t>
      </w:r>
      <w:r w:rsidR="00201D40">
        <w:rPr>
          <w:rFonts w:asciiTheme="minorHAnsi" w:hAnsiTheme="minorHAnsi" w:cstheme="minorHAnsi"/>
          <w:lang w:val="en-US"/>
        </w:rPr>
        <w:t>C</w:t>
      </w:r>
      <w:r w:rsidR="00201D40" w:rsidRPr="00796FB2">
        <w:rPr>
          <w:rFonts w:asciiTheme="minorHAnsi" w:hAnsiTheme="minorHAnsi" w:cstheme="minorHAnsi"/>
          <w:lang w:val="en-US"/>
        </w:rPr>
        <w:t xml:space="preserve">ity </w:t>
      </w:r>
      <w:r w:rsidR="00201D40">
        <w:rPr>
          <w:rFonts w:asciiTheme="minorHAnsi" w:hAnsiTheme="minorHAnsi" w:cstheme="minorHAnsi"/>
          <w:lang w:val="en-US"/>
        </w:rPr>
        <w:t>A</w:t>
      </w:r>
      <w:r w:rsidR="00BD07A8" w:rsidRPr="00796FB2">
        <w:rPr>
          <w:rFonts w:asciiTheme="minorHAnsi" w:hAnsiTheme="minorHAnsi" w:cstheme="minorHAnsi"/>
          <w:lang w:val="en-US"/>
        </w:rPr>
        <w:t xml:space="preserve">ccreditation process. Interested Parties are invited to join the group. The IAC will coordinate the development of the new </w:t>
      </w:r>
      <w:r w:rsidR="00BF1B67">
        <w:rPr>
          <w:rFonts w:asciiTheme="minorHAnsi" w:hAnsiTheme="minorHAnsi" w:cstheme="minorHAnsi"/>
          <w:lang w:val="en-US"/>
        </w:rPr>
        <w:t xml:space="preserve">proposed </w:t>
      </w:r>
      <w:r w:rsidR="00BD07A8" w:rsidRPr="00796FB2">
        <w:rPr>
          <w:rFonts w:asciiTheme="minorHAnsi" w:hAnsiTheme="minorHAnsi" w:cstheme="minorHAnsi"/>
          <w:lang w:val="en-US"/>
        </w:rPr>
        <w:t xml:space="preserve">draft resolution. </w:t>
      </w:r>
    </w:p>
    <w:p w14:paraId="4F7DF304" w14:textId="77777777" w:rsidR="00BD07A8" w:rsidRPr="00796FB2" w:rsidRDefault="00BD07A8" w:rsidP="00796FB2">
      <w:pPr>
        <w:rPr>
          <w:rFonts w:asciiTheme="minorHAnsi" w:hAnsiTheme="minorHAnsi" w:cstheme="minorHAnsi"/>
          <w:lang w:val="en-US"/>
        </w:rPr>
      </w:pPr>
    </w:p>
    <w:p w14:paraId="2DE0CAC7" w14:textId="5DE93481" w:rsidR="00BD07A8" w:rsidRPr="00796FB2" w:rsidRDefault="00DC42AB" w:rsidP="00796FB2">
      <w:pPr>
        <w:rPr>
          <w:rFonts w:asciiTheme="minorHAnsi" w:hAnsiTheme="minorHAnsi" w:cstheme="minorHAnsi"/>
          <w:lang w:val="en-US"/>
        </w:rPr>
      </w:pPr>
      <w:r w:rsidRPr="00796FB2">
        <w:rPr>
          <w:rFonts w:asciiTheme="minorHAnsi" w:hAnsiTheme="minorHAnsi" w:cstheme="minorHAnsi"/>
          <w:lang w:val="en-US"/>
        </w:rPr>
        <w:lastRenderedPageBreak/>
        <w:t>11.</w:t>
      </w:r>
      <w:r w:rsidRPr="00796FB2">
        <w:rPr>
          <w:rFonts w:asciiTheme="minorHAnsi" w:hAnsiTheme="minorHAnsi" w:cstheme="minorHAnsi"/>
          <w:lang w:val="en-US"/>
        </w:rPr>
        <w:tab/>
      </w:r>
      <w:r w:rsidR="00BD07A8" w:rsidRPr="00796FB2">
        <w:rPr>
          <w:rFonts w:asciiTheme="minorHAnsi" w:hAnsiTheme="minorHAnsi" w:cstheme="minorHAnsi"/>
          <w:lang w:val="en-US"/>
        </w:rPr>
        <w:t xml:space="preserve">Further acknowledging the feedback from the </w:t>
      </w:r>
      <w:r w:rsidR="00201D40">
        <w:rPr>
          <w:rFonts w:asciiTheme="minorHAnsi" w:hAnsiTheme="minorHAnsi" w:cstheme="minorHAnsi"/>
          <w:lang w:val="en-US"/>
        </w:rPr>
        <w:t xml:space="preserve">Scientific and Technical Review Panel </w:t>
      </w:r>
      <w:r w:rsidR="00BD07A8" w:rsidRPr="00796FB2">
        <w:rPr>
          <w:rFonts w:asciiTheme="minorHAnsi" w:hAnsiTheme="minorHAnsi" w:cstheme="minorHAnsi"/>
          <w:lang w:val="en-US"/>
        </w:rPr>
        <w:t xml:space="preserve">on the assessment criteria and the </w:t>
      </w:r>
      <w:r w:rsidR="00BF1B67">
        <w:rPr>
          <w:rFonts w:asciiTheme="minorHAnsi" w:hAnsiTheme="minorHAnsi" w:cstheme="minorHAnsi"/>
          <w:lang w:val="en-US"/>
        </w:rPr>
        <w:t>need</w:t>
      </w:r>
      <w:r w:rsidR="00BF1B67" w:rsidRPr="00796FB2">
        <w:rPr>
          <w:rFonts w:asciiTheme="minorHAnsi" w:hAnsiTheme="minorHAnsi" w:cstheme="minorHAnsi"/>
          <w:lang w:val="en-US"/>
        </w:rPr>
        <w:t xml:space="preserve"> </w:t>
      </w:r>
      <w:r w:rsidR="00BD07A8" w:rsidRPr="00796FB2">
        <w:rPr>
          <w:rFonts w:asciiTheme="minorHAnsi" w:hAnsiTheme="minorHAnsi" w:cstheme="minorHAnsi"/>
          <w:lang w:val="en-US"/>
        </w:rPr>
        <w:t xml:space="preserve">to improve associated documents such as </w:t>
      </w:r>
      <w:r w:rsidR="00BF1B67">
        <w:rPr>
          <w:rFonts w:asciiTheme="minorHAnsi" w:hAnsiTheme="minorHAnsi" w:cstheme="minorHAnsi"/>
          <w:lang w:val="en-US"/>
        </w:rPr>
        <w:t xml:space="preserve">the </w:t>
      </w:r>
      <w:r w:rsidR="00BD07A8" w:rsidRPr="00796FB2">
        <w:rPr>
          <w:rFonts w:asciiTheme="minorHAnsi" w:hAnsiTheme="minorHAnsi" w:cstheme="minorHAnsi"/>
          <w:lang w:val="en-US"/>
        </w:rPr>
        <w:t xml:space="preserve">nomination form, </w:t>
      </w:r>
      <w:r w:rsidR="00BF1B67">
        <w:rPr>
          <w:rFonts w:asciiTheme="minorHAnsi" w:hAnsiTheme="minorHAnsi" w:cstheme="minorHAnsi"/>
          <w:lang w:val="en-US"/>
        </w:rPr>
        <w:t xml:space="preserve">the </w:t>
      </w:r>
      <w:r w:rsidR="00BD07A8" w:rsidRPr="00796FB2">
        <w:rPr>
          <w:rFonts w:asciiTheme="minorHAnsi" w:hAnsiTheme="minorHAnsi" w:cstheme="minorHAnsi"/>
          <w:lang w:val="en-US"/>
        </w:rPr>
        <w:t xml:space="preserve">guidance notes for cities and Ramsar Administrative </w:t>
      </w:r>
      <w:r w:rsidR="00201D40" w:rsidRPr="00796FB2">
        <w:rPr>
          <w:rFonts w:asciiTheme="minorHAnsi" w:hAnsiTheme="minorHAnsi" w:cstheme="minorHAnsi"/>
          <w:lang w:val="en-US"/>
        </w:rPr>
        <w:t>Authorit</w:t>
      </w:r>
      <w:r w:rsidR="00201D40">
        <w:rPr>
          <w:rFonts w:asciiTheme="minorHAnsi" w:hAnsiTheme="minorHAnsi" w:cstheme="minorHAnsi"/>
          <w:lang w:val="en-US"/>
        </w:rPr>
        <w:t>ies,</w:t>
      </w:r>
      <w:r w:rsidR="00201D40" w:rsidRPr="00796FB2">
        <w:rPr>
          <w:rFonts w:asciiTheme="minorHAnsi" w:hAnsiTheme="minorHAnsi" w:cstheme="minorHAnsi"/>
          <w:lang w:val="en-US"/>
        </w:rPr>
        <w:t xml:space="preserve"> </w:t>
      </w:r>
      <w:r w:rsidR="00BD07A8" w:rsidRPr="00796FB2">
        <w:rPr>
          <w:rFonts w:asciiTheme="minorHAnsi" w:hAnsiTheme="minorHAnsi" w:cstheme="minorHAnsi"/>
          <w:lang w:val="en-US"/>
        </w:rPr>
        <w:t xml:space="preserve">and the assessment form, the new draft resolution </w:t>
      </w:r>
      <w:r w:rsidR="00BF1B67">
        <w:rPr>
          <w:rFonts w:asciiTheme="minorHAnsi" w:hAnsiTheme="minorHAnsi" w:cstheme="minorHAnsi"/>
          <w:lang w:val="en-US"/>
        </w:rPr>
        <w:t xml:space="preserve">proposal </w:t>
      </w:r>
      <w:r w:rsidR="00BD07A8" w:rsidRPr="00796FB2">
        <w:rPr>
          <w:rFonts w:asciiTheme="minorHAnsi" w:hAnsiTheme="minorHAnsi" w:cstheme="minorHAnsi"/>
          <w:lang w:val="en-US"/>
        </w:rPr>
        <w:t>will include revised versions of these documents in the annex.</w:t>
      </w:r>
    </w:p>
    <w:p w14:paraId="23D00478" w14:textId="77777777" w:rsidR="00BD07A8" w:rsidRPr="00796FB2" w:rsidRDefault="00BD07A8" w:rsidP="00796FB2">
      <w:pPr>
        <w:rPr>
          <w:rFonts w:asciiTheme="minorHAnsi" w:hAnsiTheme="minorHAnsi" w:cstheme="minorHAnsi"/>
          <w:lang w:val="en-US"/>
        </w:rPr>
      </w:pPr>
    </w:p>
    <w:p w14:paraId="7E4830B4" w14:textId="3891970C" w:rsidR="00DC42AB" w:rsidRPr="00796FB2" w:rsidRDefault="00DC42AB" w:rsidP="00796FB2">
      <w:pPr>
        <w:keepNext/>
        <w:rPr>
          <w:rFonts w:asciiTheme="minorHAnsi" w:hAnsiTheme="minorHAnsi" w:cstheme="minorHAnsi"/>
          <w:b/>
        </w:rPr>
      </w:pPr>
      <w:r w:rsidRPr="00796FB2">
        <w:rPr>
          <w:rFonts w:asciiTheme="minorHAnsi" w:hAnsiTheme="minorHAnsi" w:cstheme="minorHAnsi"/>
          <w:b/>
        </w:rPr>
        <w:t xml:space="preserve">Renewal of accreditation </w:t>
      </w:r>
      <w:r w:rsidR="00201D40">
        <w:rPr>
          <w:rFonts w:asciiTheme="minorHAnsi" w:hAnsiTheme="minorHAnsi" w:cstheme="minorHAnsi"/>
          <w:b/>
        </w:rPr>
        <w:t>of</w:t>
      </w:r>
      <w:r w:rsidR="00201D40" w:rsidRPr="00796FB2">
        <w:rPr>
          <w:rFonts w:asciiTheme="minorHAnsi" w:hAnsiTheme="minorHAnsi" w:cstheme="minorHAnsi"/>
          <w:b/>
        </w:rPr>
        <w:t xml:space="preserve"> </w:t>
      </w:r>
      <w:r w:rsidRPr="00796FB2">
        <w:rPr>
          <w:rFonts w:asciiTheme="minorHAnsi" w:hAnsiTheme="minorHAnsi" w:cstheme="minorHAnsi"/>
          <w:b/>
        </w:rPr>
        <w:t>Wetland Cities</w:t>
      </w:r>
    </w:p>
    <w:p w14:paraId="328163AD" w14:textId="77777777" w:rsidR="00DC42AB" w:rsidRPr="00796FB2" w:rsidRDefault="00DC42AB" w:rsidP="00796FB2">
      <w:pPr>
        <w:keepNext/>
        <w:rPr>
          <w:rFonts w:asciiTheme="minorHAnsi" w:hAnsiTheme="minorHAnsi" w:cstheme="minorHAnsi"/>
          <w:lang w:val="en-US"/>
        </w:rPr>
      </w:pPr>
    </w:p>
    <w:p w14:paraId="28D9A81C" w14:textId="290F5325" w:rsidR="00DC42AB" w:rsidRPr="00796FB2" w:rsidRDefault="00DC42AB" w:rsidP="00796FB2">
      <w:pPr>
        <w:rPr>
          <w:rFonts w:asciiTheme="minorHAnsi" w:hAnsiTheme="minorHAnsi" w:cstheme="minorHAnsi"/>
          <w:lang w:val="en-US"/>
        </w:rPr>
      </w:pPr>
      <w:r w:rsidRPr="00796FB2">
        <w:rPr>
          <w:rFonts w:asciiTheme="minorHAnsi" w:hAnsiTheme="minorHAnsi" w:cstheme="minorHAnsi"/>
          <w:lang w:val="en-US"/>
        </w:rPr>
        <w:t>•</w:t>
      </w:r>
      <w:r w:rsidRPr="00796FB2">
        <w:rPr>
          <w:rFonts w:asciiTheme="minorHAnsi" w:hAnsiTheme="minorHAnsi" w:cstheme="minorHAnsi"/>
          <w:lang w:val="en-US"/>
        </w:rPr>
        <w:tab/>
        <w:t xml:space="preserve">Re-evaluation after </w:t>
      </w:r>
      <w:r w:rsidR="005D5081">
        <w:rPr>
          <w:rFonts w:asciiTheme="minorHAnsi" w:hAnsiTheme="minorHAnsi" w:cstheme="minorHAnsi"/>
          <w:lang w:val="en-US"/>
        </w:rPr>
        <w:t>six</w:t>
      </w:r>
      <w:r w:rsidRPr="00796FB2">
        <w:rPr>
          <w:rFonts w:asciiTheme="minorHAnsi" w:hAnsiTheme="minorHAnsi" w:cstheme="minorHAnsi"/>
          <w:lang w:val="en-US"/>
        </w:rPr>
        <w:t xml:space="preserve"> years should follow criteria for first</w:t>
      </w:r>
      <w:r w:rsidR="00201D40">
        <w:rPr>
          <w:rFonts w:asciiTheme="minorHAnsi" w:hAnsiTheme="minorHAnsi" w:cstheme="minorHAnsi"/>
          <w:lang w:val="en-US"/>
        </w:rPr>
        <w:t>-</w:t>
      </w:r>
      <w:r w:rsidRPr="00796FB2">
        <w:rPr>
          <w:rFonts w:asciiTheme="minorHAnsi" w:hAnsiTheme="minorHAnsi" w:cstheme="minorHAnsi"/>
          <w:lang w:val="en-US"/>
        </w:rPr>
        <w:t xml:space="preserve">time accreditation. </w:t>
      </w:r>
    </w:p>
    <w:p w14:paraId="4112FFDB" w14:textId="77777777" w:rsidR="00DC42AB" w:rsidRPr="00796FB2" w:rsidRDefault="00DC42AB" w:rsidP="00796FB2">
      <w:pPr>
        <w:rPr>
          <w:rFonts w:asciiTheme="minorHAnsi" w:hAnsiTheme="minorHAnsi" w:cstheme="minorHAnsi"/>
          <w:lang w:val="en-US"/>
        </w:rPr>
      </w:pPr>
    </w:p>
    <w:p w14:paraId="10EE4B8E" w14:textId="12584650" w:rsidR="00DC42AB" w:rsidRPr="00796FB2" w:rsidRDefault="00DC42AB" w:rsidP="00796FB2">
      <w:pPr>
        <w:rPr>
          <w:rFonts w:asciiTheme="minorHAnsi" w:hAnsiTheme="minorHAnsi" w:cstheme="minorHAnsi"/>
          <w:lang w:val="en-US"/>
        </w:rPr>
      </w:pPr>
      <w:r w:rsidRPr="00796FB2">
        <w:rPr>
          <w:rFonts w:asciiTheme="minorHAnsi" w:hAnsiTheme="minorHAnsi" w:cstheme="minorHAnsi"/>
          <w:lang w:val="en-US"/>
        </w:rPr>
        <w:t>•</w:t>
      </w:r>
      <w:r w:rsidRPr="00796FB2">
        <w:rPr>
          <w:rFonts w:asciiTheme="minorHAnsi" w:hAnsiTheme="minorHAnsi" w:cstheme="minorHAnsi"/>
          <w:lang w:val="en-US"/>
        </w:rPr>
        <w:tab/>
        <w:t xml:space="preserve">An additional questionnaire could be used to gather more detailed information from cities as this could further demonstrate the value of </w:t>
      </w:r>
      <w:r w:rsidR="00201D40">
        <w:rPr>
          <w:rFonts w:asciiTheme="minorHAnsi" w:hAnsiTheme="minorHAnsi" w:cstheme="minorHAnsi"/>
          <w:lang w:val="en-US"/>
        </w:rPr>
        <w:t xml:space="preserve">the </w:t>
      </w:r>
      <w:r w:rsidRPr="00796FB2">
        <w:rPr>
          <w:rFonts w:asciiTheme="minorHAnsi" w:hAnsiTheme="minorHAnsi" w:cstheme="minorHAnsi"/>
          <w:lang w:val="en-US"/>
        </w:rPr>
        <w:t>WCA and be used to support CEPA activities. This could be included in the re-nomination form.</w:t>
      </w:r>
    </w:p>
    <w:p w14:paraId="20D535A5" w14:textId="77777777" w:rsidR="00DC42AB" w:rsidRPr="00796FB2" w:rsidRDefault="00DC42AB" w:rsidP="00796FB2">
      <w:pPr>
        <w:rPr>
          <w:rFonts w:asciiTheme="minorHAnsi" w:hAnsiTheme="minorHAnsi" w:cstheme="minorHAnsi"/>
          <w:lang w:val="en-US"/>
        </w:rPr>
      </w:pPr>
    </w:p>
    <w:p w14:paraId="2E77B11E" w14:textId="77777777" w:rsidR="00DC42AB" w:rsidRPr="00796FB2" w:rsidRDefault="00DC42AB" w:rsidP="00796FB2">
      <w:pPr>
        <w:rPr>
          <w:rFonts w:asciiTheme="minorHAnsi" w:hAnsiTheme="minorHAnsi" w:cstheme="minorHAnsi"/>
          <w:lang w:val="en-US"/>
        </w:rPr>
      </w:pPr>
      <w:r w:rsidRPr="00796FB2">
        <w:rPr>
          <w:rFonts w:asciiTheme="minorHAnsi" w:hAnsiTheme="minorHAnsi" w:cstheme="minorHAnsi"/>
          <w:lang w:val="en-US"/>
        </w:rPr>
        <w:t>•</w:t>
      </w:r>
      <w:r w:rsidRPr="00796FB2">
        <w:rPr>
          <w:rFonts w:asciiTheme="minorHAnsi" w:hAnsiTheme="minorHAnsi" w:cstheme="minorHAnsi"/>
          <w:lang w:val="en-US"/>
        </w:rPr>
        <w:tab/>
        <w:t>A reminder should be given by the Secretariat to the Contracting Parties of accredited cities, after three years, at the COP, that they have to prepare for re-accreditation at the end of the next triennium.</w:t>
      </w:r>
    </w:p>
    <w:p w14:paraId="40D28BE3" w14:textId="77777777" w:rsidR="00DC42AB" w:rsidRPr="00796FB2" w:rsidRDefault="00DC42AB" w:rsidP="00796FB2">
      <w:pPr>
        <w:rPr>
          <w:rFonts w:asciiTheme="minorHAnsi" w:hAnsiTheme="minorHAnsi" w:cstheme="minorHAnsi"/>
          <w:lang w:val="en-US"/>
        </w:rPr>
      </w:pPr>
    </w:p>
    <w:p w14:paraId="684D61F3" w14:textId="6E8FAF0D" w:rsidR="00DC42AB" w:rsidRPr="00796FB2" w:rsidRDefault="00DC42AB" w:rsidP="00796FB2">
      <w:pPr>
        <w:rPr>
          <w:rFonts w:asciiTheme="minorHAnsi" w:hAnsiTheme="minorHAnsi" w:cstheme="minorHAnsi"/>
          <w:lang w:val="en-US"/>
        </w:rPr>
      </w:pPr>
      <w:r w:rsidRPr="00796FB2">
        <w:rPr>
          <w:rFonts w:asciiTheme="minorHAnsi" w:hAnsiTheme="minorHAnsi" w:cstheme="minorHAnsi"/>
          <w:lang w:val="en-US"/>
        </w:rPr>
        <w:t>•</w:t>
      </w:r>
      <w:r w:rsidRPr="00796FB2">
        <w:rPr>
          <w:rFonts w:asciiTheme="minorHAnsi" w:hAnsiTheme="minorHAnsi" w:cstheme="minorHAnsi"/>
          <w:lang w:val="en-US"/>
        </w:rPr>
        <w:tab/>
        <w:t>Mayors and National Focal Points attend</w:t>
      </w:r>
      <w:r w:rsidR="0012191A">
        <w:rPr>
          <w:rFonts w:asciiTheme="minorHAnsi" w:hAnsiTheme="minorHAnsi" w:cstheme="minorHAnsi"/>
          <w:lang w:val="en-US"/>
        </w:rPr>
        <w:t>ed</w:t>
      </w:r>
      <w:r w:rsidRPr="00796FB2">
        <w:rPr>
          <w:rFonts w:asciiTheme="minorHAnsi" w:hAnsiTheme="minorHAnsi" w:cstheme="minorHAnsi"/>
          <w:lang w:val="en-US"/>
        </w:rPr>
        <w:t xml:space="preserve"> </w:t>
      </w:r>
      <w:r w:rsidR="0012191A">
        <w:rPr>
          <w:rFonts w:asciiTheme="minorHAnsi" w:hAnsiTheme="minorHAnsi" w:cstheme="minorHAnsi"/>
          <w:lang w:val="en-US"/>
        </w:rPr>
        <w:t xml:space="preserve">the </w:t>
      </w:r>
      <w:r w:rsidR="009E1A3A" w:rsidRPr="00796FB2">
        <w:rPr>
          <w:rFonts w:asciiTheme="minorHAnsi" w:hAnsiTheme="minorHAnsi" w:cstheme="minorHAnsi"/>
          <w:lang w:val="en-US"/>
        </w:rPr>
        <w:t>Accredited Wetland City annual round table meeting</w:t>
      </w:r>
      <w:r w:rsidR="000E670C">
        <w:rPr>
          <w:rFonts w:asciiTheme="minorHAnsi" w:hAnsiTheme="minorHAnsi" w:cstheme="minorHAnsi"/>
          <w:lang w:val="en-US"/>
        </w:rPr>
        <w:t xml:space="preserve"> </w:t>
      </w:r>
      <w:r w:rsidRPr="00796FB2">
        <w:rPr>
          <w:rFonts w:asciiTheme="minorHAnsi" w:hAnsiTheme="minorHAnsi" w:cstheme="minorHAnsi"/>
          <w:lang w:val="en-US"/>
        </w:rPr>
        <w:t xml:space="preserve">from 23 to 25 October 2019). </w:t>
      </w:r>
      <w:r w:rsidR="009E1A3A" w:rsidRPr="00796FB2">
        <w:rPr>
          <w:rFonts w:asciiTheme="minorHAnsi" w:hAnsiTheme="minorHAnsi" w:cstheme="minorHAnsi"/>
          <w:lang w:val="en-US"/>
        </w:rPr>
        <w:t>Th</w:t>
      </w:r>
      <w:r w:rsidR="0012191A">
        <w:rPr>
          <w:rFonts w:asciiTheme="minorHAnsi" w:hAnsiTheme="minorHAnsi" w:cstheme="minorHAnsi"/>
          <w:lang w:val="en-US"/>
        </w:rPr>
        <w:t>is</w:t>
      </w:r>
      <w:r w:rsidR="009E1A3A" w:rsidRPr="00796FB2">
        <w:rPr>
          <w:rFonts w:asciiTheme="minorHAnsi" w:hAnsiTheme="minorHAnsi" w:cstheme="minorHAnsi"/>
          <w:lang w:val="en-US"/>
        </w:rPr>
        <w:t xml:space="preserve"> for</w:t>
      </w:r>
      <w:r w:rsidR="000E670C">
        <w:rPr>
          <w:rFonts w:asciiTheme="minorHAnsi" w:hAnsiTheme="minorHAnsi" w:cstheme="minorHAnsi"/>
          <w:lang w:val="en-US"/>
        </w:rPr>
        <w:t>um</w:t>
      </w:r>
      <w:r w:rsidR="009E1A3A" w:rsidRPr="00796FB2">
        <w:rPr>
          <w:rFonts w:asciiTheme="minorHAnsi" w:hAnsiTheme="minorHAnsi" w:cstheme="minorHAnsi"/>
          <w:lang w:val="en-US"/>
        </w:rPr>
        <w:t xml:space="preserve"> </w:t>
      </w:r>
      <w:r w:rsidR="0012191A">
        <w:rPr>
          <w:rFonts w:asciiTheme="minorHAnsi" w:hAnsiTheme="minorHAnsi" w:cstheme="minorHAnsi"/>
          <w:lang w:val="en-US"/>
        </w:rPr>
        <w:t>was</w:t>
      </w:r>
      <w:r w:rsidRPr="00796FB2">
        <w:rPr>
          <w:rFonts w:asciiTheme="minorHAnsi" w:hAnsiTheme="minorHAnsi" w:cstheme="minorHAnsi"/>
          <w:lang w:val="en-US"/>
        </w:rPr>
        <w:t xml:space="preserve"> used to remind cities that re-accreditation is needed after six years.</w:t>
      </w:r>
    </w:p>
    <w:p w14:paraId="7BB382FC" w14:textId="77777777" w:rsidR="00DC42AB" w:rsidRPr="00796FB2" w:rsidRDefault="00DC42AB" w:rsidP="00796FB2">
      <w:pPr>
        <w:rPr>
          <w:rFonts w:asciiTheme="minorHAnsi" w:hAnsiTheme="minorHAnsi" w:cstheme="minorHAnsi"/>
          <w:lang w:val="en-US"/>
        </w:rPr>
      </w:pPr>
    </w:p>
    <w:p w14:paraId="30B50A57" w14:textId="24A57445" w:rsidR="00DC42AB" w:rsidRPr="00796FB2" w:rsidRDefault="00DC42AB" w:rsidP="00796FB2">
      <w:pPr>
        <w:rPr>
          <w:rFonts w:asciiTheme="minorHAnsi" w:hAnsiTheme="minorHAnsi" w:cstheme="minorHAnsi"/>
          <w:lang w:val="en-US"/>
        </w:rPr>
      </w:pPr>
      <w:r w:rsidRPr="00796FB2">
        <w:rPr>
          <w:rFonts w:asciiTheme="minorHAnsi" w:hAnsiTheme="minorHAnsi" w:cstheme="minorHAnsi"/>
          <w:lang w:val="en-US"/>
        </w:rPr>
        <w:t>•</w:t>
      </w:r>
      <w:r w:rsidRPr="00796FB2">
        <w:rPr>
          <w:rFonts w:asciiTheme="minorHAnsi" w:hAnsiTheme="minorHAnsi" w:cstheme="minorHAnsi"/>
          <w:lang w:val="en-US"/>
        </w:rPr>
        <w:tab/>
        <w:t>T</w:t>
      </w:r>
      <w:r w:rsidR="009E1A3A">
        <w:rPr>
          <w:rFonts w:asciiTheme="minorHAnsi" w:hAnsiTheme="minorHAnsi" w:cstheme="minorHAnsi"/>
          <w:lang w:val="en-US"/>
        </w:rPr>
        <w:t>he t</w:t>
      </w:r>
      <w:r w:rsidRPr="00796FB2">
        <w:rPr>
          <w:rFonts w:asciiTheme="minorHAnsi" w:hAnsiTheme="minorHAnsi" w:cstheme="minorHAnsi"/>
          <w:lang w:val="en-US"/>
        </w:rPr>
        <w:t>imeline should be the same as for first</w:t>
      </w:r>
      <w:r w:rsidR="009E1A3A">
        <w:rPr>
          <w:rFonts w:asciiTheme="minorHAnsi" w:hAnsiTheme="minorHAnsi" w:cstheme="minorHAnsi"/>
          <w:lang w:val="en-US"/>
        </w:rPr>
        <w:t>-</w:t>
      </w:r>
      <w:r w:rsidRPr="00796FB2">
        <w:rPr>
          <w:rFonts w:asciiTheme="minorHAnsi" w:hAnsiTheme="minorHAnsi" w:cstheme="minorHAnsi"/>
          <w:lang w:val="en-US"/>
        </w:rPr>
        <w:t>time WCA applications.</w:t>
      </w:r>
    </w:p>
    <w:p w14:paraId="2C5A6AC6" w14:textId="77777777" w:rsidR="00DC42AB" w:rsidRPr="00796FB2" w:rsidRDefault="00DC42AB" w:rsidP="00796FB2">
      <w:pPr>
        <w:rPr>
          <w:rFonts w:asciiTheme="minorHAnsi" w:hAnsiTheme="minorHAnsi" w:cstheme="minorHAnsi"/>
          <w:lang w:val="en-US"/>
        </w:rPr>
      </w:pPr>
    </w:p>
    <w:p w14:paraId="23BEE621" w14:textId="65CF4B9E" w:rsidR="00DC42AB" w:rsidRPr="00796FB2" w:rsidRDefault="00DC42AB" w:rsidP="00796FB2">
      <w:pPr>
        <w:rPr>
          <w:rFonts w:asciiTheme="minorHAnsi" w:hAnsiTheme="minorHAnsi" w:cstheme="minorHAnsi"/>
          <w:b/>
        </w:rPr>
      </w:pPr>
      <w:r w:rsidRPr="00796FB2">
        <w:rPr>
          <w:rFonts w:asciiTheme="minorHAnsi" w:hAnsiTheme="minorHAnsi" w:cstheme="minorHAnsi"/>
          <w:b/>
        </w:rPr>
        <w:t xml:space="preserve">Awarding of Wetland City certificates at Ramsar </w:t>
      </w:r>
      <w:r w:rsidR="009E1A3A" w:rsidRPr="00796FB2">
        <w:rPr>
          <w:rFonts w:asciiTheme="minorHAnsi" w:hAnsiTheme="minorHAnsi" w:cstheme="minorHAnsi"/>
          <w:b/>
        </w:rPr>
        <w:t>CO</w:t>
      </w:r>
      <w:r w:rsidR="009E1A3A">
        <w:rPr>
          <w:rFonts w:asciiTheme="minorHAnsi" w:hAnsiTheme="minorHAnsi" w:cstheme="minorHAnsi"/>
          <w:b/>
        </w:rPr>
        <w:t>P</w:t>
      </w:r>
    </w:p>
    <w:p w14:paraId="6D8F3C4E" w14:textId="77777777" w:rsidR="00DC42AB" w:rsidRPr="00796FB2" w:rsidRDefault="00DC42AB" w:rsidP="00796FB2">
      <w:pPr>
        <w:rPr>
          <w:rFonts w:asciiTheme="minorHAnsi" w:hAnsiTheme="minorHAnsi" w:cstheme="minorHAnsi"/>
          <w:lang w:val="en-US"/>
        </w:rPr>
      </w:pPr>
    </w:p>
    <w:p w14:paraId="2B095EA5" w14:textId="7CE93D9A" w:rsidR="00DC42AB" w:rsidRPr="00796FB2" w:rsidRDefault="00DC42AB" w:rsidP="00796FB2">
      <w:pPr>
        <w:rPr>
          <w:rFonts w:asciiTheme="minorHAnsi" w:hAnsiTheme="minorHAnsi" w:cstheme="minorHAnsi"/>
          <w:lang w:val="en-US"/>
        </w:rPr>
      </w:pPr>
      <w:r w:rsidRPr="00796FB2">
        <w:rPr>
          <w:rFonts w:asciiTheme="minorHAnsi" w:hAnsiTheme="minorHAnsi" w:cstheme="minorHAnsi"/>
          <w:lang w:val="en-US"/>
        </w:rPr>
        <w:t>•</w:t>
      </w:r>
      <w:r w:rsidRPr="00796FB2">
        <w:rPr>
          <w:rFonts w:asciiTheme="minorHAnsi" w:hAnsiTheme="minorHAnsi" w:cstheme="minorHAnsi"/>
          <w:lang w:val="en-US"/>
        </w:rPr>
        <w:tab/>
      </w:r>
      <w:r w:rsidR="009E1A3A">
        <w:rPr>
          <w:rFonts w:asciiTheme="minorHAnsi" w:hAnsiTheme="minorHAnsi" w:cstheme="minorHAnsi"/>
          <w:lang w:val="en-US"/>
        </w:rPr>
        <w:t xml:space="preserve">The </w:t>
      </w:r>
      <w:r w:rsidRPr="00796FB2">
        <w:rPr>
          <w:rFonts w:asciiTheme="minorHAnsi" w:hAnsiTheme="minorHAnsi" w:cstheme="minorHAnsi"/>
          <w:lang w:val="en-US"/>
        </w:rPr>
        <w:t xml:space="preserve">IAC acknowledges the role of the host of a </w:t>
      </w:r>
      <w:r w:rsidR="009E1A3A">
        <w:rPr>
          <w:rFonts w:asciiTheme="minorHAnsi" w:hAnsiTheme="minorHAnsi" w:cstheme="minorHAnsi"/>
          <w:lang w:val="en-US"/>
        </w:rPr>
        <w:t>Conference of Contracting Parties</w:t>
      </w:r>
      <w:r w:rsidR="009E1A3A" w:rsidRPr="00796FB2">
        <w:rPr>
          <w:rFonts w:asciiTheme="minorHAnsi" w:hAnsiTheme="minorHAnsi" w:cstheme="minorHAnsi"/>
          <w:lang w:val="en-US"/>
        </w:rPr>
        <w:t xml:space="preserve"> </w:t>
      </w:r>
      <w:r w:rsidRPr="00796FB2">
        <w:rPr>
          <w:rFonts w:asciiTheme="minorHAnsi" w:hAnsiTheme="minorHAnsi" w:cstheme="minorHAnsi"/>
          <w:lang w:val="en-US"/>
        </w:rPr>
        <w:t>in determining the exact nature of the WCA presentation ceremony, but provides the following guidance for consideration:</w:t>
      </w:r>
    </w:p>
    <w:p w14:paraId="21809F68" w14:textId="04EE8CB1" w:rsidR="00DC42AB" w:rsidRPr="00796FB2" w:rsidRDefault="00DC42AB" w:rsidP="00796FB2">
      <w:pPr>
        <w:ind w:left="850"/>
        <w:rPr>
          <w:rFonts w:asciiTheme="minorHAnsi" w:hAnsiTheme="minorHAnsi" w:cstheme="minorHAnsi"/>
          <w:lang w:val="en-US"/>
        </w:rPr>
      </w:pPr>
      <w:r w:rsidRPr="00796FB2">
        <w:rPr>
          <w:rFonts w:asciiTheme="minorHAnsi" w:hAnsiTheme="minorHAnsi" w:cstheme="minorHAnsi"/>
          <w:lang w:val="en-US"/>
        </w:rPr>
        <w:t>o</w:t>
      </w:r>
      <w:r w:rsidRPr="00796FB2">
        <w:rPr>
          <w:rFonts w:asciiTheme="minorHAnsi" w:hAnsiTheme="minorHAnsi" w:cstheme="minorHAnsi"/>
          <w:lang w:val="en-US"/>
        </w:rPr>
        <w:tab/>
      </w:r>
      <w:r w:rsidR="009E1A3A">
        <w:rPr>
          <w:rFonts w:asciiTheme="minorHAnsi" w:hAnsiTheme="minorHAnsi" w:cstheme="minorHAnsi"/>
          <w:lang w:val="en-US"/>
        </w:rPr>
        <w:t xml:space="preserve">A </w:t>
      </w:r>
      <w:r w:rsidRPr="00796FB2">
        <w:rPr>
          <w:rFonts w:asciiTheme="minorHAnsi" w:hAnsiTheme="minorHAnsi" w:cstheme="minorHAnsi"/>
          <w:lang w:val="en-US"/>
        </w:rPr>
        <w:t>COP plenary session WCA award event should be for presentation of certificates to accredited cities. Films and promotional material should be separate from this session.</w:t>
      </w:r>
    </w:p>
    <w:p w14:paraId="5E702CD9" w14:textId="24DDE354" w:rsidR="00DC42AB" w:rsidRPr="00796FB2" w:rsidRDefault="00DC42AB" w:rsidP="00796FB2">
      <w:pPr>
        <w:ind w:left="850"/>
        <w:rPr>
          <w:rFonts w:asciiTheme="minorHAnsi" w:hAnsiTheme="minorHAnsi" w:cstheme="minorHAnsi"/>
          <w:lang w:val="en-US"/>
        </w:rPr>
      </w:pPr>
      <w:r w:rsidRPr="00796FB2">
        <w:rPr>
          <w:rFonts w:asciiTheme="minorHAnsi" w:hAnsiTheme="minorHAnsi" w:cstheme="minorHAnsi"/>
          <w:lang w:val="en-US"/>
        </w:rPr>
        <w:t>o</w:t>
      </w:r>
      <w:r w:rsidRPr="00796FB2">
        <w:rPr>
          <w:rFonts w:asciiTheme="minorHAnsi" w:hAnsiTheme="minorHAnsi" w:cstheme="minorHAnsi"/>
          <w:lang w:val="en-US"/>
        </w:rPr>
        <w:tab/>
        <w:t xml:space="preserve">Only one </w:t>
      </w:r>
      <w:r w:rsidR="009E1A3A" w:rsidRPr="00796FB2">
        <w:rPr>
          <w:rFonts w:asciiTheme="minorHAnsi" w:hAnsiTheme="minorHAnsi" w:cstheme="minorHAnsi"/>
          <w:lang w:val="en-US"/>
        </w:rPr>
        <w:t xml:space="preserve">city representative </w:t>
      </w:r>
      <w:r w:rsidR="009E1A3A">
        <w:rPr>
          <w:rFonts w:asciiTheme="minorHAnsi" w:hAnsiTheme="minorHAnsi" w:cstheme="minorHAnsi"/>
          <w:lang w:val="en-US"/>
        </w:rPr>
        <w:t xml:space="preserve">should </w:t>
      </w:r>
      <w:r w:rsidRPr="00796FB2">
        <w:rPr>
          <w:rFonts w:asciiTheme="minorHAnsi" w:hAnsiTheme="minorHAnsi" w:cstheme="minorHAnsi"/>
          <w:lang w:val="en-US"/>
        </w:rPr>
        <w:t>receive the certificate.</w:t>
      </w:r>
    </w:p>
    <w:p w14:paraId="10757965" w14:textId="77777777" w:rsidR="00DC42AB" w:rsidRPr="00796FB2" w:rsidRDefault="00DC42AB" w:rsidP="00796FB2">
      <w:pPr>
        <w:ind w:left="850"/>
        <w:rPr>
          <w:rFonts w:asciiTheme="minorHAnsi" w:hAnsiTheme="minorHAnsi" w:cstheme="minorHAnsi"/>
          <w:lang w:val="en-US"/>
        </w:rPr>
      </w:pPr>
    </w:p>
    <w:p w14:paraId="05BED523" w14:textId="77777777" w:rsidR="00DC42AB" w:rsidRPr="00796FB2" w:rsidRDefault="00DC42AB" w:rsidP="00796FB2">
      <w:pPr>
        <w:rPr>
          <w:rFonts w:asciiTheme="minorHAnsi" w:hAnsiTheme="minorHAnsi" w:cstheme="minorHAnsi"/>
          <w:lang w:val="en-US"/>
        </w:rPr>
      </w:pPr>
      <w:r w:rsidRPr="00796FB2">
        <w:rPr>
          <w:rFonts w:asciiTheme="minorHAnsi" w:hAnsiTheme="minorHAnsi" w:cstheme="minorHAnsi"/>
          <w:lang w:val="en-US"/>
        </w:rPr>
        <w:t>•</w:t>
      </w:r>
      <w:r w:rsidRPr="00796FB2">
        <w:rPr>
          <w:rFonts w:asciiTheme="minorHAnsi" w:hAnsiTheme="minorHAnsi" w:cstheme="minorHAnsi"/>
          <w:lang w:val="en-US"/>
        </w:rPr>
        <w:tab/>
        <w:t>City presentations including videos should be highlighted at a separate forum, side event or at exhibit stands.</w:t>
      </w:r>
    </w:p>
    <w:p w14:paraId="05035119" w14:textId="77777777" w:rsidR="00DC42AB" w:rsidRPr="00796FB2" w:rsidRDefault="00DC42AB" w:rsidP="00796FB2">
      <w:pPr>
        <w:rPr>
          <w:rFonts w:asciiTheme="minorHAnsi" w:hAnsiTheme="minorHAnsi" w:cstheme="minorHAnsi"/>
          <w:lang w:val="en-US"/>
        </w:rPr>
      </w:pPr>
    </w:p>
    <w:p w14:paraId="6B4AD417" w14:textId="60EBF6B4" w:rsidR="00F344DE" w:rsidRPr="00796FB2" w:rsidRDefault="00DC42AB" w:rsidP="00796FB2">
      <w:pPr>
        <w:rPr>
          <w:rFonts w:asciiTheme="minorHAnsi" w:hAnsiTheme="minorHAnsi" w:cstheme="minorHAnsi"/>
          <w:lang w:val="en-US"/>
        </w:rPr>
      </w:pPr>
      <w:r w:rsidRPr="00796FB2">
        <w:rPr>
          <w:rFonts w:asciiTheme="minorHAnsi" w:hAnsiTheme="minorHAnsi" w:cstheme="minorHAnsi"/>
          <w:lang w:val="en-US"/>
        </w:rPr>
        <w:t>•</w:t>
      </w:r>
      <w:r w:rsidRPr="00796FB2">
        <w:rPr>
          <w:rFonts w:asciiTheme="minorHAnsi" w:hAnsiTheme="minorHAnsi" w:cstheme="minorHAnsi"/>
          <w:lang w:val="en-US"/>
        </w:rPr>
        <w:tab/>
        <w:t xml:space="preserve">Wetland City Accreditation </w:t>
      </w:r>
      <w:r w:rsidR="009E1A3A">
        <w:rPr>
          <w:rFonts w:asciiTheme="minorHAnsi" w:hAnsiTheme="minorHAnsi" w:cstheme="minorHAnsi"/>
          <w:lang w:val="en-US"/>
        </w:rPr>
        <w:t>c</w:t>
      </w:r>
      <w:r w:rsidR="009E1A3A" w:rsidRPr="00796FB2">
        <w:rPr>
          <w:rFonts w:asciiTheme="minorHAnsi" w:hAnsiTheme="minorHAnsi" w:cstheme="minorHAnsi"/>
          <w:lang w:val="en-US"/>
        </w:rPr>
        <w:t xml:space="preserve">ertificates </w:t>
      </w:r>
      <w:r w:rsidRPr="00796FB2">
        <w:rPr>
          <w:rFonts w:asciiTheme="minorHAnsi" w:hAnsiTheme="minorHAnsi" w:cstheme="minorHAnsi"/>
          <w:lang w:val="en-US"/>
        </w:rPr>
        <w:t>should be framed and at least A3 in size.</w:t>
      </w:r>
    </w:p>
    <w:sectPr w:rsidR="00F344DE" w:rsidRPr="00796FB2" w:rsidSect="00213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F44FC" w14:textId="77777777" w:rsidR="00101541" w:rsidRDefault="00101541" w:rsidP="00DF2386">
      <w:r>
        <w:separator/>
      </w:r>
    </w:p>
  </w:endnote>
  <w:endnote w:type="continuationSeparator" w:id="0">
    <w:p w14:paraId="1344FBE2" w14:textId="77777777" w:rsidR="00101541" w:rsidRDefault="00101541" w:rsidP="00D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F6E3E" w14:textId="77777777" w:rsidR="00311DEC" w:rsidRDefault="00311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FB88" w14:textId="3517C715" w:rsidR="00F73E71" w:rsidRDefault="00CB50EA" w:rsidP="002137E0">
    <w:pPr>
      <w:pStyle w:val="Header"/>
      <w:rPr>
        <w:noProof/>
      </w:rPr>
    </w:pPr>
    <w:r>
      <w:rPr>
        <w:noProof/>
        <w:sz w:val="20"/>
        <w:szCs w:val="20"/>
      </w:rPr>
      <w:t>SC58 Doc.23</w:t>
    </w:r>
    <w:r>
      <w:rPr>
        <w:noProof/>
        <w:sz w:val="20"/>
        <w:szCs w:val="20"/>
      </w:rPr>
      <w:tab/>
    </w:r>
    <w:r>
      <w:rPr>
        <w:noProof/>
        <w:sz w:val="20"/>
        <w:szCs w:val="20"/>
      </w:rPr>
      <w:tab/>
    </w:r>
    <w:r w:rsidRPr="00CB50EA">
      <w:rPr>
        <w:noProof/>
        <w:sz w:val="20"/>
        <w:szCs w:val="20"/>
      </w:rPr>
      <w:fldChar w:fldCharType="begin"/>
    </w:r>
    <w:r w:rsidRPr="00CB50EA">
      <w:rPr>
        <w:noProof/>
        <w:sz w:val="20"/>
        <w:szCs w:val="20"/>
      </w:rPr>
      <w:instrText xml:space="preserve"> PAGE   \* MERGEFORMAT </w:instrText>
    </w:r>
    <w:r w:rsidRPr="00CB50EA">
      <w:rPr>
        <w:noProof/>
        <w:sz w:val="20"/>
        <w:szCs w:val="20"/>
      </w:rPr>
      <w:fldChar w:fldCharType="separate"/>
    </w:r>
    <w:r w:rsidR="00497E0A">
      <w:rPr>
        <w:noProof/>
        <w:sz w:val="20"/>
        <w:szCs w:val="20"/>
      </w:rPr>
      <w:t>3</w:t>
    </w:r>
    <w:r w:rsidRPr="00CB50EA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3B801" w14:textId="77777777" w:rsidR="00311DEC" w:rsidRDefault="00311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02E42" w14:textId="77777777" w:rsidR="00101541" w:rsidRDefault="00101541" w:rsidP="00DF2386">
      <w:r>
        <w:separator/>
      </w:r>
    </w:p>
  </w:footnote>
  <w:footnote w:type="continuationSeparator" w:id="0">
    <w:p w14:paraId="07639481" w14:textId="77777777" w:rsidR="00101541" w:rsidRDefault="00101541" w:rsidP="00DF2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26022" w14:textId="77777777" w:rsidR="00311DEC" w:rsidRDefault="00311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4F887" w14:textId="77777777" w:rsidR="00F73E71" w:rsidRDefault="00F73E71">
    <w:pPr>
      <w:pStyle w:val="Header"/>
    </w:pPr>
  </w:p>
  <w:p w14:paraId="565F3F3D" w14:textId="77777777" w:rsidR="00F73E71" w:rsidRDefault="00F73E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BD00C" w14:textId="77777777" w:rsidR="00311DEC" w:rsidRDefault="00311D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D37354C"/>
    <w:multiLevelType w:val="hybridMultilevel"/>
    <w:tmpl w:val="A2565ED0"/>
    <w:lvl w:ilvl="0" w:tplc="D700BD62">
      <w:start w:val="1"/>
      <w:numFmt w:val="decimal"/>
      <w:lvlText w:val="%1."/>
      <w:lvlJc w:val="left"/>
      <w:pPr>
        <w:ind w:left="644" w:hanging="425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EA56855C">
      <w:numFmt w:val="bullet"/>
      <w:lvlText w:val=""/>
      <w:lvlJc w:val="left"/>
      <w:pPr>
        <w:ind w:left="1068" w:hanging="425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9F74916E">
      <w:numFmt w:val="bullet"/>
      <w:lvlText w:val="•"/>
      <w:lvlJc w:val="left"/>
      <w:pPr>
        <w:ind w:left="2018" w:hanging="425"/>
      </w:pPr>
      <w:rPr>
        <w:rFonts w:hint="default"/>
        <w:lang w:val="en-GB" w:eastAsia="en-GB" w:bidi="en-GB"/>
      </w:rPr>
    </w:lvl>
    <w:lvl w:ilvl="3" w:tplc="B84A831E">
      <w:numFmt w:val="bullet"/>
      <w:lvlText w:val="•"/>
      <w:lvlJc w:val="left"/>
      <w:pPr>
        <w:ind w:left="2976" w:hanging="425"/>
      </w:pPr>
      <w:rPr>
        <w:rFonts w:hint="default"/>
        <w:lang w:val="en-GB" w:eastAsia="en-GB" w:bidi="en-GB"/>
      </w:rPr>
    </w:lvl>
    <w:lvl w:ilvl="4" w:tplc="A46E9150">
      <w:numFmt w:val="bullet"/>
      <w:lvlText w:val="•"/>
      <w:lvlJc w:val="left"/>
      <w:pPr>
        <w:ind w:left="3935" w:hanging="425"/>
      </w:pPr>
      <w:rPr>
        <w:rFonts w:hint="default"/>
        <w:lang w:val="en-GB" w:eastAsia="en-GB" w:bidi="en-GB"/>
      </w:rPr>
    </w:lvl>
    <w:lvl w:ilvl="5" w:tplc="49F49DEA">
      <w:numFmt w:val="bullet"/>
      <w:lvlText w:val="•"/>
      <w:lvlJc w:val="left"/>
      <w:pPr>
        <w:ind w:left="4893" w:hanging="425"/>
      </w:pPr>
      <w:rPr>
        <w:rFonts w:hint="default"/>
        <w:lang w:val="en-GB" w:eastAsia="en-GB" w:bidi="en-GB"/>
      </w:rPr>
    </w:lvl>
    <w:lvl w:ilvl="6" w:tplc="8E62A74A">
      <w:numFmt w:val="bullet"/>
      <w:lvlText w:val="•"/>
      <w:lvlJc w:val="left"/>
      <w:pPr>
        <w:ind w:left="5852" w:hanging="425"/>
      </w:pPr>
      <w:rPr>
        <w:rFonts w:hint="default"/>
        <w:lang w:val="en-GB" w:eastAsia="en-GB" w:bidi="en-GB"/>
      </w:rPr>
    </w:lvl>
    <w:lvl w:ilvl="7" w:tplc="55DA25E6">
      <w:numFmt w:val="bullet"/>
      <w:lvlText w:val="•"/>
      <w:lvlJc w:val="left"/>
      <w:pPr>
        <w:ind w:left="6810" w:hanging="425"/>
      </w:pPr>
      <w:rPr>
        <w:rFonts w:hint="default"/>
        <w:lang w:val="en-GB" w:eastAsia="en-GB" w:bidi="en-GB"/>
      </w:rPr>
    </w:lvl>
    <w:lvl w:ilvl="8" w:tplc="5B261692">
      <w:numFmt w:val="bullet"/>
      <w:lvlText w:val="•"/>
      <w:lvlJc w:val="left"/>
      <w:pPr>
        <w:ind w:left="7769" w:hanging="425"/>
      </w:pPr>
      <w:rPr>
        <w:rFonts w:hint="default"/>
        <w:lang w:val="en-GB" w:eastAsia="en-GB" w:bidi="en-GB"/>
      </w:rPr>
    </w:lvl>
  </w:abstractNum>
  <w:abstractNum w:abstractNumId="26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2187A"/>
    <w:multiLevelType w:val="hybridMultilevel"/>
    <w:tmpl w:val="6F8004F4"/>
    <w:lvl w:ilvl="0" w:tplc="DF6853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3"/>
  </w:num>
  <w:num w:numId="7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</w:num>
  <w:num w:numId="13">
    <w:abstractNumId w:val="16"/>
  </w:num>
  <w:num w:numId="14">
    <w:abstractNumId w:val="11"/>
  </w:num>
  <w:num w:numId="15">
    <w:abstractNumId w:val="2"/>
  </w:num>
  <w:num w:numId="16">
    <w:abstractNumId w:val="13"/>
  </w:num>
  <w:num w:numId="17">
    <w:abstractNumId w:val="18"/>
  </w:num>
  <w:num w:numId="18">
    <w:abstractNumId w:val="28"/>
  </w:num>
  <w:num w:numId="19">
    <w:abstractNumId w:val="26"/>
  </w:num>
  <w:num w:numId="20">
    <w:abstractNumId w:val="20"/>
  </w:num>
  <w:num w:numId="21">
    <w:abstractNumId w:val="22"/>
  </w:num>
  <w:num w:numId="22">
    <w:abstractNumId w:val="14"/>
  </w:num>
  <w:num w:numId="23">
    <w:abstractNumId w:val="19"/>
  </w:num>
  <w:num w:numId="24">
    <w:abstractNumId w:val="17"/>
  </w:num>
  <w:num w:numId="25">
    <w:abstractNumId w:val="24"/>
  </w:num>
  <w:num w:numId="26">
    <w:abstractNumId w:val="8"/>
  </w:num>
  <w:num w:numId="27">
    <w:abstractNumId w:val="0"/>
  </w:num>
  <w:num w:numId="28">
    <w:abstractNumId w:val="10"/>
  </w:num>
  <w:num w:numId="29">
    <w:abstractNumId w:val="3"/>
  </w:num>
  <w:num w:numId="30">
    <w:abstractNumId w:val="2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6"/>
    <w:rsid w:val="00014168"/>
    <w:rsid w:val="00017A16"/>
    <w:rsid w:val="00026E09"/>
    <w:rsid w:val="00037CE0"/>
    <w:rsid w:val="00053929"/>
    <w:rsid w:val="00074DE8"/>
    <w:rsid w:val="000A253A"/>
    <w:rsid w:val="000A3E3E"/>
    <w:rsid w:val="000C2489"/>
    <w:rsid w:val="000D5C76"/>
    <w:rsid w:val="000E2FA0"/>
    <w:rsid w:val="000E47E9"/>
    <w:rsid w:val="000E670C"/>
    <w:rsid w:val="00101541"/>
    <w:rsid w:val="0012096C"/>
    <w:rsid w:val="0012191A"/>
    <w:rsid w:val="00127828"/>
    <w:rsid w:val="00161BDA"/>
    <w:rsid w:val="00171618"/>
    <w:rsid w:val="001819B1"/>
    <w:rsid w:val="001A2D10"/>
    <w:rsid w:val="001C5E41"/>
    <w:rsid w:val="001C77BC"/>
    <w:rsid w:val="001D48BB"/>
    <w:rsid w:val="001E00E3"/>
    <w:rsid w:val="001F2349"/>
    <w:rsid w:val="002005D2"/>
    <w:rsid w:val="00201D40"/>
    <w:rsid w:val="0020298B"/>
    <w:rsid w:val="00206111"/>
    <w:rsid w:val="002137E0"/>
    <w:rsid w:val="00243B44"/>
    <w:rsid w:val="002741AC"/>
    <w:rsid w:val="00275F13"/>
    <w:rsid w:val="002819C0"/>
    <w:rsid w:val="00295556"/>
    <w:rsid w:val="00295BB5"/>
    <w:rsid w:val="002A5A4D"/>
    <w:rsid w:val="002B4262"/>
    <w:rsid w:val="002B4B98"/>
    <w:rsid w:val="002D5A4D"/>
    <w:rsid w:val="002E22AF"/>
    <w:rsid w:val="002F6155"/>
    <w:rsid w:val="00311DEC"/>
    <w:rsid w:val="00324398"/>
    <w:rsid w:val="00384FC3"/>
    <w:rsid w:val="00393154"/>
    <w:rsid w:val="003A3804"/>
    <w:rsid w:val="003A52BE"/>
    <w:rsid w:val="003A5866"/>
    <w:rsid w:val="003A6E9F"/>
    <w:rsid w:val="003B6A37"/>
    <w:rsid w:val="003C2D9F"/>
    <w:rsid w:val="003D4CD6"/>
    <w:rsid w:val="004228C7"/>
    <w:rsid w:val="0042798B"/>
    <w:rsid w:val="00434913"/>
    <w:rsid w:val="004474F8"/>
    <w:rsid w:val="00477550"/>
    <w:rsid w:val="004844A8"/>
    <w:rsid w:val="00496803"/>
    <w:rsid w:val="00497E0A"/>
    <w:rsid w:val="004B6688"/>
    <w:rsid w:val="0050144B"/>
    <w:rsid w:val="005244A4"/>
    <w:rsid w:val="00527783"/>
    <w:rsid w:val="005814B5"/>
    <w:rsid w:val="005A2E26"/>
    <w:rsid w:val="005D3E9D"/>
    <w:rsid w:val="005D5081"/>
    <w:rsid w:val="005F28C2"/>
    <w:rsid w:val="005F40A2"/>
    <w:rsid w:val="005F789A"/>
    <w:rsid w:val="006256D3"/>
    <w:rsid w:val="00627BB7"/>
    <w:rsid w:val="00644A13"/>
    <w:rsid w:val="0065136E"/>
    <w:rsid w:val="00670D71"/>
    <w:rsid w:val="006E7DCE"/>
    <w:rsid w:val="007050FF"/>
    <w:rsid w:val="00752764"/>
    <w:rsid w:val="00766962"/>
    <w:rsid w:val="00775287"/>
    <w:rsid w:val="00796FB2"/>
    <w:rsid w:val="007A300E"/>
    <w:rsid w:val="007D33F4"/>
    <w:rsid w:val="007F3ABE"/>
    <w:rsid w:val="008317DD"/>
    <w:rsid w:val="008328E9"/>
    <w:rsid w:val="00835BCB"/>
    <w:rsid w:val="00835CDC"/>
    <w:rsid w:val="00850B09"/>
    <w:rsid w:val="00863B9D"/>
    <w:rsid w:val="00863BE6"/>
    <w:rsid w:val="008775BC"/>
    <w:rsid w:val="00882F1B"/>
    <w:rsid w:val="008A70CE"/>
    <w:rsid w:val="008C25E4"/>
    <w:rsid w:val="008C2DAE"/>
    <w:rsid w:val="008C30AE"/>
    <w:rsid w:val="008F7420"/>
    <w:rsid w:val="009059A9"/>
    <w:rsid w:val="0092515E"/>
    <w:rsid w:val="00942FBD"/>
    <w:rsid w:val="00943626"/>
    <w:rsid w:val="0094770B"/>
    <w:rsid w:val="00964F3C"/>
    <w:rsid w:val="009B2267"/>
    <w:rsid w:val="009E0AE8"/>
    <w:rsid w:val="009E1A3A"/>
    <w:rsid w:val="009E5374"/>
    <w:rsid w:val="009F345D"/>
    <w:rsid w:val="00A13218"/>
    <w:rsid w:val="00A227A3"/>
    <w:rsid w:val="00A22B47"/>
    <w:rsid w:val="00A60B73"/>
    <w:rsid w:val="00A655BE"/>
    <w:rsid w:val="00A746DD"/>
    <w:rsid w:val="00A80080"/>
    <w:rsid w:val="00AB4951"/>
    <w:rsid w:val="00AD2C1A"/>
    <w:rsid w:val="00B24C64"/>
    <w:rsid w:val="00B315A0"/>
    <w:rsid w:val="00B34A18"/>
    <w:rsid w:val="00B435E8"/>
    <w:rsid w:val="00B468CE"/>
    <w:rsid w:val="00B579CB"/>
    <w:rsid w:val="00B626CD"/>
    <w:rsid w:val="00B70083"/>
    <w:rsid w:val="00B83EF9"/>
    <w:rsid w:val="00BB28F6"/>
    <w:rsid w:val="00BC2609"/>
    <w:rsid w:val="00BD07A8"/>
    <w:rsid w:val="00BF1B67"/>
    <w:rsid w:val="00C0528F"/>
    <w:rsid w:val="00C13145"/>
    <w:rsid w:val="00C70F3C"/>
    <w:rsid w:val="00C97CA9"/>
    <w:rsid w:val="00CB50EA"/>
    <w:rsid w:val="00CC4E6C"/>
    <w:rsid w:val="00CE750F"/>
    <w:rsid w:val="00D140C7"/>
    <w:rsid w:val="00D160CB"/>
    <w:rsid w:val="00D245A1"/>
    <w:rsid w:val="00D313DE"/>
    <w:rsid w:val="00D415E2"/>
    <w:rsid w:val="00D42055"/>
    <w:rsid w:val="00D647C3"/>
    <w:rsid w:val="00D9633A"/>
    <w:rsid w:val="00DC42AB"/>
    <w:rsid w:val="00DF2386"/>
    <w:rsid w:val="00DF7FE7"/>
    <w:rsid w:val="00E46367"/>
    <w:rsid w:val="00E63F0B"/>
    <w:rsid w:val="00EA3A7F"/>
    <w:rsid w:val="00F078F1"/>
    <w:rsid w:val="00F11306"/>
    <w:rsid w:val="00F178CF"/>
    <w:rsid w:val="00F32D03"/>
    <w:rsid w:val="00F344DE"/>
    <w:rsid w:val="00F427B7"/>
    <w:rsid w:val="00F7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A073F3"/>
  <w15:docId w15:val="{D8149972-07E2-4F31-9665-3190775F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paragraph" w:customStyle="1" w:styleId="Default">
    <w:name w:val="Default"/>
    <w:rsid w:val="00BD07A8"/>
    <w:pPr>
      <w:autoSpaceDE w:val="0"/>
      <w:autoSpaceDN w:val="0"/>
      <w:adjustRightInd w:val="0"/>
      <w:ind w:left="0" w:firstLine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0D30-D80C-4415-95E8-4C773DAC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Ramsar\KatzM</dc:creator>
  <cp:lastModifiedBy>JENNINGS Edmund</cp:lastModifiedBy>
  <cp:revision>6</cp:revision>
  <cp:lastPrinted>2020-03-25T14:56:00Z</cp:lastPrinted>
  <dcterms:created xsi:type="dcterms:W3CDTF">2020-02-13T15:40:00Z</dcterms:created>
  <dcterms:modified xsi:type="dcterms:W3CDTF">2020-04-30T11:58:00Z</dcterms:modified>
</cp:coreProperties>
</file>